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2060" w14:textId="77777777" w:rsidR="00C80505" w:rsidRPr="009772A3" w:rsidRDefault="00C80505" w:rsidP="00284199">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9772A3">
        <w:rPr>
          <w:rFonts w:asciiTheme="majorHAnsi" w:eastAsia="Times New Roman" w:hAnsiTheme="majorHAnsi" w:cs="Times New Roman"/>
          <w:bCs/>
          <w:sz w:val="28"/>
          <w:szCs w:val="28"/>
          <w:lang w:val="ro-MD"/>
        </w:rPr>
        <w:t xml:space="preserve">Anexă </w:t>
      </w:r>
    </w:p>
    <w:p w14:paraId="4FE6F045" w14:textId="77777777" w:rsidR="00C80505" w:rsidRPr="009772A3" w:rsidRDefault="00C80505" w:rsidP="00284199">
      <w:pPr>
        <w:tabs>
          <w:tab w:val="left" w:pos="720"/>
        </w:tabs>
        <w:spacing w:after="0" w:line="276" w:lineRule="auto"/>
        <w:jc w:val="right"/>
        <w:rPr>
          <w:rFonts w:asciiTheme="majorHAnsi" w:eastAsia="Times New Roman" w:hAnsiTheme="majorHAnsi" w:cs="Times New Roman"/>
          <w:bCs/>
          <w:sz w:val="28"/>
          <w:szCs w:val="28"/>
          <w:lang w:val="ro-MD"/>
        </w:rPr>
      </w:pPr>
      <w:r w:rsidRPr="009772A3">
        <w:rPr>
          <w:rFonts w:asciiTheme="majorHAnsi" w:eastAsia="Times New Roman" w:hAnsiTheme="majorHAnsi" w:cs="Times New Roman"/>
          <w:bCs/>
          <w:sz w:val="28"/>
          <w:szCs w:val="28"/>
          <w:lang w:val="ro-MD"/>
        </w:rPr>
        <w:t xml:space="preserve">la Hotărârea Curții de Conturi </w:t>
      </w:r>
    </w:p>
    <w:p w14:paraId="699C6865" w14:textId="5BFB35BC" w:rsidR="00C80505" w:rsidRPr="009772A3" w:rsidRDefault="00C80505" w:rsidP="001934D9">
      <w:pPr>
        <w:tabs>
          <w:tab w:val="left" w:pos="720"/>
        </w:tabs>
        <w:spacing w:after="0" w:line="276" w:lineRule="auto"/>
        <w:jc w:val="right"/>
        <w:rPr>
          <w:rFonts w:asciiTheme="majorHAnsi" w:eastAsia="Times New Roman" w:hAnsiTheme="majorHAnsi" w:cs="Times New Roman"/>
          <w:bCs/>
          <w:sz w:val="28"/>
          <w:szCs w:val="28"/>
          <w:lang w:val="ro-MD"/>
        </w:rPr>
      </w:pPr>
      <w:r w:rsidRPr="00CF3AD4">
        <w:rPr>
          <w:rFonts w:asciiTheme="majorHAnsi" w:eastAsia="Times New Roman" w:hAnsiTheme="majorHAnsi" w:cs="Times New Roman"/>
          <w:bCs/>
          <w:sz w:val="28"/>
          <w:szCs w:val="28"/>
          <w:lang w:val="ro-MD"/>
        </w:rPr>
        <w:t>nr</w:t>
      </w:r>
      <w:r w:rsidR="009772A3" w:rsidRPr="00CF3AD4">
        <w:rPr>
          <w:rFonts w:asciiTheme="majorHAnsi" w:eastAsia="Times New Roman" w:hAnsiTheme="majorHAnsi" w:cs="Times New Roman"/>
          <w:bCs/>
          <w:sz w:val="28"/>
          <w:szCs w:val="28"/>
          <w:lang w:val="ro-MD"/>
        </w:rPr>
        <w:t xml:space="preserve">.56 </w:t>
      </w:r>
      <w:r w:rsidRPr="009772A3">
        <w:rPr>
          <w:rFonts w:asciiTheme="majorHAnsi" w:eastAsia="Times New Roman" w:hAnsiTheme="majorHAnsi" w:cs="Times New Roman"/>
          <w:bCs/>
          <w:sz w:val="28"/>
          <w:szCs w:val="28"/>
          <w:lang w:val="ro-MD"/>
        </w:rPr>
        <w:t xml:space="preserve">din </w:t>
      </w:r>
      <w:r w:rsidR="009E5B62" w:rsidRPr="009772A3">
        <w:rPr>
          <w:rFonts w:asciiTheme="majorHAnsi" w:eastAsia="Times New Roman" w:hAnsiTheme="majorHAnsi" w:cs="Times New Roman"/>
          <w:bCs/>
          <w:sz w:val="28"/>
          <w:szCs w:val="28"/>
          <w:lang w:val="ro-MD"/>
        </w:rPr>
        <w:t>21</w:t>
      </w:r>
      <w:r w:rsidRPr="009772A3">
        <w:rPr>
          <w:rFonts w:asciiTheme="majorHAnsi" w:eastAsia="Times New Roman" w:hAnsiTheme="majorHAnsi" w:cs="Times New Roman"/>
          <w:bCs/>
          <w:sz w:val="28"/>
          <w:szCs w:val="28"/>
          <w:lang w:val="ro-MD"/>
        </w:rPr>
        <w:t xml:space="preserve"> </w:t>
      </w:r>
      <w:r w:rsidR="00097081" w:rsidRPr="009772A3">
        <w:rPr>
          <w:rFonts w:asciiTheme="majorHAnsi" w:eastAsia="Times New Roman" w:hAnsiTheme="majorHAnsi" w:cs="Times New Roman"/>
          <w:bCs/>
          <w:sz w:val="28"/>
          <w:szCs w:val="28"/>
          <w:lang w:val="ro-MD"/>
        </w:rPr>
        <w:t>noiembrie</w:t>
      </w:r>
      <w:r w:rsidRPr="009772A3">
        <w:rPr>
          <w:rFonts w:asciiTheme="majorHAnsi" w:eastAsia="Times New Roman" w:hAnsiTheme="majorHAnsi" w:cs="Times New Roman"/>
          <w:bCs/>
          <w:sz w:val="28"/>
          <w:szCs w:val="28"/>
          <w:lang w:val="ro-MD"/>
        </w:rPr>
        <w:t xml:space="preserve"> 202</w:t>
      </w:r>
      <w:r w:rsidR="00A72344" w:rsidRPr="009772A3">
        <w:rPr>
          <w:rFonts w:asciiTheme="majorHAnsi" w:eastAsia="Times New Roman" w:hAnsiTheme="majorHAnsi" w:cs="Times New Roman"/>
          <w:bCs/>
          <w:sz w:val="28"/>
          <w:szCs w:val="28"/>
          <w:lang w:val="ro-MD"/>
        </w:rPr>
        <w:t>2</w:t>
      </w:r>
    </w:p>
    <w:p w14:paraId="305DE906" w14:textId="77777777" w:rsidR="00C80505" w:rsidRPr="009772A3" w:rsidRDefault="00C80505" w:rsidP="00284199">
      <w:pPr>
        <w:spacing w:after="0" w:line="276" w:lineRule="auto"/>
        <w:rPr>
          <w:rFonts w:asciiTheme="majorHAnsi" w:hAnsiTheme="majorHAnsi"/>
          <w:lang w:val="ro-MD"/>
        </w:rPr>
      </w:pPr>
    </w:p>
    <w:p w14:paraId="1DC14819" w14:textId="77777777" w:rsidR="00C80505" w:rsidRPr="009772A3" w:rsidRDefault="00C80505" w:rsidP="00284199">
      <w:pPr>
        <w:spacing w:after="0" w:line="276" w:lineRule="auto"/>
        <w:rPr>
          <w:rFonts w:asciiTheme="majorHAnsi" w:hAnsiTheme="majorHAnsi"/>
          <w:lang w:val="ro-MD"/>
        </w:rPr>
      </w:pPr>
    </w:p>
    <w:p w14:paraId="1AF7B469" w14:textId="77777777" w:rsidR="00C80505" w:rsidRPr="009772A3" w:rsidRDefault="00C80505" w:rsidP="00284199">
      <w:pPr>
        <w:spacing w:after="0" w:line="276" w:lineRule="auto"/>
        <w:rPr>
          <w:rFonts w:asciiTheme="majorHAnsi" w:hAnsiTheme="majorHAnsi"/>
          <w:lang w:val="ro-MD"/>
        </w:rPr>
      </w:pPr>
    </w:p>
    <w:p w14:paraId="2BD0E501" w14:textId="77777777" w:rsidR="00C80505" w:rsidRPr="009772A3" w:rsidRDefault="00C80505" w:rsidP="00284199">
      <w:pPr>
        <w:spacing w:after="0" w:line="276" w:lineRule="auto"/>
        <w:rPr>
          <w:rFonts w:asciiTheme="majorHAnsi" w:hAnsiTheme="majorHAnsi"/>
          <w:lang w:val="ro-MD"/>
        </w:rPr>
      </w:pPr>
    </w:p>
    <w:p w14:paraId="07EE2E6F" w14:textId="77777777" w:rsidR="00C80505" w:rsidRPr="009772A3" w:rsidRDefault="00C80505" w:rsidP="00284199">
      <w:pPr>
        <w:spacing w:after="0" w:line="276" w:lineRule="auto"/>
        <w:jc w:val="center"/>
        <w:rPr>
          <w:rFonts w:asciiTheme="majorHAnsi" w:hAnsiTheme="majorHAnsi" w:cs="Times New Roman"/>
          <w:b/>
          <w:sz w:val="28"/>
          <w:szCs w:val="28"/>
          <w:lang w:val="ro-MD"/>
        </w:rPr>
      </w:pPr>
      <w:r w:rsidRPr="009772A3">
        <w:rPr>
          <w:rFonts w:asciiTheme="majorHAnsi" w:hAnsiTheme="majorHAnsi"/>
          <w:noProof/>
        </w:rPr>
        <w:drawing>
          <wp:inline distT="0" distB="0" distL="0" distR="0" wp14:anchorId="6BEB974D" wp14:editId="4818488D">
            <wp:extent cx="948055" cy="948055"/>
            <wp:effectExtent l="0" t="0" r="4445" b="4445"/>
            <wp:docPr id="1" name="Picture 1" descr="cid:image003.jpg@01D53192.824E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192.824E8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p w14:paraId="57780E59" w14:textId="77777777" w:rsidR="00C80505" w:rsidRPr="009772A3" w:rsidRDefault="00C80505" w:rsidP="00284199">
      <w:pPr>
        <w:spacing w:after="0" w:line="276" w:lineRule="auto"/>
        <w:jc w:val="center"/>
        <w:rPr>
          <w:rFonts w:asciiTheme="majorHAnsi" w:hAnsiTheme="majorHAnsi" w:cs="Times New Roman"/>
          <w:b/>
          <w:sz w:val="28"/>
          <w:szCs w:val="28"/>
          <w:lang w:val="ro-MD"/>
        </w:rPr>
      </w:pPr>
    </w:p>
    <w:p w14:paraId="33CB44C0" w14:textId="77777777" w:rsidR="00C80505" w:rsidRPr="009772A3" w:rsidRDefault="00C80505" w:rsidP="00284199">
      <w:pPr>
        <w:spacing w:after="0" w:line="276" w:lineRule="auto"/>
        <w:jc w:val="center"/>
        <w:rPr>
          <w:rFonts w:asciiTheme="majorHAnsi" w:hAnsiTheme="majorHAnsi" w:cs="Times New Roman"/>
          <w:b/>
          <w:sz w:val="32"/>
          <w:szCs w:val="32"/>
          <w:lang w:val="ro-MD"/>
        </w:rPr>
      </w:pPr>
      <w:r w:rsidRPr="009772A3">
        <w:rPr>
          <w:rFonts w:asciiTheme="majorHAnsi" w:hAnsiTheme="majorHAnsi" w:cs="Times New Roman"/>
          <w:b/>
          <w:sz w:val="32"/>
          <w:szCs w:val="32"/>
          <w:lang w:val="ro-MD"/>
        </w:rPr>
        <w:t>CURTEA DE CONTURI A REPUBLICII MOLDOVA</w:t>
      </w:r>
    </w:p>
    <w:p w14:paraId="18193A1E" w14:textId="77777777" w:rsidR="00C80505" w:rsidRPr="009772A3" w:rsidRDefault="00C80505" w:rsidP="00284199">
      <w:pPr>
        <w:spacing w:after="0" w:line="276" w:lineRule="auto"/>
        <w:rPr>
          <w:rFonts w:asciiTheme="majorHAnsi" w:hAnsiTheme="majorHAnsi"/>
          <w:lang w:val="ro-MD"/>
        </w:rPr>
      </w:pPr>
    </w:p>
    <w:p w14:paraId="1AD74580" w14:textId="77777777" w:rsidR="00C80505" w:rsidRPr="009772A3" w:rsidRDefault="00C80505" w:rsidP="00284199">
      <w:pPr>
        <w:tabs>
          <w:tab w:val="left" w:pos="720"/>
        </w:tabs>
        <w:spacing w:after="0" w:line="276" w:lineRule="auto"/>
        <w:jc w:val="right"/>
        <w:rPr>
          <w:rFonts w:asciiTheme="majorHAnsi" w:eastAsia="Times New Roman" w:hAnsiTheme="majorHAnsi" w:cs="Times New Roman"/>
          <w:b/>
          <w:bCs/>
          <w:sz w:val="24"/>
          <w:szCs w:val="24"/>
          <w:lang w:val="ro-MD"/>
        </w:rPr>
      </w:pPr>
    </w:p>
    <w:p w14:paraId="4F92069B" w14:textId="77777777" w:rsidR="00C80505" w:rsidRPr="009772A3" w:rsidRDefault="00C80505" w:rsidP="00284199">
      <w:pPr>
        <w:tabs>
          <w:tab w:val="left" w:pos="720"/>
        </w:tabs>
        <w:spacing w:after="0" w:line="276" w:lineRule="auto"/>
        <w:jc w:val="right"/>
        <w:rPr>
          <w:rFonts w:asciiTheme="majorHAnsi" w:eastAsia="Times New Roman" w:hAnsiTheme="majorHAnsi" w:cs="Times New Roman"/>
          <w:b/>
          <w:bCs/>
          <w:sz w:val="24"/>
          <w:szCs w:val="24"/>
          <w:lang w:val="ro-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80505" w:rsidRPr="009772A3" w14:paraId="16654485" w14:textId="77777777" w:rsidTr="00C80505">
        <w:trPr>
          <w:trHeight w:val="435"/>
        </w:trPr>
        <w:tc>
          <w:tcPr>
            <w:tcW w:w="9350" w:type="dxa"/>
            <w:tcBorders>
              <w:top w:val="thinThickSmallGap" w:sz="12" w:space="0" w:color="auto"/>
              <w:left w:val="nil"/>
              <w:bottom w:val="thickThinSmallGap" w:sz="12" w:space="0" w:color="auto"/>
              <w:right w:val="nil"/>
            </w:tcBorders>
            <w:hideMark/>
          </w:tcPr>
          <w:p w14:paraId="3014509C" w14:textId="77777777" w:rsidR="008C15C6" w:rsidRPr="009772A3" w:rsidRDefault="00661FE8" w:rsidP="00661FE8">
            <w:pPr>
              <w:pStyle w:val="Heading4"/>
              <w:spacing w:before="0"/>
              <w:ind w:right="368"/>
              <w:jc w:val="center"/>
              <w:outlineLvl w:val="3"/>
              <w:rPr>
                <w:rFonts w:eastAsiaTheme="minorHAnsi" w:cstheme="majorHAnsi"/>
                <w:color w:val="auto"/>
                <w:sz w:val="18"/>
                <w:szCs w:val="18"/>
                <w:lang w:val="ro-MD"/>
              </w:rPr>
            </w:pPr>
            <w:r w:rsidRPr="009772A3">
              <w:rPr>
                <w:rFonts w:cstheme="majorHAnsi"/>
                <w:i w:val="0"/>
                <w:color w:val="auto"/>
                <w:sz w:val="20"/>
                <w:lang w:val="ro-MD"/>
              </w:rPr>
              <w:t>MD-2001, mun. Chișinău, bd. Ștefan cel Mare și Sfânt nr.69, tel. (+373 22) 26 60 02, fax: (+373</w:t>
            </w:r>
            <w:r w:rsidR="006E6690" w:rsidRPr="009772A3">
              <w:rPr>
                <w:rFonts w:cstheme="majorHAnsi"/>
                <w:i w:val="0"/>
                <w:color w:val="auto"/>
                <w:sz w:val="20"/>
                <w:lang w:val="ro-MD"/>
              </w:rPr>
              <w:t xml:space="preserve"> </w:t>
            </w:r>
            <w:r w:rsidRPr="009772A3">
              <w:rPr>
                <w:rFonts w:cstheme="majorHAnsi"/>
                <w:i w:val="0"/>
                <w:color w:val="auto"/>
                <w:sz w:val="20"/>
                <w:lang w:val="ro-MD"/>
              </w:rPr>
              <w:t>22)</w:t>
            </w:r>
            <w:r w:rsidR="006E6690" w:rsidRPr="009772A3">
              <w:rPr>
                <w:rFonts w:cstheme="majorHAnsi"/>
                <w:i w:val="0"/>
                <w:color w:val="auto"/>
                <w:sz w:val="20"/>
                <w:lang w:val="ro-MD"/>
              </w:rPr>
              <w:t xml:space="preserve"> </w:t>
            </w:r>
            <w:r w:rsidRPr="009772A3">
              <w:rPr>
                <w:rFonts w:cstheme="majorHAnsi"/>
                <w:i w:val="0"/>
                <w:color w:val="auto"/>
                <w:sz w:val="20"/>
                <w:lang w:val="ro-MD"/>
              </w:rPr>
              <w:t xml:space="preserve">26 61 00, web: </w:t>
            </w:r>
            <w:hyperlink r:id="rId10" w:history="1">
              <w:r w:rsidRPr="009772A3">
                <w:rPr>
                  <w:rStyle w:val="Hyperlink"/>
                  <w:rFonts w:cstheme="majorHAnsi"/>
                  <w:i w:val="0"/>
                  <w:color w:val="auto"/>
                  <w:sz w:val="20"/>
                  <w:lang w:val="ro-MD"/>
                </w:rPr>
                <w:t>www.ccrm.md</w:t>
              </w:r>
            </w:hyperlink>
            <w:r w:rsidRPr="009772A3">
              <w:rPr>
                <w:rFonts w:cstheme="majorHAnsi"/>
                <w:i w:val="0"/>
                <w:color w:val="auto"/>
                <w:sz w:val="20"/>
                <w:lang w:val="ro-MD"/>
              </w:rPr>
              <w:t xml:space="preserve">, e-mail: </w:t>
            </w:r>
            <w:hyperlink r:id="rId11" w:history="1">
              <w:r w:rsidRPr="009772A3">
                <w:rPr>
                  <w:rStyle w:val="Hyperlink"/>
                  <w:rFonts w:cstheme="majorHAnsi"/>
                  <w:i w:val="0"/>
                  <w:color w:val="auto"/>
                  <w:sz w:val="20"/>
                  <w:lang w:val="ro-MD"/>
                </w:rPr>
                <w:t>ccrm@ccrm.md</w:t>
              </w:r>
            </w:hyperlink>
          </w:p>
        </w:tc>
      </w:tr>
    </w:tbl>
    <w:p w14:paraId="46025F9C" w14:textId="77777777" w:rsidR="00C80505" w:rsidRPr="009772A3" w:rsidRDefault="00C80505" w:rsidP="00284199">
      <w:pPr>
        <w:tabs>
          <w:tab w:val="left" w:pos="720"/>
        </w:tabs>
        <w:spacing w:after="0" w:line="276" w:lineRule="auto"/>
        <w:jc w:val="right"/>
        <w:rPr>
          <w:rFonts w:asciiTheme="majorHAnsi" w:eastAsia="Times New Roman" w:hAnsiTheme="majorHAnsi" w:cs="Times New Roman"/>
          <w:b/>
          <w:bCs/>
          <w:sz w:val="24"/>
          <w:szCs w:val="24"/>
          <w:lang w:val="ro-MD"/>
        </w:rPr>
      </w:pPr>
    </w:p>
    <w:p w14:paraId="641AAD79" w14:textId="77777777" w:rsidR="00C80505" w:rsidRPr="009772A3" w:rsidRDefault="00C80505" w:rsidP="00284199">
      <w:pPr>
        <w:tabs>
          <w:tab w:val="left" w:pos="720"/>
        </w:tabs>
        <w:spacing w:after="0" w:line="276" w:lineRule="auto"/>
        <w:jc w:val="right"/>
        <w:rPr>
          <w:rFonts w:asciiTheme="majorHAnsi" w:eastAsia="Times New Roman" w:hAnsiTheme="majorHAnsi" w:cs="Times New Roman"/>
          <w:b/>
          <w:bCs/>
          <w:sz w:val="24"/>
          <w:szCs w:val="24"/>
          <w:lang w:val="ro-MD"/>
        </w:rPr>
      </w:pPr>
    </w:p>
    <w:p w14:paraId="6E7DF7EF" w14:textId="77777777" w:rsidR="00C80505" w:rsidRPr="009772A3" w:rsidRDefault="00C80505" w:rsidP="00284199">
      <w:pPr>
        <w:tabs>
          <w:tab w:val="left" w:pos="720"/>
        </w:tabs>
        <w:spacing w:after="0" w:line="276" w:lineRule="auto"/>
        <w:jc w:val="right"/>
        <w:rPr>
          <w:rFonts w:asciiTheme="majorHAnsi" w:eastAsia="Times New Roman" w:hAnsiTheme="majorHAnsi" w:cs="Times New Roman"/>
          <w:b/>
          <w:bCs/>
          <w:sz w:val="24"/>
          <w:szCs w:val="24"/>
          <w:lang w:val="ro-MD"/>
        </w:rPr>
      </w:pPr>
    </w:p>
    <w:p w14:paraId="719D8B20" w14:textId="77777777" w:rsidR="00C80505" w:rsidRPr="009772A3" w:rsidRDefault="00C80505" w:rsidP="00284199">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3EF3BD7" w14:textId="77777777" w:rsidR="00C80505" w:rsidRPr="009772A3" w:rsidRDefault="00C80505" w:rsidP="00284199">
      <w:pPr>
        <w:tabs>
          <w:tab w:val="left" w:pos="720"/>
        </w:tabs>
        <w:spacing w:after="0" w:line="276" w:lineRule="auto"/>
        <w:jc w:val="center"/>
        <w:rPr>
          <w:rFonts w:asciiTheme="majorHAnsi" w:eastAsia="Times New Roman" w:hAnsiTheme="majorHAnsi" w:cs="Times New Roman"/>
          <w:b/>
          <w:bCs/>
          <w:sz w:val="32"/>
          <w:szCs w:val="32"/>
          <w:lang w:val="ro-MD"/>
        </w:rPr>
      </w:pPr>
      <w:r w:rsidRPr="009772A3">
        <w:rPr>
          <w:rFonts w:asciiTheme="majorHAnsi" w:eastAsia="Times New Roman" w:hAnsiTheme="majorHAnsi" w:cs="Times New Roman"/>
          <w:b/>
          <w:bCs/>
          <w:sz w:val="32"/>
          <w:szCs w:val="32"/>
          <w:lang w:val="ro-MD"/>
        </w:rPr>
        <w:t xml:space="preserve">RAPORTUL </w:t>
      </w:r>
    </w:p>
    <w:p w14:paraId="2820F711" w14:textId="6C0FB5F9" w:rsidR="003B23D2" w:rsidRPr="009772A3" w:rsidRDefault="00C80505" w:rsidP="00301001">
      <w:pPr>
        <w:spacing w:after="0" w:line="276" w:lineRule="auto"/>
        <w:jc w:val="center"/>
        <w:rPr>
          <w:rFonts w:asciiTheme="majorHAnsi" w:hAnsiTheme="majorHAnsi"/>
          <w:b/>
          <w:sz w:val="28"/>
          <w:szCs w:val="24"/>
          <w:lang w:val="ro-MD"/>
        </w:rPr>
      </w:pPr>
      <w:r w:rsidRPr="009772A3">
        <w:rPr>
          <w:rFonts w:asciiTheme="majorHAnsi" w:hAnsiTheme="majorHAnsi"/>
          <w:b/>
          <w:sz w:val="28"/>
          <w:szCs w:val="24"/>
          <w:lang w:val="ro-MD"/>
        </w:rPr>
        <w:t xml:space="preserve">auditului </w:t>
      </w:r>
      <w:r w:rsidR="00A65FF2" w:rsidRPr="009772A3">
        <w:rPr>
          <w:rFonts w:asciiTheme="majorHAnsi" w:hAnsiTheme="majorHAnsi"/>
          <w:b/>
          <w:sz w:val="28"/>
          <w:szCs w:val="24"/>
          <w:lang w:val="ro-MD"/>
        </w:rPr>
        <w:t xml:space="preserve">conformității </w:t>
      </w:r>
      <w:r w:rsidR="008F3D51" w:rsidRPr="009772A3">
        <w:rPr>
          <w:rFonts w:asciiTheme="majorHAnsi" w:hAnsiTheme="majorHAnsi"/>
          <w:b/>
          <w:sz w:val="28"/>
          <w:szCs w:val="24"/>
          <w:lang w:val="ro-MD"/>
        </w:rPr>
        <w:t xml:space="preserve">asupra </w:t>
      </w:r>
      <w:r w:rsidR="00A65FF2" w:rsidRPr="009772A3">
        <w:rPr>
          <w:rFonts w:asciiTheme="majorHAnsi" w:hAnsiTheme="majorHAnsi"/>
          <w:b/>
          <w:sz w:val="28"/>
          <w:szCs w:val="24"/>
          <w:lang w:val="ro-MD"/>
        </w:rPr>
        <w:t xml:space="preserve">cheltuielilor şi investițiilor capitale la întreprinderile de gaze naturale cărora le-au fost impuse obligații de serviciu public, precum și la întreprinderile înrudite, astfel cum sunt definite în </w:t>
      </w:r>
      <w:hyperlink r:id="rId12" w:history="1">
        <w:r w:rsidR="00A65FF2" w:rsidRPr="009772A3">
          <w:rPr>
            <w:rFonts w:asciiTheme="majorHAnsi" w:hAnsiTheme="majorHAnsi"/>
            <w:b/>
            <w:sz w:val="28"/>
            <w:szCs w:val="24"/>
            <w:lang w:val="ro-MD"/>
          </w:rPr>
          <w:t>Legea nr.108/2016</w:t>
        </w:r>
      </w:hyperlink>
      <w:r w:rsidR="00A65FF2" w:rsidRPr="009772A3">
        <w:rPr>
          <w:rFonts w:asciiTheme="majorHAnsi" w:hAnsiTheme="majorHAnsi"/>
          <w:b/>
          <w:sz w:val="28"/>
          <w:szCs w:val="24"/>
          <w:lang w:val="ro-MD"/>
        </w:rPr>
        <w:t xml:space="preserve"> cu privire la gazele naturale, inclusiv la cele deținute indirect</w:t>
      </w:r>
      <w:r w:rsidR="003B23D2" w:rsidRPr="009772A3">
        <w:rPr>
          <w:rFonts w:asciiTheme="majorHAnsi" w:hAnsiTheme="majorHAnsi"/>
          <w:b/>
          <w:sz w:val="28"/>
          <w:szCs w:val="24"/>
          <w:lang w:val="ro-MD"/>
        </w:rPr>
        <w:br w:type="page"/>
      </w:r>
    </w:p>
    <w:bookmarkStart w:id="1" w:name="_Toc47338760" w:displacedByCustomXml="next"/>
    <w:sdt>
      <w:sdtPr>
        <w:rPr>
          <w:rFonts w:asciiTheme="minorHAnsi" w:eastAsiaTheme="minorHAnsi" w:hAnsiTheme="minorHAnsi" w:cstheme="minorBidi"/>
          <w:b w:val="0"/>
          <w:color w:val="auto"/>
          <w:sz w:val="22"/>
          <w:szCs w:val="22"/>
          <w:lang w:val="ro-MD"/>
        </w:rPr>
        <w:id w:val="1830934651"/>
        <w:docPartObj>
          <w:docPartGallery w:val="Table of Contents"/>
          <w:docPartUnique/>
        </w:docPartObj>
      </w:sdtPr>
      <w:sdtEndPr>
        <w:rPr>
          <w:bCs/>
          <w:noProof/>
        </w:rPr>
      </w:sdtEndPr>
      <w:sdtContent>
        <w:p w14:paraId="13B31315" w14:textId="360FECDA" w:rsidR="00E329E1" w:rsidRPr="009772A3" w:rsidRDefault="00A07CF7" w:rsidP="005A1B00">
          <w:pPr>
            <w:pStyle w:val="TOCHeading"/>
            <w:spacing w:before="0" w:line="276" w:lineRule="auto"/>
            <w:rPr>
              <w:color w:val="auto"/>
              <w:lang w:val="ro-MD"/>
            </w:rPr>
          </w:pPr>
          <w:r w:rsidRPr="009772A3">
            <w:rPr>
              <w:color w:val="auto"/>
              <w:lang w:val="ro-MD"/>
            </w:rPr>
            <w:t>CUPRINS</w:t>
          </w:r>
          <w:r w:rsidR="008F3D51" w:rsidRPr="009772A3">
            <w:rPr>
              <w:color w:val="auto"/>
              <w:lang w:val="ro-MD"/>
            </w:rPr>
            <w:t xml:space="preserve"> </w:t>
          </w:r>
        </w:p>
        <w:p w14:paraId="61F79938" w14:textId="4023C35E" w:rsidR="00BB2FB1" w:rsidRPr="009772A3" w:rsidRDefault="00E329E1" w:rsidP="005A1B00">
          <w:pPr>
            <w:pStyle w:val="TOC1"/>
            <w:spacing w:after="0" w:line="276" w:lineRule="auto"/>
            <w:rPr>
              <w:rFonts w:asciiTheme="minorHAnsi" w:eastAsiaTheme="minorEastAsia" w:hAnsiTheme="minorHAnsi" w:cstheme="minorBidi"/>
              <w:sz w:val="22"/>
              <w:szCs w:val="22"/>
              <w:lang w:val="ro-MD"/>
            </w:rPr>
          </w:pPr>
          <w:r w:rsidRPr="009772A3">
            <w:rPr>
              <w:sz w:val="22"/>
              <w:szCs w:val="22"/>
              <w:lang w:val="ro-MD"/>
            </w:rPr>
            <w:fldChar w:fldCharType="begin"/>
          </w:r>
          <w:r w:rsidRPr="009772A3">
            <w:rPr>
              <w:sz w:val="22"/>
              <w:szCs w:val="22"/>
              <w:lang w:val="ro-MD"/>
            </w:rPr>
            <w:instrText xml:space="preserve"> TOC \o "1-3" \h \z \u </w:instrText>
          </w:r>
          <w:r w:rsidRPr="009772A3">
            <w:rPr>
              <w:sz w:val="22"/>
              <w:szCs w:val="22"/>
              <w:lang w:val="ro-MD"/>
            </w:rPr>
            <w:fldChar w:fldCharType="separate"/>
          </w:r>
          <w:hyperlink w:anchor="_Toc119496373" w:history="1">
            <w:r w:rsidR="00BB2FB1" w:rsidRPr="009772A3">
              <w:rPr>
                <w:rStyle w:val="Hyperlink"/>
                <w:color w:val="auto"/>
                <w:lang w:val="ro-MD"/>
              </w:rPr>
              <w:t>LISTA ACRONIMELOR</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_Toc119496373 \h </w:instrText>
            </w:r>
            <w:r w:rsidR="00BB2FB1" w:rsidRPr="009772A3">
              <w:rPr>
                <w:webHidden/>
                <w:lang w:val="ro-MD"/>
              </w:rPr>
            </w:r>
            <w:r w:rsidR="00BB2FB1" w:rsidRPr="009772A3">
              <w:rPr>
                <w:webHidden/>
                <w:lang w:val="ro-MD"/>
              </w:rPr>
              <w:fldChar w:fldCharType="separate"/>
            </w:r>
            <w:r w:rsidR="0010513D">
              <w:rPr>
                <w:webHidden/>
                <w:lang w:val="ro-MD"/>
              </w:rPr>
              <w:t>4</w:t>
            </w:r>
            <w:r w:rsidR="00BB2FB1" w:rsidRPr="009772A3">
              <w:rPr>
                <w:webHidden/>
                <w:lang w:val="ro-MD"/>
              </w:rPr>
              <w:fldChar w:fldCharType="end"/>
            </w:r>
          </w:hyperlink>
        </w:p>
        <w:p w14:paraId="72BDD68D" w14:textId="2903207D"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74" w:history="1">
            <w:r w:rsidR="00BB2FB1" w:rsidRPr="009772A3">
              <w:rPr>
                <w:rStyle w:val="Hyperlink"/>
                <w:color w:val="auto"/>
                <w:lang w:val="ro-MD"/>
              </w:rPr>
              <w:t>GLOSAR</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_Toc119496374 \h </w:instrText>
            </w:r>
            <w:r w:rsidR="00BB2FB1" w:rsidRPr="009772A3">
              <w:rPr>
                <w:webHidden/>
                <w:lang w:val="ro-MD"/>
              </w:rPr>
            </w:r>
            <w:r w:rsidR="00BB2FB1" w:rsidRPr="009772A3">
              <w:rPr>
                <w:webHidden/>
                <w:lang w:val="ro-MD"/>
              </w:rPr>
              <w:fldChar w:fldCharType="separate"/>
            </w:r>
            <w:r w:rsidR="0010513D">
              <w:rPr>
                <w:webHidden/>
                <w:lang w:val="ro-MD"/>
              </w:rPr>
              <w:t>4</w:t>
            </w:r>
            <w:r w:rsidR="00BB2FB1" w:rsidRPr="009772A3">
              <w:rPr>
                <w:webHidden/>
                <w:lang w:val="ro-MD"/>
              </w:rPr>
              <w:fldChar w:fldCharType="end"/>
            </w:r>
          </w:hyperlink>
        </w:p>
        <w:p w14:paraId="77DCDDEC" w14:textId="223D44FD"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75" w:history="1">
            <w:r w:rsidR="00BB2FB1" w:rsidRPr="009772A3">
              <w:rPr>
                <w:rStyle w:val="Hyperlink"/>
                <w:color w:val="auto"/>
                <w:lang w:val="ro-MD"/>
              </w:rPr>
              <w:t>I.</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SINTEZA</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_Toc119496375 \h </w:instrText>
            </w:r>
            <w:r w:rsidR="00BB2FB1" w:rsidRPr="009772A3">
              <w:rPr>
                <w:webHidden/>
                <w:lang w:val="ro-MD"/>
              </w:rPr>
            </w:r>
            <w:r w:rsidR="00BB2FB1" w:rsidRPr="009772A3">
              <w:rPr>
                <w:webHidden/>
                <w:lang w:val="ro-MD"/>
              </w:rPr>
              <w:fldChar w:fldCharType="separate"/>
            </w:r>
            <w:r w:rsidR="0010513D">
              <w:rPr>
                <w:webHidden/>
                <w:lang w:val="ro-MD"/>
              </w:rPr>
              <w:t>6</w:t>
            </w:r>
            <w:r w:rsidR="00BB2FB1" w:rsidRPr="009772A3">
              <w:rPr>
                <w:webHidden/>
                <w:lang w:val="ro-MD"/>
              </w:rPr>
              <w:fldChar w:fldCharType="end"/>
            </w:r>
          </w:hyperlink>
        </w:p>
        <w:p w14:paraId="6F3AACEE" w14:textId="41708961"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76" w:history="1">
            <w:r w:rsidR="00BB2FB1" w:rsidRPr="009772A3">
              <w:rPr>
                <w:rStyle w:val="Hyperlink"/>
                <w:color w:val="auto"/>
                <w:lang w:val="ro-MD"/>
              </w:rPr>
              <w:t>II.</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PREZENTAREA GENERALĂ</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_Toc119496376 \h </w:instrText>
            </w:r>
            <w:r w:rsidR="00BB2FB1" w:rsidRPr="009772A3">
              <w:rPr>
                <w:webHidden/>
                <w:lang w:val="ro-MD"/>
              </w:rPr>
            </w:r>
            <w:r w:rsidR="00BB2FB1" w:rsidRPr="009772A3">
              <w:rPr>
                <w:webHidden/>
                <w:lang w:val="ro-MD"/>
              </w:rPr>
              <w:fldChar w:fldCharType="separate"/>
            </w:r>
            <w:r w:rsidR="0010513D">
              <w:rPr>
                <w:webHidden/>
                <w:lang w:val="ro-MD"/>
              </w:rPr>
              <w:t>11</w:t>
            </w:r>
            <w:r w:rsidR="00BB2FB1" w:rsidRPr="009772A3">
              <w:rPr>
                <w:webHidden/>
                <w:lang w:val="ro-MD"/>
              </w:rPr>
              <w:fldChar w:fldCharType="end"/>
            </w:r>
          </w:hyperlink>
        </w:p>
        <w:p w14:paraId="39090C97" w14:textId="31C9155D"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77" w:history="1">
            <w:r w:rsidR="00BB2FB1" w:rsidRPr="009772A3">
              <w:rPr>
                <w:rStyle w:val="Hyperlink"/>
                <w:color w:val="auto"/>
                <w:lang w:val="ro-MD"/>
              </w:rPr>
              <w:t>2.1.</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Guvernanța corporativă a SA Moldovagaz</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_Toc119496377 \h </w:instrText>
            </w:r>
            <w:r w:rsidR="00BB2FB1" w:rsidRPr="009772A3">
              <w:rPr>
                <w:webHidden/>
                <w:lang w:val="ro-MD"/>
              </w:rPr>
            </w:r>
            <w:r w:rsidR="00BB2FB1" w:rsidRPr="009772A3">
              <w:rPr>
                <w:webHidden/>
                <w:lang w:val="ro-MD"/>
              </w:rPr>
              <w:fldChar w:fldCharType="separate"/>
            </w:r>
            <w:r w:rsidR="0010513D">
              <w:rPr>
                <w:webHidden/>
                <w:lang w:val="ro-MD"/>
              </w:rPr>
              <w:t>12</w:t>
            </w:r>
            <w:r w:rsidR="00BB2FB1" w:rsidRPr="009772A3">
              <w:rPr>
                <w:webHidden/>
                <w:lang w:val="ro-MD"/>
              </w:rPr>
              <w:fldChar w:fldCharType="end"/>
            </w:r>
          </w:hyperlink>
        </w:p>
        <w:p w14:paraId="2B34C683" w14:textId="28BBFF59"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78" w:history="1">
            <w:r w:rsidR="00BB2FB1" w:rsidRPr="009772A3">
              <w:rPr>
                <w:rStyle w:val="Hyperlink"/>
                <w:color w:val="auto"/>
                <w:lang w:val="ro-MD"/>
              </w:rPr>
              <w:t>2.2.</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Particularitățile activității SA Moldovagaz</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_Toc119496378 \h </w:instrText>
            </w:r>
            <w:r w:rsidR="00BB2FB1" w:rsidRPr="009772A3">
              <w:rPr>
                <w:webHidden/>
                <w:lang w:val="ro-MD"/>
              </w:rPr>
            </w:r>
            <w:r w:rsidR="00BB2FB1" w:rsidRPr="009772A3">
              <w:rPr>
                <w:webHidden/>
                <w:lang w:val="ro-MD"/>
              </w:rPr>
              <w:fldChar w:fldCharType="separate"/>
            </w:r>
            <w:r w:rsidR="0010513D">
              <w:rPr>
                <w:webHidden/>
                <w:lang w:val="ro-MD"/>
              </w:rPr>
              <w:t>13</w:t>
            </w:r>
            <w:r w:rsidR="00BB2FB1" w:rsidRPr="009772A3">
              <w:rPr>
                <w:webHidden/>
                <w:lang w:val="ro-MD"/>
              </w:rPr>
              <w:fldChar w:fldCharType="end"/>
            </w:r>
          </w:hyperlink>
        </w:p>
        <w:p w14:paraId="22B05846" w14:textId="240F17A9"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79" w:history="1">
            <w:r w:rsidR="00BB2FB1" w:rsidRPr="009772A3">
              <w:rPr>
                <w:rStyle w:val="Hyperlink"/>
                <w:color w:val="auto"/>
                <w:lang w:val="ro-MD" w:eastAsia="zh-CN"/>
              </w:rPr>
              <w:t>2.3.</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Structura corporativă a grupului de întreprinderi ale SA Moldovagaz</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_Toc119496379 \h </w:instrText>
            </w:r>
            <w:r w:rsidR="00BB2FB1" w:rsidRPr="009772A3">
              <w:rPr>
                <w:webHidden/>
                <w:lang w:val="ro-MD"/>
              </w:rPr>
            </w:r>
            <w:r w:rsidR="00BB2FB1" w:rsidRPr="009772A3">
              <w:rPr>
                <w:webHidden/>
                <w:lang w:val="ro-MD"/>
              </w:rPr>
              <w:fldChar w:fldCharType="separate"/>
            </w:r>
            <w:r w:rsidR="0010513D">
              <w:rPr>
                <w:webHidden/>
                <w:lang w:val="ro-MD"/>
              </w:rPr>
              <w:t>13</w:t>
            </w:r>
            <w:r w:rsidR="00BB2FB1" w:rsidRPr="009772A3">
              <w:rPr>
                <w:webHidden/>
                <w:lang w:val="ro-MD"/>
              </w:rPr>
              <w:fldChar w:fldCharType="end"/>
            </w:r>
          </w:hyperlink>
        </w:p>
        <w:p w14:paraId="6237303F" w14:textId="54FF5141"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80" w:history="1">
            <w:r w:rsidR="00BB2FB1" w:rsidRPr="009772A3">
              <w:rPr>
                <w:rStyle w:val="Hyperlink"/>
                <w:color w:val="auto"/>
                <w:lang w:val="ro-MD"/>
              </w:rPr>
              <w:t>2.4.</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Structura patrimonial-financiară a grupului de întreprinderi ale SA Moldovagaz</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_Toc119496380 \h </w:instrText>
            </w:r>
            <w:r w:rsidR="00BB2FB1" w:rsidRPr="009772A3">
              <w:rPr>
                <w:webHidden/>
                <w:lang w:val="ro-MD"/>
              </w:rPr>
            </w:r>
            <w:r w:rsidR="00BB2FB1" w:rsidRPr="009772A3">
              <w:rPr>
                <w:webHidden/>
                <w:lang w:val="ro-MD"/>
              </w:rPr>
              <w:fldChar w:fldCharType="separate"/>
            </w:r>
            <w:r w:rsidR="0010513D">
              <w:rPr>
                <w:webHidden/>
                <w:lang w:val="ro-MD"/>
              </w:rPr>
              <w:t>14</w:t>
            </w:r>
            <w:r w:rsidR="00BB2FB1" w:rsidRPr="009772A3">
              <w:rPr>
                <w:webHidden/>
                <w:lang w:val="ro-MD"/>
              </w:rPr>
              <w:fldChar w:fldCharType="end"/>
            </w:r>
          </w:hyperlink>
        </w:p>
        <w:p w14:paraId="7A42D147" w14:textId="72A320C2"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81" w:history="1">
            <w:r w:rsidR="00BB2FB1" w:rsidRPr="009772A3">
              <w:rPr>
                <w:rStyle w:val="Hyperlink"/>
                <w:color w:val="auto"/>
                <w:lang w:val="ro-MD"/>
              </w:rPr>
              <w:t>III.</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SFERA ȘI ABORDAREA AUDITULUI</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_Toc119496381 \h </w:instrText>
            </w:r>
            <w:r w:rsidR="00BB2FB1" w:rsidRPr="009772A3">
              <w:rPr>
                <w:webHidden/>
                <w:lang w:val="ro-MD"/>
              </w:rPr>
            </w:r>
            <w:r w:rsidR="00BB2FB1" w:rsidRPr="009772A3">
              <w:rPr>
                <w:webHidden/>
                <w:lang w:val="ro-MD"/>
              </w:rPr>
              <w:fldChar w:fldCharType="separate"/>
            </w:r>
            <w:r w:rsidR="0010513D">
              <w:rPr>
                <w:webHidden/>
                <w:lang w:val="ro-MD"/>
              </w:rPr>
              <w:t>14</w:t>
            </w:r>
            <w:r w:rsidR="00BB2FB1" w:rsidRPr="009772A3">
              <w:rPr>
                <w:webHidden/>
                <w:lang w:val="ro-MD"/>
              </w:rPr>
              <w:fldChar w:fldCharType="end"/>
            </w:r>
          </w:hyperlink>
        </w:p>
        <w:p w14:paraId="70637C50" w14:textId="43C0EC5C"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82" w:history="1">
            <w:r w:rsidR="00BB2FB1" w:rsidRPr="009772A3">
              <w:rPr>
                <w:rStyle w:val="Hyperlink"/>
                <w:color w:val="auto"/>
                <w:lang w:val="ro-MD"/>
              </w:rPr>
              <w:t>3.1.</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Mandatul legal și scopul auditului</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_Toc119496382 \h </w:instrText>
            </w:r>
            <w:r w:rsidR="00BB2FB1" w:rsidRPr="009772A3">
              <w:rPr>
                <w:webHidden/>
                <w:lang w:val="ro-MD"/>
              </w:rPr>
            </w:r>
            <w:r w:rsidR="00BB2FB1" w:rsidRPr="009772A3">
              <w:rPr>
                <w:webHidden/>
                <w:lang w:val="ro-MD"/>
              </w:rPr>
              <w:fldChar w:fldCharType="separate"/>
            </w:r>
            <w:r w:rsidR="0010513D">
              <w:rPr>
                <w:webHidden/>
                <w:lang w:val="ro-MD"/>
              </w:rPr>
              <w:t>14</w:t>
            </w:r>
            <w:r w:rsidR="00BB2FB1" w:rsidRPr="009772A3">
              <w:rPr>
                <w:webHidden/>
                <w:lang w:val="ro-MD"/>
              </w:rPr>
              <w:fldChar w:fldCharType="end"/>
            </w:r>
          </w:hyperlink>
        </w:p>
        <w:p w14:paraId="33A4FC14" w14:textId="00F144F9"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83" w:history="1">
            <w:r w:rsidR="00BB2FB1" w:rsidRPr="009772A3">
              <w:rPr>
                <w:rStyle w:val="Hyperlink"/>
                <w:color w:val="auto"/>
                <w:lang w:val="ro-MD"/>
              </w:rPr>
              <w:t>3.2.</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Abordarea auditului</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_Toc119496383 \h </w:instrText>
            </w:r>
            <w:r w:rsidR="00BB2FB1" w:rsidRPr="009772A3">
              <w:rPr>
                <w:webHidden/>
                <w:lang w:val="ro-MD"/>
              </w:rPr>
            </w:r>
            <w:r w:rsidR="00BB2FB1" w:rsidRPr="009772A3">
              <w:rPr>
                <w:webHidden/>
                <w:lang w:val="ro-MD"/>
              </w:rPr>
              <w:fldChar w:fldCharType="separate"/>
            </w:r>
            <w:r w:rsidR="0010513D">
              <w:rPr>
                <w:webHidden/>
                <w:lang w:val="ro-MD"/>
              </w:rPr>
              <w:t>15</w:t>
            </w:r>
            <w:r w:rsidR="00BB2FB1" w:rsidRPr="009772A3">
              <w:rPr>
                <w:webHidden/>
                <w:lang w:val="ro-MD"/>
              </w:rPr>
              <w:fldChar w:fldCharType="end"/>
            </w:r>
          </w:hyperlink>
        </w:p>
        <w:p w14:paraId="5B675E36" w14:textId="2D5CDC5F"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84" w:history="1">
            <w:r w:rsidR="00BB2FB1" w:rsidRPr="009772A3">
              <w:rPr>
                <w:rStyle w:val="Hyperlink"/>
                <w:color w:val="auto"/>
                <w:lang w:val="ro-MD"/>
              </w:rPr>
              <w:t>3.3.</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Responsabilitatea auditorului</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_Toc119496384 \h </w:instrText>
            </w:r>
            <w:r w:rsidR="00BB2FB1" w:rsidRPr="009772A3">
              <w:rPr>
                <w:webHidden/>
                <w:lang w:val="ro-MD"/>
              </w:rPr>
            </w:r>
            <w:r w:rsidR="00BB2FB1" w:rsidRPr="009772A3">
              <w:rPr>
                <w:webHidden/>
                <w:lang w:val="ro-MD"/>
              </w:rPr>
              <w:fldChar w:fldCharType="separate"/>
            </w:r>
            <w:r w:rsidR="0010513D">
              <w:rPr>
                <w:webHidden/>
                <w:lang w:val="ro-MD"/>
              </w:rPr>
              <w:t>17</w:t>
            </w:r>
            <w:r w:rsidR="00BB2FB1" w:rsidRPr="009772A3">
              <w:rPr>
                <w:webHidden/>
                <w:lang w:val="ro-MD"/>
              </w:rPr>
              <w:fldChar w:fldCharType="end"/>
            </w:r>
          </w:hyperlink>
        </w:p>
        <w:p w14:paraId="27961A61" w14:textId="7304285A"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85" w:history="1">
            <w:r w:rsidR="00BB2FB1" w:rsidRPr="009772A3">
              <w:rPr>
                <w:rStyle w:val="Hyperlink"/>
                <w:color w:val="auto"/>
                <w:lang w:val="ro-MD"/>
              </w:rPr>
              <w:t>IV.</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CONSTATĂRI</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_Toc119496385 \h </w:instrText>
            </w:r>
            <w:r w:rsidR="00BB2FB1" w:rsidRPr="009772A3">
              <w:rPr>
                <w:webHidden/>
                <w:lang w:val="ro-MD"/>
              </w:rPr>
            </w:r>
            <w:r w:rsidR="00BB2FB1" w:rsidRPr="009772A3">
              <w:rPr>
                <w:webHidden/>
                <w:lang w:val="ro-MD"/>
              </w:rPr>
              <w:fldChar w:fldCharType="separate"/>
            </w:r>
            <w:r w:rsidR="0010513D">
              <w:rPr>
                <w:webHidden/>
                <w:lang w:val="ro-MD"/>
              </w:rPr>
              <w:t>17</w:t>
            </w:r>
            <w:r w:rsidR="00BB2FB1" w:rsidRPr="009772A3">
              <w:rPr>
                <w:webHidden/>
                <w:lang w:val="ro-MD"/>
              </w:rPr>
              <w:fldChar w:fldCharType="end"/>
            </w:r>
          </w:hyperlink>
        </w:p>
        <w:p w14:paraId="447ED022" w14:textId="0F5115BB"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86" w:history="1">
            <w:r w:rsidR="00BB2FB1" w:rsidRPr="009772A3">
              <w:rPr>
                <w:rStyle w:val="Hyperlink"/>
                <w:color w:val="auto"/>
                <w:lang w:val="ro-MD"/>
              </w:rPr>
              <w:t>4.1.</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Patrimoniul transmis în capitalul social al SA Moldovagaz a fost depus la valoarea justă, iar cotele de participare au fost determinate corect?</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_Toc119496386 \h </w:instrText>
            </w:r>
            <w:r w:rsidR="00BB2FB1" w:rsidRPr="009772A3">
              <w:rPr>
                <w:webHidden/>
                <w:lang w:val="ro-MD"/>
              </w:rPr>
            </w:r>
            <w:r w:rsidR="00BB2FB1" w:rsidRPr="009772A3">
              <w:rPr>
                <w:webHidden/>
                <w:lang w:val="ro-MD"/>
              </w:rPr>
              <w:fldChar w:fldCharType="separate"/>
            </w:r>
            <w:r w:rsidR="0010513D">
              <w:rPr>
                <w:webHidden/>
                <w:lang w:val="ro-MD"/>
              </w:rPr>
              <w:t>17</w:t>
            </w:r>
            <w:r w:rsidR="00BB2FB1" w:rsidRPr="009772A3">
              <w:rPr>
                <w:webHidden/>
                <w:lang w:val="ro-MD"/>
              </w:rPr>
              <w:fldChar w:fldCharType="end"/>
            </w:r>
          </w:hyperlink>
        </w:p>
        <w:p w14:paraId="1B180D16" w14:textId="1DA31388"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398" w:history="1">
            <w:r w:rsidR="00BB2FB1" w:rsidRPr="009772A3">
              <w:rPr>
                <w:rStyle w:val="Hyperlink"/>
                <w:color w:val="auto"/>
                <w:lang w:val="ro-MD"/>
              </w:rPr>
              <w:t>4.2.</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Planificarea, fundamentarea și realizarea investițiilor capitale la întreprinderile de gaze naturale s-a efectuat în conformitate cu reglementările aplicabile în vigoare?</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_Toc119496398 \h </w:instrText>
            </w:r>
            <w:r w:rsidR="00BB2FB1" w:rsidRPr="009772A3">
              <w:rPr>
                <w:webHidden/>
                <w:lang w:val="ro-MD"/>
              </w:rPr>
            </w:r>
            <w:r w:rsidR="00BB2FB1" w:rsidRPr="009772A3">
              <w:rPr>
                <w:webHidden/>
                <w:lang w:val="ro-MD"/>
              </w:rPr>
              <w:fldChar w:fldCharType="separate"/>
            </w:r>
            <w:r w:rsidR="0010513D">
              <w:rPr>
                <w:webHidden/>
                <w:lang w:val="ro-MD"/>
              </w:rPr>
              <w:t>34</w:t>
            </w:r>
            <w:r w:rsidR="00BB2FB1" w:rsidRPr="009772A3">
              <w:rPr>
                <w:webHidden/>
                <w:lang w:val="ro-MD"/>
              </w:rPr>
              <w:fldChar w:fldCharType="end"/>
            </w:r>
          </w:hyperlink>
        </w:p>
        <w:p w14:paraId="0D56E4BB" w14:textId="31522857"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28" w:history="1">
            <w:r w:rsidR="00BB2FB1" w:rsidRPr="009772A3">
              <w:rPr>
                <w:rStyle w:val="Hyperlink"/>
                <w:color w:val="auto"/>
                <w:lang w:val="ro-MD"/>
              </w:rPr>
              <w:t>4.3.</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Planificarea, executarea și raportarea cheltuielilor aferente activității operaționale a întreprinderilor de gaze naturale s-a</w:t>
            </w:r>
            <w:r w:rsidR="009A545D" w:rsidRPr="009772A3">
              <w:rPr>
                <w:rStyle w:val="Hyperlink"/>
                <w:color w:val="auto"/>
                <w:lang w:val="ro-MD"/>
              </w:rPr>
              <w:t>u</w:t>
            </w:r>
            <w:r w:rsidR="00BB2FB1" w:rsidRPr="009772A3">
              <w:rPr>
                <w:rStyle w:val="Hyperlink"/>
                <w:color w:val="auto"/>
                <w:lang w:val="ro-MD"/>
              </w:rPr>
              <w:t xml:space="preserve"> efectuat în baza principiului eficienței maxime la cheltuieli minime?</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_Toc119496428 \h </w:instrText>
            </w:r>
            <w:r w:rsidR="00BB2FB1" w:rsidRPr="009772A3">
              <w:rPr>
                <w:webHidden/>
                <w:lang w:val="ro-MD"/>
              </w:rPr>
            </w:r>
            <w:r w:rsidR="00BB2FB1" w:rsidRPr="009772A3">
              <w:rPr>
                <w:webHidden/>
                <w:lang w:val="ro-MD"/>
              </w:rPr>
              <w:fldChar w:fldCharType="separate"/>
            </w:r>
            <w:r w:rsidR="0010513D">
              <w:rPr>
                <w:webHidden/>
                <w:lang w:val="ro-MD"/>
              </w:rPr>
              <w:t>61</w:t>
            </w:r>
            <w:r w:rsidR="00BB2FB1" w:rsidRPr="009772A3">
              <w:rPr>
                <w:webHidden/>
                <w:lang w:val="ro-MD"/>
              </w:rPr>
              <w:fldChar w:fldCharType="end"/>
            </w:r>
          </w:hyperlink>
        </w:p>
        <w:p w14:paraId="3A8AF6E7" w14:textId="1EFF5A6C"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52" w:history="1">
            <w:r w:rsidR="00BB2FB1" w:rsidRPr="009772A3">
              <w:rPr>
                <w:rStyle w:val="Hyperlink"/>
                <w:color w:val="auto"/>
                <w:lang w:val="ro-MD"/>
              </w:rPr>
              <w:t>4.4.</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Procesul de gestionare a rețelelor de transport și de distribuție a gazelor naturale</w:t>
            </w:r>
            <w:r w:rsidR="00323032" w:rsidRPr="009772A3">
              <w:rPr>
                <w:rStyle w:val="Hyperlink"/>
                <w:color w:val="auto"/>
                <w:lang w:val="ro-MD"/>
              </w:rPr>
              <w:t>,</w:t>
            </w:r>
            <w:r w:rsidR="00BB2FB1" w:rsidRPr="009772A3">
              <w:rPr>
                <w:rStyle w:val="Hyperlink"/>
                <w:color w:val="auto"/>
                <w:lang w:val="ro-MD"/>
              </w:rPr>
              <w:t xml:space="preserve"> transmise către grupul SA Moldovagaz la deservire, asigură evidența și integritatea corespunzătoare a acestor bunuri?</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_Toc119496452 \h </w:instrText>
            </w:r>
            <w:r w:rsidR="00BB2FB1" w:rsidRPr="009772A3">
              <w:rPr>
                <w:webHidden/>
                <w:lang w:val="ro-MD"/>
              </w:rPr>
            </w:r>
            <w:r w:rsidR="00BB2FB1" w:rsidRPr="009772A3">
              <w:rPr>
                <w:webHidden/>
                <w:lang w:val="ro-MD"/>
              </w:rPr>
              <w:fldChar w:fldCharType="separate"/>
            </w:r>
            <w:r w:rsidR="0010513D">
              <w:rPr>
                <w:webHidden/>
                <w:lang w:val="ro-MD"/>
              </w:rPr>
              <w:t>88</w:t>
            </w:r>
            <w:r w:rsidR="00BB2FB1" w:rsidRPr="009772A3">
              <w:rPr>
                <w:webHidden/>
                <w:lang w:val="ro-MD"/>
              </w:rPr>
              <w:fldChar w:fldCharType="end"/>
            </w:r>
          </w:hyperlink>
        </w:p>
        <w:p w14:paraId="35367CFF" w14:textId="1A55C445"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57" w:history="1">
            <w:r w:rsidR="00BB2FB1" w:rsidRPr="009772A3">
              <w:rPr>
                <w:rStyle w:val="Hyperlink"/>
                <w:color w:val="auto"/>
                <w:lang w:val="ro-MD"/>
              </w:rPr>
              <w:t>4.5.</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A fost asigurat un management corespunzător al Societății, pentru maximizarea profiturilor și identificarea soluțiilor fiabile de rambursare a datoriilor, precum și a fost atins scopul stabilit la momentul fondării SA Moldovagaz privind „ameliorarea decontărilor şi reducer</w:t>
            </w:r>
            <w:r w:rsidR="002F7FC4" w:rsidRPr="009772A3">
              <w:rPr>
                <w:rStyle w:val="Hyperlink"/>
                <w:color w:val="auto"/>
                <w:lang w:val="ro-MD"/>
              </w:rPr>
              <w:t>ea</w:t>
            </w:r>
            <w:r w:rsidR="00BB2FB1" w:rsidRPr="009772A3">
              <w:rPr>
                <w:rStyle w:val="Hyperlink"/>
                <w:color w:val="auto"/>
                <w:lang w:val="ro-MD"/>
              </w:rPr>
              <w:t xml:space="preserve"> datoriilor faţă de SA Gazprom</w:t>
            </w:r>
            <w:r w:rsidR="002F7FC4" w:rsidRPr="009772A3">
              <w:rPr>
                <w:rStyle w:val="Hyperlink"/>
                <w:color w:val="auto"/>
                <w:lang w:val="ro-MD"/>
              </w:rPr>
              <w:t>”</w:t>
            </w:r>
            <w:r w:rsidR="00BB2FB1" w:rsidRPr="009772A3">
              <w:rPr>
                <w:rStyle w:val="Hyperlink"/>
                <w:color w:val="auto"/>
                <w:lang w:val="ro-MD"/>
              </w:rPr>
              <w:t>?</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_Toc119496457 \h </w:instrText>
            </w:r>
            <w:r w:rsidR="00BB2FB1" w:rsidRPr="009772A3">
              <w:rPr>
                <w:webHidden/>
                <w:lang w:val="ro-MD"/>
              </w:rPr>
            </w:r>
            <w:r w:rsidR="00BB2FB1" w:rsidRPr="009772A3">
              <w:rPr>
                <w:webHidden/>
                <w:lang w:val="ro-MD"/>
              </w:rPr>
              <w:fldChar w:fldCharType="separate"/>
            </w:r>
            <w:r w:rsidR="0010513D">
              <w:rPr>
                <w:webHidden/>
                <w:lang w:val="ro-MD"/>
              </w:rPr>
              <w:t>92</w:t>
            </w:r>
            <w:r w:rsidR="00BB2FB1" w:rsidRPr="009772A3">
              <w:rPr>
                <w:webHidden/>
                <w:lang w:val="ro-MD"/>
              </w:rPr>
              <w:fldChar w:fldCharType="end"/>
            </w:r>
          </w:hyperlink>
        </w:p>
        <w:p w14:paraId="48D84705" w14:textId="6E833DB2"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71" w:history="1">
            <w:r w:rsidR="00BB2FB1" w:rsidRPr="009772A3">
              <w:rPr>
                <w:rStyle w:val="Hyperlink"/>
                <w:color w:val="auto"/>
                <w:lang w:val="ro-MD"/>
              </w:rPr>
              <w:t>V.</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GUVERNANȚA CORPORATIVĂ</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_Toc119496471 \h </w:instrText>
            </w:r>
            <w:r w:rsidR="00BB2FB1" w:rsidRPr="009772A3">
              <w:rPr>
                <w:webHidden/>
                <w:lang w:val="ro-MD"/>
              </w:rPr>
            </w:r>
            <w:r w:rsidR="00BB2FB1" w:rsidRPr="009772A3">
              <w:rPr>
                <w:webHidden/>
                <w:lang w:val="ro-MD"/>
              </w:rPr>
              <w:fldChar w:fldCharType="separate"/>
            </w:r>
            <w:r w:rsidR="0010513D">
              <w:rPr>
                <w:webHidden/>
                <w:lang w:val="ro-MD"/>
              </w:rPr>
              <w:t>103</w:t>
            </w:r>
            <w:r w:rsidR="00BB2FB1" w:rsidRPr="009772A3">
              <w:rPr>
                <w:webHidden/>
                <w:lang w:val="ro-MD"/>
              </w:rPr>
              <w:fldChar w:fldCharType="end"/>
            </w:r>
          </w:hyperlink>
        </w:p>
        <w:p w14:paraId="1978BF22" w14:textId="4D541291"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77" w:history="1">
            <w:r w:rsidR="00BB2FB1" w:rsidRPr="009772A3">
              <w:rPr>
                <w:rStyle w:val="Hyperlink"/>
                <w:color w:val="auto"/>
                <w:lang w:val="ro-MD"/>
              </w:rPr>
              <w:t>VI.</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CONCLUZIA GENERALĂ</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_Toc119496477 \h </w:instrText>
            </w:r>
            <w:r w:rsidR="00BB2FB1" w:rsidRPr="009772A3">
              <w:rPr>
                <w:webHidden/>
                <w:lang w:val="ro-MD"/>
              </w:rPr>
            </w:r>
            <w:r w:rsidR="00BB2FB1" w:rsidRPr="009772A3">
              <w:rPr>
                <w:webHidden/>
                <w:lang w:val="ro-MD"/>
              </w:rPr>
              <w:fldChar w:fldCharType="separate"/>
            </w:r>
            <w:r w:rsidR="0010513D">
              <w:rPr>
                <w:webHidden/>
                <w:lang w:val="ro-MD"/>
              </w:rPr>
              <w:t>109</w:t>
            </w:r>
            <w:r w:rsidR="00BB2FB1" w:rsidRPr="009772A3">
              <w:rPr>
                <w:webHidden/>
                <w:lang w:val="ro-MD"/>
              </w:rPr>
              <w:fldChar w:fldCharType="end"/>
            </w:r>
          </w:hyperlink>
        </w:p>
        <w:p w14:paraId="484944B5" w14:textId="405C276B"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78" w:history="1">
            <w:r w:rsidR="00BB2FB1" w:rsidRPr="009772A3">
              <w:rPr>
                <w:rStyle w:val="Hyperlink"/>
                <w:color w:val="auto"/>
                <w:lang w:val="ro-MD"/>
              </w:rPr>
              <w:t>VII.</w:t>
            </w:r>
            <w:r w:rsidR="00BB2FB1" w:rsidRPr="009772A3">
              <w:rPr>
                <w:rFonts w:asciiTheme="minorHAnsi" w:eastAsiaTheme="minorEastAsia" w:hAnsiTheme="minorHAnsi" w:cstheme="minorBidi"/>
                <w:sz w:val="22"/>
                <w:szCs w:val="22"/>
                <w:lang w:val="ro-MD"/>
              </w:rPr>
              <w:tab/>
            </w:r>
            <w:r w:rsidR="00BB2FB1" w:rsidRPr="009772A3">
              <w:rPr>
                <w:rStyle w:val="Hyperlink"/>
                <w:color w:val="auto"/>
                <w:lang w:val="ro-MD"/>
              </w:rPr>
              <w:t>RECOMANDĂRI</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_Toc119496478 \h </w:instrText>
            </w:r>
            <w:r w:rsidR="00BB2FB1" w:rsidRPr="009772A3">
              <w:rPr>
                <w:webHidden/>
                <w:lang w:val="ro-MD"/>
              </w:rPr>
            </w:r>
            <w:r w:rsidR="00BB2FB1" w:rsidRPr="009772A3">
              <w:rPr>
                <w:webHidden/>
                <w:lang w:val="ro-MD"/>
              </w:rPr>
              <w:fldChar w:fldCharType="separate"/>
            </w:r>
            <w:r w:rsidR="0010513D">
              <w:rPr>
                <w:webHidden/>
                <w:lang w:val="ro-MD"/>
              </w:rPr>
              <w:t>110</w:t>
            </w:r>
            <w:r w:rsidR="00BB2FB1" w:rsidRPr="009772A3">
              <w:rPr>
                <w:webHidden/>
                <w:lang w:val="ro-MD"/>
              </w:rPr>
              <w:fldChar w:fldCharType="end"/>
            </w:r>
          </w:hyperlink>
        </w:p>
        <w:p w14:paraId="3DDDA6ED" w14:textId="2DDB4E40"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79" w:history="1">
            <w:r w:rsidR="00BB2FB1" w:rsidRPr="009772A3">
              <w:rPr>
                <w:rStyle w:val="Hyperlink"/>
                <w:color w:val="auto"/>
                <w:lang w:val="ro-MD"/>
              </w:rPr>
              <w:t>SEMNĂTURILE ECHIPEI DE AUDIT</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_Toc119496479 \h </w:instrText>
            </w:r>
            <w:r w:rsidR="00BB2FB1" w:rsidRPr="009772A3">
              <w:rPr>
                <w:webHidden/>
                <w:lang w:val="ro-MD"/>
              </w:rPr>
            </w:r>
            <w:r w:rsidR="00BB2FB1" w:rsidRPr="009772A3">
              <w:rPr>
                <w:webHidden/>
                <w:lang w:val="ro-MD"/>
              </w:rPr>
              <w:fldChar w:fldCharType="separate"/>
            </w:r>
            <w:r w:rsidR="0010513D">
              <w:rPr>
                <w:webHidden/>
                <w:lang w:val="ro-MD"/>
              </w:rPr>
              <w:t>111</w:t>
            </w:r>
            <w:r w:rsidR="00BB2FB1" w:rsidRPr="009772A3">
              <w:rPr>
                <w:webHidden/>
                <w:lang w:val="ro-MD"/>
              </w:rPr>
              <w:fldChar w:fldCharType="end"/>
            </w:r>
          </w:hyperlink>
        </w:p>
        <w:p w14:paraId="7B599D66" w14:textId="01E8694D" w:rsidR="00BB2FB1" w:rsidRPr="009772A3" w:rsidRDefault="00ED2ADE" w:rsidP="005A1B00">
          <w:pPr>
            <w:pStyle w:val="TOC1"/>
            <w:spacing w:after="0" w:line="276" w:lineRule="auto"/>
            <w:rPr>
              <w:rFonts w:asciiTheme="minorHAnsi" w:eastAsiaTheme="minorEastAsia" w:hAnsiTheme="minorHAnsi" w:cstheme="minorBidi"/>
              <w:sz w:val="22"/>
              <w:szCs w:val="22"/>
              <w:lang w:val="ro-MD"/>
            </w:rPr>
          </w:pPr>
          <w:hyperlink w:anchor="_Toc119496480" w:history="1">
            <w:r w:rsidR="00BB2FB1" w:rsidRPr="009772A3">
              <w:rPr>
                <w:rStyle w:val="Hyperlink"/>
                <w:color w:val="auto"/>
                <w:lang w:val="ro-MD"/>
              </w:rPr>
              <w:t>ANEXE</w:t>
            </w:r>
            <w:r w:rsidR="00BB2FB1" w:rsidRPr="009772A3">
              <w:rPr>
                <w:webHidden/>
                <w:lang w:val="ro-MD"/>
              </w:rPr>
              <w:tab/>
            </w:r>
            <w:r w:rsidR="00BB2FB1" w:rsidRPr="009772A3">
              <w:rPr>
                <w:webHidden/>
                <w:lang w:val="ro-MD"/>
              </w:rPr>
              <w:fldChar w:fldCharType="begin"/>
            </w:r>
            <w:r w:rsidR="00BB2FB1" w:rsidRPr="009772A3">
              <w:rPr>
                <w:webHidden/>
                <w:lang w:val="ro-MD"/>
              </w:rPr>
              <w:instrText xml:space="preserve"> PAGEREF _Toc119496480 \h </w:instrText>
            </w:r>
            <w:r w:rsidR="00BB2FB1" w:rsidRPr="009772A3">
              <w:rPr>
                <w:webHidden/>
                <w:lang w:val="ro-MD"/>
              </w:rPr>
            </w:r>
            <w:r w:rsidR="00BB2FB1" w:rsidRPr="009772A3">
              <w:rPr>
                <w:webHidden/>
                <w:lang w:val="ro-MD"/>
              </w:rPr>
              <w:fldChar w:fldCharType="separate"/>
            </w:r>
            <w:r w:rsidR="0010513D">
              <w:rPr>
                <w:webHidden/>
                <w:lang w:val="ro-MD"/>
              </w:rPr>
              <w:t>112</w:t>
            </w:r>
            <w:r w:rsidR="00BB2FB1" w:rsidRPr="009772A3">
              <w:rPr>
                <w:webHidden/>
                <w:lang w:val="ro-MD"/>
              </w:rPr>
              <w:fldChar w:fldCharType="end"/>
            </w:r>
          </w:hyperlink>
        </w:p>
        <w:p w14:paraId="37F840F3" w14:textId="1A5EE3FF"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1" w:history="1">
            <w:r w:rsidR="00BB2FB1" w:rsidRPr="009772A3">
              <w:rPr>
                <w:rStyle w:val="Hyperlink"/>
                <w:noProof/>
                <w:color w:val="auto"/>
                <w:lang w:val="ro-MD"/>
              </w:rPr>
              <w:t>Anexa nr.1.1 Responsabilitățile</w:t>
            </w:r>
            <w:r w:rsidR="00BB2FB1" w:rsidRPr="009772A3">
              <w:rPr>
                <w:rStyle w:val="Hyperlink"/>
                <w:rFonts w:cstheme="majorHAnsi"/>
                <w:noProof/>
                <w:color w:val="auto"/>
                <w:lang w:val="ro-MD"/>
              </w:rPr>
              <w:t xml:space="preserve"> organelor de conducere și control a SA Moldovagaz</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_Toc119496481 \h </w:instrText>
            </w:r>
            <w:r w:rsidR="00BB2FB1" w:rsidRPr="009772A3">
              <w:rPr>
                <w:noProof/>
                <w:webHidden/>
                <w:lang w:val="ro-MD"/>
              </w:rPr>
            </w:r>
            <w:r w:rsidR="00BB2FB1" w:rsidRPr="009772A3">
              <w:rPr>
                <w:noProof/>
                <w:webHidden/>
                <w:lang w:val="ro-MD"/>
              </w:rPr>
              <w:fldChar w:fldCharType="separate"/>
            </w:r>
            <w:r w:rsidR="0010513D">
              <w:rPr>
                <w:noProof/>
                <w:webHidden/>
                <w:lang w:val="ro-MD"/>
              </w:rPr>
              <w:t>112</w:t>
            </w:r>
            <w:r w:rsidR="00BB2FB1" w:rsidRPr="009772A3">
              <w:rPr>
                <w:noProof/>
                <w:webHidden/>
                <w:lang w:val="ro-MD"/>
              </w:rPr>
              <w:fldChar w:fldCharType="end"/>
            </w:r>
          </w:hyperlink>
        </w:p>
        <w:p w14:paraId="49E07D86" w14:textId="2C5845E0"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2" w:history="1">
            <w:r w:rsidR="00BB2FB1" w:rsidRPr="009772A3">
              <w:rPr>
                <w:rStyle w:val="Hyperlink"/>
                <w:noProof/>
                <w:color w:val="auto"/>
                <w:lang w:val="ro-MD"/>
              </w:rPr>
              <w:t>Anexa nr.1.2. Responsabilitățile</w:t>
            </w:r>
            <w:r w:rsidR="00BB2FB1" w:rsidRPr="009772A3">
              <w:rPr>
                <w:rStyle w:val="Hyperlink"/>
                <w:rFonts w:cstheme="majorHAnsi"/>
                <w:noProof/>
                <w:color w:val="auto"/>
                <w:lang w:val="ro-MD"/>
              </w:rPr>
              <w:t xml:space="preserve"> ANRE în domeniul de reglementare a preţurilor şi a tarifelor</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_Toc119496482 \h </w:instrText>
            </w:r>
            <w:r w:rsidR="00BB2FB1" w:rsidRPr="009772A3">
              <w:rPr>
                <w:noProof/>
                <w:webHidden/>
                <w:lang w:val="ro-MD"/>
              </w:rPr>
            </w:r>
            <w:r w:rsidR="00BB2FB1" w:rsidRPr="009772A3">
              <w:rPr>
                <w:noProof/>
                <w:webHidden/>
                <w:lang w:val="ro-MD"/>
              </w:rPr>
              <w:fldChar w:fldCharType="separate"/>
            </w:r>
            <w:r w:rsidR="0010513D">
              <w:rPr>
                <w:noProof/>
                <w:webHidden/>
                <w:lang w:val="ro-MD"/>
              </w:rPr>
              <w:t>113</w:t>
            </w:r>
            <w:r w:rsidR="00BB2FB1" w:rsidRPr="009772A3">
              <w:rPr>
                <w:noProof/>
                <w:webHidden/>
                <w:lang w:val="ro-MD"/>
              </w:rPr>
              <w:fldChar w:fldCharType="end"/>
            </w:r>
          </w:hyperlink>
        </w:p>
        <w:p w14:paraId="443C4FF3" w14:textId="5C4C8B16"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3" w:history="1">
            <w:r w:rsidR="00BB2FB1" w:rsidRPr="009772A3">
              <w:rPr>
                <w:rStyle w:val="Hyperlink"/>
                <w:noProof/>
                <w:color w:val="auto"/>
                <w:lang w:val="ro-MD"/>
              </w:rPr>
              <w:t>Anexa nr.2. Structura corporativă a grupului de întreprinderi ale SA Moldovagaz</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_Toc119496483 \h </w:instrText>
            </w:r>
            <w:r w:rsidR="00BB2FB1" w:rsidRPr="009772A3">
              <w:rPr>
                <w:noProof/>
                <w:webHidden/>
                <w:lang w:val="ro-MD"/>
              </w:rPr>
            </w:r>
            <w:r w:rsidR="00BB2FB1" w:rsidRPr="009772A3">
              <w:rPr>
                <w:noProof/>
                <w:webHidden/>
                <w:lang w:val="ro-MD"/>
              </w:rPr>
              <w:fldChar w:fldCharType="separate"/>
            </w:r>
            <w:r w:rsidR="0010513D">
              <w:rPr>
                <w:noProof/>
                <w:webHidden/>
                <w:lang w:val="ro-MD"/>
              </w:rPr>
              <w:t>114</w:t>
            </w:r>
            <w:r w:rsidR="00BB2FB1" w:rsidRPr="009772A3">
              <w:rPr>
                <w:noProof/>
                <w:webHidden/>
                <w:lang w:val="ro-MD"/>
              </w:rPr>
              <w:fldChar w:fldCharType="end"/>
            </w:r>
          </w:hyperlink>
        </w:p>
        <w:p w14:paraId="58D4080D" w14:textId="49F65076"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4" w:history="1">
            <w:r w:rsidR="00BB2FB1" w:rsidRPr="009772A3">
              <w:rPr>
                <w:rStyle w:val="Hyperlink"/>
                <w:noProof/>
                <w:color w:val="auto"/>
                <w:lang w:val="ro-MD"/>
              </w:rPr>
              <w:t>Anexa nr.3. Structura patrimonial-financiară a grupului de întreprinderi ale SA Moldovagaz</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_Toc119496484 \h </w:instrText>
            </w:r>
            <w:r w:rsidR="00BB2FB1" w:rsidRPr="009772A3">
              <w:rPr>
                <w:noProof/>
                <w:webHidden/>
                <w:lang w:val="ro-MD"/>
              </w:rPr>
            </w:r>
            <w:r w:rsidR="00BB2FB1" w:rsidRPr="009772A3">
              <w:rPr>
                <w:noProof/>
                <w:webHidden/>
                <w:lang w:val="ro-MD"/>
              </w:rPr>
              <w:fldChar w:fldCharType="separate"/>
            </w:r>
            <w:r w:rsidR="0010513D">
              <w:rPr>
                <w:noProof/>
                <w:webHidden/>
                <w:lang w:val="ro-MD"/>
              </w:rPr>
              <w:t>115</w:t>
            </w:r>
            <w:r w:rsidR="00BB2FB1" w:rsidRPr="009772A3">
              <w:rPr>
                <w:noProof/>
                <w:webHidden/>
                <w:lang w:val="ro-MD"/>
              </w:rPr>
              <w:fldChar w:fldCharType="end"/>
            </w:r>
          </w:hyperlink>
        </w:p>
        <w:p w14:paraId="5945AE57" w14:textId="5CB60288"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5" w:history="1">
            <w:r w:rsidR="00BB2FB1" w:rsidRPr="009772A3">
              <w:rPr>
                <w:rStyle w:val="Hyperlink"/>
                <w:noProof/>
                <w:color w:val="auto"/>
                <w:lang w:val="ro-MD"/>
              </w:rPr>
              <w:t>Anexa nr.4. Sursele criteriilor de evaluare</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_Toc119496485 \h </w:instrText>
            </w:r>
            <w:r w:rsidR="00BB2FB1" w:rsidRPr="009772A3">
              <w:rPr>
                <w:noProof/>
                <w:webHidden/>
                <w:lang w:val="ro-MD"/>
              </w:rPr>
            </w:r>
            <w:r w:rsidR="00BB2FB1" w:rsidRPr="009772A3">
              <w:rPr>
                <w:noProof/>
                <w:webHidden/>
                <w:lang w:val="ro-MD"/>
              </w:rPr>
              <w:fldChar w:fldCharType="separate"/>
            </w:r>
            <w:r w:rsidR="0010513D">
              <w:rPr>
                <w:noProof/>
                <w:webHidden/>
                <w:lang w:val="ro-MD"/>
              </w:rPr>
              <w:t>123</w:t>
            </w:r>
            <w:r w:rsidR="00BB2FB1" w:rsidRPr="009772A3">
              <w:rPr>
                <w:noProof/>
                <w:webHidden/>
                <w:lang w:val="ro-MD"/>
              </w:rPr>
              <w:fldChar w:fldCharType="end"/>
            </w:r>
          </w:hyperlink>
        </w:p>
        <w:p w14:paraId="613E34B7" w14:textId="4519F20A"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6" w:history="1">
            <w:r w:rsidR="00BB2FB1" w:rsidRPr="009772A3">
              <w:rPr>
                <w:rStyle w:val="Hyperlink"/>
                <w:noProof/>
                <w:color w:val="auto"/>
                <w:lang w:val="ro-MD"/>
              </w:rPr>
              <w:t>Anexa nr.5. Informații din actele de verificare privind decontările reciproce dintre SA Gazprom, SA Moldovagaz și SRL Tiraspoltransgaz</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_Toc119496486 \h </w:instrText>
            </w:r>
            <w:r w:rsidR="00BB2FB1" w:rsidRPr="009772A3">
              <w:rPr>
                <w:noProof/>
                <w:webHidden/>
                <w:lang w:val="ro-MD"/>
              </w:rPr>
            </w:r>
            <w:r w:rsidR="00BB2FB1" w:rsidRPr="009772A3">
              <w:rPr>
                <w:noProof/>
                <w:webHidden/>
                <w:lang w:val="ro-MD"/>
              </w:rPr>
              <w:fldChar w:fldCharType="separate"/>
            </w:r>
            <w:r w:rsidR="0010513D">
              <w:rPr>
                <w:noProof/>
                <w:webHidden/>
                <w:lang w:val="ro-MD"/>
              </w:rPr>
              <w:t>126</w:t>
            </w:r>
            <w:r w:rsidR="00BB2FB1" w:rsidRPr="009772A3">
              <w:rPr>
                <w:noProof/>
                <w:webHidden/>
                <w:lang w:val="ro-MD"/>
              </w:rPr>
              <w:fldChar w:fldCharType="end"/>
            </w:r>
          </w:hyperlink>
        </w:p>
        <w:p w14:paraId="2A794D03" w14:textId="04790945"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7" w:history="1">
            <w:r w:rsidR="00BB2FB1" w:rsidRPr="009772A3">
              <w:rPr>
                <w:rStyle w:val="Hyperlink"/>
                <w:noProof/>
                <w:color w:val="auto"/>
                <w:lang w:val="ro-MD"/>
              </w:rPr>
              <w:t>Anexa nr.6. Informația privind valoarea investițiilor realizate de către întreprinderile din sistemul gazelor naturale în perioada 2011-2021, acceptate și neacceptate de către ANRE spre recuperare prin tarif</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_Toc119496487 \h </w:instrText>
            </w:r>
            <w:r w:rsidR="00BB2FB1" w:rsidRPr="009772A3">
              <w:rPr>
                <w:noProof/>
                <w:webHidden/>
                <w:lang w:val="ro-MD"/>
              </w:rPr>
            </w:r>
            <w:r w:rsidR="00BB2FB1" w:rsidRPr="009772A3">
              <w:rPr>
                <w:noProof/>
                <w:webHidden/>
                <w:lang w:val="ro-MD"/>
              </w:rPr>
              <w:fldChar w:fldCharType="separate"/>
            </w:r>
            <w:r w:rsidR="0010513D">
              <w:rPr>
                <w:noProof/>
                <w:webHidden/>
                <w:lang w:val="ro-MD"/>
              </w:rPr>
              <w:t>131</w:t>
            </w:r>
            <w:r w:rsidR="00BB2FB1" w:rsidRPr="009772A3">
              <w:rPr>
                <w:noProof/>
                <w:webHidden/>
                <w:lang w:val="ro-MD"/>
              </w:rPr>
              <w:fldChar w:fldCharType="end"/>
            </w:r>
          </w:hyperlink>
        </w:p>
        <w:p w14:paraId="0A8C4196" w14:textId="465E2DED"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8" w:history="1">
            <w:r w:rsidR="00BB2FB1" w:rsidRPr="009772A3">
              <w:rPr>
                <w:rStyle w:val="Hyperlink"/>
                <w:noProof/>
                <w:color w:val="auto"/>
                <w:lang w:val="ro-MD"/>
              </w:rPr>
              <w:t xml:space="preserve">Anexa nr.7. Informații </w:t>
            </w:r>
            <w:r w:rsidR="00BB2FB1" w:rsidRPr="009772A3">
              <w:rPr>
                <w:rStyle w:val="Hyperlink"/>
                <w:rFonts w:cstheme="majorHAnsi"/>
                <w:noProof/>
                <w:color w:val="auto"/>
                <w:lang w:val="ro-MD"/>
              </w:rPr>
              <w:t>privind pierderile de gaze naturale ale operatorilor sistemelor de distribuție în anii 2011 – 2021</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_Toc119496488 \h </w:instrText>
            </w:r>
            <w:r w:rsidR="00BB2FB1" w:rsidRPr="009772A3">
              <w:rPr>
                <w:noProof/>
                <w:webHidden/>
                <w:lang w:val="ro-MD"/>
              </w:rPr>
            </w:r>
            <w:r w:rsidR="00BB2FB1" w:rsidRPr="009772A3">
              <w:rPr>
                <w:noProof/>
                <w:webHidden/>
                <w:lang w:val="ro-MD"/>
              </w:rPr>
              <w:fldChar w:fldCharType="separate"/>
            </w:r>
            <w:r w:rsidR="0010513D">
              <w:rPr>
                <w:noProof/>
                <w:webHidden/>
                <w:lang w:val="ro-MD"/>
              </w:rPr>
              <w:t>135</w:t>
            </w:r>
            <w:r w:rsidR="00BB2FB1" w:rsidRPr="009772A3">
              <w:rPr>
                <w:noProof/>
                <w:webHidden/>
                <w:lang w:val="ro-MD"/>
              </w:rPr>
              <w:fldChar w:fldCharType="end"/>
            </w:r>
          </w:hyperlink>
        </w:p>
        <w:p w14:paraId="41BCD4A2" w14:textId="5601E1AE"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89" w:history="1">
            <w:r w:rsidR="00BB2FB1" w:rsidRPr="009772A3">
              <w:rPr>
                <w:rStyle w:val="Hyperlink"/>
                <w:noProof/>
                <w:color w:val="auto"/>
                <w:lang w:val="ro-MD"/>
              </w:rPr>
              <w:t>Anexa nr.8. Informații privind cheltuielile privind remunerarea muncii acceptate de ANRE în scopuri tarifare</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_Toc119496489 \h </w:instrText>
            </w:r>
            <w:r w:rsidR="00BB2FB1" w:rsidRPr="009772A3">
              <w:rPr>
                <w:noProof/>
                <w:webHidden/>
                <w:lang w:val="ro-MD"/>
              </w:rPr>
            </w:r>
            <w:r w:rsidR="00BB2FB1" w:rsidRPr="009772A3">
              <w:rPr>
                <w:noProof/>
                <w:webHidden/>
                <w:lang w:val="ro-MD"/>
              </w:rPr>
              <w:fldChar w:fldCharType="separate"/>
            </w:r>
            <w:r w:rsidR="0010513D">
              <w:rPr>
                <w:noProof/>
                <w:webHidden/>
                <w:lang w:val="ro-MD"/>
              </w:rPr>
              <w:t>136</w:t>
            </w:r>
            <w:r w:rsidR="00BB2FB1" w:rsidRPr="009772A3">
              <w:rPr>
                <w:noProof/>
                <w:webHidden/>
                <w:lang w:val="ro-MD"/>
              </w:rPr>
              <w:fldChar w:fldCharType="end"/>
            </w:r>
          </w:hyperlink>
        </w:p>
        <w:p w14:paraId="04362D16" w14:textId="1C582136"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90" w:history="1">
            <w:r w:rsidR="00BB2FB1" w:rsidRPr="009772A3">
              <w:rPr>
                <w:rStyle w:val="Hyperlink"/>
                <w:noProof/>
                <w:color w:val="auto"/>
                <w:lang w:val="ro-MD"/>
              </w:rPr>
              <w:t>Anexa nr.9. Informații privind evoluția datoriei SA Moldovagaz față de SA Gazprom</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_Toc119496490 \h </w:instrText>
            </w:r>
            <w:r w:rsidR="00BB2FB1" w:rsidRPr="009772A3">
              <w:rPr>
                <w:noProof/>
                <w:webHidden/>
                <w:lang w:val="ro-MD"/>
              </w:rPr>
            </w:r>
            <w:r w:rsidR="00BB2FB1" w:rsidRPr="009772A3">
              <w:rPr>
                <w:noProof/>
                <w:webHidden/>
                <w:lang w:val="ro-MD"/>
              </w:rPr>
              <w:fldChar w:fldCharType="separate"/>
            </w:r>
            <w:r w:rsidR="0010513D">
              <w:rPr>
                <w:noProof/>
                <w:webHidden/>
                <w:lang w:val="ro-MD"/>
              </w:rPr>
              <w:t>138</w:t>
            </w:r>
            <w:r w:rsidR="00BB2FB1" w:rsidRPr="009772A3">
              <w:rPr>
                <w:noProof/>
                <w:webHidden/>
                <w:lang w:val="ro-MD"/>
              </w:rPr>
              <w:fldChar w:fldCharType="end"/>
            </w:r>
          </w:hyperlink>
        </w:p>
        <w:p w14:paraId="2D6C5D7D" w14:textId="7AC7C9AE"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91" w:history="1">
            <w:r w:rsidR="00BB2FB1" w:rsidRPr="009772A3">
              <w:rPr>
                <w:rStyle w:val="Hyperlink"/>
                <w:noProof/>
                <w:color w:val="auto"/>
                <w:lang w:val="ro-MD"/>
              </w:rPr>
              <w:t>Anexa nr.10. Informații privind factorii ce au influențat neachitarea consumului curent al gazelor naturale în anii 2011 – 2021</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_Toc119496491 \h </w:instrText>
            </w:r>
            <w:r w:rsidR="00BB2FB1" w:rsidRPr="009772A3">
              <w:rPr>
                <w:noProof/>
                <w:webHidden/>
                <w:lang w:val="ro-MD"/>
              </w:rPr>
            </w:r>
            <w:r w:rsidR="00BB2FB1" w:rsidRPr="009772A3">
              <w:rPr>
                <w:noProof/>
                <w:webHidden/>
                <w:lang w:val="ro-MD"/>
              </w:rPr>
              <w:fldChar w:fldCharType="separate"/>
            </w:r>
            <w:r w:rsidR="0010513D">
              <w:rPr>
                <w:noProof/>
                <w:webHidden/>
                <w:lang w:val="ro-MD"/>
              </w:rPr>
              <w:t>139</w:t>
            </w:r>
            <w:r w:rsidR="00BB2FB1" w:rsidRPr="009772A3">
              <w:rPr>
                <w:noProof/>
                <w:webHidden/>
                <w:lang w:val="ro-MD"/>
              </w:rPr>
              <w:fldChar w:fldCharType="end"/>
            </w:r>
          </w:hyperlink>
        </w:p>
        <w:p w14:paraId="314B5C9A" w14:textId="1578B019" w:rsidR="00BB2FB1" w:rsidRPr="009772A3" w:rsidRDefault="00ED2ADE" w:rsidP="005A1B00">
          <w:pPr>
            <w:pStyle w:val="TOC2"/>
            <w:tabs>
              <w:tab w:val="right" w:leader="dot" w:pos="9344"/>
            </w:tabs>
            <w:spacing w:after="0" w:line="276" w:lineRule="auto"/>
            <w:rPr>
              <w:rFonts w:eastAsiaTheme="minorEastAsia"/>
              <w:noProof/>
              <w:lang w:val="ro-MD"/>
            </w:rPr>
          </w:pPr>
          <w:hyperlink w:anchor="_Toc119496492" w:history="1">
            <w:r w:rsidR="00BB2FB1" w:rsidRPr="009772A3">
              <w:rPr>
                <w:rStyle w:val="Hyperlink"/>
                <w:noProof/>
                <w:color w:val="auto"/>
                <w:lang w:val="ro-MD"/>
              </w:rPr>
              <w:t>Anexa nr.11. Informații privind cheltuielile ce nu țin de activitatea de întreprinzător, în perioada 2011 - 2021</w:t>
            </w:r>
            <w:r w:rsidR="00BB2FB1" w:rsidRPr="009772A3">
              <w:rPr>
                <w:noProof/>
                <w:webHidden/>
                <w:lang w:val="ro-MD"/>
              </w:rPr>
              <w:tab/>
            </w:r>
            <w:r w:rsidR="00BB2FB1" w:rsidRPr="009772A3">
              <w:rPr>
                <w:noProof/>
                <w:webHidden/>
                <w:lang w:val="ro-MD"/>
              </w:rPr>
              <w:fldChar w:fldCharType="begin"/>
            </w:r>
            <w:r w:rsidR="00BB2FB1" w:rsidRPr="009772A3">
              <w:rPr>
                <w:noProof/>
                <w:webHidden/>
                <w:lang w:val="ro-MD"/>
              </w:rPr>
              <w:instrText xml:space="preserve"> PAGEREF _Toc119496492 \h </w:instrText>
            </w:r>
            <w:r w:rsidR="00BB2FB1" w:rsidRPr="009772A3">
              <w:rPr>
                <w:noProof/>
                <w:webHidden/>
                <w:lang w:val="ro-MD"/>
              </w:rPr>
            </w:r>
            <w:r w:rsidR="00BB2FB1" w:rsidRPr="009772A3">
              <w:rPr>
                <w:noProof/>
                <w:webHidden/>
                <w:lang w:val="ro-MD"/>
              </w:rPr>
              <w:fldChar w:fldCharType="separate"/>
            </w:r>
            <w:r w:rsidR="0010513D">
              <w:rPr>
                <w:noProof/>
                <w:webHidden/>
                <w:lang w:val="ro-MD"/>
              </w:rPr>
              <w:t>140</w:t>
            </w:r>
            <w:r w:rsidR="00BB2FB1" w:rsidRPr="009772A3">
              <w:rPr>
                <w:noProof/>
                <w:webHidden/>
                <w:lang w:val="ro-MD"/>
              </w:rPr>
              <w:fldChar w:fldCharType="end"/>
            </w:r>
          </w:hyperlink>
        </w:p>
        <w:p w14:paraId="7F153CC6" w14:textId="545BD497" w:rsidR="00E329E1" w:rsidRPr="009772A3" w:rsidRDefault="00E329E1" w:rsidP="005A1B00">
          <w:pPr>
            <w:spacing w:after="0" w:line="276" w:lineRule="auto"/>
            <w:rPr>
              <w:lang w:val="ro-MD"/>
            </w:rPr>
          </w:pPr>
          <w:r w:rsidRPr="009772A3">
            <w:rPr>
              <w:b/>
              <w:bCs/>
              <w:noProof/>
              <w:lang w:val="ro-MD"/>
            </w:rPr>
            <w:fldChar w:fldCharType="end"/>
          </w:r>
        </w:p>
      </w:sdtContent>
    </w:sdt>
    <w:p w14:paraId="21E9DEDE" w14:textId="77777777" w:rsidR="007048D5" w:rsidRPr="009772A3" w:rsidRDefault="007048D5">
      <w:pPr>
        <w:spacing w:line="259" w:lineRule="auto"/>
        <w:rPr>
          <w:rFonts w:asciiTheme="majorHAnsi" w:hAnsiTheme="majorHAnsi" w:cstheme="majorHAnsi"/>
          <w:noProof/>
          <w:sz w:val="16"/>
          <w:szCs w:val="16"/>
          <w:lang w:val="ro-MD"/>
        </w:rPr>
      </w:pPr>
    </w:p>
    <w:p w14:paraId="5DE21094" w14:textId="77777777" w:rsidR="007048D5" w:rsidRPr="009772A3" w:rsidRDefault="007048D5">
      <w:pPr>
        <w:spacing w:line="259" w:lineRule="auto"/>
        <w:rPr>
          <w:rFonts w:asciiTheme="majorHAnsi" w:hAnsiTheme="majorHAnsi" w:cstheme="majorHAnsi"/>
          <w:noProof/>
          <w:sz w:val="16"/>
          <w:szCs w:val="16"/>
          <w:lang w:val="ro-MD"/>
        </w:rPr>
      </w:pPr>
    </w:p>
    <w:p w14:paraId="6CC97E20" w14:textId="1590BE9F" w:rsidR="00E329E1" w:rsidRPr="009772A3" w:rsidRDefault="00E329E1">
      <w:pPr>
        <w:spacing w:line="259" w:lineRule="auto"/>
        <w:rPr>
          <w:rFonts w:asciiTheme="majorHAnsi" w:eastAsiaTheme="majorEastAsia" w:hAnsiTheme="majorHAnsi" w:cstheme="majorBidi"/>
          <w:b/>
          <w:sz w:val="24"/>
          <w:szCs w:val="24"/>
          <w:lang w:val="ro-MD"/>
        </w:rPr>
      </w:pPr>
      <w:r w:rsidRPr="009772A3">
        <w:rPr>
          <w:sz w:val="24"/>
          <w:szCs w:val="24"/>
          <w:lang w:val="ro-MD"/>
        </w:rPr>
        <w:br w:type="page"/>
      </w:r>
    </w:p>
    <w:p w14:paraId="08F877C2" w14:textId="0559E071" w:rsidR="00700D79" w:rsidRPr="009772A3" w:rsidRDefault="00C41726" w:rsidP="00C41726">
      <w:pPr>
        <w:pStyle w:val="Heading1"/>
        <w:spacing w:line="276" w:lineRule="auto"/>
        <w:jc w:val="left"/>
        <w:rPr>
          <w:color w:val="auto"/>
          <w:sz w:val="28"/>
          <w:lang w:val="ro-MD"/>
        </w:rPr>
      </w:pPr>
      <w:bookmarkStart w:id="2" w:name="_Toc119496373"/>
      <w:r w:rsidRPr="009772A3">
        <w:rPr>
          <w:color w:val="auto"/>
          <w:sz w:val="28"/>
          <w:lang w:val="ro-MD"/>
        </w:rPr>
        <w:t>LISTA ACRONIMELOR</w:t>
      </w:r>
      <w:bookmarkEnd w:id="1"/>
      <w:bookmarkEnd w:id="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7952"/>
      </w:tblGrid>
      <w:tr w:rsidR="009772A3" w:rsidRPr="009772A3" w14:paraId="3E7EF29E" w14:textId="77777777" w:rsidTr="009772A3">
        <w:trPr>
          <w:trHeight w:val="283"/>
        </w:trPr>
        <w:tc>
          <w:tcPr>
            <w:tcW w:w="1262" w:type="dxa"/>
            <w:shd w:val="clear" w:color="auto" w:fill="auto"/>
            <w:noWrap/>
            <w:vAlign w:val="bottom"/>
            <w:hideMark/>
          </w:tcPr>
          <w:p w14:paraId="21931D7D"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AAPL</w:t>
            </w:r>
          </w:p>
        </w:tc>
        <w:tc>
          <w:tcPr>
            <w:tcW w:w="7952" w:type="dxa"/>
            <w:shd w:val="clear" w:color="auto" w:fill="auto"/>
            <w:noWrap/>
            <w:vAlign w:val="bottom"/>
            <w:hideMark/>
          </w:tcPr>
          <w:p w14:paraId="23DF0992" w14:textId="0DC52FFA"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Autorități ale Administrației Publice Locale</w:t>
            </w:r>
          </w:p>
        </w:tc>
      </w:tr>
      <w:tr w:rsidR="00755557" w:rsidRPr="009772A3" w14:paraId="054BA6CB" w14:textId="77777777" w:rsidTr="00755557">
        <w:trPr>
          <w:trHeight w:val="283"/>
        </w:trPr>
        <w:tc>
          <w:tcPr>
            <w:tcW w:w="1262" w:type="dxa"/>
            <w:shd w:val="clear" w:color="auto" w:fill="auto"/>
            <w:noWrap/>
            <w:vAlign w:val="bottom"/>
            <w:hideMark/>
          </w:tcPr>
          <w:p w14:paraId="1B6394A7"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bookmarkStart w:id="3" w:name="_Toc47338761"/>
            <w:bookmarkStart w:id="4" w:name="_Toc119496374"/>
            <w:r w:rsidRPr="009772A3">
              <w:rPr>
                <w:rFonts w:asciiTheme="majorHAnsi" w:eastAsia="Times New Roman" w:hAnsiTheme="majorHAnsi" w:cstheme="majorHAnsi"/>
                <w:sz w:val="24"/>
                <w:szCs w:val="24"/>
                <w:lang w:val="ro-MD"/>
              </w:rPr>
              <w:t>ANRE</w:t>
            </w:r>
          </w:p>
        </w:tc>
        <w:tc>
          <w:tcPr>
            <w:tcW w:w="7952" w:type="dxa"/>
            <w:shd w:val="clear" w:color="auto" w:fill="auto"/>
            <w:noWrap/>
            <w:vAlign w:val="bottom"/>
            <w:hideMark/>
          </w:tcPr>
          <w:p w14:paraId="564A8E8D"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Agenția Națională pentru Reglementare în Energetică</w:t>
            </w:r>
          </w:p>
        </w:tc>
      </w:tr>
      <w:tr w:rsidR="009772A3" w:rsidRPr="009772A3" w14:paraId="23D460AA" w14:textId="77777777" w:rsidTr="009772A3">
        <w:trPr>
          <w:trHeight w:val="283"/>
        </w:trPr>
        <w:tc>
          <w:tcPr>
            <w:tcW w:w="1262" w:type="dxa"/>
            <w:shd w:val="clear" w:color="auto" w:fill="auto"/>
            <w:noWrap/>
            <w:vAlign w:val="bottom"/>
            <w:hideMark/>
          </w:tcPr>
          <w:p w14:paraId="062D9012"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APC</w:t>
            </w:r>
          </w:p>
        </w:tc>
        <w:tc>
          <w:tcPr>
            <w:tcW w:w="7952" w:type="dxa"/>
            <w:shd w:val="clear" w:color="auto" w:fill="auto"/>
            <w:noWrap/>
            <w:vAlign w:val="bottom"/>
            <w:hideMark/>
          </w:tcPr>
          <w:p w14:paraId="1CFCA861"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Administrația Publică Centrală</w:t>
            </w:r>
          </w:p>
        </w:tc>
      </w:tr>
      <w:tr w:rsidR="009772A3" w:rsidRPr="009772A3" w14:paraId="03934194" w14:textId="77777777" w:rsidTr="009772A3">
        <w:trPr>
          <w:trHeight w:val="283"/>
        </w:trPr>
        <w:tc>
          <w:tcPr>
            <w:tcW w:w="1262" w:type="dxa"/>
            <w:shd w:val="clear" w:color="auto" w:fill="auto"/>
            <w:noWrap/>
            <w:vAlign w:val="bottom"/>
            <w:hideMark/>
          </w:tcPr>
          <w:p w14:paraId="61C9936A"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APL</w:t>
            </w:r>
          </w:p>
        </w:tc>
        <w:tc>
          <w:tcPr>
            <w:tcW w:w="7952" w:type="dxa"/>
            <w:shd w:val="clear" w:color="auto" w:fill="auto"/>
            <w:noWrap/>
            <w:vAlign w:val="bottom"/>
            <w:hideMark/>
          </w:tcPr>
          <w:p w14:paraId="0D2946F1"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Administrația Publică Locală</w:t>
            </w:r>
          </w:p>
        </w:tc>
      </w:tr>
      <w:tr w:rsidR="009772A3" w:rsidRPr="009772A3" w14:paraId="2F6074E0" w14:textId="77777777" w:rsidTr="009772A3">
        <w:trPr>
          <w:trHeight w:val="283"/>
        </w:trPr>
        <w:tc>
          <w:tcPr>
            <w:tcW w:w="1262" w:type="dxa"/>
            <w:shd w:val="clear" w:color="auto" w:fill="auto"/>
            <w:noWrap/>
            <w:vAlign w:val="bottom"/>
            <w:hideMark/>
          </w:tcPr>
          <w:p w14:paraId="07B9863C"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APP</w:t>
            </w:r>
          </w:p>
        </w:tc>
        <w:tc>
          <w:tcPr>
            <w:tcW w:w="7952" w:type="dxa"/>
            <w:shd w:val="clear" w:color="auto" w:fill="auto"/>
            <w:noWrap/>
            <w:vAlign w:val="bottom"/>
            <w:hideMark/>
          </w:tcPr>
          <w:p w14:paraId="735F7034"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Agenția Proprietății Publice</w:t>
            </w:r>
          </w:p>
        </w:tc>
      </w:tr>
      <w:tr w:rsidR="009772A3" w:rsidRPr="009772A3" w14:paraId="211151FF" w14:textId="77777777" w:rsidTr="009772A3">
        <w:trPr>
          <w:trHeight w:val="283"/>
        </w:trPr>
        <w:tc>
          <w:tcPr>
            <w:tcW w:w="1262" w:type="dxa"/>
            <w:shd w:val="clear" w:color="auto" w:fill="auto"/>
            <w:noWrap/>
            <w:vAlign w:val="bottom"/>
            <w:hideMark/>
          </w:tcPr>
          <w:p w14:paraId="0889AC06"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ASP</w:t>
            </w:r>
          </w:p>
        </w:tc>
        <w:tc>
          <w:tcPr>
            <w:tcW w:w="7952" w:type="dxa"/>
            <w:shd w:val="clear" w:color="auto" w:fill="auto"/>
            <w:noWrap/>
            <w:vAlign w:val="bottom"/>
            <w:hideMark/>
          </w:tcPr>
          <w:p w14:paraId="24991D9A"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Agenția Servicii Publice</w:t>
            </w:r>
          </w:p>
        </w:tc>
      </w:tr>
      <w:tr w:rsidR="009772A3" w:rsidRPr="009772A3" w14:paraId="21C9276E" w14:textId="77777777" w:rsidTr="009772A3">
        <w:trPr>
          <w:trHeight w:val="283"/>
        </w:trPr>
        <w:tc>
          <w:tcPr>
            <w:tcW w:w="1262" w:type="dxa"/>
            <w:shd w:val="clear" w:color="auto" w:fill="auto"/>
            <w:noWrap/>
            <w:vAlign w:val="bottom"/>
            <w:hideMark/>
          </w:tcPr>
          <w:p w14:paraId="59BD555F"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CCRM</w:t>
            </w:r>
          </w:p>
        </w:tc>
        <w:tc>
          <w:tcPr>
            <w:tcW w:w="7952" w:type="dxa"/>
            <w:shd w:val="clear" w:color="auto" w:fill="auto"/>
            <w:noWrap/>
            <w:vAlign w:val="bottom"/>
            <w:hideMark/>
          </w:tcPr>
          <w:p w14:paraId="4F80F879"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Curtea de Conturi a Republicii Moldova</w:t>
            </w:r>
          </w:p>
        </w:tc>
      </w:tr>
      <w:tr w:rsidR="009772A3" w:rsidRPr="009772A3" w14:paraId="522E7C24" w14:textId="77777777" w:rsidTr="009772A3">
        <w:trPr>
          <w:trHeight w:val="283"/>
        </w:trPr>
        <w:tc>
          <w:tcPr>
            <w:tcW w:w="1262" w:type="dxa"/>
            <w:shd w:val="clear" w:color="auto" w:fill="auto"/>
            <w:noWrap/>
            <w:vAlign w:val="bottom"/>
            <w:hideMark/>
          </w:tcPr>
          <w:p w14:paraId="6C27FDEA"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 xml:space="preserve">CNA </w:t>
            </w:r>
          </w:p>
        </w:tc>
        <w:tc>
          <w:tcPr>
            <w:tcW w:w="7952" w:type="dxa"/>
            <w:shd w:val="clear" w:color="auto" w:fill="auto"/>
            <w:noWrap/>
            <w:vAlign w:val="bottom"/>
            <w:hideMark/>
          </w:tcPr>
          <w:p w14:paraId="5544F9C2"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Centrul Național Anticorupție</w:t>
            </w:r>
          </w:p>
        </w:tc>
      </w:tr>
      <w:tr w:rsidR="009772A3" w:rsidRPr="009772A3" w14:paraId="4B9792C6" w14:textId="77777777" w:rsidTr="009772A3">
        <w:trPr>
          <w:trHeight w:val="283"/>
        </w:trPr>
        <w:tc>
          <w:tcPr>
            <w:tcW w:w="1262" w:type="dxa"/>
            <w:shd w:val="clear" w:color="auto" w:fill="auto"/>
            <w:noWrap/>
            <w:vAlign w:val="bottom"/>
            <w:hideMark/>
          </w:tcPr>
          <w:p w14:paraId="5C5D43CC"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CPL</w:t>
            </w:r>
          </w:p>
        </w:tc>
        <w:tc>
          <w:tcPr>
            <w:tcW w:w="7952" w:type="dxa"/>
            <w:shd w:val="clear" w:color="auto" w:fill="auto"/>
            <w:noWrap/>
            <w:vAlign w:val="bottom"/>
            <w:hideMark/>
          </w:tcPr>
          <w:p w14:paraId="00FED75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Codul Practic în Construcții</w:t>
            </w:r>
          </w:p>
        </w:tc>
      </w:tr>
      <w:tr w:rsidR="009772A3" w:rsidRPr="009772A3" w14:paraId="0ADBDA6D" w14:textId="77777777" w:rsidTr="009772A3">
        <w:trPr>
          <w:trHeight w:val="283"/>
        </w:trPr>
        <w:tc>
          <w:tcPr>
            <w:tcW w:w="1262" w:type="dxa"/>
            <w:shd w:val="clear" w:color="auto" w:fill="auto"/>
            <w:noWrap/>
            <w:vAlign w:val="bottom"/>
            <w:hideMark/>
          </w:tcPr>
          <w:p w14:paraId="142812F0"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DRGM</w:t>
            </w:r>
          </w:p>
        </w:tc>
        <w:tc>
          <w:tcPr>
            <w:tcW w:w="7952" w:type="dxa"/>
            <w:shd w:val="clear" w:color="auto" w:fill="auto"/>
            <w:noWrap/>
            <w:vAlign w:val="bottom"/>
            <w:hideMark/>
          </w:tcPr>
          <w:p w14:paraId="606B2E4B"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Direcția regională a gazoductelor magistrale</w:t>
            </w:r>
          </w:p>
        </w:tc>
      </w:tr>
      <w:tr w:rsidR="00755557" w:rsidRPr="009772A3" w14:paraId="069E6BB8" w14:textId="77777777" w:rsidTr="00755557">
        <w:trPr>
          <w:trHeight w:val="283"/>
        </w:trPr>
        <w:tc>
          <w:tcPr>
            <w:tcW w:w="1262" w:type="dxa"/>
            <w:shd w:val="clear" w:color="auto" w:fill="auto"/>
            <w:noWrap/>
            <w:vAlign w:val="bottom"/>
            <w:hideMark/>
          </w:tcPr>
          <w:p w14:paraId="424A7EFB"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HANRE</w:t>
            </w:r>
          </w:p>
        </w:tc>
        <w:tc>
          <w:tcPr>
            <w:tcW w:w="7952" w:type="dxa"/>
            <w:shd w:val="clear" w:color="auto" w:fill="auto"/>
            <w:noWrap/>
            <w:vAlign w:val="bottom"/>
            <w:hideMark/>
          </w:tcPr>
          <w:p w14:paraId="3EF636BB" w14:textId="216A529E" w:rsidR="00755557" w:rsidRPr="009772A3" w:rsidRDefault="00755557" w:rsidP="00146A46">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Hotărârea Agenți</w:t>
            </w:r>
            <w:r w:rsidR="00146A46" w:rsidRPr="009772A3">
              <w:rPr>
                <w:rFonts w:asciiTheme="majorHAnsi" w:eastAsia="Times New Roman" w:hAnsiTheme="majorHAnsi" w:cstheme="majorHAnsi"/>
                <w:sz w:val="24"/>
                <w:szCs w:val="24"/>
                <w:lang w:val="ro-MD"/>
              </w:rPr>
              <w:t>ei</w:t>
            </w:r>
            <w:r w:rsidRPr="009772A3">
              <w:rPr>
                <w:rFonts w:asciiTheme="majorHAnsi" w:eastAsia="Times New Roman" w:hAnsiTheme="majorHAnsi" w:cstheme="majorHAnsi"/>
                <w:sz w:val="24"/>
                <w:szCs w:val="24"/>
                <w:lang w:val="ro-MD"/>
              </w:rPr>
              <w:t xml:space="preserve"> Național</w:t>
            </w:r>
            <w:r w:rsidR="00146A46" w:rsidRPr="009772A3">
              <w:rPr>
                <w:rFonts w:asciiTheme="majorHAnsi" w:eastAsia="Times New Roman" w:hAnsiTheme="majorHAnsi" w:cstheme="majorHAnsi"/>
                <w:sz w:val="24"/>
                <w:szCs w:val="24"/>
                <w:lang w:val="ro-MD"/>
              </w:rPr>
              <w:t>e</w:t>
            </w:r>
            <w:r w:rsidRPr="009772A3">
              <w:rPr>
                <w:rFonts w:asciiTheme="majorHAnsi" w:eastAsia="Times New Roman" w:hAnsiTheme="majorHAnsi" w:cstheme="majorHAnsi"/>
                <w:sz w:val="24"/>
                <w:szCs w:val="24"/>
                <w:lang w:val="ro-MD"/>
              </w:rPr>
              <w:t xml:space="preserve"> pentru Reglementare în Energetică</w:t>
            </w:r>
          </w:p>
        </w:tc>
      </w:tr>
      <w:tr w:rsidR="009772A3" w:rsidRPr="009772A3" w14:paraId="7C159DB7" w14:textId="77777777" w:rsidTr="009772A3">
        <w:trPr>
          <w:trHeight w:val="283"/>
        </w:trPr>
        <w:tc>
          <w:tcPr>
            <w:tcW w:w="1262" w:type="dxa"/>
            <w:shd w:val="clear" w:color="auto" w:fill="auto"/>
            <w:noWrap/>
            <w:vAlign w:val="bottom"/>
            <w:hideMark/>
          </w:tcPr>
          <w:p w14:paraId="747F3D62"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HG</w:t>
            </w:r>
          </w:p>
        </w:tc>
        <w:tc>
          <w:tcPr>
            <w:tcW w:w="7952" w:type="dxa"/>
            <w:shd w:val="clear" w:color="auto" w:fill="auto"/>
            <w:noWrap/>
            <w:vAlign w:val="bottom"/>
            <w:hideMark/>
          </w:tcPr>
          <w:p w14:paraId="5062DF19" w14:textId="5E1EF193"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Hotărârea Guvernului</w:t>
            </w:r>
          </w:p>
        </w:tc>
      </w:tr>
      <w:tr w:rsidR="009772A3" w:rsidRPr="009772A3" w14:paraId="071AEBD2" w14:textId="77777777" w:rsidTr="009772A3">
        <w:trPr>
          <w:trHeight w:val="283"/>
        </w:trPr>
        <w:tc>
          <w:tcPr>
            <w:tcW w:w="1262" w:type="dxa"/>
            <w:shd w:val="clear" w:color="auto" w:fill="auto"/>
            <w:noWrap/>
            <w:vAlign w:val="bottom"/>
            <w:hideMark/>
          </w:tcPr>
          <w:p w14:paraId="64507B4D"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HP</w:t>
            </w:r>
          </w:p>
        </w:tc>
        <w:tc>
          <w:tcPr>
            <w:tcW w:w="7952" w:type="dxa"/>
            <w:shd w:val="clear" w:color="auto" w:fill="auto"/>
            <w:noWrap/>
            <w:vAlign w:val="bottom"/>
            <w:hideMark/>
          </w:tcPr>
          <w:p w14:paraId="7E9722B1" w14:textId="3CB5E820"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Hotărârea Parlamentului</w:t>
            </w:r>
          </w:p>
        </w:tc>
      </w:tr>
      <w:tr w:rsidR="00755557" w:rsidRPr="009772A3" w14:paraId="20E2DF9A" w14:textId="77777777" w:rsidTr="00755557">
        <w:trPr>
          <w:trHeight w:val="283"/>
        </w:trPr>
        <w:tc>
          <w:tcPr>
            <w:tcW w:w="1262" w:type="dxa"/>
            <w:shd w:val="clear" w:color="auto" w:fill="auto"/>
            <w:noWrap/>
            <w:vAlign w:val="bottom"/>
            <w:hideMark/>
          </w:tcPr>
          <w:p w14:paraId="069725C6"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HCC</w:t>
            </w:r>
          </w:p>
        </w:tc>
        <w:tc>
          <w:tcPr>
            <w:tcW w:w="7952" w:type="dxa"/>
            <w:shd w:val="clear" w:color="auto" w:fill="auto"/>
            <w:noWrap/>
            <w:vAlign w:val="bottom"/>
            <w:hideMark/>
          </w:tcPr>
          <w:p w14:paraId="6F90CBAF"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Hotărârea Curții de Conturi</w:t>
            </w:r>
          </w:p>
        </w:tc>
      </w:tr>
      <w:tr w:rsidR="009772A3" w:rsidRPr="009772A3" w14:paraId="13F910D1" w14:textId="77777777" w:rsidTr="009772A3">
        <w:trPr>
          <w:trHeight w:val="283"/>
        </w:trPr>
        <w:tc>
          <w:tcPr>
            <w:tcW w:w="1262" w:type="dxa"/>
            <w:shd w:val="clear" w:color="auto" w:fill="auto"/>
            <w:noWrap/>
            <w:vAlign w:val="bottom"/>
            <w:hideMark/>
          </w:tcPr>
          <w:p w14:paraId="71448279"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INTOSAI</w:t>
            </w:r>
          </w:p>
        </w:tc>
        <w:tc>
          <w:tcPr>
            <w:tcW w:w="7952" w:type="dxa"/>
            <w:shd w:val="clear" w:color="auto" w:fill="auto"/>
            <w:noWrap/>
            <w:vAlign w:val="bottom"/>
            <w:hideMark/>
          </w:tcPr>
          <w:p w14:paraId="6C4E53FD"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Organizaţia Internaţională a Instituţiilor Supreme de Audit</w:t>
            </w:r>
          </w:p>
        </w:tc>
      </w:tr>
      <w:tr w:rsidR="009772A3" w:rsidRPr="009772A3" w14:paraId="48344EA0" w14:textId="77777777" w:rsidTr="009772A3">
        <w:trPr>
          <w:trHeight w:val="283"/>
        </w:trPr>
        <w:tc>
          <w:tcPr>
            <w:tcW w:w="1262" w:type="dxa"/>
            <w:shd w:val="clear" w:color="auto" w:fill="auto"/>
            <w:noWrap/>
            <w:vAlign w:val="bottom"/>
            <w:hideMark/>
          </w:tcPr>
          <w:p w14:paraId="24C32EE6"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IAS</w:t>
            </w:r>
          </w:p>
        </w:tc>
        <w:tc>
          <w:tcPr>
            <w:tcW w:w="7952" w:type="dxa"/>
            <w:shd w:val="clear" w:color="auto" w:fill="auto"/>
            <w:noWrap/>
            <w:vAlign w:val="bottom"/>
            <w:hideMark/>
          </w:tcPr>
          <w:p w14:paraId="6EEAFE8D"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Standardele Internaționale de Audit</w:t>
            </w:r>
          </w:p>
        </w:tc>
      </w:tr>
      <w:tr w:rsidR="00755557" w:rsidRPr="009772A3" w14:paraId="4719B53F" w14:textId="77777777" w:rsidTr="00755557">
        <w:trPr>
          <w:trHeight w:val="283"/>
        </w:trPr>
        <w:tc>
          <w:tcPr>
            <w:tcW w:w="1262" w:type="dxa"/>
            <w:shd w:val="clear" w:color="auto" w:fill="auto"/>
            <w:noWrap/>
            <w:vAlign w:val="bottom"/>
            <w:hideMark/>
          </w:tcPr>
          <w:p w14:paraId="3AA8E77E"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ISSAI</w:t>
            </w:r>
          </w:p>
        </w:tc>
        <w:tc>
          <w:tcPr>
            <w:tcW w:w="7952" w:type="dxa"/>
            <w:shd w:val="clear" w:color="auto" w:fill="auto"/>
            <w:noWrap/>
            <w:vAlign w:val="bottom"/>
            <w:hideMark/>
          </w:tcPr>
          <w:p w14:paraId="7CC5B0B9"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Standardele Internaționale ale Instituțiilor Supreme de Audit</w:t>
            </w:r>
          </w:p>
        </w:tc>
      </w:tr>
      <w:tr w:rsidR="009772A3" w:rsidRPr="009772A3" w14:paraId="71D00EFF" w14:textId="77777777" w:rsidTr="009772A3">
        <w:trPr>
          <w:trHeight w:val="283"/>
        </w:trPr>
        <w:tc>
          <w:tcPr>
            <w:tcW w:w="1262" w:type="dxa"/>
            <w:shd w:val="clear" w:color="auto" w:fill="auto"/>
            <w:noWrap/>
            <w:vAlign w:val="bottom"/>
            <w:hideMark/>
          </w:tcPr>
          <w:p w14:paraId="00887D3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ÎCS</w:t>
            </w:r>
          </w:p>
        </w:tc>
        <w:tc>
          <w:tcPr>
            <w:tcW w:w="7952" w:type="dxa"/>
            <w:shd w:val="clear" w:color="auto" w:fill="auto"/>
            <w:noWrap/>
            <w:vAlign w:val="bottom"/>
            <w:hideMark/>
          </w:tcPr>
          <w:p w14:paraId="0F37FC20"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Întreprindere cu Capital Străin</w:t>
            </w:r>
          </w:p>
        </w:tc>
      </w:tr>
      <w:tr w:rsidR="009772A3" w:rsidRPr="009772A3" w14:paraId="4111FBCE" w14:textId="77777777" w:rsidTr="009772A3">
        <w:trPr>
          <w:trHeight w:val="283"/>
        </w:trPr>
        <w:tc>
          <w:tcPr>
            <w:tcW w:w="1262" w:type="dxa"/>
            <w:shd w:val="clear" w:color="auto" w:fill="auto"/>
            <w:noWrap/>
            <w:vAlign w:val="bottom"/>
            <w:hideMark/>
          </w:tcPr>
          <w:p w14:paraId="55DC3AE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ÎM</w:t>
            </w:r>
          </w:p>
        </w:tc>
        <w:tc>
          <w:tcPr>
            <w:tcW w:w="7952" w:type="dxa"/>
            <w:shd w:val="clear" w:color="auto" w:fill="auto"/>
            <w:noWrap/>
            <w:vAlign w:val="bottom"/>
            <w:hideMark/>
          </w:tcPr>
          <w:p w14:paraId="7CCC34C9"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Întreprindere Municipală</w:t>
            </w:r>
          </w:p>
        </w:tc>
      </w:tr>
      <w:tr w:rsidR="009772A3" w:rsidRPr="009772A3" w14:paraId="3B83CFA4" w14:textId="77777777" w:rsidTr="009772A3">
        <w:trPr>
          <w:trHeight w:val="283"/>
        </w:trPr>
        <w:tc>
          <w:tcPr>
            <w:tcW w:w="1262" w:type="dxa"/>
            <w:shd w:val="clear" w:color="auto" w:fill="auto"/>
            <w:noWrap/>
            <w:vAlign w:val="bottom"/>
            <w:hideMark/>
          </w:tcPr>
          <w:p w14:paraId="69F5E02E"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ÎS</w:t>
            </w:r>
          </w:p>
        </w:tc>
        <w:tc>
          <w:tcPr>
            <w:tcW w:w="7952" w:type="dxa"/>
            <w:shd w:val="clear" w:color="auto" w:fill="auto"/>
            <w:noWrap/>
            <w:vAlign w:val="bottom"/>
            <w:hideMark/>
          </w:tcPr>
          <w:p w14:paraId="18A63674"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Întreprindere de Stat</w:t>
            </w:r>
          </w:p>
        </w:tc>
      </w:tr>
      <w:tr w:rsidR="009772A3" w:rsidRPr="009772A3" w14:paraId="58AE01A0" w14:textId="77777777" w:rsidTr="009772A3">
        <w:trPr>
          <w:trHeight w:val="283"/>
        </w:trPr>
        <w:tc>
          <w:tcPr>
            <w:tcW w:w="1262" w:type="dxa"/>
            <w:shd w:val="clear" w:color="auto" w:fill="auto"/>
            <w:noWrap/>
            <w:vAlign w:val="bottom"/>
            <w:hideMark/>
          </w:tcPr>
          <w:p w14:paraId="5076452E"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MF</w:t>
            </w:r>
          </w:p>
        </w:tc>
        <w:tc>
          <w:tcPr>
            <w:tcW w:w="7952" w:type="dxa"/>
            <w:shd w:val="clear" w:color="auto" w:fill="auto"/>
            <w:noWrap/>
            <w:vAlign w:val="bottom"/>
            <w:hideMark/>
          </w:tcPr>
          <w:p w14:paraId="6448D20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Ministerul Finanțelor</w:t>
            </w:r>
          </w:p>
        </w:tc>
      </w:tr>
      <w:tr w:rsidR="009772A3" w:rsidRPr="009772A3" w14:paraId="6CE438CA" w14:textId="77777777" w:rsidTr="009772A3">
        <w:trPr>
          <w:trHeight w:val="283"/>
        </w:trPr>
        <w:tc>
          <w:tcPr>
            <w:tcW w:w="1262" w:type="dxa"/>
            <w:shd w:val="clear" w:color="auto" w:fill="auto"/>
            <w:noWrap/>
            <w:vAlign w:val="bottom"/>
          </w:tcPr>
          <w:p w14:paraId="2C4078D2"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MORM</w:t>
            </w:r>
          </w:p>
        </w:tc>
        <w:tc>
          <w:tcPr>
            <w:tcW w:w="7952" w:type="dxa"/>
            <w:shd w:val="clear" w:color="auto" w:fill="auto"/>
            <w:noWrap/>
            <w:vAlign w:val="bottom"/>
          </w:tcPr>
          <w:p w14:paraId="4067E5B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Monitorul Oficial al Republicii Moldova</w:t>
            </w:r>
          </w:p>
        </w:tc>
      </w:tr>
      <w:tr w:rsidR="00755557" w:rsidRPr="009772A3" w14:paraId="4F5482C0" w14:textId="77777777" w:rsidTr="00755557">
        <w:trPr>
          <w:trHeight w:val="283"/>
        </w:trPr>
        <w:tc>
          <w:tcPr>
            <w:tcW w:w="1262" w:type="dxa"/>
            <w:shd w:val="clear" w:color="auto" w:fill="auto"/>
            <w:noWrap/>
            <w:vAlign w:val="bottom"/>
            <w:hideMark/>
          </w:tcPr>
          <w:p w14:paraId="0CD61656"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ODG</w:t>
            </w:r>
          </w:p>
        </w:tc>
        <w:tc>
          <w:tcPr>
            <w:tcW w:w="7952" w:type="dxa"/>
            <w:shd w:val="clear" w:color="auto" w:fill="auto"/>
            <w:noWrap/>
            <w:vAlign w:val="bottom"/>
            <w:hideMark/>
          </w:tcPr>
          <w:p w14:paraId="0C23AA9A"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Operatori de distribuție a gazelor</w:t>
            </w:r>
          </w:p>
        </w:tc>
      </w:tr>
      <w:tr w:rsidR="009772A3" w:rsidRPr="009772A3" w14:paraId="3353BF3E" w14:textId="77777777" w:rsidTr="009772A3">
        <w:trPr>
          <w:trHeight w:val="283"/>
        </w:trPr>
        <w:tc>
          <w:tcPr>
            <w:tcW w:w="1262" w:type="dxa"/>
            <w:shd w:val="clear" w:color="auto" w:fill="auto"/>
            <w:noWrap/>
            <w:vAlign w:val="bottom"/>
            <w:hideMark/>
          </w:tcPr>
          <w:p w14:paraId="282812ED"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OST/OSD</w:t>
            </w:r>
          </w:p>
        </w:tc>
        <w:tc>
          <w:tcPr>
            <w:tcW w:w="7952" w:type="dxa"/>
            <w:shd w:val="clear" w:color="auto" w:fill="auto"/>
            <w:noWrap/>
            <w:vAlign w:val="bottom"/>
            <w:hideMark/>
          </w:tcPr>
          <w:p w14:paraId="246AE158"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Operator serviciul de transport/distribuție</w:t>
            </w:r>
          </w:p>
        </w:tc>
      </w:tr>
      <w:tr w:rsidR="009772A3" w:rsidRPr="009772A3" w14:paraId="2B6AC51C" w14:textId="77777777" w:rsidTr="009772A3">
        <w:trPr>
          <w:trHeight w:val="283"/>
        </w:trPr>
        <w:tc>
          <w:tcPr>
            <w:tcW w:w="1262" w:type="dxa"/>
            <w:shd w:val="clear" w:color="auto" w:fill="auto"/>
            <w:noWrap/>
            <w:vAlign w:val="bottom"/>
            <w:hideMark/>
          </w:tcPr>
          <w:p w14:paraId="127021F3"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PCCOCS</w:t>
            </w:r>
          </w:p>
        </w:tc>
        <w:tc>
          <w:tcPr>
            <w:tcW w:w="7952" w:type="dxa"/>
            <w:shd w:val="clear" w:color="auto" w:fill="auto"/>
            <w:noWrap/>
            <w:vAlign w:val="bottom"/>
            <w:hideMark/>
          </w:tcPr>
          <w:p w14:paraId="72D3337A"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Procuratura pentru Combaterea Criminalității Organizate și Cauze Speciale</w:t>
            </w:r>
          </w:p>
        </w:tc>
      </w:tr>
      <w:tr w:rsidR="009772A3" w:rsidRPr="009772A3" w14:paraId="4F7FBD34" w14:textId="77777777" w:rsidTr="009772A3">
        <w:trPr>
          <w:trHeight w:val="283"/>
        </w:trPr>
        <w:tc>
          <w:tcPr>
            <w:tcW w:w="1262" w:type="dxa"/>
            <w:shd w:val="clear" w:color="auto" w:fill="auto"/>
            <w:noWrap/>
            <w:vAlign w:val="bottom"/>
            <w:hideMark/>
          </w:tcPr>
          <w:p w14:paraId="7AE2CE51"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PG</w:t>
            </w:r>
          </w:p>
        </w:tc>
        <w:tc>
          <w:tcPr>
            <w:tcW w:w="7952" w:type="dxa"/>
            <w:shd w:val="clear" w:color="auto" w:fill="auto"/>
            <w:noWrap/>
            <w:vAlign w:val="bottom"/>
            <w:hideMark/>
          </w:tcPr>
          <w:p w14:paraId="6A11FF6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Procuratura Generală</w:t>
            </w:r>
          </w:p>
        </w:tc>
      </w:tr>
      <w:tr w:rsidR="009772A3" w:rsidRPr="009772A3" w14:paraId="5C3DB73A" w14:textId="77777777" w:rsidTr="009772A3">
        <w:trPr>
          <w:trHeight w:val="283"/>
        </w:trPr>
        <w:tc>
          <w:tcPr>
            <w:tcW w:w="1262" w:type="dxa"/>
            <w:shd w:val="clear" w:color="auto" w:fill="auto"/>
            <w:noWrap/>
            <w:vAlign w:val="bottom"/>
            <w:hideMark/>
          </w:tcPr>
          <w:p w14:paraId="7EF1ECA2"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RM</w:t>
            </w:r>
          </w:p>
        </w:tc>
        <w:tc>
          <w:tcPr>
            <w:tcW w:w="7952" w:type="dxa"/>
            <w:shd w:val="clear" w:color="auto" w:fill="auto"/>
            <w:noWrap/>
            <w:vAlign w:val="bottom"/>
            <w:hideMark/>
          </w:tcPr>
          <w:p w14:paraId="22100933"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Republica Moldova</w:t>
            </w:r>
          </w:p>
        </w:tc>
      </w:tr>
      <w:tr w:rsidR="009772A3" w:rsidRPr="009772A3" w14:paraId="59020190" w14:textId="77777777" w:rsidTr="009772A3">
        <w:trPr>
          <w:trHeight w:val="283"/>
        </w:trPr>
        <w:tc>
          <w:tcPr>
            <w:tcW w:w="1262" w:type="dxa"/>
            <w:shd w:val="clear" w:color="auto" w:fill="auto"/>
            <w:noWrap/>
            <w:vAlign w:val="bottom"/>
            <w:hideMark/>
          </w:tcPr>
          <w:p w14:paraId="77D0533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SA</w:t>
            </w:r>
          </w:p>
        </w:tc>
        <w:tc>
          <w:tcPr>
            <w:tcW w:w="7952" w:type="dxa"/>
            <w:shd w:val="clear" w:color="auto" w:fill="auto"/>
            <w:noWrap/>
            <w:vAlign w:val="bottom"/>
            <w:hideMark/>
          </w:tcPr>
          <w:p w14:paraId="0E150F8B"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Societate pe acțiuni</w:t>
            </w:r>
          </w:p>
        </w:tc>
      </w:tr>
      <w:tr w:rsidR="009772A3" w:rsidRPr="009772A3" w14:paraId="70B5454C" w14:textId="77777777" w:rsidTr="009772A3">
        <w:trPr>
          <w:trHeight w:val="283"/>
        </w:trPr>
        <w:tc>
          <w:tcPr>
            <w:tcW w:w="1262" w:type="dxa"/>
            <w:shd w:val="clear" w:color="auto" w:fill="auto"/>
            <w:noWrap/>
            <w:vAlign w:val="bottom"/>
            <w:hideMark/>
          </w:tcPr>
          <w:p w14:paraId="79F7E941"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SC</w:t>
            </w:r>
          </w:p>
        </w:tc>
        <w:tc>
          <w:tcPr>
            <w:tcW w:w="7952" w:type="dxa"/>
            <w:shd w:val="clear" w:color="auto" w:fill="auto"/>
            <w:noWrap/>
            <w:vAlign w:val="bottom"/>
            <w:hideMark/>
          </w:tcPr>
          <w:p w14:paraId="36BC4BD0"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Societate Comercială</w:t>
            </w:r>
          </w:p>
        </w:tc>
      </w:tr>
      <w:tr w:rsidR="009772A3" w:rsidRPr="009772A3" w14:paraId="48C03C4F" w14:textId="77777777" w:rsidTr="009772A3">
        <w:trPr>
          <w:trHeight w:val="283"/>
        </w:trPr>
        <w:tc>
          <w:tcPr>
            <w:tcW w:w="1262" w:type="dxa"/>
            <w:shd w:val="clear" w:color="auto" w:fill="auto"/>
            <w:noWrap/>
            <w:vAlign w:val="bottom"/>
            <w:hideMark/>
          </w:tcPr>
          <w:p w14:paraId="3D02E8C0"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SI</w:t>
            </w:r>
          </w:p>
        </w:tc>
        <w:tc>
          <w:tcPr>
            <w:tcW w:w="7952" w:type="dxa"/>
            <w:shd w:val="clear" w:color="auto" w:fill="auto"/>
            <w:noWrap/>
            <w:vAlign w:val="bottom"/>
            <w:hideMark/>
          </w:tcPr>
          <w:p w14:paraId="33A7D5C2"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Sistem informațional</w:t>
            </w:r>
          </w:p>
        </w:tc>
      </w:tr>
      <w:tr w:rsidR="009772A3" w:rsidRPr="009772A3" w14:paraId="176DE828" w14:textId="77777777" w:rsidTr="009772A3">
        <w:trPr>
          <w:trHeight w:val="283"/>
        </w:trPr>
        <w:tc>
          <w:tcPr>
            <w:tcW w:w="1262" w:type="dxa"/>
            <w:shd w:val="clear" w:color="auto" w:fill="auto"/>
            <w:noWrap/>
            <w:vAlign w:val="bottom"/>
            <w:hideMark/>
          </w:tcPr>
          <w:p w14:paraId="11D66B75"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SRL</w:t>
            </w:r>
          </w:p>
        </w:tc>
        <w:tc>
          <w:tcPr>
            <w:tcW w:w="7952" w:type="dxa"/>
            <w:shd w:val="clear" w:color="auto" w:fill="auto"/>
            <w:noWrap/>
            <w:vAlign w:val="bottom"/>
            <w:hideMark/>
          </w:tcPr>
          <w:p w14:paraId="69E5294A"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Societate cu răspundere limitată</w:t>
            </w:r>
          </w:p>
        </w:tc>
      </w:tr>
      <w:tr w:rsidR="00755557" w:rsidRPr="009772A3" w14:paraId="7781D047" w14:textId="77777777" w:rsidTr="00755557">
        <w:trPr>
          <w:trHeight w:val="283"/>
        </w:trPr>
        <w:tc>
          <w:tcPr>
            <w:tcW w:w="1262" w:type="dxa"/>
            <w:shd w:val="clear" w:color="auto" w:fill="auto"/>
            <w:noWrap/>
            <w:vAlign w:val="bottom"/>
            <w:hideMark/>
          </w:tcPr>
          <w:p w14:paraId="3DDF997E" w14:textId="336B1ED8" w:rsidR="00755557" w:rsidRPr="009772A3" w:rsidRDefault="00755557" w:rsidP="00146A46">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SV</w:t>
            </w:r>
          </w:p>
        </w:tc>
        <w:tc>
          <w:tcPr>
            <w:tcW w:w="7952" w:type="dxa"/>
            <w:shd w:val="clear" w:color="auto" w:fill="auto"/>
            <w:noWrap/>
            <w:vAlign w:val="bottom"/>
            <w:hideMark/>
          </w:tcPr>
          <w:p w14:paraId="461039AF" w14:textId="1E98C5EE" w:rsidR="00755557" w:rsidRPr="009772A3" w:rsidRDefault="00755557" w:rsidP="00146A46">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 xml:space="preserve">Serviciul Vamal </w:t>
            </w:r>
          </w:p>
        </w:tc>
      </w:tr>
      <w:tr w:rsidR="00755557" w:rsidRPr="009772A3" w14:paraId="638B622F" w14:textId="77777777" w:rsidTr="00755557">
        <w:trPr>
          <w:trHeight w:val="283"/>
        </w:trPr>
        <w:tc>
          <w:tcPr>
            <w:tcW w:w="1262" w:type="dxa"/>
            <w:shd w:val="clear" w:color="auto" w:fill="auto"/>
            <w:noWrap/>
            <w:vAlign w:val="bottom"/>
            <w:hideMark/>
          </w:tcPr>
          <w:p w14:paraId="416A52DF"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SMG</w:t>
            </w:r>
          </w:p>
        </w:tc>
        <w:tc>
          <w:tcPr>
            <w:tcW w:w="7952" w:type="dxa"/>
            <w:shd w:val="clear" w:color="auto" w:fill="auto"/>
            <w:noWrap/>
            <w:vAlign w:val="bottom"/>
            <w:hideMark/>
          </w:tcPr>
          <w:p w14:paraId="26FA1885" w14:textId="3B4CBDCC" w:rsidR="00755557" w:rsidRPr="009772A3" w:rsidRDefault="00755557" w:rsidP="00C43499">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 xml:space="preserve">Stație de </w:t>
            </w:r>
            <w:r w:rsidR="00C43499" w:rsidRPr="009772A3">
              <w:rPr>
                <w:rFonts w:asciiTheme="majorHAnsi" w:eastAsia="Times New Roman" w:hAnsiTheme="majorHAnsi" w:cstheme="majorHAnsi"/>
                <w:sz w:val="24"/>
                <w:szCs w:val="24"/>
                <w:lang w:val="ro-MD"/>
              </w:rPr>
              <w:t>m</w:t>
            </w:r>
            <w:r w:rsidRPr="009772A3">
              <w:rPr>
                <w:rFonts w:asciiTheme="majorHAnsi" w:eastAsia="Times New Roman" w:hAnsiTheme="majorHAnsi" w:cstheme="majorHAnsi"/>
                <w:sz w:val="24"/>
                <w:szCs w:val="24"/>
                <w:lang w:val="ro-MD"/>
              </w:rPr>
              <w:t xml:space="preserve">ăsurare a </w:t>
            </w:r>
            <w:r w:rsidR="00C43499" w:rsidRPr="009772A3">
              <w:rPr>
                <w:rFonts w:asciiTheme="majorHAnsi" w:eastAsia="Times New Roman" w:hAnsiTheme="majorHAnsi" w:cstheme="majorHAnsi"/>
                <w:sz w:val="24"/>
                <w:szCs w:val="24"/>
                <w:lang w:val="ro-MD"/>
              </w:rPr>
              <w:t>g</w:t>
            </w:r>
            <w:r w:rsidRPr="009772A3">
              <w:rPr>
                <w:rFonts w:asciiTheme="majorHAnsi" w:eastAsia="Times New Roman" w:hAnsiTheme="majorHAnsi" w:cstheme="majorHAnsi"/>
                <w:sz w:val="24"/>
                <w:szCs w:val="24"/>
                <w:lang w:val="ro-MD"/>
              </w:rPr>
              <w:t>azelor</w:t>
            </w:r>
          </w:p>
        </w:tc>
      </w:tr>
      <w:tr w:rsidR="00C43499" w:rsidRPr="009772A3" w14:paraId="2113904E" w14:textId="77777777" w:rsidTr="00755557">
        <w:trPr>
          <w:trHeight w:val="283"/>
        </w:trPr>
        <w:tc>
          <w:tcPr>
            <w:tcW w:w="1262" w:type="dxa"/>
            <w:shd w:val="clear" w:color="auto" w:fill="auto"/>
            <w:noWrap/>
            <w:vAlign w:val="bottom"/>
          </w:tcPr>
          <w:p w14:paraId="46650D63" w14:textId="27F55E10" w:rsidR="00C43499" w:rsidRPr="009772A3" w:rsidRDefault="00C43499"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SRG</w:t>
            </w:r>
          </w:p>
        </w:tc>
        <w:tc>
          <w:tcPr>
            <w:tcW w:w="7952" w:type="dxa"/>
            <w:shd w:val="clear" w:color="auto" w:fill="auto"/>
            <w:noWrap/>
            <w:vAlign w:val="bottom"/>
          </w:tcPr>
          <w:p w14:paraId="2DBF5B05" w14:textId="71A2CA55" w:rsidR="00C43499" w:rsidRPr="009772A3" w:rsidRDefault="00C43499" w:rsidP="00C43499">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Stație de reglare a gazelor</w:t>
            </w:r>
          </w:p>
        </w:tc>
      </w:tr>
      <w:tr w:rsidR="00755557" w:rsidRPr="009772A3" w14:paraId="0BF5C054" w14:textId="77777777" w:rsidTr="00755557">
        <w:trPr>
          <w:trHeight w:val="283"/>
        </w:trPr>
        <w:tc>
          <w:tcPr>
            <w:tcW w:w="1262" w:type="dxa"/>
            <w:shd w:val="clear" w:color="auto" w:fill="auto"/>
            <w:noWrap/>
            <w:vAlign w:val="bottom"/>
            <w:hideMark/>
          </w:tcPr>
          <w:p w14:paraId="51222AF2"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SFS</w:t>
            </w:r>
          </w:p>
        </w:tc>
        <w:tc>
          <w:tcPr>
            <w:tcW w:w="7952" w:type="dxa"/>
            <w:shd w:val="clear" w:color="auto" w:fill="auto"/>
            <w:noWrap/>
            <w:vAlign w:val="bottom"/>
            <w:hideMark/>
          </w:tcPr>
          <w:p w14:paraId="26D67290" w14:textId="77777777" w:rsidR="00755557" w:rsidRPr="009772A3" w:rsidRDefault="00755557" w:rsidP="00755557">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Serviciul Fiscal de Stat</w:t>
            </w:r>
          </w:p>
        </w:tc>
      </w:tr>
      <w:tr w:rsidR="009772A3" w:rsidRPr="009772A3" w14:paraId="5315BBF3" w14:textId="77777777" w:rsidTr="009772A3">
        <w:trPr>
          <w:trHeight w:val="283"/>
        </w:trPr>
        <w:tc>
          <w:tcPr>
            <w:tcW w:w="1262" w:type="dxa"/>
            <w:shd w:val="clear" w:color="auto" w:fill="auto"/>
            <w:noWrap/>
            <w:vAlign w:val="bottom"/>
            <w:hideMark/>
          </w:tcPr>
          <w:p w14:paraId="786A7423"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TVA</w:t>
            </w:r>
          </w:p>
        </w:tc>
        <w:tc>
          <w:tcPr>
            <w:tcW w:w="7952" w:type="dxa"/>
            <w:shd w:val="clear" w:color="auto" w:fill="auto"/>
            <w:noWrap/>
            <w:vAlign w:val="bottom"/>
            <w:hideMark/>
          </w:tcPr>
          <w:p w14:paraId="26F65488"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Taxa pe Valoarea Adăugată</w:t>
            </w:r>
          </w:p>
        </w:tc>
      </w:tr>
      <w:tr w:rsidR="009772A3" w:rsidRPr="009772A3" w14:paraId="036FDE0F" w14:textId="77777777" w:rsidTr="009772A3">
        <w:trPr>
          <w:trHeight w:val="283"/>
        </w:trPr>
        <w:tc>
          <w:tcPr>
            <w:tcW w:w="1262" w:type="dxa"/>
            <w:shd w:val="clear" w:color="auto" w:fill="auto"/>
            <w:noWrap/>
            <w:vAlign w:val="bottom"/>
            <w:hideMark/>
          </w:tcPr>
          <w:p w14:paraId="5D07FBB0"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UE</w:t>
            </w:r>
          </w:p>
        </w:tc>
        <w:tc>
          <w:tcPr>
            <w:tcW w:w="7952" w:type="dxa"/>
            <w:shd w:val="clear" w:color="auto" w:fill="auto"/>
            <w:noWrap/>
            <w:vAlign w:val="bottom"/>
            <w:hideMark/>
          </w:tcPr>
          <w:p w14:paraId="164F8361"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Uniunea Europeană</w:t>
            </w:r>
          </w:p>
        </w:tc>
      </w:tr>
      <w:tr w:rsidR="009772A3" w:rsidRPr="009772A3" w14:paraId="725923DF" w14:textId="77777777" w:rsidTr="009772A3">
        <w:trPr>
          <w:trHeight w:val="283"/>
        </w:trPr>
        <w:tc>
          <w:tcPr>
            <w:tcW w:w="1262" w:type="dxa"/>
            <w:shd w:val="clear" w:color="auto" w:fill="auto"/>
            <w:noWrap/>
            <w:vAlign w:val="bottom"/>
          </w:tcPr>
          <w:p w14:paraId="74277CA6"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hAnsiTheme="majorHAnsi" w:cstheme="majorHAnsi"/>
                <w:sz w:val="24"/>
                <w:szCs w:val="24"/>
                <w:lang w:val="ro-MD"/>
              </w:rPr>
              <w:t>UTC</w:t>
            </w:r>
          </w:p>
        </w:tc>
        <w:tc>
          <w:tcPr>
            <w:tcW w:w="7952" w:type="dxa"/>
            <w:shd w:val="clear" w:color="auto" w:fill="auto"/>
            <w:noWrap/>
            <w:vAlign w:val="bottom"/>
          </w:tcPr>
          <w:p w14:paraId="29E5DCEC"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hAnsiTheme="majorHAnsi" w:cstheme="majorHAnsi"/>
                <w:sz w:val="24"/>
                <w:szCs w:val="24"/>
                <w:shd w:val="clear" w:color="auto" w:fill="FFFFFF"/>
                <w:lang w:val="ro-MD"/>
              </w:rPr>
              <w:t>Coordinated Universal Time (timpul coordonat universal)</w:t>
            </w:r>
          </w:p>
        </w:tc>
      </w:tr>
      <w:tr w:rsidR="009772A3" w:rsidRPr="009772A3" w14:paraId="14A80D2C" w14:textId="77777777" w:rsidTr="009772A3">
        <w:trPr>
          <w:trHeight w:val="283"/>
        </w:trPr>
        <w:tc>
          <w:tcPr>
            <w:tcW w:w="1262" w:type="dxa"/>
            <w:shd w:val="clear" w:color="auto" w:fill="auto"/>
            <w:noWrap/>
            <w:vAlign w:val="bottom"/>
            <w:hideMark/>
          </w:tcPr>
          <w:p w14:paraId="1ABDC534"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URSS</w:t>
            </w:r>
          </w:p>
        </w:tc>
        <w:tc>
          <w:tcPr>
            <w:tcW w:w="7952" w:type="dxa"/>
            <w:shd w:val="clear" w:color="auto" w:fill="auto"/>
            <w:noWrap/>
            <w:vAlign w:val="bottom"/>
            <w:hideMark/>
          </w:tcPr>
          <w:p w14:paraId="7D4329D0" w14:textId="77777777" w:rsidR="009772A3" w:rsidRPr="009772A3" w:rsidRDefault="009772A3" w:rsidP="009772A3">
            <w:pPr>
              <w:spacing w:after="0" w:line="240" w:lineRule="auto"/>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Uniunea Republicilor Sovietice Socialiste</w:t>
            </w:r>
          </w:p>
        </w:tc>
      </w:tr>
    </w:tbl>
    <w:p w14:paraId="7BAD587C" w14:textId="472A19A0" w:rsidR="00755557" w:rsidRPr="009772A3" w:rsidRDefault="00755557" w:rsidP="00755557">
      <w:pPr>
        <w:rPr>
          <w:lang w:val="ro-MD"/>
        </w:rPr>
      </w:pPr>
    </w:p>
    <w:p w14:paraId="3525F135" w14:textId="77777777" w:rsidR="009A7994" w:rsidRPr="009772A3" w:rsidRDefault="009A7994" w:rsidP="00755557">
      <w:pPr>
        <w:rPr>
          <w:lang w:val="ro-MD"/>
        </w:rPr>
      </w:pPr>
    </w:p>
    <w:p w14:paraId="3ED74694" w14:textId="22384C0F" w:rsidR="00700D79" w:rsidRPr="009772A3" w:rsidRDefault="00DC090B" w:rsidP="00DC090B">
      <w:pPr>
        <w:pStyle w:val="Heading1"/>
        <w:spacing w:line="276" w:lineRule="auto"/>
        <w:jc w:val="left"/>
        <w:rPr>
          <w:color w:val="auto"/>
          <w:sz w:val="28"/>
          <w:lang w:val="ro-MD"/>
        </w:rPr>
      </w:pPr>
      <w:r w:rsidRPr="009772A3">
        <w:rPr>
          <w:color w:val="auto"/>
          <w:sz w:val="28"/>
          <w:lang w:val="ro-MD"/>
        </w:rPr>
        <w:t>GLOSAR</w:t>
      </w:r>
      <w:bookmarkEnd w:id="3"/>
      <w:bookmarkEnd w:id="4"/>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4935E0" w:rsidRPr="009772A3" w14:paraId="0B70591C" w14:textId="77777777" w:rsidTr="008B741E">
        <w:tc>
          <w:tcPr>
            <w:tcW w:w="2127" w:type="dxa"/>
            <w:tcBorders>
              <w:top w:val="single" w:sz="4" w:space="0" w:color="auto"/>
              <w:bottom w:val="single" w:sz="4" w:space="0" w:color="auto"/>
            </w:tcBorders>
          </w:tcPr>
          <w:p w14:paraId="26BC4D25" w14:textId="682C012A" w:rsidR="004935E0" w:rsidRPr="009772A3" w:rsidRDefault="00E75370" w:rsidP="00972EAC">
            <w:pPr>
              <w:shd w:val="clear" w:color="auto" w:fill="FFFFFF"/>
              <w:spacing w:line="240" w:lineRule="auto"/>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Furnizor de gaze naturale</w:t>
            </w:r>
          </w:p>
        </w:tc>
        <w:tc>
          <w:tcPr>
            <w:tcW w:w="7229" w:type="dxa"/>
            <w:tcBorders>
              <w:top w:val="single" w:sz="4" w:space="0" w:color="auto"/>
              <w:bottom w:val="single" w:sz="4" w:space="0" w:color="auto"/>
            </w:tcBorders>
          </w:tcPr>
          <w:p w14:paraId="20E850CC" w14:textId="6637D284" w:rsidR="004935E0" w:rsidRPr="009772A3" w:rsidRDefault="00E75370" w:rsidP="00801CEB">
            <w:pPr>
              <w:pStyle w:val="FootnoteText"/>
              <w:spacing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vertAlign w:val="baseline"/>
                <w:lang w:val="ro-MD"/>
              </w:rPr>
              <w:t>întreprindere de gaze naturale, titular de licență pentru furnizarea gazelor naturale, care asigură vânzarea, inclusiv revânzarea, gaz</w:t>
            </w:r>
            <w:r w:rsidR="00801CEB" w:rsidRPr="009772A3">
              <w:rPr>
                <w:rFonts w:asciiTheme="majorHAnsi" w:hAnsiTheme="majorHAnsi" w:cstheme="majorHAnsi"/>
                <w:sz w:val="24"/>
                <w:szCs w:val="24"/>
                <w:vertAlign w:val="baseline"/>
                <w:lang w:val="ro-MD"/>
              </w:rPr>
              <w:t>elor naturale către consumatori</w:t>
            </w:r>
          </w:p>
        </w:tc>
      </w:tr>
      <w:tr w:rsidR="00972EAC" w:rsidRPr="009772A3" w14:paraId="7D8D8A83" w14:textId="77777777" w:rsidTr="008B741E">
        <w:tc>
          <w:tcPr>
            <w:tcW w:w="2127" w:type="dxa"/>
            <w:tcBorders>
              <w:top w:val="single" w:sz="4" w:space="0" w:color="auto"/>
              <w:bottom w:val="single" w:sz="4" w:space="0" w:color="auto"/>
            </w:tcBorders>
          </w:tcPr>
          <w:p w14:paraId="64B20461" w14:textId="154AC2D2" w:rsidR="00972EAC" w:rsidRPr="009772A3" w:rsidRDefault="00E75370" w:rsidP="00801CEB">
            <w:pPr>
              <w:shd w:val="clear" w:color="auto" w:fill="FFFFFF"/>
              <w:spacing w:line="240" w:lineRule="auto"/>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Întreprindere de gaze naturale</w:t>
            </w:r>
          </w:p>
        </w:tc>
        <w:tc>
          <w:tcPr>
            <w:tcW w:w="7229" w:type="dxa"/>
            <w:tcBorders>
              <w:top w:val="single" w:sz="4" w:space="0" w:color="auto"/>
              <w:bottom w:val="single" w:sz="4" w:space="0" w:color="auto"/>
            </w:tcBorders>
          </w:tcPr>
          <w:p w14:paraId="1C5ED7E7" w14:textId="53938570" w:rsidR="00972EAC" w:rsidRPr="009772A3" w:rsidRDefault="00E75370" w:rsidP="008F3D51">
            <w:pPr>
              <w:pStyle w:val="FootnoteText"/>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persoană juridică, înregistrată în Republica Moldova, care desfășoară cel puțin una dintre activitățile de producere, de transport, de distribuție, de stocare sau de furnizare a gazelor naturale și care îndeplinește funcții comerciale, tehnice și/sau de întreținere în legătură cu activitățile menționate, dar care nu implică consumatorii finali</w:t>
            </w:r>
          </w:p>
        </w:tc>
      </w:tr>
      <w:tr w:rsidR="00972EAC" w:rsidRPr="009772A3" w14:paraId="17C17877" w14:textId="77777777" w:rsidTr="008B741E">
        <w:tc>
          <w:tcPr>
            <w:tcW w:w="2127" w:type="dxa"/>
            <w:tcBorders>
              <w:top w:val="single" w:sz="4" w:space="0" w:color="auto"/>
              <w:bottom w:val="single" w:sz="4" w:space="0" w:color="auto"/>
            </w:tcBorders>
          </w:tcPr>
          <w:p w14:paraId="1C0F4D16" w14:textId="55548B11" w:rsidR="00972EAC" w:rsidRPr="009772A3" w:rsidRDefault="00E75370" w:rsidP="00972EAC">
            <w:pPr>
              <w:shd w:val="clear" w:color="auto" w:fill="FFFFFF"/>
              <w:spacing w:line="240" w:lineRule="auto"/>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Obligație de serviciu public</w:t>
            </w:r>
          </w:p>
        </w:tc>
        <w:tc>
          <w:tcPr>
            <w:tcW w:w="7229" w:type="dxa"/>
            <w:tcBorders>
              <w:top w:val="single" w:sz="4" w:space="0" w:color="auto"/>
              <w:bottom w:val="single" w:sz="4" w:space="0" w:color="auto"/>
            </w:tcBorders>
          </w:tcPr>
          <w:p w14:paraId="120CFFE4" w14:textId="5D73019D" w:rsidR="00972EAC" w:rsidRPr="009772A3" w:rsidRDefault="00E75370" w:rsidP="009555A3">
            <w:pPr>
              <w:pStyle w:val="FootnoteText"/>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obligație impusă întreprinderii de gaze naturale în interesul economic general, care se poate referi la securitate, inclusiv la securitatea aprovizionării cu gaze naturale, la continuitate, la calitate, la prețurile furnizărilor, precum și la protecția mediului, și care nu este discriminatorie și nu denaturează concurența în afară de ceea ce este strict necesar pentru a realiza obligația de serviciu public în cauză</w:t>
            </w:r>
          </w:p>
        </w:tc>
      </w:tr>
      <w:tr w:rsidR="00972EAC" w:rsidRPr="009772A3" w14:paraId="7C695E01" w14:textId="77777777" w:rsidTr="00FD136C">
        <w:tc>
          <w:tcPr>
            <w:tcW w:w="2127" w:type="dxa"/>
            <w:tcBorders>
              <w:top w:val="single" w:sz="4" w:space="0" w:color="auto"/>
              <w:bottom w:val="single" w:sz="4" w:space="0" w:color="auto"/>
            </w:tcBorders>
          </w:tcPr>
          <w:p w14:paraId="7F5D9E1C" w14:textId="2FD12BDB" w:rsidR="00972EAC" w:rsidRPr="009772A3" w:rsidRDefault="00E75370" w:rsidP="00801CEB">
            <w:pPr>
              <w:shd w:val="clear" w:color="auto" w:fill="FFFFFF"/>
              <w:spacing w:line="240" w:lineRule="auto"/>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Operator al sistemului de distribuție</w:t>
            </w:r>
          </w:p>
        </w:tc>
        <w:tc>
          <w:tcPr>
            <w:tcW w:w="7229" w:type="dxa"/>
            <w:tcBorders>
              <w:top w:val="single" w:sz="4" w:space="0" w:color="auto"/>
              <w:bottom w:val="single" w:sz="4" w:space="0" w:color="auto"/>
            </w:tcBorders>
          </w:tcPr>
          <w:p w14:paraId="45878E42" w14:textId="1F56E5A4" w:rsidR="00972EAC" w:rsidRPr="009772A3" w:rsidRDefault="00E75370" w:rsidP="00801CEB">
            <w:pPr>
              <w:pStyle w:val="FootnoteText"/>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întreprindere de gaze naturale, titular de licență pentru distribuția gazelor naturale</w:t>
            </w:r>
            <w:r w:rsidR="009555A3"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care dispune de rețele de distribuție a gazelor naturale, îndeplinește funcții de distribuție a gazelor naturale și este responsabilă de exploatarea, întreținerea, modernizarea, inclusiv retehnologizarea și dezvoltarea rețelelor de distribuție a gazelor naturale în anumite zone, precum și de asigurarea capacității rețelelor de distribuție a gazelor naturale de a satisface pe termen lung un nivel rezonabil al cererii privind prestarea serviciului de</w:t>
            </w:r>
            <w:r w:rsidR="00801CEB" w:rsidRPr="009772A3">
              <w:rPr>
                <w:rFonts w:asciiTheme="majorHAnsi" w:hAnsiTheme="majorHAnsi" w:cstheme="majorHAnsi"/>
                <w:sz w:val="24"/>
                <w:szCs w:val="24"/>
                <w:vertAlign w:val="baseline"/>
                <w:lang w:val="ro-MD"/>
              </w:rPr>
              <w:t xml:space="preserve"> distribuție a gazelor naturale</w:t>
            </w:r>
          </w:p>
        </w:tc>
      </w:tr>
      <w:tr w:rsidR="00972EAC" w:rsidRPr="009772A3" w14:paraId="7FE0D10E" w14:textId="77777777" w:rsidTr="008B741E">
        <w:tc>
          <w:tcPr>
            <w:tcW w:w="2127" w:type="dxa"/>
            <w:tcBorders>
              <w:top w:val="single" w:sz="4" w:space="0" w:color="auto"/>
              <w:bottom w:val="single" w:sz="4" w:space="0" w:color="auto"/>
            </w:tcBorders>
          </w:tcPr>
          <w:p w14:paraId="70174715" w14:textId="1C20E62B" w:rsidR="00972EAC" w:rsidRPr="009772A3" w:rsidRDefault="00E75370" w:rsidP="00801CEB">
            <w:pPr>
              <w:shd w:val="clear" w:color="auto" w:fill="FFFFFF"/>
              <w:spacing w:line="240" w:lineRule="auto"/>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Operator al sistemului de transport</w:t>
            </w:r>
          </w:p>
        </w:tc>
        <w:tc>
          <w:tcPr>
            <w:tcW w:w="7229" w:type="dxa"/>
            <w:tcBorders>
              <w:top w:val="single" w:sz="4" w:space="0" w:color="auto"/>
              <w:bottom w:val="single" w:sz="4" w:space="0" w:color="auto"/>
            </w:tcBorders>
          </w:tcPr>
          <w:p w14:paraId="480EEE82" w14:textId="1114670F" w:rsidR="00972EAC" w:rsidRPr="009772A3" w:rsidRDefault="00E75370" w:rsidP="000F42B3">
            <w:pPr>
              <w:pStyle w:val="FootnoteText"/>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întreprindere de gaze naturale, titular de licență pentru transportul gazelor naturale</w:t>
            </w:r>
            <w:r w:rsidR="009555A3"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care dispune de rețele de transport a gazelor naturale, îndeplinește funcții de transport al gazelor naturale și este responsabilă de exploatarea, întreținerea, modernizarea, inclusiv retehnologizarea și dezvoltarea rețelelor de transport al gazelor naturale și a interconexiunilor, precum și de asigurarea capacității rețelelor de transport al gazelor naturale de a satisface pe termen lung un nivel rezonabil al cererii privind prestarea serviciului d</w:t>
            </w:r>
            <w:r w:rsidR="00801CEB" w:rsidRPr="009772A3">
              <w:rPr>
                <w:rFonts w:asciiTheme="majorHAnsi" w:hAnsiTheme="majorHAnsi" w:cstheme="majorHAnsi"/>
                <w:sz w:val="24"/>
                <w:szCs w:val="24"/>
                <w:vertAlign w:val="baseline"/>
                <w:lang w:val="ro-MD"/>
              </w:rPr>
              <w:t>e transport al gazelor naturale</w:t>
            </w:r>
          </w:p>
        </w:tc>
      </w:tr>
      <w:tr w:rsidR="00972EAC" w:rsidRPr="009772A3" w14:paraId="2F3C001A" w14:textId="77777777" w:rsidTr="008B741E">
        <w:tc>
          <w:tcPr>
            <w:tcW w:w="2127" w:type="dxa"/>
            <w:tcBorders>
              <w:top w:val="single" w:sz="4" w:space="0" w:color="auto"/>
              <w:bottom w:val="single" w:sz="4" w:space="0" w:color="auto"/>
            </w:tcBorders>
          </w:tcPr>
          <w:p w14:paraId="312E5669" w14:textId="55F74A57" w:rsidR="00972EAC" w:rsidRPr="009772A3" w:rsidRDefault="00E75370" w:rsidP="00972EAC">
            <w:pPr>
              <w:shd w:val="clear" w:color="auto" w:fill="FFFFFF"/>
              <w:spacing w:line="240" w:lineRule="auto"/>
              <w:ind w:right="-108"/>
              <w:rPr>
                <w:rFonts w:asciiTheme="majorHAnsi" w:hAnsiTheme="majorHAnsi" w:cstheme="majorHAnsi"/>
                <w:b/>
                <w:sz w:val="24"/>
                <w:szCs w:val="24"/>
                <w:lang w:val="ro-MD"/>
              </w:rPr>
            </w:pPr>
            <w:r w:rsidRPr="009772A3">
              <w:rPr>
                <w:rFonts w:asciiTheme="majorHAnsi" w:hAnsiTheme="majorHAnsi" w:cstheme="majorHAnsi"/>
                <w:b/>
                <w:bCs/>
                <w:sz w:val="24"/>
                <w:szCs w:val="24"/>
                <w:lang w:val="ro-MD"/>
              </w:rPr>
              <w:t>Sistem de gaze naturale</w:t>
            </w:r>
          </w:p>
        </w:tc>
        <w:tc>
          <w:tcPr>
            <w:tcW w:w="7229" w:type="dxa"/>
            <w:tcBorders>
              <w:top w:val="single" w:sz="4" w:space="0" w:color="auto"/>
              <w:bottom w:val="single" w:sz="4" w:space="0" w:color="auto"/>
            </w:tcBorders>
          </w:tcPr>
          <w:p w14:paraId="59B5D1BC" w14:textId="7C2CBCFF" w:rsidR="00972EAC" w:rsidRPr="009772A3" w:rsidRDefault="00E75370" w:rsidP="00801CEB">
            <w:pPr>
              <w:pStyle w:val="FootnoteText"/>
              <w:spacing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vertAlign w:val="baseline"/>
                <w:lang w:val="ro-MD"/>
              </w:rPr>
              <w:t>instalații de producere, depozite de stocare, rețele de gazoducte în amonte, rețele de transport și de distribuție a gazelor naturale, deținute și exploatate de întreprinderile de gaze naturale, instalații conexe necesare pentru asigurarea accesului la rețelele de transport și de distribuție a gazelor naturale, pre</w:t>
            </w:r>
            <w:r w:rsidR="00801CEB" w:rsidRPr="009772A3">
              <w:rPr>
                <w:rFonts w:asciiTheme="majorHAnsi" w:hAnsiTheme="majorHAnsi" w:cstheme="majorHAnsi"/>
                <w:sz w:val="24"/>
                <w:szCs w:val="24"/>
                <w:vertAlign w:val="baseline"/>
                <w:lang w:val="ro-MD"/>
              </w:rPr>
              <w:t>cum și la depozitele de stocare</w:t>
            </w:r>
          </w:p>
        </w:tc>
      </w:tr>
      <w:tr w:rsidR="00972EAC" w:rsidRPr="009772A3" w14:paraId="27184AF9" w14:textId="77777777" w:rsidTr="008B741E">
        <w:tc>
          <w:tcPr>
            <w:tcW w:w="2127" w:type="dxa"/>
            <w:tcBorders>
              <w:top w:val="single" w:sz="4" w:space="0" w:color="auto"/>
              <w:bottom w:val="single" w:sz="4" w:space="0" w:color="auto"/>
            </w:tcBorders>
          </w:tcPr>
          <w:p w14:paraId="6EC11280" w14:textId="7AB0CBAD" w:rsidR="00972EAC" w:rsidRPr="009772A3" w:rsidRDefault="00972EAC" w:rsidP="00972EAC">
            <w:pPr>
              <w:shd w:val="clear" w:color="auto" w:fill="FFFFFF"/>
              <w:spacing w:line="240" w:lineRule="auto"/>
              <w:ind w:right="-108"/>
              <w:rPr>
                <w:rFonts w:asciiTheme="majorHAnsi" w:hAnsiTheme="majorHAnsi" w:cstheme="majorHAnsi"/>
                <w:b/>
                <w:sz w:val="24"/>
                <w:szCs w:val="24"/>
                <w:lang w:val="ro-MD"/>
              </w:rPr>
            </w:pPr>
          </w:p>
        </w:tc>
        <w:tc>
          <w:tcPr>
            <w:tcW w:w="7229" w:type="dxa"/>
            <w:tcBorders>
              <w:top w:val="single" w:sz="4" w:space="0" w:color="auto"/>
              <w:bottom w:val="single" w:sz="4" w:space="0" w:color="auto"/>
            </w:tcBorders>
          </w:tcPr>
          <w:p w14:paraId="7FEFA19F" w14:textId="3AB11EE5" w:rsidR="00972EAC" w:rsidRPr="009772A3" w:rsidRDefault="00972EAC" w:rsidP="00972EAC">
            <w:pPr>
              <w:shd w:val="clear" w:color="auto" w:fill="FFFFFF"/>
              <w:spacing w:line="240" w:lineRule="auto"/>
              <w:ind w:right="-108"/>
              <w:jc w:val="both"/>
              <w:rPr>
                <w:rFonts w:asciiTheme="majorHAnsi" w:hAnsiTheme="majorHAnsi" w:cstheme="majorHAnsi"/>
                <w:sz w:val="24"/>
                <w:szCs w:val="24"/>
                <w:lang w:val="ro-MD"/>
              </w:rPr>
            </w:pPr>
          </w:p>
        </w:tc>
      </w:tr>
    </w:tbl>
    <w:p w14:paraId="4270669F" w14:textId="46D9A5E8" w:rsidR="00E75370" w:rsidRPr="009772A3" w:rsidRDefault="009F66A2" w:rsidP="00E75370">
      <w:pPr>
        <w:spacing w:line="276" w:lineRule="auto"/>
        <w:ind w:firstLine="709"/>
        <w:jc w:val="both"/>
        <w:rPr>
          <w:rFonts w:asciiTheme="majorHAnsi" w:eastAsia="Times New Roman" w:hAnsiTheme="majorHAnsi" w:cs="Times New Roman"/>
          <w:i/>
          <w:sz w:val="24"/>
          <w:szCs w:val="24"/>
          <w:lang w:val="ro-MD"/>
        </w:rPr>
      </w:pPr>
      <w:r w:rsidRPr="009772A3">
        <w:rPr>
          <w:rFonts w:asciiTheme="majorHAnsi" w:eastAsia="Times New Roman" w:hAnsiTheme="majorHAnsi" w:cs="Times New Roman"/>
          <w:b/>
          <w:bCs/>
          <w:i/>
          <w:iCs/>
          <w:sz w:val="24"/>
          <w:szCs w:val="24"/>
          <w:lang w:val="ro-MD"/>
        </w:rPr>
        <w:t>Notă:</w:t>
      </w:r>
      <w:r w:rsidRPr="009772A3">
        <w:rPr>
          <w:rFonts w:asciiTheme="majorHAnsi" w:eastAsia="Times New Roman" w:hAnsiTheme="majorHAnsi" w:cs="Times New Roman"/>
          <w:bCs/>
          <w:i/>
          <w:iCs/>
          <w:sz w:val="24"/>
          <w:szCs w:val="24"/>
          <w:lang w:val="ro-MD"/>
        </w:rPr>
        <w:t xml:space="preserve"> </w:t>
      </w:r>
      <w:r w:rsidRPr="009772A3">
        <w:rPr>
          <w:rFonts w:asciiTheme="majorHAnsi" w:eastAsia="Times New Roman" w:hAnsiTheme="majorHAnsi" w:cs="Times New Roman"/>
          <w:i/>
          <w:sz w:val="24"/>
          <w:szCs w:val="24"/>
          <w:lang w:val="ro-MD"/>
        </w:rPr>
        <w:t>Glosarul de termeni prezentat are un rol informativ și nu produce efecte legale.</w:t>
      </w:r>
    </w:p>
    <w:p w14:paraId="415962EF" w14:textId="77777777" w:rsidR="00146A46" w:rsidRPr="00CF3AD4" w:rsidRDefault="00146A46" w:rsidP="00E75370">
      <w:pPr>
        <w:spacing w:line="276" w:lineRule="auto"/>
        <w:ind w:firstLine="709"/>
        <w:jc w:val="both"/>
        <w:rPr>
          <w:rFonts w:asciiTheme="majorHAnsi" w:eastAsia="Times New Roman" w:hAnsiTheme="majorHAnsi" w:cs="Times New Roman"/>
          <w:i/>
          <w:sz w:val="24"/>
          <w:szCs w:val="24"/>
          <w:lang w:val="ro-MD"/>
        </w:rPr>
        <w:sectPr w:rsidR="00146A46" w:rsidRPr="00CF3AD4" w:rsidSect="00CF3AD4">
          <w:footerReference w:type="default" r:id="rId13"/>
          <w:pgSz w:w="11906" w:h="16838"/>
          <w:pgMar w:top="1140" w:right="851" w:bottom="1418" w:left="1701" w:header="720" w:footer="425" w:gutter="0"/>
          <w:cols w:space="720"/>
        </w:sectPr>
      </w:pPr>
    </w:p>
    <w:p w14:paraId="684C36FF" w14:textId="436EAD44" w:rsidR="00700D79" w:rsidRPr="009772A3" w:rsidRDefault="00D51E5C" w:rsidP="00CF3AD4">
      <w:pPr>
        <w:pStyle w:val="Heading1"/>
        <w:numPr>
          <w:ilvl w:val="0"/>
          <w:numId w:val="2"/>
        </w:numPr>
        <w:spacing w:before="0" w:line="276" w:lineRule="auto"/>
        <w:ind w:left="0" w:firstLine="0"/>
        <w:jc w:val="left"/>
        <w:rPr>
          <w:color w:val="auto"/>
          <w:sz w:val="28"/>
          <w:lang w:val="ro-MD"/>
        </w:rPr>
      </w:pPr>
      <w:bookmarkStart w:id="5" w:name="_Toc47338762"/>
      <w:bookmarkStart w:id="6" w:name="_Toc119496375"/>
      <w:r w:rsidRPr="009772A3">
        <w:rPr>
          <w:color w:val="auto"/>
          <w:sz w:val="28"/>
          <w:lang w:val="ro-MD"/>
        </w:rPr>
        <w:t>SINTEZA</w:t>
      </w:r>
      <w:bookmarkEnd w:id="5"/>
      <w:bookmarkEnd w:id="6"/>
    </w:p>
    <w:p w14:paraId="1358491A" w14:textId="10FE926F" w:rsidR="00CA42EB" w:rsidRPr="009772A3" w:rsidRDefault="00CA42EB">
      <w:pPr>
        <w:pStyle w:val="FootnoteText"/>
        <w:spacing w:line="276" w:lineRule="auto"/>
        <w:ind w:firstLine="709"/>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Misiunea de audit public extern a fost desfășurată la inițiativa Parlamentului Republicii Moldova</w:t>
      </w:r>
      <w:r w:rsidRPr="009772A3">
        <w:rPr>
          <w:rFonts w:asciiTheme="majorHAnsi" w:hAnsiTheme="majorHAnsi" w:cstheme="majorHAnsi"/>
          <w:sz w:val="24"/>
          <w:szCs w:val="24"/>
          <w:lang w:val="ro-MD"/>
        </w:rPr>
        <w:footnoteReference w:id="1"/>
      </w:r>
      <w:r w:rsidRPr="009772A3">
        <w:rPr>
          <w:rFonts w:asciiTheme="majorHAnsi" w:hAnsiTheme="majorHAnsi" w:cstheme="majorHAnsi"/>
          <w:sz w:val="24"/>
          <w:szCs w:val="24"/>
          <w:vertAlign w:val="baseline"/>
          <w:lang w:val="ro-MD"/>
        </w:rPr>
        <w:t xml:space="preserve">, în contextul declarării stării de urgență pe întreg teritoriul </w:t>
      </w:r>
      <w:r w:rsidR="005D5684">
        <w:rPr>
          <w:rFonts w:asciiTheme="majorHAnsi" w:hAnsiTheme="majorHAnsi" w:cstheme="majorHAnsi"/>
          <w:sz w:val="24"/>
          <w:szCs w:val="24"/>
          <w:vertAlign w:val="baseline"/>
          <w:lang w:val="ro-MD"/>
        </w:rPr>
        <w:t>țării</w:t>
      </w:r>
      <w:r w:rsidRPr="009772A3">
        <w:rPr>
          <w:rFonts w:asciiTheme="majorHAnsi" w:hAnsiTheme="majorHAnsi" w:cstheme="majorHAnsi"/>
          <w:sz w:val="24"/>
          <w:szCs w:val="24"/>
          <w:vertAlign w:val="baseline"/>
          <w:lang w:val="ro-MD"/>
        </w:rPr>
        <w:t>, ca rezultat al insuficienței gazelor naturale</w:t>
      </w:r>
      <w:r w:rsidRPr="009772A3">
        <w:rPr>
          <w:rFonts w:asciiTheme="majorHAnsi" w:hAnsiTheme="majorHAnsi" w:cstheme="majorHAnsi"/>
          <w:sz w:val="24"/>
          <w:szCs w:val="24"/>
          <w:lang w:val="ro-MD"/>
        </w:rPr>
        <w:footnoteReference w:id="2"/>
      </w:r>
      <w:r w:rsidRPr="009772A3">
        <w:rPr>
          <w:rFonts w:asciiTheme="majorHAnsi" w:hAnsiTheme="majorHAnsi" w:cstheme="majorHAnsi"/>
          <w:sz w:val="24"/>
          <w:szCs w:val="24"/>
          <w:vertAlign w:val="baseline"/>
          <w:lang w:val="ro-MD"/>
        </w:rPr>
        <w:t xml:space="preserve">. </w:t>
      </w:r>
    </w:p>
    <w:p w14:paraId="7C27BA60" w14:textId="1144589C" w:rsidR="006D0AB8" w:rsidRPr="009772A3" w:rsidRDefault="006D0AB8" w:rsidP="006D0AB8">
      <w:pPr>
        <w:spacing w:after="0"/>
        <w:ind w:firstLine="709"/>
        <w:jc w:val="both"/>
        <w:rPr>
          <w:rFonts w:asciiTheme="majorHAnsi" w:hAnsiTheme="majorHAnsi" w:cstheme="majorHAnsi"/>
          <w:bCs/>
          <w:sz w:val="24"/>
          <w:szCs w:val="24"/>
          <w:lang w:val="ro-MD"/>
        </w:rPr>
      </w:pPr>
      <w:r w:rsidRPr="009772A3">
        <w:rPr>
          <w:rFonts w:asciiTheme="majorHAnsi" w:hAnsiTheme="majorHAnsi" w:cstheme="majorHAnsi"/>
          <w:sz w:val="24"/>
          <w:szCs w:val="24"/>
          <w:lang w:val="ro-MD"/>
        </w:rPr>
        <w:tab/>
      </w:r>
      <w:r w:rsidRPr="009772A3">
        <w:rPr>
          <w:rFonts w:asciiTheme="majorHAnsi" w:hAnsiTheme="majorHAnsi" w:cstheme="majorHAnsi"/>
          <w:bCs/>
          <w:sz w:val="24"/>
          <w:szCs w:val="24"/>
          <w:lang w:val="ro-MD"/>
        </w:rPr>
        <w:t xml:space="preserve">Auditul a </w:t>
      </w:r>
      <w:r w:rsidR="005D5684">
        <w:rPr>
          <w:rFonts w:asciiTheme="majorHAnsi" w:hAnsiTheme="majorHAnsi" w:cstheme="majorHAnsi"/>
          <w:bCs/>
          <w:sz w:val="24"/>
          <w:szCs w:val="24"/>
          <w:lang w:val="ro-MD"/>
        </w:rPr>
        <w:t xml:space="preserve">fost </w:t>
      </w:r>
      <w:r w:rsidRPr="009772A3">
        <w:rPr>
          <w:rFonts w:asciiTheme="majorHAnsi" w:hAnsiTheme="majorHAnsi" w:cstheme="majorHAnsi"/>
          <w:bCs/>
          <w:sz w:val="24"/>
          <w:szCs w:val="24"/>
          <w:lang w:val="ro-MD"/>
        </w:rPr>
        <w:t>efectuat în conformitate cu atribuţiile, împuternicirile, și garanţiile stabilite în art. 133 din Constituția Republicii Moldova,</w:t>
      </w:r>
      <w:r w:rsidR="005D5684">
        <w:rPr>
          <w:rFonts w:asciiTheme="majorHAnsi" w:hAnsiTheme="majorHAnsi" w:cstheme="majorHAnsi"/>
          <w:bCs/>
          <w:sz w:val="24"/>
          <w:szCs w:val="24"/>
          <w:lang w:val="ro-MD"/>
        </w:rPr>
        <w:t xml:space="preserve"> în</w:t>
      </w:r>
      <w:r w:rsidRPr="009772A3">
        <w:rPr>
          <w:rFonts w:asciiTheme="majorHAnsi" w:hAnsiTheme="majorHAnsi" w:cstheme="majorHAnsi"/>
          <w:bCs/>
          <w:sz w:val="24"/>
          <w:szCs w:val="24"/>
          <w:lang w:val="ro-MD"/>
        </w:rPr>
        <w:t xml:space="preserve"> Legea nr.260 din 07.12.2017 privind organizarea şi funcţionarea Curţii de Conturi a Republicii Moldova conform cărora Curtea de Conturi exercită controlul asupra modului de formare, administrare şi întrebuinţare a resurselor financiare publice </w:t>
      </w:r>
      <w:r w:rsidRPr="009772A3">
        <w:rPr>
          <w:rFonts w:asciiTheme="majorHAnsi" w:hAnsiTheme="majorHAnsi" w:cstheme="majorHAnsi"/>
          <w:b/>
          <w:bCs/>
          <w:i/>
          <w:sz w:val="24"/>
          <w:szCs w:val="24"/>
          <w:lang w:val="ro-MD"/>
        </w:rPr>
        <w:t xml:space="preserve">şi a patrimoniului public </w:t>
      </w:r>
      <w:r w:rsidRPr="009772A3">
        <w:rPr>
          <w:rFonts w:asciiTheme="majorHAnsi" w:hAnsiTheme="majorHAnsi" w:cstheme="majorHAnsi"/>
          <w:bCs/>
          <w:sz w:val="24"/>
          <w:szCs w:val="24"/>
          <w:lang w:val="ro-MD"/>
        </w:rPr>
        <w:t>prin realizarea auditului public extern în conformitate cu standardele internaţionale ale instituţiilor supreme de audit.</w:t>
      </w:r>
    </w:p>
    <w:p w14:paraId="3CF9306E" w14:textId="77777777" w:rsidR="00CA42EB" w:rsidRPr="009772A3" w:rsidRDefault="00CA42EB" w:rsidP="00CA42EB">
      <w:pPr>
        <w:pStyle w:val="FootnoteText"/>
        <w:spacing w:line="276" w:lineRule="auto"/>
        <w:ind w:firstLine="709"/>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Raportul de audit este destinat:  </w:t>
      </w:r>
    </w:p>
    <w:p w14:paraId="3EC3B877" w14:textId="77777777" w:rsidR="00CA42EB" w:rsidRPr="009772A3" w:rsidRDefault="00CA42EB" w:rsidP="00CA42EB">
      <w:pPr>
        <w:spacing w:after="0"/>
        <w:ind w:firstLine="709"/>
        <w:jc w:val="both"/>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 xml:space="preserve">Parlamentului și Guvernului Republicii Moldova – </w:t>
      </w:r>
      <w:r w:rsidRPr="009772A3">
        <w:rPr>
          <w:rFonts w:asciiTheme="majorHAnsi" w:hAnsiTheme="majorHAnsi" w:cstheme="majorHAnsi"/>
          <w:sz w:val="24"/>
          <w:szCs w:val="24"/>
          <w:lang w:val="ro-MD"/>
        </w:rPr>
        <w:t>pentru informare, luare de atitudine și posibilă utilizare a informațiilor la luarea deciziilor/inițiativelor aferente domeniilor administrării proprietății publice și a securității și eficienței energetice;</w:t>
      </w:r>
    </w:p>
    <w:p w14:paraId="75887229" w14:textId="77777777" w:rsidR="00CA42EB" w:rsidRPr="009772A3" w:rsidRDefault="00CA42EB" w:rsidP="00CA42EB">
      <w:pPr>
        <w:spacing w:after="0"/>
        <w:ind w:firstLine="709"/>
        <w:jc w:val="both"/>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Ministerului Infrastructurii și Dezvoltării Regionale</w:t>
      </w:r>
      <w:r w:rsidRPr="009772A3">
        <w:rPr>
          <w:rFonts w:asciiTheme="majorHAnsi" w:hAnsiTheme="majorHAnsi" w:cstheme="majorHAnsi"/>
          <w:sz w:val="24"/>
          <w:szCs w:val="24"/>
          <w:lang w:val="ro-MD"/>
        </w:rPr>
        <w:t>, ca organ central de specialitate al administrației publice responsabil de elaborarea și promovarea politicilor în domeniul energetic – pentru informare și posibilă utilizare a informațiilor în vederea realizării politicii guvernamentale în domeniul securității și eficienței energetice;</w:t>
      </w:r>
    </w:p>
    <w:p w14:paraId="0E90934C" w14:textId="2D9C0951" w:rsidR="00CA42EB" w:rsidRPr="009772A3" w:rsidRDefault="00CA42EB" w:rsidP="00CA42EB">
      <w:pPr>
        <w:spacing w:after="0"/>
        <w:ind w:firstLine="709"/>
        <w:jc w:val="both"/>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 xml:space="preserve">Agenției Proprietății Publice, </w:t>
      </w:r>
      <w:r w:rsidRPr="009772A3">
        <w:rPr>
          <w:rFonts w:asciiTheme="majorHAnsi" w:eastAsia="Times New Roman" w:hAnsiTheme="majorHAnsi" w:cstheme="majorHAnsi"/>
          <w:sz w:val="24"/>
          <w:szCs w:val="24"/>
          <w:lang w:val="ro-MD"/>
        </w:rPr>
        <w:t>ca autoritate administrativă centrală</w:t>
      </w:r>
      <w:r w:rsidR="00B95342" w:rsidRPr="009772A3">
        <w:rPr>
          <w:rFonts w:asciiTheme="majorHAnsi" w:eastAsia="Times New Roman" w:hAnsiTheme="majorHAnsi" w:cstheme="majorHAnsi"/>
          <w:sz w:val="24"/>
          <w:szCs w:val="24"/>
          <w:lang w:val="ro-MD"/>
        </w:rPr>
        <w:t xml:space="preserve"> ce exercită din numele </w:t>
      </w:r>
      <w:r w:rsidRPr="009772A3">
        <w:rPr>
          <w:rFonts w:asciiTheme="majorHAnsi" w:eastAsia="Times New Roman" w:hAnsiTheme="majorHAnsi" w:cstheme="majorHAnsi"/>
          <w:sz w:val="24"/>
          <w:szCs w:val="24"/>
          <w:lang w:val="ro-MD"/>
        </w:rPr>
        <w:t>Guvernului</w:t>
      </w:r>
      <w:r w:rsidR="00B95342" w:rsidRPr="009772A3">
        <w:rPr>
          <w:rFonts w:asciiTheme="majorHAnsi" w:eastAsia="Times New Roman" w:hAnsiTheme="majorHAnsi" w:cstheme="majorHAnsi"/>
          <w:sz w:val="24"/>
          <w:szCs w:val="24"/>
          <w:lang w:val="ro-MD"/>
        </w:rPr>
        <w:t xml:space="preserve"> drepturile de acționar al SA Moldovagaz</w:t>
      </w:r>
      <w:r w:rsidRPr="009772A3">
        <w:rPr>
          <w:rFonts w:asciiTheme="majorHAnsi" w:eastAsia="Times New Roman" w:hAnsiTheme="majorHAnsi" w:cstheme="majorHAnsi"/>
          <w:sz w:val="24"/>
          <w:szCs w:val="24"/>
          <w:lang w:val="ro-MD"/>
        </w:rPr>
        <w:t xml:space="preserve"> –</w:t>
      </w:r>
      <w:r w:rsidRPr="009772A3">
        <w:rPr>
          <w:rFonts w:asciiTheme="majorHAnsi" w:eastAsia="Times New Roman" w:hAnsiTheme="majorHAnsi" w:cstheme="majorHAnsi"/>
          <w:b/>
          <w:sz w:val="24"/>
          <w:szCs w:val="24"/>
          <w:lang w:val="ro-MD"/>
        </w:rPr>
        <w:t xml:space="preserve"> </w:t>
      </w:r>
      <w:r w:rsidRPr="009772A3">
        <w:rPr>
          <w:rFonts w:asciiTheme="majorHAnsi" w:hAnsiTheme="majorHAnsi" w:cstheme="majorHAnsi"/>
          <w:sz w:val="24"/>
          <w:szCs w:val="24"/>
          <w:lang w:val="ro-MD"/>
        </w:rPr>
        <w:t>pentru informare și posibilă utilizare a informațiilor în vederea exercitării funcțiilor sale în domeniul gestionării proprietății publice</w:t>
      </w:r>
      <w:r w:rsidR="00B95342" w:rsidRPr="009772A3">
        <w:rPr>
          <w:rFonts w:asciiTheme="majorHAnsi" w:hAnsiTheme="majorHAnsi" w:cstheme="majorHAnsi"/>
          <w:sz w:val="24"/>
          <w:szCs w:val="24"/>
          <w:lang w:val="ro-MD"/>
        </w:rPr>
        <w:t>;</w:t>
      </w:r>
    </w:p>
    <w:p w14:paraId="5B6F7C96" w14:textId="06081990" w:rsidR="00CA42EB" w:rsidRPr="009772A3" w:rsidRDefault="005D5684" w:rsidP="00CA42EB">
      <w:pPr>
        <w:spacing w:after="0"/>
        <w:ind w:firstLine="709"/>
        <w:jc w:val="both"/>
        <w:rPr>
          <w:rFonts w:asciiTheme="majorHAnsi" w:eastAsia="Times New Roman" w:hAnsiTheme="majorHAnsi" w:cstheme="majorHAnsi"/>
          <w:sz w:val="24"/>
          <w:szCs w:val="24"/>
          <w:lang w:val="ro-MD"/>
        </w:rPr>
      </w:pPr>
      <w:r w:rsidRPr="005D5684">
        <w:rPr>
          <w:rFonts w:asciiTheme="majorHAnsi" w:hAnsiTheme="majorHAnsi" w:cstheme="majorHAnsi"/>
          <w:b/>
          <w:bCs/>
          <w:sz w:val="24"/>
          <w:szCs w:val="24"/>
          <w:lang w:val="ro-MD"/>
        </w:rPr>
        <w:t>Agenției Naționale pentru Reglementare în Energetică</w:t>
      </w:r>
      <w:r w:rsidRPr="005D5684" w:rsidDel="005D5684">
        <w:rPr>
          <w:rFonts w:asciiTheme="majorHAnsi" w:hAnsiTheme="majorHAnsi" w:cstheme="majorHAnsi"/>
          <w:b/>
          <w:bCs/>
          <w:sz w:val="24"/>
          <w:szCs w:val="24"/>
          <w:lang w:val="ro-MD"/>
        </w:rPr>
        <w:t xml:space="preserve"> </w:t>
      </w:r>
      <w:r w:rsidR="00CA42EB" w:rsidRPr="009772A3">
        <w:rPr>
          <w:rFonts w:asciiTheme="majorHAnsi" w:hAnsiTheme="majorHAnsi" w:cstheme="majorHAnsi"/>
          <w:b/>
          <w:bCs/>
          <w:sz w:val="24"/>
          <w:szCs w:val="24"/>
          <w:lang w:val="ro-MD"/>
        </w:rPr>
        <w:t xml:space="preserve">– </w:t>
      </w:r>
      <w:r w:rsidR="00CA42EB" w:rsidRPr="009772A3">
        <w:rPr>
          <w:rFonts w:asciiTheme="majorHAnsi" w:eastAsia="Times New Roman" w:hAnsiTheme="majorHAnsi" w:cstheme="majorHAnsi"/>
          <w:sz w:val="24"/>
          <w:szCs w:val="24"/>
          <w:lang w:val="ro-MD"/>
        </w:rPr>
        <w:t>pentru informare, luare de atitudine și posibilă utilizare a informațiilor la implementarea politicii statului în domeniul de reglementare a sectorului gazelor naturale;</w:t>
      </w:r>
    </w:p>
    <w:p w14:paraId="5F0B6640" w14:textId="77777777" w:rsidR="00CA42EB" w:rsidRPr="009772A3" w:rsidRDefault="00CA42EB" w:rsidP="00CA42EB">
      <w:pPr>
        <w:spacing w:after="0"/>
        <w:ind w:firstLine="709"/>
        <w:jc w:val="both"/>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 xml:space="preserve">Societății și altor părți interesate – </w:t>
      </w:r>
      <w:r w:rsidRPr="009772A3">
        <w:rPr>
          <w:rFonts w:asciiTheme="majorHAnsi" w:hAnsiTheme="majorHAnsi" w:cstheme="majorHAnsi"/>
          <w:bCs/>
          <w:sz w:val="24"/>
          <w:szCs w:val="24"/>
          <w:lang w:val="ro-MD"/>
        </w:rPr>
        <w:t>pentru informare.</w:t>
      </w:r>
    </w:p>
    <w:p w14:paraId="637A328D" w14:textId="6312C44E" w:rsidR="006D0AB8" w:rsidRPr="009772A3" w:rsidRDefault="006D0AB8" w:rsidP="004F4116">
      <w:pPr>
        <w:spacing w:after="0"/>
        <w:ind w:firstLine="709"/>
        <w:jc w:val="both"/>
        <w:rPr>
          <w:rFonts w:asciiTheme="majorHAnsi" w:hAnsiTheme="majorHAnsi" w:cstheme="majorHAnsi"/>
          <w:bCs/>
          <w:sz w:val="24"/>
          <w:szCs w:val="24"/>
          <w:lang w:val="ro-MD"/>
        </w:rPr>
      </w:pPr>
      <w:r w:rsidRPr="009772A3">
        <w:rPr>
          <w:rFonts w:asciiTheme="majorHAnsi" w:hAnsiTheme="majorHAnsi" w:cstheme="majorHAnsi"/>
          <w:bCs/>
          <w:sz w:val="24"/>
          <w:szCs w:val="24"/>
          <w:lang w:val="ro-MD"/>
        </w:rPr>
        <w:t xml:space="preserve">Prezentul </w:t>
      </w:r>
      <w:r w:rsidR="009D4730">
        <w:rPr>
          <w:rFonts w:asciiTheme="majorHAnsi" w:hAnsiTheme="majorHAnsi" w:cstheme="majorHAnsi"/>
          <w:bCs/>
          <w:sz w:val="24"/>
          <w:szCs w:val="24"/>
          <w:lang w:val="ro-MD"/>
        </w:rPr>
        <w:t>R</w:t>
      </w:r>
      <w:r w:rsidR="009D4730" w:rsidRPr="009772A3">
        <w:rPr>
          <w:rFonts w:asciiTheme="majorHAnsi" w:hAnsiTheme="majorHAnsi" w:cstheme="majorHAnsi"/>
          <w:bCs/>
          <w:sz w:val="24"/>
          <w:szCs w:val="24"/>
          <w:lang w:val="ro-MD"/>
        </w:rPr>
        <w:t xml:space="preserve">aport </w:t>
      </w:r>
      <w:r w:rsidR="009D4730">
        <w:rPr>
          <w:rFonts w:asciiTheme="majorHAnsi" w:hAnsiTheme="majorHAnsi" w:cstheme="majorHAnsi"/>
          <w:bCs/>
          <w:sz w:val="24"/>
          <w:szCs w:val="24"/>
          <w:lang w:val="ro-MD"/>
        </w:rPr>
        <w:t xml:space="preserve">de audit </w:t>
      </w:r>
      <w:r w:rsidRPr="009772A3">
        <w:rPr>
          <w:rFonts w:asciiTheme="majorHAnsi" w:hAnsiTheme="majorHAnsi" w:cstheme="majorHAnsi"/>
          <w:bCs/>
          <w:sz w:val="24"/>
          <w:szCs w:val="24"/>
          <w:lang w:val="ro-MD"/>
        </w:rPr>
        <w:t>este expus în format extins cu utilizarea metodei descriptive de expunere a conținutului așa cum prevăd cerințele standardelor internaționale de audit și normele interne ale Curții de Conturi față de rapoartele auditului de conformitate cu raportare directă</w:t>
      </w:r>
      <w:r w:rsidRPr="009772A3">
        <w:rPr>
          <w:rFonts w:asciiTheme="majorHAnsi" w:hAnsiTheme="majorHAnsi" w:cstheme="majorHAnsi"/>
          <w:bCs/>
          <w:sz w:val="24"/>
          <w:szCs w:val="24"/>
          <w:vertAlign w:val="superscript"/>
          <w:lang w:val="ro-MD"/>
        </w:rPr>
        <w:footnoteReference w:id="3"/>
      </w:r>
      <w:r w:rsidR="000F42B3" w:rsidRPr="009772A3">
        <w:rPr>
          <w:rFonts w:asciiTheme="majorHAnsi" w:hAnsiTheme="majorHAnsi" w:cstheme="majorHAnsi"/>
          <w:bCs/>
          <w:sz w:val="24"/>
          <w:szCs w:val="24"/>
          <w:lang w:val="ro-MD"/>
        </w:rPr>
        <w:t>.</w:t>
      </w:r>
      <w:r w:rsidRPr="009772A3">
        <w:rPr>
          <w:rFonts w:asciiTheme="majorHAnsi" w:hAnsiTheme="majorHAnsi" w:cstheme="majorHAnsi"/>
          <w:bCs/>
          <w:sz w:val="24"/>
          <w:szCs w:val="24"/>
          <w:lang w:val="ro-MD"/>
        </w:rPr>
        <w:t xml:space="preserve"> Curtea de Conturi </w:t>
      </w:r>
      <w:r w:rsidR="009D4730">
        <w:rPr>
          <w:rFonts w:asciiTheme="majorHAnsi" w:hAnsiTheme="majorHAnsi" w:cstheme="majorHAnsi"/>
          <w:bCs/>
          <w:sz w:val="24"/>
          <w:szCs w:val="24"/>
          <w:lang w:val="ro-MD"/>
        </w:rPr>
        <w:t>și-</w:t>
      </w:r>
      <w:r w:rsidRPr="009772A3">
        <w:rPr>
          <w:rFonts w:asciiTheme="majorHAnsi" w:hAnsiTheme="majorHAnsi" w:cstheme="majorHAnsi"/>
          <w:bCs/>
          <w:sz w:val="24"/>
          <w:szCs w:val="24"/>
          <w:lang w:val="ro-MD"/>
        </w:rPr>
        <w:t xml:space="preserve">a </w:t>
      </w:r>
      <w:r w:rsidR="009D4730">
        <w:rPr>
          <w:rFonts w:asciiTheme="majorHAnsi" w:hAnsiTheme="majorHAnsi" w:cstheme="majorHAnsi"/>
          <w:bCs/>
          <w:sz w:val="24"/>
          <w:szCs w:val="24"/>
          <w:lang w:val="ro-MD"/>
        </w:rPr>
        <w:t>axat</w:t>
      </w:r>
      <w:r w:rsidRPr="009772A3">
        <w:rPr>
          <w:rFonts w:asciiTheme="majorHAnsi" w:hAnsiTheme="majorHAnsi" w:cstheme="majorHAnsi"/>
          <w:bCs/>
          <w:sz w:val="24"/>
          <w:szCs w:val="24"/>
          <w:lang w:val="ro-MD"/>
        </w:rPr>
        <w:t xml:space="preserve"> activitatea de audit pe conformitatea cheltuielilor și investițiilor capitale ale întreprinderilor grupului SA Moldovagaz. Totodată,  în cazurile în care au fost identificate și unele lacune cu caracter financiar și de performanță, echipa de audit a făcut uz de prevederile pct. 23 din ISSAI 100 și le-a dezvăluit în </w:t>
      </w:r>
      <w:r w:rsidR="009D4730">
        <w:rPr>
          <w:rFonts w:asciiTheme="majorHAnsi" w:hAnsiTheme="majorHAnsi" w:cstheme="majorHAnsi"/>
          <w:bCs/>
          <w:sz w:val="24"/>
          <w:szCs w:val="24"/>
          <w:lang w:val="ro-MD"/>
        </w:rPr>
        <w:t>prezentul R</w:t>
      </w:r>
      <w:r w:rsidRPr="009772A3">
        <w:rPr>
          <w:rFonts w:asciiTheme="majorHAnsi" w:hAnsiTheme="majorHAnsi" w:cstheme="majorHAnsi"/>
          <w:bCs/>
          <w:sz w:val="24"/>
          <w:szCs w:val="24"/>
          <w:lang w:val="ro-MD"/>
        </w:rPr>
        <w:t xml:space="preserve">aport de audit. </w:t>
      </w:r>
    </w:p>
    <w:p w14:paraId="4157AFDD" w14:textId="6C8A8786" w:rsidR="00E5743B" w:rsidRPr="009772A3" w:rsidRDefault="005E0649" w:rsidP="004F4116">
      <w:pPr>
        <w:pStyle w:val="FootnoteText"/>
        <w:spacing w:line="276" w:lineRule="auto"/>
        <w:ind w:firstLine="709"/>
        <w:jc w:val="both"/>
        <w:rPr>
          <w:rFonts w:asciiTheme="majorHAnsi" w:hAnsiTheme="majorHAnsi" w:cstheme="majorHAnsi"/>
          <w:lang w:val="ro-MD"/>
        </w:rPr>
      </w:pPr>
      <w:r w:rsidRPr="009772A3">
        <w:rPr>
          <w:rFonts w:asciiTheme="majorHAnsi" w:hAnsiTheme="majorHAnsi" w:cstheme="majorHAnsi"/>
          <w:sz w:val="24"/>
          <w:szCs w:val="24"/>
          <w:vertAlign w:val="baseline"/>
          <w:lang w:val="ro-MD"/>
        </w:rPr>
        <w:t>De asemenea</w:t>
      </w:r>
      <w:r w:rsidR="009D4730">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Raport</w:t>
      </w:r>
      <w:r w:rsidR="009D4730">
        <w:rPr>
          <w:rFonts w:asciiTheme="majorHAnsi" w:hAnsiTheme="majorHAnsi" w:cstheme="majorHAnsi"/>
          <w:sz w:val="24"/>
          <w:szCs w:val="24"/>
          <w:vertAlign w:val="baseline"/>
          <w:lang w:val="ro-MD"/>
        </w:rPr>
        <w:t>ul</w:t>
      </w:r>
      <w:r w:rsidRPr="009772A3">
        <w:rPr>
          <w:rFonts w:asciiTheme="majorHAnsi" w:hAnsiTheme="majorHAnsi" w:cstheme="majorHAnsi"/>
          <w:sz w:val="24"/>
          <w:szCs w:val="24"/>
          <w:vertAlign w:val="baseline"/>
          <w:lang w:val="ro-MD"/>
        </w:rPr>
        <w:t xml:space="preserve"> de audit </w:t>
      </w:r>
      <w:r w:rsidR="00A0595A" w:rsidRPr="009772A3">
        <w:rPr>
          <w:rFonts w:asciiTheme="majorHAnsi" w:hAnsiTheme="majorHAnsi" w:cstheme="majorHAnsi"/>
          <w:sz w:val="24"/>
          <w:szCs w:val="24"/>
          <w:vertAlign w:val="baseline"/>
          <w:lang w:val="ro-MD"/>
        </w:rPr>
        <w:t xml:space="preserve">furnizează destinatarilor informații relevante despre istoricul și problematicile constituirii SA Moldovagaz, </w:t>
      </w:r>
      <w:r w:rsidR="009D4730">
        <w:rPr>
          <w:rFonts w:asciiTheme="majorHAnsi" w:hAnsiTheme="majorHAnsi" w:cstheme="majorHAnsi"/>
          <w:sz w:val="24"/>
          <w:szCs w:val="24"/>
          <w:vertAlign w:val="baseline"/>
          <w:lang w:val="ro-MD"/>
        </w:rPr>
        <w:t xml:space="preserve">ale căror </w:t>
      </w:r>
      <w:r w:rsidR="00A0595A" w:rsidRPr="009772A3">
        <w:rPr>
          <w:rFonts w:asciiTheme="majorHAnsi" w:hAnsiTheme="majorHAnsi" w:cstheme="majorHAnsi"/>
          <w:sz w:val="24"/>
          <w:szCs w:val="24"/>
          <w:vertAlign w:val="baseline"/>
          <w:lang w:val="ro-MD"/>
        </w:rPr>
        <w:t xml:space="preserve">efecte sunt resimțite până în prezent, </w:t>
      </w:r>
      <w:r w:rsidR="009D4730">
        <w:rPr>
          <w:rFonts w:asciiTheme="majorHAnsi" w:hAnsiTheme="majorHAnsi" w:cstheme="majorHAnsi"/>
          <w:sz w:val="24"/>
          <w:szCs w:val="24"/>
          <w:vertAlign w:val="baseline"/>
          <w:lang w:val="ro-MD"/>
        </w:rPr>
        <w:t xml:space="preserve">fiind </w:t>
      </w:r>
      <w:r w:rsidR="00E5743B" w:rsidRPr="009772A3">
        <w:rPr>
          <w:rFonts w:asciiTheme="majorHAnsi" w:hAnsiTheme="majorHAnsi" w:cstheme="majorHAnsi"/>
          <w:sz w:val="24"/>
          <w:szCs w:val="24"/>
          <w:vertAlign w:val="baseline"/>
          <w:lang w:val="ro-MD"/>
        </w:rPr>
        <w:t>consta</w:t>
      </w:r>
      <w:r w:rsidR="000F42B3">
        <w:rPr>
          <w:rFonts w:asciiTheme="majorHAnsi" w:hAnsiTheme="majorHAnsi" w:cstheme="majorHAnsi"/>
          <w:sz w:val="24"/>
          <w:szCs w:val="24"/>
          <w:vertAlign w:val="baseline"/>
          <w:lang w:val="ro-MD"/>
        </w:rPr>
        <w:t>ta</w:t>
      </w:r>
      <w:r w:rsidR="00E5743B" w:rsidRPr="009772A3">
        <w:rPr>
          <w:rFonts w:asciiTheme="majorHAnsi" w:hAnsiTheme="majorHAnsi" w:cstheme="majorHAnsi"/>
          <w:sz w:val="24"/>
          <w:szCs w:val="24"/>
          <w:vertAlign w:val="baseline"/>
          <w:lang w:val="ro-MD"/>
        </w:rPr>
        <w:t xml:space="preserve">te </w:t>
      </w:r>
      <w:r w:rsidR="009D4730" w:rsidRPr="009772A3">
        <w:rPr>
          <w:rFonts w:asciiTheme="majorHAnsi" w:hAnsiTheme="majorHAnsi" w:cstheme="majorHAnsi"/>
          <w:sz w:val="24"/>
          <w:szCs w:val="24"/>
          <w:vertAlign w:val="baseline"/>
          <w:lang w:val="ro-MD"/>
        </w:rPr>
        <w:t>at</w:t>
      </w:r>
      <w:r w:rsidR="009D4730">
        <w:rPr>
          <w:rFonts w:asciiTheme="majorHAnsi" w:hAnsiTheme="majorHAnsi" w:cstheme="majorHAnsi"/>
          <w:sz w:val="24"/>
          <w:szCs w:val="24"/>
          <w:vertAlign w:val="baseline"/>
          <w:lang w:val="ro-MD"/>
        </w:rPr>
        <w:t>â</w:t>
      </w:r>
      <w:r w:rsidR="009D4730" w:rsidRPr="009772A3">
        <w:rPr>
          <w:rFonts w:asciiTheme="majorHAnsi" w:hAnsiTheme="majorHAnsi" w:cstheme="majorHAnsi"/>
          <w:sz w:val="24"/>
          <w:szCs w:val="24"/>
          <w:vertAlign w:val="baseline"/>
          <w:lang w:val="ro-MD"/>
        </w:rPr>
        <w:t xml:space="preserve">t </w:t>
      </w:r>
      <w:r w:rsidR="00A0595A" w:rsidRPr="009772A3">
        <w:rPr>
          <w:rFonts w:asciiTheme="majorHAnsi" w:hAnsiTheme="majorHAnsi" w:cstheme="majorHAnsi"/>
          <w:sz w:val="24"/>
          <w:szCs w:val="24"/>
          <w:vertAlign w:val="baseline"/>
          <w:lang w:val="ro-MD"/>
        </w:rPr>
        <w:t xml:space="preserve">de </w:t>
      </w:r>
      <w:r w:rsidR="009D4730">
        <w:rPr>
          <w:rFonts w:asciiTheme="majorHAnsi" w:hAnsiTheme="majorHAnsi" w:cstheme="majorHAnsi"/>
          <w:sz w:val="24"/>
          <w:szCs w:val="24"/>
          <w:vertAlign w:val="baseline"/>
          <w:lang w:val="ro-MD"/>
        </w:rPr>
        <w:t>actuala</w:t>
      </w:r>
      <w:r w:rsidR="009D4730" w:rsidRPr="009772A3">
        <w:rPr>
          <w:rFonts w:asciiTheme="majorHAnsi" w:hAnsiTheme="majorHAnsi" w:cstheme="majorHAnsi"/>
          <w:sz w:val="24"/>
          <w:szCs w:val="24"/>
          <w:vertAlign w:val="baseline"/>
          <w:lang w:val="ro-MD"/>
        </w:rPr>
        <w:t xml:space="preserve"> </w:t>
      </w:r>
      <w:r w:rsidR="00A0595A" w:rsidRPr="009772A3">
        <w:rPr>
          <w:rFonts w:asciiTheme="majorHAnsi" w:hAnsiTheme="majorHAnsi" w:cstheme="majorHAnsi"/>
          <w:sz w:val="24"/>
          <w:szCs w:val="24"/>
          <w:vertAlign w:val="baseline"/>
          <w:lang w:val="ro-MD"/>
        </w:rPr>
        <w:t>misiune de audit, c</w:t>
      </w:r>
      <w:r w:rsidR="009D4730">
        <w:rPr>
          <w:rFonts w:asciiTheme="majorHAnsi" w:hAnsiTheme="majorHAnsi" w:cstheme="majorHAnsi"/>
          <w:sz w:val="24"/>
          <w:szCs w:val="24"/>
          <w:vertAlign w:val="baseline"/>
          <w:lang w:val="ro-MD"/>
        </w:rPr>
        <w:t>â</w:t>
      </w:r>
      <w:r w:rsidR="00A0595A" w:rsidRPr="009772A3">
        <w:rPr>
          <w:rFonts w:asciiTheme="majorHAnsi" w:hAnsiTheme="majorHAnsi" w:cstheme="majorHAnsi"/>
          <w:sz w:val="24"/>
          <w:szCs w:val="24"/>
          <w:vertAlign w:val="baseline"/>
          <w:lang w:val="ro-MD"/>
        </w:rPr>
        <w:t xml:space="preserve">t și de controlul asupra unor aspecte ale activităţii sistemului de aprovizionare cu gaze naturale a Republicii Moldova, realizat de Curtea de Conturi în anul 2002, </w:t>
      </w:r>
      <w:r w:rsidR="009D4730">
        <w:rPr>
          <w:rFonts w:asciiTheme="majorHAnsi" w:hAnsiTheme="majorHAnsi" w:cstheme="majorHAnsi"/>
          <w:sz w:val="24"/>
          <w:szCs w:val="24"/>
          <w:vertAlign w:val="baseline"/>
          <w:lang w:val="ro-MD"/>
        </w:rPr>
        <w:t xml:space="preserve">ale </w:t>
      </w:r>
      <w:r w:rsidR="009D4730" w:rsidRPr="009772A3">
        <w:rPr>
          <w:rFonts w:asciiTheme="majorHAnsi" w:hAnsiTheme="majorHAnsi" w:cstheme="majorHAnsi"/>
          <w:sz w:val="24"/>
          <w:szCs w:val="24"/>
          <w:vertAlign w:val="baseline"/>
          <w:lang w:val="ro-MD"/>
        </w:rPr>
        <w:t xml:space="preserve">cărui </w:t>
      </w:r>
      <w:r w:rsidR="00A0595A" w:rsidRPr="009772A3">
        <w:rPr>
          <w:rFonts w:asciiTheme="majorHAnsi" w:hAnsiTheme="majorHAnsi" w:cstheme="majorHAnsi"/>
          <w:sz w:val="24"/>
          <w:szCs w:val="24"/>
          <w:vertAlign w:val="baseline"/>
          <w:lang w:val="ro-MD"/>
        </w:rPr>
        <w:t>rezultate au fost aprobate și făcute publice prin HCC nr.15 din 14.02.2002</w:t>
      </w:r>
      <w:r w:rsidR="00E5743B" w:rsidRPr="009772A3">
        <w:rPr>
          <w:rFonts w:asciiTheme="majorHAnsi" w:hAnsiTheme="majorHAnsi" w:cstheme="majorHAnsi"/>
          <w:sz w:val="24"/>
          <w:szCs w:val="24"/>
          <w:vertAlign w:val="baseline"/>
          <w:lang w:val="ro-MD"/>
        </w:rPr>
        <w:t>. Aceste dezvăluiri au fost necesare pentru înțelegerea statutului juridic al patrimoniului de care dispune SA Moldovagaz și întreprinderile din grupul acesteia</w:t>
      </w:r>
      <w:r w:rsidR="00C463E6" w:rsidRPr="009772A3">
        <w:rPr>
          <w:rFonts w:asciiTheme="majorHAnsi" w:hAnsiTheme="majorHAnsi" w:cstheme="majorHAnsi"/>
          <w:sz w:val="24"/>
          <w:szCs w:val="24"/>
          <w:vertAlign w:val="baseline"/>
          <w:lang w:val="ro-MD"/>
        </w:rPr>
        <w:t>, precum și a conformității cheltuielilor suportate aferente acestui patrimoniu</w:t>
      </w:r>
      <w:r w:rsidR="00E5743B" w:rsidRPr="009772A3">
        <w:rPr>
          <w:rFonts w:asciiTheme="majorHAnsi" w:hAnsiTheme="majorHAnsi" w:cstheme="majorHAnsi"/>
          <w:sz w:val="24"/>
          <w:szCs w:val="24"/>
          <w:vertAlign w:val="baseline"/>
          <w:lang w:val="ro-MD"/>
        </w:rPr>
        <w:t xml:space="preserve">. </w:t>
      </w:r>
    </w:p>
    <w:p w14:paraId="7B444547" w14:textId="651110CD" w:rsidR="00CA42EB" w:rsidRPr="009772A3" w:rsidRDefault="00CA42EB" w:rsidP="004F4116">
      <w:pPr>
        <w:pStyle w:val="FootnoteText"/>
        <w:spacing w:line="276" w:lineRule="auto"/>
        <w:ind w:firstLine="709"/>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Astfel, ca urmare a activităților de audit efectuate, se atestă existența unor deficiențe exprimate prin</w:t>
      </w:r>
      <w:r w:rsidR="005E2ECA">
        <w:rPr>
          <w:rFonts w:asciiTheme="majorHAnsi" w:hAnsiTheme="majorHAnsi" w:cstheme="majorHAnsi"/>
          <w:sz w:val="24"/>
          <w:szCs w:val="24"/>
          <w:vertAlign w:val="baseline"/>
          <w:lang w:val="ro-MD"/>
        </w:rPr>
        <w:t xml:space="preserve"> următoarele</w:t>
      </w:r>
      <w:r w:rsidRPr="009772A3">
        <w:rPr>
          <w:rFonts w:asciiTheme="majorHAnsi" w:hAnsiTheme="majorHAnsi" w:cstheme="majorHAnsi"/>
          <w:sz w:val="24"/>
          <w:szCs w:val="24"/>
          <w:vertAlign w:val="baseline"/>
          <w:lang w:val="ro-MD"/>
        </w:rPr>
        <w:t>:</w:t>
      </w:r>
    </w:p>
    <w:p w14:paraId="17064224" w14:textId="7D93F5BA" w:rsidR="0077421C" w:rsidRPr="009772A3" w:rsidRDefault="0077421C" w:rsidP="0077421C">
      <w:pPr>
        <w:spacing w:after="0" w:line="276" w:lineRule="auto"/>
        <w:ind w:firstLine="720"/>
        <w:jc w:val="both"/>
        <w:rPr>
          <w:rFonts w:asciiTheme="majorHAnsi" w:hAnsiTheme="majorHAnsi" w:cstheme="majorHAnsi"/>
          <w:b/>
          <w:i/>
          <w:sz w:val="24"/>
          <w:szCs w:val="24"/>
          <w:u w:val="single"/>
          <w:lang w:val="ro-MD"/>
        </w:rPr>
      </w:pPr>
      <w:r w:rsidRPr="009772A3">
        <w:rPr>
          <w:rFonts w:asciiTheme="majorHAnsi" w:hAnsiTheme="majorHAnsi" w:cstheme="majorHAnsi"/>
          <w:b/>
          <w:i/>
          <w:sz w:val="24"/>
          <w:szCs w:val="24"/>
          <w:u w:val="single"/>
          <w:lang w:val="ro-MD"/>
        </w:rPr>
        <w:t>Cu privire la aspectele problematice la constituirea SA Moldovagaz de către Guvernul Republicii Moldova și SA Gazprom</w:t>
      </w:r>
      <w:r w:rsidR="006F1D24" w:rsidRPr="009772A3">
        <w:rPr>
          <w:rFonts w:asciiTheme="majorHAnsi" w:hAnsiTheme="majorHAnsi" w:cstheme="majorHAnsi"/>
          <w:b/>
          <w:i/>
          <w:sz w:val="24"/>
          <w:szCs w:val="24"/>
          <w:u w:val="single"/>
          <w:lang w:val="ro-MD"/>
        </w:rPr>
        <w:t>,</w:t>
      </w:r>
      <w:r w:rsidRPr="009772A3">
        <w:rPr>
          <w:rFonts w:asciiTheme="majorHAnsi" w:hAnsiTheme="majorHAnsi" w:cstheme="majorHAnsi"/>
          <w:b/>
          <w:i/>
          <w:sz w:val="24"/>
          <w:szCs w:val="24"/>
          <w:u w:val="single"/>
          <w:lang w:val="ro-MD"/>
        </w:rPr>
        <w:t xml:space="preserve"> cu unele</w:t>
      </w:r>
      <w:r w:rsidRPr="009772A3">
        <w:rPr>
          <w:rFonts w:ascii="Times New Roman" w:hAnsi="Times New Roman" w:cs="Times New Roman"/>
          <w:sz w:val="28"/>
          <w:szCs w:val="20"/>
          <w:u w:val="single"/>
          <w:vertAlign w:val="superscript"/>
          <w:lang w:val="ro-MD"/>
        </w:rPr>
        <w:t xml:space="preserve"> </w:t>
      </w:r>
      <w:r w:rsidRPr="009772A3">
        <w:rPr>
          <w:rFonts w:asciiTheme="majorHAnsi" w:hAnsiTheme="majorHAnsi" w:cstheme="majorHAnsi"/>
          <w:b/>
          <w:i/>
          <w:sz w:val="24"/>
          <w:szCs w:val="24"/>
          <w:u w:val="single"/>
          <w:lang w:val="ro-MD"/>
        </w:rPr>
        <w:t xml:space="preserve">repercusiuni față de datorii </w:t>
      </w:r>
    </w:p>
    <w:p w14:paraId="662414F3" w14:textId="12640346" w:rsidR="0077421C" w:rsidRPr="009772A3" w:rsidRDefault="0077421C" w:rsidP="0077421C">
      <w:pPr>
        <w:numPr>
          <w:ilvl w:val="0"/>
          <w:numId w:val="37"/>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patrimoniul investit de acționari la fondarea SA Gazsnabtranzit (a.1995), cât și la fondarea SA Moldovagaz (a. 1999) nu a fost evaluat conform cadrului normativ în vigoare și delimitat potrivit acelorași principii folosite pentru stingerea datoriilor față de SA Gazprom, ceea ce semnalează riscul de stabilire incorectă a cotelor de participare a acționarilor în capitalul social al societăți</w:t>
      </w:r>
      <w:r w:rsidR="005E2ECA">
        <w:rPr>
          <w:rFonts w:asciiTheme="majorHAnsi" w:hAnsiTheme="majorHAnsi" w:cstheme="majorHAnsi"/>
          <w:sz w:val="24"/>
          <w:szCs w:val="24"/>
          <w:lang w:val="ro-MD"/>
        </w:rPr>
        <w:t>lor</w:t>
      </w:r>
      <w:r w:rsidRPr="009772A3">
        <w:rPr>
          <w:rFonts w:asciiTheme="majorHAnsi" w:hAnsiTheme="majorHAnsi" w:cstheme="majorHAnsi"/>
          <w:sz w:val="24"/>
          <w:szCs w:val="24"/>
          <w:lang w:val="ro-MD"/>
        </w:rPr>
        <w:t xml:space="preserve"> fondate (pct. 4.1.1.)</w:t>
      </w:r>
      <w:r w:rsidR="005E2ECA">
        <w:rPr>
          <w:rFonts w:asciiTheme="majorHAnsi" w:hAnsiTheme="majorHAnsi" w:cstheme="majorHAnsi"/>
          <w:sz w:val="24"/>
          <w:szCs w:val="24"/>
          <w:lang w:val="ro-MD"/>
        </w:rPr>
        <w:t>;</w:t>
      </w:r>
    </w:p>
    <w:p w14:paraId="11449F1F" w14:textId="21DE5253" w:rsidR="0077421C" w:rsidRPr="009772A3" w:rsidRDefault="0077421C" w:rsidP="0077421C">
      <w:pPr>
        <w:numPr>
          <w:ilvl w:val="0"/>
          <w:numId w:val="37"/>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nedeterminarea valorii reale a patrimoniului depus în capitalul social al SA Moldovagaz, inclusiv în contul stingerii datoriilor pentru gazele naturale livrate de SA Gazprom, până la moment denaturează cotele de participare în capitalul social al SA Moldovagaz și valoarea datoriilor pentru gazele naturale livrate (pct. 4.1.2.)</w:t>
      </w:r>
      <w:r w:rsidR="005E2ECA">
        <w:rPr>
          <w:rFonts w:asciiTheme="majorHAnsi" w:hAnsiTheme="majorHAnsi" w:cstheme="majorHAnsi"/>
          <w:sz w:val="24"/>
          <w:szCs w:val="24"/>
          <w:lang w:val="ro-MD"/>
        </w:rPr>
        <w:t>;</w:t>
      </w:r>
    </w:p>
    <w:p w14:paraId="109930DF" w14:textId="6908EEFA" w:rsidR="0077421C" w:rsidRPr="009772A3" w:rsidRDefault="0077421C" w:rsidP="0077421C">
      <w:pPr>
        <w:numPr>
          <w:ilvl w:val="0"/>
          <w:numId w:val="37"/>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contabilizarea necorespunzătoare a patrimoniului transmis de către acționari încă la fondarea societății a generat denaturarea atât a conturilor capitalului retras și suplimentar, cât și a datoriilor și creanțelor față de fondatori</w:t>
      </w:r>
      <w:r w:rsidR="005E2ECA">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(pct. 4.1.3. și pct.4.1.5.)</w:t>
      </w:r>
      <w:r w:rsidR="005E2ECA">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5FF48EDC" w14:textId="16DF9D68" w:rsidR="0077421C" w:rsidRPr="009772A3" w:rsidRDefault="0077421C" w:rsidP="0077421C">
      <w:pPr>
        <w:numPr>
          <w:ilvl w:val="0"/>
          <w:numId w:val="37"/>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regiunea </w:t>
      </w:r>
      <w:r w:rsidR="005E2ECA">
        <w:rPr>
          <w:rFonts w:asciiTheme="majorHAnsi" w:hAnsiTheme="majorHAnsi" w:cstheme="majorHAnsi"/>
          <w:sz w:val="24"/>
          <w:szCs w:val="24"/>
          <w:lang w:val="ro-MD"/>
        </w:rPr>
        <w:t>t</w:t>
      </w:r>
      <w:r w:rsidR="005E2ECA" w:rsidRPr="009772A3">
        <w:rPr>
          <w:rFonts w:asciiTheme="majorHAnsi" w:hAnsiTheme="majorHAnsi" w:cstheme="majorHAnsi"/>
          <w:sz w:val="24"/>
          <w:szCs w:val="24"/>
          <w:lang w:val="ro-MD"/>
        </w:rPr>
        <w:t>ransnistreană</w:t>
      </w:r>
      <w:r w:rsidRPr="009772A3">
        <w:rPr>
          <w:rFonts w:asciiTheme="majorHAnsi" w:hAnsiTheme="majorHAnsi" w:cstheme="majorHAnsi"/>
          <w:sz w:val="24"/>
          <w:szCs w:val="24"/>
          <w:lang w:val="ro-MD"/>
        </w:rPr>
        <w:t xml:space="preserve">, prin intermediul SA Gazprom, </w:t>
      </w:r>
      <w:r w:rsidR="005E2ECA" w:rsidRPr="009772A3">
        <w:rPr>
          <w:rFonts w:asciiTheme="majorHAnsi" w:hAnsiTheme="majorHAnsi" w:cstheme="majorHAnsi"/>
          <w:sz w:val="24"/>
          <w:szCs w:val="24"/>
          <w:lang w:val="ro-MD"/>
        </w:rPr>
        <w:t>p</w:t>
      </w:r>
      <w:r w:rsidR="005E2ECA">
        <w:rPr>
          <w:rFonts w:asciiTheme="majorHAnsi" w:hAnsiTheme="majorHAnsi" w:cstheme="majorHAnsi"/>
          <w:sz w:val="24"/>
          <w:szCs w:val="24"/>
          <w:lang w:val="ro-MD"/>
        </w:rPr>
        <w:t>â</w:t>
      </w:r>
      <w:r w:rsidR="005E2ECA" w:rsidRPr="009772A3">
        <w:rPr>
          <w:rFonts w:asciiTheme="majorHAnsi" w:hAnsiTheme="majorHAnsi" w:cstheme="majorHAnsi"/>
          <w:sz w:val="24"/>
          <w:szCs w:val="24"/>
          <w:lang w:val="ro-MD"/>
        </w:rPr>
        <w:t xml:space="preserve">nă </w:t>
      </w:r>
      <w:r w:rsidRPr="009772A3">
        <w:rPr>
          <w:rFonts w:asciiTheme="majorHAnsi" w:hAnsiTheme="majorHAnsi" w:cstheme="majorHAnsi"/>
          <w:sz w:val="24"/>
          <w:szCs w:val="24"/>
          <w:lang w:val="ro-MD"/>
        </w:rPr>
        <w:t>în prezent</w:t>
      </w:r>
      <w:r w:rsidRPr="009772A3">
        <w:rPr>
          <w:rFonts w:asciiTheme="majorHAnsi" w:hAnsiTheme="majorHAnsi" w:cstheme="majorHAnsi"/>
          <w:sz w:val="24"/>
          <w:szCs w:val="24"/>
          <w:vertAlign w:val="superscript"/>
          <w:lang w:val="ro-MD"/>
        </w:rPr>
        <w:t xml:space="preserve"> </w:t>
      </w:r>
      <w:r w:rsidRPr="009772A3">
        <w:rPr>
          <w:rFonts w:asciiTheme="majorHAnsi" w:hAnsiTheme="majorHAnsi" w:cstheme="majorHAnsi"/>
          <w:sz w:val="24"/>
          <w:szCs w:val="24"/>
          <w:lang w:val="ro-MD"/>
        </w:rPr>
        <w:t xml:space="preserve">este implicată în procesul decizional asupra gestionării patrimoniului din partea dreaptă a </w:t>
      </w:r>
      <w:r w:rsidR="005E2ECA">
        <w:rPr>
          <w:rFonts w:asciiTheme="majorHAnsi" w:hAnsiTheme="majorHAnsi" w:cstheme="majorHAnsi"/>
          <w:sz w:val="24"/>
          <w:szCs w:val="24"/>
          <w:lang w:val="ro-MD"/>
        </w:rPr>
        <w:t xml:space="preserve">râului </w:t>
      </w:r>
      <w:r w:rsidRPr="009772A3">
        <w:rPr>
          <w:rFonts w:asciiTheme="majorHAnsi" w:hAnsiTheme="majorHAnsi" w:cstheme="majorHAnsi"/>
          <w:sz w:val="24"/>
          <w:szCs w:val="24"/>
          <w:lang w:val="ro-MD"/>
        </w:rPr>
        <w:t>Nistru, deși încă în anul 2005 aceasta s-a retras din acționarii societății (pct. 4.1.4.)</w:t>
      </w:r>
      <w:r w:rsidR="005E2ECA">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4419826F" w14:textId="6F33D353" w:rsidR="0077421C" w:rsidRPr="009772A3" w:rsidRDefault="0077421C" w:rsidP="0077421C">
      <w:pPr>
        <w:numPr>
          <w:ilvl w:val="0"/>
          <w:numId w:val="37"/>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nedelimitarea exhaustivă în actele de verificare existente a datoriilor istorice din partea dreaptă și </w:t>
      </w:r>
      <w:r w:rsidR="005E2ECA">
        <w:rPr>
          <w:rFonts w:asciiTheme="majorHAnsi" w:hAnsiTheme="majorHAnsi" w:cstheme="majorHAnsi"/>
          <w:sz w:val="24"/>
          <w:szCs w:val="24"/>
          <w:lang w:val="ro-MD"/>
        </w:rPr>
        <w:t xml:space="preserve">din </w:t>
      </w:r>
      <w:r w:rsidRPr="009772A3">
        <w:rPr>
          <w:rFonts w:asciiTheme="majorHAnsi" w:hAnsiTheme="majorHAnsi" w:cstheme="majorHAnsi"/>
          <w:sz w:val="24"/>
          <w:szCs w:val="24"/>
          <w:lang w:val="ro-MD"/>
        </w:rPr>
        <w:t>partea stângă a</w:t>
      </w:r>
      <w:r w:rsidR="005E2ECA">
        <w:rPr>
          <w:rFonts w:asciiTheme="majorHAnsi" w:hAnsiTheme="majorHAnsi" w:cstheme="majorHAnsi"/>
          <w:sz w:val="24"/>
          <w:szCs w:val="24"/>
          <w:lang w:val="ro-MD"/>
        </w:rPr>
        <w:t xml:space="preserve"> râului</w:t>
      </w:r>
      <w:r w:rsidRPr="009772A3">
        <w:rPr>
          <w:rFonts w:asciiTheme="majorHAnsi" w:hAnsiTheme="majorHAnsi" w:cstheme="majorHAnsi"/>
          <w:sz w:val="24"/>
          <w:szCs w:val="24"/>
          <w:lang w:val="ro-MD"/>
        </w:rPr>
        <w:t xml:space="preserve"> Nistru nu oferă o certitudine cu privire la veridicitatea acest</w:t>
      </w:r>
      <w:r w:rsidR="005E2ECA">
        <w:rPr>
          <w:rFonts w:asciiTheme="majorHAnsi" w:hAnsiTheme="majorHAnsi" w:cstheme="majorHAnsi"/>
          <w:sz w:val="24"/>
          <w:szCs w:val="24"/>
          <w:lang w:val="ro-MD"/>
        </w:rPr>
        <w:t>ora</w:t>
      </w:r>
      <w:r w:rsidRPr="009772A3">
        <w:rPr>
          <w:rFonts w:asciiTheme="majorHAnsi" w:hAnsiTheme="majorHAnsi" w:cstheme="majorHAnsi"/>
          <w:sz w:val="24"/>
          <w:szCs w:val="24"/>
          <w:lang w:val="ro-MD"/>
        </w:rPr>
        <w:t xml:space="preserve"> (pct. 4.1.</w:t>
      </w:r>
      <w:r w:rsidR="00282F73">
        <w:rPr>
          <w:rFonts w:asciiTheme="majorHAnsi" w:hAnsiTheme="majorHAnsi" w:cstheme="majorHAnsi"/>
          <w:sz w:val="24"/>
          <w:szCs w:val="24"/>
          <w:lang w:val="ro-MD"/>
        </w:rPr>
        <w:t>8</w:t>
      </w:r>
      <w:r w:rsidRPr="009772A3">
        <w:rPr>
          <w:rFonts w:asciiTheme="majorHAnsi" w:hAnsiTheme="majorHAnsi" w:cstheme="majorHAnsi"/>
          <w:sz w:val="24"/>
          <w:szCs w:val="24"/>
          <w:lang w:val="ro-MD"/>
        </w:rPr>
        <w:t>.)</w:t>
      </w:r>
      <w:r w:rsidR="005E2ECA">
        <w:rPr>
          <w:rFonts w:asciiTheme="majorHAnsi" w:hAnsiTheme="majorHAnsi" w:cstheme="majorHAnsi"/>
          <w:sz w:val="24"/>
          <w:szCs w:val="24"/>
          <w:lang w:val="ro-MD"/>
        </w:rPr>
        <w:t>;</w:t>
      </w:r>
    </w:p>
    <w:p w14:paraId="21ADC779" w14:textId="25D01EF4" w:rsidR="0077421C" w:rsidRPr="009772A3" w:rsidRDefault="0077421C" w:rsidP="0077421C">
      <w:pPr>
        <w:spacing w:after="0" w:line="276" w:lineRule="auto"/>
        <w:ind w:left="720"/>
        <w:jc w:val="both"/>
        <w:rPr>
          <w:rFonts w:asciiTheme="majorHAnsi" w:hAnsiTheme="majorHAnsi" w:cstheme="majorHAnsi"/>
          <w:b/>
          <w:i/>
          <w:sz w:val="24"/>
          <w:szCs w:val="24"/>
          <w:u w:val="single"/>
          <w:lang w:val="ro-MD"/>
        </w:rPr>
      </w:pPr>
      <w:r w:rsidRPr="009772A3">
        <w:rPr>
          <w:rFonts w:asciiTheme="majorHAnsi" w:hAnsiTheme="majorHAnsi" w:cstheme="majorHAnsi"/>
          <w:b/>
          <w:i/>
          <w:sz w:val="24"/>
          <w:szCs w:val="24"/>
          <w:u w:val="single"/>
          <w:lang w:val="ro-MD"/>
        </w:rPr>
        <w:t xml:space="preserve">Cu privire la investițiile efectuate de SA Moldovagaz </w:t>
      </w:r>
      <w:r w:rsidR="00CA7BC0">
        <w:rPr>
          <w:rFonts w:asciiTheme="majorHAnsi" w:hAnsiTheme="majorHAnsi" w:cstheme="majorHAnsi"/>
          <w:b/>
          <w:i/>
          <w:sz w:val="24"/>
          <w:szCs w:val="24"/>
          <w:u w:val="single"/>
          <w:lang w:val="ro-MD"/>
        </w:rPr>
        <w:t>și</w:t>
      </w:r>
      <w:r w:rsidR="00CA7BC0" w:rsidRPr="009772A3">
        <w:rPr>
          <w:rFonts w:asciiTheme="majorHAnsi" w:hAnsiTheme="majorHAnsi" w:cstheme="majorHAnsi"/>
          <w:b/>
          <w:i/>
          <w:sz w:val="24"/>
          <w:szCs w:val="24"/>
          <w:u w:val="single"/>
          <w:lang w:val="ro-MD"/>
        </w:rPr>
        <w:t xml:space="preserve"> </w:t>
      </w:r>
      <w:r w:rsidRPr="009772A3">
        <w:rPr>
          <w:rFonts w:asciiTheme="majorHAnsi" w:hAnsiTheme="majorHAnsi" w:cstheme="majorHAnsi"/>
          <w:b/>
          <w:i/>
          <w:sz w:val="24"/>
          <w:szCs w:val="24"/>
          <w:u w:val="single"/>
          <w:lang w:val="ro-MD"/>
        </w:rPr>
        <w:t>entitățile fondate</w:t>
      </w:r>
    </w:p>
    <w:p w14:paraId="22CA3D0F" w14:textId="323F15EF" w:rsidR="0077421C" w:rsidRPr="009772A3" w:rsidRDefault="0077421C" w:rsidP="0077421C">
      <w:pPr>
        <w:numPr>
          <w:ilvl w:val="0"/>
          <w:numId w:val="37"/>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nejustificarea corespunzătoare a tranzacțiilor aferente investițiilor efectuate în entitățile fondate de SA Moldovagaz </w:t>
      </w:r>
      <w:r w:rsidR="006D0D3C" w:rsidRPr="009772A3">
        <w:rPr>
          <w:rFonts w:asciiTheme="majorHAnsi" w:hAnsiTheme="majorHAnsi" w:cstheme="majorHAnsi"/>
          <w:sz w:val="24"/>
          <w:szCs w:val="24"/>
          <w:lang w:val="ro-MD"/>
        </w:rPr>
        <w:t>și interpretarea diferită a statutului juridic</w:t>
      </w:r>
      <w:r w:rsidR="006D0D3C" w:rsidRPr="009772A3">
        <w:rPr>
          <w:rFonts w:asciiTheme="majorHAnsi" w:hAnsiTheme="majorHAnsi" w:cstheme="majorHAnsi"/>
          <w:sz w:val="24"/>
          <w:szCs w:val="24"/>
          <w:vertAlign w:val="superscript"/>
          <w:lang w:val="ro-MD"/>
        </w:rPr>
        <w:footnoteReference w:id="4"/>
      </w:r>
      <w:r w:rsidR="006D0D3C" w:rsidRPr="009772A3">
        <w:rPr>
          <w:rFonts w:asciiTheme="majorHAnsi" w:hAnsiTheme="majorHAnsi" w:cstheme="majorHAnsi"/>
          <w:sz w:val="24"/>
          <w:szCs w:val="24"/>
          <w:lang w:val="ro-MD"/>
        </w:rPr>
        <w:t xml:space="preserve"> al patrimoniului transmis de SA Moldovagaz la fondarea întreprinderilor fiice</w:t>
      </w:r>
      <w:r w:rsidR="005E2ECA">
        <w:rPr>
          <w:rFonts w:asciiTheme="majorHAnsi" w:hAnsiTheme="majorHAnsi" w:cstheme="majorHAnsi"/>
          <w:sz w:val="24"/>
          <w:szCs w:val="24"/>
          <w:lang w:val="ro-MD"/>
        </w:rPr>
        <w:t>,</w:t>
      </w:r>
      <w:r w:rsidR="006D0D3C"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w:t>
      </w:r>
      <w:r w:rsidR="00CA7BC0">
        <w:rPr>
          <w:rFonts w:asciiTheme="majorHAnsi" w:hAnsiTheme="majorHAnsi" w:cstheme="majorHAnsi"/>
          <w:sz w:val="24"/>
          <w:szCs w:val="24"/>
          <w:lang w:val="ro-MD"/>
        </w:rPr>
        <w:t xml:space="preserve">enaturează </w:t>
      </w:r>
      <w:r w:rsidRPr="009772A3">
        <w:rPr>
          <w:rFonts w:asciiTheme="majorHAnsi" w:hAnsiTheme="majorHAnsi" w:cstheme="majorHAnsi"/>
          <w:sz w:val="24"/>
          <w:szCs w:val="24"/>
          <w:lang w:val="ro-MD"/>
        </w:rPr>
        <w:t xml:space="preserve">valoarea reală a </w:t>
      </w:r>
      <w:r w:rsidR="006D0D3C" w:rsidRPr="009772A3">
        <w:rPr>
          <w:rFonts w:asciiTheme="majorHAnsi" w:hAnsiTheme="majorHAnsi" w:cstheme="majorHAnsi"/>
          <w:sz w:val="24"/>
          <w:szCs w:val="24"/>
          <w:lang w:val="ro-MD"/>
        </w:rPr>
        <w:t>investițiilor și generează înregistrarea eronată a unor venituri și cheltuieli</w:t>
      </w:r>
      <w:r w:rsidRPr="009772A3">
        <w:rPr>
          <w:rFonts w:asciiTheme="majorHAnsi" w:hAnsiTheme="majorHAnsi" w:cstheme="majorHAnsi"/>
          <w:sz w:val="24"/>
          <w:szCs w:val="24"/>
          <w:lang w:val="ro-MD"/>
        </w:rPr>
        <w:t xml:space="preserve"> (pct. 4.1.6.</w:t>
      </w:r>
      <w:r w:rsidR="006D0D3C" w:rsidRPr="009772A3">
        <w:rPr>
          <w:rFonts w:asciiTheme="majorHAnsi" w:hAnsiTheme="majorHAnsi" w:cstheme="majorHAnsi"/>
          <w:sz w:val="24"/>
          <w:szCs w:val="24"/>
          <w:lang w:val="ro-MD"/>
        </w:rPr>
        <w:t xml:space="preserve"> - 4.1.</w:t>
      </w:r>
      <w:r w:rsidR="00282F73">
        <w:rPr>
          <w:rFonts w:asciiTheme="majorHAnsi" w:hAnsiTheme="majorHAnsi" w:cstheme="majorHAnsi"/>
          <w:sz w:val="24"/>
          <w:szCs w:val="24"/>
          <w:lang w:val="ro-MD"/>
        </w:rPr>
        <w:t>7</w:t>
      </w:r>
      <w:r w:rsidR="006D0D3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w:t>
      </w:r>
      <w:r w:rsidR="005E2ECA">
        <w:rPr>
          <w:rFonts w:asciiTheme="majorHAnsi" w:hAnsiTheme="majorHAnsi" w:cstheme="majorHAnsi"/>
          <w:sz w:val="24"/>
          <w:szCs w:val="24"/>
          <w:lang w:val="ro-MD"/>
        </w:rPr>
        <w:t>;</w:t>
      </w:r>
    </w:p>
    <w:p w14:paraId="4B5CF942" w14:textId="39393230" w:rsidR="0077421C" w:rsidRPr="009772A3" w:rsidRDefault="0077421C" w:rsidP="0077421C">
      <w:pPr>
        <w:numPr>
          <w:ilvl w:val="0"/>
          <w:numId w:val="37"/>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modificarea clauzelor contractuale aferente bunurilor exploatate de SRL Transautogaz fără acordul scris al fondatorului a permis încasarea de către SRL Moldovatransgaz a veniturilor suplimentare în sumă totală de 22.753,9 mii lei din locațiunea unor bunuri (pct.4.1.</w:t>
      </w:r>
      <w:r w:rsidR="00282F73">
        <w:rPr>
          <w:rFonts w:asciiTheme="majorHAnsi" w:hAnsiTheme="majorHAnsi" w:cstheme="majorHAnsi"/>
          <w:sz w:val="24"/>
          <w:szCs w:val="24"/>
          <w:lang w:val="ro-MD"/>
        </w:rPr>
        <w:t>7</w:t>
      </w:r>
      <w:r w:rsidRPr="009772A3">
        <w:rPr>
          <w:rFonts w:asciiTheme="majorHAnsi" w:hAnsiTheme="majorHAnsi" w:cstheme="majorHAnsi"/>
          <w:sz w:val="24"/>
          <w:szCs w:val="24"/>
          <w:lang w:val="ro-MD"/>
        </w:rPr>
        <w:t>.)</w:t>
      </w:r>
      <w:r w:rsidR="005E2ECA">
        <w:rPr>
          <w:rFonts w:asciiTheme="majorHAnsi" w:hAnsiTheme="majorHAnsi" w:cstheme="majorHAnsi"/>
          <w:sz w:val="24"/>
          <w:szCs w:val="24"/>
          <w:lang w:val="ro-MD"/>
        </w:rPr>
        <w:t>;</w:t>
      </w:r>
    </w:p>
    <w:p w14:paraId="6BC6D146" w14:textId="62473666"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fundamentarea și planificarea neconformă a investițiilor capitale în sumă totală de 815.796,6 mii lei, dar și nejustificarea acestora prin prisma criteriilor de obligativitate, necesitate și eficiență</w:t>
      </w:r>
      <w:r w:rsidR="005E2ECA">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w:t>
      </w:r>
      <w:r w:rsidR="005E2ECA">
        <w:rPr>
          <w:rFonts w:asciiTheme="majorHAnsi" w:hAnsiTheme="majorHAnsi" w:cstheme="majorHAnsi"/>
          <w:sz w:val="24"/>
          <w:szCs w:val="24"/>
          <w:vertAlign w:val="baseline"/>
          <w:lang w:val="ro-MD"/>
        </w:rPr>
        <w:t>u</w:t>
      </w:r>
      <w:r w:rsidRPr="009772A3">
        <w:rPr>
          <w:rFonts w:asciiTheme="majorHAnsi" w:hAnsiTheme="majorHAnsi" w:cstheme="majorHAnsi"/>
          <w:sz w:val="24"/>
          <w:szCs w:val="24"/>
          <w:vertAlign w:val="baseline"/>
          <w:lang w:val="ro-MD"/>
        </w:rPr>
        <w:t xml:space="preserve"> condiționat neprezentarea acestora la ANRE sau neaprobarea lor de către Agenție </w:t>
      </w:r>
      <w:r w:rsidR="00DC3C7F" w:rsidRPr="009772A3">
        <w:rPr>
          <w:rFonts w:asciiTheme="majorHAnsi" w:hAnsiTheme="majorHAnsi" w:cstheme="majorHAnsi"/>
          <w:sz w:val="24"/>
          <w:szCs w:val="24"/>
          <w:vertAlign w:val="baseline"/>
          <w:lang w:val="ro-MD"/>
        </w:rPr>
        <w:t xml:space="preserve">în scopul recuperării prin tarif </w:t>
      </w:r>
      <w:r w:rsidRPr="009772A3">
        <w:rPr>
          <w:rFonts w:asciiTheme="majorHAnsi" w:hAnsiTheme="majorHAnsi" w:cstheme="majorHAnsi"/>
          <w:sz w:val="24"/>
          <w:szCs w:val="24"/>
          <w:vertAlign w:val="baseline"/>
          <w:lang w:val="ro-MD"/>
        </w:rPr>
        <w:t xml:space="preserve">(349.432,8 mii lei, inclusiv 132.399,8 mii lei în sistemul informațional de evidență și prelucrare a datelor de livrare a gazelor naturale și evidența consumatorilor) (pct. 4.2.1., pct. 4.2.3.1. </w:t>
      </w:r>
      <w:r w:rsidR="005E2ECA">
        <w:rPr>
          <w:rFonts w:asciiTheme="majorHAnsi" w:hAnsiTheme="majorHAnsi" w:cstheme="majorHAnsi"/>
          <w:sz w:val="24"/>
          <w:szCs w:val="24"/>
          <w:vertAlign w:val="baseline"/>
          <w:lang w:val="ro-MD"/>
        </w:rPr>
        <w:t xml:space="preserve">și </w:t>
      </w:r>
      <w:r w:rsidRPr="009772A3">
        <w:rPr>
          <w:rFonts w:asciiTheme="majorHAnsi" w:hAnsiTheme="majorHAnsi" w:cstheme="majorHAnsi"/>
          <w:sz w:val="24"/>
          <w:szCs w:val="24"/>
          <w:vertAlign w:val="baseline"/>
          <w:lang w:val="ro-MD"/>
        </w:rPr>
        <w:t>pct.4.2.3.2)</w:t>
      </w:r>
      <w:r w:rsidR="005E2ECA">
        <w:rPr>
          <w:rFonts w:asciiTheme="majorHAnsi" w:hAnsiTheme="majorHAnsi" w:cstheme="majorHAnsi"/>
          <w:sz w:val="24"/>
          <w:szCs w:val="24"/>
          <w:vertAlign w:val="baseline"/>
          <w:lang w:val="ro-MD"/>
        </w:rPr>
        <w:t>;</w:t>
      </w:r>
    </w:p>
    <w:p w14:paraId="45575607" w14:textId="60FED486"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lipsa documentelor și a actelor cu privire la procesele de achiziție și recepție a lucrărilor efectuate pentru construcția clădirii din str. </w:t>
      </w:r>
      <w:r w:rsidR="005E2ECA">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 xml:space="preserve">Pușkin </w:t>
      </w:r>
      <w:r w:rsidR="005E2ECA">
        <w:rPr>
          <w:rFonts w:asciiTheme="majorHAnsi" w:hAnsiTheme="majorHAnsi" w:cstheme="majorHAnsi"/>
          <w:sz w:val="24"/>
          <w:szCs w:val="24"/>
          <w:vertAlign w:val="baseline"/>
          <w:lang w:val="ro-MD"/>
        </w:rPr>
        <w:t>nr.</w:t>
      </w:r>
      <w:r w:rsidRPr="009772A3">
        <w:rPr>
          <w:rFonts w:asciiTheme="majorHAnsi" w:hAnsiTheme="majorHAnsi" w:cstheme="majorHAnsi"/>
          <w:sz w:val="24"/>
          <w:szCs w:val="24"/>
          <w:vertAlign w:val="baseline"/>
          <w:lang w:val="ro-MD"/>
        </w:rPr>
        <w:t>64, indică riscuri de neconformitate pentru investițiile în sumă totală de 445.630,0 mii lei realizate în acest sens (pct. 4.2.2.1.)</w:t>
      </w:r>
      <w:r w:rsidR="005E2ECA">
        <w:rPr>
          <w:rFonts w:asciiTheme="majorHAnsi" w:hAnsiTheme="majorHAnsi" w:cstheme="majorHAnsi"/>
          <w:sz w:val="24"/>
          <w:szCs w:val="24"/>
          <w:vertAlign w:val="baseline"/>
          <w:lang w:val="ro-MD"/>
        </w:rPr>
        <w:t>;</w:t>
      </w:r>
    </w:p>
    <w:p w14:paraId="428C1E17" w14:textId="2B2C00FB"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nefinalizarea construcției clădirii administrative din </w:t>
      </w:r>
      <w:r w:rsidR="00301990" w:rsidRPr="009772A3">
        <w:rPr>
          <w:rFonts w:asciiTheme="majorHAnsi" w:hAnsiTheme="majorHAnsi" w:cstheme="majorHAnsi"/>
          <w:sz w:val="24"/>
          <w:szCs w:val="24"/>
          <w:vertAlign w:val="baseline"/>
          <w:lang w:val="ro-MD"/>
        </w:rPr>
        <w:t>mun</w:t>
      </w:r>
      <w:r w:rsidRPr="009772A3">
        <w:rPr>
          <w:rFonts w:asciiTheme="majorHAnsi" w:hAnsiTheme="majorHAnsi" w:cstheme="majorHAnsi"/>
          <w:sz w:val="24"/>
          <w:szCs w:val="24"/>
          <w:vertAlign w:val="baseline"/>
          <w:lang w:val="ro-MD"/>
        </w:rPr>
        <w:t>. Ungheni, inițiată încă în anul 2011, în valoare de 20.733,2 mii lei</w:t>
      </w:r>
      <w:r w:rsidR="00301990" w:rsidRPr="009772A3">
        <w:rPr>
          <w:rFonts w:asciiTheme="majorHAnsi" w:hAnsiTheme="majorHAnsi" w:cstheme="majorHAnsi"/>
          <w:sz w:val="24"/>
          <w:szCs w:val="24"/>
          <w:vertAlign w:val="baseline"/>
          <w:lang w:val="ro-MD"/>
        </w:rPr>
        <w:t>,</w:t>
      </w:r>
      <w:r w:rsidR="00BA042E" w:rsidRPr="009772A3">
        <w:rPr>
          <w:rFonts w:asciiTheme="majorHAnsi" w:hAnsiTheme="majorHAnsi" w:cstheme="majorHAnsi"/>
          <w:sz w:val="24"/>
          <w:szCs w:val="24"/>
          <w:vertAlign w:val="baseline"/>
          <w:lang w:val="ro-MD"/>
        </w:rPr>
        <w:t xml:space="preserve"> precum și </w:t>
      </w:r>
      <w:r w:rsidR="005B1DAB">
        <w:rPr>
          <w:rFonts w:asciiTheme="majorHAnsi" w:hAnsiTheme="majorHAnsi" w:cstheme="majorHAnsi"/>
          <w:sz w:val="24"/>
          <w:szCs w:val="24"/>
          <w:vertAlign w:val="baseline"/>
          <w:lang w:val="ro-MD"/>
        </w:rPr>
        <w:t xml:space="preserve">a investițiilor </w:t>
      </w:r>
      <w:r w:rsidR="00BA042E" w:rsidRPr="009772A3">
        <w:rPr>
          <w:rFonts w:asciiTheme="majorHAnsi" w:hAnsiTheme="majorHAnsi" w:cstheme="majorHAnsi"/>
          <w:sz w:val="24"/>
          <w:szCs w:val="24"/>
          <w:vertAlign w:val="baseline"/>
          <w:lang w:val="ro-MD"/>
        </w:rPr>
        <w:t xml:space="preserve">pentru dezvoltarea infrastructurii de transport și distribuție a gazelor naturale în valoare </w:t>
      </w:r>
      <w:r w:rsidR="00BA042E" w:rsidRPr="00142C2F">
        <w:rPr>
          <w:rFonts w:asciiTheme="majorHAnsi" w:hAnsiTheme="majorHAnsi" w:cstheme="majorHAnsi"/>
          <w:sz w:val="24"/>
          <w:szCs w:val="24"/>
          <w:vertAlign w:val="baseline"/>
          <w:lang w:val="ro-MD"/>
        </w:rPr>
        <w:t xml:space="preserve">de </w:t>
      </w:r>
      <w:r w:rsidR="00142C2F" w:rsidRPr="00CF3AD4">
        <w:rPr>
          <w:rFonts w:asciiTheme="majorHAnsi" w:hAnsiTheme="majorHAnsi" w:cstheme="majorHAnsi"/>
          <w:sz w:val="24"/>
          <w:szCs w:val="24"/>
          <w:vertAlign w:val="baseline"/>
          <w:lang w:val="ro-MD"/>
        </w:rPr>
        <w:t>12.583,4</w:t>
      </w:r>
      <w:r w:rsidR="00BA042E" w:rsidRPr="009772A3">
        <w:rPr>
          <w:rFonts w:asciiTheme="majorHAnsi" w:hAnsiTheme="majorHAnsi" w:cstheme="majorHAnsi"/>
          <w:sz w:val="24"/>
          <w:szCs w:val="24"/>
          <w:vertAlign w:val="baseline"/>
          <w:lang w:val="ro-MD"/>
        </w:rPr>
        <w:t xml:space="preserve"> mii lei, nu justifică investițiile </w:t>
      </w:r>
      <w:r w:rsidRPr="009772A3">
        <w:rPr>
          <w:rFonts w:asciiTheme="majorHAnsi" w:hAnsiTheme="majorHAnsi" w:cstheme="majorHAnsi"/>
          <w:sz w:val="24"/>
          <w:szCs w:val="24"/>
          <w:vertAlign w:val="baseline"/>
          <w:lang w:val="ro-MD"/>
        </w:rPr>
        <w:t>și denotă o utilizare ineficientă a resurselor financiare respective (pct. 4.2.2.2.</w:t>
      </w:r>
      <w:r w:rsidR="00BA042E" w:rsidRPr="009772A3">
        <w:rPr>
          <w:rFonts w:asciiTheme="majorHAnsi" w:hAnsiTheme="majorHAnsi" w:cstheme="majorHAnsi"/>
          <w:sz w:val="24"/>
          <w:szCs w:val="24"/>
          <w:vertAlign w:val="baseline"/>
          <w:lang w:val="ro-MD"/>
        </w:rPr>
        <w:t>, pct. 4.2.3.4.</w:t>
      </w:r>
      <w:r w:rsidRPr="009772A3">
        <w:rPr>
          <w:rFonts w:asciiTheme="majorHAnsi" w:hAnsiTheme="majorHAnsi" w:cstheme="majorHAnsi"/>
          <w:sz w:val="24"/>
          <w:szCs w:val="24"/>
          <w:vertAlign w:val="baseline"/>
          <w:lang w:val="ro-MD"/>
        </w:rPr>
        <w:t>)</w:t>
      </w:r>
      <w:r w:rsidR="005B1DAB">
        <w:rPr>
          <w:rFonts w:asciiTheme="majorHAnsi" w:hAnsiTheme="majorHAnsi" w:cstheme="majorHAnsi"/>
          <w:sz w:val="24"/>
          <w:szCs w:val="24"/>
          <w:vertAlign w:val="baseline"/>
          <w:lang w:val="ro-MD"/>
        </w:rPr>
        <w:t>;</w:t>
      </w:r>
    </w:p>
    <w:p w14:paraId="146B2024" w14:textId="522E7107"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realizarea, cu abateri de la cadrul normativ a investițiilor și cheltuielilor, inclusiv pentru reparația capitală a imobilului din complexul ÎS Pensiunea Holercani a generat cheltuieli neconforme și neeficiente, în sumă totală de 7.013,6 mii lei (pct. 4.2.2.3.)</w:t>
      </w:r>
      <w:r w:rsidR="005B1DAB">
        <w:rPr>
          <w:rFonts w:asciiTheme="majorHAnsi" w:hAnsiTheme="majorHAnsi" w:cstheme="majorHAnsi"/>
          <w:sz w:val="24"/>
          <w:szCs w:val="24"/>
          <w:vertAlign w:val="baseline"/>
          <w:lang w:val="ro-MD"/>
        </w:rPr>
        <w:t>;</w:t>
      </w:r>
    </w:p>
    <w:p w14:paraId="6CBCB900" w14:textId="5AB2FD32"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majorarea neregulamentară cu cel puțin </w:t>
      </w:r>
      <w:r w:rsidR="00033A6F" w:rsidRPr="009772A3">
        <w:rPr>
          <w:rFonts w:asciiTheme="majorHAnsi" w:hAnsiTheme="majorHAnsi" w:cstheme="majorHAnsi"/>
          <w:sz w:val="24"/>
          <w:szCs w:val="24"/>
          <w:vertAlign w:val="baseline"/>
          <w:lang w:val="ro-MD"/>
        </w:rPr>
        <w:t>15</w:t>
      </w:r>
      <w:r w:rsidRPr="009772A3">
        <w:rPr>
          <w:rFonts w:asciiTheme="majorHAnsi" w:hAnsiTheme="majorHAnsi" w:cstheme="majorHAnsi"/>
          <w:sz w:val="24"/>
          <w:szCs w:val="24"/>
          <w:vertAlign w:val="baseline"/>
          <w:lang w:val="ro-MD"/>
        </w:rPr>
        <w:t>.</w:t>
      </w:r>
      <w:r w:rsidR="00033A6F" w:rsidRPr="009772A3">
        <w:rPr>
          <w:rFonts w:asciiTheme="majorHAnsi" w:hAnsiTheme="majorHAnsi" w:cstheme="majorHAnsi"/>
          <w:sz w:val="24"/>
          <w:szCs w:val="24"/>
          <w:vertAlign w:val="baseline"/>
          <w:lang w:val="ro-MD"/>
        </w:rPr>
        <w:t>920</w:t>
      </w:r>
      <w:r w:rsidRPr="009772A3">
        <w:rPr>
          <w:rFonts w:asciiTheme="majorHAnsi" w:hAnsiTheme="majorHAnsi" w:cstheme="majorHAnsi"/>
          <w:sz w:val="24"/>
          <w:szCs w:val="24"/>
          <w:vertAlign w:val="baseline"/>
          <w:lang w:val="ro-MD"/>
        </w:rPr>
        <w:t xml:space="preserve">,6 mii lei a costurilor aferente executării lucrărilor de construcție/reconstrucție a infrastructurii de distribuție a gazelor naturale prin </w:t>
      </w:r>
      <w:r w:rsidR="00986D5B">
        <w:rPr>
          <w:rFonts w:asciiTheme="majorHAnsi" w:hAnsiTheme="majorHAnsi" w:cstheme="majorHAnsi"/>
          <w:sz w:val="24"/>
          <w:szCs w:val="24"/>
          <w:vertAlign w:val="baseline"/>
          <w:lang w:val="ro-MD"/>
        </w:rPr>
        <w:t>calcula</w:t>
      </w:r>
      <w:r w:rsidR="00986D5B" w:rsidRPr="009772A3">
        <w:rPr>
          <w:rFonts w:asciiTheme="majorHAnsi" w:hAnsiTheme="majorHAnsi" w:cstheme="majorHAnsi"/>
          <w:sz w:val="24"/>
          <w:szCs w:val="24"/>
          <w:vertAlign w:val="baseline"/>
          <w:lang w:val="ro-MD"/>
        </w:rPr>
        <w:t xml:space="preserve">rea </w:t>
      </w:r>
      <w:r w:rsidRPr="009772A3">
        <w:rPr>
          <w:rFonts w:asciiTheme="majorHAnsi" w:hAnsiTheme="majorHAnsi" w:cstheme="majorHAnsi"/>
          <w:sz w:val="24"/>
          <w:szCs w:val="24"/>
          <w:vertAlign w:val="baseline"/>
          <w:lang w:val="ro-MD"/>
        </w:rPr>
        <w:t xml:space="preserve">cheltuielilor de regie și </w:t>
      </w:r>
      <w:r w:rsidR="005B1DAB">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 xml:space="preserve">beneficiului antreprenorului </w:t>
      </w:r>
      <w:r w:rsidR="00986D5B">
        <w:rPr>
          <w:rFonts w:asciiTheme="majorHAnsi" w:hAnsiTheme="majorHAnsi" w:cstheme="majorHAnsi"/>
          <w:sz w:val="24"/>
          <w:szCs w:val="24"/>
          <w:vertAlign w:val="baseline"/>
          <w:lang w:val="ro-MD"/>
        </w:rPr>
        <w:t>de la valoarea</w:t>
      </w:r>
      <w:r w:rsidRPr="009772A3">
        <w:rPr>
          <w:rFonts w:asciiTheme="majorHAnsi" w:hAnsiTheme="majorHAnsi" w:cstheme="majorHAnsi"/>
          <w:sz w:val="24"/>
          <w:szCs w:val="24"/>
          <w:vertAlign w:val="baseline"/>
          <w:lang w:val="ro-MD"/>
        </w:rPr>
        <w:t xml:space="preserve"> materialelor procurate de către beneficiar (pct. 4.2.3.3.)</w:t>
      </w:r>
      <w:r w:rsidR="005B1DAB">
        <w:rPr>
          <w:rFonts w:asciiTheme="majorHAnsi" w:hAnsiTheme="majorHAnsi" w:cstheme="majorHAnsi"/>
          <w:sz w:val="24"/>
          <w:szCs w:val="24"/>
          <w:vertAlign w:val="baseline"/>
          <w:lang w:val="ro-MD"/>
        </w:rPr>
        <w:t>;</w:t>
      </w:r>
    </w:p>
    <w:p w14:paraId="17DAC5B6" w14:textId="1FA85756"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nerespectarea principiilor de transparență și eficiență în cazul investițiilor prin nedetalierea exactă </w:t>
      </w:r>
      <w:r w:rsidR="00986D5B" w:rsidRPr="009772A3">
        <w:rPr>
          <w:rFonts w:asciiTheme="majorHAnsi" w:hAnsiTheme="majorHAnsi" w:cstheme="majorHAnsi"/>
          <w:sz w:val="24"/>
          <w:szCs w:val="24"/>
          <w:vertAlign w:val="baseline"/>
          <w:lang w:val="ro-MD"/>
        </w:rPr>
        <w:t>în devizele aferente renovării rețelelor de transport a</w:t>
      </w:r>
      <w:r w:rsidR="005B1DAB">
        <w:rPr>
          <w:rFonts w:asciiTheme="majorHAnsi" w:hAnsiTheme="majorHAnsi" w:cstheme="majorHAnsi"/>
          <w:sz w:val="24"/>
          <w:szCs w:val="24"/>
          <w:vertAlign w:val="baseline"/>
          <w:lang w:val="ro-MD"/>
        </w:rPr>
        <w:t>l</w:t>
      </w:r>
      <w:r w:rsidR="00986D5B" w:rsidRPr="009772A3">
        <w:rPr>
          <w:rFonts w:asciiTheme="majorHAnsi" w:hAnsiTheme="majorHAnsi" w:cstheme="majorHAnsi"/>
          <w:sz w:val="24"/>
          <w:szCs w:val="24"/>
          <w:vertAlign w:val="baseline"/>
          <w:lang w:val="ro-MD"/>
        </w:rPr>
        <w:t xml:space="preserve"> gazelor naturale </w:t>
      </w:r>
      <w:r w:rsidRPr="009772A3">
        <w:rPr>
          <w:rFonts w:asciiTheme="majorHAnsi" w:hAnsiTheme="majorHAnsi" w:cstheme="majorHAnsi"/>
          <w:sz w:val="24"/>
          <w:szCs w:val="24"/>
          <w:vertAlign w:val="baseline"/>
          <w:lang w:val="ro-MD"/>
        </w:rPr>
        <w:t xml:space="preserve">a volumelor și tipurilor de lucrări </w:t>
      </w:r>
      <w:r w:rsidR="00986D5B" w:rsidRPr="009772A3">
        <w:rPr>
          <w:rFonts w:asciiTheme="majorHAnsi" w:hAnsiTheme="majorHAnsi" w:cstheme="majorHAnsi"/>
          <w:sz w:val="24"/>
          <w:szCs w:val="24"/>
          <w:vertAlign w:val="baseline"/>
          <w:lang w:val="ro-MD"/>
        </w:rPr>
        <w:t>în sumă de circa 270.3</w:t>
      </w:r>
      <w:r w:rsidR="000207C4">
        <w:rPr>
          <w:rFonts w:asciiTheme="majorHAnsi" w:hAnsiTheme="majorHAnsi" w:cstheme="majorHAnsi"/>
          <w:sz w:val="24"/>
          <w:szCs w:val="24"/>
          <w:vertAlign w:val="baseline"/>
          <w:lang w:val="ro-MD"/>
        </w:rPr>
        <w:t>93</w:t>
      </w:r>
      <w:r w:rsidR="00986D5B" w:rsidRPr="009772A3">
        <w:rPr>
          <w:rFonts w:asciiTheme="majorHAnsi" w:hAnsiTheme="majorHAnsi" w:cstheme="majorHAnsi"/>
          <w:sz w:val="24"/>
          <w:szCs w:val="24"/>
          <w:vertAlign w:val="baseline"/>
          <w:lang w:val="ro-MD"/>
        </w:rPr>
        <w:t>,</w:t>
      </w:r>
      <w:r w:rsidR="000207C4">
        <w:rPr>
          <w:rFonts w:asciiTheme="majorHAnsi" w:hAnsiTheme="majorHAnsi" w:cstheme="majorHAnsi"/>
          <w:sz w:val="24"/>
          <w:szCs w:val="24"/>
          <w:vertAlign w:val="baseline"/>
          <w:lang w:val="ro-MD"/>
        </w:rPr>
        <w:t>4</w:t>
      </w:r>
      <w:r w:rsidR="00986D5B" w:rsidRPr="009772A3">
        <w:rPr>
          <w:rFonts w:asciiTheme="majorHAnsi" w:hAnsiTheme="majorHAnsi" w:cstheme="majorHAnsi"/>
          <w:sz w:val="24"/>
          <w:szCs w:val="24"/>
          <w:vertAlign w:val="baseline"/>
          <w:lang w:val="ro-MD"/>
        </w:rPr>
        <w:t xml:space="preserve"> mii lei</w:t>
      </w:r>
      <w:r w:rsidRPr="009772A3">
        <w:rPr>
          <w:rFonts w:asciiTheme="majorHAnsi" w:hAnsiTheme="majorHAnsi" w:cstheme="majorHAnsi"/>
          <w:sz w:val="24"/>
          <w:szCs w:val="24"/>
          <w:vertAlign w:val="baseline"/>
          <w:lang w:val="ro-MD"/>
        </w:rPr>
        <w:t xml:space="preserve"> (pct. 4.2.3.5.)</w:t>
      </w:r>
      <w:r w:rsidR="005B1DAB">
        <w:rPr>
          <w:rFonts w:asciiTheme="majorHAnsi" w:hAnsiTheme="majorHAnsi" w:cstheme="majorHAnsi"/>
          <w:sz w:val="24"/>
          <w:szCs w:val="24"/>
          <w:vertAlign w:val="baseline"/>
          <w:lang w:val="ro-MD"/>
        </w:rPr>
        <w:t>;</w:t>
      </w:r>
    </w:p>
    <w:p w14:paraId="3EDFA797" w14:textId="1AB37B7A" w:rsidR="0077421C" w:rsidRPr="009772A3" w:rsidRDefault="0077421C" w:rsidP="00F261B0">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încheierea acordurilor adiționale în valoare totală de circa </w:t>
      </w:r>
      <w:r w:rsidR="00FD4222" w:rsidRPr="009772A3">
        <w:rPr>
          <w:rFonts w:asciiTheme="majorHAnsi" w:hAnsiTheme="majorHAnsi" w:cstheme="majorHAnsi"/>
          <w:sz w:val="24"/>
          <w:szCs w:val="24"/>
          <w:vertAlign w:val="baseline"/>
          <w:lang w:val="ro-MD"/>
        </w:rPr>
        <w:t xml:space="preserve">90.491,9 </w:t>
      </w:r>
      <w:r w:rsidRPr="009772A3">
        <w:rPr>
          <w:rFonts w:asciiTheme="majorHAnsi" w:hAnsiTheme="majorHAnsi" w:cstheme="majorHAnsi"/>
          <w:sz w:val="24"/>
          <w:szCs w:val="24"/>
          <w:vertAlign w:val="baseline"/>
          <w:lang w:val="ro-MD"/>
        </w:rPr>
        <w:t xml:space="preserve">mii lei </w:t>
      </w:r>
      <w:r w:rsidR="00F261B0" w:rsidRPr="00F261B0">
        <w:rPr>
          <w:rFonts w:asciiTheme="majorHAnsi" w:hAnsiTheme="majorHAnsi" w:cstheme="majorHAnsi"/>
          <w:sz w:val="24"/>
          <w:szCs w:val="24"/>
          <w:vertAlign w:val="baseline"/>
          <w:lang w:val="ro-MD"/>
        </w:rPr>
        <w:t>la contractele de bază privind executarea lucrărilor, nu a asigurat transparența și eficiența achizițiilor efectuate</w:t>
      </w:r>
      <w:r w:rsidRPr="009772A3">
        <w:rPr>
          <w:rFonts w:asciiTheme="majorHAnsi" w:hAnsiTheme="majorHAnsi" w:cstheme="majorHAnsi"/>
          <w:sz w:val="24"/>
          <w:szCs w:val="24"/>
          <w:vertAlign w:val="baseline"/>
          <w:lang w:val="ro-MD"/>
        </w:rPr>
        <w:t xml:space="preserve">. (pct 4.2.3.6., </w:t>
      </w:r>
      <w:r w:rsidR="00756E1F">
        <w:rPr>
          <w:rFonts w:asciiTheme="majorHAnsi" w:hAnsiTheme="majorHAnsi" w:cstheme="majorHAnsi"/>
          <w:sz w:val="24"/>
          <w:szCs w:val="24"/>
          <w:vertAlign w:val="baseline"/>
          <w:lang w:val="ro-MD"/>
        </w:rPr>
        <w:t>pct.</w:t>
      </w:r>
      <w:r w:rsidRPr="009772A3">
        <w:rPr>
          <w:rFonts w:asciiTheme="majorHAnsi" w:hAnsiTheme="majorHAnsi" w:cstheme="majorHAnsi"/>
          <w:sz w:val="24"/>
          <w:szCs w:val="24"/>
          <w:vertAlign w:val="baseline"/>
          <w:lang w:val="ro-MD"/>
        </w:rPr>
        <w:t>4.2.4.9.)</w:t>
      </w:r>
      <w:r w:rsidR="00FD4222" w:rsidRPr="009772A3">
        <w:rPr>
          <w:rFonts w:asciiTheme="majorHAnsi" w:hAnsiTheme="majorHAnsi" w:cstheme="majorHAnsi"/>
          <w:sz w:val="24"/>
          <w:szCs w:val="24"/>
          <w:lang w:val="ro-MD"/>
        </w:rPr>
        <w:t xml:space="preserve"> </w:t>
      </w:r>
    </w:p>
    <w:p w14:paraId="252D28D8" w14:textId="76C41147"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admiterea cheltuielilor în sumă totală de 5.851,1 mii lei, în lipsa calculelor corespunzătoare și </w:t>
      </w:r>
      <w:r w:rsidR="00756E1F">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documentelor justificative la efectuarea lucrărilor de reparație capitală, contravine cadrului normativ în vigoare (pct. 4.2.3.7.)</w:t>
      </w:r>
      <w:r w:rsidR="00756E1F">
        <w:rPr>
          <w:rFonts w:asciiTheme="majorHAnsi" w:hAnsiTheme="majorHAnsi" w:cstheme="majorHAnsi"/>
          <w:sz w:val="24"/>
          <w:szCs w:val="24"/>
          <w:vertAlign w:val="baseline"/>
          <w:lang w:val="ro-MD"/>
        </w:rPr>
        <w:t>;</w:t>
      </w:r>
    </w:p>
    <w:p w14:paraId="5084A9E7" w14:textId="7294C10C"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neaplicarea consecventă a practicilor de încasare a garanțiilor de bună execuție în valoare totală de cca 26.200,0 mii lei, dar și evitarea aplicării penalităților în sumă totală de cca 3.400,0 mii lei, pentru executarea neconformă a contractelor de achiziție a lucrărilor, condiționează riscuri semnificative de neasigurare a calității și </w:t>
      </w:r>
      <w:r w:rsidR="00756E1F">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 xml:space="preserve">executării în termen a angajamentelor asumate de către operatorii economici (pct. 4.2.3.8, </w:t>
      </w:r>
      <w:r w:rsidR="00756E1F">
        <w:rPr>
          <w:rFonts w:asciiTheme="majorHAnsi" w:hAnsiTheme="majorHAnsi" w:cstheme="majorHAnsi"/>
          <w:sz w:val="24"/>
          <w:szCs w:val="24"/>
          <w:vertAlign w:val="baseline"/>
          <w:lang w:val="ro-MD"/>
        </w:rPr>
        <w:t>pct.</w:t>
      </w:r>
      <w:r w:rsidRPr="009772A3">
        <w:rPr>
          <w:rFonts w:asciiTheme="majorHAnsi" w:hAnsiTheme="majorHAnsi" w:cstheme="majorHAnsi"/>
          <w:sz w:val="24"/>
          <w:szCs w:val="24"/>
          <w:vertAlign w:val="baseline"/>
          <w:lang w:val="ro-MD"/>
        </w:rPr>
        <w:t>4.2.4.10.)</w:t>
      </w:r>
      <w:r w:rsidR="00756E1F">
        <w:rPr>
          <w:rFonts w:asciiTheme="majorHAnsi" w:hAnsiTheme="majorHAnsi" w:cstheme="majorHAnsi"/>
          <w:sz w:val="24"/>
          <w:szCs w:val="24"/>
          <w:vertAlign w:val="baseline"/>
          <w:lang w:val="ro-MD"/>
        </w:rPr>
        <w:t>;</w:t>
      </w:r>
    </w:p>
    <w:p w14:paraId="0C76EF0B" w14:textId="4FBEDF5F"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majorarea neîntemeiată a cheltuielilor operatorului de transport din cauza necapitalizării conforme a investițiilor în valoare totală de 36.334,4 mii lei (pct.4.2.3.9.)</w:t>
      </w:r>
      <w:r w:rsidR="00756E1F">
        <w:rPr>
          <w:rFonts w:asciiTheme="majorHAnsi" w:hAnsiTheme="majorHAnsi" w:cstheme="majorHAnsi"/>
          <w:sz w:val="24"/>
          <w:szCs w:val="24"/>
          <w:vertAlign w:val="baseline"/>
          <w:lang w:val="ro-MD"/>
        </w:rPr>
        <w:t>;</w:t>
      </w:r>
    </w:p>
    <w:p w14:paraId="49BD3098" w14:textId="4245B37F"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reglementarea internă a procesului de achiziționare a bunurilor, serviciilor și lucrărilor în cadrul SA Moldovagaz nu este armonizată corespunzător cu prevederile legale în vigoare și permite o abordare neuniformă a practicilor de procurări. (pct. 4.2.4.1, </w:t>
      </w:r>
      <w:r w:rsidR="00756E1F">
        <w:rPr>
          <w:rFonts w:asciiTheme="majorHAnsi" w:hAnsiTheme="majorHAnsi" w:cstheme="majorHAnsi"/>
          <w:sz w:val="24"/>
          <w:szCs w:val="24"/>
          <w:vertAlign w:val="baseline"/>
          <w:lang w:val="ro-MD"/>
        </w:rPr>
        <w:t>pct.</w:t>
      </w:r>
      <w:r w:rsidRPr="009772A3">
        <w:rPr>
          <w:rFonts w:asciiTheme="majorHAnsi" w:hAnsiTheme="majorHAnsi" w:cstheme="majorHAnsi"/>
          <w:sz w:val="24"/>
          <w:szCs w:val="24"/>
          <w:vertAlign w:val="baseline"/>
          <w:lang w:val="ro-MD"/>
        </w:rPr>
        <w:t>4.2.4.2.)</w:t>
      </w:r>
    </w:p>
    <w:p w14:paraId="79FE0883" w14:textId="688C1CA5"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neestimarea și neindicarea în </w:t>
      </w:r>
      <w:r w:rsidR="00756E1F">
        <w:rPr>
          <w:rFonts w:asciiTheme="majorHAnsi" w:hAnsiTheme="majorHAnsi" w:cstheme="majorHAnsi"/>
          <w:sz w:val="24"/>
          <w:szCs w:val="24"/>
          <w:vertAlign w:val="baseline"/>
          <w:lang w:val="ro-MD"/>
        </w:rPr>
        <w:t>p</w:t>
      </w:r>
      <w:r w:rsidR="00756E1F" w:rsidRPr="009772A3">
        <w:rPr>
          <w:rFonts w:asciiTheme="majorHAnsi" w:hAnsiTheme="majorHAnsi" w:cstheme="majorHAnsi"/>
          <w:sz w:val="24"/>
          <w:szCs w:val="24"/>
          <w:vertAlign w:val="baseline"/>
          <w:lang w:val="ro-MD"/>
        </w:rPr>
        <w:t xml:space="preserve">lanurile </w:t>
      </w:r>
      <w:r w:rsidRPr="009772A3">
        <w:rPr>
          <w:rFonts w:asciiTheme="majorHAnsi" w:hAnsiTheme="majorHAnsi" w:cstheme="majorHAnsi"/>
          <w:sz w:val="24"/>
          <w:szCs w:val="24"/>
          <w:vertAlign w:val="baseline"/>
          <w:lang w:val="ro-MD"/>
        </w:rPr>
        <w:t xml:space="preserve">anuale de achiziții a costurilor estimative, precum și întocmirea neconformă a Catalogului de prețuri care contribuie la elaborarea planurilor de achiziții, afectează transparența, concurența și eficiența procedurilor menționate. (pct. 4.2.4.3. și </w:t>
      </w:r>
      <w:r w:rsidR="00756E1F">
        <w:rPr>
          <w:rFonts w:asciiTheme="majorHAnsi" w:hAnsiTheme="majorHAnsi" w:cstheme="majorHAnsi"/>
          <w:sz w:val="24"/>
          <w:szCs w:val="24"/>
          <w:vertAlign w:val="baseline"/>
          <w:lang w:val="ro-MD"/>
        </w:rPr>
        <w:t>pct.</w:t>
      </w:r>
      <w:r w:rsidRPr="009772A3">
        <w:rPr>
          <w:rFonts w:asciiTheme="majorHAnsi" w:hAnsiTheme="majorHAnsi" w:cstheme="majorHAnsi"/>
          <w:sz w:val="24"/>
          <w:szCs w:val="24"/>
          <w:vertAlign w:val="baseline"/>
          <w:lang w:val="ro-MD"/>
        </w:rPr>
        <w:t xml:space="preserve">4.2.4.4.) </w:t>
      </w:r>
    </w:p>
    <w:p w14:paraId="21998CDE" w14:textId="106D0537"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efectuarea unor procurări de bunuri și servicii în valoare totală de circa 47.</w:t>
      </w:r>
      <w:r w:rsidR="00C611D4" w:rsidRPr="009772A3">
        <w:rPr>
          <w:rFonts w:asciiTheme="majorHAnsi" w:hAnsiTheme="majorHAnsi" w:cstheme="majorHAnsi"/>
          <w:sz w:val="24"/>
          <w:szCs w:val="24"/>
          <w:vertAlign w:val="baseline"/>
          <w:lang w:val="ro-MD"/>
        </w:rPr>
        <w:t>7</w:t>
      </w:r>
      <w:r w:rsidR="00C611D4">
        <w:rPr>
          <w:rFonts w:asciiTheme="majorHAnsi" w:hAnsiTheme="majorHAnsi" w:cstheme="majorHAnsi"/>
          <w:sz w:val="24"/>
          <w:szCs w:val="24"/>
          <w:vertAlign w:val="baseline"/>
          <w:lang w:val="ro-MD"/>
        </w:rPr>
        <w:t>0</w:t>
      </w:r>
      <w:r w:rsidR="00C611D4" w:rsidRPr="009772A3">
        <w:rPr>
          <w:rFonts w:asciiTheme="majorHAnsi" w:hAnsiTheme="majorHAnsi" w:cstheme="majorHAnsi"/>
          <w:sz w:val="24"/>
          <w:szCs w:val="24"/>
          <w:vertAlign w:val="baseline"/>
          <w:lang w:val="ro-MD"/>
        </w:rPr>
        <w:t>3</w:t>
      </w:r>
      <w:r w:rsidRPr="009772A3">
        <w:rPr>
          <w:rFonts w:asciiTheme="majorHAnsi" w:hAnsiTheme="majorHAnsi" w:cstheme="majorHAnsi"/>
          <w:sz w:val="24"/>
          <w:szCs w:val="24"/>
          <w:vertAlign w:val="baseline"/>
          <w:lang w:val="ro-MD"/>
        </w:rPr>
        <w:t>,</w:t>
      </w:r>
      <w:r w:rsidR="00C611D4">
        <w:rPr>
          <w:rFonts w:asciiTheme="majorHAnsi" w:hAnsiTheme="majorHAnsi" w:cstheme="majorHAnsi"/>
          <w:sz w:val="24"/>
          <w:szCs w:val="24"/>
          <w:vertAlign w:val="baseline"/>
          <w:lang w:val="ro-MD"/>
        </w:rPr>
        <w:t>4</w:t>
      </w:r>
      <w:r w:rsidRPr="009772A3">
        <w:rPr>
          <w:rFonts w:asciiTheme="majorHAnsi" w:hAnsiTheme="majorHAnsi" w:cstheme="majorHAnsi"/>
          <w:sz w:val="24"/>
          <w:szCs w:val="24"/>
          <w:vertAlign w:val="baseline"/>
          <w:lang w:val="ro-MD"/>
        </w:rPr>
        <w:t xml:space="preserve"> mii lei fără organiza</w:t>
      </w:r>
      <w:r w:rsidR="00756E1F">
        <w:rPr>
          <w:rFonts w:asciiTheme="majorHAnsi" w:hAnsiTheme="majorHAnsi" w:cstheme="majorHAnsi"/>
          <w:sz w:val="24"/>
          <w:szCs w:val="24"/>
          <w:vertAlign w:val="baseline"/>
          <w:lang w:val="ro-MD"/>
        </w:rPr>
        <w:t>rea</w:t>
      </w:r>
      <w:r w:rsidRPr="009772A3">
        <w:rPr>
          <w:rFonts w:asciiTheme="majorHAnsi" w:hAnsiTheme="majorHAnsi" w:cstheme="majorHAnsi"/>
          <w:sz w:val="24"/>
          <w:szCs w:val="24"/>
          <w:vertAlign w:val="baseline"/>
          <w:lang w:val="ro-MD"/>
        </w:rPr>
        <w:t xml:space="preserve"> și </w:t>
      </w:r>
      <w:r w:rsidR="00756E1F" w:rsidRPr="009772A3">
        <w:rPr>
          <w:rFonts w:asciiTheme="majorHAnsi" w:hAnsiTheme="majorHAnsi" w:cstheme="majorHAnsi"/>
          <w:sz w:val="24"/>
          <w:szCs w:val="24"/>
          <w:vertAlign w:val="baseline"/>
          <w:lang w:val="ro-MD"/>
        </w:rPr>
        <w:t>desfășura</w:t>
      </w:r>
      <w:r w:rsidR="00756E1F">
        <w:rPr>
          <w:rFonts w:asciiTheme="majorHAnsi" w:hAnsiTheme="majorHAnsi" w:cstheme="majorHAnsi"/>
          <w:sz w:val="24"/>
          <w:szCs w:val="24"/>
          <w:vertAlign w:val="baseline"/>
          <w:lang w:val="ro-MD"/>
        </w:rPr>
        <w:t>rea</w:t>
      </w:r>
      <w:r w:rsidR="00756E1F" w:rsidRPr="009772A3">
        <w:rPr>
          <w:rFonts w:asciiTheme="majorHAnsi" w:hAnsiTheme="majorHAnsi" w:cstheme="majorHAnsi"/>
          <w:sz w:val="24"/>
          <w:szCs w:val="24"/>
          <w:vertAlign w:val="baseline"/>
          <w:lang w:val="ro-MD"/>
        </w:rPr>
        <w:t xml:space="preserve"> proceduril</w:t>
      </w:r>
      <w:r w:rsidR="00756E1F">
        <w:rPr>
          <w:rFonts w:asciiTheme="majorHAnsi" w:hAnsiTheme="majorHAnsi" w:cstheme="majorHAnsi"/>
          <w:sz w:val="24"/>
          <w:szCs w:val="24"/>
          <w:vertAlign w:val="baseline"/>
          <w:lang w:val="ro-MD"/>
        </w:rPr>
        <w:t>or</w:t>
      </w:r>
      <w:r w:rsidR="00756E1F"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corespunzătoare</w:t>
      </w:r>
      <w:r w:rsidR="00986D5B">
        <w:rPr>
          <w:rFonts w:asciiTheme="majorHAnsi" w:hAnsiTheme="majorHAnsi" w:cstheme="majorHAnsi"/>
          <w:sz w:val="24"/>
          <w:szCs w:val="24"/>
          <w:vertAlign w:val="baseline"/>
          <w:lang w:val="ro-MD"/>
        </w:rPr>
        <w:t xml:space="preserve"> de achiziție</w:t>
      </w:r>
      <w:r w:rsidRPr="009772A3">
        <w:rPr>
          <w:rFonts w:asciiTheme="majorHAnsi" w:hAnsiTheme="majorHAnsi" w:cstheme="majorHAnsi"/>
          <w:sz w:val="24"/>
          <w:szCs w:val="24"/>
          <w:vertAlign w:val="baseline"/>
          <w:lang w:val="ro-MD"/>
        </w:rPr>
        <w:t>, precum și divizarea unor contracte de achiziții în valoare totală de 3.132,6 mii lei (pct. 4.2.4.5. și pct. 4.2.4.13.)</w:t>
      </w:r>
      <w:r w:rsidR="00756E1F">
        <w:rPr>
          <w:rFonts w:asciiTheme="majorHAnsi" w:hAnsiTheme="majorHAnsi" w:cstheme="majorHAnsi"/>
          <w:sz w:val="24"/>
          <w:szCs w:val="24"/>
          <w:vertAlign w:val="baseline"/>
          <w:lang w:val="ro-MD"/>
        </w:rPr>
        <w:t>;</w:t>
      </w:r>
    </w:p>
    <w:p w14:paraId="1ABDDD1E" w14:textId="2A6538B4"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nerealizarea unor studii privind competitivitatea prețurilor oferite pe piața internă și cea externă</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 condiționat efectuarea unor achiziții prin intermediari cu </w:t>
      </w:r>
      <w:r w:rsidR="00972D33" w:rsidRPr="009772A3">
        <w:rPr>
          <w:rFonts w:asciiTheme="majorHAnsi" w:hAnsiTheme="majorHAnsi" w:cstheme="majorHAnsi"/>
          <w:sz w:val="24"/>
          <w:szCs w:val="24"/>
          <w:vertAlign w:val="baseline"/>
          <w:lang w:val="ro-MD"/>
        </w:rPr>
        <w:t xml:space="preserve">achitarea unor </w:t>
      </w:r>
      <w:r w:rsidR="00756E1F" w:rsidRPr="009772A3">
        <w:rPr>
          <w:rFonts w:asciiTheme="majorHAnsi" w:hAnsiTheme="majorHAnsi" w:cstheme="majorHAnsi"/>
          <w:sz w:val="24"/>
          <w:szCs w:val="24"/>
          <w:vertAlign w:val="baseline"/>
          <w:lang w:val="ro-MD"/>
        </w:rPr>
        <w:t>adaos</w:t>
      </w:r>
      <w:r w:rsidR="00756E1F">
        <w:rPr>
          <w:rFonts w:asciiTheme="majorHAnsi" w:hAnsiTheme="majorHAnsi" w:cstheme="majorHAnsi"/>
          <w:sz w:val="24"/>
          <w:szCs w:val="24"/>
          <w:vertAlign w:val="baseline"/>
          <w:lang w:val="ro-MD"/>
        </w:rPr>
        <w:t>uri</w:t>
      </w:r>
      <w:r w:rsidR="00756E1F" w:rsidRPr="009772A3">
        <w:rPr>
          <w:rFonts w:asciiTheme="majorHAnsi" w:hAnsiTheme="majorHAnsi" w:cstheme="majorHAnsi"/>
          <w:sz w:val="24"/>
          <w:szCs w:val="24"/>
          <w:vertAlign w:val="baseline"/>
          <w:lang w:val="ro-MD"/>
        </w:rPr>
        <w:t xml:space="preserve"> </w:t>
      </w:r>
      <w:r w:rsidR="00972D33" w:rsidRPr="009772A3">
        <w:rPr>
          <w:rFonts w:asciiTheme="majorHAnsi" w:hAnsiTheme="majorHAnsi" w:cstheme="majorHAnsi"/>
          <w:sz w:val="24"/>
          <w:szCs w:val="24"/>
          <w:vertAlign w:val="baseline"/>
          <w:lang w:val="ro-MD"/>
        </w:rPr>
        <w:t xml:space="preserve">comerciale de </w:t>
      </w:r>
      <w:r w:rsidRPr="009772A3">
        <w:rPr>
          <w:rFonts w:asciiTheme="majorHAnsi" w:hAnsiTheme="majorHAnsi" w:cstheme="majorHAnsi"/>
          <w:sz w:val="24"/>
          <w:szCs w:val="24"/>
          <w:vertAlign w:val="baseline"/>
          <w:lang w:val="ro-MD"/>
        </w:rPr>
        <w:t>circa 153.365,8 mii lei față de valoarea bunurilor declarată în vamă</w:t>
      </w:r>
      <w:r w:rsidR="00563958" w:rsidRPr="009772A3">
        <w:rPr>
          <w:rFonts w:asciiTheme="majorHAnsi" w:hAnsiTheme="majorHAnsi" w:cstheme="majorHAnsi"/>
          <w:sz w:val="24"/>
          <w:szCs w:val="24"/>
          <w:vertAlign w:val="baseline"/>
          <w:lang w:val="ro-MD"/>
        </w:rPr>
        <w:t>, precum și acordarea unor avansuri în proporție de peste 50 la sută din valoarea contractelor de achiziții</w:t>
      </w:r>
      <w:r w:rsidRPr="009772A3">
        <w:rPr>
          <w:rFonts w:asciiTheme="majorHAnsi" w:hAnsiTheme="majorHAnsi" w:cstheme="majorHAnsi"/>
          <w:sz w:val="24"/>
          <w:szCs w:val="24"/>
          <w:vertAlign w:val="baseline"/>
          <w:lang w:val="ro-MD"/>
        </w:rPr>
        <w:t xml:space="preserve"> (pct. 4.2.4.6.</w:t>
      </w:r>
      <w:r w:rsidR="00756E1F">
        <w:rPr>
          <w:rFonts w:asciiTheme="majorHAnsi" w:hAnsiTheme="majorHAnsi" w:cstheme="majorHAnsi"/>
          <w:sz w:val="24"/>
          <w:szCs w:val="24"/>
          <w:vertAlign w:val="baseline"/>
          <w:lang w:val="ro-MD"/>
        </w:rPr>
        <w:t xml:space="preserve"> și</w:t>
      </w:r>
      <w:r w:rsidR="00563958" w:rsidRPr="009772A3">
        <w:rPr>
          <w:rFonts w:asciiTheme="majorHAnsi" w:hAnsiTheme="majorHAnsi" w:cstheme="majorHAnsi"/>
          <w:sz w:val="24"/>
          <w:szCs w:val="24"/>
          <w:vertAlign w:val="baseline"/>
          <w:lang w:val="ro-MD"/>
        </w:rPr>
        <w:t xml:space="preserve"> pct. 4.2.4.7.</w:t>
      </w:r>
      <w:r w:rsidRPr="009772A3">
        <w:rPr>
          <w:rFonts w:asciiTheme="majorHAnsi" w:hAnsiTheme="majorHAnsi" w:cstheme="majorHAnsi"/>
          <w:sz w:val="24"/>
          <w:szCs w:val="24"/>
          <w:vertAlign w:val="baseline"/>
          <w:lang w:val="ro-MD"/>
        </w:rPr>
        <w:t>)</w:t>
      </w:r>
      <w:r w:rsidR="00756E1F">
        <w:rPr>
          <w:rFonts w:asciiTheme="majorHAnsi" w:hAnsiTheme="majorHAnsi" w:cstheme="majorHAnsi"/>
          <w:sz w:val="24"/>
          <w:szCs w:val="24"/>
          <w:vertAlign w:val="baseline"/>
          <w:lang w:val="ro-MD"/>
        </w:rPr>
        <w:t>;</w:t>
      </w:r>
    </w:p>
    <w:p w14:paraId="0F5D5CE2" w14:textId="2C3D78CA"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stabilirea adaosului comercial </w:t>
      </w:r>
      <w:r w:rsidR="00756E1F">
        <w:rPr>
          <w:rFonts w:asciiTheme="majorHAnsi" w:hAnsiTheme="majorHAnsi" w:cstheme="majorHAnsi"/>
          <w:sz w:val="24"/>
          <w:szCs w:val="24"/>
          <w:vertAlign w:val="baseline"/>
          <w:lang w:val="ro-MD"/>
        </w:rPr>
        <w:t>la</w:t>
      </w:r>
      <w:r w:rsidR="00756E1F"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efectuarea centralizată a achizițiilor de bunuri și lucrări</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 generat cheltuieli</w:t>
      </w:r>
      <w:r w:rsidR="000D43B9">
        <w:rPr>
          <w:rFonts w:asciiTheme="majorHAnsi" w:hAnsiTheme="majorHAnsi" w:cstheme="majorHAnsi"/>
          <w:sz w:val="24"/>
          <w:szCs w:val="24"/>
          <w:vertAlign w:val="baseline"/>
          <w:lang w:val="ro-MD"/>
        </w:rPr>
        <w:t xml:space="preserve"> de </w:t>
      </w:r>
      <w:r w:rsidRPr="009772A3">
        <w:rPr>
          <w:rFonts w:asciiTheme="majorHAnsi" w:hAnsiTheme="majorHAnsi" w:cstheme="majorHAnsi"/>
          <w:sz w:val="24"/>
          <w:szCs w:val="24"/>
          <w:vertAlign w:val="baseline"/>
          <w:lang w:val="ro-MD"/>
        </w:rPr>
        <w:t>8.892,5 mii lei</w:t>
      </w:r>
      <w:r w:rsidR="000D43B9">
        <w:rPr>
          <w:rFonts w:asciiTheme="majorHAnsi" w:hAnsiTheme="majorHAnsi" w:cstheme="majorHAnsi"/>
          <w:sz w:val="24"/>
          <w:szCs w:val="24"/>
          <w:vertAlign w:val="baseline"/>
          <w:lang w:val="ro-MD"/>
        </w:rPr>
        <w:t xml:space="preserve">, care puteau fi evitate în cazul fuzionării </w:t>
      </w:r>
      <w:r w:rsidR="000D43B9" w:rsidRPr="009772A3">
        <w:rPr>
          <w:rFonts w:asciiTheme="majorHAnsi" w:hAnsiTheme="majorHAnsi" w:cstheme="majorHAnsi"/>
          <w:sz w:val="24"/>
          <w:szCs w:val="24"/>
          <w:vertAlign w:val="baseline"/>
          <w:lang w:val="ro-MD"/>
        </w:rPr>
        <w:t>întreprinderilor de distribuție a gazelor naturale</w:t>
      </w:r>
      <w:r w:rsidRPr="009772A3">
        <w:rPr>
          <w:rFonts w:asciiTheme="majorHAnsi" w:hAnsiTheme="majorHAnsi" w:cstheme="majorHAnsi"/>
          <w:sz w:val="24"/>
          <w:szCs w:val="24"/>
          <w:vertAlign w:val="baseline"/>
          <w:lang w:val="ro-MD"/>
        </w:rPr>
        <w:t xml:space="preserve"> (pct. 4.2.4.8.)</w:t>
      </w:r>
      <w:r w:rsidR="00756E1F">
        <w:rPr>
          <w:rFonts w:asciiTheme="majorHAnsi" w:hAnsiTheme="majorHAnsi" w:cstheme="majorHAnsi"/>
          <w:sz w:val="24"/>
          <w:szCs w:val="24"/>
          <w:vertAlign w:val="baseline"/>
          <w:lang w:val="ro-MD"/>
        </w:rPr>
        <w:t>;</w:t>
      </w:r>
    </w:p>
    <w:p w14:paraId="0BC0F890" w14:textId="4D4FB14D"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nerealizarea conformă a atribuțiilor de către comisia de achiziții a generat cheltuieli suplimentare pentru operatorul de transport al gazelor natural</w:t>
      </w:r>
      <w:r w:rsidR="00756E1F">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 </w:t>
      </w:r>
      <w:r w:rsidR="00B737D9">
        <w:rPr>
          <w:rFonts w:asciiTheme="majorHAnsi" w:hAnsiTheme="majorHAnsi" w:cstheme="majorHAnsi"/>
          <w:sz w:val="24"/>
          <w:szCs w:val="24"/>
          <w:vertAlign w:val="baseline"/>
          <w:lang w:val="ro-MD"/>
        </w:rPr>
        <w:t>inclusiv prin</w:t>
      </w:r>
      <w:r w:rsidRPr="009772A3">
        <w:rPr>
          <w:rFonts w:asciiTheme="majorHAnsi" w:hAnsiTheme="majorHAnsi" w:cstheme="majorHAnsi"/>
          <w:sz w:val="24"/>
          <w:szCs w:val="24"/>
          <w:vertAlign w:val="baseline"/>
          <w:lang w:val="ro-MD"/>
        </w:rPr>
        <w:t xml:space="preserve"> asigurare</w:t>
      </w:r>
      <w:r w:rsidR="00B737D9">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 xml:space="preserve"> obligatorie a obiectelor industrial periculoase la </w:t>
      </w:r>
      <w:r w:rsidR="00B737D9">
        <w:rPr>
          <w:rFonts w:asciiTheme="majorHAnsi" w:hAnsiTheme="majorHAnsi" w:cstheme="majorHAnsi"/>
          <w:sz w:val="24"/>
          <w:szCs w:val="24"/>
          <w:vertAlign w:val="baseline"/>
          <w:lang w:val="ro-MD"/>
        </w:rPr>
        <w:t xml:space="preserve">o valoare </w:t>
      </w:r>
      <w:r w:rsidRPr="009772A3">
        <w:rPr>
          <w:rFonts w:asciiTheme="majorHAnsi" w:hAnsiTheme="majorHAnsi" w:cstheme="majorHAnsi"/>
          <w:sz w:val="24"/>
          <w:szCs w:val="24"/>
          <w:vertAlign w:val="baseline"/>
          <w:lang w:val="ro-MD"/>
        </w:rPr>
        <w:t>mai mar</w:t>
      </w:r>
      <w:r w:rsidR="00B737D9">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 decât valoarea reală a bunurilor asigurate (pct. 4.2.4.11. și </w:t>
      </w:r>
      <w:r w:rsidR="00756E1F">
        <w:rPr>
          <w:rFonts w:asciiTheme="majorHAnsi" w:hAnsiTheme="majorHAnsi" w:cstheme="majorHAnsi"/>
          <w:sz w:val="24"/>
          <w:szCs w:val="24"/>
          <w:vertAlign w:val="baseline"/>
          <w:lang w:val="ro-MD"/>
        </w:rPr>
        <w:t>pct.</w:t>
      </w:r>
      <w:r w:rsidRPr="009772A3">
        <w:rPr>
          <w:rFonts w:asciiTheme="majorHAnsi" w:hAnsiTheme="majorHAnsi" w:cstheme="majorHAnsi"/>
          <w:sz w:val="24"/>
          <w:szCs w:val="24"/>
          <w:vertAlign w:val="baseline"/>
          <w:lang w:val="ro-MD"/>
        </w:rPr>
        <w:t>4.2.4.12.)</w:t>
      </w:r>
      <w:r w:rsidR="00756E1F">
        <w:rPr>
          <w:rFonts w:asciiTheme="majorHAnsi" w:hAnsiTheme="majorHAnsi" w:cstheme="majorHAnsi"/>
          <w:sz w:val="24"/>
          <w:szCs w:val="24"/>
          <w:vertAlign w:val="baseline"/>
          <w:lang w:val="ro-MD"/>
        </w:rPr>
        <w:t>;</w:t>
      </w:r>
    </w:p>
    <w:p w14:paraId="050C5C9C" w14:textId="4B4E97B2" w:rsidR="0077421C" w:rsidRPr="009772A3" w:rsidRDefault="00756E1F" w:rsidP="0077421C">
      <w:pPr>
        <w:pStyle w:val="FootnoteText"/>
        <w:spacing w:line="276" w:lineRule="auto"/>
        <w:ind w:firstLine="720"/>
        <w:jc w:val="both"/>
        <w:rPr>
          <w:rFonts w:asciiTheme="majorHAnsi" w:hAnsiTheme="majorHAnsi" w:cstheme="majorHAnsi"/>
          <w:b/>
          <w:i/>
          <w:sz w:val="24"/>
          <w:szCs w:val="24"/>
          <w:vertAlign w:val="baseline"/>
          <w:lang w:val="ro-MD"/>
        </w:rPr>
      </w:pPr>
      <w:r w:rsidRPr="00756E1F">
        <w:rPr>
          <w:rFonts w:asciiTheme="majorHAnsi" w:hAnsiTheme="majorHAnsi" w:cstheme="majorHAnsi"/>
          <w:b/>
          <w:i/>
          <w:sz w:val="24"/>
          <w:szCs w:val="24"/>
          <w:vertAlign w:val="baseline"/>
          <w:lang w:val="ro-MD"/>
        </w:rPr>
        <w:t xml:space="preserve">Cu privire la </w:t>
      </w:r>
      <w:r w:rsidR="0077421C" w:rsidRPr="009772A3">
        <w:rPr>
          <w:rFonts w:asciiTheme="majorHAnsi" w:hAnsiTheme="majorHAnsi" w:cstheme="majorHAnsi"/>
          <w:b/>
          <w:i/>
          <w:sz w:val="24"/>
          <w:szCs w:val="24"/>
          <w:vertAlign w:val="baseline"/>
          <w:lang w:val="ro-MD"/>
        </w:rPr>
        <w:t>cheltuielil</w:t>
      </w:r>
      <w:r>
        <w:rPr>
          <w:rFonts w:asciiTheme="majorHAnsi" w:hAnsiTheme="majorHAnsi" w:cstheme="majorHAnsi"/>
          <w:b/>
          <w:i/>
          <w:sz w:val="24"/>
          <w:szCs w:val="24"/>
          <w:vertAlign w:val="baseline"/>
          <w:lang w:val="ro-MD"/>
        </w:rPr>
        <w:t>e</w:t>
      </w:r>
      <w:r w:rsidR="0077421C" w:rsidRPr="009772A3">
        <w:rPr>
          <w:rFonts w:asciiTheme="majorHAnsi" w:hAnsiTheme="majorHAnsi" w:cstheme="majorHAnsi"/>
          <w:b/>
          <w:i/>
          <w:sz w:val="24"/>
          <w:szCs w:val="24"/>
          <w:vertAlign w:val="baseline"/>
          <w:lang w:val="ro-MD"/>
        </w:rPr>
        <w:t xml:space="preserve"> efectuate de către grupul S.A. Moldovagaz</w:t>
      </w:r>
    </w:p>
    <w:p w14:paraId="46496F8D" w14:textId="24E5CB2B"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mecanismul de măsurare a volumelor gazelor </w:t>
      </w:r>
      <w:r w:rsidR="0035304E">
        <w:rPr>
          <w:rFonts w:asciiTheme="majorHAnsi" w:hAnsiTheme="majorHAnsi" w:cstheme="majorHAnsi"/>
          <w:sz w:val="24"/>
          <w:szCs w:val="24"/>
          <w:vertAlign w:val="baseline"/>
          <w:lang w:val="ro-MD"/>
        </w:rPr>
        <w:t xml:space="preserve">naturale </w:t>
      </w:r>
      <w:r w:rsidRPr="009772A3">
        <w:rPr>
          <w:rFonts w:asciiTheme="majorHAnsi" w:hAnsiTheme="majorHAnsi" w:cstheme="majorHAnsi"/>
          <w:sz w:val="24"/>
          <w:szCs w:val="24"/>
          <w:vertAlign w:val="baseline"/>
          <w:lang w:val="ro-MD"/>
        </w:rPr>
        <w:t>importate</w:t>
      </w:r>
      <w:r w:rsidR="00B737D9">
        <w:rPr>
          <w:rFonts w:asciiTheme="majorHAnsi" w:hAnsiTheme="majorHAnsi" w:cstheme="majorHAnsi"/>
          <w:sz w:val="24"/>
          <w:szCs w:val="24"/>
          <w:vertAlign w:val="baseline"/>
          <w:lang w:val="ro-MD"/>
        </w:rPr>
        <w:t>, transportate și distribuite</w:t>
      </w:r>
      <w:r w:rsidRPr="009772A3">
        <w:rPr>
          <w:rFonts w:asciiTheme="majorHAnsi" w:hAnsiTheme="majorHAnsi" w:cstheme="majorHAnsi"/>
          <w:sz w:val="24"/>
          <w:szCs w:val="24"/>
          <w:vertAlign w:val="baseline"/>
          <w:lang w:val="ro-MD"/>
        </w:rPr>
        <w:t xml:space="preserve"> nu reprezintă o valoare măsurată</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ci una calculată, ceea</w:t>
      </w:r>
      <w:r w:rsidR="00FF6136"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ce relevă unele re</w:t>
      </w:r>
      <w:r w:rsidR="00FF6136" w:rsidRPr="009772A3">
        <w:rPr>
          <w:rFonts w:asciiTheme="majorHAnsi" w:hAnsiTheme="majorHAnsi" w:cstheme="majorHAnsi"/>
          <w:sz w:val="24"/>
          <w:szCs w:val="24"/>
          <w:vertAlign w:val="baseline"/>
          <w:lang w:val="ro-MD"/>
        </w:rPr>
        <w:t>z</w:t>
      </w:r>
      <w:r w:rsidRPr="009772A3">
        <w:rPr>
          <w:rFonts w:asciiTheme="majorHAnsi" w:hAnsiTheme="majorHAnsi" w:cstheme="majorHAnsi"/>
          <w:sz w:val="24"/>
          <w:szCs w:val="24"/>
          <w:vertAlign w:val="baseline"/>
          <w:lang w:val="ro-MD"/>
        </w:rPr>
        <w:t>erve privind modul de determinare a volumelor reale de gaze naturale importate, transportate și distribuite (pct. 4.3.1.1.)</w:t>
      </w:r>
      <w:r w:rsidR="00756E1F">
        <w:rPr>
          <w:rFonts w:asciiTheme="majorHAnsi" w:hAnsiTheme="majorHAnsi" w:cstheme="majorHAnsi"/>
          <w:sz w:val="24"/>
          <w:szCs w:val="24"/>
          <w:vertAlign w:val="baseline"/>
          <w:lang w:val="ro-MD"/>
        </w:rPr>
        <w:t>;</w:t>
      </w:r>
    </w:p>
    <w:p w14:paraId="0A495020" w14:textId="5EAE6F28"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volumul și valoarea pierderilor și consumurilor tehnologice se determină ca </w:t>
      </w:r>
      <w:r w:rsidR="00756E1F" w:rsidRPr="009772A3">
        <w:rPr>
          <w:rFonts w:asciiTheme="majorHAnsi" w:hAnsiTheme="majorHAnsi" w:cstheme="majorHAnsi"/>
          <w:sz w:val="24"/>
          <w:szCs w:val="24"/>
          <w:vertAlign w:val="baseline"/>
          <w:lang w:val="ro-MD"/>
        </w:rPr>
        <w:t>diferenț</w:t>
      </w:r>
      <w:r w:rsidR="00756E1F">
        <w:rPr>
          <w:rFonts w:asciiTheme="majorHAnsi" w:hAnsiTheme="majorHAnsi" w:cstheme="majorHAnsi"/>
          <w:sz w:val="24"/>
          <w:szCs w:val="24"/>
          <w:vertAlign w:val="baseline"/>
          <w:lang w:val="ro-MD"/>
        </w:rPr>
        <w:t>a</w:t>
      </w:r>
      <w:r w:rsidR="00756E1F"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între volumul și valoarea gazelor primite spre transport, și, respectiv, spre distribuție și valoarea gazelor transmise spre distribuție și</w:t>
      </w:r>
      <w:r w:rsidR="0035304E">
        <w:rPr>
          <w:rFonts w:asciiTheme="majorHAnsi" w:hAnsiTheme="majorHAnsi" w:cstheme="majorHAnsi"/>
          <w:sz w:val="24"/>
          <w:szCs w:val="24"/>
          <w:vertAlign w:val="baseline"/>
          <w:lang w:val="ro-MD"/>
        </w:rPr>
        <w:t>, respectiv,</w:t>
      </w:r>
      <w:r w:rsidRPr="009772A3">
        <w:rPr>
          <w:rFonts w:asciiTheme="majorHAnsi" w:hAnsiTheme="majorHAnsi" w:cstheme="majorHAnsi"/>
          <w:sz w:val="24"/>
          <w:szCs w:val="24"/>
          <w:vertAlign w:val="baseline"/>
          <w:lang w:val="ro-MD"/>
        </w:rPr>
        <w:t xml:space="preserve"> furnizate/facturate (pct. 4.3.1.2.)</w:t>
      </w:r>
      <w:r w:rsidR="00756E1F">
        <w:rPr>
          <w:rFonts w:asciiTheme="majorHAnsi" w:hAnsiTheme="majorHAnsi" w:cstheme="majorHAnsi"/>
          <w:sz w:val="24"/>
          <w:szCs w:val="24"/>
          <w:vertAlign w:val="baseline"/>
          <w:lang w:val="ro-MD"/>
        </w:rPr>
        <w:t>;</w:t>
      </w:r>
    </w:p>
    <w:p w14:paraId="399399F7" w14:textId="2D3389F4"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depășirea, în perioada 2011-2021, a volumelor pierderilor efective la distribuția gazelor naturale</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de 2 ori față de volumul pierderilor normative acceptate în scopuri tarifare, a generat cheltuieli de 1.022.761,8 mii lei (pct. 4.3.1.3.)</w:t>
      </w:r>
      <w:r w:rsidR="00756E1F">
        <w:rPr>
          <w:rFonts w:asciiTheme="majorHAnsi" w:hAnsiTheme="majorHAnsi" w:cstheme="majorHAnsi"/>
          <w:sz w:val="24"/>
          <w:szCs w:val="24"/>
          <w:vertAlign w:val="baseline"/>
          <w:lang w:val="ro-MD"/>
        </w:rPr>
        <w:t>;</w:t>
      </w:r>
    </w:p>
    <w:p w14:paraId="6E86775D" w14:textId="0E682187"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existența la 31.12.2021 a unei datorii a SRL Tiraspoltransgaz, în sumă de 34.656,3 mii lei pentru serviciile de transport a</w:t>
      </w:r>
      <w:r w:rsidR="00756E1F">
        <w:rPr>
          <w:rFonts w:asciiTheme="majorHAnsi" w:hAnsiTheme="majorHAnsi" w:cstheme="majorHAnsi"/>
          <w:sz w:val="24"/>
          <w:szCs w:val="24"/>
          <w:vertAlign w:val="baseline"/>
          <w:lang w:val="ro-MD"/>
        </w:rPr>
        <w:t>l</w:t>
      </w:r>
      <w:r w:rsidRPr="009772A3">
        <w:rPr>
          <w:rFonts w:asciiTheme="majorHAnsi" w:hAnsiTheme="majorHAnsi" w:cstheme="majorHAnsi"/>
          <w:sz w:val="24"/>
          <w:szCs w:val="24"/>
          <w:vertAlign w:val="baseline"/>
          <w:lang w:val="ro-MD"/>
        </w:rPr>
        <w:t xml:space="preserve"> gazelor natural</w:t>
      </w:r>
      <w:r w:rsidR="0035304E">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 de către SRL Moldovatransgaz (pct. 4.3.1.4.)</w:t>
      </w:r>
      <w:r w:rsidR="00756E1F">
        <w:rPr>
          <w:rFonts w:asciiTheme="majorHAnsi" w:hAnsiTheme="majorHAnsi" w:cstheme="majorHAnsi"/>
          <w:sz w:val="24"/>
          <w:szCs w:val="24"/>
          <w:vertAlign w:val="baseline"/>
          <w:lang w:val="ro-MD"/>
        </w:rPr>
        <w:t>;</w:t>
      </w:r>
    </w:p>
    <w:p w14:paraId="379E146F" w14:textId="4BDAF87B"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neaplicarea tarifelor aprobate pentru activitatea reglementată afectează performanța financiară a entități</w:t>
      </w:r>
      <w:r w:rsidR="00FF6136" w:rsidRPr="009772A3">
        <w:rPr>
          <w:rFonts w:asciiTheme="majorHAnsi" w:hAnsiTheme="majorHAnsi" w:cstheme="majorHAnsi"/>
          <w:sz w:val="24"/>
          <w:szCs w:val="24"/>
          <w:vertAlign w:val="baseline"/>
          <w:lang w:val="ro-MD"/>
        </w:rPr>
        <w:t>lor</w:t>
      </w:r>
      <w:r w:rsidRPr="009772A3">
        <w:rPr>
          <w:rFonts w:asciiTheme="majorHAnsi" w:hAnsiTheme="majorHAnsi" w:cstheme="majorHAnsi"/>
          <w:sz w:val="24"/>
          <w:szCs w:val="24"/>
          <w:vertAlign w:val="baseline"/>
          <w:lang w:val="ro-MD"/>
        </w:rPr>
        <w:t xml:space="preserve"> (pct. 4.3.1.5.)</w:t>
      </w:r>
      <w:r w:rsidR="00756E1F">
        <w:rPr>
          <w:rFonts w:asciiTheme="majorHAnsi" w:hAnsiTheme="majorHAnsi" w:cstheme="majorHAnsi"/>
          <w:sz w:val="24"/>
          <w:szCs w:val="24"/>
          <w:vertAlign w:val="baseline"/>
          <w:lang w:val="ro-MD"/>
        </w:rPr>
        <w:t>;</w:t>
      </w:r>
    </w:p>
    <w:p w14:paraId="4682C4A9" w14:textId="2A7B689E"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calcularea neconformă a TVA s-a soldat cu aplicarea și plata de către operatorul de transport al gazelor natural a unor penalități în sumă totală de 39.274,5 mii lei (pct.4.3.1.6)</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p>
    <w:p w14:paraId="21BF552C" w14:textId="6EA4F046"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nejustificarea conformă a normativelor de muncă, de timp și de producere la stabilirea numărului de personal necesar pentru desfășurarea activități</w:t>
      </w:r>
      <w:r w:rsidR="0035304E">
        <w:rPr>
          <w:rFonts w:asciiTheme="majorHAnsi" w:hAnsiTheme="majorHAnsi" w:cstheme="majorHAnsi"/>
          <w:sz w:val="24"/>
          <w:szCs w:val="24"/>
          <w:vertAlign w:val="baseline"/>
          <w:lang w:val="ro-MD"/>
        </w:rPr>
        <w:t>lor</w:t>
      </w:r>
      <w:r w:rsidRPr="009772A3">
        <w:rPr>
          <w:rFonts w:asciiTheme="majorHAnsi" w:hAnsiTheme="majorHAnsi" w:cstheme="majorHAnsi"/>
          <w:sz w:val="24"/>
          <w:szCs w:val="24"/>
          <w:vertAlign w:val="baseline"/>
          <w:lang w:val="ro-MD"/>
        </w:rPr>
        <w:t xml:space="preserve"> reglementate </w:t>
      </w:r>
      <w:r w:rsidR="0035304E">
        <w:rPr>
          <w:rFonts w:asciiTheme="majorHAnsi" w:hAnsiTheme="majorHAnsi" w:cstheme="majorHAnsi"/>
          <w:sz w:val="24"/>
          <w:szCs w:val="24"/>
          <w:vertAlign w:val="baseline"/>
          <w:lang w:val="ro-MD"/>
        </w:rPr>
        <w:t xml:space="preserve">în domeniul </w:t>
      </w:r>
      <w:r w:rsidRPr="009772A3">
        <w:rPr>
          <w:rFonts w:asciiTheme="majorHAnsi" w:hAnsiTheme="majorHAnsi" w:cstheme="majorHAnsi"/>
          <w:sz w:val="24"/>
          <w:szCs w:val="24"/>
          <w:vertAlign w:val="baseline"/>
          <w:lang w:val="ro-MD"/>
        </w:rPr>
        <w:t>gazelor natural</w:t>
      </w:r>
      <w:r w:rsidR="0035304E">
        <w:rPr>
          <w:rFonts w:asciiTheme="majorHAnsi" w:hAnsiTheme="majorHAnsi" w:cstheme="majorHAnsi"/>
          <w:sz w:val="24"/>
          <w:szCs w:val="24"/>
          <w:vertAlign w:val="baseline"/>
          <w:lang w:val="ro-MD"/>
        </w:rPr>
        <w:t>e</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 condiționat neacceptarea spre recuperare prin tarif a cheltuielilor de remunerare a muncii</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în sumă totală de 246.180,8 mii lei (pct. 4.3.2.)</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p>
    <w:p w14:paraId="4433414A" w14:textId="227EE1F3"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suportarea cheltuielilor pentru remunerarea agenților de conformitate</w:t>
      </w:r>
      <w:r w:rsidR="00756E1F">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de circa 3.337,1 mii lei în condițiile în care activitatea acestora este una formală (pct. 4.3.2.</w:t>
      </w:r>
      <w:r w:rsidR="00541316">
        <w:rPr>
          <w:rFonts w:asciiTheme="majorHAnsi" w:hAnsiTheme="majorHAnsi" w:cstheme="majorHAnsi"/>
          <w:sz w:val="24"/>
          <w:szCs w:val="24"/>
          <w:vertAlign w:val="baseline"/>
          <w:lang w:val="ro-MD"/>
        </w:rPr>
        <w:t>1</w:t>
      </w:r>
      <w:r w:rsidRPr="009772A3">
        <w:rPr>
          <w:rFonts w:asciiTheme="majorHAnsi" w:hAnsiTheme="majorHAnsi" w:cstheme="majorHAnsi"/>
          <w:sz w:val="24"/>
          <w:szCs w:val="24"/>
          <w:vertAlign w:val="baseline"/>
          <w:lang w:val="ro-MD"/>
        </w:rPr>
        <w:t>.)</w:t>
      </w:r>
      <w:r w:rsidR="00756E1F">
        <w:rPr>
          <w:rFonts w:asciiTheme="majorHAnsi" w:hAnsiTheme="majorHAnsi" w:cstheme="majorHAnsi"/>
          <w:sz w:val="24"/>
          <w:szCs w:val="24"/>
          <w:vertAlign w:val="baseline"/>
          <w:lang w:val="ro-MD"/>
        </w:rPr>
        <w:t>;</w:t>
      </w:r>
    </w:p>
    <w:p w14:paraId="7D5C9895" w14:textId="4EDD5ABC"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instituirea Comitet</w:t>
      </w:r>
      <w:r w:rsidR="00756E1F">
        <w:rPr>
          <w:rFonts w:asciiTheme="majorHAnsi" w:hAnsiTheme="majorHAnsi" w:cstheme="majorHAnsi"/>
          <w:sz w:val="24"/>
          <w:szCs w:val="24"/>
          <w:vertAlign w:val="baseline"/>
          <w:lang w:val="ro-MD"/>
        </w:rPr>
        <w:t>ului</w:t>
      </w:r>
      <w:r w:rsidRPr="009772A3">
        <w:rPr>
          <w:rFonts w:asciiTheme="majorHAnsi" w:hAnsiTheme="majorHAnsi" w:cstheme="majorHAnsi"/>
          <w:sz w:val="24"/>
          <w:szCs w:val="24"/>
          <w:vertAlign w:val="baseline"/>
          <w:lang w:val="ro-MD"/>
        </w:rPr>
        <w:t xml:space="preserve"> </w:t>
      </w:r>
      <w:r w:rsidR="00756E1F" w:rsidRPr="009772A3">
        <w:rPr>
          <w:rFonts w:asciiTheme="majorHAnsi" w:hAnsiTheme="majorHAnsi" w:cstheme="majorHAnsi"/>
          <w:sz w:val="24"/>
          <w:szCs w:val="24"/>
          <w:vertAlign w:val="baseline"/>
          <w:lang w:val="ro-MD"/>
        </w:rPr>
        <w:t>coord</w:t>
      </w:r>
      <w:r w:rsidR="00756E1F">
        <w:rPr>
          <w:rFonts w:asciiTheme="majorHAnsi" w:hAnsiTheme="majorHAnsi" w:cstheme="majorHAnsi"/>
          <w:sz w:val="24"/>
          <w:szCs w:val="24"/>
          <w:vertAlign w:val="baseline"/>
          <w:lang w:val="ro-MD"/>
        </w:rPr>
        <w:t>o</w:t>
      </w:r>
      <w:r w:rsidR="00756E1F" w:rsidRPr="009772A3">
        <w:rPr>
          <w:rFonts w:asciiTheme="majorHAnsi" w:hAnsiTheme="majorHAnsi" w:cstheme="majorHAnsi"/>
          <w:sz w:val="24"/>
          <w:szCs w:val="24"/>
          <w:vertAlign w:val="baseline"/>
          <w:lang w:val="ro-MD"/>
        </w:rPr>
        <w:t xml:space="preserve">nator </w:t>
      </w:r>
      <w:r w:rsidRPr="009772A3">
        <w:rPr>
          <w:rFonts w:asciiTheme="majorHAnsi" w:hAnsiTheme="majorHAnsi" w:cstheme="majorHAnsi"/>
          <w:sz w:val="24"/>
          <w:szCs w:val="24"/>
          <w:vertAlign w:val="baseline"/>
          <w:lang w:val="ro-MD"/>
        </w:rPr>
        <w:t>în cadrul SRL Transautogaz</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în lipsa unor fundamentări exhaustive a</w:t>
      </w:r>
      <w:r w:rsidR="00FE3D1B">
        <w:rPr>
          <w:rFonts w:asciiTheme="majorHAnsi" w:hAnsiTheme="majorHAnsi" w:cstheme="majorHAnsi"/>
          <w:sz w:val="24"/>
          <w:szCs w:val="24"/>
          <w:vertAlign w:val="baseline"/>
          <w:lang w:val="ro-MD"/>
        </w:rPr>
        <w:t>le</w:t>
      </w:r>
      <w:r w:rsidRPr="009772A3">
        <w:rPr>
          <w:rFonts w:asciiTheme="majorHAnsi" w:hAnsiTheme="majorHAnsi" w:cstheme="majorHAnsi"/>
          <w:sz w:val="24"/>
          <w:szCs w:val="24"/>
          <w:vertAlign w:val="baseline"/>
          <w:lang w:val="ro-MD"/>
        </w:rPr>
        <w:t xml:space="preserve"> necesităților aferente, a majorat cheltuielile societății (pct.4.3.2.</w:t>
      </w:r>
      <w:r w:rsidR="00541316">
        <w:rPr>
          <w:rFonts w:asciiTheme="majorHAnsi" w:hAnsiTheme="majorHAnsi" w:cstheme="majorHAnsi"/>
          <w:sz w:val="24"/>
          <w:szCs w:val="24"/>
          <w:vertAlign w:val="baseline"/>
          <w:lang w:val="ro-MD"/>
        </w:rPr>
        <w:t>2</w:t>
      </w:r>
      <w:r w:rsidRPr="009772A3">
        <w:rPr>
          <w:rFonts w:asciiTheme="majorHAnsi" w:hAnsiTheme="majorHAnsi" w:cstheme="majorHAnsi"/>
          <w:sz w:val="24"/>
          <w:szCs w:val="24"/>
          <w:vertAlign w:val="baseline"/>
          <w:lang w:val="ro-MD"/>
        </w:rPr>
        <w:t>)</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p>
    <w:p w14:paraId="64569120" w14:textId="0C62F0AB" w:rsidR="0077421C" w:rsidRPr="009772A3" w:rsidRDefault="0077421C" w:rsidP="000406B8">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vânzarea clădirii administrative din str. </w:t>
      </w:r>
      <w:r w:rsidR="00FE3D1B">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Pușkin,</w:t>
      </w:r>
      <w:r w:rsidR="00FE3D1B">
        <w:rPr>
          <w:rFonts w:asciiTheme="majorHAnsi" w:hAnsiTheme="majorHAnsi" w:cstheme="majorHAnsi"/>
          <w:sz w:val="24"/>
          <w:szCs w:val="24"/>
          <w:vertAlign w:val="baseline"/>
          <w:lang w:val="ro-MD"/>
        </w:rPr>
        <w:t xml:space="preserve"> nr.</w:t>
      </w:r>
      <w:r w:rsidRPr="009772A3">
        <w:rPr>
          <w:rFonts w:asciiTheme="majorHAnsi" w:hAnsiTheme="majorHAnsi" w:cstheme="majorHAnsi"/>
          <w:sz w:val="24"/>
          <w:szCs w:val="24"/>
          <w:vertAlign w:val="baseline"/>
          <w:lang w:val="ro-MD"/>
        </w:rPr>
        <w:t xml:space="preserve">64 a majorat cheltuielile de locațiune ale SA Moldovagaz cu </w:t>
      </w:r>
      <w:r w:rsidR="000406B8" w:rsidRPr="009772A3">
        <w:rPr>
          <w:rFonts w:asciiTheme="majorHAnsi" w:hAnsiTheme="majorHAnsi" w:cstheme="majorHAnsi"/>
          <w:sz w:val="24"/>
          <w:szCs w:val="24"/>
          <w:vertAlign w:val="baseline"/>
          <w:lang w:val="ro-MD"/>
        </w:rPr>
        <w:t xml:space="preserve">17.923,2 </w:t>
      </w:r>
      <w:r w:rsidRPr="009772A3">
        <w:rPr>
          <w:rFonts w:asciiTheme="majorHAnsi" w:hAnsiTheme="majorHAnsi" w:cstheme="majorHAnsi"/>
          <w:sz w:val="24"/>
          <w:szCs w:val="24"/>
          <w:vertAlign w:val="baseline"/>
          <w:lang w:val="ro-MD"/>
        </w:rPr>
        <w:t>mii lei</w:t>
      </w:r>
      <w:r w:rsidR="00FE3D1B">
        <w:rPr>
          <w:rFonts w:asciiTheme="majorHAnsi" w:hAnsiTheme="majorHAnsi" w:cstheme="majorHAnsi"/>
          <w:sz w:val="24"/>
          <w:szCs w:val="24"/>
          <w:vertAlign w:val="baseline"/>
          <w:lang w:val="ro-MD"/>
        </w:rPr>
        <w:t>,</w:t>
      </w:r>
      <w:r w:rsidR="000406B8" w:rsidRPr="009772A3">
        <w:rPr>
          <w:rFonts w:asciiTheme="majorHAnsi" w:hAnsiTheme="majorHAnsi" w:cstheme="majorHAnsi"/>
          <w:sz w:val="24"/>
          <w:szCs w:val="24"/>
          <w:vertAlign w:val="baseline"/>
          <w:lang w:val="ro-MD"/>
        </w:rPr>
        <w:t xml:space="preserve"> sau anual cu circa 5.974,4 mii lei</w:t>
      </w:r>
      <w:r w:rsidRPr="009772A3">
        <w:rPr>
          <w:rFonts w:asciiTheme="majorHAnsi" w:hAnsiTheme="majorHAnsi" w:cstheme="majorHAnsi"/>
          <w:sz w:val="24"/>
          <w:szCs w:val="24"/>
          <w:vertAlign w:val="baseline"/>
          <w:lang w:val="ro-MD"/>
        </w:rPr>
        <w:t xml:space="preserve"> (pct. 4.3.3.1.)</w:t>
      </w:r>
      <w:r w:rsidR="00FE3D1B">
        <w:rPr>
          <w:rFonts w:asciiTheme="majorHAnsi" w:hAnsiTheme="majorHAnsi" w:cstheme="majorHAnsi"/>
          <w:sz w:val="24"/>
          <w:szCs w:val="24"/>
          <w:vertAlign w:val="baseline"/>
          <w:lang w:val="ro-MD"/>
        </w:rPr>
        <w:t>;</w:t>
      </w:r>
    </w:p>
    <w:p w14:paraId="680A6259" w14:textId="4AB77E5A"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luarea în locațiune a spațiilor înregistrate</w:t>
      </w:r>
      <w:r w:rsidR="0035304E">
        <w:rPr>
          <w:rFonts w:asciiTheme="majorHAnsi" w:hAnsiTheme="majorHAnsi" w:cstheme="majorHAnsi"/>
          <w:sz w:val="24"/>
          <w:szCs w:val="24"/>
          <w:vertAlign w:val="baseline"/>
          <w:lang w:val="ro-MD"/>
        </w:rPr>
        <w:t>/declarate</w:t>
      </w:r>
      <w:r w:rsidRPr="009772A3">
        <w:rPr>
          <w:rFonts w:asciiTheme="majorHAnsi" w:hAnsiTheme="majorHAnsi" w:cstheme="majorHAnsi"/>
          <w:sz w:val="24"/>
          <w:szCs w:val="24"/>
          <w:vertAlign w:val="baseline"/>
          <w:lang w:val="ro-MD"/>
        </w:rPr>
        <w:t xml:space="preserve"> ca proprietate a SA Moldovagaz a generat cheltuieli suplimentare de 8.932,0 mii lei (pct. 4.3.3.2.)</w:t>
      </w:r>
      <w:r w:rsidR="00FE3D1B">
        <w:rPr>
          <w:rFonts w:asciiTheme="majorHAnsi" w:hAnsiTheme="majorHAnsi" w:cstheme="majorHAnsi"/>
          <w:sz w:val="24"/>
          <w:szCs w:val="24"/>
          <w:vertAlign w:val="baseline"/>
          <w:lang w:val="ro-MD"/>
        </w:rPr>
        <w:t>;</w:t>
      </w:r>
    </w:p>
    <w:p w14:paraId="716BD57C" w14:textId="00F8E0A9"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admiterea unor cheltuieli neargumentate din punct de vedere economic de </w:t>
      </w:r>
      <w:r w:rsidR="004268D7">
        <w:rPr>
          <w:rFonts w:asciiTheme="majorHAnsi" w:hAnsiTheme="majorHAnsi" w:cstheme="majorHAnsi"/>
          <w:sz w:val="24"/>
          <w:szCs w:val="24"/>
          <w:vertAlign w:val="baseline"/>
          <w:lang w:val="ro-MD"/>
        </w:rPr>
        <w:t>3</w:t>
      </w:r>
      <w:r w:rsidRPr="009772A3">
        <w:rPr>
          <w:rFonts w:asciiTheme="majorHAnsi" w:hAnsiTheme="majorHAnsi" w:cstheme="majorHAnsi"/>
          <w:sz w:val="24"/>
          <w:szCs w:val="24"/>
          <w:vertAlign w:val="baseline"/>
          <w:lang w:val="ro-MD"/>
        </w:rPr>
        <w:t>.</w:t>
      </w:r>
      <w:r w:rsidR="004268D7">
        <w:rPr>
          <w:rFonts w:asciiTheme="majorHAnsi" w:hAnsiTheme="majorHAnsi" w:cstheme="majorHAnsi"/>
          <w:sz w:val="24"/>
          <w:szCs w:val="24"/>
          <w:vertAlign w:val="baseline"/>
          <w:lang w:val="ro-MD"/>
        </w:rPr>
        <w:t>600</w:t>
      </w:r>
      <w:r w:rsidRPr="009772A3">
        <w:rPr>
          <w:rFonts w:asciiTheme="majorHAnsi" w:hAnsiTheme="majorHAnsi" w:cstheme="majorHAnsi"/>
          <w:sz w:val="24"/>
          <w:szCs w:val="24"/>
          <w:vertAlign w:val="baseline"/>
          <w:lang w:val="ro-MD"/>
        </w:rPr>
        <w:t>,</w:t>
      </w:r>
      <w:r w:rsidR="004268D7">
        <w:rPr>
          <w:rFonts w:asciiTheme="majorHAnsi" w:hAnsiTheme="majorHAnsi" w:cstheme="majorHAnsi"/>
          <w:sz w:val="24"/>
          <w:szCs w:val="24"/>
          <w:vertAlign w:val="baseline"/>
          <w:lang w:val="ro-MD"/>
        </w:rPr>
        <w:t>9</w:t>
      </w:r>
      <w:r w:rsidRPr="009772A3">
        <w:rPr>
          <w:rFonts w:asciiTheme="majorHAnsi" w:hAnsiTheme="majorHAnsi" w:cstheme="majorHAnsi"/>
          <w:sz w:val="24"/>
          <w:szCs w:val="24"/>
          <w:vertAlign w:val="baseline"/>
          <w:lang w:val="ro-MD"/>
        </w:rPr>
        <w:t xml:space="preserve"> mii lei</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la contractarea de către SRL Chișinău</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gaz a serviciilor de sublocațiune (pct. 4.3.3.3.)</w:t>
      </w:r>
      <w:r w:rsidR="00FE3D1B">
        <w:rPr>
          <w:rFonts w:asciiTheme="majorHAnsi" w:hAnsiTheme="majorHAnsi" w:cstheme="majorHAnsi"/>
          <w:sz w:val="24"/>
          <w:szCs w:val="24"/>
          <w:vertAlign w:val="baseline"/>
          <w:lang w:val="ro-MD"/>
        </w:rPr>
        <w:t>;</w:t>
      </w:r>
    </w:p>
    <w:p w14:paraId="50E9D821" w14:textId="66CF6778"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tipărirea facturilor și </w:t>
      </w:r>
      <w:r w:rsidR="00FE3D1B">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bonurilor de plată pentru consumul de gaze naturale prin intermediul unor companii nespecializate în domeniu a generat costuri cu circa 44% mai mari decât cele oferite de companiile specializate (pct.  4.3.3.4)</w:t>
      </w:r>
      <w:r w:rsidR="00FE3D1B">
        <w:rPr>
          <w:rFonts w:asciiTheme="majorHAnsi" w:hAnsiTheme="majorHAnsi" w:cstheme="majorHAnsi"/>
          <w:sz w:val="24"/>
          <w:szCs w:val="24"/>
          <w:vertAlign w:val="baseline"/>
          <w:lang w:val="ro-MD"/>
        </w:rPr>
        <w:t>;</w:t>
      </w:r>
    </w:p>
    <w:p w14:paraId="6784BCF2" w14:textId="2CAE80F3"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denaturarea valorii reale a activelor operatorilor de distribuție a gazelor natural prin </w:t>
      </w:r>
      <w:r w:rsidR="00652C21" w:rsidRPr="009772A3">
        <w:rPr>
          <w:rFonts w:asciiTheme="majorHAnsi" w:hAnsiTheme="majorHAnsi" w:cstheme="majorHAnsi"/>
          <w:bCs/>
          <w:iCs/>
          <w:noProof/>
          <w:sz w:val="24"/>
          <w:szCs w:val="24"/>
          <w:shd w:val="clear" w:color="auto" w:fill="FFFFFF"/>
          <w:vertAlign w:val="baseline"/>
          <w:lang w:val="ro-MD"/>
        </w:rPr>
        <w:t xml:space="preserve"> neasigurarea casării complete a contoarelor care nu au trecut verificarea metrologică</w:t>
      </w:r>
      <w:r w:rsidRPr="009772A3">
        <w:rPr>
          <w:rFonts w:asciiTheme="majorHAnsi" w:hAnsiTheme="majorHAnsi" w:cstheme="majorHAnsi"/>
          <w:sz w:val="24"/>
          <w:szCs w:val="24"/>
          <w:vertAlign w:val="baseline"/>
          <w:lang w:val="ro-MD"/>
        </w:rPr>
        <w:t xml:space="preserve"> (pct.4.3.3.</w:t>
      </w:r>
      <w:r w:rsidR="00F71D80">
        <w:rPr>
          <w:rFonts w:asciiTheme="majorHAnsi" w:hAnsiTheme="majorHAnsi" w:cstheme="majorHAnsi"/>
          <w:sz w:val="24"/>
          <w:szCs w:val="24"/>
          <w:vertAlign w:val="baseline"/>
          <w:lang w:val="ro-MD"/>
        </w:rPr>
        <w:t>5</w:t>
      </w:r>
      <w:r w:rsidRPr="009772A3">
        <w:rPr>
          <w:rFonts w:asciiTheme="majorHAnsi" w:hAnsiTheme="majorHAnsi" w:cstheme="majorHAnsi"/>
          <w:sz w:val="24"/>
          <w:szCs w:val="24"/>
          <w:vertAlign w:val="baseline"/>
          <w:lang w:val="ro-MD"/>
        </w:rPr>
        <w:t>.)</w:t>
      </w:r>
      <w:r w:rsidR="00FE3D1B">
        <w:rPr>
          <w:rFonts w:asciiTheme="majorHAnsi" w:hAnsiTheme="majorHAnsi" w:cstheme="majorHAnsi"/>
          <w:sz w:val="24"/>
          <w:szCs w:val="24"/>
          <w:vertAlign w:val="baseline"/>
          <w:lang w:val="ro-MD"/>
        </w:rPr>
        <w:t>;</w:t>
      </w:r>
    </w:p>
    <w:p w14:paraId="542436D0" w14:textId="3DC149A7"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neutilizarea pe deplin a valorii adăugate furnizate de audit a afectat caracteristicile calitative fundamentale și amplificatoare ale informațiilor prezentate în situațiile financiare (pct. 4.3.3.</w:t>
      </w:r>
      <w:r w:rsidR="00F71D80">
        <w:rPr>
          <w:rFonts w:asciiTheme="majorHAnsi" w:hAnsiTheme="majorHAnsi" w:cstheme="majorHAnsi"/>
          <w:sz w:val="24"/>
          <w:szCs w:val="24"/>
          <w:vertAlign w:val="baseline"/>
          <w:lang w:val="ro-MD"/>
        </w:rPr>
        <w:t>7</w:t>
      </w:r>
      <w:r w:rsidRPr="009772A3">
        <w:rPr>
          <w:rFonts w:asciiTheme="majorHAnsi" w:hAnsiTheme="majorHAnsi" w:cstheme="majorHAnsi"/>
          <w:sz w:val="24"/>
          <w:szCs w:val="24"/>
          <w:vertAlign w:val="baseline"/>
          <w:lang w:val="ro-MD"/>
        </w:rPr>
        <w:t>.)</w:t>
      </w:r>
      <w:r w:rsidR="00FE3D1B">
        <w:rPr>
          <w:rFonts w:asciiTheme="majorHAnsi" w:hAnsiTheme="majorHAnsi" w:cstheme="majorHAnsi"/>
          <w:sz w:val="24"/>
          <w:szCs w:val="24"/>
          <w:vertAlign w:val="baseline"/>
          <w:lang w:val="ro-MD"/>
        </w:rPr>
        <w:t>;</w:t>
      </w:r>
    </w:p>
    <w:p w14:paraId="0C57B53D" w14:textId="3B334F8E"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contractarea suplimentară a serviciilor juridice în bază de abonament a generat cheltuieli suplimentare în sumă totală de 8.958,7 mii lei (pct. 4.3.3.</w:t>
      </w:r>
      <w:r w:rsidR="00F71D80">
        <w:rPr>
          <w:rFonts w:asciiTheme="majorHAnsi" w:hAnsiTheme="majorHAnsi" w:cstheme="majorHAnsi"/>
          <w:sz w:val="24"/>
          <w:szCs w:val="24"/>
          <w:vertAlign w:val="baseline"/>
          <w:lang w:val="ro-MD"/>
        </w:rPr>
        <w:t>8</w:t>
      </w:r>
      <w:r w:rsidRPr="009772A3">
        <w:rPr>
          <w:rFonts w:asciiTheme="majorHAnsi" w:hAnsiTheme="majorHAnsi" w:cstheme="majorHAnsi"/>
          <w:sz w:val="24"/>
          <w:szCs w:val="24"/>
          <w:vertAlign w:val="baseline"/>
          <w:lang w:val="ro-MD"/>
        </w:rPr>
        <w:t>.)</w:t>
      </w:r>
      <w:r w:rsidR="00FE3D1B">
        <w:rPr>
          <w:rFonts w:asciiTheme="majorHAnsi" w:hAnsiTheme="majorHAnsi" w:cstheme="majorHAnsi"/>
          <w:sz w:val="24"/>
          <w:szCs w:val="24"/>
          <w:vertAlign w:val="baseline"/>
          <w:lang w:val="ro-MD"/>
        </w:rPr>
        <w:t>;</w:t>
      </w:r>
    </w:p>
    <w:p w14:paraId="1BD09950" w14:textId="3A7FC3CB"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contractarea serviciilor de monitorizare prin GPS a mijloacelor de transport în valoare de 6</w:t>
      </w:r>
      <w:r w:rsidR="00F71D80">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152,5 mii lei și a serviciilor de pază</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în valoare de 92.839,9 mii lei prezintă indici de netransparență și utilizare neeficientă a mijloacelor financiare alocate pentru acestea (pct. 4.3.3.</w:t>
      </w:r>
      <w:r w:rsidR="00F71D80">
        <w:rPr>
          <w:rFonts w:asciiTheme="majorHAnsi" w:hAnsiTheme="majorHAnsi" w:cstheme="majorHAnsi"/>
          <w:sz w:val="24"/>
          <w:szCs w:val="24"/>
          <w:vertAlign w:val="baseline"/>
          <w:lang w:val="ro-MD"/>
        </w:rPr>
        <w:t>9</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 4.3.3.1</w:t>
      </w:r>
      <w:r w:rsidR="00F71D80">
        <w:rPr>
          <w:rFonts w:asciiTheme="majorHAnsi" w:hAnsiTheme="majorHAnsi" w:cstheme="majorHAnsi"/>
          <w:sz w:val="24"/>
          <w:szCs w:val="24"/>
          <w:vertAlign w:val="baseline"/>
          <w:lang w:val="ro-MD"/>
        </w:rPr>
        <w:t>0</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w:t>
      </w:r>
      <w:r w:rsidR="00FE3D1B">
        <w:rPr>
          <w:rFonts w:asciiTheme="majorHAnsi" w:hAnsiTheme="majorHAnsi" w:cstheme="majorHAnsi"/>
          <w:sz w:val="24"/>
          <w:szCs w:val="24"/>
          <w:vertAlign w:val="baseline"/>
          <w:lang w:val="ro-MD"/>
        </w:rPr>
        <w:t>;</w:t>
      </w:r>
    </w:p>
    <w:p w14:paraId="2C9655B9" w14:textId="0DCDD2C6" w:rsidR="0077421C" w:rsidRPr="009772A3" w:rsidRDefault="00FE3D1B" w:rsidP="0077421C">
      <w:pPr>
        <w:pStyle w:val="FootnoteText"/>
        <w:spacing w:line="276" w:lineRule="auto"/>
        <w:ind w:firstLine="720"/>
        <w:jc w:val="both"/>
        <w:rPr>
          <w:rFonts w:asciiTheme="majorHAnsi" w:hAnsiTheme="majorHAnsi" w:cstheme="majorHAnsi"/>
          <w:b/>
          <w:i/>
          <w:sz w:val="24"/>
          <w:szCs w:val="24"/>
          <w:vertAlign w:val="baseline"/>
          <w:lang w:val="ro-MD"/>
        </w:rPr>
      </w:pPr>
      <w:r>
        <w:rPr>
          <w:rFonts w:asciiTheme="majorHAnsi" w:hAnsiTheme="majorHAnsi" w:cstheme="majorHAnsi"/>
          <w:b/>
          <w:i/>
          <w:sz w:val="24"/>
          <w:szCs w:val="24"/>
          <w:vertAlign w:val="baseline"/>
          <w:lang w:val="ro-MD"/>
        </w:rPr>
        <w:t xml:space="preserve">Cu privire la </w:t>
      </w:r>
      <w:r w:rsidR="0077421C" w:rsidRPr="009772A3">
        <w:rPr>
          <w:rFonts w:asciiTheme="majorHAnsi" w:hAnsiTheme="majorHAnsi" w:cstheme="majorHAnsi"/>
          <w:b/>
          <w:i/>
          <w:sz w:val="24"/>
          <w:szCs w:val="24"/>
          <w:vertAlign w:val="baseline"/>
          <w:lang w:val="ro-MD"/>
        </w:rPr>
        <w:t>gestion</w:t>
      </w:r>
      <w:r>
        <w:rPr>
          <w:rFonts w:asciiTheme="majorHAnsi" w:hAnsiTheme="majorHAnsi" w:cstheme="majorHAnsi"/>
          <w:b/>
          <w:i/>
          <w:sz w:val="24"/>
          <w:szCs w:val="24"/>
          <w:vertAlign w:val="baseline"/>
          <w:lang w:val="ro-MD"/>
        </w:rPr>
        <w:t>area</w:t>
      </w:r>
      <w:r w:rsidR="0077421C" w:rsidRPr="009772A3">
        <w:rPr>
          <w:rFonts w:asciiTheme="majorHAnsi" w:hAnsiTheme="majorHAnsi" w:cstheme="majorHAnsi"/>
          <w:b/>
          <w:i/>
          <w:sz w:val="24"/>
          <w:szCs w:val="24"/>
          <w:vertAlign w:val="baseline"/>
          <w:lang w:val="ro-MD"/>
        </w:rPr>
        <w:t xml:space="preserve"> rețelelor de transport și </w:t>
      </w:r>
      <w:r>
        <w:rPr>
          <w:rFonts w:asciiTheme="majorHAnsi" w:hAnsiTheme="majorHAnsi" w:cstheme="majorHAnsi"/>
          <w:b/>
          <w:i/>
          <w:sz w:val="24"/>
          <w:szCs w:val="24"/>
          <w:vertAlign w:val="baseline"/>
          <w:lang w:val="ro-MD"/>
        </w:rPr>
        <w:t xml:space="preserve">de </w:t>
      </w:r>
      <w:r w:rsidR="0077421C" w:rsidRPr="009772A3">
        <w:rPr>
          <w:rFonts w:asciiTheme="majorHAnsi" w:hAnsiTheme="majorHAnsi" w:cstheme="majorHAnsi"/>
          <w:b/>
          <w:i/>
          <w:sz w:val="24"/>
          <w:szCs w:val="24"/>
          <w:vertAlign w:val="baseline"/>
          <w:lang w:val="ro-MD"/>
        </w:rPr>
        <w:t>distribuție a gazelor naturale</w:t>
      </w:r>
    </w:p>
    <w:p w14:paraId="1E6374DF" w14:textId="00010DDD"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lipsa unor delimitări clare a</w:t>
      </w:r>
      <w:r w:rsidR="00FE3D1B">
        <w:rPr>
          <w:rFonts w:asciiTheme="majorHAnsi" w:hAnsiTheme="majorHAnsi" w:cstheme="majorHAnsi"/>
          <w:sz w:val="24"/>
          <w:szCs w:val="24"/>
          <w:vertAlign w:val="baseline"/>
          <w:lang w:val="ro-MD"/>
        </w:rPr>
        <w:t>le</w:t>
      </w:r>
      <w:r w:rsidRPr="009772A3">
        <w:rPr>
          <w:rFonts w:asciiTheme="majorHAnsi" w:hAnsiTheme="majorHAnsi" w:cstheme="majorHAnsi"/>
          <w:sz w:val="24"/>
          <w:szCs w:val="24"/>
          <w:vertAlign w:val="baseline"/>
          <w:lang w:val="ro-MD"/>
        </w:rPr>
        <w:t xml:space="preserve"> drepturilor și obligațiilor proprietarilor rețelelor de transport și distribuție a gazelor naturale transmise la deservire tehnică întreprinderil</w:t>
      </w:r>
      <w:r w:rsidR="00FE3D1B">
        <w:rPr>
          <w:rFonts w:asciiTheme="majorHAnsi" w:hAnsiTheme="majorHAnsi" w:cstheme="majorHAnsi"/>
          <w:sz w:val="24"/>
          <w:szCs w:val="24"/>
          <w:vertAlign w:val="baseline"/>
          <w:lang w:val="ro-MD"/>
        </w:rPr>
        <w:t>or</w:t>
      </w:r>
      <w:r w:rsidRPr="009772A3">
        <w:rPr>
          <w:rFonts w:asciiTheme="majorHAnsi" w:hAnsiTheme="majorHAnsi" w:cstheme="majorHAnsi"/>
          <w:sz w:val="24"/>
          <w:szCs w:val="24"/>
          <w:vertAlign w:val="baseline"/>
          <w:lang w:val="ro-MD"/>
        </w:rPr>
        <w:t xml:space="preserve"> SA </w:t>
      </w:r>
      <w:r w:rsidR="00F71D80">
        <w:rPr>
          <w:rFonts w:asciiTheme="majorHAnsi" w:hAnsiTheme="majorHAnsi" w:cstheme="majorHAnsi"/>
          <w:sz w:val="24"/>
          <w:szCs w:val="24"/>
          <w:vertAlign w:val="baseline"/>
          <w:lang w:val="ro-MD"/>
        </w:rPr>
        <w:t>M</w:t>
      </w:r>
      <w:r w:rsidR="00F71D80" w:rsidRPr="009772A3">
        <w:rPr>
          <w:rFonts w:asciiTheme="majorHAnsi" w:hAnsiTheme="majorHAnsi" w:cstheme="majorHAnsi"/>
          <w:sz w:val="24"/>
          <w:szCs w:val="24"/>
          <w:vertAlign w:val="baseline"/>
          <w:lang w:val="ro-MD"/>
        </w:rPr>
        <w:t>oldovagaz</w:t>
      </w:r>
      <w:r w:rsidRPr="009772A3">
        <w:rPr>
          <w:rFonts w:asciiTheme="majorHAnsi" w:hAnsiTheme="majorHAnsi" w:cstheme="majorHAnsi"/>
          <w:sz w:val="24"/>
          <w:szCs w:val="24"/>
          <w:vertAlign w:val="baseline"/>
          <w:lang w:val="ro-MD"/>
        </w:rPr>
        <w:t xml:space="preserve">, condiționează incertitudini cu privire la modul de gestionare, întreținere și reparație curentă/capitală </w:t>
      </w:r>
      <w:r w:rsidR="00F71D80">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acestora (pct. 4.4.1.)</w:t>
      </w:r>
      <w:r w:rsidR="00FE3D1B">
        <w:rPr>
          <w:rFonts w:asciiTheme="majorHAnsi" w:hAnsiTheme="majorHAnsi" w:cstheme="majorHAnsi"/>
          <w:sz w:val="24"/>
          <w:szCs w:val="24"/>
          <w:vertAlign w:val="baseline"/>
          <w:lang w:val="ro-MD"/>
        </w:rPr>
        <w:t>;</w:t>
      </w:r>
    </w:p>
    <w:p w14:paraId="6887609B" w14:textId="437D745C"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întreținerea și reparația rețelelor de distribuție fără proprietar riscă să nu fie acceptate de ANRE spre recuperare prin tarif</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ceea ce ar genera pierderi suplimentare (pct. 4.4.2.)</w:t>
      </w:r>
      <w:r w:rsidR="00FE3D1B">
        <w:rPr>
          <w:rFonts w:asciiTheme="majorHAnsi" w:hAnsiTheme="majorHAnsi" w:cstheme="majorHAnsi"/>
          <w:sz w:val="24"/>
          <w:szCs w:val="24"/>
          <w:vertAlign w:val="baseline"/>
          <w:lang w:val="ro-MD"/>
        </w:rPr>
        <w:t>;</w:t>
      </w:r>
    </w:p>
    <w:p w14:paraId="2C921318" w14:textId="59E434B2"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din cauza lipsei unei inventarier</w:t>
      </w:r>
      <w:r w:rsidR="00FE3D1B">
        <w:rPr>
          <w:rFonts w:asciiTheme="majorHAnsi" w:hAnsiTheme="majorHAnsi" w:cstheme="majorHAnsi"/>
          <w:sz w:val="24"/>
          <w:szCs w:val="24"/>
          <w:vertAlign w:val="baseline"/>
          <w:lang w:val="ro-MD"/>
        </w:rPr>
        <w:t>i</w:t>
      </w:r>
      <w:r w:rsidRPr="009772A3">
        <w:rPr>
          <w:rFonts w:asciiTheme="majorHAnsi" w:hAnsiTheme="majorHAnsi" w:cstheme="majorHAnsi"/>
          <w:sz w:val="24"/>
          <w:szCs w:val="24"/>
          <w:vertAlign w:val="baseline"/>
          <w:lang w:val="ro-MD"/>
        </w:rPr>
        <w:t xml:space="preserve"> exhaustive a rețelelor de transport și distribuție a gazelor naturale, construite din contul bugetului public național, </w:t>
      </w:r>
      <w:r w:rsidR="00FE3D1B">
        <w:rPr>
          <w:rFonts w:asciiTheme="majorHAnsi" w:hAnsiTheme="majorHAnsi" w:cstheme="majorHAnsi"/>
          <w:sz w:val="24"/>
          <w:szCs w:val="24"/>
          <w:vertAlign w:val="baseline"/>
          <w:lang w:val="ro-MD"/>
        </w:rPr>
        <w:t xml:space="preserve">grupul SA Moldovagaz a </w:t>
      </w:r>
      <w:r w:rsidRPr="009772A3">
        <w:rPr>
          <w:rFonts w:asciiTheme="majorHAnsi" w:hAnsiTheme="majorHAnsi" w:cstheme="majorHAnsi"/>
          <w:sz w:val="24"/>
          <w:szCs w:val="24"/>
          <w:vertAlign w:val="baseline"/>
          <w:lang w:val="ro-MD"/>
        </w:rPr>
        <w:t>prelua</w:t>
      </w:r>
      <w:r w:rsidR="00FE3D1B">
        <w:rPr>
          <w:rFonts w:asciiTheme="majorHAnsi" w:hAnsiTheme="majorHAnsi" w:cstheme="majorHAnsi"/>
          <w:sz w:val="24"/>
          <w:szCs w:val="24"/>
          <w:vertAlign w:val="baseline"/>
          <w:lang w:val="ro-MD"/>
        </w:rPr>
        <w:t xml:space="preserve">t </w:t>
      </w:r>
      <w:r w:rsidRPr="009772A3">
        <w:rPr>
          <w:rFonts w:asciiTheme="majorHAnsi" w:hAnsiTheme="majorHAnsi" w:cstheme="majorHAnsi"/>
          <w:sz w:val="24"/>
          <w:szCs w:val="24"/>
          <w:vertAlign w:val="baseline"/>
          <w:lang w:val="ro-MD"/>
        </w:rPr>
        <w:t xml:space="preserve">neconform și </w:t>
      </w:r>
      <w:r w:rsidR="00FE3D1B">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recuno</w:t>
      </w:r>
      <w:r w:rsidR="00FE3D1B">
        <w:rPr>
          <w:rFonts w:asciiTheme="majorHAnsi" w:hAnsiTheme="majorHAnsi" w:cstheme="majorHAnsi"/>
          <w:sz w:val="24"/>
          <w:szCs w:val="24"/>
          <w:vertAlign w:val="baseline"/>
          <w:lang w:val="ro-MD"/>
        </w:rPr>
        <w:t xml:space="preserve">scut </w:t>
      </w:r>
      <w:r w:rsidRPr="009772A3">
        <w:rPr>
          <w:rFonts w:asciiTheme="majorHAnsi" w:hAnsiTheme="majorHAnsi" w:cstheme="majorHAnsi"/>
          <w:sz w:val="24"/>
          <w:szCs w:val="24"/>
          <w:vertAlign w:val="baseline"/>
          <w:lang w:val="ro-MD"/>
        </w:rPr>
        <w:t>necorespunzător în evidența</w:t>
      </w:r>
      <w:r w:rsidR="00FE3D1B">
        <w:rPr>
          <w:rFonts w:asciiTheme="majorHAnsi" w:hAnsiTheme="majorHAnsi" w:cstheme="majorHAnsi"/>
          <w:sz w:val="24"/>
          <w:szCs w:val="24"/>
          <w:vertAlign w:val="baseline"/>
          <w:lang w:val="ro-MD"/>
        </w:rPr>
        <w:t xml:space="preserve"> sa</w:t>
      </w:r>
      <w:r w:rsidRPr="009772A3">
        <w:rPr>
          <w:rFonts w:asciiTheme="majorHAnsi" w:hAnsiTheme="majorHAnsi" w:cstheme="majorHAnsi"/>
          <w:sz w:val="24"/>
          <w:szCs w:val="24"/>
          <w:vertAlign w:val="baseline"/>
          <w:lang w:val="ro-MD"/>
        </w:rPr>
        <w:t xml:space="preserve"> contabilă rețele în valoare totală de circa 39.422,4 mii lei (pct. 4.4.3 și </w:t>
      </w:r>
      <w:r w:rsidR="00FE3D1B">
        <w:rPr>
          <w:rFonts w:asciiTheme="majorHAnsi" w:hAnsiTheme="majorHAnsi" w:cstheme="majorHAnsi"/>
          <w:sz w:val="24"/>
          <w:szCs w:val="24"/>
          <w:vertAlign w:val="baseline"/>
          <w:lang w:val="ro-MD"/>
        </w:rPr>
        <w:t>pct.</w:t>
      </w:r>
      <w:r w:rsidRPr="009772A3">
        <w:rPr>
          <w:rFonts w:asciiTheme="majorHAnsi" w:hAnsiTheme="majorHAnsi" w:cstheme="majorHAnsi"/>
          <w:sz w:val="24"/>
          <w:szCs w:val="24"/>
          <w:vertAlign w:val="baseline"/>
          <w:lang w:val="ro-MD"/>
        </w:rPr>
        <w:t>4.4.4.)</w:t>
      </w:r>
      <w:r w:rsidR="00FE3D1B">
        <w:rPr>
          <w:rFonts w:asciiTheme="majorHAnsi" w:hAnsiTheme="majorHAnsi" w:cstheme="majorHAnsi"/>
          <w:sz w:val="24"/>
          <w:szCs w:val="24"/>
          <w:vertAlign w:val="baseline"/>
          <w:lang w:val="ro-MD"/>
        </w:rPr>
        <w:t>;</w:t>
      </w:r>
    </w:p>
    <w:p w14:paraId="7AF35210" w14:textId="0649F219" w:rsidR="0077421C" w:rsidRPr="009772A3" w:rsidRDefault="00FE3D1B" w:rsidP="0077421C">
      <w:pPr>
        <w:pStyle w:val="FootnoteText"/>
        <w:spacing w:line="276" w:lineRule="auto"/>
        <w:ind w:firstLine="720"/>
        <w:jc w:val="both"/>
        <w:rPr>
          <w:rFonts w:asciiTheme="majorHAnsi" w:hAnsiTheme="majorHAnsi" w:cstheme="majorHAnsi"/>
          <w:b/>
          <w:i/>
          <w:sz w:val="24"/>
          <w:szCs w:val="24"/>
          <w:vertAlign w:val="baseline"/>
          <w:lang w:val="ro-MD"/>
        </w:rPr>
      </w:pPr>
      <w:r>
        <w:rPr>
          <w:rFonts w:asciiTheme="majorHAnsi" w:hAnsiTheme="majorHAnsi" w:cstheme="majorHAnsi"/>
          <w:b/>
          <w:i/>
          <w:sz w:val="24"/>
          <w:szCs w:val="24"/>
          <w:vertAlign w:val="baseline"/>
          <w:lang w:val="ro-MD"/>
        </w:rPr>
        <w:t xml:space="preserve">Cu privire la </w:t>
      </w:r>
      <w:r w:rsidR="0077421C" w:rsidRPr="009772A3">
        <w:rPr>
          <w:rFonts w:asciiTheme="majorHAnsi" w:hAnsiTheme="majorHAnsi" w:cstheme="majorHAnsi"/>
          <w:b/>
          <w:i/>
          <w:sz w:val="24"/>
          <w:szCs w:val="24"/>
          <w:vertAlign w:val="baseline"/>
          <w:lang w:val="ro-MD"/>
        </w:rPr>
        <w:t>procesul de ameliorare a decontărilor și reducerii datoriilor față de SA Gazprom</w:t>
      </w:r>
    </w:p>
    <w:p w14:paraId="63A0218D" w14:textId="6E889ED0"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nedelimitarea exhaustivă</w:t>
      </w:r>
      <w:r w:rsidR="00FE3D1B">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în actele de verificare existente</w:t>
      </w:r>
      <w:r w:rsidR="00EB5205">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 datoriilor istorice din partea dreaptă și </w:t>
      </w:r>
      <w:r w:rsidR="00EB5205">
        <w:rPr>
          <w:rFonts w:asciiTheme="majorHAnsi" w:hAnsiTheme="majorHAnsi" w:cstheme="majorHAnsi"/>
          <w:sz w:val="24"/>
          <w:szCs w:val="24"/>
          <w:vertAlign w:val="baseline"/>
          <w:lang w:val="ro-MD"/>
        </w:rPr>
        <w:t xml:space="preserve">din </w:t>
      </w:r>
      <w:r w:rsidRPr="009772A3">
        <w:rPr>
          <w:rFonts w:asciiTheme="majorHAnsi" w:hAnsiTheme="majorHAnsi" w:cstheme="majorHAnsi"/>
          <w:sz w:val="24"/>
          <w:szCs w:val="24"/>
          <w:vertAlign w:val="baseline"/>
          <w:lang w:val="ro-MD"/>
        </w:rPr>
        <w:t xml:space="preserve">partea stângă a </w:t>
      </w:r>
      <w:r w:rsidR="00EB5205">
        <w:rPr>
          <w:rFonts w:asciiTheme="majorHAnsi" w:hAnsiTheme="majorHAnsi" w:cstheme="majorHAnsi"/>
          <w:sz w:val="24"/>
          <w:szCs w:val="24"/>
          <w:vertAlign w:val="baseline"/>
          <w:lang w:val="ro-MD"/>
        </w:rPr>
        <w:t xml:space="preserve">râului </w:t>
      </w:r>
      <w:r w:rsidRPr="009772A3">
        <w:rPr>
          <w:rFonts w:asciiTheme="majorHAnsi" w:hAnsiTheme="majorHAnsi" w:cstheme="majorHAnsi"/>
          <w:sz w:val="24"/>
          <w:szCs w:val="24"/>
          <w:vertAlign w:val="baseline"/>
          <w:lang w:val="ro-MD"/>
        </w:rPr>
        <w:t>Nistru</w:t>
      </w:r>
      <w:r w:rsidR="00EB5205">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nu oferă o certitudine cu privire la veridicitatea </w:t>
      </w:r>
      <w:r w:rsidR="00F71D80" w:rsidRPr="009772A3">
        <w:rPr>
          <w:rFonts w:asciiTheme="majorHAnsi" w:hAnsiTheme="majorHAnsi" w:cstheme="majorHAnsi"/>
          <w:sz w:val="24"/>
          <w:szCs w:val="24"/>
          <w:vertAlign w:val="baseline"/>
          <w:lang w:val="ro-MD"/>
        </w:rPr>
        <w:t>acest</w:t>
      </w:r>
      <w:r w:rsidR="00F71D80">
        <w:rPr>
          <w:rFonts w:asciiTheme="majorHAnsi" w:hAnsiTheme="majorHAnsi" w:cstheme="majorHAnsi"/>
          <w:sz w:val="24"/>
          <w:szCs w:val="24"/>
          <w:vertAlign w:val="baseline"/>
          <w:lang w:val="ro-MD"/>
        </w:rPr>
        <w:t>or</w:t>
      </w:r>
      <w:r w:rsidR="00F71D80" w:rsidRPr="009772A3">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 xml:space="preserve"> (pct. 4.1.8.)</w:t>
      </w:r>
      <w:r w:rsidR="00EB5205">
        <w:rPr>
          <w:rFonts w:asciiTheme="majorHAnsi" w:hAnsiTheme="majorHAnsi" w:cstheme="majorHAnsi"/>
          <w:sz w:val="24"/>
          <w:szCs w:val="24"/>
          <w:vertAlign w:val="baseline"/>
          <w:lang w:val="ro-MD"/>
        </w:rPr>
        <w:t>;</w:t>
      </w:r>
    </w:p>
    <w:p w14:paraId="1134143D" w14:textId="0A418C13"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asumarea, în procesul de elaborare a bugetului consolidat, a unor cheltuieli și investiții care nu sunt recuperate prin tarif diminuează semnificativ mijloacele circulante ale întreprinderii și nu contribuie la performanța financiară a grupului (pct. 4.5.1.)</w:t>
      </w:r>
      <w:r w:rsidR="00EB5205">
        <w:rPr>
          <w:rFonts w:asciiTheme="majorHAnsi" w:hAnsiTheme="majorHAnsi" w:cstheme="majorHAnsi"/>
          <w:sz w:val="24"/>
          <w:szCs w:val="24"/>
          <w:vertAlign w:val="baseline"/>
          <w:lang w:val="ro-MD"/>
        </w:rPr>
        <w:t>;</w:t>
      </w:r>
    </w:p>
    <w:p w14:paraId="15F91EDC" w14:textId="0FA767C8"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efectuarea continuă a cheltuielilor și investițiilor nejustificate, precum și devierile tarifare și pierderile semnificative au determinat formarea </w:t>
      </w:r>
      <w:r w:rsidR="00F71D80">
        <w:rPr>
          <w:rFonts w:asciiTheme="majorHAnsi" w:hAnsiTheme="majorHAnsi" w:cstheme="majorHAnsi"/>
          <w:sz w:val="24"/>
          <w:szCs w:val="24"/>
          <w:vertAlign w:val="baseline"/>
          <w:lang w:val="ro-MD"/>
        </w:rPr>
        <w:t xml:space="preserve">la 31.12.2021 a </w:t>
      </w:r>
      <w:r w:rsidRPr="009772A3">
        <w:rPr>
          <w:rFonts w:asciiTheme="majorHAnsi" w:hAnsiTheme="majorHAnsi" w:cstheme="majorHAnsi"/>
          <w:sz w:val="24"/>
          <w:szCs w:val="24"/>
          <w:vertAlign w:val="baseline"/>
          <w:lang w:val="ro-MD"/>
        </w:rPr>
        <w:t>datoriei de 590.835,1 mii dolari SUA față de SA Gazprom</w:t>
      </w:r>
      <w:r w:rsidR="00F71D80">
        <w:rPr>
          <w:rFonts w:asciiTheme="majorHAnsi" w:hAnsiTheme="majorHAnsi" w:cstheme="majorHAnsi"/>
          <w:sz w:val="24"/>
          <w:szCs w:val="24"/>
          <w:vertAlign w:val="baseline"/>
          <w:lang w:val="ro-MD"/>
        </w:rPr>
        <w:t xml:space="preserve"> și SRL Factoring Finance</w:t>
      </w:r>
      <w:r w:rsidRPr="009772A3">
        <w:rPr>
          <w:rFonts w:asciiTheme="majorHAnsi" w:hAnsiTheme="majorHAnsi" w:cstheme="majorHAnsi"/>
          <w:sz w:val="24"/>
          <w:szCs w:val="24"/>
          <w:vertAlign w:val="baseline"/>
          <w:lang w:val="ro-MD"/>
        </w:rPr>
        <w:t xml:space="preserve"> (pct. 4.5.2.)</w:t>
      </w:r>
      <w:r w:rsidR="00EB5205">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p>
    <w:p w14:paraId="1121A854" w14:textId="0B80CEEA"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acceptarea neuniformă spre recuperare prin tarif a unor</w:t>
      </w:r>
      <w:r w:rsidR="00EB5205">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 xml:space="preserve"> și acel</w:t>
      </w:r>
      <w:r w:rsidR="00EB5205">
        <w:rPr>
          <w:rFonts w:asciiTheme="majorHAnsi" w:hAnsiTheme="majorHAnsi" w:cstheme="majorHAnsi"/>
          <w:sz w:val="24"/>
          <w:szCs w:val="24"/>
          <w:vertAlign w:val="baseline"/>
          <w:lang w:val="ro-MD"/>
        </w:rPr>
        <w:t>ora</w:t>
      </w:r>
      <w:r w:rsidRPr="009772A3">
        <w:rPr>
          <w:rFonts w:asciiTheme="majorHAnsi" w:hAnsiTheme="majorHAnsi" w:cstheme="majorHAnsi"/>
          <w:sz w:val="24"/>
          <w:szCs w:val="24"/>
          <w:vertAlign w:val="baseline"/>
          <w:lang w:val="ro-MD"/>
        </w:rPr>
        <w:t>și cheltuieli (pct.4.5.3.)</w:t>
      </w:r>
      <w:r w:rsidR="00EB5205">
        <w:rPr>
          <w:rFonts w:asciiTheme="majorHAnsi" w:hAnsiTheme="majorHAnsi" w:cstheme="majorHAnsi"/>
          <w:sz w:val="24"/>
          <w:szCs w:val="24"/>
          <w:vertAlign w:val="baseline"/>
          <w:lang w:val="ro-MD"/>
        </w:rPr>
        <w:t>;</w:t>
      </w:r>
    </w:p>
    <w:p w14:paraId="53436027" w14:textId="6298D1EF"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neîncasarea conformă și deplină a plăților datorate pentru gazele naturale consumate a determinat formarea datoriilor întreprinderilor de distribuție față de SA Moldovagaz de 1.603.528,2 mii lei, precum și </w:t>
      </w:r>
      <w:r w:rsidR="00EB5205">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 xml:space="preserve">unor creanțe compromise </w:t>
      </w:r>
      <w:r w:rsidR="00F66762">
        <w:rPr>
          <w:rFonts w:asciiTheme="majorHAnsi" w:hAnsiTheme="majorHAnsi" w:cstheme="majorHAnsi"/>
          <w:sz w:val="24"/>
          <w:szCs w:val="24"/>
          <w:vertAlign w:val="baseline"/>
          <w:lang w:val="ro-MD"/>
        </w:rPr>
        <w:t>a</w:t>
      </w:r>
      <w:r w:rsidR="00EB5205">
        <w:rPr>
          <w:rFonts w:asciiTheme="majorHAnsi" w:hAnsiTheme="majorHAnsi" w:cstheme="majorHAnsi"/>
          <w:sz w:val="24"/>
          <w:szCs w:val="24"/>
          <w:vertAlign w:val="baseline"/>
          <w:lang w:val="ro-MD"/>
        </w:rPr>
        <w:t>le</w:t>
      </w:r>
      <w:r w:rsidR="00F66762">
        <w:rPr>
          <w:rFonts w:asciiTheme="majorHAnsi" w:hAnsiTheme="majorHAnsi" w:cstheme="majorHAnsi"/>
          <w:sz w:val="24"/>
          <w:szCs w:val="24"/>
          <w:vertAlign w:val="baseline"/>
          <w:lang w:val="ro-MD"/>
        </w:rPr>
        <w:t xml:space="preserve"> consumatorilor</w:t>
      </w:r>
      <w:r w:rsidR="00EB5205">
        <w:rPr>
          <w:rFonts w:asciiTheme="majorHAnsi" w:hAnsiTheme="majorHAnsi" w:cstheme="majorHAnsi"/>
          <w:sz w:val="24"/>
          <w:szCs w:val="24"/>
          <w:vertAlign w:val="baseline"/>
          <w:lang w:val="ro-MD"/>
        </w:rPr>
        <w:t>,</w:t>
      </w:r>
      <w:r w:rsidR="00F66762">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 xml:space="preserve">care nu vor putea fi încasate în sumă de 211.112,9 mii lei (pct. 4.5.4, 4.5.6., 4.5.7., 4.5.8. </w:t>
      </w:r>
      <w:r w:rsidR="00EB5205">
        <w:rPr>
          <w:rFonts w:asciiTheme="majorHAnsi" w:hAnsiTheme="majorHAnsi" w:cstheme="majorHAnsi"/>
          <w:sz w:val="24"/>
          <w:szCs w:val="24"/>
          <w:vertAlign w:val="baseline"/>
          <w:lang w:val="ro-MD"/>
        </w:rPr>
        <w:t xml:space="preserve">și </w:t>
      </w:r>
      <w:r w:rsidRPr="009772A3">
        <w:rPr>
          <w:rFonts w:asciiTheme="majorHAnsi" w:hAnsiTheme="majorHAnsi" w:cstheme="majorHAnsi"/>
          <w:sz w:val="24"/>
          <w:szCs w:val="24"/>
          <w:vertAlign w:val="baseline"/>
          <w:lang w:val="ro-MD"/>
        </w:rPr>
        <w:t>4.5.9.)</w:t>
      </w:r>
      <w:r w:rsidR="00EB5205">
        <w:rPr>
          <w:rFonts w:asciiTheme="majorHAnsi" w:hAnsiTheme="majorHAnsi" w:cstheme="majorHAnsi"/>
          <w:sz w:val="24"/>
          <w:szCs w:val="24"/>
          <w:vertAlign w:val="baseline"/>
          <w:lang w:val="ro-MD"/>
        </w:rPr>
        <w:t>;</w:t>
      </w:r>
    </w:p>
    <w:p w14:paraId="5ACC9680" w14:textId="2CE444FB"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casarea creanțelor privind penalitățile aplicate și prejudiciile calculate ca rezultat al neonorării </w:t>
      </w:r>
      <w:r w:rsidR="00EB5205">
        <w:rPr>
          <w:rFonts w:asciiTheme="majorHAnsi" w:hAnsiTheme="majorHAnsi" w:cstheme="majorHAnsi"/>
          <w:sz w:val="24"/>
          <w:szCs w:val="24"/>
          <w:vertAlign w:val="baseline"/>
          <w:lang w:val="ro-MD"/>
        </w:rPr>
        <w:t xml:space="preserve">în termen a </w:t>
      </w:r>
      <w:r w:rsidRPr="009772A3">
        <w:rPr>
          <w:rFonts w:asciiTheme="majorHAnsi" w:hAnsiTheme="majorHAnsi" w:cstheme="majorHAnsi"/>
          <w:sz w:val="24"/>
          <w:szCs w:val="24"/>
          <w:vertAlign w:val="baseline"/>
          <w:lang w:val="ro-MD"/>
        </w:rPr>
        <w:t>angajamentelor de plată a gazelor furnizate de întreprinderile de distribuție</w:t>
      </w:r>
      <w:r w:rsidR="00EB5205">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 majorat cheltuielile SA Moldovagaz cu 51.122,6 mii lei (pct. 4.5.5.)</w:t>
      </w:r>
      <w:r w:rsidR="00EB5205">
        <w:rPr>
          <w:rFonts w:asciiTheme="majorHAnsi" w:hAnsiTheme="majorHAnsi" w:cstheme="majorHAnsi"/>
          <w:sz w:val="24"/>
          <w:szCs w:val="24"/>
          <w:vertAlign w:val="baseline"/>
          <w:lang w:val="ro-MD"/>
        </w:rPr>
        <w:t>;</w:t>
      </w:r>
    </w:p>
    <w:p w14:paraId="75B6A0A3" w14:textId="4C37130C"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neurmărirea și neapărarea intereselor întreprinderilor din cadrul grupului SA Moldovagaz în calitate de parte vătămată, în cadrul unor litigii privind prejudicierea companiilor, a</w:t>
      </w:r>
      <w:r w:rsidR="00EB5205">
        <w:rPr>
          <w:rFonts w:asciiTheme="majorHAnsi" w:hAnsiTheme="majorHAnsi" w:cstheme="majorHAnsi"/>
          <w:sz w:val="24"/>
          <w:szCs w:val="24"/>
          <w:vertAlign w:val="baseline"/>
          <w:lang w:val="ro-MD"/>
        </w:rPr>
        <w:t>u</w:t>
      </w:r>
      <w:r w:rsidRPr="009772A3">
        <w:rPr>
          <w:rFonts w:asciiTheme="majorHAnsi" w:hAnsiTheme="majorHAnsi" w:cstheme="majorHAnsi"/>
          <w:sz w:val="24"/>
          <w:szCs w:val="24"/>
          <w:vertAlign w:val="baseline"/>
          <w:lang w:val="ro-MD"/>
        </w:rPr>
        <w:t xml:space="preserve"> generat nerecuperarea prejudiciilor cauzate în sumă de cca 71.100, 0 mii lei (pct. 4.5.10.)</w:t>
      </w:r>
      <w:r w:rsidR="00EB5205">
        <w:rPr>
          <w:rFonts w:asciiTheme="majorHAnsi" w:hAnsiTheme="majorHAnsi" w:cstheme="majorHAnsi"/>
          <w:sz w:val="24"/>
          <w:szCs w:val="24"/>
          <w:vertAlign w:val="baseline"/>
          <w:lang w:val="ro-MD"/>
        </w:rPr>
        <w:t>;</w:t>
      </w:r>
    </w:p>
    <w:p w14:paraId="7A3D7BE1" w14:textId="77E2803C"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neconformarea la prevederile Hotărârii ANRE a generat un șir de litigii și cheltuieli de reprezentare în instanțele de judecată, precum și recalcularea plăților pentru gazele naturale furnizate în sumă totală de 353.020,7 mii lei (pct. 4.5.11.)</w:t>
      </w:r>
      <w:r w:rsidR="00EB5205">
        <w:rPr>
          <w:rFonts w:asciiTheme="majorHAnsi" w:hAnsiTheme="majorHAnsi" w:cstheme="majorHAnsi"/>
          <w:sz w:val="24"/>
          <w:szCs w:val="24"/>
          <w:vertAlign w:val="baseline"/>
          <w:lang w:val="ro-MD"/>
        </w:rPr>
        <w:t>;</w:t>
      </w:r>
    </w:p>
    <w:p w14:paraId="23C671E2" w14:textId="475E6593"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neimplementarea Planului de acțiuni cu privire la identificarea surselor și mecanismului juridic de stingere a datoriilor SA Moldovagaz față de SA Gazprom nu a contribuit la diminuarea datoriilor istorice</w:t>
      </w:r>
      <w:r w:rsidR="00EB5205">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ci a generat cheltuieli suplimentare </w:t>
      </w:r>
      <w:r w:rsidR="00804E49" w:rsidRPr="009772A3">
        <w:rPr>
          <w:rFonts w:asciiTheme="majorHAnsi" w:hAnsiTheme="majorHAnsi" w:cstheme="majorHAnsi"/>
          <w:sz w:val="24"/>
          <w:szCs w:val="24"/>
          <w:vertAlign w:val="baseline"/>
          <w:lang w:val="ro-MD"/>
        </w:rPr>
        <w:t xml:space="preserve">de </w:t>
      </w:r>
      <w:r w:rsidRPr="009772A3">
        <w:rPr>
          <w:rFonts w:asciiTheme="majorHAnsi" w:hAnsiTheme="majorHAnsi" w:cstheme="majorHAnsi"/>
          <w:sz w:val="24"/>
          <w:szCs w:val="24"/>
          <w:vertAlign w:val="baseline"/>
          <w:lang w:val="ro-MD"/>
        </w:rPr>
        <w:t>cca 1.300,0 mii lei (pct. 4.5.12.)</w:t>
      </w:r>
      <w:r w:rsidR="00EB5205">
        <w:rPr>
          <w:rFonts w:asciiTheme="majorHAnsi" w:hAnsiTheme="majorHAnsi" w:cstheme="majorHAnsi"/>
          <w:sz w:val="24"/>
          <w:szCs w:val="24"/>
          <w:vertAlign w:val="baseline"/>
          <w:lang w:val="ro-MD"/>
        </w:rPr>
        <w:t>;</w:t>
      </w:r>
    </w:p>
    <w:p w14:paraId="0F0BAA6B" w14:textId="228DF964" w:rsidR="0077421C" w:rsidRPr="009772A3" w:rsidRDefault="0077421C" w:rsidP="0077421C">
      <w:pPr>
        <w:pStyle w:val="FootnoteText"/>
        <w:numPr>
          <w:ilvl w:val="0"/>
          <w:numId w:val="37"/>
        </w:numPr>
        <w:spacing w:line="276" w:lineRule="auto"/>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admiterea cheltuielilor neproductive, economic neargumentate și nejustificate în sumă totală de 1.</w:t>
      </w:r>
      <w:r w:rsidR="008923CC" w:rsidRPr="009772A3">
        <w:rPr>
          <w:rFonts w:asciiTheme="majorHAnsi" w:hAnsiTheme="majorHAnsi" w:cstheme="majorHAnsi"/>
          <w:sz w:val="24"/>
          <w:szCs w:val="24"/>
          <w:vertAlign w:val="baseline"/>
          <w:lang w:val="ro-MD"/>
        </w:rPr>
        <w:t>000</w:t>
      </w:r>
      <w:r w:rsidRPr="009772A3">
        <w:rPr>
          <w:rFonts w:asciiTheme="majorHAnsi" w:hAnsiTheme="majorHAnsi" w:cstheme="majorHAnsi"/>
          <w:sz w:val="24"/>
          <w:szCs w:val="24"/>
          <w:vertAlign w:val="baseline"/>
          <w:lang w:val="ro-MD"/>
        </w:rPr>
        <w:t>.</w:t>
      </w:r>
      <w:r w:rsidR="008923CC" w:rsidRPr="009772A3">
        <w:rPr>
          <w:rFonts w:asciiTheme="majorHAnsi" w:hAnsiTheme="majorHAnsi" w:cstheme="majorHAnsi"/>
          <w:sz w:val="24"/>
          <w:szCs w:val="24"/>
          <w:vertAlign w:val="baseline"/>
          <w:lang w:val="ro-MD"/>
        </w:rPr>
        <w:t>214</w:t>
      </w:r>
      <w:r w:rsidRPr="009772A3">
        <w:rPr>
          <w:rFonts w:asciiTheme="majorHAnsi" w:hAnsiTheme="majorHAnsi" w:cstheme="majorHAnsi"/>
          <w:sz w:val="24"/>
          <w:szCs w:val="24"/>
          <w:vertAlign w:val="baseline"/>
          <w:lang w:val="ro-MD"/>
        </w:rPr>
        <w:t>,</w:t>
      </w:r>
      <w:r w:rsidR="008923CC" w:rsidRPr="009772A3">
        <w:rPr>
          <w:rFonts w:asciiTheme="majorHAnsi" w:hAnsiTheme="majorHAnsi" w:cstheme="majorHAnsi"/>
          <w:sz w:val="24"/>
          <w:szCs w:val="24"/>
          <w:vertAlign w:val="baseline"/>
          <w:lang w:val="ro-MD"/>
        </w:rPr>
        <w:t>1</w:t>
      </w:r>
      <w:r w:rsidRPr="009772A3">
        <w:rPr>
          <w:rFonts w:asciiTheme="majorHAnsi" w:hAnsiTheme="majorHAnsi" w:cstheme="majorHAnsi"/>
          <w:sz w:val="24"/>
          <w:szCs w:val="24"/>
          <w:vertAlign w:val="baseline"/>
          <w:lang w:val="ro-MD"/>
        </w:rPr>
        <w:t xml:space="preserve"> mii lei, în contextul existenței datoriilor, </w:t>
      </w:r>
      <w:r w:rsidR="00EB5205" w:rsidRPr="009772A3">
        <w:rPr>
          <w:rFonts w:asciiTheme="majorHAnsi" w:hAnsiTheme="majorHAnsi" w:cstheme="majorHAnsi"/>
          <w:sz w:val="24"/>
          <w:szCs w:val="24"/>
          <w:vertAlign w:val="baseline"/>
          <w:lang w:val="ro-MD"/>
        </w:rPr>
        <w:t>a</w:t>
      </w:r>
      <w:r w:rsidR="00EB5205">
        <w:rPr>
          <w:rFonts w:asciiTheme="majorHAnsi" w:hAnsiTheme="majorHAnsi" w:cstheme="majorHAnsi"/>
          <w:sz w:val="24"/>
          <w:szCs w:val="24"/>
          <w:vertAlign w:val="baseline"/>
          <w:lang w:val="ro-MD"/>
        </w:rPr>
        <w:t>re</w:t>
      </w:r>
      <w:r w:rsidR="00EB5205"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impact negativ asupra viabilității financiare a grupului SA Moldovagaz. (pct. 4.5.13</w:t>
      </w:r>
      <w:r w:rsidR="00EB5205">
        <w:rPr>
          <w:rFonts w:asciiTheme="majorHAnsi" w:hAnsiTheme="majorHAnsi" w:cstheme="majorHAnsi"/>
          <w:sz w:val="24"/>
          <w:szCs w:val="24"/>
          <w:vertAlign w:val="baseline"/>
          <w:lang w:val="ro-MD"/>
        </w:rPr>
        <w:t>. și pct.</w:t>
      </w:r>
      <w:r w:rsidRPr="009772A3">
        <w:rPr>
          <w:rFonts w:asciiTheme="majorHAnsi" w:hAnsiTheme="majorHAnsi" w:cstheme="majorHAnsi"/>
          <w:sz w:val="24"/>
          <w:szCs w:val="24"/>
          <w:vertAlign w:val="baseline"/>
          <w:lang w:val="ro-MD"/>
        </w:rPr>
        <w:t xml:space="preserve"> 4.3.3.</w:t>
      </w:r>
      <w:r w:rsidR="00A012DB" w:rsidRPr="009772A3">
        <w:rPr>
          <w:rFonts w:asciiTheme="majorHAnsi" w:hAnsiTheme="majorHAnsi" w:cstheme="majorHAnsi"/>
          <w:sz w:val="24"/>
          <w:szCs w:val="24"/>
          <w:vertAlign w:val="baseline"/>
          <w:lang w:val="ro-MD"/>
        </w:rPr>
        <w:t>1</w:t>
      </w:r>
      <w:r w:rsidR="00A012DB">
        <w:rPr>
          <w:rFonts w:asciiTheme="majorHAnsi" w:hAnsiTheme="majorHAnsi" w:cstheme="majorHAnsi"/>
          <w:sz w:val="24"/>
          <w:szCs w:val="24"/>
          <w:vertAlign w:val="baseline"/>
          <w:lang w:val="ro-MD"/>
        </w:rPr>
        <w:t>1</w:t>
      </w:r>
      <w:r w:rsidRPr="009772A3">
        <w:rPr>
          <w:rFonts w:asciiTheme="majorHAnsi" w:hAnsiTheme="majorHAnsi" w:cstheme="majorHAnsi"/>
          <w:sz w:val="24"/>
          <w:szCs w:val="24"/>
          <w:vertAlign w:val="baseline"/>
          <w:lang w:val="ro-MD"/>
        </w:rPr>
        <w:t>.)</w:t>
      </w:r>
      <w:r w:rsidR="00EB5205">
        <w:rPr>
          <w:rFonts w:asciiTheme="majorHAnsi" w:hAnsiTheme="majorHAnsi" w:cstheme="majorHAnsi"/>
          <w:sz w:val="24"/>
          <w:szCs w:val="24"/>
          <w:vertAlign w:val="baseline"/>
          <w:lang w:val="ro-MD"/>
        </w:rPr>
        <w:t>.</w:t>
      </w:r>
    </w:p>
    <w:p w14:paraId="4D959101" w14:textId="77777777" w:rsidR="0077421C" w:rsidRPr="009772A3" w:rsidRDefault="0077421C" w:rsidP="0077421C">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Constatările și concluziile detaliate asupra aspectelor auditate în cadrul misiunii de audit sunt redate în compartimentele respective ale prezentului Raport de audit.</w:t>
      </w:r>
    </w:p>
    <w:p w14:paraId="71C7AFA8" w14:textId="3BA53A9C" w:rsidR="00CA42EB" w:rsidRPr="009772A3" w:rsidRDefault="00CA42EB" w:rsidP="00CA42EB">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imes New Roman"/>
          <w:sz w:val="24"/>
          <w:szCs w:val="24"/>
          <w:lang w:val="ro-MD"/>
        </w:rPr>
        <w:t>Pentru remedierea deficiențelor constatate, fortificarea managementului proprietății publice și cel</w:t>
      </w:r>
      <w:r w:rsidR="00EB5205">
        <w:rPr>
          <w:rFonts w:asciiTheme="majorHAnsi" w:hAnsiTheme="majorHAnsi" w:cs="Times New Roman"/>
          <w:sz w:val="24"/>
          <w:szCs w:val="24"/>
          <w:lang w:val="ro-MD"/>
        </w:rPr>
        <w:t>ui</w:t>
      </w:r>
      <w:r w:rsidRPr="009772A3">
        <w:rPr>
          <w:rFonts w:asciiTheme="majorHAnsi" w:hAnsiTheme="majorHAnsi" w:cs="Times New Roman"/>
          <w:sz w:val="24"/>
          <w:szCs w:val="24"/>
          <w:lang w:val="ro-MD"/>
        </w:rPr>
        <w:t xml:space="preserve"> corporativ, revizuirea și consolidarea cadrului normativ aferent, au</w:t>
      </w:r>
      <w:r w:rsidR="00EB5205">
        <w:rPr>
          <w:rFonts w:asciiTheme="majorHAnsi" w:hAnsiTheme="majorHAnsi" w:cs="Times New Roman"/>
          <w:sz w:val="24"/>
          <w:szCs w:val="24"/>
          <w:lang w:val="ro-MD"/>
        </w:rPr>
        <w:t>ditul a</w:t>
      </w:r>
      <w:r w:rsidRPr="009772A3">
        <w:rPr>
          <w:rFonts w:asciiTheme="majorHAnsi" w:hAnsiTheme="majorHAnsi" w:cs="Times New Roman"/>
          <w:sz w:val="24"/>
          <w:szCs w:val="24"/>
          <w:lang w:val="ro-MD"/>
        </w:rPr>
        <w:t xml:space="preserve"> înaintat </w:t>
      </w:r>
      <w:r w:rsidR="0077421C" w:rsidRPr="009772A3">
        <w:rPr>
          <w:rFonts w:asciiTheme="majorHAnsi" w:hAnsiTheme="majorHAnsi" w:cs="Times New Roman"/>
          <w:sz w:val="24"/>
          <w:szCs w:val="24"/>
          <w:lang w:val="ro-MD"/>
        </w:rPr>
        <w:t xml:space="preserve">unele </w:t>
      </w:r>
      <w:r w:rsidRPr="009772A3">
        <w:rPr>
          <w:rFonts w:asciiTheme="majorHAnsi" w:hAnsiTheme="majorHAnsi" w:cs="Times New Roman"/>
          <w:sz w:val="24"/>
          <w:szCs w:val="24"/>
          <w:lang w:val="ro-MD"/>
        </w:rPr>
        <w:t>recomandări, care au fost comunicate părțil</w:t>
      </w:r>
      <w:r w:rsidR="00CD7C4A" w:rsidRPr="009772A3">
        <w:rPr>
          <w:rFonts w:asciiTheme="majorHAnsi" w:hAnsiTheme="majorHAnsi" w:cs="Times New Roman"/>
          <w:sz w:val="24"/>
          <w:szCs w:val="24"/>
          <w:lang w:val="ro-MD"/>
        </w:rPr>
        <w:t>or</w:t>
      </w:r>
      <w:r w:rsidRPr="009772A3">
        <w:rPr>
          <w:rFonts w:asciiTheme="majorHAnsi" w:hAnsiTheme="majorHAnsi" w:cs="Times New Roman"/>
          <w:sz w:val="24"/>
          <w:szCs w:val="24"/>
          <w:lang w:val="ro-MD"/>
        </w:rPr>
        <w:t xml:space="preserve"> responsabile.</w:t>
      </w:r>
    </w:p>
    <w:p w14:paraId="253B1ADB" w14:textId="563687CF" w:rsidR="00700D79" w:rsidRPr="009772A3" w:rsidRDefault="004B536D" w:rsidP="009B0900">
      <w:pPr>
        <w:pStyle w:val="Heading1"/>
        <w:numPr>
          <w:ilvl w:val="0"/>
          <w:numId w:val="2"/>
        </w:numPr>
        <w:spacing w:line="276" w:lineRule="auto"/>
        <w:ind w:left="0" w:firstLine="0"/>
        <w:jc w:val="left"/>
        <w:rPr>
          <w:rFonts w:cstheme="majorHAnsi"/>
          <w:color w:val="auto"/>
          <w:sz w:val="28"/>
          <w:szCs w:val="24"/>
          <w:lang w:val="ro-MD"/>
        </w:rPr>
      </w:pPr>
      <w:bookmarkStart w:id="7" w:name="_Toc47338763"/>
      <w:bookmarkStart w:id="8" w:name="_Toc119496376"/>
      <w:r w:rsidRPr="009772A3">
        <w:rPr>
          <w:color w:val="auto"/>
          <w:sz w:val="28"/>
          <w:lang w:val="ro-MD"/>
        </w:rPr>
        <w:t>P</w:t>
      </w:r>
      <w:r w:rsidR="00AC570C" w:rsidRPr="009772A3">
        <w:rPr>
          <w:color w:val="auto"/>
          <w:sz w:val="28"/>
          <w:lang w:val="ro-MD"/>
        </w:rPr>
        <w:t>REZENTAREA</w:t>
      </w:r>
      <w:r w:rsidR="00AC570C" w:rsidRPr="009772A3">
        <w:rPr>
          <w:rFonts w:cstheme="majorHAnsi"/>
          <w:color w:val="auto"/>
          <w:sz w:val="28"/>
          <w:szCs w:val="24"/>
          <w:lang w:val="ro-MD"/>
        </w:rPr>
        <w:t xml:space="preserve"> GENERALĂ</w:t>
      </w:r>
      <w:bookmarkEnd w:id="7"/>
      <w:bookmarkEnd w:id="8"/>
    </w:p>
    <w:p w14:paraId="3A1FD15E" w14:textId="2897F779" w:rsidR="00A502A1" w:rsidRPr="009772A3" w:rsidRDefault="00A502A1" w:rsidP="00A502A1">
      <w:pPr>
        <w:spacing w:after="0" w:line="276" w:lineRule="auto"/>
        <w:ind w:firstLine="720"/>
        <w:jc w:val="both"/>
        <w:rPr>
          <w:rFonts w:asciiTheme="majorHAnsi" w:hAnsiTheme="majorHAnsi" w:cs="Times New Roman"/>
          <w:sz w:val="24"/>
          <w:szCs w:val="24"/>
          <w:lang w:val="ro-MD"/>
        </w:rPr>
      </w:pPr>
      <w:r w:rsidRPr="009772A3">
        <w:rPr>
          <w:rFonts w:asciiTheme="majorHAnsi" w:hAnsiTheme="majorHAnsi" w:cs="Times New Roman"/>
          <w:sz w:val="24"/>
          <w:szCs w:val="24"/>
          <w:lang w:val="ro-MD"/>
        </w:rPr>
        <w:t>Activitățile ce fac parte din domeniul gazelor naturale, licențiate de ANRE</w:t>
      </w:r>
      <w:r w:rsidR="009555A3" w:rsidRPr="009772A3">
        <w:rPr>
          <w:rFonts w:asciiTheme="majorHAnsi" w:hAnsiTheme="majorHAnsi" w:cs="Times New Roman"/>
          <w:sz w:val="24"/>
          <w:szCs w:val="24"/>
          <w:lang w:val="ro-MD"/>
        </w:rPr>
        <w:t>,</w:t>
      </w:r>
      <w:r w:rsidRPr="009772A3">
        <w:rPr>
          <w:rFonts w:asciiTheme="majorHAnsi" w:hAnsiTheme="majorHAnsi" w:cs="Times New Roman"/>
          <w:sz w:val="24"/>
          <w:szCs w:val="24"/>
          <w:lang w:val="ro-MD"/>
        </w:rPr>
        <w:t xml:space="preserve"> sunt: </w:t>
      </w:r>
    </w:p>
    <w:p w14:paraId="2AD11BDD" w14:textId="267D6D51" w:rsidR="00A502A1" w:rsidRPr="009772A3" w:rsidRDefault="00A502A1" w:rsidP="004F4116">
      <w:pPr>
        <w:tabs>
          <w:tab w:val="left" w:pos="1134"/>
        </w:tabs>
        <w:spacing w:after="0" w:line="276" w:lineRule="auto"/>
        <w:jc w:val="both"/>
        <w:rPr>
          <w:rFonts w:asciiTheme="majorHAnsi" w:hAnsiTheme="majorHAnsi" w:cs="Times New Roman"/>
          <w:sz w:val="24"/>
          <w:szCs w:val="24"/>
          <w:lang w:val="ro-MD"/>
        </w:rPr>
      </w:pPr>
      <w:r w:rsidRPr="009772A3">
        <w:rPr>
          <w:rFonts w:asciiTheme="majorHAnsi" w:hAnsiTheme="majorHAnsi" w:cs="Times New Roman"/>
          <w:sz w:val="24"/>
          <w:szCs w:val="24"/>
          <w:lang w:val="ro-MD"/>
        </w:rPr>
        <w:t xml:space="preserve">1) </w:t>
      </w:r>
      <w:r w:rsidR="00511FD8" w:rsidRPr="009772A3">
        <w:rPr>
          <w:rFonts w:asciiTheme="majorHAnsi" w:hAnsiTheme="majorHAnsi" w:cs="Times New Roman"/>
          <w:sz w:val="24"/>
          <w:szCs w:val="24"/>
          <w:lang w:val="ro-MD"/>
        </w:rPr>
        <w:t>p</w:t>
      </w:r>
      <w:r w:rsidRPr="009772A3">
        <w:rPr>
          <w:rFonts w:asciiTheme="majorHAnsi" w:hAnsiTheme="majorHAnsi" w:cs="Times New Roman"/>
          <w:sz w:val="24"/>
          <w:szCs w:val="24"/>
          <w:lang w:val="ro-MD"/>
        </w:rPr>
        <w:t xml:space="preserve">roducerea gazelor naturale; 2) </w:t>
      </w:r>
      <w:r w:rsidR="00511FD8" w:rsidRPr="009772A3">
        <w:rPr>
          <w:rFonts w:asciiTheme="majorHAnsi" w:hAnsiTheme="majorHAnsi" w:cs="Times New Roman"/>
          <w:sz w:val="24"/>
          <w:szCs w:val="24"/>
          <w:lang w:val="ro-MD"/>
        </w:rPr>
        <w:t>t</w:t>
      </w:r>
      <w:r w:rsidRPr="009772A3">
        <w:rPr>
          <w:rFonts w:asciiTheme="majorHAnsi" w:hAnsiTheme="majorHAnsi" w:cs="Times New Roman"/>
          <w:sz w:val="24"/>
          <w:szCs w:val="24"/>
          <w:lang w:val="ro-MD"/>
        </w:rPr>
        <w:t xml:space="preserve">ransportul gazelor naturale; 3) </w:t>
      </w:r>
      <w:r w:rsidR="00511FD8" w:rsidRPr="009772A3">
        <w:rPr>
          <w:rFonts w:asciiTheme="majorHAnsi" w:hAnsiTheme="majorHAnsi" w:cs="Times New Roman"/>
          <w:sz w:val="24"/>
          <w:szCs w:val="24"/>
          <w:lang w:val="ro-MD"/>
        </w:rPr>
        <w:t>d</w:t>
      </w:r>
      <w:r w:rsidRPr="009772A3">
        <w:rPr>
          <w:rFonts w:asciiTheme="majorHAnsi" w:hAnsiTheme="majorHAnsi" w:cs="Times New Roman"/>
          <w:sz w:val="24"/>
          <w:szCs w:val="24"/>
          <w:lang w:val="ro-MD"/>
        </w:rPr>
        <w:t xml:space="preserve">istribuţia gazelor naturale; 4) </w:t>
      </w:r>
      <w:r w:rsidR="00511FD8" w:rsidRPr="009772A3">
        <w:rPr>
          <w:rFonts w:asciiTheme="majorHAnsi" w:hAnsiTheme="majorHAnsi" w:cs="Times New Roman"/>
          <w:sz w:val="24"/>
          <w:szCs w:val="24"/>
          <w:lang w:val="ro-MD"/>
        </w:rPr>
        <w:t>s</w:t>
      </w:r>
      <w:r w:rsidRPr="009772A3">
        <w:rPr>
          <w:rFonts w:asciiTheme="majorHAnsi" w:hAnsiTheme="majorHAnsi" w:cs="Times New Roman"/>
          <w:sz w:val="24"/>
          <w:szCs w:val="24"/>
          <w:lang w:val="ro-MD"/>
        </w:rPr>
        <w:t xml:space="preserve">tocarea gazelor naturale; 5) </w:t>
      </w:r>
      <w:r w:rsidR="00511FD8" w:rsidRPr="009772A3">
        <w:rPr>
          <w:rFonts w:asciiTheme="majorHAnsi" w:hAnsiTheme="majorHAnsi" w:cs="Times New Roman"/>
          <w:sz w:val="24"/>
          <w:szCs w:val="24"/>
          <w:lang w:val="ro-MD"/>
        </w:rPr>
        <w:t>t</w:t>
      </w:r>
      <w:r w:rsidRPr="009772A3">
        <w:rPr>
          <w:rFonts w:asciiTheme="majorHAnsi" w:hAnsiTheme="majorHAnsi" w:cs="Times New Roman"/>
          <w:sz w:val="24"/>
          <w:szCs w:val="24"/>
          <w:lang w:val="ro-MD"/>
        </w:rPr>
        <w:t xml:space="preserve">radingul de gaze naturale; 6) </w:t>
      </w:r>
      <w:r w:rsidR="00511FD8" w:rsidRPr="009772A3">
        <w:rPr>
          <w:rFonts w:asciiTheme="majorHAnsi" w:hAnsiTheme="majorHAnsi" w:cs="Times New Roman"/>
          <w:sz w:val="24"/>
          <w:szCs w:val="24"/>
          <w:lang w:val="ro-MD"/>
        </w:rPr>
        <w:t>f</w:t>
      </w:r>
      <w:r w:rsidRPr="009772A3">
        <w:rPr>
          <w:rFonts w:asciiTheme="majorHAnsi" w:hAnsiTheme="majorHAnsi" w:cs="Times New Roman"/>
          <w:sz w:val="24"/>
          <w:szCs w:val="24"/>
          <w:lang w:val="ro-MD"/>
        </w:rPr>
        <w:t xml:space="preserve">urnizarea gazelor naturale; 7) </w:t>
      </w:r>
      <w:r w:rsidR="00511FD8" w:rsidRPr="009772A3">
        <w:rPr>
          <w:rFonts w:asciiTheme="majorHAnsi" w:hAnsiTheme="majorHAnsi" w:cs="Times New Roman"/>
          <w:sz w:val="24"/>
          <w:szCs w:val="24"/>
          <w:lang w:val="ro-MD"/>
        </w:rPr>
        <w:t>vâ</w:t>
      </w:r>
      <w:r w:rsidRPr="009772A3">
        <w:rPr>
          <w:rFonts w:asciiTheme="majorHAnsi" w:hAnsiTheme="majorHAnsi" w:cs="Times New Roman"/>
          <w:sz w:val="24"/>
          <w:szCs w:val="24"/>
          <w:lang w:val="ro-MD"/>
        </w:rPr>
        <w:t>nzarea gazelor naturale comprimate pentru vehicule la staţiile de alimentare.</w:t>
      </w:r>
    </w:p>
    <w:p w14:paraId="5805F0B3" w14:textId="5AF21346" w:rsidR="00A502A1" w:rsidRPr="009772A3" w:rsidRDefault="00A502A1" w:rsidP="004E64D2">
      <w:pPr>
        <w:pStyle w:val="ListParagraph"/>
        <w:tabs>
          <w:tab w:val="left" w:pos="1134"/>
        </w:tabs>
        <w:spacing w:after="0" w:line="276" w:lineRule="auto"/>
        <w:ind w:left="0"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baza hotăr</w:t>
      </w:r>
      <w:r w:rsidR="00511FD8"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rilor ANRE</w:t>
      </w:r>
      <w:r w:rsidR="00511F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45746D" w:rsidRPr="009772A3">
        <w:rPr>
          <w:rFonts w:asciiTheme="majorHAnsi" w:hAnsiTheme="majorHAnsi" w:cstheme="majorHAnsi"/>
          <w:sz w:val="24"/>
          <w:szCs w:val="24"/>
          <w:lang w:val="ro-MD"/>
        </w:rPr>
        <w:t>titularii de licențe pentru furnizarea gazelor naturale cărora li s-au impus obligațiile de serviciu public, e</w:t>
      </w:r>
      <w:r w:rsidR="008803DC" w:rsidRPr="009772A3">
        <w:rPr>
          <w:rFonts w:asciiTheme="majorHAnsi" w:hAnsiTheme="majorHAnsi" w:cstheme="majorHAnsi"/>
          <w:sz w:val="24"/>
          <w:szCs w:val="24"/>
          <w:lang w:val="ro-MD"/>
        </w:rPr>
        <w:t>x</w:t>
      </w:r>
      <w:r w:rsidR="0045746D" w:rsidRPr="009772A3">
        <w:rPr>
          <w:rFonts w:asciiTheme="majorHAnsi" w:hAnsiTheme="majorHAnsi" w:cstheme="majorHAnsi"/>
          <w:sz w:val="24"/>
          <w:szCs w:val="24"/>
          <w:lang w:val="ro-MD"/>
        </w:rPr>
        <w:t xml:space="preserve">istenți la data de 31.12.2021, au fost: SA Moldovagaz,   </w:t>
      </w:r>
      <w:r w:rsidR="00F66762" w:rsidRPr="009772A3">
        <w:rPr>
          <w:rFonts w:asciiTheme="majorHAnsi" w:hAnsiTheme="majorHAnsi" w:cstheme="majorHAnsi"/>
          <w:sz w:val="24"/>
          <w:szCs w:val="24"/>
          <w:lang w:val="ro-MD"/>
        </w:rPr>
        <w:t xml:space="preserve">SRL </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BELVILCOM</w:t>
      </w:r>
      <w:r w:rsidR="00D873FA" w:rsidRPr="009772A3">
        <w:rPr>
          <w:rFonts w:asciiTheme="majorHAnsi" w:hAnsiTheme="majorHAnsi" w:cstheme="majorHAnsi"/>
          <w:sz w:val="24"/>
          <w:szCs w:val="24"/>
          <w:lang w:val="ro-MD"/>
        </w:rPr>
        <w:t>”</w:t>
      </w:r>
      <w:r w:rsidR="0045746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ÎM </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ROTALIN GAZ TRADING</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w:t>
      </w:r>
      <w:r w:rsidR="0045746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ÎCS </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NORD GAZ SÎNGEREI</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w:t>
      </w:r>
      <w:r w:rsidR="0045746D" w:rsidRPr="009772A3">
        <w:rPr>
          <w:rFonts w:asciiTheme="majorHAnsi" w:hAnsiTheme="majorHAnsi" w:cstheme="majorHAnsi"/>
          <w:sz w:val="24"/>
          <w:szCs w:val="24"/>
          <w:lang w:val="ro-MD"/>
        </w:rPr>
        <w:t xml:space="preserve">, </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DARNIC-GAZ” SA</w:t>
      </w:r>
      <w:r w:rsidR="0045746D" w:rsidRPr="009772A3">
        <w:rPr>
          <w:rFonts w:asciiTheme="majorHAnsi" w:hAnsiTheme="majorHAnsi" w:cstheme="majorHAnsi"/>
          <w:sz w:val="24"/>
          <w:szCs w:val="24"/>
          <w:lang w:val="ro-MD"/>
        </w:rPr>
        <w:t xml:space="preserve">, </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PIELART SERVICE</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w:t>
      </w:r>
      <w:r w:rsidR="0045746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FPC </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LĂCĂTUŞ</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w:t>
      </w:r>
      <w:r w:rsidR="0045746D" w:rsidRPr="009772A3">
        <w:rPr>
          <w:rFonts w:asciiTheme="majorHAnsi" w:hAnsiTheme="majorHAnsi" w:cstheme="majorHAnsi"/>
          <w:sz w:val="24"/>
          <w:szCs w:val="24"/>
          <w:lang w:val="ro-MD"/>
        </w:rPr>
        <w:t xml:space="preserve">, </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SĂLCIOARA-VASCAN</w:t>
      </w:r>
      <w:r w:rsidR="00D873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w:t>
      </w:r>
      <w:r w:rsidR="0045746D" w:rsidRPr="009772A3">
        <w:rPr>
          <w:rFonts w:asciiTheme="majorHAnsi" w:hAnsiTheme="majorHAnsi" w:cstheme="majorHAnsi"/>
          <w:sz w:val="24"/>
          <w:szCs w:val="24"/>
          <w:lang w:val="ro-MD"/>
        </w:rPr>
        <w:t>.</w:t>
      </w:r>
      <w:r w:rsidR="003B6BE0" w:rsidRPr="009772A3">
        <w:rPr>
          <w:rFonts w:asciiTheme="majorHAnsi" w:hAnsiTheme="majorHAnsi" w:cstheme="majorHAnsi"/>
          <w:sz w:val="24"/>
          <w:szCs w:val="24"/>
          <w:lang w:val="ro-MD"/>
        </w:rPr>
        <w:t xml:space="preserve"> Volumul gazelor naturale furnizate </w:t>
      </w:r>
      <w:r w:rsidR="00932F7B" w:rsidRPr="009772A3">
        <w:rPr>
          <w:rFonts w:asciiTheme="majorHAnsi" w:hAnsiTheme="majorHAnsi" w:cstheme="majorHAnsi"/>
          <w:sz w:val="24"/>
          <w:szCs w:val="24"/>
          <w:lang w:val="ro-MD"/>
        </w:rPr>
        <w:t xml:space="preserve">în anul 2021 </w:t>
      </w:r>
      <w:r w:rsidR="003B6BE0" w:rsidRPr="009772A3">
        <w:rPr>
          <w:rFonts w:asciiTheme="majorHAnsi" w:hAnsiTheme="majorHAnsi" w:cstheme="majorHAnsi"/>
          <w:sz w:val="24"/>
          <w:szCs w:val="24"/>
          <w:lang w:val="ro-MD"/>
        </w:rPr>
        <w:t xml:space="preserve">de către </w:t>
      </w:r>
      <w:r w:rsidR="008A6391" w:rsidRPr="009772A3">
        <w:rPr>
          <w:rFonts w:asciiTheme="majorHAnsi" w:hAnsiTheme="majorHAnsi" w:cstheme="majorHAnsi"/>
          <w:sz w:val="24"/>
          <w:szCs w:val="24"/>
          <w:lang w:val="ro-MD"/>
        </w:rPr>
        <w:t>7</w:t>
      </w:r>
      <w:r w:rsidR="003B6BE0" w:rsidRPr="009772A3">
        <w:rPr>
          <w:rFonts w:asciiTheme="majorHAnsi" w:hAnsiTheme="majorHAnsi" w:cstheme="majorHAnsi"/>
          <w:sz w:val="24"/>
          <w:szCs w:val="24"/>
          <w:lang w:val="ro-MD"/>
        </w:rPr>
        <w:t xml:space="preserve"> companii</w:t>
      </w:r>
      <w:r w:rsidR="00932F7B" w:rsidRPr="009772A3">
        <w:rPr>
          <w:rFonts w:asciiTheme="majorHAnsi" w:hAnsiTheme="majorHAnsi" w:cstheme="majorHAnsi"/>
          <w:sz w:val="24"/>
          <w:szCs w:val="24"/>
          <w:lang w:val="ro-MD"/>
        </w:rPr>
        <w:t xml:space="preserve"> este unul nesemnificativ (23,9 mil.m</w:t>
      </w:r>
      <w:r w:rsidR="00932F7B" w:rsidRPr="009772A3">
        <w:rPr>
          <w:rFonts w:asciiTheme="majorHAnsi" w:hAnsiTheme="majorHAnsi" w:cstheme="majorHAnsi"/>
          <w:sz w:val="24"/>
          <w:szCs w:val="24"/>
          <w:vertAlign w:val="superscript"/>
          <w:lang w:val="ro-MD"/>
        </w:rPr>
        <w:t>3</w:t>
      </w:r>
      <w:r w:rsidR="00932F7B" w:rsidRPr="009772A3">
        <w:rPr>
          <w:rFonts w:asciiTheme="majorHAnsi" w:hAnsiTheme="majorHAnsi" w:cstheme="majorHAnsi"/>
          <w:sz w:val="24"/>
          <w:szCs w:val="24"/>
          <w:lang w:val="ro-MD"/>
        </w:rPr>
        <w:t>), față de volumul gazelor naturale furnizate de SA Moldovagaz (1</w:t>
      </w:r>
      <w:r w:rsidR="00D873FA" w:rsidRPr="009772A3">
        <w:rPr>
          <w:rFonts w:asciiTheme="majorHAnsi" w:hAnsiTheme="majorHAnsi" w:cstheme="majorHAnsi"/>
          <w:sz w:val="24"/>
          <w:szCs w:val="24"/>
          <w:lang w:val="ro-MD"/>
        </w:rPr>
        <w:t>.</w:t>
      </w:r>
      <w:r w:rsidR="00932F7B" w:rsidRPr="009772A3">
        <w:rPr>
          <w:rFonts w:asciiTheme="majorHAnsi" w:hAnsiTheme="majorHAnsi" w:cstheme="majorHAnsi"/>
          <w:sz w:val="24"/>
          <w:szCs w:val="24"/>
          <w:lang w:val="ro-MD"/>
        </w:rPr>
        <w:t>151,2 mil.m</w:t>
      </w:r>
      <w:r w:rsidR="00932F7B" w:rsidRPr="009772A3">
        <w:rPr>
          <w:rFonts w:asciiTheme="majorHAnsi" w:hAnsiTheme="majorHAnsi" w:cstheme="majorHAnsi"/>
          <w:sz w:val="24"/>
          <w:szCs w:val="24"/>
          <w:vertAlign w:val="superscript"/>
          <w:lang w:val="ro-MD"/>
        </w:rPr>
        <w:t>3</w:t>
      </w:r>
      <w:r w:rsidR="00932F7B" w:rsidRPr="009772A3">
        <w:rPr>
          <w:rFonts w:asciiTheme="majorHAnsi" w:hAnsiTheme="majorHAnsi" w:cstheme="majorHAnsi"/>
          <w:sz w:val="24"/>
          <w:szCs w:val="24"/>
          <w:lang w:val="ro-MD"/>
        </w:rPr>
        <w:t>).</w:t>
      </w:r>
      <w:r w:rsidR="003B6BE0" w:rsidRPr="009772A3">
        <w:rPr>
          <w:rFonts w:asciiTheme="majorHAnsi" w:hAnsiTheme="majorHAnsi" w:cstheme="majorHAnsi"/>
          <w:sz w:val="24"/>
          <w:szCs w:val="24"/>
          <w:lang w:val="ro-MD"/>
        </w:rPr>
        <w:t xml:space="preserve"> </w:t>
      </w:r>
      <w:r w:rsidR="00F66762">
        <w:rPr>
          <w:rFonts w:asciiTheme="majorHAnsi" w:hAnsiTheme="majorHAnsi" w:cstheme="majorHAnsi"/>
          <w:sz w:val="24"/>
          <w:szCs w:val="24"/>
          <w:lang w:val="ro-MD"/>
        </w:rPr>
        <w:t xml:space="preserve"> </w:t>
      </w:r>
    </w:p>
    <w:p w14:paraId="0B99094E" w14:textId="36B97AE3" w:rsidR="00146A46" w:rsidRPr="009772A3" w:rsidRDefault="002C041E" w:rsidP="006C72A7">
      <w:pPr>
        <w:pStyle w:val="ListParagraph"/>
        <w:tabs>
          <w:tab w:val="left" w:pos="1134"/>
        </w:tabs>
        <w:spacing w:after="0" w:line="276" w:lineRule="auto"/>
        <w:ind w:left="0" w:firstLine="720"/>
        <w:jc w:val="right"/>
        <w:rPr>
          <w:rFonts w:asciiTheme="majorHAnsi" w:hAnsiTheme="majorHAnsi" w:cstheme="majorHAnsi"/>
          <w:sz w:val="24"/>
          <w:szCs w:val="24"/>
          <w:lang w:val="ro-MD"/>
        </w:rPr>
      </w:pPr>
      <w:r w:rsidRPr="009772A3">
        <w:rPr>
          <w:rFonts w:asciiTheme="majorHAnsi" w:hAnsiTheme="majorHAnsi" w:cstheme="majorHAnsi"/>
          <w:sz w:val="24"/>
          <w:szCs w:val="24"/>
          <w:lang w:val="ro-MD"/>
        </w:rPr>
        <w:t>Tabelul nr.</w:t>
      </w:r>
      <w:r w:rsidR="00227932">
        <w:rPr>
          <w:rFonts w:asciiTheme="majorHAnsi" w:hAnsiTheme="majorHAnsi" w:cstheme="majorHAnsi"/>
          <w:sz w:val="24"/>
          <w:szCs w:val="24"/>
          <w:lang w:val="ro-MD"/>
        </w:rPr>
        <w:t>2.</w:t>
      </w:r>
      <w:r w:rsidR="006C72A7" w:rsidRPr="009772A3">
        <w:rPr>
          <w:rFonts w:asciiTheme="majorHAnsi" w:hAnsiTheme="majorHAnsi" w:cstheme="majorHAnsi"/>
          <w:sz w:val="24"/>
          <w:szCs w:val="24"/>
          <w:lang w:val="ro-MD"/>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
        <w:gridCol w:w="2433"/>
        <w:gridCol w:w="1324"/>
        <w:gridCol w:w="1412"/>
        <w:gridCol w:w="1367"/>
        <w:gridCol w:w="1308"/>
        <w:gridCol w:w="1308"/>
        <w:gridCol w:w="203"/>
      </w:tblGrid>
      <w:tr w:rsidR="004E64D2" w:rsidRPr="005142F3" w14:paraId="50F32922" w14:textId="77777777" w:rsidTr="004E64D2">
        <w:trPr>
          <w:trHeight w:val="20"/>
        </w:trPr>
        <w:tc>
          <w:tcPr>
            <w:tcW w:w="9570" w:type="dxa"/>
            <w:gridSpan w:val="8"/>
            <w:tcBorders>
              <w:top w:val="nil"/>
              <w:left w:val="nil"/>
              <w:bottom w:val="nil"/>
              <w:right w:val="nil"/>
            </w:tcBorders>
            <w:shd w:val="clear" w:color="auto" w:fill="auto"/>
            <w:noWrap/>
            <w:vAlign w:val="bottom"/>
            <w:hideMark/>
          </w:tcPr>
          <w:p w14:paraId="7BADADD8" w14:textId="2266A0CB" w:rsidR="004E64D2" w:rsidRPr="005142F3" w:rsidRDefault="004E64D2" w:rsidP="006D60D0">
            <w:pPr>
              <w:spacing w:after="0" w:line="240" w:lineRule="auto"/>
              <w:jc w:val="center"/>
              <w:rPr>
                <w:rFonts w:asciiTheme="majorHAnsi" w:eastAsia="Times New Roman" w:hAnsiTheme="majorHAnsi" w:cstheme="majorHAnsi"/>
                <w:b/>
                <w:bCs/>
                <w:sz w:val="18"/>
                <w:szCs w:val="18"/>
                <w:lang w:val="ro-MD"/>
              </w:rPr>
            </w:pPr>
            <w:r w:rsidRPr="005142F3">
              <w:rPr>
                <w:rFonts w:asciiTheme="majorHAnsi" w:eastAsia="Times New Roman" w:hAnsiTheme="majorHAnsi" w:cstheme="majorHAnsi"/>
                <w:b/>
                <w:bCs/>
                <w:sz w:val="18"/>
                <w:szCs w:val="18"/>
                <w:lang w:val="ro-MD"/>
              </w:rPr>
              <w:t>Volum</w:t>
            </w:r>
            <w:r w:rsidR="00D873FA" w:rsidRPr="005142F3">
              <w:rPr>
                <w:rFonts w:asciiTheme="majorHAnsi" w:eastAsia="Times New Roman" w:hAnsiTheme="majorHAnsi" w:cstheme="majorHAnsi"/>
                <w:b/>
                <w:bCs/>
                <w:sz w:val="18"/>
                <w:szCs w:val="18"/>
                <w:lang w:val="ro-MD"/>
              </w:rPr>
              <w:t>ul</w:t>
            </w:r>
            <w:r w:rsidRPr="005142F3">
              <w:rPr>
                <w:rFonts w:asciiTheme="majorHAnsi" w:eastAsia="Times New Roman" w:hAnsiTheme="majorHAnsi" w:cstheme="majorHAnsi"/>
                <w:b/>
                <w:bCs/>
                <w:sz w:val="18"/>
                <w:szCs w:val="18"/>
                <w:lang w:val="ro-MD"/>
              </w:rPr>
              <w:t xml:space="preserve"> și valoarea livrărilor de gaze efectuate în perioada 2017-2021 </w:t>
            </w:r>
          </w:p>
        </w:tc>
      </w:tr>
      <w:tr w:rsidR="004E64D2" w:rsidRPr="005142F3" w14:paraId="13FCAE1D" w14:textId="77777777" w:rsidTr="004E64D2">
        <w:trPr>
          <w:gridBefore w:val="1"/>
          <w:gridAfter w:val="1"/>
          <w:wBefore w:w="215" w:type="dxa"/>
          <w:wAfter w:w="203" w:type="dxa"/>
          <w:trHeight w:val="20"/>
        </w:trPr>
        <w:tc>
          <w:tcPr>
            <w:tcW w:w="2433" w:type="dxa"/>
            <w:vMerge w:val="restart"/>
            <w:shd w:val="clear" w:color="auto" w:fill="auto"/>
            <w:noWrap/>
            <w:vAlign w:val="center"/>
            <w:hideMark/>
          </w:tcPr>
          <w:p w14:paraId="7FB5D9A1" w14:textId="4A6C9C35" w:rsidR="004E64D2" w:rsidRPr="005142F3" w:rsidRDefault="004E64D2" w:rsidP="006D60D0">
            <w:pPr>
              <w:spacing w:after="0" w:line="240" w:lineRule="auto"/>
              <w:jc w:val="center"/>
              <w:rPr>
                <w:rFonts w:asciiTheme="majorHAnsi" w:eastAsia="Times New Roman" w:hAnsiTheme="majorHAnsi" w:cstheme="majorHAnsi"/>
                <w:b/>
                <w:bCs/>
                <w:sz w:val="18"/>
                <w:szCs w:val="18"/>
                <w:lang w:val="ro-MD"/>
              </w:rPr>
            </w:pPr>
            <w:r w:rsidRPr="005142F3">
              <w:rPr>
                <w:rFonts w:asciiTheme="majorHAnsi" w:eastAsia="Times New Roman" w:hAnsiTheme="majorHAnsi" w:cstheme="majorHAnsi"/>
                <w:b/>
                <w:bCs/>
                <w:sz w:val="18"/>
                <w:szCs w:val="18"/>
                <w:lang w:val="ro-MD"/>
              </w:rPr>
              <w:t>Agenți</w:t>
            </w:r>
            <w:r w:rsidR="002C041E" w:rsidRPr="005142F3">
              <w:rPr>
                <w:rFonts w:asciiTheme="majorHAnsi" w:eastAsia="Times New Roman" w:hAnsiTheme="majorHAnsi" w:cstheme="majorHAnsi"/>
                <w:b/>
                <w:bCs/>
                <w:sz w:val="18"/>
                <w:szCs w:val="18"/>
                <w:lang w:val="ro-MD"/>
              </w:rPr>
              <w:t>i</w:t>
            </w:r>
            <w:r w:rsidRPr="005142F3">
              <w:rPr>
                <w:rFonts w:asciiTheme="majorHAnsi" w:eastAsia="Times New Roman" w:hAnsiTheme="majorHAnsi" w:cstheme="majorHAnsi"/>
                <w:b/>
                <w:bCs/>
                <w:sz w:val="18"/>
                <w:szCs w:val="18"/>
                <w:lang w:val="ro-MD"/>
              </w:rPr>
              <w:t xml:space="preserve"> economici</w:t>
            </w:r>
          </w:p>
        </w:tc>
        <w:tc>
          <w:tcPr>
            <w:tcW w:w="1324" w:type="dxa"/>
            <w:shd w:val="clear" w:color="auto" w:fill="auto"/>
            <w:vAlign w:val="center"/>
            <w:hideMark/>
          </w:tcPr>
          <w:p w14:paraId="7E6AE56D" w14:textId="77777777" w:rsidR="004E64D2" w:rsidRPr="005142F3" w:rsidRDefault="004E64D2" w:rsidP="006D60D0">
            <w:pPr>
              <w:spacing w:after="0" w:line="240" w:lineRule="auto"/>
              <w:jc w:val="center"/>
              <w:rPr>
                <w:rFonts w:asciiTheme="majorHAnsi" w:eastAsia="Times New Roman" w:hAnsiTheme="majorHAnsi" w:cstheme="majorHAnsi"/>
                <w:b/>
                <w:bCs/>
                <w:sz w:val="18"/>
                <w:szCs w:val="18"/>
                <w:lang w:val="ro-MD"/>
              </w:rPr>
            </w:pPr>
            <w:r w:rsidRPr="005142F3">
              <w:rPr>
                <w:rFonts w:asciiTheme="majorHAnsi" w:eastAsia="Times New Roman" w:hAnsiTheme="majorHAnsi" w:cstheme="majorHAnsi"/>
                <w:b/>
                <w:bCs/>
                <w:sz w:val="18"/>
                <w:szCs w:val="18"/>
                <w:lang w:val="ro-MD"/>
              </w:rPr>
              <w:t>2017</w:t>
            </w:r>
          </w:p>
        </w:tc>
        <w:tc>
          <w:tcPr>
            <w:tcW w:w="1412" w:type="dxa"/>
            <w:shd w:val="clear" w:color="auto" w:fill="auto"/>
            <w:vAlign w:val="center"/>
            <w:hideMark/>
          </w:tcPr>
          <w:p w14:paraId="65F0952F" w14:textId="77777777" w:rsidR="004E64D2" w:rsidRPr="005142F3" w:rsidRDefault="004E64D2" w:rsidP="006D60D0">
            <w:pPr>
              <w:spacing w:after="0" w:line="240" w:lineRule="auto"/>
              <w:jc w:val="center"/>
              <w:rPr>
                <w:rFonts w:asciiTheme="majorHAnsi" w:eastAsia="Times New Roman" w:hAnsiTheme="majorHAnsi" w:cstheme="majorHAnsi"/>
                <w:b/>
                <w:bCs/>
                <w:sz w:val="18"/>
                <w:szCs w:val="18"/>
                <w:lang w:val="ro-MD"/>
              </w:rPr>
            </w:pPr>
            <w:r w:rsidRPr="005142F3">
              <w:rPr>
                <w:rFonts w:asciiTheme="majorHAnsi" w:eastAsia="Times New Roman" w:hAnsiTheme="majorHAnsi" w:cstheme="majorHAnsi"/>
                <w:b/>
                <w:bCs/>
                <w:sz w:val="18"/>
                <w:szCs w:val="18"/>
                <w:lang w:val="ro-MD"/>
              </w:rPr>
              <w:t>2018</w:t>
            </w:r>
          </w:p>
        </w:tc>
        <w:tc>
          <w:tcPr>
            <w:tcW w:w="1367" w:type="dxa"/>
            <w:shd w:val="clear" w:color="auto" w:fill="auto"/>
            <w:vAlign w:val="center"/>
            <w:hideMark/>
          </w:tcPr>
          <w:p w14:paraId="59981F63" w14:textId="77777777" w:rsidR="004E64D2" w:rsidRPr="005142F3" w:rsidRDefault="004E64D2" w:rsidP="006D60D0">
            <w:pPr>
              <w:spacing w:after="0" w:line="240" w:lineRule="auto"/>
              <w:jc w:val="center"/>
              <w:rPr>
                <w:rFonts w:asciiTheme="majorHAnsi" w:eastAsia="Times New Roman" w:hAnsiTheme="majorHAnsi" w:cstheme="majorHAnsi"/>
                <w:b/>
                <w:bCs/>
                <w:sz w:val="18"/>
                <w:szCs w:val="18"/>
                <w:lang w:val="ro-MD"/>
              </w:rPr>
            </w:pPr>
            <w:r w:rsidRPr="005142F3">
              <w:rPr>
                <w:rFonts w:asciiTheme="majorHAnsi" w:eastAsia="Times New Roman" w:hAnsiTheme="majorHAnsi" w:cstheme="majorHAnsi"/>
                <w:b/>
                <w:bCs/>
                <w:sz w:val="18"/>
                <w:szCs w:val="18"/>
                <w:lang w:val="ro-MD"/>
              </w:rPr>
              <w:t>2019</w:t>
            </w:r>
          </w:p>
        </w:tc>
        <w:tc>
          <w:tcPr>
            <w:tcW w:w="1308" w:type="dxa"/>
            <w:shd w:val="clear" w:color="auto" w:fill="auto"/>
            <w:vAlign w:val="center"/>
            <w:hideMark/>
          </w:tcPr>
          <w:p w14:paraId="3BF907B6" w14:textId="77777777" w:rsidR="004E64D2" w:rsidRPr="005142F3" w:rsidRDefault="004E64D2" w:rsidP="006D60D0">
            <w:pPr>
              <w:spacing w:after="0" w:line="240" w:lineRule="auto"/>
              <w:jc w:val="center"/>
              <w:rPr>
                <w:rFonts w:asciiTheme="majorHAnsi" w:eastAsia="Times New Roman" w:hAnsiTheme="majorHAnsi" w:cstheme="majorHAnsi"/>
                <w:b/>
                <w:bCs/>
                <w:sz w:val="18"/>
                <w:szCs w:val="18"/>
                <w:lang w:val="ro-MD"/>
              </w:rPr>
            </w:pPr>
            <w:r w:rsidRPr="005142F3">
              <w:rPr>
                <w:rFonts w:asciiTheme="majorHAnsi" w:eastAsia="Times New Roman" w:hAnsiTheme="majorHAnsi" w:cstheme="majorHAnsi"/>
                <w:b/>
                <w:bCs/>
                <w:sz w:val="18"/>
                <w:szCs w:val="18"/>
                <w:lang w:val="ro-MD"/>
              </w:rPr>
              <w:t>2020</w:t>
            </w:r>
          </w:p>
        </w:tc>
        <w:tc>
          <w:tcPr>
            <w:tcW w:w="1308" w:type="dxa"/>
            <w:shd w:val="clear" w:color="auto" w:fill="auto"/>
            <w:vAlign w:val="center"/>
            <w:hideMark/>
          </w:tcPr>
          <w:p w14:paraId="5BA9966D" w14:textId="77777777" w:rsidR="004E64D2" w:rsidRPr="005142F3" w:rsidRDefault="004E64D2" w:rsidP="006D60D0">
            <w:pPr>
              <w:spacing w:after="0" w:line="240" w:lineRule="auto"/>
              <w:jc w:val="center"/>
              <w:rPr>
                <w:rFonts w:asciiTheme="majorHAnsi" w:eastAsia="Times New Roman" w:hAnsiTheme="majorHAnsi" w:cstheme="majorHAnsi"/>
                <w:b/>
                <w:bCs/>
                <w:sz w:val="18"/>
                <w:szCs w:val="18"/>
                <w:lang w:val="ro-MD"/>
              </w:rPr>
            </w:pPr>
            <w:r w:rsidRPr="005142F3">
              <w:rPr>
                <w:rFonts w:asciiTheme="majorHAnsi" w:eastAsia="Times New Roman" w:hAnsiTheme="majorHAnsi" w:cstheme="majorHAnsi"/>
                <w:b/>
                <w:bCs/>
                <w:sz w:val="18"/>
                <w:szCs w:val="18"/>
                <w:lang w:val="ro-MD"/>
              </w:rPr>
              <w:t>2021</w:t>
            </w:r>
          </w:p>
        </w:tc>
      </w:tr>
      <w:tr w:rsidR="00DE1913" w:rsidRPr="005142F3" w14:paraId="42BD0BE7" w14:textId="77777777" w:rsidTr="00C143AA">
        <w:trPr>
          <w:gridBefore w:val="1"/>
          <w:gridAfter w:val="1"/>
          <w:wBefore w:w="215" w:type="dxa"/>
          <w:wAfter w:w="203" w:type="dxa"/>
          <w:trHeight w:val="20"/>
        </w:trPr>
        <w:tc>
          <w:tcPr>
            <w:tcW w:w="2433" w:type="dxa"/>
            <w:vMerge/>
            <w:vAlign w:val="center"/>
            <w:hideMark/>
          </w:tcPr>
          <w:p w14:paraId="5FB05232" w14:textId="77777777" w:rsidR="00DE1913" w:rsidRPr="005142F3" w:rsidRDefault="00DE1913" w:rsidP="006D60D0">
            <w:pPr>
              <w:spacing w:after="0" w:line="240" w:lineRule="auto"/>
              <w:rPr>
                <w:rFonts w:asciiTheme="majorHAnsi" w:eastAsia="Times New Roman" w:hAnsiTheme="majorHAnsi" w:cstheme="majorHAnsi"/>
                <w:b/>
                <w:bCs/>
                <w:sz w:val="18"/>
                <w:szCs w:val="18"/>
                <w:lang w:val="ro-MD"/>
              </w:rPr>
            </w:pPr>
          </w:p>
        </w:tc>
        <w:tc>
          <w:tcPr>
            <w:tcW w:w="6719" w:type="dxa"/>
            <w:gridSpan w:val="5"/>
            <w:shd w:val="clear" w:color="auto" w:fill="auto"/>
            <w:vAlign w:val="center"/>
          </w:tcPr>
          <w:p w14:paraId="1B55B993" w14:textId="13E39F92" w:rsidR="00DE1913" w:rsidRPr="005142F3" w:rsidRDefault="00DE1913" w:rsidP="006D60D0">
            <w:pPr>
              <w:spacing w:after="0" w:line="240" w:lineRule="auto"/>
              <w:jc w:val="center"/>
              <w:rPr>
                <w:rFonts w:asciiTheme="majorHAnsi" w:eastAsia="Times New Roman" w:hAnsiTheme="majorHAnsi" w:cstheme="majorHAnsi"/>
                <w:b/>
                <w:sz w:val="18"/>
                <w:szCs w:val="18"/>
                <w:lang w:val="ro-MD"/>
              </w:rPr>
            </w:pPr>
            <w:r w:rsidRPr="005142F3">
              <w:rPr>
                <w:rFonts w:asciiTheme="majorHAnsi" w:eastAsia="Times New Roman" w:hAnsiTheme="majorHAnsi" w:cstheme="majorHAnsi"/>
                <w:b/>
                <w:sz w:val="18"/>
                <w:szCs w:val="18"/>
                <w:lang w:val="ro-MD"/>
              </w:rPr>
              <w:t>m</w:t>
            </w:r>
            <w:r w:rsidRPr="005142F3">
              <w:rPr>
                <w:rFonts w:asciiTheme="majorHAnsi" w:eastAsia="Times New Roman" w:hAnsiTheme="majorHAnsi" w:cstheme="majorHAnsi"/>
                <w:b/>
                <w:sz w:val="18"/>
                <w:szCs w:val="18"/>
                <w:vertAlign w:val="superscript"/>
                <w:lang w:val="ro-MD"/>
              </w:rPr>
              <w:t>3</w:t>
            </w:r>
          </w:p>
        </w:tc>
      </w:tr>
      <w:tr w:rsidR="004E64D2" w:rsidRPr="005142F3" w14:paraId="43DCEB1B" w14:textId="77777777" w:rsidTr="004E64D2">
        <w:trPr>
          <w:gridBefore w:val="1"/>
          <w:gridAfter w:val="1"/>
          <w:wBefore w:w="215" w:type="dxa"/>
          <w:wAfter w:w="203" w:type="dxa"/>
          <w:trHeight w:val="20"/>
        </w:trPr>
        <w:tc>
          <w:tcPr>
            <w:tcW w:w="2433" w:type="dxa"/>
            <w:shd w:val="clear" w:color="auto" w:fill="auto"/>
            <w:noWrap/>
            <w:vAlign w:val="center"/>
            <w:hideMark/>
          </w:tcPr>
          <w:p w14:paraId="697E6C0A" w14:textId="77777777" w:rsidR="004E64D2" w:rsidRPr="005142F3" w:rsidRDefault="004E64D2" w:rsidP="006D60D0">
            <w:pPr>
              <w:spacing w:after="0" w:line="240" w:lineRule="auto"/>
              <w:rPr>
                <w:rFonts w:asciiTheme="majorHAnsi" w:eastAsia="Times New Roman" w:hAnsiTheme="majorHAnsi" w:cstheme="majorHAnsi"/>
                <w:bCs/>
                <w:sz w:val="18"/>
                <w:szCs w:val="18"/>
                <w:lang w:val="ro-MD"/>
              </w:rPr>
            </w:pPr>
            <w:r w:rsidRPr="005142F3">
              <w:rPr>
                <w:rFonts w:asciiTheme="majorHAnsi" w:eastAsia="Times New Roman" w:hAnsiTheme="majorHAnsi" w:cstheme="majorHAnsi"/>
                <w:bCs/>
                <w:sz w:val="18"/>
                <w:szCs w:val="18"/>
                <w:lang w:val="ro-MD"/>
              </w:rPr>
              <w:t>BELVILCOM</w:t>
            </w:r>
          </w:p>
        </w:tc>
        <w:tc>
          <w:tcPr>
            <w:tcW w:w="1324" w:type="dxa"/>
            <w:shd w:val="clear" w:color="auto" w:fill="auto"/>
            <w:noWrap/>
            <w:vAlign w:val="center"/>
            <w:hideMark/>
          </w:tcPr>
          <w:p w14:paraId="3203B4A5"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48.540</w:t>
            </w:r>
          </w:p>
        </w:tc>
        <w:tc>
          <w:tcPr>
            <w:tcW w:w="1412" w:type="dxa"/>
            <w:shd w:val="clear" w:color="auto" w:fill="auto"/>
            <w:noWrap/>
            <w:vAlign w:val="center"/>
            <w:hideMark/>
          </w:tcPr>
          <w:p w14:paraId="5335DED4"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56.622</w:t>
            </w:r>
          </w:p>
        </w:tc>
        <w:tc>
          <w:tcPr>
            <w:tcW w:w="1367" w:type="dxa"/>
            <w:shd w:val="clear" w:color="auto" w:fill="auto"/>
            <w:noWrap/>
            <w:vAlign w:val="center"/>
            <w:hideMark/>
          </w:tcPr>
          <w:p w14:paraId="54B25065"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49.554</w:t>
            </w:r>
          </w:p>
        </w:tc>
        <w:tc>
          <w:tcPr>
            <w:tcW w:w="1308" w:type="dxa"/>
            <w:shd w:val="clear" w:color="auto" w:fill="auto"/>
            <w:noWrap/>
            <w:vAlign w:val="center"/>
            <w:hideMark/>
          </w:tcPr>
          <w:p w14:paraId="57C30350"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43.197</w:t>
            </w:r>
          </w:p>
        </w:tc>
        <w:tc>
          <w:tcPr>
            <w:tcW w:w="1308" w:type="dxa"/>
            <w:shd w:val="clear" w:color="auto" w:fill="auto"/>
            <w:noWrap/>
            <w:vAlign w:val="center"/>
            <w:hideMark/>
          </w:tcPr>
          <w:p w14:paraId="6F62FEFC"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53.762</w:t>
            </w:r>
          </w:p>
        </w:tc>
      </w:tr>
      <w:tr w:rsidR="004E64D2" w:rsidRPr="005142F3" w14:paraId="4B3554C9" w14:textId="77777777" w:rsidTr="004E64D2">
        <w:trPr>
          <w:gridBefore w:val="1"/>
          <w:gridAfter w:val="1"/>
          <w:wBefore w:w="215" w:type="dxa"/>
          <w:wAfter w:w="203" w:type="dxa"/>
          <w:trHeight w:val="20"/>
        </w:trPr>
        <w:tc>
          <w:tcPr>
            <w:tcW w:w="2433" w:type="dxa"/>
            <w:shd w:val="clear" w:color="auto" w:fill="auto"/>
            <w:noWrap/>
            <w:vAlign w:val="center"/>
            <w:hideMark/>
          </w:tcPr>
          <w:p w14:paraId="0D343178" w14:textId="77777777" w:rsidR="004E64D2" w:rsidRPr="005142F3" w:rsidRDefault="004E64D2" w:rsidP="006D60D0">
            <w:pPr>
              <w:spacing w:after="0" w:line="240" w:lineRule="auto"/>
              <w:rPr>
                <w:rFonts w:asciiTheme="majorHAnsi" w:eastAsia="Times New Roman" w:hAnsiTheme="majorHAnsi" w:cstheme="majorHAnsi"/>
                <w:bCs/>
                <w:sz w:val="18"/>
                <w:szCs w:val="18"/>
                <w:lang w:val="ro-MD"/>
              </w:rPr>
            </w:pPr>
            <w:r w:rsidRPr="005142F3">
              <w:rPr>
                <w:rFonts w:asciiTheme="majorHAnsi" w:eastAsia="Times New Roman" w:hAnsiTheme="majorHAnsi" w:cstheme="majorHAnsi"/>
                <w:bCs/>
                <w:sz w:val="18"/>
                <w:szCs w:val="18"/>
                <w:lang w:val="ro-MD"/>
              </w:rPr>
              <w:t>ROTALIN GAZ TRADING</w:t>
            </w:r>
          </w:p>
        </w:tc>
        <w:tc>
          <w:tcPr>
            <w:tcW w:w="1324" w:type="dxa"/>
            <w:shd w:val="clear" w:color="auto" w:fill="auto"/>
            <w:noWrap/>
            <w:vAlign w:val="center"/>
            <w:hideMark/>
          </w:tcPr>
          <w:p w14:paraId="265A8716"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0</w:t>
            </w:r>
          </w:p>
        </w:tc>
        <w:tc>
          <w:tcPr>
            <w:tcW w:w="1412" w:type="dxa"/>
            <w:shd w:val="clear" w:color="auto" w:fill="auto"/>
            <w:noWrap/>
            <w:vAlign w:val="center"/>
            <w:hideMark/>
          </w:tcPr>
          <w:p w14:paraId="79FD1D32"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15.387.708</w:t>
            </w:r>
          </w:p>
        </w:tc>
        <w:tc>
          <w:tcPr>
            <w:tcW w:w="1367" w:type="dxa"/>
            <w:shd w:val="clear" w:color="auto" w:fill="auto"/>
            <w:noWrap/>
            <w:vAlign w:val="center"/>
            <w:hideMark/>
          </w:tcPr>
          <w:p w14:paraId="7E560EEE"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14.497.137</w:t>
            </w:r>
          </w:p>
        </w:tc>
        <w:tc>
          <w:tcPr>
            <w:tcW w:w="1308" w:type="dxa"/>
            <w:shd w:val="clear" w:color="auto" w:fill="auto"/>
            <w:noWrap/>
            <w:vAlign w:val="center"/>
            <w:hideMark/>
          </w:tcPr>
          <w:p w14:paraId="4687C5C2"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15.606.959</w:t>
            </w:r>
          </w:p>
        </w:tc>
        <w:tc>
          <w:tcPr>
            <w:tcW w:w="1308" w:type="dxa"/>
            <w:shd w:val="clear" w:color="auto" w:fill="auto"/>
            <w:noWrap/>
            <w:vAlign w:val="center"/>
            <w:hideMark/>
          </w:tcPr>
          <w:p w14:paraId="61BA82B5"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20.565.078</w:t>
            </w:r>
          </w:p>
        </w:tc>
      </w:tr>
      <w:tr w:rsidR="004E64D2" w:rsidRPr="005142F3" w14:paraId="7BA5DE03" w14:textId="77777777" w:rsidTr="004E64D2">
        <w:trPr>
          <w:gridBefore w:val="1"/>
          <w:gridAfter w:val="1"/>
          <w:wBefore w:w="215" w:type="dxa"/>
          <w:wAfter w:w="203" w:type="dxa"/>
          <w:trHeight w:val="20"/>
        </w:trPr>
        <w:tc>
          <w:tcPr>
            <w:tcW w:w="2433" w:type="dxa"/>
            <w:shd w:val="clear" w:color="auto" w:fill="auto"/>
            <w:noWrap/>
            <w:vAlign w:val="center"/>
            <w:hideMark/>
          </w:tcPr>
          <w:p w14:paraId="58028699" w14:textId="77777777" w:rsidR="004E64D2" w:rsidRPr="005142F3" w:rsidRDefault="004E64D2" w:rsidP="006D60D0">
            <w:pPr>
              <w:spacing w:after="0" w:line="240" w:lineRule="auto"/>
              <w:rPr>
                <w:rFonts w:asciiTheme="majorHAnsi" w:eastAsia="Times New Roman" w:hAnsiTheme="majorHAnsi" w:cstheme="majorHAnsi"/>
                <w:bCs/>
                <w:sz w:val="18"/>
                <w:szCs w:val="18"/>
                <w:lang w:val="ro-MD"/>
              </w:rPr>
            </w:pPr>
            <w:r w:rsidRPr="005142F3">
              <w:rPr>
                <w:rFonts w:asciiTheme="majorHAnsi" w:eastAsia="Times New Roman" w:hAnsiTheme="majorHAnsi" w:cstheme="majorHAnsi"/>
                <w:bCs/>
                <w:sz w:val="18"/>
                <w:szCs w:val="18"/>
                <w:lang w:val="ro-MD"/>
              </w:rPr>
              <w:t>NORD GAZ SÎNGEREI</w:t>
            </w:r>
          </w:p>
        </w:tc>
        <w:tc>
          <w:tcPr>
            <w:tcW w:w="1324" w:type="dxa"/>
            <w:shd w:val="clear" w:color="auto" w:fill="auto"/>
            <w:noWrap/>
            <w:vAlign w:val="center"/>
            <w:hideMark/>
          </w:tcPr>
          <w:p w14:paraId="73F284C7"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2.072.860</w:t>
            </w:r>
          </w:p>
        </w:tc>
        <w:tc>
          <w:tcPr>
            <w:tcW w:w="1412" w:type="dxa"/>
            <w:shd w:val="clear" w:color="auto" w:fill="auto"/>
            <w:noWrap/>
            <w:vAlign w:val="center"/>
            <w:hideMark/>
          </w:tcPr>
          <w:p w14:paraId="39DCC765"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2.457.009</w:t>
            </w:r>
          </w:p>
        </w:tc>
        <w:tc>
          <w:tcPr>
            <w:tcW w:w="1367" w:type="dxa"/>
            <w:shd w:val="clear" w:color="auto" w:fill="auto"/>
            <w:noWrap/>
            <w:vAlign w:val="center"/>
            <w:hideMark/>
          </w:tcPr>
          <w:p w14:paraId="65DA4654"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2.495.952</w:t>
            </w:r>
          </w:p>
        </w:tc>
        <w:tc>
          <w:tcPr>
            <w:tcW w:w="1308" w:type="dxa"/>
            <w:shd w:val="clear" w:color="auto" w:fill="auto"/>
            <w:noWrap/>
            <w:vAlign w:val="center"/>
            <w:hideMark/>
          </w:tcPr>
          <w:p w14:paraId="01C90027"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1.952.626</w:t>
            </w:r>
          </w:p>
        </w:tc>
        <w:tc>
          <w:tcPr>
            <w:tcW w:w="1308" w:type="dxa"/>
            <w:shd w:val="clear" w:color="auto" w:fill="auto"/>
            <w:noWrap/>
            <w:vAlign w:val="center"/>
            <w:hideMark/>
          </w:tcPr>
          <w:p w14:paraId="17178068"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1.250.152</w:t>
            </w:r>
          </w:p>
        </w:tc>
      </w:tr>
      <w:tr w:rsidR="004E64D2" w:rsidRPr="005142F3" w14:paraId="3D4A1ED3" w14:textId="77777777" w:rsidTr="004E64D2">
        <w:trPr>
          <w:gridBefore w:val="1"/>
          <w:gridAfter w:val="1"/>
          <w:wBefore w:w="215" w:type="dxa"/>
          <w:wAfter w:w="203" w:type="dxa"/>
          <w:trHeight w:val="20"/>
        </w:trPr>
        <w:tc>
          <w:tcPr>
            <w:tcW w:w="2433" w:type="dxa"/>
            <w:shd w:val="clear" w:color="auto" w:fill="auto"/>
            <w:noWrap/>
            <w:vAlign w:val="center"/>
            <w:hideMark/>
          </w:tcPr>
          <w:p w14:paraId="25430DD5" w14:textId="77777777" w:rsidR="004E64D2" w:rsidRPr="005142F3" w:rsidRDefault="004E64D2" w:rsidP="006D60D0">
            <w:pPr>
              <w:spacing w:after="0" w:line="240" w:lineRule="auto"/>
              <w:rPr>
                <w:rFonts w:asciiTheme="majorHAnsi" w:eastAsia="Times New Roman" w:hAnsiTheme="majorHAnsi" w:cstheme="majorHAnsi"/>
                <w:bCs/>
                <w:sz w:val="18"/>
                <w:szCs w:val="18"/>
                <w:lang w:val="ro-MD"/>
              </w:rPr>
            </w:pPr>
            <w:r w:rsidRPr="005142F3">
              <w:rPr>
                <w:rFonts w:asciiTheme="majorHAnsi" w:eastAsia="Times New Roman" w:hAnsiTheme="majorHAnsi" w:cstheme="majorHAnsi"/>
                <w:bCs/>
                <w:sz w:val="18"/>
                <w:szCs w:val="18"/>
                <w:lang w:val="ro-MD"/>
              </w:rPr>
              <w:t>DARNIC-GAZ</w:t>
            </w:r>
          </w:p>
        </w:tc>
        <w:tc>
          <w:tcPr>
            <w:tcW w:w="1324" w:type="dxa"/>
            <w:shd w:val="clear" w:color="auto" w:fill="auto"/>
            <w:noWrap/>
            <w:vAlign w:val="center"/>
            <w:hideMark/>
          </w:tcPr>
          <w:p w14:paraId="187657DB"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181.913</w:t>
            </w:r>
          </w:p>
        </w:tc>
        <w:tc>
          <w:tcPr>
            <w:tcW w:w="1412" w:type="dxa"/>
            <w:shd w:val="clear" w:color="auto" w:fill="auto"/>
            <w:noWrap/>
            <w:vAlign w:val="center"/>
            <w:hideMark/>
          </w:tcPr>
          <w:p w14:paraId="0F153E3C"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218.719</w:t>
            </w:r>
          </w:p>
        </w:tc>
        <w:tc>
          <w:tcPr>
            <w:tcW w:w="1367" w:type="dxa"/>
            <w:shd w:val="clear" w:color="auto" w:fill="auto"/>
            <w:noWrap/>
            <w:vAlign w:val="center"/>
            <w:hideMark/>
          </w:tcPr>
          <w:p w14:paraId="3D0136D3"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239.524</w:t>
            </w:r>
          </w:p>
        </w:tc>
        <w:tc>
          <w:tcPr>
            <w:tcW w:w="1308" w:type="dxa"/>
            <w:shd w:val="clear" w:color="auto" w:fill="auto"/>
            <w:noWrap/>
            <w:vAlign w:val="center"/>
            <w:hideMark/>
          </w:tcPr>
          <w:p w14:paraId="72A10AE0"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280.437</w:t>
            </w:r>
          </w:p>
        </w:tc>
        <w:tc>
          <w:tcPr>
            <w:tcW w:w="1308" w:type="dxa"/>
            <w:shd w:val="clear" w:color="auto" w:fill="auto"/>
            <w:noWrap/>
            <w:vAlign w:val="center"/>
            <w:hideMark/>
          </w:tcPr>
          <w:p w14:paraId="272B257E"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364.039</w:t>
            </w:r>
          </w:p>
        </w:tc>
      </w:tr>
      <w:tr w:rsidR="004E64D2" w:rsidRPr="005142F3" w14:paraId="4505FF6F" w14:textId="77777777" w:rsidTr="004E64D2">
        <w:trPr>
          <w:gridBefore w:val="1"/>
          <w:gridAfter w:val="1"/>
          <w:wBefore w:w="215" w:type="dxa"/>
          <w:wAfter w:w="203" w:type="dxa"/>
          <w:trHeight w:val="20"/>
        </w:trPr>
        <w:tc>
          <w:tcPr>
            <w:tcW w:w="2433" w:type="dxa"/>
            <w:shd w:val="clear" w:color="auto" w:fill="auto"/>
            <w:noWrap/>
            <w:vAlign w:val="center"/>
            <w:hideMark/>
          </w:tcPr>
          <w:p w14:paraId="5F8D6C80" w14:textId="77777777" w:rsidR="004E64D2" w:rsidRPr="005142F3" w:rsidRDefault="004E64D2" w:rsidP="006D60D0">
            <w:pPr>
              <w:spacing w:after="0" w:line="240" w:lineRule="auto"/>
              <w:rPr>
                <w:rFonts w:asciiTheme="majorHAnsi" w:eastAsia="Times New Roman" w:hAnsiTheme="majorHAnsi" w:cstheme="majorHAnsi"/>
                <w:bCs/>
                <w:sz w:val="18"/>
                <w:szCs w:val="18"/>
                <w:lang w:val="ro-MD"/>
              </w:rPr>
            </w:pPr>
            <w:r w:rsidRPr="005142F3">
              <w:rPr>
                <w:rFonts w:asciiTheme="majorHAnsi" w:eastAsia="Times New Roman" w:hAnsiTheme="majorHAnsi" w:cstheme="majorHAnsi"/>
                <w:bCs/>
                <w:sz w:val="18"/>
                <w:szCs w:val="18"/>
                <w:lang w:val="ro-MD"/>
              </w:rPr>
              <w:t>PIELART SERVICE</w:t>
            </w:r>
          </w:p>
        </w:tc>
        <w:tc>
          <w:tcPr>
            <w:tcW w:w="1324" w:type="dxa"/>
            <w:shd w:val="clear" w:color="auto" w:fill="auto"/>
            <w:noWrap/>
            <w:vAlign w:val="center"/>
            <w:hideMark/>
          </w:tcPr>
          <w:p w14:paraId="4F886143"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706.288</w:t>
            </w:r>
          </w:p>
        </w:tc>
        <w:tc>
          <w:tcPr>
            <w:tcW w:w="1412" w:type="dxa"/>
            <w:shd w:val="clear" w:color="auto" w:fill="auto"/>
            <w:noWrap/>
            <w:vAlign w:val="center"/>
            <w:hideMark/>
          </w:tcPr>
          <w:p w14:paraId="3E081D5C"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763.488</w:t>
            </w:r>
          </w:p>
        </w:tc>
        <w:tc>
          <w:tcPr>
            <w:tcW w:w="1367" w:type="dxa"/>
            <w:shd w:val="clear" w:color="auto" w:fill="auto"/>
            <w:noWrap/>
            <w:vAlign w:val="center"/>
            <w:hideMark/>
          </w:tcPr>
          <w:p w14:paraId="585B19FA"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713.371</w:t>
            </w:r>
          </w:p>
        </w:tc>
        <w:tc>
          <w:tcPr>
            <w:tcW w:w="1308" w:type="dxa"/>
            <w:shd w:val="clear" w:color="auto" w:fill="auto"/>
            <w:noWrap/>
            <w:vAlign w:val="center"/>
            <w:hideMark/>
          </w:tcPr>
          <w:p w14:paraId="3A007791"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690.541</w:t>
            </w:r>
          </w:p>
        </w:tc>
        <w:tc>
          <w:tcPr>
            <w:tcW w:w="1308" w:type="dxa"/>
            <w:shd w:val="clear" w:color="auto" w:fill="auto"/>
            <w:noWrap/>
            <w:vAlign w:val="center"/>
            <w:hideMark/>
          </w:tcPr>
          <w:p w14:paraId="3EF7D728"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362.814</w:t>
            </w:r>
          </w:p>
        </w:tc>
      </w:tr>
      <w:tr w:rsidR="004E64D2" w:rsidRPr="005142F3" w14:paraId="74E335D1" w14:textId="77777777" w:rsidTr="004E64D2">
        <w:trPr>
          <w:gridBefore w:val="1"/>
          <w:gridAfter w:val="1"/>
          <w:wBefore w:w="215" w:type="dxa"/>
          <w:wAfter w:w="203" w:type="dxa"/>
          <w:trHeight w:val="20"/>
        </w:trPr>
        <w:tc>
          <w:tcPr>
            <w:tcW w:w="2433" w:type="dxa"/>
            <w:shd w:val="clear" w:color="auto" w:fill="auto"/>
            <w:noWrap/>
            <w:vAlign w:val="center"/>
            <w:hideMark/>
          </w:tcPr>
          <w:p w14:paraId="1225205D" w14:textId="77777777" w:rsidR="004E64D2" w:rsidRPr="005142F3" w:rsidRDefault="004E64D2" w:rsidP="006D60D0">
            <w:pPr>
              <w:spacing w:after="0" w:line="240" w:lineRule="auto"/>
              <w:rPr>
                <w:rFonts w:asciiTheme="majorHAnsi" w:eastAsia="Times New Roman" w:hAnsiTheme="majorHAnsi" w:cstheme="majorHAnsi"/>
                <w:bCs/>
                <w:sz w:val="18"/>
                <w:szCs w:val="18"/>
                <w:lang w:val="ro-MD"/>
              </w:rPr>
            </w:pPr>
            <w:r w:rsidRPr="005142F3">
              <w:rPr>
                <w:rFonts w:asciiTheme="majorHAnsi" w:eastAsia="Times New Roman" w:hAnsiTheme="majorHAnsi" w:cstheme="majorHAnsi"/>
                <w:bCs/>
                <w:sz w:val="18"/>
                <w:szCs w:val="18"/>
                <w:lang w:val="ro-MD"/>
              </w:rPr>
              <w:t>LĂCĂTUȘ</w:t>
            </w:r>
          </w:p>
        </w:tc>
        <w:tc>
          <w:tcPr>
            <w:tcW w:w="1324" w:type="dxa"/>
            <w:shd w:val="clear" w:color="auto" w:fill="auto"/>
            <w:noWrap/>
            <w:vAlign w:val="center"/>
            <w:hideMark/>
          </w:tcPr>
          <w:p w14:paraId="35575DDD"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150.298</w:t>
            </w:r>
          </w:p>
        </w:tc>
        <w:tc>
          <w:tcPr>
            <w:tcW w:w="1412" w:type="dxa"/>
            <w:shd w:val="clear" w:color="auto" w:fill="auto"/>
            <w:noWrap/>
            <w:vAlign w:val="center"/>
            <w:hideMark/>
          </w:tcPr>
          <w:p w14:paraId="73B8A519"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218.245</w:t>
            </w:r>
          </w:p>
        </w:tc>
        <w:tc>
          <w:tcPr>
            <w:tcW w:w="1367" w:type="dxa"/>
            <w:shd w:val="clear" w:color="auto" w:fill="auto"/>
            <w:noWrap/>
            <w:vAlign w:val="center"/>
            <w:hideMark/>
          </w:tcPr>
          <w:p w14:paraId="0DA2AAAB"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257.917</w:t>
            </w:r>
          </w:p>
        </w:tc>
        <w:tc>
          <w:tcPr>
            <w:tcW w:w="1308" w:type="dxa"/>
            <w:shd w:val="clear" w:color="auto" w:fill="auto"/>
            <w:noWrap/>
            <w:vAlign w:val="center"/>
            <w:hideMark/>
          </w:tcPr>
          <w:p w14:paraId="347A1BE4"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317.240</w:t>
            </w:r>
          </w:p>
        </w:tc>
        <w:tc>
          <w:tcPr>
            <w:tcW w:w="1308" w:type="dxa"/>
            <w:shd w:val="clear" w:color="auto" w:fill="auto"/>
            <w:noWrap/>
            <w:vAlign w:val="center"/>
            <w:hideMark/>
          </w:tcPr>
          <w:p w14:paraId="4B8CD564"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430.795</w:t>
            </w:r>
          </w:p>
        </w:tc>
      </w:tr>
      <w:tr w:rsidR="004E64D2" w:rsidRPr="005142F3" w14:paraId="3FFFD051" w14:textId="77777777" w:rsidTr="004E64D2">
        <w:trPr>
          <w:gridBefore w:val="1"/>
          <w:gridAfter w:val="1"/>
          <w:wBefore w:w="215" w:type="dxa"/>
          <w:wAfter w:w="203" w:type="dxa"/>
          <w:trHeight w:val="20"/>
        </w:trPr>
        <w:tc>
          <w:tcPr>
            <w:tcW w:w="2433" w:type="dxa"/>
            <w:shd w:val="clear" w:color="auto" w:fill="auto"/>
            <w:noWrap/>
            <w:vAlign w:val="center"/>
            <w:hideMark/>
          </w:tcPr>
          <w:p w14:paraId="4B94809F" w14:textId="77777777" w:rsidR="004E64D2" w:rsidRPr="005142F3" w:rsidRDefault="004E64D2" w:rsidP="006D60D0">
            <w:pPr>
              <w:spacing w:after="0" w:line="240" w:lineRule="auto"/>
              <w:rPr>
                <w:rFonts w:asciiTheme="majorHAnsi" w:eastAsia="Times New Roman" w:hAnsiTheme="majorHAnsi" w:cstheme="majorHAnsi"/>
                <w:bCs/>
                <w:sz w:val="18"/>
                <w:szCs w:val="18"/>
                <w:lang w:val="ro-MD"/>
              </w:rPr>
            </w:pPr>
            <w:r w:rsidRPr="005142F3">
              <w:rPr>
                <w:rFonts w:asciiTheme="majorHAnsi" w:eastAsia="Times New Roman" w:hAnsiTheme="majorHAnsi" w:cstheme="majorHAnsi"/>
                <w:bCs/>
                <w:sz w:val="18"/>
                <w:szCs w:val="18"/>
                <w:lang w:val="ro-MD"/>
              </w:rPr>
              <w:t>SĂLCIOARA-VASCAN</w:t>
            </w:r>
          </w:p>
        </w:tc>
        <w:tc>
          <w:tcPr>
            <w:tcW w:w="1324" w:type="dxa"/>
            <w:shd w:val="clear" w:color="auto" w:fill="auto"/>
            <w:noWrap/>
            <w:vAlign w:val="center"/>
            <w:hideMark/>
          </w:tcPr>
          <w:p w14:paraId="1B172A9B"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1.047.852</w:t>
            </w:r>
          </w:p>
        </w:tc>
        <w:tc>
          <w:tcPr>
            <w:tcW w:w="1412" w:type="dxa"/>
            <w:shd w:val="clear" w:color="auto" w:fill="auto"/>
            <w:noWrap/>
            <w:vAlign w:val="center"/>
            <w:hideMark/>
          </w:tcPr>
          <w:p w14:paraId="62CA43CA"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1.003.962</w:t>
            </w:r>
          </w:p>
        </w:tc>
        <w:tc>
          <w:tcPr>
            <w:tcW w:w="1367" w:type="dxa"/>
            <w:shd w:val="clear" w:color="auto" w:fill="auto"/>
            <w:noWrap/>
            <w:vAlign w:val="center"/>
            <w:hideMark/>
          </w:tcPr>
          <w:p w14:paraId="0497812A"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929.674</w:t>
            </w:r>
          </w:p>
        </w:tc>
        <w:tc>
          <w:tcPr>
            <w:tcW w:w="1308" w:type="dxa"/>
            <w:shd w:val="clear" w:color="auto" w:fill="auto"/>
            <w:noWrap/>
            <w:vAlign w:val="center"/>
            <w:hideMark/>
          </w:tcPr>
          <w:p w14:paraId="4342E77F"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866.914</w:t>
            </w:r>
          </w:p>
        </w:tc>
        <w:tc>
          <w:tcPr>
            <w:tcW w:w="1308" w:type="dxa"/>
            <w:shd w:val="clear" w:color="auto" w:fill="auto"/>
            <w:noWrap/>
            <w:vAlign w:val="center"/>
            <w:hideMark/>
          </w:tcPr>
          <w:p w14:paraId="78B7D8A9" w14:textId="77777777" w:rsidR="004E64D2" w:rsidRPr="005142F3" w:rsidRDefault="004E64D2" w:rsidP="006D60D0">
            <w:pPr>
              <w:spacing w:after="0" w:line="240" w:lineRule="auto"/>
              <w:jc w:val="right"/>
              <w:rPr>
                <w:rFonts w:asciiTheme="majorHAnsi" w:eastAsia="Times New Roman" w:hAnsiTheme="majorHAnsi" w:cstheme="majorHAnsi"/>
                <w:sz w:val="18"/>
                <w:szCs w:val="18"/>
                <w:lang w:val="ro-MD"/>
              </w:rPr>
            </w:pPr>
            <w:r w:rsidRPr="005142F3">
              <w:rPr>
                <w:rFonts w:asciiTheme="majorHAnsi" w:eastAsia="Times New Roman" w:hAnsiTheme="majorHAnsi" w:cstheme="majorHAnsi"/>
                <w:sz w:val="18"/>
                <w:szCs w:val="18"/>
                <w:lang w:val="ro-MD"/>
              </w:rPr>
              <w:t>890.346</w:t>
            </w:r>
          </w:p>
        </w:tc>
      </w:tr>
      <w:tr w:rsidR="004E64D2" w:rsidRPr="005142F3" w14:paraId="499176A0" w14:textId="77777777" w:rsidTr="004E64D2">
        <w:trPr>
          <w:gridBefore w:val="1"/>
          <w:gridAfter w:val="1"/>
          <w:wBefore w:w="215" w:type="dxa"/>
          <w:wAfter w:w="203" w:type="dxa"/>
          <w:trHeight w:val="20"/>
        </w:trPr>
        <w:tc>
          <w:tcPr>
            <w:tcW w:w="2433" w:type="dxa"/>
            <w:shd w:val="clear" w:color="auto" w:fill="auto"/>
            <w:noWrap/>
            <w:vAlign w:val="bottom"/>
            <w:hideMark/>
          </w:tcPr>
          <w:p w14:paraId="53E79641" w14:textId="77777777" w:rsidR="004E64D2" w:rsidRPr="005142F3" w:rsidRDefault="004E64D2" w:rsidP="006D60D0">
            <w:pPr>
              <w:spacing w:after="0" w:line="240" w:lineRule="auto"/>
              <w:jc w:val="center"/>
              <w:rPr>
                <w:rFonts w:asciiTheme="majorHAnsi" w:eastAsia="Times New Roman" w:hAnsiTheme="majorHAnsi" w:cstheme="majorHAnsi"/>
                <w:b/>
                <w:sz w:val="18"/>
                <w:szCs w:val="18"/>
                <w:lang w:val="ro-MD"/>
              </w:rPr>
            </w:pPr>
            <w:r w:rsidRPr="005142F3">
              <w:rPr>
                <w:rFonts w:asciiTheme="majorHAnsi" w:eastAsia="Times New Roman" w:hAnsiTheme="majorHAnsi" w:cstheme="majorHAnsi"/>
                <w:b/>
                <w:sz w:val="18"/>
                <w:szCs w:val="18"/>
                <w:lang w:val="ro-MD"/>
              </w:rPr>
              <w:t>Total</w:t>
            </w:r>
          </w:p>
        </w:tc>
        <w:tc>
          <w:tcPr>
            <w:tcW w:w="1324" w:type="dxa"/>
            <w:shd w:val="clear" w:color="auto" w:fill="auto"/>
            <w:noWrap/>
            <w:vAlign w:val="bottom"/>
            <w:hideMark/>
          </w:tcPr>
          <w:p w14:paraId="767C2BDA" w14:textId="77777777" w:rsidR="004E64D2" w:rsidRPr="005142F3" w:rsidRDefault="004E64D2" w:rsidP="006D60D0">
            <w:pPr>
              <w:spacing w:after="0" w:line="240" w:lineRule="auto"/>
              <w:jc w:val="right"/>
              <w:rPr>
                <w:rFonts w:asciiTheme="majorHAnsi" w:eastAsia="Times New Roman" w:hAnsiTheme="majorHAnsi" w:cstheme="majorHAnsi"/>
                <w:b/>
                <w:sz w:val="18"/>
                <w:szCs w:val="18"/>
                <w:lang w:val="ro-MD"/>
              </w:rPr>
            </w:pPr>
            <w:r w:rsidRPr="005142F3">
              <w:rPr>
                <w:rFonts w:asciiTheme="majorHAnsi" w:eastAsia="Times New Roman" w:hAnsiTheme="majorHAnsi" w:cstheme="majorHAnsi"/>
                <w:b/>
                <w:sz w:val="18"/>
                <w:szCs w:val="18"/>
                <w:lang w:val="ro-MD"/>
              </w:rPr>
              <w:t>4.207.751</w:t>
            </w:r>
          </w:p>
        </w:tc>
        <w:tc>
          <w:tcPr>
            <w:tcW w:w="1412" w:type="dxa"/>
            <w:shd w:val="clear" w:color="auto" w:fill="auto"/>
            <w:noWrap/>
            <w:vAlign w:val="bottom"/>
            <w:hideMark/>
          </w:tcPr>
          <w:p w14:paraId="14AB4E26" w14:textId="77777777" w:rsidR="004E64D2" w:rsidRPr="005142F3" w:rsidRDefault="004E64D2" w:rsidP="006D60D0">
            <w:pPr>
              <w:spacing w:after="0" w:line="240" w:lineRule="auto"/>
              <w:jc w:val="right"/>
              <w:rPr>
                <w:rFonts w:asciiTheme="majorHAnsi" w:eastAsia="Times New Roman" w:hAnsiTheme="majorHAnsi" w:cstheme="majorHAnsi"/>
                <w:b/>
                <w:sz w:val="18"/>
                <w:szCs w:val="18"/>
                <w:lang w:val="ro-MD"/>
              </w:rPr>
            </w:pPr>
            <w:r w:rsidRPr="005142F3">
              <w:rPr>
                <w:rFonts w:asciiTheme="majorHAnsi" w:eastAsia="Times New Roman" w:hAnsiTheme="majorHAnsi" w:cstheme="majorHAnsi"/>
                <w:b/>
                <w:sz w:val="18"/>
                <w:szCs w:val="18"/>
                <w:lang w:val="ro-MD"/>
              </w:rPr>
              <w:t>20.105.753</w:t>
            </w:r>
          </w:p>
        </w:tc>
        <w:tc>
          <w:tcPr>
            <w:tcW w:w="1367" w:type="dxa"/>
            <w:shd w:val="clear" w:color="auto" w:fill="auto"/>
            <w:noWrap/>
            <w:vAlign w:val="bottom"/>
            <w:hideMark/>
          </w:tcPr>
          <w:p w14:paraId="0AE1B657" w14:textId="77777777" w:rsidR="004E64D2" w:rsidRPr="005142F3" w:rsidRDefault="004E64D2" w:rsidP="006D60D0">
            <w:pPr>
              <w:spacing w:after="0" w:line="240" w:lineRule="auto"/>
              <w:jc w:val="right"/>
              <w:rPr>
                <w:rFonts w:asciiTheme="majorHAnsi" w:eastAsia="Times New Roman" w:hAnsiTheme="majorHAnsi" w:cstheme="majorHAnsi"/>
                <w:b/>
                <w:sz w:val="18"/>
                <w:szCs w:val="18"/>
                <w:lang w:val="ro-MD"/>
              </w:rPr>
            </w:pPr>
            <w:r w:rsidRPr="005142F3">
              <w:rPr>
                <w:rFonts w:asciiTheme="majorHAnsi" w:eastAsia="Times New Roman" w:hAnsiTheme="majorHAnsi" w:cstheme="majorHAnsi"/>
                <w:b/>
                <w:sz w:val="18"/>
                <w:szCs w:val="18"/>
                <w:lang w:val="ro-MD"/>
              </w:rPr>
              <w:t>19.183.129</w:t>
            </w:r>
          </w:p>
        </w:tc>
        <w:tc>
          <w:tcPr>
            <w:tcW w:w="1308" w:type="dxa"/>
            <w:shd w:val="clear" w:color="auto" w:fill="auto"/>
            <w:noWrap/>
            <w:vAlign w:val="bottom"/>
            <w:hideMark/>
          </w:tcPr>
          <w:p w14:paraId="101CD35E" w14:textId="77777777" w:rsidR="004E64D2" w:rsidRPr="005142F3" w:rsidRDefault="004E64D2" w:rsidP="006D60D0">
            <w:pPr>
              <w:spacing w:after="0" w:line="240" w:lineRule="auto"/>
              <w:jc w:val="right"/>
              <w:rPr>
                <w:rFonts w:asciiTheme="majorHAnsi" w:eastAsia="Times New Roman" w:hAnsiTheme="majorHAnsi" w:cstheme="majorHAnsi"/>
                <w:b/>
                <w:sz w:val="18"/>
                <w:szCs w:val="18"/>
                <w:lang w:val="ro-MD"/>
              </w:rPr>
            </w:pPr>
            <w:r w:rsidRPr="005142F3">
              <w:rPr>
                <w:rFonts w:asciiTheme="majorHAnsi" w:eastAsia="Times New Roman" w:hAnsiTheme="majorHAnsi" w:cstheme="majorHAnsi"/>
                <w:b/>
                <w:sz w:val="18"/>
                <w:szCs w:val="18"/>
                <w:lang w:val="ro-MD"/>
              </w:rPr>
              <w:t>19.757.914</w:t>
            </w:r>
          </w:p>
        </w:tc>
        <w:tc>
          <w:tcPr>
            <w:tcW w:w="1308" w:type="dxa"/>
            <w:shd w:val="clear" w:color="auto" w:fill="auto"/>
            <w:noWrap/>
            <w:vAlign w:val="bottom"/>
            <w:hideMark/>
          </w:tcPr>
          <w:p w14:paraId="3CE5739F" w14:textId="77777777" w:rsidR="004E64D2" w:rsidRPr="005142F3" w:rsidRDefault="004E64D2" w:rsidP="006D60D0">
            <w:pPr>
              <w:spacing w:after="0" w:line="240" w:lineRule="auto"/>
              <w:jc w:val="right"/>
              <w:rPr>
                <w:rFonts w:asciiTheme="majorHAnsi" w:eastAsia="Times New Roman" w:hAnsiTheme="majorHAnsi" w:cstheme="majorHAnsi"/>
                <w:b/>
                <w:sz w:val="18"/>
                <w:szCs w:val="18"/>
                <w:lang w:val="ro-MD"/>
              </w:rPr>
            </w:pPr>
            <w:r w:rsidRPr="005142F3">
              <w:rPr>
                <w:rFonts w:asciiTheme="majorHAnsi" w:eastAsia="Times New Roman" w:hAnsiTheme="majorHAnsi" w:cstheme="majorHAnsi"/>
                <w:b/>
                <w:sz w:val="18"/>
                <w:szCs w:val="18"/>
                <w:lang w:val="ro-MD"/>
              </w:rPr>
              <w:t>23.916.986</w:t>
            </w:r>
          </w:p>
        </w:tc>
      </w:tr>
    </w:tbl>
    <w:p w14:paraId="393D2953" w14:textId="3FABCE04" w:rsidR="00A502A1" w:rsidRPr="00CF3AD4" w:rsidRDefault="00F66762" w:rsidP="00B470FD">
      <w:pPr>
        <w:spacing w:after="0" w:line="276" w:lineRule="auto"/>
        <w:ind w:firstLine="720"/>
        <w:jc w:val="both"/>
        <w:rPr>
          <w:rFonts w:asciiTheme="majorHAnsi" w:hAnsiTheme="majorHAnsi" w:cstheme="majorHAnsi"/>
          <w:sz w:val="16"/>
          <w:szCs w:val="16"/>
          <w:lang w:val="ro-MD"/>
        </w:rPr>
      </w:pPr>
      <w:r w:rsidRPr="00CF3AD4">
        <w:rPr>
          <w:rFonts w:asciiTheme="majorHAnsi" w:hAnsiTheme="majorHAnsi" w:cstheme="majorHAnsi"/>
          <w:sz w:val="16"/>
          <w:szCs w:val="16"/>
          <w:lang w:val="ro-MD"/>
        </w:rPr>
        <w:t>Sursa: Informațiile prezentate de SA Moldovagaz.</w:t>
      </w:r>
    </w:p>
    <w:p w14:paraId="69CCFE80" w14:textId="723F2D2B" w:rsidR="00932F7B" w:rsidRPr="009772A3" w:rsidRDefault="00932F7B" w:rsidP="00932F7B">
      <w:pPr>
        <w:spacing w:after="0"/>
        <w:ind w:firstLine="709"/>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Informații grafice privind volumele de gaze naturale furnizate de SA Moldovagaz în perioada 2017</w:t>
      </w:r>
      <w:r w:rsidR="00D873FA" w:rsidRPr="009772A3">
        <w:rPr>
          <w:rFonts w:asciiTheme="majorHAnsi" w:eastAsia="Times New Roman" w:hAnsiTheme="majorHAnsi" w:cstheme="majorHAnsi"/>
          <w:sz w:val="24"/>
          <w:szCs w:val="24"/>
          <w:lang w:val="ro-MD"/>
        </w:rPr>
        <w:t>-</w:t>
      </w:r>
      <w:r w:rsidRPr="009772A3">
        <w:rPr>
          <w:rFonts w:asciiTheme="majorHAnsi" w:eastAsia="Times New Roman" w:hAnsiTheme="majorHAnsi" w:cstheme="majorHAnsi"/>
          <w:sz w:val="24"/>
          <w:szCs w:val="24"/>
          <w:lang w:val="ro-MD"/>
        </w:rPr>
        <w:t>2021 se prezintă în graficul ce urmează.</w:t>
      </w:r>
    </w:p>
    <w:p w14:paraId="046B1263" w14:textId="26EBC600" w:rsidR="002C041E" w:rsidRPr="009772A3" w:rsidRDefault="002C041E" w:rsidP="006C72A7">
      <w:pPr>
        <w:spacing w:after="0"/>
        <w:ind w:firstLine="709"/>
        <w:jc w:val="right"/>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Diagrama</w:t>
      </w:r>
      <w:r w:rsidR="00862546" w:rsidRPr="009772A3">
        <w:rPr>
          <w:rFonts w:asciiTheme="majorHAnsi" w:eastAsia="Times New Roman" w:hAnsiTheme="majorHAnsi" w:cstheme="majorHAnsi"/>
          <w:sz w:val="24"/>
          <w:szCs w:val="24"/>
          <w:lang w:val="ro-MD"/>
        </w:rPr>
        <w:t xml:space="preserve"> nr.</w:t>
      </w:r>
      <w:r w:rsidR="00227932">
        <w:rPr>
          <w:rFonts w:asciiTheme="majorHAnsi" w:eastAsia="Times New Roman" w:hAnsiTheme="majorHAnsi" w:cstheme="majorHAnsi"/>
          <w:sz w:val="24"/>
          <w:szCs w:val="24"/>
          <w:lang w:val="ro-MD"/>
        </w:rPr>
        <w:t>2.</w:t>
      </w:r>
      <w:r w:rsidR="006C72A7" w:rsidRPr="009772A3">
        <w:rPr>
          <w:rFonts w:asciiTheme="majorHAnsi" w:eastAsia="Times New Roman" w:hAnsiTheme="majorHAnsi" w:cstheme="majorHAnsi"/>
          <w:sz w:val="24"/>
          <w:szCs w:val="24"/>
          <w:lang w:val="ro-MD"/>
        </w:rPr>
        <w:t>1</w:t>
      </w:r>
    </w:p>
    <w:p w14:paraId="784C5AA0" w14:textId="77777777" w:rsidR="00932F7B" w:rsidRPr="009772A3" w:rsidRDefault="00932F7B" w:rsidP="00932F7B">
      <w:pPr>
        <w:spacing w:after="0"/>
        <w:jc w:val="both"/>
        <w:rPr>
          <w:rFonts w:asciiTheme="majorHAnsi" w:eastAsia="Times New Roman" w:hAnsiTheme="majorHAnsi" w:cstheme="majorHAnsi"/>
          <w:sz w:val="24"/>
          <w:szCs w:val="24"/>
          <w:lang w:val="ro-MD"/>
        </w:rPr>
      </w:pPr>
      <w:r w:rsidRPr="009772A3">
        <w:rPr>
          <w:noProof/>
        </w:rPr>
        <w:drawing>
          <wp:inline distT="0" distB="0" distL="0" distR="0" wp14:anchorId="243D9C12" wp14:editId="2F8396B5">
            <wp:extent cx="5905500" cy="1793630"/>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F55D4A" w14:textId="77777777" w:rsidR="00A502A1" w:rsidRPr="00CF3AD4" w:rsidRDefault="00A502A1" w:rsidP="00B470FD">
      <w:pPr>
        <w:spacing w:after="0" w:line="276" w:lineRule="auto"/>
        <w:ind w:firstLine="720"/>
        <w:jc w:val="both"/>
        <w:rPr>
          <w:rFonts w:asciiTheme="majorHAnsi" w:hAnsiTheme="majorHAnsi" w:cs="Times New Roman"/>
          <w:sz w:val="16"/>
          <w:szCs w:val="16"/>
          <w:lang w:val="ro-MD"/>
        </w:rPr>
      </w:pPr>
    </w:p>
    <w:p w14:paraId="02C61F2B" w14:textId="50207D11" w:rsidR="00075D55" w:rsidRPr="009772A3" w:rsidRDefault="00BE682E" w:rsidP="00B470FD">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imes New Roman"/>
          <w:sz w:val="24"/>
          <w:szCs w:val="24"/>
          <w:lang w:val="ro-MD"/>
        </w:rPr>
        <w:t>Compania</w:t>
      </w:r>
      <w:r w:rsidRPr="009772A3">
        <w:rPr>
          <w:rFonts w:asciiTheme="majorHAnsi" w:hAnsiTheme="majorHAnsi" w:cstheme="majorHAnsi"/>
          <w:sz w:val="24"/>
          <w:szCs w:val="24"/>
          <w:lang w:val="ro-MD"/>
        </w:rPr>
        <w:t xml:space="preserve"> SA Moldovagaz a fost creată în anul 199</w:t>
      </w:r>
      <w:r w:rsidR="00460064" w:rsidRPr="009772A3">
        <w:rPr>
          <w:rFonts w:asciiTheme="majorHAnsi" w:hAnsiTheme="majorHAnsi" w:cstheme="majorHAnsi"/>
          <w:sz w:val="24"/>
          <w:szCs w:val="24"/>
          <w:lang w:val="ro-MD"/>
        </w:rPr>
        <w:t>9</w:t>
      </w:r>
      <w:r w:rsidRPr="009772A3">
        <w:rPr>
          <w:rStyle w:val="FootnoteReference"/>
          <w:rFonts w:cstheme="majorHAnsi"/>
          <w:sz w:val="24"/>
          <w:szCs w:val="24"/>
          <w:lang w:val="ro-MD"/>
        </w:rPr>
        <w:footnoteReference w:id="5"/>
      </w:r>
      <w:r w:rsidRPr="009772A3">
        <w:rPr>
          <w:rFonts w:asciiTheme="majorHAnsi" w:hAnsiTheme="majorHAnsi" w:cstheme="majorHAnsi"/>
          <w:sz w:val="24"/>
          <w:szCs w:val="24"/>
          <w:lang w:val="ro-MD"/>
        </w:rPr>
        <w:t xml:space="preserve"> ca rezultat al reorganizării prin fuziune a Concernului de Stat Moldovagaz</w:t>
      </w:r>
      <w:r w:rsidRPr="009772A3">
        <w:rPr>
          <w:rStyle w:val="FootnoteReference"/>
          <w:rFonts w:asciiTheme="majorHAnsi" w:hAnsiTheme="majorHAnsi" w:cstheme="majorHAnsi"/>
          <w:sz w:val="24"/>
          <w:szCs w:val="24"/>
          <w:lang w:val="ro-MD"/>
        </w:rPr>
        <w:footnoteReference w:id="6"/>
      </w:r>
      <w:r w:rsidRPr="009772A3">
        <w:rPr>
          <w:rFonts w:asciiTheme="majorHAnsi" w:hAnsiTheme="majorHAnsi" w:cstheme="majorHAnsi"/>
          <w:sz w:val="24"/>
          <w:szCs w:val="24"/>
          <w:lang w:val="ro-MD"/>
        </w:rPr>
        <w:t xml:space="preserve"> și </w:t>
      </w:r>
      <w:r w:rsidR="00D873FA"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întreprinderii mixte moldo-ruse SA Gazsnabtranzit (ulterior redenumită în SA „Aprogaztranzit”)</w:t>
      </w:r>
      <w:r w:rsidRPr="009772A3">
        <w:rPr>
          <w:rStyle w:val="FootnoteReference"/>
          <w:rFonts w:cstheme="majorHAnsi"/>
          <w:sz w:val="24"/>
          <w:szCs w:val="24"/>
          <w:lang w:val="ro-MD"/>
        </w:rPr>
        <w:footnoteReference w:id="7"/>
      </w:r>
      <w:r w:rsidRPr="009772A3">
        <w:rPr>
          <w:rFonts w:asciiTheme="majorHAnsi" w:hAnsiTheme="majorHAnsi" w:cstheme="majorHAnsi"/>
          <w:sz w:val="24"/>
          <w:szCs w:val="24"/>
          <w:lang w:val="ro-MD"/>
        </w:rPr>
        <w:t xml:space="preserve">, cu scopul de a asigura </w:t>
      </w:r>
      <w:r w:rsidR="00075D55" w:rsidRPr="009772A3">
        <w:rPr>
          <w:rFonts w:asciiTheme="majorHAnsi" w:hAnsiTheme="majorHAnsi" w:cstheme="majorHAnsi"/>
          <w:sz w:val="24"/>
          <w:szCs w:val="24"/>
          <w:lang w:val="ro-MD"/>
        </w:rPr>
        <w:t>consumatorii cu gaze naturale, tranzitul lor sigur în țările terțe în baza activității economico-financiare eficiente</w:t>
      </w:r>
      <w:r w:rsidR="00D873FA" w:rsidRPr="009772A3">
        <w:rPr>
          <w:rFonts w:asciiTheme="majorHAnsi" w:hAnsiTheme="majorHAnsi" w:cstheme="majorHAnsi"/>
          <w:sz w:val="24"/>
          <w:szCs w:val="24"/>
          <w:lang w:val="ro-MD"/>
        </w:rPr>
        <w:t xml:space="preserve"> și</w:t>
      </w:r>
      <w:r w:rsidR="00075D55" w:rsidRPr="009772A3">
        <w:rPr>
          <w:rFonts w:asciiTheme="majorHAnsi" w:hAnsiTheme="majorHAnsi" w:cstheme="majorHAnsi"/>
          <w:sz w:val="24"/>
          <w:szCs w:val="24"/>
          <w:lang w:val="ro-MD"/>
        </w:rPr>
        <w:t xml:space="preserve"> profitabile a sectorului de gaze naturale, ca un mecanism de producție unic.</w:t>
      </w:r>
    </w:p>
    <w:p w14:paraId="51E1ED63" w14:textId="6DFE9214" w:rsidR="006339BD" w:rsidRPr="009772A3" w:rsidRDefault="006339BD" w:rsidP="00B470FD">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sfârșitul anului 2021,</w:t>
      </w:r>
      <w:r w:rsidR="00A06EDE" w:rsidRPr="009772A3">
        <w:rPr>
          <w:rFonts w:asciiTheme="majorHAnsi" w:hAnsiTheme="majorHAnsi" w:cstheme="majorHAnsi"/>
          <w:sz w:val="24"/>
          <w:szCs w:val="24"/>
          <w:lang w:val="ro-MD"/>
        </w:rPr>
        <w:t xml:space="preserve"> capitalul social al SA Moldovagaz constituia </w:t>
      </w:r>
      <w:r w:rsidR="002A3CE2" w:rsidRPr="009772A3">
        <w:rPr>
          <w:rFonts w:asciiTheme="majorHAnsi" w:hAnsiTheme="majorHAnsi" w:cstheme="majorHAnsi"/>
          <w:sz w:val="24"/>
          <w:szCs w:val="24"/>
          <w:lang w:val="ro-MD"/>
        </w:rPr>
        <w:t>1.332.908,0</w:t>
      </w:r>
      <w:r w:rsidR="00A06EDE" w:rsidRPr="009772A3">
        <w:rPr>
          <w:rFonts w:asciiTheme="majorHAnsi" w:hAnsiTheme="majorHAnsi" w:cstheme="majorHAnsi"/>
          <w:sz w:val="24"/>
          <w:szCs w:val="24"/>
          <w:lang w:val="ro-MD"/>
        </w:rPr>
        <w:t xml:space="preserve"> mii lei, </w:t>
      </w:r>
      <w:r w:rsidR="005F717D" w:rsidRPr="009772A3">
        <w:rPr>
          <w:rFonts w:asciiTheme="majorHAnsi" w:hAnsiTheme="majorHAnsi" w:cstheme="majorHAnsi"/>
          <w:sz w:val="24"/>
          <w:szCs w:val="24"/>
          <w:lang w:val="ro-MD"/>
        </w:rPr>
        <w:t>care</w:t>
      </w:r>
      <w:r w:rsidR="00A06EDE" w:rsidRPr="009772A3">
        <w:rPr>
          <w:rFonts w:asciiTheme="majorHAnsi" w:hAnsiTheme="majorHAnsi" w:cstheme="majorHAnsi"/>
          <w:sz w:val="24"/>
          <w:szCs w:val="24"/>
          <w:lang w:val="ro-MD"/>
        </w:rPr>
        <w:t xml:space="preserve"> potrivit </w:t>
      </w:r>
      <w:r w:rsidR="006A59AB" w:rsidRPr="009772A3">
        <w:rPr>
          <w:rFonts w:asciiTheme="majorHAnsi" w:hAnsiTheme="majorHAnsi" w:cstheme="majorHAnsi"/>
          <w:sz w:val="24"/>
          <w:szCs w:val="24"/>
          <w:lang w:val="ro-MD"/>
        </w:rPr>
        <w:t>înregistrărilor din registrele Depozitarului central unic al valorilor mobiliare,</w:t>
      </w:r>
      <w:r w:rsidRPr="009772A3">
        <w:rPr>
          <w:rFonts w:asciiTheme="majorHAnsi" w:hAnsiTheme="majorHAnsi" w:cstheme="majorHAnsi"/>
          <w:sz w:val="24"/>
          <w:szCs w:val="24"/>
          <w:lang w:val="ro-MD"/>
        </w:rPr>
        <w:t xml:space="preserve"> </w:t>
      </w:r>
      <w:r w:rsidR="005F717D" w:rsidRPr="009772A3">
        <w:rPr>
          <w:rFonts w:asciiTheme="majorHAnsi" w:hAnsiTheme="majorHAnsi" w:cstheme="majorHAnsi"/>
          <w:sz w:val="24"/>
          <w:szCs w:val="24"/>
          <w:lang w:val="ro-MD"/>
        </w:rPr>
        <w:t xml:space="preserve">era deținut </w:t>
      </w:r>
      <w:r w:rsidR="00940996" w:rsidRPr="009772A3">
        <w:rPr>
          <w:rFonts w:asciiTheme="majorHAnsi" w:hAnsiTheme="majorHAnsi" w:cstheme="majorHAnsi"/>
          <w:sz w:val="24"/>
          <w:szCs w:val="24"/>
          <w:lang w:val="ro-MD"/>
        </w:rPr>
        <w:t xml:space="preserve">de </w:t>
      </w:r>
      <w:r w:rsidR="005F717D" w:rsidRPr="009772A3">
        <w:rPr>
          <w:rFonts w:asciiTheme="majorHAnsi" w:hAnsiTheme="majorHAnsi" w:cstheme="majorHAnsi"/>
          <w:sz w:val="24"/>
          <w:szCs w:val="24"/>
          <w:lang w:val="ro-MD"/>
        </w:rPr>
        <w:t xml:space="preserve">următorii </w:t>
      </w:r>
      <w:r w:rsidRPr="009772A3">
        <w:rPr>
          <w:rFonts w:asciiTheme="majorHAnsi" w:hAnsiTheme="majorHAnsi" w:cstheme="majorHAnsi"/>
          <w:sz w:val="24"/>
          <w:szCs w:val="24"/>
          <w:lang w:val="ro-MD"/>
        </w:rPr>
        <w:t>acționari</w:t>
      </w:r>
      <w:r w:rsidR="005F717D" w:rsidRPr="009772A3">
        <w:rPr>
          <w:rFonts w:asciiTheme="majorHAnsi" w:hAnsiTheme="majorHAnsi" w:cstheme="majorHAnsi"/>
          <w:sz w:val="24"/>
          <w:szCs w:val="24"/>
          <w:lang w:val="ro-MD"/>
        </w:rPr>
        <w:t>:</w:t>
      </w:r>
    </w:p>
    <w:p w14:paraId="5687E2C0" w14:textId="3693AEBD" w:rsidR="00460064" w:rsidRPr="009772A3" w:rsidRDefault="00460064" w:rsidP="00C319CD">
      <w:pPr>
        <w:pStyle w:val="ListParagraph"/>
        <w:numPr>
          <w:ilvl w:val="0"/>
          <w:numId w:val="11"/>
        </w:numPr>
        <w:spacing w:after="0" w:line="276" w:lineRule="auto"/>
        <w:ind w:left="709" w:hanging="283"/>
        <w:jc w:val="both"/>
        <w:rPr>
          <w:rFonts w:asciiTheme="majorHAnsi" w:eastAsia="Times New Roman" w:hAnsiTheme="majorHAnsi" w:cstheme="majorHAnsi"/>
          <w:noProof/>
          <w:sz w:val="24"/>
          <w:szCs w:val="24"/>
          <w:lang w:val="ro-MD"/>
        </w:rPr>
      </w:pPr>
      <w:r w:rsidRPr="009772A3">
        <w:rPr>
          <w:rFonts w:asciiTheme="majorHAnsi" w:hAnsiTheme="majorHAnsi" w:cstheme="majorHAnsi"/>
          <w:noProof/>
          <w:sz w:val="24"/>
          <w:lang w:val="ro-MD"/>
        </w:rPr>
        <w:t>SA Gazprom - 50%</w:t>
      </w:r>
      <w:r w:rsidR="00B470FD" w:rsidRPr="009772A3">
        <w:rPr>
          <w:rFonts w:asciiTheme="majorHAnsi" w:hAnsiTheme="majorHAnsi" w:cstheme="majorHAnsi"/>
          <w:noProof/>
          <w:sz w:val="24"/>
          <w:lang w:val="ro-MD"/>
        </w:rPr>
        <w:t>,</w:t>
      </w:r>
      <w:r w:rsidRPr="009772A3">
        <w:rPr>
          <w:rFonts w:asciiTheme="majorHAnsi" w:hAnsiTheme="majorHAnsi" w:cstheme="majorHAnsi"/>
          <w:noProof/>
          <w:sz w:val="24"/>
          <w:lang w:val="ro-MD"/>
        </w:rPr>
        <w:t xml:space="preserve"> </w:t>
      </w:r>
      <w:r w:rsidR="00D873FA" w:rsidRPr="009772A3">
        <w:rPr>
          <w:rFonts w:asciiTheme="majorHAnsi" w:hAnsiTheme="majorHAnsi" w:cstheme="majorHAnsi"/>
          <w:noProof/>
          <w:sz w:val="24"/>
          <w:lang w:val="ro-MD"/>
        </w:rPr>
        <w:t xml:space="preserve">sau </w:t>
      </w:r>
      <w:r w:rsidRPr="009772A3">
        <w:rPr>
          <w:rFonts w:asciiTheme="majorHAnsi" w:hAnsiTheme="majorHAnsi" w:cstheme="majorHAnsi"/>
          <w:noProof/>
          <w:sz w:val="24"/>
          <w:lang w:val="ro-MD"/>
        </w:rPr>
        <w:t xml:space="preserve">în valoare de 666,5 milioane lei (145,3 milioane dolari SUA la cursul dolarului </w:t>
      </w:r>
      <w:r w:rsidR="00C319CD">
        <w:rPr>
          <w:rFonts w:asciiTheme="majorHAnsi" w:hAnsiTheme="majorHAnsi" w:cstheme="majorHAnsi"/>
          <w:noProof/>
          <w:sz w:val="24"/>
          <w:lang w:val="ro-MD"/>
        </w:rPr>
        <w:t>SUA</w:t>
      </w:r>
      <w:r w:rsidR="00C319CD" w:rsidRPr="009772A3">
        <w:rPr>
          <w:rFonts w:asciiTheme="majorHAnsi" w:hAnsiTheme="majorHAnsi" w:cstheme="majorHAnsi"/>
          <w:noProof/>
          <w:sz w:val="24"/>
          <w:lang w:val="ro-MD"/>
        </w:rPr>
        <w:t xml:space="preserve"> </w:t>
      </w:r>
      <w:r w:rsidRPr="009772A3">
        <w:rPr>
          <w:rFonts w:asciiTheme="majorHAnsi" w:hAnsiTheme="majorHAnsi" w:cstheme="majorHAnsi"/>
          <w:noProof/>
          <w:sz w:val="24"/>
          <w:lang w:val="ro-MD"/>
        </w:rPr>
        <w:t xml:space="preserve">la </w:t>
      </w:r>
      <w:r w:rsidR="00227932">
        <w:rPr>
          <w:rFonts w:asciiTheme="majorHAnsi" w:hAnsiTheme="majorHAnsi" w:cstheme="majorHAnsi"/>
          <w:noProof/>
          <w:sz w:val="24"/>
          <w:lang w:val="ro-MD"/>
        </w:rPr>
        <w:t>01.07.1997</w:t>
      </w:r>
      <w:r w:rsidRPr="009772A3">
        <w:rPr>
          <w:rFonts w:asciiTheme="majorHAnsi" w:hAnsiTheme="majorHAnsi" w:cstheme="majorHAnsi"/>
          <w:noProof/>
          <w:sz w:val="24"/>
          <w:lang w:val="ro-MD"/>
        </w:rPr>
        <w:t>);</w:t>
      </w:r>
    </w:p>
    <w:p w14:paraId="3612D2FE" w14:textId="4FD1689C" w:rsidR="00460064" w:rsidRPr="009772A3" w:rsidRDefault="00460064" w:rsidP="00C319CD">
      <w:pPr>
        <w:pStyle w:val="ListParagraph"/>
        <w:numPr>
          <w:ilvl w:val="0"/>
          <w:numId w:val="11"/>
        </w:numPr>
        <w:spacing w:after="0" w:line="276" w:lineRule="auto"/>
        <w:ind w:left="709" w:hanging="283"/>
        <w:jc w:val="both"/>
        <w:rPr>
          <w:rFonts w:asciiTheme="majorHAnsi" w:hAnsiTheme="majorHAnsi" w:cstheme="majorHAnsi"/>
          <w:noProof/>
          <w:sz w:val="24"/>
          <w:lang w:val="ro-MD"/>
        </w:rPr>
      </w:pPr>
      <w:r w:rsidRPr="009772A3">
        <w:rPr>
          <w:rFonts w:asciiTheme="majorHAnsi" w:hAnsiTheme="majorHAnsi" w:cstheme="majorHAnsi"/>
          <w:noProof/>
          <w:sz w:val="24"/>
          <w:lang w:val="ro-MD"/>
        </w:rPr>
        <w:t>Republica Moldova reprezentată de Agenția Proprietății Publice - 35,33%</w:t>
      </w:r>
      <w:r w:rsidR="00CF2C94" w:rsidRPr="009772A3">
        <w:rPr>
          <w:rFonts w:asciiTheme="majorHAnsi" w:hAnsiTheme="majorHAnsi" w:cstheme="majorHAnsi"/>
          <w:noProof/>
          <w:sz w:val="24"/>
          <w:lang w:val="ro-MD"/>
        </w:rPr>
        <w:t>,</w:t>
      </w:r>
      <w:r w:rsidRPr="009772A3">
        <w:rPr>
          <w:rFonts w:asciiTheme="majorHAnsi" w:hAnsiTheme="majorHAnsi" w:cstheme="majorHAnsi"/>
          <w:noProof/>
          <w:sz w:val="24"/>
          <w:lang w:val="ro-MD"/>
        </w:rPr>
        <w:t xml:space="preserve"> </w:t>
      </w:r>
      <w:r w:rsidR="00D873FA" w:rsidRPr="009772A3">
        <w:rPr>
          <w:rFonts w:asciiTheme="majorHAnsi" w:hAnsiTheme="majorHAnsi" w:cstheme="majorHAnsi"/>
          <w:noProof/>
          <w:sz w:val="24"/>
          <w:lang w:val="ro-MD"/>
        </w:rPr>
        <w:t xml:space="preserve">sau </w:t>
      </w:r>
      <w:r w:rsidRPr="009772A3">
        <w:rPr>
          <w:rFonts w:asciiTheme="majorHAnsi" w:hAnsiTheme="majorHAnsi" w:cstheme="majorHAnsi"/>
          <w:noProof/>
          <w:sz w:val="24"/>
          <w:lang w:val="ro-MD"/>
        </w:rPr>
        <w:t>în sumă de 470,9 milioane lei (102,7 milioane dolari SUA);</w:t>
      </w:r>
    </w:p>
    <w:p w14:paraId="0B351BB0" w14:textId="18BB4DB0" w:rsidR="00460064" w:rsidRPr="009772A3" w:rsidRDefault="00CF2C94" w:rsidP="00C319CD">
      <w:pPr>
        <w:pStyle w:val="ListParagraph"/>
        <w:numPr>
          <w:ilvl w:val="0"/>
          <w:numId w:val="11"/>
        </w:numPr>
        <w:spacing w:after="0" w:line="276" w:lineRule="auto"/>
        <w:ind w:left="709" w:hanging="283"/>
        <w:jc w:val="both"/>
        <w:rPr>
          <w:rFonts w:asciiTheme="majorHAnsi" w:hAnsiTheme="majorHAnsi" w:cstheme="majorHAnsi"/>
          <w:noProof/>
          <w:sz w:val="24"/>
          <w:lang w:val="ro-MD"/>
        </w:rPr>
      </w:pPr>
      <w:r w:rsidRPr="009772A3">
        <w:rPr>
          <w:rFonts w:asciiTheme="majorHAnsi" w:hAnsiTheme="majorHAnsi" w:cstheme="majorHAnsi"/>
          <w:noProof/>
          <w:sz w:val="24"/>
          <w:lang w:val="ro-MD"/>
        </w:rPr>
        <w:t xml:space="preserve">Regiunea </w:t>
      </w:r>
      <w:r w:rsidR="00460064" w:rsidRPr="009772A3">
        <w:rPr>
          <w:rFonts w:asciiTheme="majorHAnsi" w:hAnsiTheme="majorHAnsi" w:cstheme="majorHAnsi"/>
          <w:noProof/>
          <w:sz w:val="24"/>
          <w:lang w:val="ro-MD"/>
        </w:rPr>
        <w:t>Transnistria</w:t>
      </w:r>
      <w:r w:rsidRPr="009772A3">
        <w:rPr>
          <w:rFonts w:asciiTheme="majorHAnsi" w:hAnsiTheme="majorHAnsi" w:cstheme="majorHAnsi"/>
          <w:noProof/>
          <w:sz w:val="24"/>
          <w:lang w:val="ro-MD"/>
        </w:rPr>
        <w:t>nă</w:t>
      </w:r>
      <w:r w:rsidR="00460064" w:rsidRPr="009772A3">
        <w:rPr>
          <w:rFonts w:asciiTheme="majorHAnsi" w:hAnsiTheme="majorHAnsi" w:cstheme="majorHAnsi"/>
          <w:noProof/>
          <w:sz w:val="24"/>
          <w:lang w:val="ro-MD"/>
        </w:rPr>
        <w:t xml:space="preserve"> reprezentată de Comitetul de Administrare a Proprietății - 13,44%</w:t>
      </w:r>
      <w:r w:rsidR="00D873FA" w:rsidRPr="009772A3">
        <w:rPr>
          <w:rFonts w:asciiTheme="majorHAnsi" w:hAnsiTheme="majorHAnsi" w:cstheme="majorHAnsi"/>
          <w:noProof/>
          <w:sz w:val="24"/>
          <w:lang w:val="ro-MD"/>
        </w:rPr>
        <w:t>, sau</w:t>
      </w:r>
      <w:r w:rsidR="00460064" w:rsidRPr="009772A3">
        <w:rPr>
          <w:rFonts w:asciiTheme="majorHAnsi" w:hAnsiTheme="majorHAnsi" w:cstheme="majorHAnsi"/>
          <w:noProof/>
          <w:sz w:val="24"/>
          <w:lang w:val="ro-MD"/>
        </w:rPr>
        <w:t xml:space="preserve"> în sumă de 179,1 milioane lei (39 milioane dolari SUA);</w:t>
      </w:r>
    </w:p>
    <w:p w14:paraId="293C57C1" w14:textId="4C9DE95E" w:rsidR="00460064" w:rsidRDefault="00AB471E" w:rsidP="00CF3AD4">
      <w:pPr>
        <w:pStyle w:val="ListParagraph"/>
        <w:numPr>
          <w:ilvl w:val="0"/>
          <w:numId w:val="11"/>
        </w:numPr>
        <w:spacing w:after="0" w:line="276" w:lineRule="auto"/>
        <w:ind w:left="709" w:hanging="283"/>
        <w:jc w:val="both"/>
        <w:rPr>
          <w:rFonts w:asciiTheme="majorHAnsi" w:hAnsiTheme="majorHAnsi" w:cstheme="majorHAnsi"/>
          <w:noProof/>
          <w:sz w:val="24"/>
          <w:lang w:val="ro-MD"/>
        </w:rPr>
      </w:pPr>
      <w:r w:rsidRPr="009772A3">
        <w:rPr>
          <w:rFonts w:asciiTheme="majorHAnsi" w:hAnsiTheme="majorHAnsi" w:cstheme="majorHAnsi"/>
          <w:noProof/>
          <w:sz w:val="24"/>
          <w:lang w:val="ro-MD"/>
        </w:rPr>
        <w:t>a</w:t>
      </w:r>
      <w:r w:rsidR="006339BD" w:rsidRPr="009772A3">
        <w:rPr>
          <w:rFonts w:asciiTheme="majorHAnsi" w:hAnsiTheme="majorHAnsi" w:cstheme="majorHAnsi"/>
          <w:noProof/>
          <w:sz w:val="24"/>
          <w:lang w:val="ro-MD"/>
        </w:rPr>
        <w:t>lte p</w:t>
      </w:r>
      <w:r w:rsidR="00460064" w:rsidRPr="009772A3">
        <w:rPr>
          <w:rFonts w:asciiTheme="majorHAnsi" w:hAnsiTheme="majorHAnsi" w:cstheme="majorHAnsi"/>
          <w:noProof/>
          <w:sz w:val="24"/>
          <w:lang w:val="ro-MD"/>
        </w:rPr>
        <w:t>ersoane juridice și fizice care dețin în total 1,23% din acțiuni</w:t>
      </w:r>
      <w:r w:rsidRPr="009772A3">
        <w:rPr>
          <w:rFonts w:asciiTheme="majorHAnsi" w:hAnsiTheme="majorHAnsi" w:cstheme="majorHAnsi"/>
          <w:noProof/>
          <w:sz w:val="24"/>
          <w:lang w:val="ro-MD"/>
        </w:rPr>
        <w:t>, sau</w:t>
      </w:r>
      <w:r w:rsidR="00460064" w:rsidRPr="009772A3">
        <w:rPr>
          <w:rFonts w:asciiTheme="majorHAnsi" w:hAnsiTheme="majorHAnsi" w:cstheme="majorHAnsi"/>
          <w:noProof/>
          <w:sz w:val="24"/>
          <w:lang w:val="ro-MD"/>
        </w:rPr>
        <w:t xml:space="preserve"> în valoare de 16,4 milioane lei (3,5 milioane dolari SUA).</w:t>
      </w:r>
    </w:p>
    <w:p w14:paraId="610E9F1A" w14:textId="77777777" w:rsidR="006E7BDC" w:rsidRPr="00CF3AD4" w:rsidRDefault="006E7BDC" w:rsidP="00CF3AD4">
      <w:pPr>
        <w:pStyle w:val="ListParagraph"/>
        <w:spacing w:after="0" w:line="276" w:lineRule="auto"/>
        <w:ind w:left="709"/>
        <w:jc w:val="both"/>
        <w:rPr>
          <w:rFonts w:asciiTheme="majorHAnsi" w:hAnsiTheme="majorHAnsi" w:cstheme="majorHAnsi"/>
          <w:noProof/>
          <w:sz w:val="16"/>
          <w:szCs w:val="16"/>
          <w:lang w:val="ro-MD"/>
        </w:rPr>
      </w:pPr>
    </w:p>
    <w:p w14:paraId="6AA13F82" w14:textId="7CB8B32E" w:rsidR="006339BD" w:rsidRPr="009772A3" w:rsidRDefault="006B2435" w:rsidP="00CF3AD4">
      <w:pPr>
        <w:pStyle w:val="Heading1"/>
        <w:numPr>
          <w:ilvl w:val="1"/>
          <w:numId w:val="2"/>
        </w:numPr>
        <w:spacing w:before="0" w:line="276" w:lineRule="auto"/>
        <w:ind w:left="0" w:firstLine="0"/>
        <w:jc w:val="left"/>
        <w:rPr>
          <w:rFonts w:cstheme="majorHAnsi"/>
          <w:color w:val="auto"/>
          <w:szCs w:val="24"/>
          <w:lang w:val="ro-MD"/>
        </w:rPr>
      </w:pPr>
      <w:bookmarkStart w:id="9" w:name="_Toc119496377"/>
      <w:r w:rsidRPr="009772A3">
        <w:rPr>
          <w:rFonts w:cstheme="majorHAnsi"/>
          <w:color w:val="auto"/>
          <w:szCs w:val="24"/>
          <w:lang w:val="ro-MD"/>
        </w:rPr>
        <w:t>Guvernanța</w:t>
      </w:r>
      <w:r w:rsidR="00571502" w:rsidRPr="009772A3">
        <w:rPr>
          <w:rFonts w:cstheme="majorHAnsi"/>
          <w:color w:val="auto"/>
          <w:szCs w:val="24"/>
          <w:lang w:val="ro-MD"/>
        </w:rPr>
        <w:t xml:space="preserve"> corporativă a SA Moldovagaz</w:t>
      </w:r>
      <w:bookmarkEnd w:id="9"/>
    </w:p>
    <w:p w14:paraId="78C8A414" w14:textId="3E56C480" w:rsidR="00E71627" w:rsidRPr="009772A3" w:rsidRDefault="00CD10ED">
      <w:pPr>
        <w:spacing w:after="0"/>
        <w:ind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w:t>
      </w:r>
      <w:r w:rsidR="006B2435" w:rsidRPr="009772A3">
        <w:rPr>
          <w:rFonts w:asciiTheme="majorHAnsi" w:hAnsiTheme="majorHAnsi" w:cstheme="majorHAnsi"/>
          <w:sz w:val="24"/>
          <w:szCs w:val="24"/>
          <w:lang w:val="ro-MD"/>
        </w:rPr>
        <w:t>ntru promovare</w:t>
      </w:r>
      <w:r w:rsidRPr="009772A3">
        <w:rPr>
          <w:rFonts w:asciiTheme="majorHAnsi" w:hAnsiTheme="majorHAnsi" w:cstheme="majorHAnsi"/>
          <w:sz w:val="24"/>
          <w:szCs w:val="24"/>
          <w:lang w:val="ro-MD"/>
        </w:rPr>
        <w:t>a</w:t>
      </w:r>
      <w:r w:rsidR="006B2435" w:rsidRPr="009772A3">
        <w:rPr>
          <w:rFonts w:asciiTheme="majorHAnsi" w:hAnsiTheme="majorHAnsi" w:cstheme="majorHAnsi"/>
          <w:sz w:val="24"/>
          <w:szCs w:val="24"/>
          <w:lang w:val="ro-MD"/>
        </w:rPr>
        <w:t xml:space="preserve"> unui mediu corporativ care să asigure </w:t>
      </w:r>
      <w:r w:rsidR="00034E53" w:rsidRPr="009772A3">
        <w:rPr>
          <w:rFonts w:asciiTheme="majorHAnsi" w:hAnsiTheme="majorHAnsi" w:cstheme="majorHAnsi"/>
          <w:sz w:val="24"/>
          <w:szCs w:val="24"/>
          <w:lang w:val="ro-MD"/>
        </w:rPr>
        <w:t>stabilirea și implem</w:t>
      </w:r>
      <w:r w:rsidRPr="009772A3">
        <w:rPr>
          <w:rFonts w:asciiTheme="majorHAnsi" w:hAnsiTheme="majorHAnsi" w:cstheme="majorHAnsi"/>
          <w:sz w:val="24"/>
          <w:szCs w:val="24"/>
          <w:lang w:val="ro-MD"/>
        </w:rPr>
        <w:t>e</w:t>
      </w:r>
      <w:r w:rsidR="00034E53" w:rsidRPr="009772A3">
        <w:rPr>
          <w:rFonts w:asciiTheme="majorHAnsi" w:hAnsiTheme="majorHAnsi" w:cstheme="majorHAnsi"/>
          <w:sz w:val="24"/>
          <w:szCs w:val="24"/>
          <w:lang w:val="ro-MD"/>
        </w:rPr>
        <w:t xml:space="preserve">ntarea direcțiilor strategice și </w:t>
      </w:r>
      <w:r w:rsidRPr="009772A3">
        <w:rPr>
          <w:rFonts w:asciiTheme="majorHAnsi" w:hAnsiTheme="majorHAnsi" w:cstheme="majorHAnsi"/>
          <w:sz w:val="24"/>
          <w:szCs w:val="24"/>
          <w:lang w:val="ro-MD"/>
        </w:rPr>
        <w:t xml:space="preserve">a </w:t>
      </w:r>
      <w:r w:rsidR="00034E53" w:rsidRPr="009772A3">
        <w:rPr>
          <w:rFonts w:asciiTheme="majorHAnsi" w:hAnsiTheme="majorHAnsi" w:cstheme="majorHAnsi"/>
          <w:sz w:val="24"/>
          <w:szCs w:val="24"/>
          <w:lang w:val="ro-MD"/>
        </w:rPr>
        <w:t xml:space="preserve">obiectivelor operaționale, gestionarea responsabilă, corectă și transparentă a resurselor financiare, </w:t>
      </w:r>
      <w:r w:rsidR="006B2435" w:rsidRPr="009772A3">
        <w:rPr>
          <w:rFonts w:asciiTheme="majorHAnsi" w:hAnsiTheme="majorHAnsi" w:cstheme="majorHAnsi"/>
          <w:sz w:val="24"/>
          <w:szCs w:val="24"/>
          <w:lang w:val="ro-MD"/>
        </w:rPr>
        <w:t>prin Statutul SA Moldovagaz</w:t>
      </w:r>
      <w:r w:rsidR="006B2435" w:rsidRPr="009772A3">
        <w:rPr>
          <w:rStyle w:val="FootnoteReference"/>
          <w:rFonts w:cstheme="majorHAnsi"/>
          <w:sz w:val="24"/>
          <w:szCs w:val="24"/>
          <w:lang w:val="ro-MD"/>
        </w:rPr>
        <w:footnoteReference w:id="8"/>
      </w:r>
      <w:r w:rsidR="006B2435" w:rsidRPr="009772A3">
        <w:rPr>
          <w:rFonts w:asciiTheme="majorHAnsi" w:hAnsiTheme="majorHAnsi" w:cstheme="majorHAnsi"/>
          <w:sz w:val="24"/>
          <w:szCs w:val="24"/>
          <w:lang w:val="ro-MD"/>
        </w:rPr>
        <w:t xml:space="preserve"> au fost stabilite organele de </w:t>
      </w:r>
      <w:r w:rsidR="00034E53" w:rsidRPr="009772A3">
        <w:rPr>
          <w:rFonts w:asciiTheme="majorHAnsi" w:hAnsiTheme="majorHAnsi" w:cstheme="majorHAnsi"/>
          <w:sz w:val="24"/>
          <w:szCs w:val="24"/>
          <w:lang w:val="ro-MD"/>
        </w:rPr>
        <w:t>guvernanță a</w:t>
      </w:r>
      <w:r w:rsidRPr="009772A3">
        <w:rPr>
          <w:rFonts w:asciiTheme="majorHAnsi" w:hAnsiTheme="majorHAnsi" w:cstheme="majorHAnsi"/>
          <w:sz w:val="24"/>
          <w:szCs w:val="24"/>
          <w:lang w:val="ro-MD"/>
        </w:rPr>
        <w:t>le</w:t>
      </w:r>
      <w:r w:rsidR="00034E53" w:rsidRPr="009772A3">
        <w:rPr>
          <w:rFonts w:asciiTheme="majorHAnsi" w:hAnsiTheme="majorHAnsi" w:cstheme="majorHAnsi"/>
          <w:sz w:val="24"/>
          <w:szCs w:val="24"/>
          <w:lang w:val="ro-MD"/>
        </w:rPr>
        <w:t xml:space="preserve"> societății</w:t>
      </w:r>
      <w:r w:rsidR="00E71627" w:rsidRPr="009772A3">
        <w:rPr>
          <w:rFonts w:asciiTheme="majorHAnsi" w:hAnsiTheme="majorHAnsi" w:cstheme="majorHAnsi"/>
          <w:sz w:val="24"/>
          <w:szCs w:val="24"/>
          <w:lang w:val="ro-MD"/>
        </w:rPr>
        <w:t>, după cum se prezintă în Figura care urmează.</w:t>
      </w:r>
    </w:p>
    <w:p w14:paraId="444B9DA9" w14:textId="76B84F90" w:rsidR="00E71627" w:rsidRPr="009772A3" w:rsidRDefault="00E71627" w:rsidP="00E71627">
      <w:pPr>
        <w:pStyle w:val="FootnoteText"/>
        <w:spacing w:line="276" w:lineRule="auto"/>
        <w:jc w:val="right"/>
        <w:rPr>
          <w:rFonts w:asciiTheme="majorHAnsi" w:hAnsiTheme="majorHAnsi" w:cstheme="majorHAnsi"/>
          <w:sz w:val="24"/>
          <w:szCs w:val="24"/>
          <w:vertAlign w:val="baseline"/>
          <w:lang w:val="ro-MD"/>
        </w:rPr>
      </w:pPr>
      <w:r w:rsidRPr="009772A3">
        <w:rPr>
          <w:rFonts w:asciiTheme="majorHAnsi" w:hAnsiTheme="majorHAnsi" w:cstheme="majorHAnsi"/>
          <w:b/>
          <w:sz w:val="24"/>
          <w:szCs w:val="24"/>
          <w:vertAlign w:val="baseline"/>
          <w:lang w:val="ro-MD"/>
        </w:rPr>
        <w:t>Figura 2.1.1.</w:t>
      </w:r>
      <w:r w:rsidRPr="009772A3">
        <w:rPr>
          <w:rFonts w:asciiTheme="majorHAnsi" w:hAnsiTheme="majorHAnsi" w:cstheme="majorHAnsi"/>
          <w:noProof/>
          <w:sz w:val="24"/>
          <w:szCs w:val="24"/>
          <w:vertAlign w:val="baseline"/>
        </w:rPr>
        <w:drawing>
          <wp:inline distT="0" distB="0" distL="0" distR="0" wp14:anchorId="23EC22C1" wp14:editId="0C808B04">
            <wp:extent cx="5708650" cy="1348154"/>
            <wp:effectExtent l="0" t="19050" r="0" b="23495"/>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E24236" w14:textId="04DB3AC4" w:rsidR="00E71627" w:rsidRPr="009772A3" w:rsidRDefault="00E71627" w:rsidP="00E71627">
      <w:pPr>
        <w:widowControl w:val="0"/>
        <w:autoSpaceDE w:val="0"/>
        <w:autoSpaceDN w:val="0"/>
        <w:adjustRightInd w:val="0"/>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Informații detaliate aferente responsabilităților organelor de conducere și control a</w:t>
      </w:r>
      <w:r w:rsidR="00CD10ED"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Societății sunt prezentate în Anexa nr.1</w:t>
      </w:r>
      <w:r w:rsidR="009B0900">
        <w:rPr>
          <w:rFonts w:asciiTheme="majorHAnsi" w:hAnsiTheme="majorHAnsi" w:cstheme="majorHAnsi"/>
          <w:sz w:val="24"/>
          <w:szCs w:val="24"/>
          <w:lang w:val="ro-MD"/>
        </w:rPr>
        <w:t>.1.</w:t>
      </w:r>
      <w:r w:rsidRPr="009772A3">
        <w:rPr>
          <w:rFonts w:asciiTheme="majorHAnsi" w:hAnsiTheme="majorHAnsi" w:cstheme="majorHAnsi"/>
          <w:sz w:val="24"/>
          <w:szCs w:val="24"/>
          <w:lang w:val="ro-MD"/>
        </w:rPr>
        <w:t xml:space="preserve"> la prezentul Raport de audit.</w:t>
      </w:r>
    </w:p>
    <w:p w14:paraId="3775E871" w14:textId="412D8541" w:rsidR="00AF3CF2" w:rsidRPr="009772A3" w:rsidRDefault="00B03B33" w:rsidP="00E71627">
      <w:pPr>
        <w:widowControl w:val="0"/>
        <w:autoSpaceDE w:val="0"/>
        <w:autoSpaceDN w:val="0"/>
        <w:adjustRightInd w:val="0"/>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Potrivit Statutului SA Moldovagaz, </w:t>
      </w:r>
      <w:r w:rsidR="00AF3CF2" w:rsidRPr="009772A3">
        <w:rPr>
          <w:rFonts w:asciiTheme="majorHAnsi" w:hAnsiTheme="majorHAnsi" w:cstheme="majorHAnsi"/>
          <w:sz w:val="24"/>
          <w:szCs w:val="24"/>
          <w:lang w:val="ro-MD"/>
        </w:rPr>
        <w:t>organele de conducere sunt compuse din reprezentanții a trei entități, după cum se prezintă în tabelul ce urmează.</w:t>
      </w:r>
    </w:p>
    <w:p w14:paraId="76D4D1E0" w14:textId="77777777" w:rsidR="00AF3CF2" w:rsidRPr="009772A3" w:rsidRDefault="00AF3CF2" w:rsidP="00AF3CF2">
      <w:pPr>
        <w:widowControl w:val="0"/>
        <w:autoSpaceDE w:val="0"/>
        <w:autoSpaceDN w:val="0"/>
        <w:adjustRightInd w:val="0"/>
        <w:spacing w:after="0" w:line="276" w:lineRule="auto"/>
        <w:ind w:firstLine="720"/>
        <w:jc w:val="right"/>
        <w:rPr>
          <w:rFonts w:asciiTheme="majorHAnsi" w:hAnsiTheme="majorHAnsi" w:cstheme="majorHAnsi"/>
          <w:b/>
          <w:sz w:val="24"/>
          <w:szCs w:val="24"/>
          <w:lang w:val="ro-MD"/>
        </w:rPr>
      </w:pPr>
      <w:r w:rsidRPr="009772A3">
        <w:rPr>
          <w:rFonts w:asciiTheme="majorHAnsi" w:hAnsiTheme="majorHAnsi" w:cstheme="majorHAnsi"/>
          <w:sz w:val="24"/>
          <w:szCs w:val="24"/>
          <w:lang w:val="ro-MD"/>
        </w:rPr>
        <w:t xml:space="preserve">  </w:t>
      </w:r>
      <w:r w:rsidRPr="009772A3">
        <w:rPr>
          <w:rFonts w:asciiTheme="majorHAnsi" w:hAnsiTheme="majorHAnsi" w:cstheme="majorHAnsi"/>
          <w:b/>
          <w:sz w:val="24"/>
          <w:szCs w:val="24"/>
          <w:lang w:val="ro-MD"/>
        </w:rPr>
        <w:t xml:space="preserve">Tabelul nr.2.1.1. </w:t>
      </w:r>
    </w:p>
    <w:p w14:paraId="3F6F85FB" w14:textId="74272C96" w:rsidR="00B03B33" w:rsidRPr="009772A3" w:rsidRDefault="00AF3CF2" w:rsidP="00AF3CF2">
      <w:pPr>
        <w:widowControl w:val="0"/>
        <w:autoSpaceDE w:val="0"/>
        <w:autoSpaceDN w:val="0"/>
        <w:adjustRightInd w:val="0"/>
        <w:spacing w:after="0" w:line="276" w:lineRule="auto"/>
        <w:ind w:firstLine="720"/>
        <w:jc w:val="center"/>
        <w:rPr>
          <w:rFonts w:asciiTheme="majorHAnsi" w:eastAsia="Times New Roman" w:hAnsiTheme="majorHAnsi" w:cstheme="majorHAnsi"/>
          <w:b/>
          <w:sz w:val="24"/>
          <w:szCs w:val="24"/>
          <w:lang w:val="ro-MD"/>
        </w:rPr>
      </w:pPr>
      <w:r w:rsidRPr="009772A3">
        <w:rPr>
          <w:rFonts w:asciiTheme="majorHAnsi" w:hAnsiTheme="majorHAnsi" w:cstheme="majorHAnsi"/>
          <w:b/>
          <w:sz w:val="24"/>
          <w:szCs w:val="24"/>
          <w:lang w:val="ro-MD"/>
        </w:rPr>
        <w:t>Structura numerică a organelor de conducere și control al</w:t>
      </w:r>
      <w:r w:rsidR="00C12058" w:rsidRPr="009772A3">
        <w:rPr>
          <w:rFonts w:asciiTheme="majorHAnsi" w:hAnsiTheme="majorHAnsi" w:cstheme="majorHAnsi"/>
          <w:b/>
          <w:sz w:val="24"/>
          <w:szCs w:val="24"/>
          <w:lang w:val="ro-MD"/>
        </w:rPr>
        <w:t>e</w:t>
      </w:r>
      <w:r w:rsidRPr="009772A3">
        <w:rPr>
          <w:rFonts w:asciiTheme="majorHAnsi" w:hAnsiTheme="majorHAnsi" w:cstheme="majorHAnsi"/>
          <w:b/>
          <w:sz w:val="24"/>
          <w:szCs w:val="24"/>
          <w:lang w:val="ro-MD"/>
        </w:rPr>
        <w:t xml:space="preserve"> SA Moldovagaz</w:t>
      </w:r>
    </w:p>
    <w:tbl>
      <w:tblPr>
        <w:tblStyle w:val="TableGrid"/>
        <w:tblW w:w="9214" w:type="dxa"/>
        <w:tblInd w:w="137" w:type="dxa"/>
        <w:tblLook w:val="04A0" w:firstRow="1" w:lastRow="0" w:firstColumn="1" w:lastColumn="0" w:noHBand="0" w:noVBand="1"/>
      </w:tblPr>
      <w:tblGrid>
        <w:gridCol w:w="2410"/>
        <w:gridCol w:w="1134"/>
        <w:gridCol w:w="1679"/>
        <w:gridCol w:w="1679"/>
        <w:gridCol w:w="2312"/>
      </w:tblGrid>
      <w:tr w:rsidR="001A7164" w:rsidRPr="006E7BDC" w14:paraId="0D7927BC" w14:textId="71EC0F85" w:rsidTr="00CF3AD4">
        <w:trPr>
          <w:trHeight w:val="170"/>
        </w:trPr>
        <w:tc>
          <w:tcPr>
            <w:tcW w:w="2410" w:type="dxa"/>
            <w:vMerge w:val="restart"/>
            <w:vAlign w:val="center"/>
          </w:tcPr>
          <w:p w14:paraId="1D542336" w14:textId="048989B3" w:rsidR="001A7164" w:rsidRPr="00CF3AD4" w:rsidRDefault="001A7164" w:rsidP="00FE3DE8">
            <w:pPr>
              <w:pStyle w:val="ListParagraph"/>
              <w:spacing w:line="259" w:lineRule="auto"/>
              <w:ind w:left="0"/>
              <w:jc w:val="center"/>
              <w:rPr>
                <w:rFonts w:asciiTheme="majorHAnsi" w:hAnsiTheme="majorHAnsi" w:cstheme="majorHAnsi"/>
                <w:b/>
                <w:bCs/>
                <w:sz w:val="18"/>
                <w:szCs w:val="18"/>
                <w:lang w:val="ro-MD"/>
              </w:rPr>
            </w:pPr>
            <w:r w:rsidRPr="00CF3AD4">
              <w:rPr>
                <w:rFonts w:asciiTheme="majorHAnsi" w:hAnsiTheme="majorHAnsi" w:cstheme="majorHAnsi"/>
                <w:b/>
                <w:bCs/>
                <w:sz w:val="18"/>
                <w:szCs w:val="18"/>
                <w:lang w:val="ro-MD"/>
              </w:rPr>
              <w:t>Organul de conducere și control</w:t>
            </w:r>
          </w:p>
        </w:tc>
        <w:tc>
          <w:tcPr>
            <w:tcW w:w="1134" w:type="dxa"/>
            <w:vMerge w:val="restart"/>
            <w:vAlign w:val="center"/>
          </w:tcPr>
          <w:p w14:paraId="3B1AF8F2" w14:textId="1C9AD001" w:rsidR="001A7164" w:rsidRPr="00CF3AD4" w:rsidRDefault="001A7164" w:rsidP="00FE3DE8">
            <w:pPr>
              <w:pStyle w:val="ListParagraph"/>
              <w:spacing w:line="259" w:lineRule="auto"/>
              <w:ind w:left="0"/>
              <w:jc w:val="center"/>
              <w:rPr>
                <w:rFonts w:asciiTheme="majorHAnsi" w:hAnsiTheme="majorHAnsi" w:cstheme="majorHAnsi"/>
                <w:b/>
                <w:bCs/>
                <w:sz w:val="18"/>
                <w:szCs w:val="18"/>
                <w:lang w:val="ro-MD"/>
              </w:rPr>
            </w:pPr>
            <w:r w:rsidRPr="00CF3AD4">
              <w:rPr>
                <w:rFonts w:asciiTheme="majorHAnsi" w:hAnsiTheme="majorHAnsi" w:cstheme="majorHAnsi"/>
                <w:b/>
                <w:bCs/>
                <w:sz w:val="18"/>
                <w:szCs w:val="18"/>
                <w:lang w:val="ro-MD"/>
              </w:rPr>
              <w:t>Nr. total de persoane</w:t>
            </w:r>
          </w:p>
        </w:tc>
        <w:tc>
          <w:tcPr>
            <w:tcW w:w="5670" w:type="dxa"/>
            <w:gridSpan w:val="3"/>
            <w:vAlign w:val="center"/>
          </w:tcPr>
          <w:p w14:paraId="081C49B2" w14:textId="7E9D0A3C" w:rsidR="001A7164" w:rsidRPr="00CF3AD4" w:rsidRDefault="001A7164" w:rsidP="00FE3DE8">
            <w:pPr>
              <w:pStyle w:val="ListParagraph"/>
              <w:spacing w:line="259" w:lineRule="auto"/>
              <w:ind w:left="0"/>
              <w:jc w:val="center"/>
              <w:rPr>
                <w:rFonts w:asciiTheme="majorHAnsi" w:hAnsiTheme="majorHAnsi" w:cstheme="majorHAnsi"/>
                <w:b/>
                <w:bCs/>
                <w:sz w:val="18"/>
                <w:szCs w:val="18"/>
                <w:lang w:val="ro-MD"/>
              </w:rPr>
            </w:pPr>
            <w:r w:rsidRPr="00CF3AD4">
              <w:rPr>
                <w:rFonts w:asciiTheme="majorHAnsi" w:hAnsiTheme="majorHAnsi" w:cstheme="majorHAnsi"/>
                <w:b/>
                <w:bCs/>
                <w:sz w:val="18"/>
                <w:szCs w:val="18"/>
                <w:lang w:val="ro-MD"/>
              </w:rPr>
              <w:t>Delegați de către:</w:t>
            </w:r>
          </w:p>
        </w:tc>
      </w:tr>
      <w:tr w:rsidR="001A7164" w:rsidRPr="006E7BDC" w14:paraId="2DAB2A9C" w14:textId="4043E630" w:rsidTr="00CF3AD4">
        <w:trPr>
          <w:trHeight w:val="170"/>
        </w:trPr>
        <w:tc>
          <w:tcPr>
            <w:tcW w:w="2410" w:type="dxa"/>
            <w:vMerge/>
          </w:tcPr>
          <w:p w14:paraId="49D4A252" w14:textId="77777777" w:rsidR="001A7164" w:rsidRPr="00CF3AD4" w:rsidRDefault="001A7164" w:rsidP="00FE3DE8">
            <w:pPr>
              <w:pStyle w:val="ListParagraph"/>
              <w:spacing w:line="259" w:lineRule="auto"/>
              <w:ind w:left="0"/>
              <w:jc w:val="both"/>
              <w:rPr>
                <w:rFonts w:asciiTheme="majorHAnsi" w:hAnsiTheme="majorHAnsi" w:cstheme="majorHAnsi"/>
                <w:b/>
                <w:bCs/>
                <w:sz w:val="18"/>
                <w:szCs w:val="18"/>
                <w:lang w:val="ro-MD"/>
              </w:rPr>
            </w:pPr>
          </w:p>
        </w:tc>
        <w:tc>
          <w:tcPr>
            <w:tcW w:w="1134" w:type="dxa"/>
            <w:vMerge/>
          </w:tcPr>
          <w:p w14:paraId="7BF5FC75" w14:textId="3FD7834B" w:rsidR="001A7164" w:rsidRPr="00CF3AD4" w:rsidRDefault="001A7164" w:rsidP="00FE3DE8">
            <w:pPr>
              <w:pStyle w:val="ListParagraph"/>
              <w:spacing w:line="259" w:lineRule="auto"/>
              <w:ind w:left="0"/>
              <w:jc w:val="both"/>
              <w:rPr>
                <w:rFonts w:asciiTheme="majorHAnsi" w:hAnsiTheme="majorHAnsi" w:cstheme="majorHAnsi"/>
                <w:b/>
                <w:bCs/>
                <w:sz w:val="18"/>
                <w:szCs w:val="18"/>
                <w:lang w:val="ro-MD"/>
              </w:rPr>
            </w:pPr>
          </w:p>
        </w:tc>
        <w:tc>
          <w:tcPr>
            <w:tcW w:w="1679" w:type="dxa"/>
            <w:vAlign w:val="center"/>
          </w:tcPr>
          <w:p w14:paraId="26E3184E" w14:textId="2407C870" w:rsidR="001A7164" w:rsidRPr="00CF3AD4" w:rsidRDefault="0089355A" w:rsidP="00FE3DE8">
            <w:pPr>
              <w:pStyle w:val="ListParagraph"/>
              <w:spacing w:line="259" w:lineRule="auto"/>
              <w:ind w:left="0"/>
              <w:jc w:val="center"/>
              <w:rPr>
                <w:rFonts w:asciiTheme="majorHAnsi" w:hAnsiTheme="majorHAnsi" w:cstheme="majorHAnsi"/>
                <w:b/>
                <w:bCs/>
                <w:sz w:val="18"/>
                <w:szCs w:val="18"/>
                <w:lang w:val="ro-MD"/>
              </w:rPr>
            </w:pPr>
            <w:r w:rsidRPr="00CF3AD4">
              <w:rPr>
                <w:rFonts w:asciiTheme="majorHAnsi" w:hAnsiTheme="majorHAnsi" w:cstheme="majorHAnsi"/>
                <w:b/>
                <w:bCs/>
                <w:sz w:val="18"/>
                <w:szCs w:val="18"/>
                <w:lang w:val="ro-MD"/>
              </w:rPr>
              <w:t>MEI</w:t>
            </w:r>
            <w:r w:rsidR="008A6391" w:rsidRPr="00CF3AD4">
              <w:rPr>
                <w:rFonts w:asciiTheme="majorHAnsi" w:hAnsiTheme="majorHAnsi" w:cstheme="majorHAnsi"/>
                <w:b/>
                <w:bCs/>
                <w:sz w:val="18"/>
                <w:szCs w:val="18"/>
                <w:lang w:val="ro-MD"/>
              </w:rPr>
              <w:t>/APP</w:t>
            </w:r>
          </w:p>
        </w:tc>
        <w:tc>
          <w:tcPr>
            <w:tcW w:w="1679" w:type="dxa"/>
            <w:vAlign w:val="center"/>
          </w:tcPr>
          <w:p w14:paraId="71282F4A" w14:textId="4FAE6878" w:rsidR="001A7164" w:rsidRPr="00CF3AD4" w:rsidRDefault="0089355A" w:rsidP="00FE3DE8">
            <w:pPr>
              <w:pStyle w:val="ListParagraph"/>
              <w:spacing w:line="259" w:lineRule="auto"/>
              <w:ind w:left="0"/>
              <w:jc w:val="center"/>
              <w:rPr>
                <w:rFonts w:asciiTheme="majorHAnsi" w:hAnsiTheme="majorHAnsi" w:cstheme="majorHAnsi"/>
                <w:b/>
                <w:bCs/>
                <w:sz w:val="18"/>
                <w:szCs w:val="18"/>
                <w:lang w:val="ro-MD"/>
              </w:rPr>
            </w:pPr>
            <w:r w:rsidRPr="00CF3AD4">
              <w:rPr>
                <w:rFonts w:asciiTheme="majorHAnsi" w:hAnsiTheme="majorHAnsi" w:cstheme="majorHAnsi"/>
                <w:b/>
                <w:bCs/>
                <w:sz w:val="18"/>
                <w:szCs w:val="18"/>
                <w:lang w:val="ro-MD"/>
              </w:rPr>
              <w:t>SA Gazprom</w:t>
            </w:r>
          </w:p>
        </w:tc>
        <w:tc>
          <w:tcPr>
            <w:tcW w:w="2312" w:type="dxa"/>
            <w:vAlign w:val="center"/>
          </w:tcPr>
          <w:p w14:paraId="07E2A5F1" w14:textId="755B36CD" w:rsidR="001A7164" w:rsidRPr="00CF3AD4" w:rsidRDefault="0089355A" w:rsidP="00FE3DE8">
            <w:pPr>
              <w:pStyle w:val="ListParagraph"/>
              <w:spacing w:line="259" w:lineRule="auto"/>
              <w:ind w:left="0"/>
              <w:jc w:val="center"/>
              <w:rPr>
                <w:rFonts w:asciiTheme="majorHAnsi" w:hAnsiTheme="majorHAnsi" w:cstheme="majorHAnsi"/>
                <w:b/>
                <w:bCs/>
                <w:sz w:val="18"/>
                <w:szCs w:val="18"/>
                <w:lang w:val="ro-MD"/>
              </w:rPr>
            </w:pPr>
            <w:r w:rsidRPr="00CF3AD4">
              <w:rPr>
                <w:rFonts w:asciiTheme="majorHAnsi" w:hAnsiTheme="majorHAnsi" w:cstheme="majorHAnsi"/>
                <w:b/>
                <w:noProof/>
                <w:sz w:val="18"/>
                <w:szCs w:val="18"/>
                <w:lang w:val="ro-MD"/>
              </w:rPr>
              <w:t>organul de administrare a proprietăţii Transnistriei</w:t>
            </w:r>
          </w:p>
        </w:tc>
      </w:tr>
      <w:tr w:rsidR="001A7164" w:rsidRPr="006E7BDC" w14:paraId="59BF08A5" w14:textId="1D04D49C" w:rsidTr="00CF3AD4">
        <w:trPr>
          <w:trHeight w:val="170"/>
        </w:trPr>
        <w:tc>
          <w:tcPr>
            <w:tcW w:w="2410" w:type="dxa"/>
            <w:vAlign w:val="center"/>
          </w:tcPr>
          <w:p w14:paraId="01928951" w14:textId="21B69B30" w:rsidR="001A7164" w:rsidRPr="00CF3AD4" w:rsidRDefault="00B03B33" w:rsidP="00FE3DE8">
            <w:pPr>
              <w:pStyle w:val="ListParagraph"/>
              <w:spacing w:line="259" w:lineRule="auto"/>
              <w:ind w:left="0"/>
              <w:jc w:val="both"/>
              <w:rPr>
                <w:rFonts w:asciiTheme="majorHAnsi" w:hAnsiTheme="majorHAnsi" w:cstheme="majorHAnsi"/>
                <w:b/>
                <w:bCs/>
                <w:i/>
                <w:sz w:val="18"/>
                <w:szCs w:val="18"/>
                <w:lang w:val="ro-MD"/>
              </w:rPr>
            </w:pPr>
            <w:r w:rsidRPr="00CF3AD4">
              <w:rPr>
                <w:rFonts w:asciiTheme="majorHAnsi" w:eastAsia="Times New Roman" w:hAnsiTheme="majorHAnsi" w:cstheme="majorHAnsi"/>
                <w:b/>
                <w:i/>
                <w:noProof/>
                <w:sz w:val="18"/>
                <w:szCs w:val="18"/>
                <w:lang w:val="ro-MD"/>
              </w:rPr>
              <w:t>Consiliul de Observatori</w:t>
            </w:r>
          </w:p>
        </w:tc>
        <w:tc>
          <w:tcPr>
            <w:tcW w:w="1134" w:type="dxa"/>
            <w:vAlign w:val="center"/>
          </w:tcPr>
          <w:p w14:paraId="1A8E7EE9" w14:textId="6EF83ABB"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6</w:t>
            </w:r>
          </w:p>
        </w:tc>
        <w:tc>
          <w:tcPr>
            <w:tcW w:w="1679" w:type="dxa"/>
            <w:vAlign w:val="center"/>
          </w:tcPr>
          <w:p w14:paraId="67A77B1F" w14:textId="4BACA6E7"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2</w:t>
            </w:r>
          </w:p>
        </w:tc>
        <w:tc>
          <w:tcPr>
            <w:tcW w:w="1679" w:type="dxa"/>
            <w:vAlign w:val="center"/>
          </w:tcPr>
          <w:p w14:paraId="1F2B433C" w14:textId="234D3F1E"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3</w:t>
            </w:r>
          </w:p>
        </w:tc>
        <w:tc>
          <w:tcPr>
            <w:tcW w:w="2312" w:type="dxa"/>
            <w:vAlign w:val="center"/>
          </w:tcPr>
          <w:p w14:paraId="5D5D3824" w14:textId="06C9AF91"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1</w:t>
            </w:r>
          </w:p>
        </w:tc>
      </w:tr>
      <w:tr w:rsidR="001A7164" w:rsidRPr="006E7BDC" w14:paraId="1E826EB2" w14:textId="5C3FA441" w:rsidTr="00CF3AD4">
        <w:trPr>
          <w:trHeight w:val="170"/>
        </w:trPr>
        <w:tc>
          <w:tcPr>
            <w:tcW w:w="2410" w:type="dxa"/>
            <w:vAlign w:val="center"/>
          </w:tcPr>
          <w:p w14:paraId="461D33BA" w14:textId="0B975C47" w:rsidR="001A7164" w:rsidRPr="00CF3AD4" w:rsidRDefault="00B03B33" w:rsidP="00FE3DE8">
            <w:pPr>
              <w:pStyle w:val="ListParagraph"/>
              <w:spacing w:line="259" w:lineRule="auto"/>
              <w:ind w:left="0"/>
              <w:jc w:val="both"/>
              <w:rPr>
                <w:rFonts w:asciiTheme="majorHAnsi" w:hAnsiTheme="majorHAnsi" w:cstheme="majorHAnsi"/>
                <w:b/>
                <w:bCs/>
                <w:i/>
                <w:sz w:val="18"/>
                <w:szCs w:val="18"/>
                <w:lang w:val="ro-MD"/>
              </w:rPr>
            </w:pPr>
            <w:r w:rsidRPr="00CF3AD4">
              <w:rPr>
                <w:rFonts w:asciiTheme="majorHAnsi" w:hAnsiTheme="majorHAnsi" w:cstheme="majorHAnsi"/>
                <w:b/>
                <w:bCs/>
                <w:i/>
                <w:sz w:val="18"/>
                <w:szCs w:val="18"/>
                <w:lang w:val="ro-MD"/>
              </w:rPr>
              <w:t>Consiliul de Administrație</w:t>
            </w:r>
          </w:p>
        </w:tc>
        <w:tc>
          <w:tcPr>
            <w:tcW w:w="1134" w:type="dxa"/>
            <w:vAlign w:val="center"/>
          </w:tcPr>
          <w:p w14:paraId="10BB9675" w14:textId="28E7A445"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9</w:t>
            </w:r>
          </w:p>
        </w:tc>
        <w:tc>
          <w:tcPr>
            <w:tcW w:w="1679" w:type="dxa"/>
            <w:vAlign w:val="center"/>
          </w:tcPr>
          <w:p w14:paraId="0787CB4B" w14:textId="112FC79F"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4</w:t>
            </w:r>
          </w:p>
        </w:tc>
        <w:tc>
          <w:tcPr>
            <w:tcW w:w="1679" w:type="dxa"/>
            <w:vAlign w:val="center"/>
          </w:tcPr>
          <w:p w14:paraId="7F8EA5FA" w14:textId="1013509A"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3</w:t>
            </w:r>
          </w:p>
        </w:tc>
        <w:tc>
          <w:tcPr>
            <w:tcW w:w="2312" w:type="dxa"/>
            <w:vAlign w:val="center"/>
          </w:tcPr>
          <w:p w14:paraId="108D3007" w14:textId="24846933"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2</w:t>
            </w:r>
          </w:p>
        </w:tc>
      </w:tr>
      <w:tr w:rsidR="001A7164" w:rsidRPr="006E7BDC" w14:paraId="6250856F" w14:textId="13782AED" w:rsidTr="00CF3AD4">
        <w:trPr>
          <w:trHeight w:val="170"/>
        </w:trPr>
        <w:tc>
          <w:tcPr>
            <w:tcW w:w="2410" w:type="dxa"/>
            <w:vAlign w:val="center"/>
          </w:tcPr>
          <w:p w14:paraId="2E78BC3B" w14:textId="2195F3D8" w:rsidR="001A7164" w:rsidRPr="00CF3AD4" w:rsidRDefault="00B03B33" w:rsidP="00FE3DE8">
            <w:pPr>
              <w:pStyle w:val="ListParagraph"/>
              <w:spacing w:line="259" w:lineRule="auto"/>
              <w:ind w:left="0"/>
              <w:jc w:val="both"/>
              <w:rPr>
                <w:rFonts w:asciiTheme="majorHAnsi" w:hAnsiTheme="majorHAnsi" w:cstheme="majorHAnsi"/>
                <w:b/>
                <w:bCs/>
                <w:i/>
                <w:sz w:val="18"/>
                <w:szCs w:val="18"/>
                <w:lang w:val="ro-MD"/>
              </w:rPr>
            </w:pPr>
            <w:r w:rsidRPr="00CF3AD4">
              <w:rPr>
                <w:rFonts w:asciiTheme="majorHAnsi" w:hAnsiTheme="majorHAnsi" w:cstheme="majorHAnsi"/>
                <w:b/>
                <w:bCs/>
                <w:i/>
                <w:sz w:val="18"/>
                <w:szCs w:val="18"/>
                <w:lang w:val="ro-MD"/>
              </w:rPr>
              <w:t>Comisia de cenzori</w:t>
            </w:r>
          </w:p>
        </w:tc>
        <w:tc>
          <w:tcPr>
            <w:tcW w:w="1134" w:type="dxa"/>
            <w:vAlign w:val="center"/>
          </w:tcPr>
          <w:p w14:paraId="0CDD5458" w14:textId="51BE9507"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3</w:t>
            </w:r>
          </w:p>
        </w:tc>
        <w:tc>
          <w:tcPr>
            <w:tcW w:w="1679" w:type="dxa"/>
            <w:vAlign w:val="center"/>
          </w:tcPr>
          <w:p w14:paraId="21F977DB" w14:textId="184D44A0"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1</w:t>
            </w:r>
          </w:p>
        </w:tc>
        <w:tc>
          <w:tcPr>
            <w:tcW w:w="1679" w:type="dxa"/>
            <w:vAlign w:val="center"/>
          </w:tcPr>
          <w:p w14:paraId="7A77D5C3" w14:textId="50D0AEC0"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1</w:t>
            </w:r>
          </w:p>
        </w:tc>
        <w:tc>
          <w:tcPr>
            <w:tcW w:w="2312" w:type="dxa"/>
            <w:vAlign w:val="center"/>
          </w:tcPr>
          <w:p w14:paraId="04138A49" w14:textId="7BD2899F" w:rsidR="001A7164" w:rsidRPr="00CF3AD4" w:rsidRDefault="00B03B33" w:rsidP="00FE3DE8">
            <w:pPr>
              <w:pStyle w:val="ListParagraph"/>
              <w:spacing w:line="259" w:lineRule="auto"/>
              <w:ind w:left="0"/>
              <w:jc w:val="center"/>
              <w:rPr>
                <w:rFonts w:asciiTheme="majorHAnsi" w:hAnsiTheme="majorHAnsi" w:cstheme="majorHAnsi"/>
                <w:bCs/>
                <w:sz w:val="18"/>
                <w:szCs w:val="18"/>
                <w:lang w:val="ro-MD"/>
              </w:rPr>
            </w:pPr>
            <w:r w:rsidRPr="00CF3AD4">
              <w:rPr>
                <w:rFonts w:asciiTheme="majorHAnsi" w:hAnsiTheme="majorHAnsi" w:cstheme="majorHAnsi"/>
                <w:bCs/>
                <w:sz w:val="18"/>
                <w:szCs w:val="18"/>
                <w:lang w:val="ro-MD"/>
              </w:rPr>
              <w:t>1</w:t>
            </w:r>
          </w:p>
        </w:tc>
      </w:tr>
    </w:tbl>
    <w:p w14:paraId="34133AB9" w14:textId="4B85A2F7" w:rsidR="006B2435" w:rsidRPr="009772A3" w:rsidRDefault="001F7D72" w:rsidP="00F93470">
      <w:pPr>
        <w:spacing w:after="0" w:line="276" w:lineRule="auto"/>
        <w:ind w:firstLine="720"/>
        <w:jc w:val="both"/>
        <w:rPr>
          <w:rFonts w:asciiTheme="majorHAnsi" w:eastAsia="Times New Roman" w:hAnsiTheme="majorHAnsi" w:cstheme="majorHAnsi"/>
          <w:noProof/>
          <w:sz w:val="16"/>
          <w:szCs w:val="16"/>
          <w:lang w:val="ro-MD"/>
        </w:rPr>
      </w:pPr>
      <w:r w:rsidRPr="009772A3">
        <w:rPr>
          <w:rFonts w:asciiTheme="majorHAnsi" w:eastAsia="Times New Roman" w:hAnsiTheme="majorHAnsi" w:cstheme="majorHAnsi"/>
          <w:i/>
          <w:noProof/>
          <w:sz w:val="16"/>
          <w:szCs w:val="16"/>
          <w:lang w:val="ro-MD"/>
        </w:rPr>
        <w:t>Sursa:</w:t>
      </w:r>
      <w:r w:rsidRPr="009772A3">
        <w:rPr>
          <w:rFonts w:asciiTheme="majorHAnsi" w:eastAsia="Times New Roman" w:hAnsiTheme="majorHAnsi" w:cstheme="majorHAnsi"/>
          <w:noProof/>
          <w:sz w:val="16"/>
          <w:szCs w:val="16"/>
          <w:lang w:val="ro-MD"/>
        </w:rPr>
        <w:t xml:space="preserve"> Statutul SA Moldovagaz.</w:t>
      </w:r>
    </w:p>
    <w:p w14:paraId="3D75191E" w14:textId="47F91587" w:rsidR="006B2435" w:rsidRPr="009772A3" w:rsidRDefault="006B2435" w:rsidP="00CF3AD4">
      <w:pPr>
        <w:pStyle w:val="Heading1"/>
        <w:numPr>
          <w:ilvl w:val="1"/>
          <w:numId w:val="2"/>
        </w:numPr>
        <w:spacing w:before="120" w:line="276" w:lineRule="auto"/>
        <w:ind w:left="0" w:firstLine="0"/>
        <w:jc w:val="left"/>
        <w:rPr>
          <w:rFonts w:cstheme="majorHAnsi"/>
          <w:color w:val="auto"/>
          <w:szCs w:val="24"/>
          <w:lang w:val="ro-MD"/>
        </w:rPr>
      </w:pPr>
      <w:bookmarkStart w:id="10" w:name="_Toc119496378"/>
      <w:r w:rsidRPr="009772A3">
        <w:rPr>
          <w:rFonts w:cstheme="majorHAnsi"/>
          <w:color w:val="auto"/>
          <w:szCs w:val="24"/>
          <w:lang w:val="ro-MD"/>
        </w:rPr>
        <w:t xml:space="preserve">Particularitățile </w:t>
      </w:r>
      <w:r w:rsidR="00ED2FA2" w:rsidRPr="009772A3">
        <w:rPr>
          <w:rFonts w:cstheme="majorHAnsi"/>
          <w:color w:val="auto"/>
          <w:szCs w:val="24"/>
          <w:lang w:val="ro-MD"/>
        </w:rPr>
        <w:t xml:space="preserve">activității </w:t>
      </w:r>
      <w:r w:rsidR="00222B90" w:rsidRPr="009772A3">
        <w:rPr>
          <w:rFonts w:cstheme="majorHAnsi"/>
          <w:color w:val="auto"/>
          <w:szCs w:val="24"/>
          <w:lang w:val="ro-MD"/>
        </w:rPr>
        <w:t>SA Moldovagaz</w:t>
      </w:r>
      <w:bookmarkEnd w:id="10"/>
    </w:p>
    <w:p w14:paraId="4F2C7841" w14:textId="307C81C7" w:rsidR="00ED2FA2" w:rsidRPr="009772A3" w:rsidRDefault="00ED2FA2" w:rsidP="00F7080B">
      <w:pPr>
        <w:spacing w:after="0" w:line="276" w:lineRule="auto"/>
        <w:ind w:firstLine="709"/>
        <w:jc w:val="both"/>
        <w:rPr>
          <w:rFonts w:asciiTheme="majorHAnsi" w:eastAsia="Times New Roman" w:hAnsiTheme="majorHAnsi" w:cstheme="majorHAnsi"/>
          <w:noProof/>
          <w:sz w:val="24"/>
          <w:szCs w:val="24"/>
          <w:lang w:val="ro-MD"/>
        </w:rPr>
      </w:pPr>
      <w:r w:rsidRPr="009772A3">
        <w:rPr>
          <w:rFonts w:asciiTheme="majorHAnsi" w:hAnsiTheme="majorHAnsi" w:cstheme="majorHAnsi"/>
          <w:sz w:val="24"/>
          <w:szCs w:val="24"/>
          <w:lang w:val="ro-MD"/>
        </w:rPr>
        <w:t>SA Moldovagaz este una dintre cele mai mari întreprinderi din sectorul energetic al Republicii Moldova</w:t>
      </w:r>
      <w:r w:rsidR="00F7080B" w:rsidRPr="009772A3">
        <w:rPr>
          <w:rFonts w:asciiTheme="majorHAnsi" w:hAnsiTheme="majorHAnsi" w:cstheme="majorHAnsi"/>
          <w:sz w:val="24"/>
          <w:szCs w:val="24"/>
          <w:lang w:val="ro-MD"/>
        </w:rPr>
        <w:t xml:space="preserve">, care </w:t>
      </w:r>
      <w:r w:rsidRPr="009772A3">
        <w:rPr>
          <w:rFonts w:asciiTheme="majorHAnsi" w:eastAsia="Times New Roman" w:hAnsiTheme="majorHAnsi" w:cstheme="majorHAnsi"/>
          <w:noProof/>
          <w:sz w:val="24"/>
          <w:szCs w:val="24"/>
          <w:lang w:val="ro-MD"/>
        </w:rPr>
        <w:t xml:space="preserve">deține pe piața gazelor naturale din Republica Moldova </w:t>
      </w:r>
      <w:r w:rsidR="00C12058" w:rsidRPr="009772A3">
        <w:rPr>
          <w:rFonts w:asciiTheme="majorHAnsi" w:eastAsia="Times New Roman" w:hAnsiTheme="majorHAnsi" w:cstheme="majorHAnsi"/>
          <w:noProof/>
          <w:sz w:val="24"/>
          <w:szCs w:val="24"/>
          <w:lang w:val="ro-MD"/>
        </w:rPr>
        <w:t>rolul de</w:t>
      </w:r>
      <w:r w:rsidRPr="009772A3">
        <w:rPr>
          <w:rFonts w:asciiTheme="majorHAnsi" w:eastAsia="Times New Roman" w:hAnsiTheme="majorHAnsi" w:cstheme="majorHAnsi"/>
          <w:noProof/>
          <w:sz w:val="24"/>
          <w:szCs w:val="24"/>
          <w:lang w:val="ro-MD"/>
        </w:rPr>
        <w:t>:</w:t>
      </w:r>
    </w:p>
    <w:p w14:paraId="780E3059" w14:textId="338B7E1E" w:rsidR="00ED2FA2" w:rsidRPr="009772A3" w:rsidRDefault="00C12058" w:rsidP="001F7686">
      <w:pPr>
        <w:pStyle w:val="ListParagraph"/>
        <w:numPr>
          <w:ilvl w:val="0"/>
          <w:numId w:val="12"/>
        </w:numPr>
        <w:spacing w:after="0" w:line="276" w:lineRule="auto"/>
        <w:ind w:left="0" w:firstLine="426"/>
        <w:jc w:val="both"/>
        <w:rPr>
          <w:rFonts w:asciiTheme="majorHAnsi" w:eastAsia="Times New Roman" w:hAnsiTheme="majorHAnsi" w:cstheme="majorHAnsi"/>
          <w:noProof/>
          <w:sz w:val="24"/>
          <w:szCs w:val="24"/>
          <w:lang w:val="ro-MD"/>
        </w:rPr>
      </w:pPr>
      <w:r w:rsidRPr="009772A3">
        <w:rPr>
          <w:rFonts w:asciiTheme="majorHAnsi" w:eastAsia="Times New Roman" w:hAnsiTheme="majorHAnsi" w:cstheme="majorHAnsi"/>
          <w:b/>
          <w:i/>
          <w:noProof/>
          <w:sz w:val="24"/>
          <w:szCs w:val="24"/>
          <w:lang w:val="ro-MD"/>
        </w:rPr>
        <w:t>f</w:t>
      </w:r>
      <w:r w:rsidR="00ED2FA2" w:rsidRPr="009772A3">
        <w:rPr>
          <w:rFonts w:asciiTheme="majorHAnsi" w:eastAsia="Times New Roman" w:hAnsiTheme="majorHAnsi" w:cstheme="majorHAnsi"/>
          <w:b/>
          <w:i/>
          <w:noProof/>
          <w:sz w:val="24"/>
          <w:szCs w:val="24"/>
          <w:lang w:val="ro-MD"/>
        </w:rPr>
        <w:t>urnizor de gaze naturale</w:t>
      </w:r>
      <w:r w:rsidR="00ED2FA2" w:rsidRPr="009772A3">
        <w:rPr>
          <w:rFonts w:asciiTheme="majorHAnsi" w:eastAsia="Times New Roman" w:hAnsiTheme="majorHAnsi" w:cstheme="majorHAnsi"/>
          <w:noProof/>
          <w:sz w:val="24"/>
          <w:szCs w:val="24"/>
          <w:lang w:val="ro-MD"/>
        </w:rPr>
        <w:t xml:space="preserve"> (titular de licență), ce îndeplinește obligații de serviciu public privind furnizarea gazelor naturale consumatorilor finali (casnici și noncasnici) și care are raporturi juridice cu alți participanți ai pieții gazelor naturale (transportatori și distribuitori)</w:t>
      </w:r>
      <w:r w:rsidRPr="009772A3">
        <w:rPr>
          <w:rFonts w:asciiTheme="majorHAnsi" w:eastAsia="Times New Roman" w:hAnsiTheme="majorHAnsi" w:cstheme="majorHAnsi"/>
          <w:noProof/>
          <w:sz w:val="24"/>
          <w:szCs w:val="24"/>
          <w:lang w:val="ro-MD"/>
        </w:rPr>
        <w:t>,</w:t>
      </w:r>
      <w:r w:rsidR="00ED2FA2" w:rsidRPr="009772A3">
        <w:rPr>
          <w:rFonts w:asciiTheme="majorHAnsi" w:eastAsia="Times New Roman" w:hAnsiTheme="majorHAnsi" w:cstheme="majorHAnsi"/>
          <w:noProof/>
          <w:sz w:val="24"/>
          <w:szCs w:val="24"/>
          <w:lang w:val="ro-MD"/>
        </w:rPr>
        <w:t xml:space="preserve"> în vederea asigurării fiabile cu gaze naturale a consumatorilor;</w:t>
      </w:r>
    </w:p>
    <w:p w14:paraId="7884E9FF" w14:textId="782894FE" w:rsidR="004258D3" w:rsidRPr="009772A3" w:rsidRDefault="00C12058" w:rsidP="001F7686">
      <w:pPr>
        <w:pStyle w:val="ListParagraph"/>
        <w:numPr>
          <w:ilvl w:val="0"/>
          <w:numId w:val="12"/>
        </w:numPr>
        <w:spacing w:after="0" w:line="276" w:lineRule="auto"/>
        <w:ind w:left="0" w:firstLine="426"/>
        <w:jc w:val="both"/>
        <w:rPr>
          <w:rFonts w:ascii="Times New Roman" w:eastAsia="Times New Roman" w:hAnsi="Times New Roman" w:cs="Times New Roman"/>
          <w:noProof/>
          <w:lang w:val="ro-MD" w:eastAsia="ru-RU" w:bidi="ru-RU"/>
        </w:rPr>
      </w:pPr>
      <w:r w:rsidRPr="009772A3">
        <w:rPr>
          <w:rFonts w:asciiTheme="majorHAnsi" w:eastAsia="Times New Roman" w:hAnsiTheme="majorHAnsi" w:cstheme="majorHAnsi"/>
          <w:b/>
          <w:i/>
          <w:noProof/>
          <w:sz w:val="24"/>
          <w:szCs w:val="24"/>
          <w:lang w:val="ro-MD"/>
        </w:rPr>
        <w:t>f</w:t>
      </w:r>
      <w:r w:rsidR="00ED2FA2" w:rsidRPr="009772A3">
        <w:rPr>
          <w:rFonts w:asciiTheme="majorHAnsi" w:eastAsia="Times New Roman" w:hAnsiTheme="majorHAnsi" w:cstheme="majorHAnsi"/>
          <w:b/>
          <w:i/>
          <w:noProof/>
          <w:sz w:val="24"/>
          <w:szCs w:val="24"/>
          <w:lang w:val="ro-MD"/>
        </w:rPr>
        <w:t>ondator și unic asociat</w:t>
      </w:r>
      <w:r w:rsidR="00ED2FA2" w:rsidRPr="009772A3">
        <w:rPr>
          <w:rFonts w:asciiTheme="majorHAnsi" w:eastAsia="Times New Roman" w:hAnsiTheme="majorHAnsi" w:cstheme="majorHAnsi"/>
          <w:noProof/>
          <w:sz w:val="24"/>
          <w:szCs w:val="24"/>
          <w:lang w:val="ro-MD"/>
        </w:rPr>
        <w:t xml:space="preserve"> (100%) al </w:t>
      </w:r>
      <w:r w:rsidR="008B73E6" w:rsidRPr="009772A3">
        <w:rPr>
          <w:rFonts w:asciiTheme="majorHAnsi" w:eastAsia="Times New Roman" w:hAnsiTheme="majorHAnsi" w:cstheme="majorHAnsi"/>
          <w:noProof/>
          <w:sz w:val="24"/>
          <w:szCs w:val="24"/>
          <w:lang w:val="ro-MD"/>
        </w:rPr>
        <w:t>întreprinderi</w:t>
      </w:r>
      <w:r w:rsidR="005222F3" w:rsidRPr="009772A3">
        <w:rPr>
          <w:rFonts w:asciiTheme="majorHAnsi" w:eastAsia="Times New Roman" w:hAnsiTheme="majorHAnsi" w:cstheme="majorHAnsi"/>
          <w:noProof/>
          <w:sz w:val="24"/>
          <w:szCs w:val="24"/>
          <w:lang w:val="ro-MD"/>
        </w:rPr>
        <w:t>lor</w:t>
      </w:r>
      <w:r w:rsidR="00ED2FA2" w:rsidRPr="009772A3">
        <w:rPr>
          <w:rFonts w:asciiTheme="majorHAnsi" w:eastAsia="Times New Roman" w:hAnsiTheme="majorHAnsi" w:cstheme="majorHAnsi"/>
          <w:noProof/>
          <w:sz w:val="24"/>
          <w:szCs w:val="24"/>
          <w:lang w:val="ro-MD"/>
        </w:rPr>
        <w:t xml:space="preserve"> din sectorul gazelor naturale ce prestează servicii de transport și distribuție pe piața gazelor naturale</w:t>
      </w:r>
      <w:r w:rsidR="005222F3" w:rsidRPr="009772A3">
        <w:rPr>
          <w:rFonts w:asciiTheme="majorHAnsi" w:eastAsia="Times New Roman" w:hAnsiTheme="majorHAnsi" w:cstheme="majorHAnsi"/>
          <w:noProof/>
          <w:sz w:val="24"/>
          <w:szCs w:val="24"/>
          <w:lang w:val="ro-MD"/>
        </w:rPr>
        <w:t xml:space="preserve"> din partea dreaptă și partea st</w:t>
      </w:r>
      <w:r w:rsidRPr="009772A3">
        <w:rPr>
          <w:rFonts w:asciiTheme="majorHAnsi" w:eastAsia="Times New Roman" w:hAnsiTheme="majorHAnsi" w:cstheme="majorHAnsi"/>
          <w:noProof/>
          <w:sz w:val="24"/>
          <w:szCs w:val="24"/>
          <w:lang w:val="ro-MD"/>
        </w:rPr>
        <w:t>â</w:t>
      </w:r>
      <w:r w:rsidR="005222F3" w:rsidRPr="009772A3">
        <w:rPr>
          <w:rFonts w:asciiTheme="majorHAnsi" w:eastAsia="Times New Roman" w:hAnsiTheme="majorHAnsi" w:cstheme="majorHAnsi"/>
          <w:noProof/>
          <w:sz w:val="24"/>
          <w:szCs w:val="24"/>
          <w:lang w:val="ro-MD"/>
        </w:rPr>
        <w:t xml:space="preserve">ngă a </w:t>
      </w:r>
      <w:r w:rsidRPr="009772A3">
        <w:rPr>
          <w:rFonts w:asciiTheme="majorHAnsi" w:eastAsia="Times New Roman" w:hAnsiTheme="majorHAnsi" w:cstheme="majorHAnsi"/>
          <w:noProof/>
          <w:sz w:val="24"/>
          <w:szCs w:val="24"/>
          <w:lang w:val="ro-MD"/>
        </w:rPr>
        <w:t xml:space="preserve">râului </w:t>
      </w:r>
      <w:r w:rsidR="005222F3" w:rsidRPr="009772A3">
        <w:rPr>
          <w:rFonts w:asciiTheme="majorHAnsi" w:eastAsia="Times New Roman" w:hAnsiTheme="majorHAnsi" w:cstheme="majorHAnsi"/>
          <w:noProof/>
          <w:sz w:val="24"/>
          <w:szCs w:val="24"/>
          <w:lang w:val="ro-MD"/>
        </w:rPr>
        <w:t>Nistru</w:t>
      </w:r>
      <w:r w:rsidR="00ED2FA2" w:rsidRPr="009772A3">
        <w:rPr>
          <w:rFonts w:asciiTheme="majorHAnsi" w:eastAsia="Times New Roman" w:hAnsiTheme="majorHAnsi" w:cstheme="majorHAnsi"/>
          <w:noProof/>
          <w:sz w:val="24"/>
          <w:szCs w:val="24"/>
          <w:lang w:val="ro-MD"/>
        </w:rPr>
        <w:t>.</w:t>
      </w:r>
    </w:p>
    <w:p w14:paraId="0C41F013" w14:textId="1C1E8D2E" w:rsidR="008527F8" w:rsidRDefault="004258D3">
      <w:pPr>
        <w:widowControl w:val="0"/>
        <w:autoSpaceDE w:val="0"/>
        <w:autoSpaceDN w:val="0"/>
        <w:adjustRightInd w:val="0"/>
        <w:spacing w:after="0" w:line="276" w:lineRule="auto"/>
        <w:ind w:firstLine="720"/>
        <w:jc w:val="both"/>
        <w:rPr>
          <w:rFonts w:asciiTheme="majorHAnsi" w:hAnsiTheme="majorHAnsi" w:cstheme="majorHAnsi"/>
          <w:sz w:val="24"/>
          <w:szCs w:val="24"/>
          <w:lang w:val="ro-MD"/>
        </w:rPr>
      </w:pPr>
      <w:r w:rsidRPr="009772A3">
        <w:rPr>
          <w:rFonts w:asciiTheme="majorHAnsi" w:eastAsia="Times New Roman" w:hAnsiTheme="majorHAnsi" w:cstheme="majorHAnsi"/>
          <w:sz w:val="24"/>
          <w:szCs w:val="24"/>
          <w:lang w:val="ro-MD"/>
        </w:rPr>
        <w:t>Activitățile de transport, distribuție și furnizare a gazelor naturale reprezintă o activitate reglementată</w:t>
      </w:r>
      <w:r w:rsidRPr="009772A3">
        <w:rPr>
          <w:rStyle w:val="FootnoteReference"/>
          <w:rFonts w:eastAsia="Times New Roman" w:cstheme="majorHAnsi"/>
          <w:sz w:val="24"/>
          <w:szCs w:val="24"/>
          <w:lang w:val="ro-MD"/>
        </w:rPr>
        <w:footnoteReference w:id="9"/>
      </w:r>
      <w:r w:rsidRPr="009772A3">
        <w:rPr>
          <w:rFonts w:asciiTheme="majorHAnsi" w:eastAsia="Times New Roman" w:hAnsiTheme="majorHAnsi" w:cstheme="majorHAnsi"/>
          <w:sz w:val="24"/>
          <w:szCs w:val="24"/>
          <w:lang w:val="ro-MD"/>
        </w:rPr>
        <w:t xml:space="preserve">, iar autoritatea învestită cu competențe de reglementare și de monitorizare a activităților din sectorul gazelor naturale este ANRE. </w:t>
      </w:r>
      <w:r w:rsidR="008527F8">
        <w:rPr>
          <w:rFonts w:asciiTheme="majorHAnsi" w:hAnsiTheme="majorHAnsi" w:cstheme="majorHAnsi"/>
          <w:sz w:val="24"/>
          <w:szCs w:val="24"/>
          <w:lang w:val="ro-MD"/>
        </w:rPr>
        <w:t>R</w:t>
      </w:r>
      <w:r w:rsidR="008527F8" w:rsidRPr="009772A3">
        <w:rPr>
          <w:rFonts w:asciiTheme="majorHAnsi" w:hAnsiTheme="majorHAnsi" w:cstheme="majorHAnsi"/>
          <w:sz w:val="24"/>
          <w:szCs w:val="24"/>
          <w:lang w:val="ro-MD"/>
        </w:rPr>
        <w:t>esponsabilitățil</w:t>
      </w:r>
      <w:r w:rsidR="008527F8">
        <w:rPr>
          <w:rFonts w:asciiTheme="majorHAnsi" w:hAnsiTheme="majorHAnsi" w:cstheme="majorHAnsi"/>
          <w:sz w:val="24"/>
          <w:szCs w:val="24"/>
          <w:lang w:val="ro-MD"/>
        </w:rPr>
        <w:t>e</w:t>
      </w:r>
      <w:r w:rsidR="008527F8" w:rsidRPr="009772A3">
        <w:rPr>
          <w:rFonts w:asciiTheme="majorHAnsi" w:hAnsiTheme="majorHAnsi" w:cstheme="majorHAnsi"/>
          <w:sz w:val="24"/>
          <w:szCs w:val="24"/>
          <w:lang w:val="ro-MD"/>
        </w:rPr>
        <w:t xml:space="preserve"> </w:t>
      </w:r>
      <w:r w:rsidR="008527F8">
        <w:rPr>
          <w:rFonts w:asciiTheme="majorHAnsi" w:hAnsiTheme="majorHAnsi" w:cstheme="majorHAnsi"/>
          <w:sz w:val="24"/>
          <w:szCs w:val="24"/>
          <w:lang w:val="ro-MD"/>
        </w:rPr>
        <w:t xml:space="preserve">ANRE </w:t>
      </w:r>
      <w:r w:rsidR="008527F8" w:rsidRPr="009772A3">
        <w:rPr>
          <w:rFonts w:asciiTheme="majorHAnsi" w:hAnsiTheme="majorHAnsi" w:cstheme="majorHAnsi"/>
          <w:sz w:val="24"/>
          <w:szCs w:val="24"/>
          <w:lang w:val="ro-MD"/>
        </w:rPr>
        <w:t>sunt prezentate în Anexa nr.1</w:t>
      </w:r>
      <w:r w:rsidR="008527F8">
        <w:rPr>
          <w:rFonts w:asciiTheme="majorHAnsi" w:hAnsiTheme="majorHAnsi" w:cstheme="majorHAnsi"/>
          <w:sz w:val="24"/>
          <w:szCs w:val="24"/>
          <w:lang w:val="ro-MD"/>
        </w:rPr>
        <w:t>.2.</w:t>
      </w:r>
      <w:r w:rsidR="008527F8" w:rsidRPr="009772A3">
        <w:rPr>
          <w:rFonts w:asciiTheme="majorHAnsi" w:hAnsiTheme="majorHAnsi" w:cstheme="majorHAnsi"/>
          <w:sz w:val="24"/>
          <w:szCs w:val="24"/>
          <w:lang w:val="ro-MD"/>
        </w:rPr>
        <w:t xml:space="preserve"> la prezentul Raport de audit.</w:t>
      </w:r>
    </w:p>
    <w:p w14:paraId="5B1ADBFA" w14:textId="77777777" w:rsidR="00414FF4" w:rsidRPr="00CF3AD4" w:rsidRDefault="00414FF4">
      <w:pPr>
        <w:widowControl w:val="0"/>
        <w:autoSpaceDE w:val="0"/>
        <w:autoSpaceDN w:val="0"/>
        <w:adjustRightInd w:val="0"/>
        <w:spacing w:after="0" w:line="276" w:lineRule="auto"/>
        <w:ind w:firstLine="720"/>
        <w:jc w:val="both"/>
        <w:rPr>
          <w:rFonts w:asciiTheme="majorHAnsi" w:hAnsiTheme="majorHAnsi" w:cstheme="majorHAnsi"/>
          <w:sz w:val="16"/>
          <w:szCs w:val="16"/>
          <w:lang w:val="ro-MD"/>
        </w:rPr>
      </w:pPr>
    </w:p>
    <w:p w14:paraId="4C048A71" w14:textId="3C24145C" w:rsidR="004258D3" w:rsidRPr="009772A3" w:rsidRDefault="004258D3" w:rsidP="00CF3AD4">
      <w:pPr>
        <w:pStyle w:val="Heading1"/>
        <w:numPr>
          <w:ilvl w:val="1"/>
          <w:numId w:val="2"/>
        </w:numPr>
        <w:spacing w:before="0" w:line="276" w:lineRule="auto"/>
        <w:ind w:left="0" w:firstLine="0"/>
        <w:jc w:val="left"/>
        <w:rPr>
          <w:rFonts w:eastAsiaTheme="minorEastAsia" w:cstheme="majorHAnsi"/>
          <w:noProof/>
          <w:color w:val="auto"/>
          <w:szCs w:val="24"/>
          <w:lang w:val="ro-MD" w:eastAsia="zh-CN"/>
        </w:rPr>
      </w:pPr>
      <w:bookmarkStart w:id="11" w:name="_Toc119245366"/>
      <w:bookmarkStart w:id="12" w:name="_Toc119245367"/>
      <w:bookmarkStart w:id="13" w:name="_Toc119496379"/>
      <w:bookmarkEnd w:id="11"/>
      <w:bookmarkEnd w:id="12"/>
      <w:r w:rsidRPr="009772A3">
        <w:rPr>
          <w:rFonts w:cstheme="majorHAnsi"/>
          <w:color w:val="auto"/>
          <w:szCs w:val="24"/>
          <w:lang w:val="ro-MD"/>
        </w:rPr>
        <w:t>Structura corporativă a grupului de întreprinderi al SA Moldovagaz</w:t>
      </w:r>
      <w:bookmarkEnd w:id="13"/>
    </w:p>
    <w:p w14:paraId="587B27A1" w14:textId="5C0846E2" w:rsidR="0041617E" w:rsidRDefault="00357330" w:rsidP="00CF3AD4">
      <w:pPr>
        <w:spacing w:after="0"/>
        <w:ind w:firstLine="709"/>
        <w:jc w:val="both"/>
        <w:rPr>
          <w:rFonts w:asciiTheme="majorHAnsi" w:eastAsia="Times New Roman" w:hAnsiTheme="majorHAnsi" w:cstheme="majorHAnsi"/>
          <w:noProof/>
          <w:sz w:val="24"/>
          <w:szCs w:val="24"/>
          <w:lang w:val="ro-MD"/>
        </w:rPr>
      </w:pPr>
      <w:r w:rsidRPr="009772A3">
        <w:rPr>
          <w:rFonts w:asciiTheme="majorHAnsi" w:hAnsiTheme="majorHAnsi" w:cstheme="majorHAnsi"/>
          <w:sz w:val="24"/>
          <w:szCs w:val="24"/>
          <w:lang w:val="ro-MD"/>
        </w:rPr>
        <w:t xml:space="preserve">La 31.12.2021 </w:t>
      </w:r>
      <w:r w:rsidR="00AB10EC" w:rsidRPr="009772A3">
        <w:rPr>
          <w:rFonts w:asciiTheme="majorHAnsi" w:hAnsiTheme="majorHAnsi" w:cstheme="majorHAnsi"/>
          <w:sz w:val="24"/>
          <w:szCs w:val="24"/>
          <w:lang w:val="ro-MD"/>
        </w:rPr>
        <w:t>SA Moldovagaz e</w:t>
      </w:r>
      <w:r w:rsidRPr="009772A3">
        <w:rPr>
          <w:rFonts w:asciiTheme="majorHAnsi" w:hAnsiTheme="majorHAnsi" w:cstheme="majorHAnsi"/>
          <w:sz w:val="24"/>
          <w:szCs w:val="24"/>
          <w:lang w:val="ro-MD"/>
        </w:rPr>
        <w:t xml:space="preserve">ra </w:t>
      </w:r>
      <w:r w:rsidR="00AB10EC" w:rsidRPr="009772A3">
        <w:rPr>
          <w:rFonts w:asciiTheme="majorHAnsi" w:hAnsiTheme="majorHAnsi" w:cstheme="majorHAnsi"/>
          <w:sz w:val="24"/>
          <w:szCs w:val="24"/>
          <w:lang w:val="ro-MD"/>
        </w:rPr>
        <w:t>fondatorul direct</w:t>
      </w:r>
      <w:r w:rsidRPr="009772A3">
        <w:rPr>
          <w:rFonts w:asciiTheme="majorHAnsi" w:hAnsiTheme="majorHAnsi" w:cstheme="majorHAnsi"/>
          <w:sz w:val="24"/>
          <w:szCs w:val="24"/>
          <w:lang w:val="ro-MD"/>
        </w:rPr>
        <w:t xml:space="preserve"> a 23 SRL de pe ambele maluri ale râului Nistru, precum și </w:t>
      </w:r>
      <w:r w:rsidR="007A29C0" w:rsidRPr="009772A3">
        <w:rPr>
          <w:rFonts w:asciiTheme="majorHAnsi" w:hAnsiTheme="majorHAnsi" w:cstheme="majorHAnsi"/>
          <w:sz w:val="24"/>
          <w:szCs w:val="24"/>
          <w:lang w:val="ro-MD"/>
        </w:rPr>
        <w:t xml:space="preserve">fondator </w:t>
      </w:r>
      <w:r w:rsidR="00AB10EC" w:rsidRPr="009772A3">
        <w:rPr>
          <w:rFonts w:asciiTheme="majorHAnsi" w:hAnsiTheme="majorHAnsi" w:cstheme="majorHAnsi"/>
          <w:sz w:val="24"/>
          <w:szCs w:val="24"/>
          <w:lang w:val="ro-MD"/>
        </w:rPr>
        <w:t xml:space="preserve">indirect a </w:t>
      </w:r>
      <w:r w:rsidRPr="009772A3">
        <w:rPr>
          <w:rFonts w:asciiTheme="majorHAnsi" w:hAnsiTheme="majorHAnsi" w:cstheme="majorHAnsi"/>
          <w:sz w:val="24"/>
          <w:szCs w:val="24"/>
          <w:lang w:val="ro-MD"/>
        </w:rPr>
        <w:t>3 SRL</w:t>
      </w:r>
      <w:r w:rsidRPr="009772A3" w:rsidDel="00357330">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fondate de SRL Moldovatransgaz</w:t>
      </w:r>
      <w:r w:rsidR="00A5066B" w:rsidRPr="009772A3">
        <w:rPr>
          <w:rFonts w:asciiTheme="majorHAnsi" w:hAnsiTheme="majorHAnsi" w:cstheme="majorHAnsi"/>
          <w:sz w:val="24"/>
          <w:szCs w:val="24"/>
          <w:lang w:val="ro-MD"/>
        </w:rPr>
        <w:t xml:space="preserve"> și </w:t>
      </w:r>
      <w:r w:rsidRPr="009772A3">
        <w:rPr>
          <w:rFonts w:asciiTheme="majorHAnsi" w:hAnsiTheme="majorHAnsi" w:cstheme="majorHAnsi"/>
          <w:sz w:val="24"/>
          <w:szCs w:val="24"/>
          <w:lang w:val="ro-MD"/>
        </w:rPr>
        <w:t>SRL Bălți-gaz</w:t>
      </w:r>
      <w:r w:rsidR="00E80C17" w:rsidRPr="009772A3">
        <w:rPr>
          <w:rFonts w:asciiTheme="majorHAnsi" w:hAnsiTheme="majorHAnsi" w:cstheme="majorHAnsi"/>
          <w:sz w:val="24"/>
          <w:szCs w:val="24"/>
          <w:lang w:val="ro-MD"/>
        </w:rPr>
        <w:t>,</w:t>
      </w:r>
      <w:r w:rsidR="00496274" w:rsidRPr="009772A3">
        <w:rPr>
          <w:rFonts w:asciiTheme="majorHAnsi" w:hAnsiTheme="majorHAnsi" w:cstheme="majorHAnsi"/>
          <w:sz w:val="24"/>
          <w:szCs w:val="24"/>
          <w:lang w:val="ro-MD"/>
        </w:rPr>
        <w:t xml:space="preserve"> care își desfășoară activitățile de producție și financiare conform principiului de autogestiune, pe baza patrimoniului transmis </w:t>
      </w:r>
      <w:r w:rsidR="00EC2942" w:rsidRPr="009772A3">
        <w:rPr>
          <w:rFonts w:asciiTheme="majorHAnsi" w:hAnsiTheme="majorHAnsi" w:cstheme="majorHAnsi"/>
          <w:sz w:val="24"/>
          <w:szCs w:val="24"/>
          <w:lang w:val="ro-MD"/>
        </w:rPr>
        <w:t xml:space="preserve">lor </w:t>
      </w:r>
      <w:r w:rsidR="00496274" w:rsidRPr="009772A3">
        <w:rPr>
          <w:rFonts w:asciiTheme="majorHAnsi" w:hAnsiTheme="majorHAnsi" w:cstheme="majorHAnsi"/>
          <w:sz w:val="24"/>
          <w:szCs w:val="24"/>
          <w:lang w:val="ro-MD"/>
        </w:rPr>
        <w:t>în gestiune</w:t>
      </w:r>
      <w:r w:rsidR="00EC2942" w:rsidRPr="009772A3">
        <w:rPr>
          <w:rFonts w:asciiTheme="majorHAnsi" w:hAnsiTheme="majorHAnsi" w:cstheme="majorHAnsi"/>
          <w:sz w:val="24"/>
          <w:szCs w:val="24"/>
          <w:lang w:val="ro-MD"/>
        </w:rPr>
        <w:t xml:space="preserve"> economică,</w:t>
      </w:r>
      <w:r w:rsidR="00496274" w:rsidRPr="009772A3">
        <w:rPr>
          <w:rFonts w:asciiTheme="majorHAnsi" w:hAnsiTheme="majorHAnsi" w:cstheme="majorHAnsi"/>
          <w:sz w:val="24"/>
          <w:szCs w:val="24"/>
          <w:lang w:val="ro-MD"/>
        </w:rPr>
        <w:t xml:space="preserve"> în conformitate cu interesele de afaceri </w:t>
      </w:r>
      <w:r w:rsidR="005D5D6A" w:rsidRPr="009772A3">
        <w:rPr>
          <w:rFonts w:asciiTheme="majorHAnsi" w:hAnsiTheme="majorHAnsi" w:cstheme="majorHAnsi"/>
          <w:sz w:val="24"/>
          <w:szCs w:val="24"/>
          <w:lang w:val="ro-MD"/>
        </w:rPr>
        <w:t xml:space="preserve">statutare </w:t>
      </w:r>
      <w:r w:rsidR="00496274" w:rsidRPr="009772A3">
        <w:rPr>
          <w:rFonts w:asciiTheme="majorHAnsi" w:hAnsiTheme="majorHAnsi" w:cstheme="majorHAnsi"/>
          <w:sz w:val="24"/>
          <w:szCs w:val="24"/>
          <w:lang w:val="ro-MD"/>
        </w:rPr>
        <w:t xml:space="preserve">ale SA Moldovagaz și </w:t>
      </w:r>
      <w:r w:rsidR="007A29C0" w:rsidRPr="009772A3">
        <w:rPr>
          <w:rFonts w:asciiTheme="majorHAnsi" w:hAnsiTheme="majorHAnsi" w:cstheme="majorHAnsi"/>
          <w:sz w:val="24"/>
          <w:szCs w:val="24"/>
          <w:lang w:val="ro-MD"/>
        </w:rPr>
        <w:t xml:space="preserve">potrivit </w:t>
      </w:r>
      <w:r w:rsidR="00496274" w:rsidRPr="009772A3">
        <w:rPr>
          <w:rFonts w:asciiTheme="majorHAnsi" w:hAnsiTheme="majorHAnsi" w:cstheme="majorHAnsi"/>
          <w:sz w:val="24"/>
          <w:szCs w:val="24"/>
          <w:lang w:val="ro-MD"/>
        </w:rPr>
        <w:t xml:space="preserve">cadrului legislativ aferent. </w:t>
      </w:r>
      <w:r w:rsidR="00484D04" w:rsidRPr="009772A3">
        <w:rPr>
          <w:rFonts w:asciiTheme="majorHAnsi" w:eastAsiaTheme="minorEastAsia" w:hAnsiTheme="majorHAnsi" w:cstheme="majorHAnsi"/>
          <w:noProof/>
          <w:sz w:val="24"/>
          <w:szCs w:val="24"/>
          <w:lang w:val="ro-MD" w:eastAsia="zh-CN"/>
        </w:rPr>
        <w:t>Structura</w:t>
      </w:r>
      <w:r w:rsidR="00484D04" w:rsidRPr="009772A3">
        <w:rPr>
          <w:rFonts w:asciiTheme="majorHAnsi" w:eastAsia="Times New Roman" w:hAnsiTheme="majorHAnsi" w:cstheme="majorHAnsi"/>
          <w:sz w:val="24"/>
          <w:szCs w:val="24"/>
          <w:lang w:val="ro-MD"/>
        </w:rPr>
        <w:t xml:space="preserve"> organizatorică a grupului SA Moldovagaz se prezintă în </w:t>
      </w:r>
      <w:r w:rsidR="007A29C0" w:rsidRPr="009772A3">
        <w:rPr>
          <w:rFonts w:asciiTheme="majorHAnsi" w:eastAsia="Times New Roman" w:hAnsiTheme="majorHAnsi" w:cstheme="majorHAnsi"/>
          <w:sz w:val="24"/>
          <w:szCs w:val="24"/>
          <w:lang w:val="ro-MD"/>
        </w:rPr>
        <w:t>A</w:t>
      </w:r>
      <w:r w:rsidR="00484D04" w:rsidRPr="009772A3">
        <w:rPr>
          <w:rFonts w:asciiTheme="majorHAnsi" w:eastAsia="Times New Roman" w:hAnsiTheme="majorHAnsi" w:cstheme="majorHAnsi"/>
          <w:sz w:val="24"/>
          <w:szCs w:val="24"/>
          <w:lang w:val="ro-MD"/>
        </w:rPr>
        <w:t>nexa nr.2 la prezentul Raport de audit.</w:t>
      </w:r>
      <w:r w:rsidR="0041617E" w:rsidRPr="009772A3">
        <w:rPr>
          <w:rFonts w:asciiTheme="majorHAnsi" w:eastAsia="Times New Roman" w:hAnsiTheme="majorHAnsi" w:cstheme="majorHAnsi"/>
          <w:noProof/>
          <w:sz w:val="24"/>
          <w:szCs w:val="24"/>
          <w:lang w:val="ro-MD"/>
        </w:rPr>
        <w:t xml:space="preserve"> </w:t>
      </w:r>
    </w:p>
    <w:p w14:paraId="60E8C068" w14:textId="77777777" w:rsidR="006E7BDC" w:rsidRPr="00CF3AD4" w:rsidRDefault="006E7BDC">
      <w:pPr>
        <w:spacing w:after="0" w:line="276" w:lineRule="auto"/>
        <w:ind w:firstLine="720"/>
        <w:jc w:val="both"/>
        <w:rPr>
          <w:rFonts w:asciiTheme="majorHAnsi" w:eastAsia="Times New Roman" w:hAnsiTheme="majorHAnsi" w:cstheme="majorHAnsi"/>
          <w:noProof/>
          <w:sz w:val="16"/>
          <w:szCs w:val="16"/>
          <w:lang w:val="ro-MD"/>
        </w:rPr>
      </w:pPr>
    </w:p>
    <w:p w14:paraId="6A6A39A0" w14:textId="0AB83DB2" w:rsidR="006B2435" w:rsidRPr="009772A3" w:rsidRDefault="006B2435" w:rsidP="00CF3AD4">
      <w:pPr>
        <w:pStyle w:val="Heading1"/>
        <w:numPr>
          <w:ilvl w:val="1"/>
          <w:numId w:val="2"/>
        </w:numPr>
        <w:spacing w:before="0" w:line="276" w:lineRule="auto"/>
        <w:ind w:left="0" w:firstLine="0"/>
        <w:jc w:val="left"/>
        <w:rPr>
          <w:rFonts w:cstheme="majorHAnsi"/>
          <w:color w:val="auto"/>
          <w:szCs w:val="24"/>
          <w:lang w:val="ro-MD"/>
        </w:rPr>
      </w:pPr>
      <w:bookmarkStart w:id="14" w:name="_Toc47338765"/>
      <w:bookmarkStart w:id="15" w:name="_Toc89684346"/>
      <w:bookmarkStart w:id="16" w:name="_Toc119496380"/>
      <w:r w:rsidRPr="009772A3">
        <w:rPr>
          <w:rFonts w:cstheme="majorHAnsi"/>
          <w:color w:val="auto"/>
          <w:szCs w:val="24"/>
          <w:lang w:val="ro-MD"/>
        </w:rPr>
        <w:t>Structura patrimonial-financiară</w:t>
      </w:r>
      <w:bookmarkEnd w:id="14"/>
      <w:bookmarkEnd w:id="15"/>
      <w:r w:rsidR="008A4333" w:rsidRPr="009772A3">
        <w:rPr>
          <w:rFonts w:cstheme="majorHAnsi"/>
          <w:color w:val="auto"/>
          <w:szCs w:val="24"/>
          <w:lang w:val="ro-MD"/>
        </w:rPr>
        <w:t xml:space="preserve"> a grupului de întreprinderi al SA Moldovagaz</w:t>
      </w:r>
      <w:bookmarkEnd w:id="16"/>
    </w:p>
    <w:p w14:paraId="2246240B" w14:textId="062BC0C4" w:rsidR="00647ADA" w:rsidRPr="009772A3" w:rsidRDefault="00647ADA">
      <w:pPr>
        <w:spacing w:after="0" w:line="276" w:lineRule="auto"/>
        <w:ind w:firstLine="709"/>
        <w:jc w:val="both"/>
        <w:rPr>
          <w:rFonts w:asciiTheme="majorHAnsi" w:eastAsia="Times New Roman" w:hAnsiTheme="majorHAnsi" w:cstheme="majorHAnsi"/>
          <w:noProof/>
          <w:sz w:val="24"/>
          <w:szCs w:val="24"/>
          <w:lang w:val="ro-MD"/>
        </w:rPr>
      </w:pPr>
      <w:r w:rsidRPr="009772A3">
        <w:rPr>
          <w:rFonts w:asciiTheme="majorHAnsi" w:eastAsiaTheme="minorEastAsia" w:hAnsiTheme="majorHAnsi" w:cstheme="majorHAnsi"/>
          <w:noProof/>
          <w:sz w:val="24"/>
          <w:szCs w:val="24"/>
          <w:lang w:val="ro-MD" w:eastAsia="zh-CN"/>
        </w:rPr>
        <w:t>Conform</w:t>
      </w:r>
      <w:r w:rsidRPr="009772A3">
        <w:rPr>
          <w:rFonts w:asciiTheme="majorHAnsi" w:eastAsia="Times New Roman" w:hAnsiTheme="majorHAnsi" w:cstheme="majorHAnsi"/>
          <w:noProof/>
          <w:sz w:val="24"/>
          <w:szCs w:val="24"/>
          <w:lang w:val="ro-MD"/>
        </w:rPr>
        <w:t xml:space="preserve"> situațiilor finaciare consolidate întocmite la sfârșitul perioadei de gestiune 2021, patrimoniul gestionat de grupul SA Moldovagaz</w:t>
      </w:r>
      <w:r w:rsidRPr="009772A3">
        <w:rPr>
          <w:rFonts w:asciiTheme="majorHAnsi" w:hAnsiTheme="majorHAnsi" w:cstheme="majorHAnsi"/>
          <w:sz w:val="24"/>
          <w:szCs w:val="24"/>
          <w:lang w:val="ro-MD"/>
        </w:rPr>
        <w:t xml:space="preserve"> a </w:t>
      </w:r>
      <w:r w:rsidRPr="009772A3">
        <w:rPr>
          <w:rFonts w:asciiTheme="majorHAnsi" w:eastAsia="Times New Roman" w:hAnsiTheme="majorHAnsi" w:cstheme="majorHAnsi"/>
          <w:noProof/>
          <w:sz w:val="24"/>
          <w:szCs w:val="24"/>
          <w:lang w:val="ro-MD"/>
        </w:rPr>
        <w:t xml:space="preserve">constituit 11.106.542,67 mii lei. </w:t>
      </w:r>
      <w:r w:rsidR="007576F8" w:rsidRPr="009772A3">
        <w:rPr>
          <w:rFonts w:asciiTheme="majorHAnsi" w:eastAsia="Times New Roman" w:hAnsiTheme="majorHAnsi" w:cstheme="majorHAnsi"/>
          <w:noProof/>
          <w:sz w:val="24"/>
          <w:szCs w:val="24"/>
          <w:lang w:val="ro-MD"/>
        </w:rPr>
        <w:t xml:space="preserve">Datoriile </w:t>
      </w:r>
      <w:r w:rsidR="00BF18B0" w:rsidRPr="009772A3">
        <w:rPr>
          <w:rFonts w:asciiTheme="majorHAnsi" w:eastAsia="Times New Roman" w:hAnsiTheme="majorHAnsi" w:cstheme="majorHAnsi"/>
          <w:noProof/>
          <w:sz w:val="24"/>
          <w:szCs w:val="24"/>
          <w:lang w:val="ro-MD"/>
        </w:rPr>
        <w:t xml:space="preserve">consolidate raportate </w:t>
      </w:r>
      <w:r w:rsidR="007576F8" w:rsidRPr="009772A3">
        <w:rPr>
          <w:rFonts w:asciiTheme="majorHAnsi" w:eastAsia="Times New Roman" w:hAnsiTheme="majorHAnsi" w:cstheme="majorHAnsi"/>
          <w:noProof/>
          <w:sz w:val="24"/>
          <w:szCs w:val="24"/>
          <w:lang w:val="ro-MD"/>
        </w:rPr>
        <w:t xml:space="preserve">au </w:t>
      </w:r>
      <w:r w:rsidR="00E9380D" w:rsidRPr="009772A3">
        <w:rPr>
          <w:rFonts w:asciiTheme="majorHAnsi" w:eastAsia="Times New Roman" w:hAnsiTheme="majorHAnsi" w:cstheme="majorHAnsi"/>
          <w:noProof/>
          <w:sz w:val="24"/>
          <w:szCs w:val="24"/>
          <w:lang w:val="ro-MD"/>
        </w:rPr>
        <w:t>constituit pe termen lung 23</w:t>
      </w:r>
      <w:r w:rsidR="007A29C0" w:rsidRPr="009772A3">
        <w:rPr>
          <w:rFonts w:asciiTheme="majorHAnsi" w:eastAsia="Times New Roman" w:hAnsiTheme="majorHAnsi" w:cstheme="majorHAnsi"/>
          <w:noProof/>
          <w:sz w:val="24"/>
          <w:szCs w:val="24"/>
          <w:lang w:val="ro-MD"/>
        </w:rPr>
        <w:t>.</w:t>
      </w:r>
      <w:r w:rsidR="00E9380D" w:rsidRPr="009772A3">
        <w:rPr>
          <w:rFonts w:asciiTheme="majorHAnsi" w:eastAsia="Times New Roman" w:hAnsiTheme="majorHAnsi" w:cstheme="majorHAnsi"/>
          <w:noProof/>
          <w:sz w:val="24"/>
          <w:szCs w:val="24"/>
          <w:lang w:val="ro-MD"/>
        </w:rPr>
        <w:t xml:space="preserve">529,3 mii lei și pe termen scurt </w:t>
      </w:r>
      <w:r w:rsidR="007A29C0" w:rsidRPr="009772A3">
        <w:rPr>
          <w:rFonts w:asciiTheme="majorHAnsi" w:eastAsia="Times New Roman" w:hAnsiTheme="majorHAnsi" w:cstheme="majorHAnsi"/>
          <w:noProof/>
          <w:sz w:val="24"/>
          <w:szCs w:val="24"/>
          <w:lang w:val="ro-MD"/>
        </w:rPr>
        <w:t xml:space="preserve">– </w:t>
      </w:r>
      <w:r w:rsidR="00E9380D" w:rsidRPr="009772A3">
        <w:rPr>
          <w:rFonts w:asciiTheme="majorHAnsi" w:eastAsia="Times New Roman" w:hAnsiTheme="majorHAnsi" w:cstheme="majorHAnsi"/>
          <w:noProof/>
          <w:sz w:val="24"/>
          <w:szCs w:val="24"/>
          <w:lang w:val="ro-MD"/>
        </w:rPr>
        <w:t xml:space="preserve">  </w:t>
      </w:r>
      <w:r w:rsidR="00BF18B0" w:rsidRPr="009772A3">
        <w:rPr>
          <w:rFonts w:asciiTheme="majorHAnsi" w:eastAsia="Times New Roman" w:hAnsiTheme="majorHAnsi" w:cstheme="majorHAnsi"/>
          <w:noProof/>
          <w:sz w:val="24"/>
          <w:szCs w:val="24"/>
          <w:lang w:val="ro-MD"/>
        </w:rPr>
        <w:t>13.787.190,0 mii lei,</w:t>
      </w:r>
      <w:r w:rsidR="00E9380D" w:rsidRPr="009772A3">
        <w:rPr>
          <w:rFonts w:asciiTheme="majorHAnsi" w:eastAsia="Times New Roman" w:hAnsiTheme="majorHAnsi" w:cstheme="majorHAnsi"/>
          <w:noProof/>
          <w:sz w:val="24"/>
          <w:szCs w:val="24"/>
          <w:lang w:val="ro-MD"/>
        </w:rPr>
        <w:t xml:space="preserve"> </w:t>
      </w:r>
      <w:r w:rsidR="00BF18B0" w:rsidRPr="009772A3">
        <w:rPr>
          <w:rFonts w:asciiTheme="majorHAnsi" w:eastAsia="Times New Roman" w:hAnsiTheme="majorHAnsi" w:cstheme="majorHAnsi"/>
          <w:noProof/>
          <w:sz w:val="24"/>
          <w:szCs w:val="24"/>
          <w:lang w:val="ro-MD"/>
        </w:rPr>
        <w:t xml:space="preserve">iar </w:t>
      </w:r>
      <w:r w:rsidR="00E9380D" w:rsidRPr="009772A3">
        <w:rPr>
          <w:rFonts w:asciiTheme="majorHAnsi" w:eastAsia="Times New Roman" w:hAnsiTheme="majorHAnsi" w:cstheme="majorHAnsi"/>
          <w:noProof/>
          <w:sz w:val="24"/>
          <w:szCs w:val="24"/>
          <w:lang w:val="ro-MD"/>
        </w:rPr>
        <w:t>rezervele – 45</w:t>
      </w:r>
      <w:r w:rsidR="007A29C0" w:rsidRPr="009772A3">
        <w:rPr>
          <w:rFonts w:asciiTheme="majorHAnsi" w:eastAsia="Times New Roman" w:hAnsiTheme="majorHAnsi" w:cstheme="majorHAnsi"/>
          <w:noProof/>
          <w:sz w:val="24"/>
          <w:szCs w:val="24"/>
          <w:lang w:val="ro-MD"/>
        </w:rPr>
        <w:t>.</w:t>
      </w:r>
      <w:r w:rsidR="00E9380D" w:rsidRPr="009772A3">
        <w:rPr>
          <w:rFonts w:asciiTheme="majorHAnsi" w:eastAsia="Times New Roman" w:hAnsiTheme="majorHAnsi" w:cstheme="majorHAnsi"/>
          <w:noProof/>
          <w:sz w:val="24"/>
          <w:szCs w:val="24"/>
          <w:lang w:val="ro-MD"/>
        </w:rPr>
        <w:t xml:space="preserve">307,8 mii lei. Astfel, </w:t>
      </w:r>
      <w:r w:rsidR="00BF18B0" w:rsidRPr="009772A3">
        <w:rPr>
          <w:rFonts w:asciiTheme="majorHAnsi" w:eastAsia="Times New Roman" w:hAnsiTheme="majorHAnsi" w:cstheme="majorHAnsi"/>
          <w:noProof/>
          <w:sz w:val="24"/>
          <w:szCs w:val="24"/>
          <w:lang w:val="ro-MD"/>
        </w:rPr>
        <w:t>capitalul propriu a</w:t>
      </w:r>
      <w:r w:rsidR="007A29C0" w:rsidRPr="009772A3">
        <w:rPr>
          <w:rFonts w:asciiTheme="majorHAnsi" w:eastAsia="Times New Roman" w:hAnsiTheme="majorHAnsi" w:cstheme="majorHAnsi"/>
          <w:noProof/>
          <w:sz w:val="24"/>
          <w:szCs w:val="24"/>
          <w:lang w:val="ro-MD"/>
        </w:rPr>
        <w:t>l</w:t>
      </w:r>
      <w:r w:rsidR="00E9380D" w:rsidRPr="009772A3">
        <w:rPr>
          <w:rFonts w:asciiTheme="majorHAnsi" w:eastAsia="Times New Roman" w:hAnsiTheme="majorHAnsi" w:cstheme="majorHAnsi"/>
          <w:noProof/>
          <w:sz w:val="24"/>
          <w:szCs w:val="24"/>
          <w:lang w:val="ro-MD"/>
        </w:rPr>
        <w:t xml:space="preserve"> SA Moldovagaz a</w:t>
      </w:r>
      <w:r w:rsidR="00BF18B0" w:rsidRPr="009772A3">
        <w:rPr>
          <w:rFonts w:asciiTheme="majorHAnsi" w:eastAsia="Times New Roman" w:hAnsiTheme="majorHAnsi" w:cstheme="majorHAnsi"/>
          <w:noProof/>
          <w:sz w:val="24"/>
          <w:szCs w:val="24"/>
          <w:lang w:val="ro-MD"/>
        </w:rPr>
        <w:t xml:space="preserve"> înregistrat o valoare negativă de (2.749.484,5) mii lei.</w:t>
      </w:r>
      <w:r w:rsidR="00B53C0D" w:rsidRPr="009772A3">
        <w:rPr>
          <w:rFonts w:asciiTheme="majorHAnsi" w:eastAsia="Times New Roman" w:hAnsiTheme="majorHAnsi" w:cstheme="majorHAnsi"/>
          <w:noProof/>
          <w:sz w:val="24"/>
          <w:szCs w:val="24"/>
          <w:lang w:val="ro-MD"/>
        </w:rPr>
        <w:t xml:space="preserve"> Valoarea negativă a capitalului propriu se înregistrează și se menține începând cu anul </w:t>
      </w:r>
      <w:r w:rsidR="006059E1" w:rsidRPr="009772A3">
        <w:rPr>
          <w:rFonts w:asciiTheme="majorHAnsi" w:eastAsia="Times New Roman" w:hAnsiTheme="majorHAnsi" w:cstheme="majorHAnsi"/>
          <w:noProof/>
          <w:sz w:val="24"/>
          <w:szCs w:val="24"/>
          <w:lang w:val="ro-MD"/>
        </w:rPr>
        <w:t>2014</w:t>
      </w:r>
      <w:r w:rsidR="00B53C0D" w:rsidRPr="009772A3">
        <w:rPr>
          <w:rFonts w:asciiTheme="majorHAnsi" w:eastAsia="Times New Roman" w:hAnsiTheme="majorHAnsi" w:cstheme="majorHAnsi"/>
          <w:noProof/>
          <w:sz w:val="24"/>
          <w:szCs w:val="24"/>
          <w:lang w:val="ro-MD"/>
        </w:rPr>
        <w:t>.</w:t>
      </w:r>
    </w:p>
    <w:p w14:paraId="3903DD37" w14:textId="44942CFC" w:rsidR="00647ADA" w:rsidRDefault="00BF18B0" w:rsidP="00647ADA">
      <w:pPr>
        <w:spacing w:after="0" w:line="276" w:lineRule="auto"/>
        <w:ind w:firstLine="709"/>
        <w:jc w:val="both"/>
        <w:rPr>
          <w:rFonts w:asciiTheme="majorHAnsi" w:hAnsiTheme="majorHAnsi" w:cstheme="majorHAnsi"/>
          <w:sz w:val="24"/>
          <w:szCs w:val="24"/>
          <w:lang w:val="ro-MD"/>
        </w:rPr>
      </w:pPr>
      <w:r w:rsidRPr="009772A3">
        <w:rPr>
          <w:rFonts w:asciiTheme="majorHAnsi" w:eastAsia="Times New Roman" w:hAnsiTheme="majorHAnsi" w:cstheme="majorHAnsi"/>
          <w:noProof/>
          <w:sz w:val="24"/>
          <w:szCs w:val="24"/>
          <w:lang w:val="ro-MD"/>
        </w:rPr>
        <w:t>Totodată, î</w:t>
      </w:r>
      <w:r w:rsidR="00B20036" w:rsidRPr="009772A3">
        <w:rPr>
          <w:rFonts w:asciiTheme="majorHAnsi" w:eastAsia="Times New Roman" w:hAnsiTheme="majorHAnsi" w:cstheme="majorHAnsi"/>
          <w:noProof/>
          <w:sz w:val="24"/>
          <w:szCs w:val="24"/>
          <w:lang w:val="ro-MD"/>
        </w:rPr>
        <w:t>n perioada 2017</w:t>
      </w:r>
      <w:r w:rsidR="007A29C0" w:rsidRPr="009772A3">
        <w:rPr>
          <w:rFonts w:asciiTheme="majorHAnsi" w:eastAsia="Times New Roman" w:hAnsiTheme="majorHAnsi" w:cstheme="majorHAnsi"/>
          <w:noProof/>
          <w:sz w:val="24"/>
          <w:szCs w:val="24"/>
          <w:lang w:val="ro-MD"/>
        </w:rPr>
        <w:t>-</w:t>
      </w:r>
      <w:r w:rsidR="00B20036" w:rsidRPr="009772A3">
        <w:rPr>
          <w:rFonts w:asciiTheme="majorHAnsi" w:eastAsia="Times New Roman" w:hAnsiTheme="majorHAnsi" w:cstheme="majorHAnsi"/>
          <w:noProof/>
          <w:sz w:val="24"/>
          <w:szCs w:val="24"/>
          <w:lang w:val="ro-MD"/>
        </w:rPr>
        <w:t>2021 atât veniturile, cât și cheltuielile consolidate ale grupului SA Moldovagaz au înregistrat o tendință de diminuare, cu excepția anului 2021, c</w:t>
      </w:r>
      <w:r w:rsidR="007A29C0" w:rsidRPr="009772A3">
        <w:rPr>
          <w:rFonts w:asciiTheme="majorHAnsi" w:eastAsia="Times New Roman" w:hAnsiTheme="majorHAnsi" w:cstheme="majorHAnsi"/>
          <w:noProof/>
          <w:sz w:val="24"/>
          <w:szCs w:val="24"/>
          <w:lang w:val="ro-MD"/>
        </w:rPr>
        <w:t>â</w:t>
      </w:r>
      <w:r w:rsidR="00B20036" w:rsidRPr="009772A3">
        <w:rPr>
          <w:rFonts w:asciiTheme="majorHAnsi" w:eastAsia="Times New Roman" w:hAnsiTheme="majorHAnsi" w:cstheme="majorHAnsi"/>
          <w:noProof/>
          <w:sz w:val="24"/>
          <w:szCs w:val="24"/>
          <w:lang w:val="ro-MD"/>
        </w:rPr>
        <w:t>nd acestea au fost în ascensiune. Sporirea, în anul 2021</w:t>
      </w:r>
      <w:r w:rsidR="007A29C0" w:rsidRPr="009772A3">
        <w:rPr>
          <w:rFonts w:asciiTheme="majorHAnsi" w:eastAsia="Times New Roman" w:hAnsiTheme="majorHAnsi" w:cstheme="majorHAnsi"/>
          <w:noProof/>
          <w:sz w:val="24"/>
          <w:szCs w:val="24"/>
          <w:lang w:val="ro-MD"/>
        </w:rPr>
        <w:t>,</w:t>
      </w:r>
      <w:r w:rsidR="00B20036" w:rsidRPr="009772A3">
        <w:rPr>
          <w:rFonts w:asciiTheme="majorHAnsi" w:eastAsia="Times New Roman" w:hAnsiTheme="majorHAnsi" w:cstheme="majorHAnsi"/>
          <w:noProof/>
          <w:sz w:val="24"/>
          <w:szCs w:val="24"/>
          <w:lang w:val="ro-MD"/>
        </w:rPr>
        <w:t xml:space="preserve"> a veniturilor și </w:t>
      </w:r>
      <w:r w:rsidR="007A29C0" w:rsidRPr="009772A3">
        <w:rPr>
          <w:rFonts w:asciiTheme="majorHAnsi" w:eastAsia="Times New Roman" w:hAnsiTheme="majorHAnsi" w:cstheme="majorHAnsi"/>
          <w:noProof/>
          <w:sz w:val="24"/>
          <w:szCs w:val="24"/>
          <w:lang w:val="ro-MD"/>
        </w:rPr>
        <w:t xml:space="preserve">a </w:t>
      </w:r>
      <w:r w:rsidR="00B20036" w:rsidRPr="009772A3">
        <w:rPr>
          <w:rFonts w:asciiTheme="majorHAnsi" w:eastAsia="Times New Roman" w:hAnsiTheme="majorHAnsi" w:cstheme="majorHAnsi"/>
          <w:noProof/>
          <w:sz w:val="24"/>
          <w:szCs w:val="24"/>
          <w:lang w:val="ro-MD"/>
        </w:rPr>
        <w:t xml:space="preserve">cheltuielilor a fost cauzată de majorarea costurilor de procurare și </w:t>
      </w:r>
      <w:r w:rsidR="007A29C0" w:rsidRPr="009772A3">
        <w:rPr>
          <w:rFonts w:asciiTheme="majorHAnsi" w:eastAsia="Times New Roman" w:hAnsiTheme="majorHAnsi" w:cstheme="majorHAnsi"/>
          <w:noProof/>
          <w:sz w:val="24"/>
          <w:szCs w:val="24"/>
          <w:lang w:val="ro-MD"/>
        </w:rPr>
        <w:t xml:space="preserve">de </w:t>
      </w:r>
      <w:r w:rsidR="00B20036" w:rsidRPr="009772A3">
        <w:rPr>
          <w:rFonts w:asciiTheme="majorHAnsi" w:eastAsia="Times New Roman" w:hAnsiTheme="majorHAnsi" w:cstheme="majorHAnsi"/>
          <w:noProof/>
          <w:sz w:val="24"/>
          <w:szCs w:val="24"/>
          <w:lang w:val="ro-MD"/>
        </w:rPr>
        <w:t xml:space="preserve">furnizare a gazelor naturale. </w:t>
      </w:r>
      <w:r w:rsidRPr="009772A3">
        <w:rPr>
          <w:rFonts w:asciiTheme="majorHAnsi" w:hAnsiTheme="majorHAnsi" w:cstheme="majorHAnsi"/>
          <w:sz w:val="24"/>
          <w:szCs w:val="24"/>
          <w:lang w:val="ro-MD"/>
        </w:rPr>
        <w:t>I</w:t>
      </w:r>
      <w:r w:rsidR="00647ADA" w:rsidRPr="009772A3">
        <w:rPr>
          <w:rFonts w:asciiTheme="majorHAnsi" w:hAnsiTheme="majorHAnsi" w:cstheme="majorHAnsi"/>
          <w:sz w:val="24"/>
          <w:szCs w:val="24"/>
          <w:lang w:val="ro-MD"/>
        </w:rPr>
        <w:t>nformațiile detaliate sunt prezentate în Anexa nr.3 la prezentul Raport de audit.</w:t>
      </w:r>
    </w:p>
    <w:p w14:paraId="351BBCC5" w14:textId="77777777" w:rsidR="00414FF4" w:rsidRPr="00CF3AD4" w:rsidRDefault="00414FF4" w:rsidP="00647ADA">
      <w:pPr>
        <w:spacing w:after="0" w:line="276" w:lineRule="auto"/>
        <w:ind w:firstLine="709"/>
        <w:jc w:val="both"/>
        <w:rPr>
          <w:rFonts w:asciiTheme="majorHAnsi" w:eastAsia="Times New Roman" w:hAnsiTheme="majorHAnsi" w:cstheme="majorHAnsi"/>
          <w:noProof/>
          <w:sz w:val="16"/>
          <w:szCs w:val="16"/>
          <w:lang w:val="ro-MD"/>
        </w:rPr>
      </w:pPr>
    </w:p>
    <w:p w14:paraId="258739EC" w14:textId="071C0F35" w:rsidR="00700D79" w:rsidRPr="009772A3" w:rsidRDefault="003B4EE0" w:rsidP="00CF3AD4">
      <w:pPr>
        <w:pStyle w:val="Heading1"/>
        <w:numPr>
          <w:ilvl w:val="0"/>
          <w:numId w:val="2"/>
        </w:numPr>
        <w:spacing w:before="0" w:line="276" w:lineRule="auto"/>
        <w:ind w:left="0" w:firstLine="0"/>
        <w:jc w:val="left"/>
        <w:rPr>
          <w:rFonts w:cstheme="majorHAnsi"/>
          <w:color w:val="auto"/>
          <w:sz w:val="28"/>
          <w:szCs w:val="24"/>
          <w:lang w:val="ro-MD"/>
        </w:rPr>
      </w:pPr>
      <w:bookmarkStart w:id="17" w:name="_Toc47338767"/>
      <w:bookmarkStart w:id="18" w:name="_Toc119496381"/>
      <w:r w:rsidRPr="009772A3">
        <w:rPr>
          <w:color w:val="auto"/>
          <w:sz w:val="28"/>
          <w:lang w:val="ro-MD"/>
        </w:rPr>
        <w:t>SFERA</w:t>
      </w:r>
      <w:r w:rsidRPr="009772A3">
        <w:rPr>
          <w:rFonts w:cstheme="majorHAnsi"/>
          <w:color w:val="auto"/>
          <w:sz w:val="28"/>
          <w:szCs w:val="24"/>
          <w:lang w:val="ro-MD"/>
        </w:rPr>
        <w:t xml:space="preserve"> ȘI ABORDAREA AUDITULUI</w:t>
      </w:r>
      <w:bookmarkEnd w:id="17"/>
      <w:bookmarkEnd w:id="18"/>
    </w:p>
    <w:p w14:paraId="6532F7C0" w14:textId="77777777" w:rsidR="00ED3F73" w:rsidRPr="009772A3" w:rsidRDefault="00ED3F73" w:rsidP="00CF3AD4">
      <w:pPr>
        <w:pStyle w:val="Heading1"/>
        <w:numPr>
          <w:ilvl w:val="1"/>
          <w:numId w:val="2"/>
        </w:numPr>
        <w:spacing w:before="0" w:line="276" w:lineRule="auto"/>
        <w:ind w:left="0" w:firstLine="0"/>
        <w:jc w:val="left"/>
        <w:rPr>
          <w:rFonts w:cstheme="majorHAnsi"/>
          <w:color w:val="auto"/>
          <w:szCs w:val="24"/>
          <w:lang w:val="ro-MD"/>
        </w:rPr>
      </w:pPr>
      <w:bookmarkStart w:id="19" w:name="_Toc118126957"/>
      <w:bookmarkStart w:id="20" w:name="_Toc119496382"/>
      <w:bookmarkStart w:id="21" w:name="_Toc47338771"/>
      <w:r w:rsidRPr="009772A3">
        <w:rPr>
          <w:rFonts w:cstheme="majorHAnsi"/>
          <w:color w:val="auto"/>
          <w:szCs w:val="24"/>
          <w:lang w:val="ro-MD"/>
        </w:rPr>
        <w:t>Mandatul legal și scopul auditului</w:t>
      </w:r>
      <w:bookmarkEnd w:id="19"/>
      <w:bookmarkEnd w:id="20"/>
    </w:p>
    <w:p w14:paraId="6F576B4C" w14:textId="038E9412" w:rsidR="00ED3F73" w:rsidRPr="009772A3" w:rsidRDefault="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temeiul mandatului legal</w:t>
      </w:r>
      <w:r w:rsidRPr="009772A3">
        <w:rPr>
          <w:rFonts w:asciiTheme="majorHAnsi" w:hAnsiTheme="majorHAnsi" w:cstheme="majorHAnsi"/>
          <w:sz w:val="24"/>
          <w:szCs w:val="24"/>
          <w:vertAlign w:val="superscript"/>
          <w:lang w:val="ro-MD"/>
        </w:rPr>
        <w:footnoteReference w:id="10"/>
      </w:r>
      <w:r w:rsidRPr="009772A3">
        <w:rPr>
          <w:rFonts w:asciiTheme="majorHAnsi" w:hAnsiTheme="majorHAnsi" w:cstheme="majorHAnsi"/>
          <w:sz w:val="24"/>
          <w:szCs w:val="24"/>
          <w:lang w:val="ro-MD"/>
        </w:rPr>
        <w:t>, precum și în conformitate cu Programul activității de audit pe anul 2022</w:t>
      </w:r>
      <w:r w:rsidRPr="009772A3">
        <w:rPr>
          <w:rFonts w:asciiTheme="majorHAnsi" w:hAnsiTheme="majorHAnsi" w:cstheme="majorHAnsi"/>
          <w:sz w:val="24"/>
          <w:szCs w:val="24"/>
          <w:vertAlign w:val="superscript"/>
          <w:lang w:val="ro-MD"/>
        </w:rPr>
        <w:footnoteReference w:id="11"/>
      </w:r>
      <w:r w:rsidRPr="009772A3">
        <w:rPr>
          <w:rFonts w:asciiTheme="majorHAnsi" w:hAnsiTheme="majorHAnsi" w:cstheme="majorHAnsi"/>
          <w:sz w:val="24"/>
          <w:szCs w:val="24"/>
          <w:lang w:val="ro-MD"/>
        </w:rPr>
        <w:t xml:space="preserve">, la solicitarea Parlamentului Republicii Moldova, Curtea de Conturi a planificat și a inițiat misiunea de audit cu scopul evaluării conformității cheltuielilor şi a investițiilor capitale la întreprinderile de gaze naturale cărora le-au fost impuse obligații de serviciu public, precum și la întreprinderile înrudite, astfel cum sunt definite în </w:t>
      </w:r>
      <w:hyperlink r:id="rId20" w:history="1">
        <w:r w:rsidRPr="009772A3">
          <w:rPr>
            <w:rFonts w:asciiTheme="majorHAnsi" w:hAnsiTheme="majorHAnsi" w:cstheme="majorHAnsi"/>
            <w:sz w:val="24"/>
            <w:szCs w:val="24"/>
            <w:lang w:val="ro-MD"/>
          </w:rPr>
          <w:t>Legea nr.108/2016</w:t>
        </w:r>
      </w:hyperlink>
      <w:r w:rsidRPr="009772A3">
        <w:rPr>
          <w:rFonts w:asciiTheme="majorHAnsi" w:hAnsiTheme="majorHAnsi" w:cstheme="majorHAnsi"/>
          <w:sz w:val="24"/>
          <w:szCs w:val="24"/>
          <w:lang w:val="ro-MD"/>
        </w:rPr>
        <w:t xml:space="preserve">, inclusiv la cele deținute indirect. </w:t>
      </w:r>
    </w:p>
    <w:p w14:paraId="0610C013" w14:textId="325EB45E" w:rsidR="00357330"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Ținând cont de situația de criză în domeniul energetic, preocupările APC de resort și ale SA Moldovagaz, interesul sporit al solicitantului auditului în cauză, dar și al tuturor consumatorilor de gaze naturale, Curtea de Conturi a făcut uz de prevederile pct. 43 și pct. 44 din ISSAI 4000</w:t>
      </w:r>
      <w:r w:rsidRPr="009772A3">
        <w:rPr>
          <w:rFonts w:asciiTheme="majorHAnsi" w:hAnsiTheme="majorHAnsi" w:cstheme="majorHAnsi"/>
          <w:sz w:val="24"/>
          <w:szCs w:val="24"/>
          <w:vertAlign w:val="superscript"/>
          <w:lang w:val="ro-MD"/>
        </w:rPr>
        <w:footnoteReference w:id="12"/>
      </w:r>
      <w:r w:rsidRPr="009772A3">
        <w:rPr>
          <w:rFonts w:asciiTheme="majorHAnsi" w:hAnsiTheme="majorHAnsi" w:cstheme="majorHAnsi"/>
          <w:sz w:val="24"/>
          <w:szCs w:val="24"/>
          <w:lang w:val="ro-MD"/>
        </w:rPr>
        <w:t xml:space="preserve">, </w:t>
      </w:r>
      <w:r w:rsidR="00414FF4">
        <w:rPr>
          <w:rFonts w:asciiTheme="majorHAnsi" w:hAnsiTheme="majorHAnsi" w:cstheme="majorHAnsi"/>
          <w:sz w:val="24"/>
          <w:szCs w:val="24"/>
          <w:lang w:val="ro-MD"/>
        </w:rPr>
        <w:t xml:space="preserve">a extins </w:t>
      </w:r>
      <w:r w:rsidRPr="009772A3">
        <w:rPr>
          <w:rFonts w:asciiTheme="majorHAnsi" w:hAnsiTheme="majorHAnsi" w:cstheme="majorHAnsi"/>
          <w:sz w:val="24"/>
          <w:szCs w:val="24"/>
          <w:lang w:val="ro-MD"/>
        </w:rPr>
        <w:t xml:space="preserve">domeniul de aplicare și </w:t>
      </w:r>
      <w:r w:rsidR="00414FF4">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defini</w:t>
      </w:r>
      <w:r w:rsidR="00414FF4">
        <w:rPr>
          <w:rFonts w:asciiTheme="majorHAnsi" w:hAnsiTheme="majorHAnsi" w:cstheme="majorHAnsi"/>
          <w:sz w:val="24"/>
          <w:szCs w:val="24"/>
          <w:lang w:val="ro-MD"/>
        </w:rPr>
        <w:t xml:space="preserve">t </w:t>
      </w:r>
      <w:r w:rsidRPr="009772A3">
        <w:rPr>
          <w:rFonts w:asciiTheme="majorHAnsi" w:hAnsiTheme="majorHAnsi" w:cstheme="majorHAnsi"/>
          <w:sz w:val="24"/>
          <w:szCs w:val="24"/>
          <w:lang w:val="ro-MD"/>
        </w:rPr>
        <w:t xml:space="preserve">mai clar ceea ce urmează să fie auditat. </w:t>
      </w:r>
    </w:p>
    <w:p w14:paraId="71F65C8F" w14:textId="0A426951" w:rsidR="00EA552B" w:rsidRPr="009772A3" w:rsidRDefault="00EA552B" w:rsidP="00EA552B">
      <w:pPr>
        <w:pStyle w:val="FootnoteText"/>
        <w:spacing w:line="276" w:lineRule="auto"/>
        <w:ind w:firstLine="709"/>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 asemenea</w:t>
      </w:r>
      <w:r w:rsidR="00A200AA"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în prezentul Raport de audit au fost dezvăluite aspectele necesare pentru înțelegerea statutului juridic al patrimoniului de care dispune SA Moldovagaz și întreprinderile din grupul acesteia, precum și a conformității cheltuielilor suportate aferente acestui patrimoniu, în special al celui depus de Guvern la fondarea SA Moldovagaz. </w:t>
      </w:r>
    </w:p>
    <w:p w14:paraId="07BC27B1" w14:textId="5A17204B"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Astfel, pentru atingerea scopului propus și reieșind din riscurile identificate, au fost determinate și supuse auditării următoarele obiective specifice de audit:</w:t>
      </w:r>
    </w:p>
    <w:p w14:paraId="584B6620" w14:textId="77777777" w:rsidR="00ED3F73" w:rsidRPr="009772A3" w:rsidRDefault="00ED3F73" w:rsidP="00414FF4">
      <w:pPr>
        <w:pStyle w:val="ListParagraph"/>
        <w:numPr>
          <w:ilvl w:val="0"/>
          <w:numId w:val="30"/>
        </w:numPr>
        <w:spacing w:after="0" w:line="276" w:lineRule="auto"/>
        <w:ind w:left="709" w:hanging="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patrimoniul transmis în capitalul social al SA Moldovagaz a fost depus la valoarea justă, iar cotele de participare au fost determinate corect? </w:t>
      </w:r>
    </w:p>
    <w:p w14:paraId="5F99B5A3" w14:textId="77777777" w:rsidR="00ED3F73" w:rsidRPr="009772A3" w:rsidRDefault="00ED3F73" w:rsidP="00414FF4">
      <w:pPr>
        <w:pStyle w:val="ListParagraph"/>
        <w:numPr>
          <w:ilvl w:val="0"/>
          <w:numId w:val="30"/>
        </w:numPr>
        <w:spacing w:after="0" w:line="276" w:lineRule="auto"/>
        <w:ind w:left="709" w:hanging="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planificarea, fundamentarea și realizarea investițiilor capitale la întreprinderile de gaze naturale s-au efectuat în conformitate cu reglementările aplicabile în vigoare?</w:t>
      </w:r>
    </w:p>
    <w:p w14:paraId="26DA0A27" w14:textId="77777777" w:rsidR="00ED3F73" w:rsidRPr="009772A3" w:rsidRDefault="00ED3F73" w:rsidP="00414FF4">
      <w:pPr>
        <w:pStyle w:val="ListParagraph"/>
        <w:numPr>
          <w:ilvl w:val="0"/>
          <w:numId w:val="30"/>
        </w:numPr>
        <w:spacing w:after="0" w:line="276" w:lineRule="auto"/>
        <w:ind w:left="709" w:hanging="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planificarea, executarea și raportarea cheltuielilor aferente activității operaționale a întreprinderilor de gaze naturale s-au efectuat în baza principiului eficienței maxime la cheltuieli minime? </w:t>
      </w:r>
    </w:p>
    <w:p w14:paraId="15C44F24" w14:textId="7C36CA19" w:rsidR="00ED3F73" w:rsidRPr="009772A3" w:rsidRDefault="00ED3F73" w:rsidP="00414FF4">
      <w:pPr>
        <w:pStyle w:val="ListParagraph"/>
        <w:numPr>
          <w:ilvl w:val="0"/>
          <w:numId w:val="30"/>
        </w:numPr>
        <w:spacing w:after="0" w:line="276" w:lineRule="auto"/>
        <w:ind w:left="709" w:hanging="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procesul de gestionare a rețelelor de transport și distribuție a gazelor naturale</w:t>
      </w:r>
      <w:r w:rsidR="00A200A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transmise către grupul SA Moldovagaz la deservire</w:t>
      </w:r>
      <w:r w:rsidR="00B5541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asigură evidența și integritatea corespunzătoare a acestor active?</w:t>
      </w:r>
    </w:p>
    <w:p w14:paraId="271CCACE" w14:textId="06DD27ED" w:rsidR="00ED3F73" w:rsidRDefault="00ED3F73">
      <w:pPr>
        <w:pStyle w:val="ListParagraph"/>
        <w:numPr>
          <w:ilvl w:val="0"/>
          <w:numId w:val="30"/>
        </w:numPr>
        <w:spacing w:after="0" w:line="276" w:lineRule="auto"/>
        <w:ind w:left="709" w:hanging="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 fost asigurat un management corespunzător al Societății pentru maximizarea profiturilor și identificarea soluțiilor fiabile de rambursare a datoriilor, precum și a fost atins scopul stabilit la momentul fondării SA Moldovagaz</w:t>
      </w:r>
      <w:r w:rsidRPr="009772A3">
        <w:rPr>
          <w:rFonts w:asciiTheme="majorHAnsi" w:hAnsiTheme="majorHAnsi" w:cstheme="majorHAnsi"/>
          <w:sz w:val="24"/>
          <w:vertAlign w:val="superscript"/>
          <w:lang w:val="ro-MD"/>
        </w:rPr>
        <w:footnoteReference w:id="13"/>
      </w:r>
      <w:r w:rsidRPr="009772A3">
        <w:rPr>
          <w:rFonts w:asciiTheme="majorHAnsi" w:hAnsiTheme="majorHAnsi" w:cstheme="majorHAnsi"/>
          <w:sz w:val="24"/>
          <w:szCs w:val="24"/>
          <w:lang w:val="ro-MD"/>
        </w:rPr>
        <w:t xml:space="preserve"> privind „ameliorarea decontărilor şi reducer</w:t>
      </w:r>
      <w:r w:rsidR="002F7FC4" w:rsidRPr="009772A3">
        <w:rPr>
          <w:rFonts w:asciiTheme="majorHAnsi" w:hAnsiTheme="majorHAnsi" w:cstheme="majorHAnsi"/>
          <w:sz w:val="24"/>
          <w:szCs w:val="24"/>
          <w:lang w:val="ro-MD"/>
        </w:rPr>
        <w:t>ea</w:t>
      </w:r>
      <w:r w:rsidRPr="009772A3">
        <w:rPr>
          <w:rFonts w:asciiTheme="majorHAnsi" w:hAnsiTheme="majorHAnsi" w:cstheme="majorHAnsi"/>
          <w:sz w:val="24"/>
          <w:szCs w:val="24"/>
          <w:lang w:val="ro-MD"/>
        </w:rPr>
        <w:t xml:space="preserve"> datoriilor faţă de SA Gazprom”?</w:t>
      </w:r>
    </w:p>
    <w:p w14:paraId="6D515323" w14:textId="77777777" w:rsidR="001F7686" w:rsidRPr="00CF3AD4" w:rsidRDefault="001F7686" w:rsidP="00CF3AD4">
      <w:pPr>
        <w:pStyle w:val="ListParagraph"/>
        <w:spacing w:after="0" w:line="276" w:lineRule="auto"/>
        <w:ind w:left="709"/>
        <w:jc w:val="both"/>
        <w:rPr>
          <w:rFonts w:asciiTheme="majorHAnsi" w:hAnsiTheme="majorHAnsi" w:cstheme="majorHAnsi"/>
          <w:sz w:val="16"/>
          <w:szCs w:val="16"/>
          <w:lang w:val="ro-MD"/>
        </w:rPr>
      </w:pPr>
    </w:p>
    <w:p w14:paraId="23EA1276" w14:textId="77777777" w:rsidR="00ED3F73" w:rsidRPr="009772A3" w:rsidRDefault="00ED3F73" w:rsidP="00CF3AD4">
      <w:pPr>
        <w:pStyle w:val="Heading1"/>
        <w:numPr>
          <w:ilvl w:val="1"/>
          <w:numId w:val="2"/>
        </w:numPr>
        <w:spacing w:before="0" w:line="276" w:lineRule="auto"/>
        <w:ind w:left="0" w:firstLine="0"/>
        <w:jc w:val="left"/>
        <w:rPr>
          <w:rFonts w:cstheme="majorHAnsi"/>
          <w:color w:val="auto"/>
          <w:szCs w:val="24"/>
          <w:lang w:val="ro-MD"/>
        </w:rPr>
      </w:pPr>
      <w:bookmarkStart w:id="22" w:name="_Toc43974808"/>
      <w:bookmarkStart w:id="23" w:name="_Toc47338769"/>
      <w:bookmarkStart w:id="24" w:name="_Toc118126958"/>
      <w:bookmarkStart w:id="25" w:name="_Toc119496383"/>
      <w:r w:rsidRPr="009772A3">
        <w:rPr>
          <w:rFonts w:cstheme="majorHAnsi"/>
          <w:color w:val="auto"/>
          <w:szCs w:val="24"/>
          <w:lang w:val="ro-MD"/>
        </w:rPr>
        <w:t>Abordarea auditului</w:t>
      </w:r>
      <w:bookmarkEnd w:id="22"/>
      <w:bookmarkEnd w:id="23"/>
      <w:bookmarkEnd w:id="24"/>
      <w:bookmarkEnd w:id="25"/>
    </w:p>
    <w:p w14:paraId="65D30358" w14:textId="77777777" w:rsidR="00ED3F73" w:rsidRPr="009772A3" w:rsidRDefault="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Activitățile de audit au fost desfășurate în conformitate cu Standardele Internaționale ale Instituțiilor Supreme de Audit (ISSAI 100, ISSAI 400, precum și ISSAI 4000)</w:t>
      </w:r>
      <w:r w:rsidRPr="009772A3">
        <w:rPr>
          <w:rFonts w:asciiTheme="majorHAnsi" w:hAnsiTheme="majorHAnsi" w:cstheme="majorHAnsi"/>
          <w:sz w:val="24"/>
          <w:szCs w:val="24"/>
          <w:vertAlign w:val="superscript"/>
          <w:lang w:val="ro-MD"/>
        </w:rPr>
        <w:footnoteReference w:id="14"/>
      </w:r>
      <w:r w:rsidRPr="009772A3">
        <w:rPr>
          <w:rFonts w:asciiTheme="majorHAnsi" w:hAnsiTheme="majorHAnsi" w:cstheme="majorHAnsi"/>
          <w:sz w:val="24"/>
          <w:szCs w:val="24"/>
          <w:lang w:val="ro-MD"/>
        </w:rPr>
        <w:t>.</w:t>
      </w:r>
    </w:p>
    <w:p w14:paraId="6B3435EF" w14:textId="521621BB"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Curtea de Conturi a asigurat necesarul cuvenit de resurse umane, a căror competență </w:t>
      </w:r>
      <w:r w:rsidR="007969AE" w:rsidRPr="009772A3">
        <w:rPr>
          <w:rFonts w:asciiTheme="majorHAnsi" w:hAnsiTheme="majorHAnsi" w:cstheme="majorHAnsi"/>
          <w:sz w:val="24"/>
          <w:szCs w:val="24"/>
          <w:lang w:val="ro-MD"/>
        </w:rPr>
        <w:t xml:space="preserve">individuală și </w:t>
      </w:r>
      <w:r w:rsidRPr="009772A3">
        <w:rPr>
          <w:rFonts w:asciiTheme="majorHAnsi" w:hAnsiTheme="majorHAnsi" w:cstheme="majorHAnsi"/>
          <w:sz w:val="24"/>
          <w:szCs w:val="24"/>
          <w:lang w:val="ro-MD"/>
        </w:rPr>
        <w:t>colectivă a fost la nivelul cuvenit pentru realizarea cu succes a sarcinilor de audit în intervalul de timp acordat.</w:t>
      </w:r>
    </w:p>
    <w:p w14:paraId="4D061267" w14:textId="30D747BF"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Abordarea auditului s-a bazat pe riscuri, ceea ce a determinat analiza </w:t>
      </w:r>
      <w:r w:rsidR="00F167A5" w:rsidRPr="009772A3">
        <w:rPr>
          <w:rFonts w:asciiTheme="majorHAnsi" w:hAnsiTheme="majorHAnsi" w:cstheme="majorHAnsi"/>
          <w:sz w:val="24"/>
          <w:szCs w:val="24"/>
          <w:lang w:val="ro-MD"/>
        </w:rPr>
        <w:t>detaliată</w:t>
      </w:r>
      <w:r w:rsidRPr="009772A3">
        <w:rPr>
          <w:rFonts w:asciiTheme="majorHAnsi" w:hAnsiTheme="majorHAnsi" w:cstheme="majorHAnsi"/>
          <w:sz w:val="24"/>
          <w:szCs w:val="24"/>
          <w:lang w:val="ro-MD"/>
        </w:rPr>
        <w:t xml:space="preserve"> a mai multor procese la etapa de planificare, pentru a orienta evaluările auditorilor publici externi pe domeniile considerate ca fiind expuse unor evenimente semnificative de neconformitate. Această abordare permite determinarea și raportarea gradului în care entitățile auditate respectă criteriile de conformitate care le guvernează. </w:t>
      </w:r>
    </w:p>
    <w:p w14:paraId="7CFCC791" w14:textId="04014A19"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Angajamentul echipei de audit a fost cel de raportare directă, care potrivit  pct. 37-39 din ISSAI 4000 determină că auditorii sunt cei care măsoară sau evaluează subiectul conform criteriilor și  sunt responsabili pentru producerea informațiilor despre subiect. Auditorii selectează subiectul și criteriile, luând în considerare riscul și semnificația. Ulterior, subiectul este evaluat conform criteriilor pentru formularea unei concluzii exprimate sub formă de constatări, răspunsuri la întrebări</w:t>
      </w:r>
      <w:r w:rsidR="009C10BE"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specifice de audit și recomandări. </w:t>
      </w:r>
    </w:p>
    <w:p w14:paraId="0880F0D4" w14:textId="4565FA45"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Concluziile de audit au fost făcute doar pe acele aspecte care se bazează pe rezultatele  verificărilor efectuate de auditori în baza documentelor primare contabile și rapoartelor financiare și non-financiare, actelor și deciziilor juridice și administrative etc., care au asigurat acumularea probelor veridice, necesare și suficiente pentru a răspunde la obiectivele specifice și la întrebările de audit, precum și au permis cuantificarea valorii neconformității stabilite. Concomitent, menționăm prezența unor circumstanțe care au generat imposibilitatea obținerii de la entitățile auditate a informațiilor exacte și fiabile pe unele aspecte importante</w:t>
      </w:r>
      <w:r w:rsidR="00E5679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 rezultat al următoarelor limitări:</w:t>
      </w:r>
    </w:p>
    <w:p w14:paraId="2383F4A2" w14:textId="77777777" w:rsidR="006E7BDC" w:rsidRPr="009772A3" w:rsidRDefault="006E7BDC" w:rsidP="00C319CD">
      <w:pPr>
        <w:pStyle w:val="ListParagraph"/>
        <w:numPr>
          <w:ilvl w:val="0"/>
          <w:numId w:val="31"/>
        </w:numPr>
        <w:spacing w:after="0" w:line="276" w:lineRule="auto"/>
        <w:ind w:left="0"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lipsa unor documente ca rezultat al distrugerii acestora conform legislației în vigoare, a dosarelor și a documentelor primare aferente evidenței contabile și raportării financiare, inclusiv de elaborare și executare a bugetului, a corespondenței cu diferite organizații, a dosarelor juridice și de arbitraj etc., până la anul 2016</w:t>
      </w:r>
      <w:r w:rsidRPr="009772A3">
        <w:rPr>
          <w:rFonts w:asciiTheme="majorHAnsi" w:hAnsiTheme="majorHAnsi" w:cstheme="majorHAnsi"/>
          <w:sz w:val="24"/>
          <w:vertAlign w:val="superscript"/>
          <w:lang w:val="ro-MD"/>
        </w:rPr>
        <w:footnoteReference w:id="15"/>
      </w:r>
      <w:r w:rsidRPr="009772A3">
        <w:rPr>
          <w:rFonts w:asciiTheme="majorHAnsi" w:hAnsiTheme="majorHAnsi" w:cstheme="majorHAnsi"/>
          <w:sz w:val="24"/>
          <w:szCs w:val="24"/>
          <w:lang w:val="ro-MD"/>
        </w:rPr>
        <w:t>;</w:t>
      </w:r>
    </w:p>
    <w:p w14:paraId="32AE8EDB" w14:textId="784E4FE5" w:rsidR="006E7BDC" w:rsidRPr="009772A3" w:rsidRDefault="006E7BDC" w:rsidP="00C319CD">
      <w:pPr>
        <w:pStyle w:val="ListParagraph"/>
        <w:numPr>
          <w:ilvl w:val="0"/>
          <w:numId w:val="31"/>
        </w:numPr>
        <w:spacing w:after="0" w:line="276" w:lineRule="auto"/>
        <w:ind w:left="0"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ridicarea de către organele de urmărire penală a unor documente aferente investițiilor și procedurilor de achiziții</w:t>
      </w:r>
      <w:r>
        <w:rPr>
          <w:rFonts w:asciiTheme="majorHAnsi" w:hAnsiTheme="majorHAnsi" w:cstheme="majorHAnsi"/>
          <w:sz w:val="24"/>
          <w:szCs w:val="24"/>
          <w:lang w:val="ro-MD"/>
        </w:rPr>
        <w:t>;</w:t>
      </w:r>
    </w:p>
    <w:p w14:paraId="558F0910" w14:textId="77777777" w:rsidR="006E7BDC" w:rsidRPr="009772A3" w:rsidRDefault="006E7BDC" w:rsidP="00C319CD">
      <w:pPr>
        <w:pStyle w:val="ListParagraph"/>
        <w:numPr>
          <w:ilvl w:val="0"/>
          <w:numId w:val="31"/>
        </w:numPr>
        <w:spacing w:after="0" w:line="276" w:lineRule="auto"/>
        <w:ind w:left="0"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lipsa rapoartelor financiare, registrelor contabile și documentelor primare aferente activităților economice ale întreprinderilor din stânga Nistrului, necontrolate de SA Moldovagaz;</w:t>
      </w:r>
    </w:p>
    <w:p w14:paraId="55A39EE6" w14:textId="30F21B4D" w:rsidR="00ED3F73" w:rsidRPr="009772A3" w:rsidRDefault="00ED3F73" w:rsidP="00C319CD">
      <w:pPr>
        <w:pStyle w:val="ListParagraph"/>
        <w:numPr>
          <w:ilvl w:val="0"/>
          <w:numId w:val="31"/>
        </w:numPr>
        <w:spacing w:after="0" w:line="276" w:lineRule="auto"/>
        <w:ind w:left="0"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lipsa actelor de verificare între SA Moldovagaz</w:t>
      </w:r>
      <w:r w:rsidR="0047057D">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47057D">
        <w:rPr>
          <w:rFonts w:asciiTheme="majorHAnsi" w:hAnsiTheme="majorHAnsi" w:cstheme="majorHAnsi"/>
          <w:sz w:val="24"/>
          <w:szCs w:val="24"/>
          <w:lang w:val="ro-MD"/>
        </w:rPr>
        <w:t xml:space="preserve">SA </w:t>
      </w:r>
      <w:r w:rsidRPr="009772A3">
        <w:rPr>
          <w:rFonts w:asciiTheme="majorHAnsi" w:hAnsiTheme="majorHAnsi" w:cstheme="majorHAnsi"/>
          <w:sz w:val="24"/>
          <w:szCs w:val="24"/>
          <w:lang w:val="ro-MD"/>
        </w:rPr>
        <w:t>Gazsnabtranzit</w:t>
      </w:r>
      <w:r w:rsidR="0047057D">
        <w:rPr>
          <w:rFonts w:asciiTheme="majorHAnsi" w:hAnsiTheme="majorHAnsi" w:cstheme="majorHAnsi"/>
          <w:sz w:val="24"/>
          <w:szCs w:val="24"/>
          <w:lang w:val="ro-MD"/>
        </w:rPr>
        <w:t>/</w:t>
      </w:r>
      <w:r w:rsidR="0047057D" w:rsidRPr="009772A3">
        <w:rPr>
          <w:rFonts w:asciiTheme="majorHAnsi" w:hAnsiTheme="majorHAnsi" w:cstheme="majorHAnsi"/>
          <w:sz w:val="24"/>
          <w:szCs w:val="24"/>
          <w:lang w:val="ro-MD"/>
        </w:rPr>
        <w:t xml:space="preserve"> </w:t>
      </w:r>
      <w:r w:rsidR="0047057D">
        <w:rPr>
          <w:rFonts w:asciiTheme="majorHAnsi" w:hAnsiTheme="majorHAnsi" w:cstheme="majorHAnsi"/>
          <w:sz w:val="24"/>
          <w:szCs w:val="24"/>
          <w:lang w:val="ro-MD"/>
        </w:rPr>
        <w:t xml:space="preserve">SA </w:t>
      </w:r>
      <w:r w:rsidRPr="009772A3">
        <w:rPr>
          <w:rFonts w:asciiTheme="majorHAnsi" w:hAnsiTheme="majorHAnsi" w:cstheme="majorHAnsi"/>
          <w:sz w:val="24"/>
          <w:szCs w:val="24"/>
          <w:lang w:val="ro-MD"/>
        </w:rPr>
        <w:t>Concernul Moldovagaz cu SA Gazprom și Tiraspoltransgaz, pentru perioadele 1994-1998 și 2005-2013;</w:t>
      </w:r>
    </w:p>
    <w:p w14:paraId="0113CC01" w14:textId="530E27F2" w:rsidR="00ED3F73" w:rsidRPr="009772A3" w:rsidRDefault="00ED3F73" w:rsidP="00C319CD">
      <w:pPr>
        <w:pStyle w:val="ListParagraph"/>
        <w:numPr>
          <w:ilvl w:val="0"/>
          <w:numId w:val="31"/>
        </w:numPr>
        <w:spacing w:after="0" w:line="276" w:lineRule="auto"/>
        <w:ind w:left="0"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lipsa listei patrimoniului depus în capitalul social al SA Moldovagaz la fondarea acesteia (a.1999</w:t>
      </w:r>
      <w:r w:rsidR="006E7BDC" w:rsidRPr="009772A3">
        <w:rPr>
          <w:rFonts w:asciiTheme="majorHAnsi" w:hAnsiTheme="majorHAnsi" w:cstheme="majorHAnsi"/>
          <w:sz w:val="24"/>
          <w:szCs w:val="24"/>
          <w:lang w:val="ro-MD"/>
        </w:rPr>
        <w:t>)</w:t>
      </w:r>
      <w:r w:rsidR="006E7BDC">
        <w:rPr>
          <w:rFonts w:asciiTheme="majorHAnsi" w:hAnsiTheme="majorHAnsi" w:cstheme="majorHAnsi"/>
          <w:sz w:val="24"/>
          <w:szCs w:val="24"/>
          <w:lang w:val="ro-MD"/>
        </w:rPr>
        <w:t>.</w:t>
      </w:r>
    </w:p>
    <w:p w14:paraId="3F295BD0" w14:textId="5FB7766D" w:rsidR="00ED3F73" w:rsidRPr="009772A3" w:rsidRDefault="00ED3F73" w:rsidP="00ED3F73">
      <w:pPr>
        <w:spacing w:after="0" w:line="276" w:lineRule="auto"/>
        <w:ind w:firstLine="709"/>
        <w:jc w:val="both"/>
        <w:rPr>
          <w:rFonts w:asciiTheme="majorHAnsi" w:hAnsiTheme="majorHAnsi" w:cstheme="majorHAnsi"/>
          <w:noProof/>
          <w:sz w:val="24"/>
          <w:szCs w:val="24"/>
          <w:shd w:val="clear" w:color="auto" w:fill="FFFFFF"/>
          <w:lang w:val="ro-MD"/>
        </w:rPr>
      </w:pPr>
      <w:r w:rsidRPr="009772A3">
        <w:rPr>
          <w:rFonts w:asciiTheme="majorHAnsi" w:hAnsiTheme="majorHAnsi" w:cstheme="majorHAnsi"/>
          <w:sz w:val="24"/>
          <w:szCs w:val="24"/>
          <w:lang w:val="ro-MD"/>
        </w:rPr>
        <w:t>Echipa</w:t>
      </w:r>
      <w:r w:rsidRPr="009772A3">
        <w:rPr>
          <w:rFonts w:asciiTheme="majorHAnsi" w:hAnsiTheme="majorHAnsi" w:cstheme="majorHAnsi"/>
          <w:noProof/>
          <w:sz w:val="24"/>
          <w:szCs w:val="24"/>
          <w:shd w:val="clear" w:color="auto" w:fill="FFFFFF"/>
          <w:lang w:val="ro-MD"/>
        </w:rPr>
        <w:t xml:space="preserve"> de audit a ținut sub control aceste aspecte ale riscului de audit, care fiind cunoscute din start au fost </w:t>
      </w:r>
      <w:r w:rsidRPr="009772A3">
        <w:rPr>
          <w:rFonts w:asciiTheme="majorHAnsi" w:hAnsiTheme="majorHAnsi" w:cstheme="majorHAnsi"/>
          <w:sz w:val="24"/>
          <w:szCs w:val="24"/>
          <w:lang w:val="ro-MD"/>
        </w:rPr>
        <w:t>abordate la planificarea auditului</w:t>
      </w:r>
      <w:r w:rsidRPr="009772A3">
        <w:rPr>
          <w:rFonts w:asciiTheme="majorHAnsi" w:hAnsiTheme="majorHAnsi" w:cstheme="majorHAnsi"/>
          <w:noProof/>
          <w:sz w:val="24"/>
          <w:szCs w:val="24"/>
          <w:shd w:val="clear" w:color="auto" w:fill="FFFFFF"/>
          <w:lang w:val="ro-MD"/>
        </w:rPr>
        <w:t xml:space="preserve"> și gestionate prin aplicarea procedurilor de reducere a riscului de audit până la aprobarea raportului de audit, așa cum prevăd cerințele pct. 52-54 din ISSAI 100 și pct. 52-53 din ISSAI 4000. </w:t>
      </w:r>
    </w:p>
    <w:p w14:paraId="30B414B4" w14:textId="6CB8D4E9"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Auditorii au întreprins măsuri de atenuare a riscului de audit prin solicitarea și obținerea de la Agenția Națională a Arhivelor a informațiilor de calitate</w:t>
      </w:r>
      <w:r w:rsidR="00E42444" w:rsidRPr="009772A3">
        <w:rPr>
          <w:rFonts w:asciiTheme="majorHAnsi" w:hAnsiTheme="majorHAnsi" w:cstheme="majorHAnsi"/>
          <w:sz w:val="24"/>
          <w:szCs w:val="24"/>
          <w:lang w:val="ro-MD"/>
        </w:rPr>
        <w:t xml:space="preserve"> și</w:t>
      </w:r>
      <w:r w:rsidRPr="009772A3">
        <w:rPr>
          <w:rFonts w:asciiTheme="majorHAnsi" w:hAnsiTheme="majorHAnsi" w:cstheme="majorHAnsi"/>
          <w:sz w:val="24"/>
          <w:szCs w:val="24"/>
          <w:lang w:val="ro-MD"/>
        </w:rPr>
        <w:t xml:space="preserve"> exacte din dosarele aferente misiunilor de control realizate de Curtea de Conturi în perioadele de până la 2002 (Hotărârea CCRM; documentele confirmative ale constatărilor de neconformitate atașate ca probe la dosar; explicațiile oficiale ale SA Moldovagaz și răspunsurile privind implementarea recomandărilor etc.). Aceste informații exacte, de rând cu cele obținute de la PCCOCS (</w:t>
      </w:r>
      <w:r w:rsidR="001B590C" w:rsidRPr="009772A3">
        <w:rPr>
          <w:rFonts w:asciiTheme="majorHAnsi" w:hAnsiTheme="majorHAnsi" w:cstheme="majorHAnsi"/>
          <w:sz w:val="24"/>
          <w:szCs w:val="24"/>
          <w:lang w:val="ro-MD"/>
        </w:rPr>
        <w:t xml:space="preserve">unele contracte și </w:t>
      </w:r>
      <w:r w:rsidR="00C64416" w:rsidRPr="009772A3">
        <w:rPr>
          <w:rFonts w:asciiTheme="majorHAnsi" w:hAnsiTheme="majorHAnsi" w:cstheme="majorHAnsi"/>
          <w:sz w:val="24"/>
          <w:szCs w:val="24"/>
          <w:lang w:val="ro-MD"/>
        </w:rPr>
        <w:t>procese</w:t>
      </w:r>
      <w:r w:rsidR="009B6A1F" w:rsidRPr="009772A3">
        <w:rPr>
          <w:rFonts w:asciiTheme="majorHAnsi" w:hAnsiTheme="majorHAnsi" w:cstheme="majorHAnsi"/>
          <w:sz w:val="24"/>
          <w:szCs w:val="24"/>
          <w:lang w:val="ro-MD"/>
        </w:rPr>
        <w:t>-</w:t>
      </w:r>
      <w:r w:rsidR="00C64416" w:rsidRPr="009772A3">
        <w:rPr>
          <w:rFonts w:asciiTheme="majorHAnsi" w:hAnsiTheme="majorHAnsi" w:cstheme="majorHAnsi"/>
          <w:sz w:val="24"/>
          <w:szCs w:val="24"/>
          <w:lang w:val="ro-MD"/>
        </w:rPr>
        <w:t xml:space="preserve">verbale de executare </w:t>
      </w:r>
      <w:r w:rsidRPr="009772A3">
        <w:rPr>
          <w:rFonts w:asciiTheme="majorHAnsi" w:hAnsiTheme="majorHAnsi" w:cstheme="majorHAnsi"/>
          <w:sz w:val="24"/>
          <w:szCs w:val="24"/>
          <w:lang w:val="ro-MD"/>
        </w:rPr>
        <w:t>a lucrărilor), precum și punctele alternative de vedere ale unor experți în domeniul auditat</w:t>
      </w:r>
      <w:r w:rsidR="00324018" w:rsidRPr="009772A3">
        <w:rPr>
          <w:rFonts w:asciiTheme="majorHAnsi" w:hAnsiTheme="majorHAnsi" w:cstheme="majorHAnsi"/>
          <w:sz w:val="24"/>
          <w:szCs w:val="24"/>
          <w:lang w:val="ro-MD"/>
        </w:rPr>
        <w:t xml:space="preserve"> expuse/publicate în spațiul public</w:t>
      </w:r>
      <w:r w:rsidRPr="009772A3">
        <w:rPr>
          <w:rFonts w:asciiTheme="majorHAnsi" w:hAnsiTheme="majorHAnsi" w:cstheme="majorHAnsi"/>
          <w:sz w:val="24"/>
          <w:szCs w:val="24"/>
          <w:lang w:val="ro-MD"/>
        </w:rPr>
        <w:t xml:space="preserve">, au fost </w:t>
      </w:r>
      <w:r w:rsidR="00324018" w:rsidRPr="009772A3">
        <w:rPr>
          <w:rFonts w:asciiTheme="majorHAnsi" w:hAnsiTheme="majorHAnsi" w:cstheme="majorHAnsi"/>
          <w:sz w:val="24"/>
          <w:szCs w:val="24"/>
          <w:lang w:val="ro-MD"/>
        </w:rPr>
        <w:t xml:space="preserve">studiate, </w:t>
      </w:r>
      <w:r w:rsidRPr="009772A3">
        <w:rPr>
          <w:rFonts w:asciiTheme="majorHAnsi" w:hAnsiTheme="majorHAnsi" w:cstheme="majorHAnsi"/>
          <w:sz w:val="24"/>
          <w:szCs w:val="24"/>
          <w:lang w:val="ro-MD"/>
        </w:rPr>
        <w:t>analizate, evaluate și utilizate de auditori în dezvăluirea evenimentelor și descrierea situațiilor afectate de limitările auditului la nivelul entităților auditate</w:t>
      </w:r>
      <w:r w:rsidR="00001175" w:rsidRPr="009772A3">
        <w:rPr>
          <w:rFonts w:asciiTheme="majorHAnsi" w:hAnsiTheme="majorHAnsi" w:cstheme="majorHAnsi"/>
          <w:sz w:val="24"/>
          <w:szCs w:val="24"/>
          <w:lang w:val="ro-MD"/>
        </w:rPr>
        <w:t xml:space="preserve">. </w:t>
      </w:r>
    </w:p>
    <w:p w14:paraId="078B0494" w14:textId="5861754B" w:rsidR="00ED3F73" w:rsidRPr="009772A3" w:rsidRDefault="00ED3F73" w:rsidP="00D61E3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Pornind de la angajamentul echipei de audit de raportare directă și </w:t>
      </w:r>
      <w:r w:rsidR="009B6A1F"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oferire</w:t>
      </w:r>
      <w:r w:rsidR="009B6A1F"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a unei asigurări limitate, menționăm fermitatea echipei de audit </w:t>
      </w:r>
      <w:r w:rsidR="009B6A1F" w:rsidRPr="009772A3">
        <w:rPr>
          <w:rFonts w:asciiTheme="majorHAnsi" w:hAnsiTheme="majorHAnsi" w:cstheme="majorHAnsi"/>
          <w:sz w:val="24"/>
          <w:szCs w:val="24"/>
          <w:lang w:val="ro-MD"/>
        </w:rPr>
        <w:t>privitor la faptul</w:t>
      </w:r>
      <w:r w:rsidRPr="009772A3">
        <w:rPr>
          <w:rFonts w:asciiTheme="majorHAnsi" w:hAnsiTheme="majorHAnsi" w:cstheme="majorHAnsi"/>
          <w:sz w:val="24"/>
          <w:szCs w:val="24"/>
          <w:lang w:val="ro-MD"/>
        </w:rPr>
        <w:t xml:space="preserve"> că constatările prezentului </w:t>
      </w:r>
      <w:r w:rsidR="00071CF3" w:rsidRPr="009772A3">
        <w:rPr>
          <w:rFonts w:asciiTheme="majorHAnsi" w:hAnsiTheme="majorHAnsi" w:cstheme="majorHAnsi"/>
          <w:sz w:val="24"/>
          <w:szCs w:val="24"/>
          <w:lang w:val="ro-MD"/>
        </w:rPr>
        <w:t>R</w:t>
      </w:r>
      <w:r w:rsidRPr="009772A3">
        <w:rPr>
          <w:rFonts w:asciiTheme="majorHAnsi" w:hAnsiTheme="majorHAnsi" w:cstheme="majorHAnsi"/>
          <w:sz w:val="24"/>
          <w:szCs w:val="24"/>
          <w:lang w:val="ro-MD"/>
        </w:rPr>
        <w:t>aport sunt în conformitate cu criteriile de audit</w:t>
      </w:r>
      <w:r w:rsidR="009B6A1F" w:rsidRPr="009772A3">
        <w:rPr>
          <w:rFonts w:asciiTheme="majorHAnsi" w:hAnsiTheme="majorHAnsi" w:cstheme="majorHAnsi"/>
          <w:sz w:val="24"/>
          <w:szCs w:val="24"/>
          <w:lang w:val="ro-MD"/>
        </w:rPr>
        <w:t>, iar</w:t>
      </w:r>
      <w:r w:rsidRPr="009772A3">
        <w:rPr>
          <w:rFonts w:asciiTheme="majorHAnsi" w:hAnsiTheme="majorHAnsi" w:cstheme="majorHAnsi"/>
          <w:sz w:val="24"/>
          <w:szCs w:val="24"/>
          <w:lang w:val="ro-MD"/>
        </w:rPr>
        <w:t xml:space="preserve"> în cazurile de neconformitate, concluziile reflectă acest lucru. Toate concluziile din raport sunt bazate pe probe exacte, fiabile și actualizate.</w:t>
      </w:r>
    </w:p>
    <w:p w14:paraId="7B3B444E" w14:textId="02075EF4"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Probele de audit au fost colectate de la SA Moldovagaz și întreprinderile de gaze naturale</w:t>
      </w:r>
      <w:r w:rsidRPr="009772A3">
        <w:rPr>
          <w:rFonts w:asciiTheme="majorHAnsi" w:hAnsiTheme="majorHAnsi" w:cstheme="majorHAnsi"/>
          <w:sz w:val="24"/>
          <w:szCs w:val="24"/>
          <w:vertAlign w:val="superscript"/>
          <w:lang w:val="ro-MD"/>
        </w:rPr>
        <w:footnoteReference w:id="16"/>
      </w:r>
      <w:r w:rsidRPr="009772A3">
        <w:rPr>
          <w:rFonts w:asciiTheme="majorHAnsi" w:hAnsiTheme="majorHAnsi" w:cstheme="majorHAnsi"/>
          <w:sz w:val="24"/>
          <w:szCs w:val="24"/>
          <w:lang w:val="ro-MD"/>
        </w:rPr>
        <w:t>, precum și de la alte entități (M</w:t>
      </w:r>
      <w:r w:rsidR="00B30B13" w:rsidRPr="009772A3">
        <w:rPr>
          <w:rFonts w:asciiTheme="majorHAnsi" w:hAnsiTheme="majorHAnsi" w:cstheme="majorHAnsi"/>
          <w:sz w:val="24"/>
          <w:szCs w:val="24"/>
          <w:lang w:val="ro-MD"/>
        </w:rPr>
        <w:t xml:space="preserve">inisterul </w:t>
      </w:r>
      <w:r w:rsidRPr="009772A3">
        <w:rPr>
          <w:rFonts w:asciiTheme="majorHAnsi" w:hAnsiTheme="majorHAnsi" w:cstheme="majorHAnsi"/>
          <w:sz w:val="24"/>
          <w:szCs w:val="24"/>
          <w:lang w:val="ro-MD"/>
        </w:rPr>
        <w:t>F</w:t>
      </w:r>
      <w:r w:rsidR="00B30B13" w:rsidRPr="009772A3">
        <w:rPr>
          <w:rFonts w:asciiTheme="majorHAnsi" w:hAnsiTheme="majorHAnsi" w:cstheme="majorHAnsi"/>
          <w:sz w:val="24"/>
          <w:szCs w:val="24"/>
          <w:lang w:val="ro-MD"/>
        </w:rPr>
        <w:t>inanțelor</w:t>
      </w:r>
      <w:r w:rsidRPr="009772A3">
        <w:rPr>
          <w:rFonts w:asciiTheme="majorHAnsi" w:hAnsiTheme="majorHAnsi" w:cstheme="majorHAnsi"/>
          <w:sz w:val="24"/>
          <w:szCs w:val="24"/>
          <w:lang w:val="ro-MD"/>
        </w:rPr>
        <w:t xml:space="preserve">, </w:t>
      </w:r>
      <w:r w:rsidR="00B30B13" w:rsidRPr="009772A3">
        <w:rPr>
          <w:rFonts w:asciiTheme="majorHAnsi" w:hAnsiTheme="majorHAnsi" w:cstheme="majorHAnsi"/>
          <w:sz w:val="24"/>
          <w:szCs w:val="24"/>
          <w:lang w:val="ro-MD"/>
        </w:rPr>
        <w:t>Biroul Național de Statiastică</w:t>
      </w:r>
      <w:r w:rsidRPr="009772A3">
        <w:rPr>
          <w:rFonts w:asciiTheme="majorHAnsi" w:hAnsiTheme="majorHAnsi" w:cstheme="majorHAnsi"/>
          <w:sz w:val="24"/>
          <w:szCs w:val="24"/>
          <w:lang w:val="ro-MD"/>
        </w:rPr>
        <w:t>, A</w:t>
      </w:r>
      <w:r w:rsidR="00B30B13" w:rsidRPr="009772A3">
        <w:rPr>
          <w:rFonts w:asciiTheme="majorHAnsi" w:hAnsiTheme="majorHAnsi" w:cstheme="majorHAnsi"/>
          <w:sz w:val="24"/>
          <w:szCs w:val="24"/>
          <w:lang w:val="ro-MD"/>
        </w:rPr>
        <w:t>genția Națională a Arhivelor</w:t>
      </w:r>
      <w:r w:rsidRPr="009772A3">
        <w:rPr>
          <w:rFonts w:asciiTheme="majorHAnsi" w:hAnsiTheme="majorHAnsi" w:cstheme="majorHAnsi"/>
          <w:sz w:val="24"/>
          <w:szCs w:val="24"/>
          <w:lang w:val="ro-MD"/>
        </w:rPr>
        <w:t>,</w:t>
      </w:r>
      <w:r w:rsidR="00B30B13" w:rsidRPr="009772A3">
        <w:rPr>
          <w:rFonts w:asciiTheme="majorHAnsi" w:hAnsiTheme="majorHAnsi" w:cstheme="majorHAnsi"/>
          <w:sz w:val="24"/>
          <w:szCs w:val="24"/>
          <w:lang w:val="ro-MD"/>
        </w:rPr>
        <w:t xml:space="preserve"> Serviciul Vamal, Serviciul Fiscal de Stat, Inspecția Financiară,</w:t>
      </w:r>
      <w:r w:rsidR="005F52AD" w:rsidRPr="009772A3">
        <w:rPr>
          <w:rFonts w:asciiTheme="majorHAnsi" w:hAnsiTheme="majorHAnsi" w:cstheme="majorHAnsi"/>
          <w:sz w:val="24"/>
          <w:szCs w:val="24"/>
          <w:lang w:val="ro-MD"/>
        </w:rPr>
        <w:t xml:space="preserve"> Agenția Servicii Publice, Agenția de Supraveghere Tehnică,</w:t>
      </w:r>
      <w:r w:rsidRPr="009772A3">
        <w:rPr>
          <w:rFonts w:asciiTheme="majorHAnsi" w:hAnsiTheme="majorHAnsi" w:cstheme="majorHAnsi"/>
          <w:sz w:val="24"/>
          <w:szCs w:val="24"/>
          <w:lang w:val="ro-MD"/>
        </w:rPr>
        <w:t xml:space="preserve"> ANRE etc.)</w:t>
      </w:r>
      <w:r w:rsidR="008E40F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i) examinarea hotărârilor și </w:t>
      </w:r>
      <w:r w:rsidR="009B6A1F"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deciziilor organelor de conducere, ii) analiza rapoartelor financiare și non-financiare, iii) examinarea contractelor și a documentelor primare, iv) inventarierea și contrapunerea datelor, v) observarea directă, precum și vi) intervievarea persoanelor responsabile din cadrul entitățior auditate.</w:t>
      </w:r>
    </w:p>
    <w:p w14:paraId="2BB85A6D" w14:textId="77777777" w:rsidR="00ED3F73" w:rsidRPr="009772A3" w:rsidRDefault="00ED3F73" w:rsidP="00D61E3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Probele de audit au fost sintetizate, analizate și interpretate pe măsură ce au fost obținute, auditorii analizând în ce măsură acestea au fost sau nu convingătoare, în vederea obținerii de probe suplimentare care să fie colectate din surse diferite. </w:t>
      </w:r>
    </w:p>
    <w:p w14:paraId="5A71C543" w14:textId="6FD2561C" w:rsidR="00ED3F73" w:rsidRPr="009772A3" w:rsidRDefault="00ED3F73" w:rsidP="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Drept surse de criterii pentru evaluarea în mod consecvent și rezonabil a cheltuielilor şi a investițiilor capitale la întreprinderile de gaze naturale cărora le-au fost impuse obligații de serviciu public, precum și la întreprinderile înrudite au fost utilizate actele normative aferente tematicii misiunii de audit.</w:t>
      </w:r>
    </w:p>
    <w:p w14:paraId="59A987FC" w14:textId="1FFD3481" w:rsidR="00ED3F73" w:rsidRDefault="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Informații privind aria de cuprindere a auditului și criteriile de evaluare a conformității sunt prezentate în Anexa nr. 4 la Raportul de audit.</w:t>
      </w:r>
    </w:p>
    <w:p w14:paraId="4FD3F0AF" w14:textId="77777777" w:rsidR="0047057D" w:rsidRPr="00CF3AD4" w:rsidRDefault="0047057D">
      <w:pPr>
        <w:spacing w:after="0" w:line="276" w:lineRule="auto"/>
        <w:ind w:firstLine="709"/>
        <w:jc w:val="both"/>
        <w:rPr>
          <w:rFonts w:asciiTheme="majorHAnsi" w:hAnsiTheme="majorHAnsi" w:cstheme="majorHAnsi"/>
          <w:sz w:val="16"/>
          <w:szCs w:val="16"/>
          <w:lang w:val="ro-MD"/>
        </w:rPr>
      </w:pPr>
    </w:p>
    <w:p w14:paraId="49C0568C" w14:textId="77777777" w:rsidR="00ED3F73" w:rsidRPr="009772A3" w:rsidRDefault="00ED3F73" w:rsidP="00CF3AD4">
      <w:pPr>
        <w:pStyle w:val="Heading1"/>
        <w:numPr>
          <w:ilvl w:val="1"/>
          <w:numId w:val="2"/>
        </w:numPr>
        <w:spacing w:before="0" w:line="276" w:lineRule="auto"/>
        <w:ind w:left="0" w:firstLine="0"/>
        <w:jc w:val="left"/>
        <w:rPr>
          <w:rFonts w:cstheme="majorHAnsi"/>
          <w:color w:val="auto"/>
          <w:szCs w:val="24"/>
          <w:lang w:val="ro-MD"/>
        </w:rPr>
      </w:pPr>
      <w:bookmarkStart w:id="26" w:name="_Toc43974809"/>
      <w:bookmarkStart w:id="27" w:name="_Toc47338770"/>
      <w:bookmarkStart w:id="28" w:name="_Toc118126960"/>
      <w:bookmarkStart w:id="29" w:name="_Toc119496384"/>
      <w:r w:rsidRPr="009772A3">
        <w:rPr>
          <w:rFonts w:cstheme="majorHAnsi"/>
          <w:color w:val="auto"/>
          <w:szCs w:val="24"/>
          <w:lang w:val="ro-MD"/>
        </w:rPr>
        <w:t xml:space="preserve">Responsabilitatea </w:t>
      </w:r>
      <w:bookmarkEnd w:id="26"/>
      <w:bookmarkEnd w:id="27"/>
      <w:r w:rsidRPr="009772A3">
        <w:rPr>
          <w:rFonts w:cstheme="majorHAnsi"/>
          <w:color w:val="auto"/>
          <w:szCs w:val="24"/>
          <w:lang w:val="ro-MD"/>
        </w:rPr>
        <w:t>auditorului</w:t>
      </w:r>
      <w:bookmarkEnd w:id="28"/>
      <w:bookmarkEnd w:id="29"/>
    </w:p>
    <w:p w14:paraId="72C51864" w14:textId="77777777" w:rsidR="00ED3F73" w:rsidRPr="009772A3" w:rsidRDefault="00ED3F7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Responsabilitatea auditorului public este de a planifica și a realiza misiunea de audit în conformitate cu standardele în materie de audit public extern și cadrul normativ-metodologic instituțional aferent auditului conformității, cu obținerea probelor suficiente și adecvate, exprimarea unei concluzii concepute asupra conformității cheltuielilor și investițiilor capitale la întreprinderile de gaze naturale, precum și la întreprinderile înrudite acestora, inclusiv la cele deținute indirect. </w:t>
      </w:r>
    </w:p>
    <w:p w14:paraId="6EB20E63" w14:textId="505D4C43" w:rsidR="00C319CD" w:rsidRPr="00C319CD" w:rsidRDefault="00ED3F73">
      <w:pPr>
        <w:spacing w:after="0" w:line="276" w:lineRule="auto"/>
        <w:ind w:firstLine="709"/>
        <w:jc w:val="both"/>
        <w:rPr>
          <w:rFonts w:asciiTheme="majorHAnsi" w:hAnsiTheme="majorHAnsi" w:cstheme="majorHAnsi"/>
          <w:sz w:val="24"/>
          <w:szCs w:val="24"/>
          <w:lang w:val="ro-MD"/>
        </w:rPr>
      </w:pPr>
      <w:r w:rsidRPr="00CF3AD4">
        <w:rPr>
          <w:rFonts w:asciiTheme="majorHAnsi" w:hAnsiTheme="majorHAnsi" w:cstheme="majorHAnsi"/>
          <w:sz w:val="24"/>
          <w:szCs w:val="24"/>
          <w:lang w:val="ro-MD"/>
        </w:rPr>
        <w:t>Auditorul public nu este responsabil de prevenirea faptelor de fraudă și eroare, a fost independent față de entitate, precum și a îndeplinit responsabilitățile de etică în conformitate cu cerințele Codului etic al Curții de Conturi</w:t>
      </w:r>
      <w:r w:rsidRPr="00CF3AD4">
        <w:rPr>
          <w:rFonts w:asciiTheme="majorHAnsi" w:hAnsiTheme="majorHAnsi" w:cstheme="majorHAnsi"/>
          <w:sz w:val="24"/>
          <w:szCs w:val="24"/>
          <w:vertAlign w:val="superscript"/>
          <w:lang w:val="ro-MD"/>
        </w:rPr>
        <w:footnoteReference w:id="17"/>
      </w:r>
      <w:r w:rsidRPr="00CF3AD4">
        <w:rPr>
          <w:rFonts w:asciiTheme="majorHAnsi" w:hAnsiTheme="majorHAnsi" w:cstheme="majorHAnsi"/>
          <w:sz w:val="24"/>
          <w:szCs w:val="24"/>
          <w:lang w:val="ro-MD"/>
        </w:rPr>
        <w:t>.</w:t>
      </w:r>
    </w:p>
    <w:p w14:paraId="10F9BC61" w14:textId="77777777" w:rsidR="00C319CD" w:rsidRPr="00CF3AD4" w:rsidRDefault="00C319CD" w:rsidP="00CF3AD4">
      <w:pPr>
        <w:spacing w:after="0"/>
        <w:rPr>
          <w:lang w:val="ro-MD"/>
        </w:rPr>
      </w:pPr>
      <w:bookmarkStart w:id="30" w:name="_Toc119496385"/>
    </w:p>
    <w:p w14:paraId="2F9CEE40" w14:textId="620911B8" w:rsidR="00700D79" w:rsidRPr="009772A3" w:rsidRDefault="00947A5B" w:rsidP="00CF3AD4">
      <w:pPr>
        <w:pStyle w:val="Heading1"/>
        <w:numPr>
          <w:ilvl w:val="0"/>
          <w:numId w:val="2"/>
        </w:numPr>
        <w:spacing w:before="0" w:line="276" w:lineRule="auto"/>
        <w:ind w:left="0" w:firstLine="0"/>
        <w:jc w:val="left"/>
        <w:rPr>
          <w:color w:val="auto"/>
          <w:sz w:val="28"/>
          <w:lang w:val="ro-MD"/>
        </w:rPr>
      </w:pPr>
      <w:r w:rsidRPr="009772A3">
        <w:rPr>
          <w:color w:val="auto"/>
          <w:sz w:val="28"/>
          <w:lang w:val="ro-MD"/>
        </w:rPr>
        <w:t>CONSTATĂRI</w:t>
      </w:r>
      <w:bookmarkEnd w:id="21"/>
      <w:bookmarkEnd w:id="30"/>
    </w:p>
    <w:p w14:paraId="48C00535" w14:textId="0662B075" w:rsidR="00792626" w:rsidRPr="009772A3" w:rsidRDefault="00792626" w:rsidP="00CF3AD4">
      <w:pPr>
        <w:pStyle w:val="Heading1"/>
        <w:numPr>
          <w:ilvl w:val="1"/>
          <w:numId w:val="2"/>
        </w:numPr>
        <w:spacing w:before="0" w:line="276" w:lineRule="auto"/>
        <w:ind w:left="0" w:firstLine="0"/>
        <w:jc w:val="left"/>
        <w:rPr>
          <w:rFonts w:cstheme="majorHAnsi"/>
          <w:color w:val="auto"/>
          <w:szCs w:val="24"/>
          <w:lang w:val="ro-MD"/>
        </w:rPr>
      </w:pPr>
      <w:bookmarkStart w:id="31" w:name="_Toc119496386"/>
      <w:r w:rsidRPr="009772A3">
        <w:rPr>
          <w:rFonts w:cstheme="majorHAnsi"/>
          <w:color w:val="auto"/>
          <w:szCs w:val="24"/>
          <w:lang w:val="ro-MD"/>
        </w:rPr>
        <w:t>Patrimoniul transmis în capitalul social al SA Moldovagaz a fost depus la valoarea justă, iar cotele de participare au fost determinate corect?</w:t>
      </w:r>
      <w:bookmarkEnd w:id="31"/>
    </w:p>
    <w:p w14:paraId="111BE082" w14:textId="2B19F12C" w:rsidR="0037766A" w:rsidRPr="009772A3" w:rsidRDefault="0037766A" w:rsidP="006545CF">
      <w:pPr>
        <w:spacing w:after="0" w:line="276" w:lineRule="auto"/>
        <w:ind w:firstLine="709"/>
        <w:jc w:val="both"/>
        <w:rPr>
          <w:rFonts w:asciiTheme="majorHAnsi" w:hAnsiTheme="majorHAnsi" w:cstheme="majorHAnsi"/>
          <w:b/>
          <w:i/>
          <w:sz w:val="24"/>
          <w:szCs w:val="24"/>
          <w:lang w:val="ro-MD"/>
        </w:rPr>
      </w:pPr>
      <w:r w:rsidRPr="009772A3">
        <w:rPr>
          <w:rFonts w:asciiTheme="majorHAnsi" w:hAnsiTheme="majorHAnsi" w:cstheme="majorHAnsi"/>
          <w:i/>
          <w:sz w:val="24"/>
          <w:szCs w:val="24"/>
          <w:lang w:val="ro-MD"/>
        </w:rPr>
        <w:t>Patrimoniul investit de acționari la fondarea SA Gazsnabtranzit, c</w:t>
      </w:r>
      <w:r w:rsidR="00FE714C" w:rsidRPr="009772A3">
        <w:rPr>
          <w:rFonts w:asciiTheme="majorHAnsi" w:hAnsiTheme="majorHAnsi" w:cstheme="majorHAnsi"/>
          <w:i/>
          <w:sz w:val="24"/>
          <w:szCs w:val="24"/>
          <w:lang w:val="ro-MD"/>
        </w:rPr>
        <w:t>â</w:t>
      </w:r>
      <w:r w:rsidRPr="009772A3">
        <w:rPr>
          <w:rFonts w:asciiTheme="majorHAnsi" w:hAnsiTheme="majorHAnsi" w:cstheme="majorHAnsi"/>
          <w:i/>
          <w:sz w:val="24"/>
          <w:szCs w:val="24"/>
          <w:lang w:val="ro-MD"/>
        </w:rPr>
        <w:t xml:space="preserve">t și la fondarea SA Moldovagaz nu a fost evaluat conform cadrului normativ în vigoare și delimitat </w:t>
      </w:r>
      <w:r w:rsidR="001B5F80" w:rsidRPr="009772A3">
        <w:rPr>
          <w:rFonts w:asciiTheme="majorHAnsi" w:hAnsiTheme="majorHAnsi" w:cstheme="majorHAnsi"/>
          <w:i/>
          <w:sz w:val="24"/>
          <w:szCs w:val="24"/>
          <w:lang w:val="ro-MD"/>
        </w:rPr>
        <w:t>conform</w:t>
      </w:r>
      <w:r w:rsidRPr="009772A3">
        <w:rPr>
          <w:rFonts w:asciiTheme="majorHAnsi" w:hAnsiTheme="majorHAnsi" w:cstheme="majorHAnsi"/>
          <w:i/>
          <w:sz w:val="24"/>
          <w:szCs w:val="24"/>
          <w:lang w:val="ro-MD"/>
        </w:rPr>
        <w:t xml:space="preserve">, ceea ce indică un risc semnificativ de determinare incorectă a cotelor de participare în capitalul social al SA Moldovagaz. </w:t>
      </w:r>
    </w:p>
    <w:p w14:paraId="4F008131" w14:textId="4C180FDE" w:rsidR="00B84F30" w:rsidRPr="009772A3" w:rsidRDefault="0037766A" w:rsidP="00B84F3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FE714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potrivit</w:t>
      </w:r>
      <w:r w:rsidR="00B84F30" w:rsidRPr="009772A3">
        <w:rPr>
          <w:rFonts w:asciiTheme="majorHAnsi" w:hAnsiTheme="majorHAnsi" w:cstheme="majorHAnsi"/>
          <w:sz w:val="24"/>
          <w:szCs w:val="24"/>
          <w:lang w:val="ro-MD"/>
        </w:rPr>
        <w:t xml:space="preserve"> datelor bilanțului contabil al SA Moldovagaz</w:t>
      </w:r>
      <w:r w:rsidR="00FE714C"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la 31.12.2021 erau înregistrate investiții în părțile afiliate în sumă de 4.720.927,1 mii lei, inclusiv: I) valoarea capitalului statutar al entităților fondate </w:t>
      </w:r>
      <w:r w:rsidR="00FE714C" w:rsidRPr="009772A3">
        <w:rPr>
          <w:rFonts w:asciiTheme="majorHAnsi" w:hAnsiTheme="majorHAnsi" w:cstheme="majorHAnsi"/>
          <w:sz w:val="24"/>
          <w:szCs w:val="24"/>
          <w:lang w:val="ro-MD"/>
        </w:rPr>
        <w:t xml:space="preserve">– </w:t>
      </w:r>
      <w:r w:rsidR="00B84F30" w:rsidRPr="009772A3">
        <w:rPr>
          <w:rFonts w:asciiTheme="majorHAnsi" w:hAnsiTheme="majorHAnsi" w:cstheme="majorHAnsi"/>
          <w:sz w:val="24"/>
          <w:szCs w:val="24"/>
          <w:lang w:val="ro-MD"/>
        </w:rPr>
        <w:t xml:space="preserve">713.621,8 mii lei, din care în partea dreaptă a </w:t>
      </w:r>
      <w:r w:rsidR="00D60EA4" w:rsidRPr="009772A3">
        <w:rPr>
          <w:rFonts w:asciiTheme="majorHAnsi" w:hAnsiTheme="majorHAnsi" w:cstheme="majorHAnsi"/>
          <w:sz w:val="24"/>
          <w:szCs w:val="24"/>
          <w:lang w:val="ro-MD"/>
        </w:rPr>
        <w:t xml:space="preserve">râului </w:t>
      </w:r>
      <w:r w:rsidR="00B84F30" w:rsidRPr="009772A3">
        <w:rPr>
          <w:rFonts w:asciiTheme="majorHAnsi" w:hAnsiTheme="majorHAnsi" w:cstheme="majorHAnsi"/>
          <w:sz w:val="24"/>
          <w:szCs w:val="24"/>
          <w:lang w:val="ro-MD"/>
        </w:rPr>
        <w:t xml:space="preserve">Nistru </w:t>
      </w:r>
      <w:r w:rsidR="00D60EA4" w:rsidRPr="009772A3">
        <w:rPr>
          <w:rFonts w:asciiTheme="majorHAnsi" w:hAnsiTheme="majorHAnsi" w:cstheme="majorHAnsi"/>
          <w:sz w:val="24"/>
          <w:szCs w:val="24"/>
          <w:lang w:val="ro-MD"/>
        </w:rPr>
        <w:t xml:space="preserve">– </w:t>
      </w:r>
      <w:r w:rsidR="00B84F30" w:rsidRPr="009772A3">
        <w:rPr>
          <w:rFonts w:asciiTheme="majorHAnsi" w:hAnsiTheme="majorHAnsi" w:cstheme="majorHAnsi"/>
          <w:sz w:val="24"/>
          <w:szCs w:val="24"/>
          <w:lang w:val="ro-MD"/>
        </w:rPr>
        <w:t>375.480,8 mii lei</w:t>
      </w:r>
      <w:r w:rsidR="00D60EA4"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și în </w:t>
      </w:r>
      <w:r w:rsidR="006F3D94" w:rsidRPr="009772A3">
        <w:rPr>
          <w:rFonts w:asciiTheme="majorHAnsi" w:hAnsiTheme="majorHAnsi" w:cstheme="majorHAnsi"/>
          <w:sz w:val="24"/>
          <w:szCs w:val="24"/>
          <w:lang w:val="ro-MD"/>
        </w:rPr>
        <w:t xml:space="preserve">partea </w:t>
      </w:r>
      <w:r w:rsidR="006F3D94">
        <w:rPr>
          <w:rFonts w:asciiTheme="majorHAnsi" w:hAnsiTheme="majorHAnsi" w:cstheme="majorHAnsi"/>
          <w:sz w:val="24"/>
          <w:szCs w:val="24"/>
          <w:lang w:val="ro-MD"/>
        </w:rPr>
        <w:t>stâng</w:t>
      </w:r>
      <w:r w:rsidR="006F3D94" w:rsidRPr="009772A3">
        <w:rPr>
          <w:rFonts w:asciiTheme="majorHAnsi" w:hAnsiTheme="majorHAnsi" w:cstheme="majorHAnsi"/>
          <w:sz w:val="24"/>
          <w:szCs w:val="24"/>
          <w:lang w:val="ro-MD"/>
        </w:rPr>
        <w:t xml:space="preserve">ă a râului Nistru </w:t>
      </w:r>
      <w:r w:rsidR="00D60EA4" w:rsidRPr="009772A3">
        <w:rPr>
          <w:rFonts w:asciiTheme="majorHAnsi" w:hAnsiTheme="majorHAnsi" w:cstheme="majorHAnsi"/>
          <w:sz w:val="24"/>
          <w:szCs w:val="24"/>
          <w:lang w:val="ro-MD"/>
        </w:rPr>
        <w:t xml:space="preserve">– </w:t>
      </w:r>
      <w:r w:rsidR="00B84F30" w:rsidRPr="009772A3">
        <w:rPr>
          <w:rFonts w:asciiTheme="majorHAnsi" w:hAnsiTheme="majorHAnsi" w:cstheme="majorHAnsi"/>
          <w:sz w:val="24"/>
          <w:szCs w:val="24"/>
          <w:lang w:val="ro-MD"/>
        </w:rPr>
        <w:t xml:space="preserve">338.140,9 mii lei, II) valoarea capitalului suplimentar </w:t>
      </w:r>
      <w:r w:rsidR="00D60EA4" w:rsidRPr="009772A3">
        <w:rPr>
          <w:rFonts w:asciiTheme="majorHAnsi" w:hAnsiTheme="majorHAnsi" w:cstheme="majorHAnsi"/>
          <w:sz w:val="24"/>
          <w:szCs w:val="24"/>
          <w:lang w:val="ro-MD"/>
        </w:rPr>
        <w:t>constituia</w:t>
      </w:r>
      <w:r w:rsidR="00B84F30" w:rsidRPr="009772A3">
        <w:rPr>
          <w:rFonts w:asciiTheme="majorHAnsi" w:hAnsiTheme="majorHAnsi" w:cstheme="majorHAnsi"/>
          <w:sz w:val="24"/>
          <w:szCs w:val="24"/>
          <w:lang w:val="ro-MD"/>
        </w:rPr>
        <w:t xml:space="preserve"> 642.931,8 mii lei (doar pentru entitățile din partea dreapt</w:t>
      </w:r>
      <w:r w:rsidR="00D60EA4" w:rsidRPr="009772A3">
        <w:rPr>
          <w:rFonts w:asciiTheme="majorHAnsi" w:hAnsiTheme="majorHAnsi" w:cstheme="majorHAnsi"/>
          <w:sz w:val="24"/>
          <w:szCs w:val="24"/>
          <w:lang w:val="ro-MD"/>
        </w:rPr>
        <w:t>ă</w:t>
      </w:r>
      <w:r w:rsidR="00B84F30" w:rsidRPr="009772A3">
        <w:rPr>
          <w:rFonts w:asciiTheme="majorHAnsi" w:hAnsiTheme="majorHAnsi" w:cstheme="majorHAnsi"/>
          <w:sz w:val="24"/>
          <w:szCs w:val="24"/>
          <w:lang w:val="ro-MD"/>
        </w:rPr>
        <w:t xml:space="preserve"> a </w:t>
      </w:r>
      <w:r w:rsidR="00D60EA4" w:rsidRPr="009772A3">
        <w:rPr>
          <w:rFonts w:asciiTheme="majorHAnsi" w:hAnsiTheme="majorHAnsi" w:cstheme="majorHAnsi"/>
          <w:sz w:val="24"/>
          <w:szCs w:val="24"/>
          <w:lang w:val="ro-MD"/>
        </w:rPr>
        <w:t xml:space="preserve">râului </w:t>
      </w:r>
      <w:r w:rsidR="00B84F30" w:rsidRPr="009772A3">
        <w:rPr>
          <w:rFonts w:asciiTheme="majorHAnsi" w:hAnsiTheme="majorHAnsi" w:cstheme="majorHAnsi"/>
          <w:sz w:val="24"/>
          <w:szCs w:val="24"/>
          <w:lang w:val="ro-MD"/>
        </w:rPr>
        <w:t xml:space="preserve">Nistru), III) valoarea reevaluării mijloacelor fixe transmise în capitalul social </w:t>
      </w:r>
      <w:r w:rsidR="00D60EA4" w:rsidRPr="009772A3">
        <w:rPr>
          <w:rFonts w:asciiTheme="majorHAnsi" w:hAnsiTheme="majorHAnsi" w:cstheme="majorHAnsi"/>
          <w:sz w:val="24"/>
          <w:szCs w:val="24"/>
          <w:lang w:val="ro-MD"/>
        </w:rPr>
        <w:t>era de</w:t>
      </w:r>
      <w:r w:rsidR="00B84F30" w:rsidRPr="009772A3">
        <w:rPr>
          <w:rFonts w:asciiTheme="majorHAnsi" w:hAnsiTheme="majorHAnsi" w:cstheme="majorHAnsi"/>
          <w:sz w:val="24"/>
          <w:szCs w:val="24"/>
          <w:lang w:val="ro-MD"/>
        </w:rPr>
        <w:t xml:space="preserve"> 3.364.373,501 mii lei (doar pentru entitățile din partea dreapt</w:t>
      </w:r>
      <w:r w:rsidR="00D60EA4" w:rsidRPr="009772A3">
        <w:rPr>
          <w:rFonts w:asciiTheme="majorHAnsi" w:hAnsiTheme="majorHAnsi" w:cstheme="majorHAnsi"/>
          <w:sz w:val="24"/>
          <w:szCs w:val="24"/>
          <w:lang w:val="ro-MD"/>
        </w:rPr>
        <w:t>ă</w:t>
      </w:r>
      <w:r w:rsidR="00B84F30" w:rsidRPr="009772A3">
        <w:rPr>
          <w:rFonts w:asciiTheme="majorHAnsi" w:hAnsiTheme="majorHAnsi" w:cstheme="majorHAnsi"/>
          <w:sz w:val="24"/>
          <w:szCs w:val="24"/>
          <w:lang w:val="ro-MD"/>
        </w:rPr>
        <w:t xml:space="preserve"> a </w:t>
      </w:r>
      <w:r w:rsidR="00D60EA4" w:rsidRPr="009772A3">
        <w:rPr>
          <w:rFonts w:asciiTheme="majorHAnsi" w:hAnsiTheme="majorHAnsi" w:cstheme="majorHAnsi"/>
          <w:sz w:val="24"/>
          <w:szCs w:val="24"/>
          <w:lang w:val="ro-MD"/>
        </w:rPr>
        <w:t xml:space="preserve">râului </w:t>
      </w:r>
      <w:r w:rsidR="00B84F30" w:rsidRPr="009772A3">
        <w:rPr>
          <w:rFonts w:asciiTheme="majorHAnsi" w:hAnsiTheme="majorHAnsi" w:cstheme="majorHAnsi"/>
          <w:sz w:val="24"/>
          <w:szCs w:val="24"/>
          <w:lang w:val="ro-MD"/>
        </w:rPr>
        <w:t>Nistru). Astfel</w:t>
      </w:r>
      <w:r w:rsidR="00D60EA4"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valoarea investițiilor în entitățile din partea dreapt</w:t>
      </w:r>
      <w:r w:rsidR="00D60EA4" w:rsidRPr="009772A3">
        <w:rPr>
          <w:rFonts w:asciiTheme="majorHAnsi" w:hAnsiTheme="majorHAnsi" w:cstheme="majorHAnsi"/>
          <w:sz w:val="24"/>
          <w:szCs w:val="24"/>
          <w:lang w:val="ro-MD"/>
        </w:rPr>
        <w:t>ă</w:t>
      </w:r>
      <w:r w:rsidR="00B84F30" w:rsidRPr="009772A3">
        <w:rPr>
          <w:rFonts w:asciiTheme="majorHAnsi" w:hAnsiTheme="majorHAnsi" w:cstheme="majorHAnsi"/>
          <w:sz w:val="24"/>
          <w:szCs w:val="24"/>
          <w:lang w:val="ro-MD"/>
        </w:rPr>
        <w:t xml:space="preserve"> a </w:t>
      </w:r>
      <w:r w:rsidR="00D60EA4" w:rsidRPr="009772A3">
        <w:rPr>
          <w:rFonts w:asciiTheme="majorHAnsi" w:hAnsiTheme="majorHAnsi" w:cstheme="majorHAnsi"/>
          <w:sz w:val="24"/>
          <w:szCs w:val="24"/>
          <w:lang w:val="ro-MD"/>
        </w:rPr>
        <w:t xml:space="preserve">râului </w:t>
      </w:r>
      <w:r w:rsidR="00B84F30" w:rsidRPr="009772A3">
        <w:rPr>
          <w:rFonts w:asciiTheme="majorHAnsi" w:hAnsiTheme="majorHAnsi" w:cstheme="majorHAnsi"/>
          <w:sz w:val="24"/>
          <w:szCs w:val="24"/>
          <w:lang w:val="ro-MD"/>
        </w:rPr>
        <w:t>Nistru constitui</w:t>
      </w:r>
      <w:r w:rsidR="00D60EA4" w:rsidRPr="009772A3">
        <w:rPr>
          <w:rFonts w:asciiTheme="majorHAnsi" w:hAnsiTheme="majorHAnsi" w:cstheme="majorHAnsi"/>
          <w:sz w:val="24"/>
          <w:szCs w:val="24"/>
          <w:lang w:val="ro-MD"/>
        </w:rPr>
        <w:t>a</w:t>
      </w:r>
      <w:r w:rsidR="00B84F30" w:rsidRPr="009772A3">
        <w:rPr>
          <w:rFonts w:asciiTheme="majorHAnsi" w:hAnsiTheme="majorHAnsi" w:cstheme="majorHAnsi"/>
          <w:sz w:val="24"/>
          <w:szCs w:val="24"/>
          <w:lang w:val="ro-MD"/>
        </w:rPr>
        <w:t xml:space="preserve"> 4.382.786,2 mii lei, iar </w:t>
      </w:r>
      <w:r w:rsidR="00D60EA4" w:rsidRPr="009772A3">
        <w:rPr>
          <w:rFonts w:asciiTheme="majorHAnsi" w:hAnsiTheme="majorHAnsi" w:cstheme="majorHAnsi"/>
          <w:sz w:val="24"/>
          <w:szCs w:val="24"/>
          <w:lang w:val="ro-MD"/>
        </w:rPr>
        <w:t xml:space="preserve">a </w:t>
      </w:r>
      <w:r w:rsidR="00B84F30" w:rsidRPr="009772A3">
        <w:rPr>
          <w:rFonts w:asciiTheme="majorHAnsi" w:hAnsiTheme="majorHAnsi" w:cstheme="majorHAnsi"/>
          <w:sz w:val="24"/>
          <w:szCs w:val="24"/>
          <w:lang w:val="ro-MD"/>
        </w:rPr>
        <w:t xml:space="preserve">investițiilor în entitățile din </w:t>
      </w:r>
      <w:r w:rsidR="006F3D94" w:rsidRPr="009772A3">
        <w:rPr>
          <w:rFonts w:asciiTheme="majorHAnsi" w:hAnsiTheme="majorHAnsi" w:cstheme="majorHAnsi"/>
          <w:sz w:val="24"/>
          <w:szCs w:val="24"/>
          <w:lang w:val="ro-MD"/>
        </w:rPr>
        <w:t xml:space="preserve">partea </w:t>
      </w:r>
      <w:r w:rsidR="006F3D94">
        <w:rPr>
          <w:rFonts w:asciiTheme="majorHAnsi" w:hAnsiTheme="majorHAnsi" w:cstheme="majorHAnsi"/>
          <w:sz w:val="24"/>
          <w:szCs w:val="24"/>
          <w:lang w:val="ro-MD"/>
        </w:rPr>
        <w:t>stâng</w:t>
      </w:r>
      <w:r w:rsidR="006F3D94" w:rsidRPr="009772A3">
        <w:rPr>
          <w:rFonts w:asciiTheme="majorHAnsi" w:hAnsiTheme="majorHAnsi" w:cstheme="majorHAnsi"/>
          <w:sz w:val="24"/>
          <w:szCs w:val="24"/>
          <w:lang w:val="ro-MD"/>
        </w:rPr>
        <w:t xml:space="preserve">ă a râului Nistru </w:t>
      </w:r>
      <w:r w:rsidR="00B84F30" w:rsidRPr="009772A3">
        <w:rPr>
          <w:rFonts w:asciiTheme="majorHAnsi" w:hAnsiTheme="majorHAnsi" w:cstheme="majorHAnsi"/>
          <w:sz w:val="24"/>
          <w:szCs w:val="24"/>
          <w:lang w:val="ro-MD"/>
        </w:rPr>
        <w:t>– 338.140,9 mii lei.</w:t>
      </w:r>
    </w:p>
    <w:p w14:paraId="61690BCA" w14:textId="51BB4A02" w:rsidR="00B84F30" w:rsidRPr="009772A3" w:rsidRDefault="00B84F30" w:rsidP="00B84F3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Înregistrarea investițiilor în părțile afiliate s-a efectuat ca rezultat al formării capitalului social al SA Moldovagaz, care</w:t>
      </w:r>
      <w:r w:rsidR="00170E6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r</w:t>
      </w:r>
      <w:r w:rsidR="00170E6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ndul său</w:t>
      </w:r>
      <w:r w:rsidR="00170E6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avut c</w:t>
      </w:r>
      <w:r w:rsidR="00170E6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teva etape de formare: i) fondarea SA Gazsnabtranzit (11.08.1995) (ulterior redenumită în </w:t>
      </w:r>
      <w:r w:rsidR="006F3D94" w:rsidRPr="009772A3">
        <w:rPr>
          <w:rFonts w:asciiTheme="majorHAnsi" w:hAnsiTheme="majorHAnsi" w:cstheme="majorHAnsi"/>
          <w:sz w:val="24"/>
          <w:szCs w:val="24"/>
          <w:lang w:val="ro-MD"/>
        </w:rPr>
        <w:t xml:space="preserve">SA </w:t>
      </w:r>
      <w:r w:rsidRPr="009772A3">
        <w:rPr>
          <w:rFonts w:asciiTheme="majorHAnsi" w:hAnsiTheme="majorHAnsi" w:cstheme="majorHAnsi"/>
          <w:sz w:val="24"/>
          <w:szCs w:val="24"/>
          <w:lang w:val="ro-MD"/>
        </w:rPr>
        <w:t>Aprogaztranzit), ii) fondarea SA Moldovagaz (25.05.1999).</w:t>
      </w:r>
    </w:p>
    <w:p w14:paraId="5888562D" w14:textId="0C36DEF4" w:rsidR="00BC4CE9" w:rsidRPr="009772A3" w:rsidRDefault="001551DD" w:rsidP="006F3D94">
      <w:pPr>
        <w:pStyle w:val="Heading1"/>
        <w:numPr>
          <w:ilvl w:val="2"/>
          <w:numId w:val="2"/>
        </w:numPr>
        <w:spacing w:line="276" w:lineRule="auto"/>
        <w:ind w:left="0" w:firstLine="0"/>
        <w:jc w:val="both"/>
        <w:rPr>
          <w:color w:val="auto"/>
          <w:lang w:val="ro-MD"/>
        </w:rPr>
      </w:pPr>
      <w:bookmarkStart w:id="32" w:name="_Toc119496387"/>
      <w:bookmarkStart w:id="33" w:name="_Toc118384298"/>
      <w:r w:rsidRPr="009772A3">
        <w:rPr>
          <w:color w:val="auto"/>
          <w:lang w:val="ro-MD"/>
        </w:rPr>
        <w:t>Patrimoniul investit de acționari la fondarea SA Gazsnabtranzit (11.08.1995), c</w:t>
      </w:r>
      <w:r w:rsidR="00170E67" w:rsidRPr="009772A3">
        <w:rPr>
          <w:color w:val="auto"/>
          <w:lang w:val="ro-MD"/>
        </w:rPr>
        <w:t>â</w:t>
      </w:r>
      <w:r w:rsidRPr="009772A3">
        <w:rPr>
          <w:color w:val="auto"/>
          <w:lang w:val="ro-MD"/>
        </w:rPr>
        <w:t xml:space="preserve">t și la fondarea SA Moldovagaz (25.05.1999) nu a fost evaluat și delimitat după </w:t>
      </w:r>
      <w:r w:rsidR="001B5F80" w:rsidRPr="009772A3">
        <w:rPr>
          <w:color w:val="auto"/>
          <w:lang w:val="ro-MD"/>
        </w:rPr>
        <w:t xml:space="preserve">același </w:t>
      </w:r>
      <w:r w:rsidRPr="009772A3">
        <w:rPr>
          <w:color w:val="auto"/>
          <w:lang w:val="ro-MD"/>
        </w:rPr>
        <w:t>principiu</w:t>
      </w:r>
      <w:r w:rsidR="001B5F80" w:rsidRPr="009772A3">
        <w:rPr>
          <w:color w:val="auto"/>
          <w:lang w:val="ro-MD"/>
        </w:rPr>
        <w:t xml:space="preserve"> folosit pentru stingerea datoriilor față de SA Gazprom</w:t>
      </w:r>
      <w:r w:rsidRPr="009772A3">
        <w:rPr>
          <w:color w:val="auto"/>
          <w:lang w:val="ro-MD"/>
        </w:rPr>
        <w:t>.</w:t>
      </w:r>
      <w:bookmarkEnd w:id="32"/>
      <w:r w:rsidRPr="009772A3">
        <w:rPr>
          <w:color w:val="auto"/>
          <w:lang w:val="ro-MD"/>
        </w:rPr>
        <w:t xml:space="preserve"> </w:t>
      </w:r>
    </w:p>
    <w:p w14:paraId="21964103" w14:textId="1913032C" w:rsidR="001551DD" w:rsidRPr="009772A3" w:rsidRDefault="001551DD" w:rsidP="006C72A7">
      <w:pPr>
        <w:ind w:firstLine="709"/>
        <w:jc w:val="both"/>
        <w:rPr>
          <w:rFonts w:asciiTheme="majorHAnsi" w:hAnsiTheme="majorHAnsi" w:cstheme="majorHAnsi"/>
          <w:b/>
          <w:sz w:val="24"/>
          <w:szCs w:val="24"/>
          <w:lang w:val="ro-MD"/>
        </w:rPr>
      </w:pPr>
      <w:r w:rsidRPr="009772A3">
        <w:rPr>
          <w:rFonts w:asciiTheme="majorHAnsi" w:hAnsiTheme="majorHAnsi" w:cstheme="majorHAnsi"/>
          <w:b/>
          <w:sz w:val="24"/>
          <w:szCs w:val="24"/>
          <w:lang w:val="ro-MD"/>
        </w:rPr>
        <w:t xml:space="preserve">O parte din patrimoniul amplasat în dreapta </w:t>
      </w:r>
      <w:r w:rsidR="00D60D5C" w:rsidRPr="009772A3">
        <w:rPr>
          <w:rFonts w:asciiTheme="majorHAnsi" w:hAnsiTheme="majorHAnsi" w:cstheme="majorHAnsi"/>
          <w:b/>
          <w:sz w:val="24"/>
          <w:szCs w:val="24"/>
          <w:lang w:val="ro-MD"/>
        </w:rPr>
        <w:t xml:space="preserve">râului </w:t>
      </w:r>
      <w:r w:rsidRPr="009772A3">
        <w:rPr>
          <w:rFonts w:asciiTheme="majorHAnsi" w:hAnsiTheme="majorHAnsi" w:cstheme="majorHAnsi"/>
          <w:b/>
          <w:sz w:val="24"/>
          <w:szCs w:val="24"/>
          <w:lang w:val="ro-MD"/>
        </w:rPr>
        <w:t>Nistru a fost considerat</w:t>
      </w:r>
      <w:r w:rsidR="00D60D5C" w:rsidRPr="009772A3">
        <w:rPr>
          <w:rFonts w:asciiTheme="majorHAnsi" w:hAnsiTheme="majorHAnsi" w:cstheme="majorHAnsi"/>
          <w:b/>
          <w:sz w:val="24"/>
          <w:szCs w:val="24"/>
          <w:lang w:val="ro-MD"/>
        </w:rPr>
        <w:t>ă</w:t>
      </w:r>
      <w:r w:rsidRPr="009772A3">
        <w:rPr>
          <w:rFonts w:asciiTheme="majorHAnsi" w:hAnsiTheme="majorHAnsi" w:cstheme="majorHAnsi"/>
          <w:b/>
          <w:sz w:val="24"/>
          <w:szCs w:val="24"/>
          <w:lang w:val="ro-MD"/>
        </w:rPr>
        <w:t xml:space="preserve"> ca depus</w:t>
      </w:r>
      <w:r w:rsidR="00D60D5C" w:rsidRPr="009772A3">
        <w:rPr>
          <w:rFonts w:asciiTheme="majorHAnsi" w:hAnsiTheme="majorHAnsi" w:cstheme="majorHAnsi"/>
          <w:b/>
          <w:sz w:val="24"/>
          <w:szCs w:val="24"/>
          <w:lang w:val="ro-MD"/>
        </w:rPr>
        <w:t>ă</w:t>
      </w:r>
      <w:r w:rsidRPr="009772A3">
        <w:rPr>
          <w:rFonts w:asciiTheme="majorHAnsi" w:hAnsiTheme="majorHAnsi" w:cstheme="majorHAnsi"/>
          <w:b/>
          <w:sz w:val="24"/>
          <w:szCs w:val="24"/>
          <w:lang w:val="ro-MD"/>
        </w:rPr>
        <w:t xml:space="preserve"> de partea </w:t>
      </w:r>
      <w:r w:rsidR="00D60D5C" w:rsidRPr="009772A3">
        <w:rPr>
          <w:rFonts w:asciiTheme="majorHAnsi" w:hAnsiTheme="majorHAnsi" w:cstheme="majorHAnsi"/>
          <w:b/>
          <w:sz w:val="24"/>
          <w:szCs w:val="24"/>
          <w:lang w:val="ro-MD"/>
        </w:rPr>
        <w:t>t</w:t>
      </w:r>
      <w:r w:rsidRPr="009772A3">
        <w:rPr>
          <w:rFonts w:asciiTheme="majorHAnsi" w:hAnsiTheme="majorHAnsi" w:cstheme="majorHAnsi"/>
          <w:b/>
          <w:sz w:val="24"/>
          <w:szCs w:val="24"/>
          <w:lang w:val="ro-MD"/>
        </w:rPr>
        <w:t>ransnistreană, iar altă parte, în general,</w:t>
      </w:r>
      <w:r w:rsidR="00324018" w:rsidRPr="009772A3">
        <w:rPr>
          <w:rFonts w:asciiTheme="majorHAnsi" w:hAnsiTheme="majorHAnsi" w:cstheme="majorHAnsi"/>
          <w:b/>
          <w:sz w:val="24"/>
          <w:szCs w:val="24"/>
          <w:lang w:val="ro-MD"/>
        </w:rPr>
        <w:t xml:space="preserve"> </w:t>
      </w:r>
      <w:r w:rsidRPr="009772A3">
        <w:rPr>
          <w:rFonts w:asciiTheme="majorHAnsi" w:hAnsiTheme="majorHAnsi" w:cstheme="majorHAnsi"/>
          <w:b/>
          <w:sz w:val="24"/>
          <w:szCs w:val="24"/>
          <w:lang w:val="ro-MD"/>
        </w:rPr>
        <w:t>nu a participat la formarea capitalului social, ceea ce a provocat riscul stabilirii incorecte a cotelor de participare în capitalul social al SA Moldovagaz și nediminuării datoriilor față de SA Gazprom</w:t>
      </w:r>
      <w:r w:rsidR="00744E51"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 xml:space="preserve"> </w:t>
      </w:r>
      <w:r w:rsidR="007E3C2C" w:rsidRPr="009772A3">
        <w:rPr>
          <w:rFonts w:asciiTheme="majorHAnsi" w:hAnsiTheme="majorHAnsi" w:cstheme="majorHAnsi"/>
          <w:b/>
          <w:sz w:val="24"/>
          <w:szCs w:val="24"/>
          <w:lang w:val="ro-MD"/>
        </w:rPr>
        <w:t xml:space="preserve">fapt </w:t>
      </w:r>
      <w:r w:rsidRPr="009772A3">
        <w:rPr>
          <w:rFonts w:asciiTheme="majorHAnsi" w:hAnsiTheme="majorHAnsi" w:cstheme="majorHAnsi"/>
          <w:b/>
          <w:sz w:val="24"/>
          <w:szCs w:val="24"/>
          <w:lang w:val="ro-MD"/>
        </w:rPr>
        <w:t>care s-a și materializat.</w:t>
      </w:r>
      <w:bookmarkEnd w:id="33"/>
    </w:p>
    <w:p w14:paraId="3689E7B5" w14:textId="6D4A2AA1" w:rsidR="00B84F30" w:rsidRPr="009772A3" w:rsidRDefault="00B84F30" w:rsidP="00B84F30">
      <w:pPr>
        <w:spacing w:after="0" w:line="276" w:lineRule="auto"/>
        <w:ind w:firstLine="709"/>
        <w:jc w:val="both"/>
        <w:rPr>
          <w:rFonts w:asciiTheme="majorHAnsi" w:hAnsiTheme="majorHAnsi" w:cstheme="majorHAnsi"/>
          <w:b/>
          <w:i/>
          <w:sz w:val="24"/>
          <w:szCs w:val="24"/>
          <w:lang w:val="ro-MD"/>
        </w:rPr>
      </w:pPr>
      <w:r w:rsidRPr="009772A3">
        <w:rPr>
          <w:rFonts w:asciiTheme="majorHAnsi" w:hAnsiTheme="majorHAnsi" w:cstheme="majorHAnsi"/>
          <w:b/>
          <w:i/>
          <w:sz w:val="24"/>
          <w:szCs w:val="24"/>
          <w:lang w:val="ro-MD"/>
        </w:rPr>
        <w:t>Referitor la formarea SA Gazsnabtranzit</w:t>
      </w:r>
    </w:p>
    <w:p w14:paraId="565932B7" w14:textId="71175014" w:rsidR="00BC4CE9" w:rsidRPr="009772A3" w:rsidRDefault="00B84F30" w:rsidP="00BC4CE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Prin HG nr.749 din 07.10.1994, s-a acceptat realizarea acordului dintre SA </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Gazprom” (Rusia) și Concernul de Stat </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Moldova-gaz” privind crearea cu participarea lor a unei societăți pe acțiuni cu formă mixtă de proprietate, confirmată prin HP nr.305 din 06.12.1994, conform căreia părții ruse urma să i se transmită cu titlu de cotă-parte în capitalul social al societății pe acțiuni, în contul achitării datoriei RM față de SA </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Gazprom</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7E3C2C" w:rsidRPr="009772A3">
        <w:rPr>
          <w:rFonts w:asciiTheme="majorHAnsi" w:hAnsiTheme="majorHAnsi" w:cstheme="majorHAnsi"/>
          <w:sz w:val="24"/>
          <w:szCs w:val="24"/>
          <w:lang w:val="ro-MD"/>
        </w:rPr>
        <w:t>a unei</w:t>
      </w:r>
      <w:r w:rsidRPr="009772A3">
        <w:rPr>
          <w:rFonts w:asciiTheme="majorHAnsi" w:hAnsiTheme="majorHAnsi" w:cstheme="majorHAnsi"/>
          <w:sz w:val="24"/>
          <w:szCs w:val="24"/>
          <w:lang w:val="ro-MD"/>
        </w:rPr>
        <w:t xml:space="preserve"> </w:t>
      </w:r>
      <w:r w:rsidR="007E3C2C" w:rsidRPr="009772A3">
        <w:rPr>
          <w:rFonts w:asciiTheme="majorHAnsi" w:hAnsiTheme="majorHAnsi" w:cstheme="majorHAnsi"/>
          <w:sz w:val="24"/>
          <w:szCs w:val="24"/>
          <w:lang w:val="ro-MD"/>
        </w:rPr>
        <w:t>părți</w:t>
      </w:r>
      <w:r w:rsidRPr="009772A3">
        <w:rPr>
          <w:rFonts w:asciiTheme="majorHAnsi" w:hAnsiTheme="majorHAnsi" w:cstheme="majorHAnsi"/>
          <w:sz w:val="24"/>
          <w:szCs w:val="24"/>
          <w:lang w:val="ro-MD"/>
        </w:rPr>
        <w:t xml:space="preserve"> din complexul patrimonial al Concernului de Stat </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Moldova-Gaz</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62F786CF" w14:textId="203850F6" w:rsidR="00B84F30" w:rsidRPr="009772A3" w:rsidRDefault="00B84F30" w:rsidP="00BE791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HG nr.302 din 12.05.1995, a</w:t>
      </w:r>
      <w:r w:rsidR="003168BE"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fost aprobat</w:t>
      </w:r>
      <w:r w:rsidR="003168B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proiectul Contractului de constituire şi statutul Societății pe acțiuni mixte moldo-ruse de tip închis </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stabilindu-se că capitalul statutar se va forma din contul patrimoniului de stat al complexului Întreprinderii republicane a gazoductelor magistrale </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7E3C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şi Direcției regionale a gazoductelor </w:t>
      </w:r>
      <w:r w:rsidRPr="00B66C5F">
        <w:rPr>
          <w:rFonts w:asciiTheme="majorHAnsi" w:hAnsiTheme="majorHAnsi" w:cstheme="majorHAnsi"/>
          <w:sz w:val="24"/>
          <w:szCs w:val="24"/>
          <w:lang w:val="ro-MD"/>
        </w:rPr>
        <w:t xml:space="preserve">magistrale (DRGM) </w:t>
      </w:r>
      <w:r w:rsidR="007E3C2C" w:rsidRPr="00B66C5F">
        <w:rPr>
          <w:rFonts w:asciiTheme="majorHAnsi" w:hAnsiTheme="majorHAnsi" w:cstheme="majorHAnsi"/>
          <w:sz w:val="24"/>
          <w:szCs w:val="24"/>
          <w:lang w:val="ro-MD"/>
        </w:rPr>
        <w:t>„</w:t>
      </w:r>
      <w:r w:rsidRPr="00B66C5F">
        <w:rPr>
          <w:rFonts w:asciiTheme="majorHAnsi" w:hAnsiTheme="majorHAnsi" w:cstheme="majorHAnsi"/>
          <w:sz w:val="24"/>
          <w:szCs w:val="24"/>
          <w:lang w:val="ro-MD"/>
        </w:rPr>
        <w:t>Tiraspoltransgaz</w:t>
      </w:r>
      <w:r w:rsidR="007E3C2C" w:rsidRPr="00B66C5F">
        <w:rPr>
          <w:rFonts w:asciiTheme="majorHAnsi" w:hAnsiTheme="majorHAnsi" w:cstheme="majorHAnsi"/>
          <w:sz w:val="24"/>
          <w:szCs w:val="24"/>
          <w:lang w:val="ro-MD"/>
        </w:rPr>
        <w:t>”</w:t>
      </w:r>
      <w:r w:rsidRPr="00B66C5F">
        <w:rPr>
          <w:rFonts w:asciiTheme="majorHAnsi" w:hAnsiTheme="majorHAnsi" w:cstheme="majorHAnsi"/>
          <w:sz w:val="24"/>
          <w:szCs w:val="24"/>
          <w:lang w:val="ro-MD"/>
        </w:rPr>
        <w:t>, în proprietatea acesteia transmiț</w:t>
      </w:r>
      <w:r w:rsidR="007E3C2C" w:rsidRPr="00B66C5F">
        <w:rPr>
          <w:rFonts w:asciiTheme="majorHAnsi" w:hAnsiTheme="majorHAnsi" w:cstheme="majorHAnsi"/>
          <w:sz w:val="24"/>
          <w:szCs w:val="24"/>
          <w:lang w:val="ro-MD"/>
        </w:rPr>
        <w:t>â</w:t>
      </w:r>
      <w:r w:rsidRPr="00B66C5F">
        <w:rPr>
          <w:rFonts w:asciiTheme="majorHAnsi" w:hAnsiTheme="majorHAnsi" w:cstheme="majorHAnsi"/>
          <w:sz w:val="24"/>
          <w:szCs w:val="24"/>
          <w:lang w:val="ro-MD"/>
        </w:rPr>
        <w:t xml:space="preserve">ndu-se </w:t>
      </w:r>
      <w:r w:rsidR="00B66C5F" w:rsidRPr="00B66C5F">
        <w:rPr>
          <w:rFonts w:asciiTheme="majorHAnsi" w:hAnsiTheme="majorHAnsi" w:cstheme="majorHAnsi"/>
          <w:sz w:val="24"/>
          <w:szCs w:val="24"/>
          <w:lang w:val="ro-MD"/>
        </w:rPr>
        <w:t xml:space="preserve">patrimoniul existent la </w:t>
      </w:r>
      <w:r w:rsidR="00BC4CE9" w:rsidRPr="00CF3AD4">
        <w:rPr>
          <w:rFonts w:asciiTheme="majorHAnsi" w:hAnsiTheme="majorHAnsi" w:cstheme="majorHAnsi"/>
          <w:sz w:val="24"/>
          <w:szCs w:val="24"/>
          <w:lang w:val="ro-MD"/>
        </w:rPr>
        <w:t>01.10.1994</w:t>
      </w:r>
      <w:r w:rsidR="00B66C5F" w:rsidRPr="00B66C5F">
        <w:rPr>
          <w:rFonts w:asciiTheme="majorHAnsi" w:hAnsiTheme="majorHAnsi" w:cstheme="majorHAnsi"/>
          <w:sz w:val="24"/>
          <w:szCs w:val="24"/>
          <w:lang w:val="ro-MD"/>
        </w:rPr>
        <w:t>,</w:t>
      </w:r>
      <w:r w:rsidR="00BC4CE9" w:rsidRPr="00B66C5F">
        <w:rPr>
          <w:rFonts w:asciiTheme="majorHAnsi" w:hAnsiTheme="majorHAnsi" w:cstheme="majorHAnsi"/>
          <w:sz w:val="24"/>
          <w:szCs w:val="24"/>
          <w:lang w:val="ro-MD"/>
        </w:rPr>
        <w:t xml:space="preserve"> </w:t>
      </w:r>
      <w:r w:rsidR="00B66C5F" w:rsidRPr="00B66C5F">
        <w:rPr>
          <w:rFonts w:asciiTheme="majorHAnsi" w:hAnsiTheme="majorHAnsi" w:cstheme="majorHAnsi"/>
          <w:sz w:val="24"/>
          <w:szCs w:val="24"/>
          <w:lang w:val="ro-MD"/>
        </w:rPr>
        <w:t xml:space="preserve">evaluat la </w:t>
      </w:r>
      <w:r w:rsidR="00B66C5F" w:rsidRPr="00CF3AD4">
        <w:rPr>
          <w:rFonts w:asciiTheme="majorHAnsi" w:hAnsiTheme="majorHAnsi" w:cstheme="majorHAnsi"/>
          <w:sz w:val="24"/>
          <w:szCs w:val="24"/>
          <w:lang w:val="ro-MD"/>
        </w:rPr>
        <w:t>situația din 01.01.1994</w:t>
      </w:r>
      <w:r w:rsidR="00B66C5F" w:rsidRPr="00B66C5F">
        <w:rPr>
          <w:rFonts w:asciiTheme="majorHAnsi" w:hAnsiTheme="majorHAnsi" w:cstheme="majorHAnsi"/>
          <w:sz w:val="24"/>
          <w:szCs w:val="24"/>
          <w:lang w:val="ro-MD"/>
        </w:rPr>
        <w:t xml:space="preserve"> </w:t>
      </w:r>
      <w:r w:rsidR="00BC4CE9" w:rsidRPr="00B66C5F">
        <w:rPr>
          <w:rFonts w:asciiTheme="majorHAnsi" w:hAnsiTheme="majorHAnsi" w:cstheme="majorHAnsi"/>
          <w:sz w:val="24"/>
          <w:szCs w:val="24"/>
          <w:lang w:val="ro-MD"/>
        </w:rPr>
        <w:t>în sumă de 439,9 mil.lei (104,0 mil. dolari SUA).</w:t>
      </w:r>
      <w:r w:rsidR="00BC4CE9" w:rsidRPr="009772A3">
        <w:rPr>
          <w:rFonts w:asciiTheme="majorHAnsi" w:hAnsiTheme="majorHAnsi" w:cstheme="majorHAnsi"/>
          <w:sz w:val="24"/>
          <w:szCs w:val="24"/>
          <w:lang w:val="ro-MD"/>
        </w:rPr>
        <w:t xml:space="preserve"> </w:t>
      </w:r>
      <w:r w:rsidR="006F3D94">
        <w:rPr>
          <w:rFonts w:asciiTheme="majorHAnsi" w:hAnsiTheme="majorHAnsi" w:cstheme="majorHAnsi"/>
          <w:sz w:val="24"/>
          <w:szCs w:val="24"/>
          <w:lang w:val="ro-MD"/>
        </w:rPr>
        <w:t xml:space="preserve">Conform constatărilor controlului precedent al Curții de Conturi </w:t>
      </w:r>
      <w:r w:rsidR="00B66C5F">
        <w:rPr>
          <w:rFonts w:asciiTheme="majorHAnsi" w:hAnsiTheme="majorHAnsi" w:cstheme="majorHAnsi"/>
          <w:sz w:val="24"/>
          <w:szCs w:val="24"/>
          <w:lang w:val="ro-MD"/>
        </w:rPr>
        <w:t>„</w:t>
      </w:r>
      <w:r w:rsidR="006F3D94">
        <w:rPr>
          <w:rFonts w:asciiTheme="majorHAnsi" w:hAnsiTheme="majorHAnsi" w:cstheme="majorHAnsi"/>
          <w:sz w:val="24"/>
          <w:szCs w:val="24"/>
          <w:lang w:val="ro-MD"/>
        </w:rPr>
        <w:t>v</w:t>
      </w:r>
      <w:r w:rsidR="00BC4CE9" w:rsidRPr="009772A3">
        <w:rPr>
          <w:rFonts w:asciiTheme="majorHAnsi" w:hAnsiTheme="majorHAnsi" w:cstheme="majorHAnsi"/>
          <w:sz w:val="24"/>
          <w:szCs w:val="24"/>
          <w:lang w:val="ro-MD"/>
        </w:rPr>
        <w:t xml:space="preserve">aloarea inițială a patrimoniului a fost estimată în conformitate cu prevederile HG nr.118 din 05.03.1993, </w:t>
      </w:r>
      <w:r w:rsidR="007E3C2C" w:rsidRPr="009772A3">
        <w:rPr>
          <w:rFonts w:asciiTheme="majorHAnsi" w:hAnsiTheme="majorHAnsi" w:cstheme="majorHAnsi"/>
          <w:sz w:val="24"/>
          <w:szCs w:val="24"/>
          <w:lang w:val="ro-MD"/>
        </w:rPr>
        <w:t xml:space="preserve">iar </w:t>
      </w:r>
      <w:r w:rsidR="00BC4CE9" w:rsidRPr="009772A3">
        <w:rPr>
          <w:rFonts w:asciiTheme="majorHAnsi" w:hAnsiTheme="majorHAnsi" w:cstheme="majorHAnsi"/>
          <w:sz w:val="24"/>
          <w:szCs w:val="24"/>
          <w:lang w:val="ro-MD"/>
        </w:rPr>
        <w:t xml:space="preserve">indexarea fondurilor fixe a fost calculată potrivit pct.2 </w:t>
      </w:r>
      <w:r w:rsidR="007E3C2C" w:rsidRPr="009772A3">
        <w:rPr>
          <w:rFonts w:asciiTheme="majorHAnsi" w:hAnsiTheme="majorHAnsi" w:cstheme="majorHAnsi"/>
          <w:sz w:val="24"/>
          <w:szCs w:val="24"/>
          <w:lang w:val="ro-MD"/>
        </w:rPr>
        <w:t xml:space="preserve">din </w:t>
      </w:r>
      <w:r w:rsidR="00BC4CE9" w:rsidRPr="009772A3">
        <w:rPr>
          <w:rFonts w:asciiTheme="majorHAnsi" w:hAnsiTheme="majorHAnsi" w:cstheme="majorHAnsi"/>
          <w:sz w:val="24"/>
          <w:szCs w:val="24"/>
          <w:lang w:val="ro-MD"/>
        </w:rPr>
        <w:t xml:space="preserve">Anexa nr.1 la aceasta, fără să se țină cont de pct.4 </w:t>
      </w:r>
      <w:r w:rsidR="000D6FD6" w:rsidRPr="009772A3">
        <w:rPr>
          <w:rFonts w:asciiTheme="majorHAnsi" w:hAnsiTheme="majorHAnsi" w:cstheme="majorHAnsi"/>
          <w:sz w:val="24"/>
          <w:szCs w:val="24"/>
          <w:lang w:val="ro-MD"/>
        </w:rPr>
        <w:t xml:space="preserve">din </w:t>
      </w:r>
      <w:r w:rsidR="00BC4CE9" w:rsidRPr="009772A3">
        <w:rPr>
          <w:rFonts w:asciiTheme="majorHAnsi" w:hAnsiTheme="majorHAnsi" w:cstheme="majorHAnsi"/>
          <w:sz w:val="24"/>
          <w:szCs w:val="24"/>
          <w:lang w:val="ro-MD"/>
        </w:rPr>
        <w:t xml:space="preserve">Anexa nr.2, </w:t>
      </w:r>
      <w:r w:rsidR="000D6FD6" w:rsidRPr="009772A3">
        <w:rPr>
          <w:rFonts w:asciiTheme="majorHAnsi" w:hAnsiTheme="majorHAnsi" w:cstheme="majorHAnsi"/>
          <w:sz w:val="24"/>
          <w:szCs w:val="24"/>
          <w:lang w:val="ro-MD"/>
        </w:rPr>
        <w:t>a</w:t>
      </w:r>
      <w:r w:rsidR="003168BE" w:rsidRPr="009772A3">
        <w:rPr>
          <w:rFonts w:asciiTheme="majorHAnsi" w:hAnsiTheme="majorHAnsi" w:cstheme="majorHAnsi"/>
          <w:sz w:val="24"/>
          <w:szCs w:val="24"/>
          <w:lang w:val="ro-MD"/>
        </w:rPr>
        <w:t>l</w:t>
      </w:r>
      <w:r w:rsidR="000D6FD6" w:rsidRPr="009772A3">
        <w:rPr>
          <w:rFonts w:asciiTheme="majorHAnsi" w:hAnsiTheme="majorHAnsi" w:cstheme="majorHAnsi"/>
          <w:sz w:val="24"/>
          <w:szCs w:val="24"/>
          <w:lang w:val="ro-MD"/>
        </w:rPr>
        <w:t xml:space="preserve">e cărei </w:t>
      </w:r>
      <w:r w:rsidR="00BC4CE9" w:rsidRPr="009772A3">
        <w:rPr>
          <w:rFonts w:asciiTheme="majorHAnsi" w:hAnsiTheme="majorHAnsi" w:cstheme="majorHAnsi"/>
          <w:sz w:val="24"/>
          <w:szCs w:val="24"/>
          <w:lang w:val="ro-MD"/>
        </w:rPr>
        <w:t>norme s</w:t>
      </w:r>
      <w:r w:rsidR="000D6FD6" w:rsidRPr="009772A3">
        <w:rPr>
          <w:rFonts w:asciiTheme="majorHAnsi" w:hAnsiTheme="majorHAnsi" w:cstheme="majorHAnsi"/>
          <w:sz w:val="24"/>
          <w:szCs w:val="24"/>
          <w:lang w:val="ro-MD"/>
        </w:rPr>
        <w:t>u</w:t>
      </w:r>
      <w:r w:rsidR="00BC4CE9" w:rsidRPr="009772A3">
        <w:rPr>
          <w:rFonts w:asciiTheme="majorHAnsi" w:hAnsiTheme="majorHAnsi" w:cstheme="majorHAnsi"/>
          <w:sz w:val="24"/>
          <w:szCs w:val="24"/>
          <w:lang w:val="ro-MD"/>
        </w:rPr>
        <w:t>nt contradictorii. Potrivit art.9 alin.2 din Legea privind investițiile străine nr.998 din 01.04.1992, depunerile în capitalul social al întreprinderii urmau să fie evaluate la prețuri mondiale, fapt care nu se confirmă pentru perioada respectivă</w:t>
      </w:r>
      <w:r w:rsidR="00B66C5F">
        <w:rPr>
          <w:rFonts w:asciiTheme="majorHAnsi" w:hAnsiTheme="majorHAnsi" w:cstheme="majorHAnsi"/>
          <w:sz w:val="24"/>
          <w:szCs w:val="24"/>
          <w:lang w:val="ro-MD"/>
        </w:rPr>
        <w:t>”</w:t>
      </w:r>
      <w:r w:rsidR="00BC4CE9" w:rsidRPr="009772A3">
        <w:rPr>
          <w:rFonts w:asciiTheme="majorHAnsi" w:hAnsiTheme="majorHAnsi" w:cstheme="majorHAnsi"/>
          <w:sz w:val="24"/>
          <w:szCs w:val="24"/>
          <w:lang w:val="ro-MD"/>
        </w:rPr>
        <w:t>.</w:t>
      </w:r>
    </w:p>
    <w:p w14:paraId="4CFBB114" w14:textId="668A9380" w:rsidR="00B84F30" w:rsidRPr="009772A3" w:rsidRDefault="00B84F30" w:rsidP="00B84F3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 xml:space="preserve">De menționat că, la fondarea </w:t>
      </w:r>
      <w:r w:rsidR="00B66C5F" w:rsidRPr="009772A3">
        <w:rPr>
          <w:rFonts w:asciiTheme="majorHAnsi" w:hAnsiTheme="majorHAnsi" w:cstheme="majorHAnsi"/>
          <w:sz w:val="24"/>
          <w:szCs w:val="24"/>
          <w:lang w:val="ro-MD"/>
        </w:rPr>
        <w:t>SA</w:t>
      </w:r>
      <w:r w:rsidRPr="009772A3">
        <w:rPr>
          <w:rFonts w:asciiTheme="majorHAnsi" w:hAnsiTheme="majorHAnsi" w:cstheme="majorHAnsi"/>
          <w:sz w:val="24"/>
          <w:szCs w:val="24"/>
          <w:lang w:val="ro-MD"/>
        </w:rPr>
        <w:t xml:space="preserve">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listele de evaluare a patrimoniului DRGM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sumă de 96</w:t>
      </w:r>
      <w:r w:rsidR="004A0A0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782,4 mii lei a fost inclus și patrimoniul aflat pe malul drept al </w:t>
      </w:r>
      <w:r w:rsidR="003168BE" w:rsidRPr="009772A3">
        <w:rPr>
          <w:rFonts w:asciiTheme="majorHAnsi" w:hAnsiTheme="majorHAnsi" w:cstheme="majorHAnsi"/>
          <w:sz w:val="24"/>
          <w:szCs w:val="24"/>
          <w:lang w:val="ro-MD"/>
        </w:rPr>
        <w:t>râului Nistru</w:t>
      </w:r>
      <w:r w:rsidRPr="009772A3">
        <w:rPr>
          <w:rFonts w:asciiTheme="majorHAnsi" w:hAnsiTheme="majorHAnsi" w:cstheme="majorHAnsi"/>
          <w:sz w:val="24"/>
          <w:szCs w:val="24"/>
          <w:lang w:val="ro-MD"/>
        </w:rPr>
        <w:t>, în valoare totală de 61</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875,04 mii.lei</w:t>
      </w:r>
      <w:r w:rsidRPr="009772A3">
        <w:rPr>
          <w:rFonts w:asciiTheme="majorHAnsi" w:hAnsiTheme="majorHAnsi" w:cstheme="majorHAnsi"/>
          <w:sz w:val="24"/>
          <w:szCs w:val="24"/>
          <w:vertAlign w:val="superscript"/>
          <w:lang w:val="ro-MD"/>
        </w:rPr>
        <w:footnoteReference w:id="18"/>
      </w:r>
      <w:r w:rsidRPr="009772A3">
        <w:rPr>
          <w:rFonts w:asciiTheme="majorHAnsi" w:hAnsiTheme="majorHAnsi" w:cstheme="majorHAnsi"/>
          <w:sz w:val="24"/>
          <w:szCs w:val="24"/>
          <w:lang w:val="ro-MD"/>
        </w:rPr>
        <w:t xml:space="preserve"> (14</w:t>
      </w:r>
      <w:r w:rsidR="00A06C3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627,7 mii </w:t>
      </w:r>
      <w:r w:rsidR="003168BE" w:rsidRPr="009772A3">
        <w:rPr>
          <w:rFonts w:asciiTheme="majorHAnsi" w:hAnsiTheme="majorHAnsi" w:cstheme="majorHAnsi"/>
          <w:sz w:val="24"/>
          <w:szCs w:val="24"/>
          <w:lang w:val="ro-MD"/>
        </w:rPr>
        <w:t>dolari SUA</w:t>
      </w:r>
      <w:r w:rsidRPr="009772A3">
        <w:rPr>
          <w:rFonts w:asciiTheme="majorHAnsi" w:hAnsiTheme="majorHAnsi" w:cstheme="majorHAnsi"/>
          <w:sz w:val="24"/>
          <w:szCs w:val="24"/>
          <w:lang w:val="ro-MD"/>
        </w:rPr>
        <w:t>), din care 61</w:t>
      </w:r>
      <w:r w:rsidR="00A06C3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867,98 mii lei au fost identificate și în Actul de predare-primire a mijloacelor fixe aferente complexului de gazoducte amplasat la sudul RM</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întocmit la 30</w:t>
      </w:r>
      <w:r w:rsidR="005D50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06</w:t>
      </w:r>
      <w:r w:rsidR="005D50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1999 între DRGM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SA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vertAlign w:val="superscript"/>
          <w:lang w:val="ro-MD"/>
        </w:rPr>
        <w:footnoteReference w:id="19"/>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aceasta influenț</w:t>
      </w:r>
      <w:r w:rsidR="003168BE"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nd asupra veridicității calculării cotelor-părți ale fondatorilor, precum şi asupra mărimii datoriilor stinse pentru gaze, care au fost calculate în corespundere cu aportul patrimonial al </w:t>
      </w:r>
      <w:r w:rsidR="001E3A2F" w:rsidRPr="009772A3">
        <w:rPr>
          <w:rFonts w:asciiTheme="majorHAnsi" w:hAnsiTheme="majorHAnsi" w:cstheme="majorHAnsi"/>
          <w:sz w:val="24"/>
          <w:szCs w:val="24"/>
          <w:lang w:val="ro-MD"/>
        </w:rPr>
        <w:t>î</w:t>
      </w:r>
      <w:r w:rsidRPr="009772A3">
        <w:rPr>
          <w:rFonts w:asciiTheme="majorHAnsi" w:hAnsiTheme="majorHAnsi" w:cstheme="majorHAnsi"/>
          <w:sz w:val="24"/>
          <w:szCs w:val="24"/>
          <w:lang w:val="ro-MD"/>
        </w:rPr>
        <w:t>ntreprinderi</w:t>
      </w:r>
      <w:r w:rsidR="001E3A2F" w:rsidRPr="009772A3">
        <w:rPr>
          <w:rFonts w:asciiTheme="majorHAnsi" w:hAnsiTheme="majorHAnsi" w:cstheme="majorHAnsi"/>
          <w:sz w:val="24"/>
          <w:szCs w:val="24"/>
          <w:lang w:val="ro-MD"/>
        </w:rPr>
        <w:t>lor</w:t>
      </w:r>
      <w:r w:rsidRPr="009772A3">
        <w:rPr>
          <w:rFonts w:asciiTheme="majorHAnsi" w:hAnsiTheme="majorHAnsi" w:cstheme="majorHAnsi"/>
          <w:sz w:val="24"/>
          <w:szCs w:val="24"/>
          <w:lang w:val="ro-MD"/>
        </w:rPr>
        <w:t xml:space="preserve">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şi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patrimoniul Societății pe acțiuni mixte moldo-ruse de tip închis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vertAlign w:val="superscript"/>
          <w:lang w:val="ro-MD"/>
        </w:rPr>
        <w:footnoteReference w:id="20"/>
      </w:r>
      <w:r w:rsidRPr="009772A3">
        <w:rPr>
          <w:rFonts w:asciiTheme="majorHAnsi" w:hAnsiTheme="majorHAnsi" w:cstheme="majorHAnsi"/>
          <w:sz w:val="24"/>
          <w:szCs w:val="24"/>
          <w:lang w:val="ro-MD"/>
        </w:rPr>
        <w:t xml:space="preserve"> (redenumit la 12</w:t>
      </w:r>
      <w:r w:rsidR="005D50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11</w:t>
      </w:r>
      <w:r w:rsidR="005D50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1997 în SA </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Aprogaztranzit</w:t>
      </w:r>
      <w:r w:rsidR="003168B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6EC52C19" w14:textId="76F0BD01" w:rsidR="00B84F30" w:rsidRDefault="00B84F30" w:rsidP="00B84F3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Astfel, </w:t>
      </w:r>
      <w:r w:rsidR="00A4767D" w:rsidRPr="009772A3">
        <w:rPr>
          <w:rFonts w:asciiTheme="majorHAnsi" w:hAnsiTheme="majorHAnsi" w:cstheme="majorHAnsi"/>
          <w:sz w:val="24"/>
          <w:szCs w:val="24"/>
          <w:lang w:val="ro-MD"/>
        </w:rPr>
        <w:t>în circumstanțele menționate supra</w:t>
      </w:r>
      <w:r w:rsidR="00A86349">
        <w:rPr>
          <w:rFonts w:asciiTheme="majorHAnsi" w:hAnsiTheme="majorHAnsi" w:cstheme="majorHAnsi"/>
          <w:sz w:val="24"/>
          <w:szCs w:val="24"/>
          <w:lang w:val="ro-MD"/>
        </w:rPr>
        <w:t>,</w:t>
      </w:r>
      <w:r w:rsidR="00A4767D" w:rsidRPr="009772A3">
        <w:rPr>
          <w:rFonts w:asciiTheme="majorHAnsi" w:hAnsiTheme="majorHAnsi" w:cstheme="majorHAnsi"/>
          <w:sz w:val="24"/>
          <w:szCs w:val="24"/>
          <w:lang w:val="ro-MD"/>
        </w:rPr>
        <w:t xml:space="preserve"> se constată materializarea riscul</w:t>
      </w:r>
      <w:r w:rsidR="003F6E40" w:rsidRPr="009772A3">
        <w:rPr>
          <w:rFonts w:asciiTheme="majorHAnsi" w:hAnsiTheme="majorHAnsi" w:cstheme="majorHAnsi"/>
          <w:sz w:val="24"/>
          <w:szCs w:val="24"/>
          <w:lang w:val="ro-MD"/>
        </w:rPr>
        <w:t>ui</w:t>
      </w:r>
      <w:r w:rsidR="00A4767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de </w:t>
      </w:r>
      <w:r w:rsidR="00B66C5F" w:rsidRPr="009772A3">
        <w:rPr>
          <w:rFonts w:asciiTheme="majorHAnsi" w:hAnsiTheme="majorHAnsi" w:cstheme="majorHAnsi"/>
          <w:sz w:val="24"/>
          <w:szCs w:val="24"/>
          <w:lang w:val="ro-MD"/>
        </w:rPr>
        <w:t>majorare nejustificată a datoriei p</w:t>
      </w:r>
      <w:r w:rsidR="00B66C5F">
        <w:rPr>
          <w:rFonts w:asciiTheme="majorHAnsi" w:hAnsiTheme="majorHAnsi" w:cstheme="majorHAnsi"/>
          <w:sz w:val="24"/>
          <w:szCs w:val="24"/>
          <w:lang w:val="ro-MD"/>
        </w:rPr>
        <w:t>ărții drepte</w:t>
      </w:r>
      <w:r w:rsidR="00B66C5F" w:rsidRPr="009772A3">
        <w:rPr>
          <w:rFonts w:asciiTheme="majorHAnsi" w:hAnsiTheme="majorHAnsi" w:cstheme="majorHAnsi"/>
          <w:sz w:val="24"/>
          <w:szCs w:val="24"/>
          <w:lang w:val="ro-MD"/>
        </w:rPr>
        <w:t xml:space="preserve"> a râului Nistru pentru gazele naturale în sumă de 7.313,85 mii dolari SUA și </w:t>
      </w:r>
      <w:r w:rsidR="00A86349">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diminuare nejustificată a datoriei </w:t>
      </w:r>
      <w:r w:rsidR="00B66C5F" w:rsidRPr="009772A3">
        <w:rPr>
          <w:rFonts w:asciiTheme="majorHAnsi" w:hAnsiTheme="majorHAnsi" w:cstheme="majorHAnsi"/>
          <w:sz w:val="24"/>
          <w:szCs w:val="24"/>
          <w:lang w:val="ro-MD"/>
        </w:rPr>
        <w:t>p</w:t>
      </w:r>
      <w:r w:rsidR="00B66C5F">
        <w:rPr>
          <w:rFonts w:asciiTheme="majorHAnsi" w:hAnsiTheme="majorHAnsi" w:cstheme="majorHAnsi"/>
          <w:sz w:val="24"/>
          <w:szCs w:val="24"/>
          <w:lang w:val="ro-MD"/>
        </w:rPr>
        <w:t>ărții</w:t>
      </w:r>
      <w:r w:rsidR="00B66C5F" w:rsidRPr="009772A3">
        <w:rPr>
          <w:rFonts w:asciiTheme="majorHAnsi" w:hAnsiTheme="majorHAnsi" w:cstheme="majorHAnsi"/>
          <w:sz w:val="24"/>
          <w:szCs w:val="24"/>
          <w:lang w:val="ro-MD"/>
        </w:rPr>
        <w:t xml:space="preserve"> </w:t>
      </w:r>
      <w:r w:rsidR="00B66C5F">
        <w:rPr>
          <w:rFonts w:asciiTheme="majorHAnsi" w:hAnsiTheme="majorHAnsi" w:cstheme="majorHAnsi"/>
          <w:sz w:val="24"/>
          <w:szCs w:val="24"/>
          <w:lang w:val="ro-MD"/>
        </w:rPr>
        <w:t>stângi</w:t>
      </w:r>
      <w:r w:rsidR="00B66C5F" w:rsidRPr="009772A3">
        <w:rPr>
          <w:rFonts w:asciiTheme="majorHAnsi" w:hAnsiTheme="majorHAnsi" w:cstheme="majorHAnsi"/>
          <w:sz w:val="24"/>
          <w:szCs w:val="24"/>
          <w:lang w:val="ro-MD"/>
        </w:rPr>
        <w:t xml:space="preserve"> a râului Nistru </w:t>
      </w:r>
      <w:r w:rsidRPr="009772A3">
        <w:rPr>
          <w:rFonts w:asciiTheme="majorHAnsi" w:hAnsiTheme="majorHAnsi" w:cstheme="majorHAnsi"/>
          <w:sz w:val="24"/>
          <w:szCs w:val="24"/>
          <w:lang w:val="ro-MD"/>
        </w:rPr>
        <w:t xml:space="preserve"> în ace</w:t>
      </w:r>
      <w:r w:rsidR="001E3A2F"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ași sumă, precum și diminuarea cotei de participare a </w:t>
      </w:r>
      <w:r w:rsidR="00B66C5F">
        <w:rPr>
          <w:rFonts w:asciiTheme="majorHAnsi" w:hAnsiTheme="majorHAnsi" w:cstheme="majorHAnsi"/>
          <w:sz w:val="24"/>
          <w:szCs w:val="24"/>
          <w:lang w:val="ro-MD"/>
        </w:rPr>
        <w:t xml:space="preserve">Guvernului </w:t>
      </w:r>
      <w:r w:rsidRPr="009772A3">
        <w:rPr>
          <w:rFonts w:asciiTheme="majorHAnsi" w:hAnsiTheme="majorHAnsi" w:cstheme="majorHAnsi"/>
          <w:sz w:val="24"/>
          <w:szCs w:val="24"/>
          <w:lang w:val="ro-MD"/>
        </w:rPr>
        <w:t xml:space="preserve">RM în capitalul social al SA </w:t>
      </w:r>
      <w:r w:rsidR="001E3A2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1E3A2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0C8FB87E" w14:textId="77777777" w:rsidR="005142F3" w:rsidRPr="009772A3" w:rsidRDefault="005142F3" w:rsidP="00B84F30">
      <w:pPr>
        <w:spacing w:after="0" w:line="276" w:lineRule="auto"/>
        <w:ind w:firstLine="709"/>
        <w:jc w:val="both"/>
        <w:rPr>
          <w:rFonts w:asciiTheme="majorHAnsi" w:hAnsiTheme="majorHAnsi" w:cstheme="majorHAnsi"/>
          <w:sz w:val="24"/>
          <w:szCs w:val="24"/>
          <w:lang w:val="ro-MD"/>
        </w:rPr>
      </w:pPr>
    </w:p>
    <w:p w14:paraId="07FE01F3" w14:textId="183AC8D4" w:rsidR="00856489" w:rsidRPr="009772A3" w:rsidRDefault="00B84F30" w:rsidP="00074B8F">
      <w:pPr>
        <w:spacing w:after="0" w:line="276" w:lineRule="auto"/>
        <w:ind w:firstLine="709"/>
        <w:jc w:val="right"/>
        <w:rPr>
          <w:rFonts w:asciiTheme="majorHAnsi" w:hAnsiTheme="majorHAnsi" w:cstheme="majorHAnsi"/>
          <w:b/>
          <w:sz w:val="24"/>
          <w:szCs w:val="24"/>
          <w:lang w:val="ro-MD"/>
        </w:rPr>
      </w:pPr>
      <w:r w:rsidRPr="00CE2965">
        <w:rPr>
          <w:rFonts w:asciiTheme="majorHAnsi" w:hAnsiTheme="majorHAnsi" w:cstheme="majorHAnsi"/>
          <w:b/>
          <w:sz w:val="24"/>
          <w:szCs w:val="24"/>
          <w:lang w:val="ro-MD"/>
        </w:rPr>
        <w:t xml:space="preserve">Tabelul </w:t>
      </w:r>
      <w:r w:rsidRPr="00CF3AD4">
        <w:rPr>
          <w:rFonts w:asciiTheme="majorHAnsi" w:hAnsiTheme="majorHAnsi" w:cstheme="majorHAnsi"/>
          <w:b/>
          <w:sz w:val="24"/>
          <w:szCs w:val="24"/>
          <w:lang w:val="ro-MD"/>
        </w:rPr>
        <w:t>nr.</w:t>
      </w:r>
      <w:r w:rsidR="00856489" w:rsidRPr="00CF3AD4">
        <w:rPr>
          <w:rFonts w:asciiTheme="majorHAnsi" w:hAnsiTheme="majorHAnsi" w:cstheme="majorHAnsi"/>
          <w:b/>
          <w:sz w:val="24"/>
          <w:szCs w:val="24"/>
          <w:lang w:val="ro-MD"/>
        </w:rPr>
        <w:t>4.1.</w:t>
      </w:r>
      <w:r w:rsidRPr="00CF3AD4">
        <w:rPr>
          <w:rFonts w:asciiTheme="majorHAnsi" w:hAnsiTheme="majorHAnsi" w:cstheme="majorHAnsi"/>
          <w:b/>
          <w:sz w:val="24"/>
          <w:szCs w:val="24"/>
          <w:lang w:val="ro-MD"/>
        </w:rPr>
        <w:t>1</w:t>
      </w:r>
      <w:r w:rsidR="00B66C5F" w:rsidRPr="00CE2965">
        <w:rPr>
          <w:rFonts w:asciiTheme="majorHAnsi" w:hAnsiTheme="majorHAnsi" w:cstheme="majorHAnsi"/>
          <w:b/>
          <w:sz w:val="24"/>
          <w:szCs w:val="24"/>
          <w:lang w:val="ro-MD"/>
        </w:rPr>
        <w:t>.1</w:t>
      </w:r>
    </w:p>
    <w:p w14:paraId="46E77E7A" w14:textId="2F6B537B" w:rsidR="00B84F30" w:rsidRPr="009772A3" w:rsidRDefault="00B84F30" w:rsidP="00074B8F">
      <w:pPr>
        <w:spacing w:after="0" w:line="276" w:lineRule="auto"/>
        <w:ind w:firstLine="709"/>
        <w:jc w:val="center"/>
        <w:rPr>
          <w:rFonts w:asciiTheme="majorHAnsi" w:hAnsiTheme="majorHAnsi" w:cstheme="majorHAnsi"/>
          <w:b/>
          <w:sz w:val="24"/>
          <w:szCs w:val="24"/>
          <w:lang w:val="ro-MD"/>
        </w:rPr>
      </w:pPr>
      <w:r w:rsidRPr="009772A3">
        <w:rPr>
          <w:rFonts w:asciiTheme="majorHAnsi" w:hAnsiTheme="majorHAnsi" w:cstheme="majorHAnsi"/>
          <w:b/>
          <w:sz w:val="24"/>
          <w:szCs w:val="24"/>
          <w:lang w:val="ro-MD"/>
        </w:rPr>
        <w:t xml:space="preserve">Patrimoniul transmis în capitalul social al SA </w:t>
      </w:r>
      <w:r w:rsidR="001E3A2F"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Gazsnabtranzit</w:t>
      </w:r>
      <w:r w:rsidR="001E3A2F" w:rsidRPr="009772A3">
        <w:rPr>
          <w:rFonts w:asciiTheme="majorHAnsi" w:hAnsiTheme="majorHAnsi" w:cstheme="majorHAnsi"/>
          <w:b/>
          <w:sz w:val="24"/>
          <w:szCs w:val="24"/>
          <w:lang w:val="ro-MD"/>
        </w:rPr>
        <w:t>”</w:t>
      </w:r>
    </w:p>
    <w:tbl>
      <w:tblPr>
        <w:tblW w:w="9405" w:type="dxa"/>
        <w:tblInd w:w="-5" w:type="dxa"/>
        <w:tblLayout w:type="fixed"/>
        <w:tblLook w:val="04A0" w:firstRow="1" w:lastRow="0" w:firstColumn="1" w:lastColumn="0" w:noHBand="0" w:noVBand="1"/>
      </w:tblPr>
      <w:tblGrid>
        <w:gridCol w:w="1560"/>
        <w:gridCol w:w="847"/>
        <w:gridCol w:w="854"/>
        <w:gridCol w:w="848"/>
        <w:gridCol w:w="554"/>
        <w:gridCol w:w="895"/>
        <w:gridCol w:w="848"/>
        <w:gridCol w:w="750"/>
        <w:gridCol w:w="750"/>
        <w:gridCol w:w="848"/>
        <w:gridCol w:w="651"/>
      </w:tblGrid>
      <w:tr w:rsidR="00B84F30" w:rsidRPr="00B66C5F" w14:paraId="583FF77B" w14:textId="77777777" w:rsidTr="00CF3AD4">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E217" w14:textId="436E5B71" w:rsidR="00B84F30" w:rsidRPr="00CF3AD4" w:rsidRDefault="00B84F30" w:rsidP="00DC1618">
            <w:pPr>
              <w:spacing w:after="0" w:line="240" w:lineRule="auto"/>
              <w:ind w:left="-106"/>
              <w:jc w:val="both"/>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Fondatori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94D690B" w14:textId="77777777" w:rsidR="00B84F30" w:rsidRPr="00CF3AD4" w:rsidRDefault="00B84F30"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 xml:space="preserve">Patrimoniu transmis în capitalul social conform actelor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14:paraId="19C398ED" w14:textId="77777777" w:rsidR="00B84F30" w:rsidRPr="00CF3AD4" w:rsidRDefault="00B84F30"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Cota determinată în capitalul social</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14:paraId="7FCE6BF9" w14:textId="77777777" w:rsidR="00B84F30" w:rsidRPr="00CF3AD4" w:rsidRDefault="00B84F30"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 xml:space="preserve">Patrimoniu real transmis </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14:paraId="2D113249" w14:textId="77777777" w:rsidR="00B84F30" w:rsidRPr="00CF3AD4" w:rsidRDefault="00B84F30" w:rsidP="00957170">
            <w:pPr>
              <w:spacing w:after="0" w:line="240" w:lineRule="auto"/>
              <w:ind w:left="-106"/>
              <w:jc w:val="center"/>
              <w:rPr>
                <w:rFonts w:asciiTheme="majorHAnsi" w:eastAsia="Times New Roman" w:hAnsiTheme="majorHAnsi" w:cstheme="majorHAnsi"/>
                <w:b/>
                <w:sz w:val="16"/>
                <w:szCs w:val="16"/>
                <w:lang w:val="ro-MD"/>
              </w:rPr>
            </w:pPr>
            <w:r w:rsidRPr="00CF3AD4">
              <w:rPr>
                <w:rFonts w:asciiTheme="majorHAnsi" w:eastAsia="Times New Roman" w:hAnsiTheme="majorHAnsi" w:cstheme="majorHAnsi"/>
                <w:b/>
                <w:sz w:val="16"/>
                <w:szCs w:val="16"/>
                <w:lang w:val="ro-MD"/>
              </w:rPr>
              <w:t>Diferența</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07C2D3B2" w14:textId="77777777" w:rsidR="00B84F30" w:rsidRPr="00CF3AD4" w:rsidRDefault="00B84F30"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Cota reală în capitalul social</w:t>
            </w:r>
          </w:p>
        </w:tc>
      </w:tr>
      <w:tr w:rsidR="00B84F30" w:rsidRPr="00B66C5F" w14:paraId="45DD1AB7" w14:textId="77777777" w:rsidTr="00CF3AD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05FCC8" w14:textId="77777777" w:rsidR="00B84F30" w:rsidRPr="00CF3AD4" w:rsidRDefault="00B84F30" w:rsidP="00957170">
            <w:pPr>
              <w:spacing w:after="0" w:line="240" w:lineRule="auto"/>
              <w:ind w:left="-106"/>
              <w:jc w:val="both"/>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 </w:t>
            </w:r>
          </w:p>
        </w:tc>
        <w:tc>
          <w:tcPr>
            <w:tcW w:w="847" w:type="dxa"/>
            <w:tcBorders>
              <w:top w:val="nil"/>
              <w:left w:val="nil"/>
              <w:bottom w:val="single" w:sz="4" w:space="0" w:color="auto"/>
              <w:right w:val="single" w:sz="4" w:space="0" w:color="auto"/>
            </w:tcBorders>
            <w:shd w:val="clear" w:color="auto" w:fill="auto"/>
            <w:vAlign w:val="center"/>
            <w:hideMark/>
          </w:tcPr>
          <w:p w14:paraId="65BF48FD" w14:textId="7BB6DC02" w:rsidR="00B84F30" w:rsidRPr="00CF3AD4" w:rsidRDefault="001E3A2F"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w:t>
            </w:r>
            <w:r w:rsidR="00B84F30" w:rsidRPr="00CF3AD4">
              <w:rPr>
                <w:rFonts w:asciiTheme="majorHAnsi" w:eastAsia="Times New Roman" w:hAnsiTheme="majorHAnsi" w:cstheme="majorHAnsi"/>
                <w:sz w:val="16"/>
                <w:szCs w:val="16"/>
                <w:lang w:val="ro-MD"/>
              </w:rPr>
              <w:t>ii lei</w:t>
            </w:r>
          </w:p>
        </w:tc>
        <w:tc>
          <w:tcPr>
            <w:tcW w:w="854" w:type="dxa"/>
            <w:tcBorders>
              <w:top w:val="nil"/>
              <w:left w:val="nil"/>
              <w:bottom w:val="single" w:sz="4" w:space="0" w:color="auto"/>
              <w:right w:val="single" w:sz="4" w:space="0" w:color="auto"/>
            </w:tcBorders>
            <w:shd w:val="clear" w:color="auto" w:fill="auto"/>
            <w:vAlign w:val="center"/>
            <w:hideMark/>
          </w:tcPr>
          <w:p w14:paraId="766004EC" w14:textId="2E0422F4" w:rsidR="00B84F30" w:rsidRPr="00CF3AD4" w:rsidRDefault="001E3A2F" w:rsidP="001E3A2F">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w:t>
            </w:r>
            <w:r w:rsidR="00B84F30" w:rsidRPr="00CF3AD4">
              <w:rPr>
                <w:rFonts w:asciiTheme="majorHAnsi" w:eastAsia="Times New Roman" w:hAnsiTheme="majorHAnsi" w:cstheme="majorHAnsi"/>
                <w:sz w:val="16"/>
                <w:szCs w:val="16"/>
                <w:lang w:val="ro-MD"/>
              </w:rPr>
              <w:t xml:space="preserve">ii </w:t>
            </w:r>
            <w:r w:rsidRPr="00CF3AD4">
              <w:rPr>
                <w:rFonts w:asciiTheme="majorHAnsi" w:eastAsia="Times New Roman" w:hAnsiTheme="majorHAnsi" w:cstheme="majorHAnsi"/>
                <w:sz w:val="16"/>
                <w:szCs w:val="16"/>
                <w:lang w:val="ro-MD"/>
              </w:rPr>
              <w:t>dolari SUA</w:t>
            </w:r>
          </w:p>
        </w:tc>
        <w:tc>
          <w:tcPr>
            <w:tcW w:w="848" w:type="dxa"/>
            <w:tcBorders>
              <w:top w:val="nil"/>
              <w:left w:val="nil"/>
              <w:bottom w:val="single" w:sz="4" w:space="0" w:color="auto"/>
              <w:right w:val="single" w:sz="4" w:space="0" w:color="auto"/>
            </w:tcBorders>
            <w:shd w:val="clear" w:color="auto" w:fill="auto"/>
            <w:vAlign w:val="center"/>
            <w:hideMark/>
          </w:tcPr>
          <w:p w14:paraId="5CA9CAF8" w14:textId="5ACBFB06" w:rsidR="00B84F30" w:rsidRPr="00CF3AD4" w:rsidRDefault="001E3A2F" w:rsidP="001E3A2F">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w:t>
            </w:r>
            <w:r w:rsidR="00B84F30" w:rsidRPr="00CF3AD4">
              <w:rPr>
                <w:rFonts w:asciiTheme="majorHAnsi" w:eastAsia="Times New Roman" w:hAnsiTheme="majorHAnsi" w:cstheme="majorHAnsi"/>
                <w:sz w:val="16"/>
                <w:szCs w:val="16"/>
                <w:lang w:val="ro-MD"/>
              </w:rPr>
              <w:t xml:space="preserve">ii </w:t>
            </w:r>
            <w:r w:rsidRPr="00CF3AD4">
              <w:rPr>
                <w:rFonts w:asciiTheme="majorHAnsi" w:eastAsia="Times New Roman" w:hAnsiTheme="majorHAnsi" w:cstheme="majorHAnsi"/>
                <w:sz w:val="16"/>
                <w:szCs w:val="16"/>
                <w:lang w:val="ro-MD"/>
              </w:rPr>
              <w:t>dolari SUA</w:t>
            </w:r>
          </w:p>
        </w:tc>
        <w:tc>
          <w:tcPr>
            <w:tcW w:w="554" w:type="dxa"/>
            <w:tcBorders>
              <w:top w:val="nil"/>
              <w:left w:val="nil"/>
              <w:bottom w:val="single" w:sz="4" w:space="0" w:color="auto"/>
              <w:right w:val="single" w:sz="4" w:space="0" w:color="auto"/>
            </w:tcBorders>
            <w:shd w:val="clear" w:color="auto" w:fill="auto"/>
            <w:vAlign w:val="center"/>
            <w:hideMark/>
          </w:tcPr>
          <w:p w14:paraId="78DC6209" w14:textId="77777777" w:rsidR="00B84F30" w:rsidRPr="00CF3AD4" w:rsidRDefault="00B84F30"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w:t>
            </w:r>
          </w:p>
        </w:tc>
        <w:tc>
          <w:tcPr>
            <w:tcW w:w="895" w:type="dxa"/>
            <w:tcBorders>
              <w:top w:val="nil"/>
              <w:left w:val="nil"/>
              <w:bottom w:val="single" w:sz="4" w:space="0" w:color="auto"/>
              <w:right w:val="single" w:sz="4" w:space="0" w:color="auto"/>
            </w:tcBorders>
            <w:shd w:val="clear" w:color="auto" w:fill="auto"/>
            <w:vAlign w:val="center"/>
            <w:hideMark/>
          </w:tcPr>
          <w:p w14:paraId="39A9DA39" w14:textId="77777777" w:rsidR="00B84F30" w:rsidRPr="00CF3AD4" w:rsidRDefault="00B84F30"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mii lei</w:t>
            </w:r>
          </w:p>
        </w:tc>
        <w:tc>
          <w:tcPr>
            <w:tcW w:w="848" w:type="dxa"/>
            <w:tcBorders>
              <w:top w:val="nil"/>
              <w:left w:val="nil"/>
              <w:bottom w:val="single" w:sz="4" w:space="0" w:color="auto"/>
              <w:right w:val="single" w:sz="4" w:space="0" w:color="auto"/>
            </w:tcBorders>
            <w:shd w:val="clear" w:color="auto" w:fill="auto"/>
            <w:vAlign w:val="center"/>
            <w:hideMark/>
          </w:tcPr>
          <w:p w14:paraId="4425865D" w14:textId="21A45D40" w:rsidR="00B84F30" w:rsidRPr="00CF3AD4" w:rsidRDefault="001E3A2F" w:rsidP="001E3A2F">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w:t>
            </w:r>
            <w:r w:rsidR="00B84F30" w:rsidRPr="00CF3AD4">
              <w:rPr>
                <w:rFonts w:asciiTheme="majorHAnsi" w:eastAsia="Times New Roman" w:hAnsiTheme="majorHAnsi" w:cstheme="majorHAnsi"/>
                <w:sz w:val="16"/>
                <w:szCs w:val="16"/>
                <w:lang w:val="ro-MD"/>
              </w:rPr>
              <w:t xml:space="preserve">ii </w:t>
            </w:r>
            <w:r w:rsidRPr="00CF3AD4">
              <w:rPr>
                <w:rFonts w:asciiTheme="majorHAnsi" w:eastAsia="Times New Roman" w:hAnsiTheme="majorHAnsi" w:cstheme="majorHAnsi"/>
                <w:sz w:val="16"/>
                <w:szCs w:val="16"/>
                <w:lang w:val="ro-MD"/>
              </w:rPr>
              <w:t>dolari SUA</w:t>
            </w:r>
          </w:p>
        </w:tc>
        <w:tc>
          <w:tcPr>
            <w:tcW w:w="750" w:type="dxa"/>
            <w:tcBorders>
              <w:top w:val="nil"/>
              <w:left w:val="nil"/>
              <w:bottom w:val="single" w:sz="4" w:space="0" w:color="auto"/>
              <w:right w:val="single" w:sz="4" w:space="0" w:color="auto"/>
            </w:tcBorders>
            <w:shd w:val="clear" w:color="auto" w:fill="auto"/>
            <w:vAlign w:val="center"/>
            <w:hideMark/>
          </w:tcPr>
          <w:p w14:paraId="6EA06677" w14:textId="399A12AD" w:rsidR="00B84F30" w:rsidRPr="00CF3AD4" w:rsidRDefault="001E3A2F"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w:t>
            </w:r>
            <w:r w:rsidR="00B84F30" w:rsidRPr="00CF3AD4">
              <w:rPr>
                <w:rFonts w:asciiTheme="majorHAnsi" w:eastAsia="Times New Roman" w:hAnsiTheme="majorHAnsi" w:cstheme="majorHAnsi"/>
                <w:sz w:val="16"/>
                <w:szCs w:val="16"/>
                <w:lang w:val="ro-MD"/>
              </w:rPr>
              <w:t>ii lei</w:t>
            </w:r>
          </w:p>
        </w:tc>
        <w:tc>
          <w:tcPr>
            <w:tcW w:w="750" w:type="dxa"/>
            <w:tcBorders>
              <w:top w:val="nil"/>
              <w:left w:val="nil"/>
              <w:bottom w:val="single" w:sz="4" w:space="0" w:color="auto"/>
              <w:right w:val="single" w:sz="4" w:space="0" w:color="auto"/>
            </w:tcBorders>
            <w:shd w:val="clear" w:color="auto" w:fill="auto"/>
            <w:vAlign w:val="center"/>
            <w:hideMark/>
          </w:tcPr>
          <w:p w14:paraId="1A87C46A" w14:textId="224A9172" w:rsidR="00B84F30" w:rsidRPr="00CF3AD4" w:rsidRDefault="001E3A2F" w:rsidP="001E3A2F">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w:t>
            </w:r>
            <w:r w:rsidR="00B84F30" w:rsidRPr="00CF3AD4">
              <w:rPr>
                <w:rFonts w:asciiTheme="majorHAnsi" w:eastAsia="Times New Roman" w:hAnsiTheme="majorHAnsi" w:cstheme="majorHAnsi"/>
                <w:sz w:val="16"/>
                <w:szCs w:val="16"/>
                <w:lang w:val="ro-MD"/>
              </w:rPr>
              <w:t>ii</w:t>
            </w:r>
            <w:r w:rsidRPr="00CF3AD4">
              <w:rPr>
                <w:rFonts w:asciiTheme="majorHAnsi" w:eastAsia="Times New Roman" w:hAnsiTheme="majorHAnsi" w:cstheme="majorHAnsi"/>
                <w:sz w:val="16"/>
                <w:szCs w:val="16"/>
                <w:lang w:val="ro-MD"/>
              </w:rPr>
              <w:t xml:space="preserve"> dolari </w:t>
            </w:r>
            <w:r w:rsidR="00B84F30" w:rsidRPr="00CF3AD4">
              <w:rPr>
                <w:rFonts w:asciiTheme="majorHAnsi" w:eastAsia="Times New Roman" w:hAnsiTheme="majorHAnsi" w:cstheme="majorHAnsi"/>
                <w:sz w:val="16"/>
                <w:szCs w:val="16"/>
                <w:lang w:val="ro-MD"/>
              </w:rPr>
              <w:t xml:space="preserve"> </w:t>
            </w:r>
            <w:r w:rsidRPr="00CF3AD4">
              <w:rPr>
                <w:rFonts w:asciiTheme="majorHAnsi" w:eastAsia="Times New Roman" w:hAnsiTheme="majorHAnsi" w:cstheme="majorHAnsi"/>
                <w:sz w:val="16"/>
                <w:szCs w:val="16"/>
                <w:lang w:val="ro-MD"/>
              </w:rPr>
              <w:t>SUA</w:t>
            </w:r>
          </w:p>
        </w:tc>
        <w:tc>
          <w:tcPr>
            <w:tcW w:w="848" w:type="dxa"/>
            <w:tcBorders>
              <w:top w:val="nil"/>
              <w:left w:val="nil"/>
              <w:bottom w:val="single" w:sz="4" w:space="0" w:color="auto"/>
              <w:right w:val="single" w:sz="4" w:space="0" w:color="auto"/>
            </w:tcBorders>
            <w:shd w:val="clear" w:color="auto" w:fill="auto"/>
            <w:vAlign w:val="center"/>
            <w:hideMark/>
          </w:tcPr>
          <w:p w14:paraId="6586E09C" w14:textId="0C827863" w:rsidR="00B84F30" w:rsidRPr="00CF3AD4" w:rsidRDefault="001E3A2F" w:rsidP="001E3A2F">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m</w:t>
            </w:r>
            <w:r w:rsidR="00B84F30" w:rsidRPr="00CF3AD4">
              <w:rPr>
                <w:rFonts w:asciiTheme="majorHAnsi" w:eastAsia="Times New Roman" w:hAnsiTheme="majorHAnsi" w:cstheme="majorHAnsi"/>
                <w:sz w:val="16"/>
                <w:szCs w:val="16"/>
                <w:lang w:val="ro-MD"/>
              </w:rPr>
              <w:t xml:space="preserve">ii </w:t>
            </w:r>
            <w:r w:rsidRPr="00CF3AD4">
              <w:rPr>
                <w:rFonts w:asciiTheme="majorHAnsi" w:eastAsia="Times New Roman" w:hAnsiTheme="majorHAnsi" w:cstheme="majorHAnsi"/>
                <w:sz w:val="16"/>
                <w:szCs w:val="16"/>
                <w:lang w:val="ro-MD"/>
              </w:rPr>
              <w:t>dolari SUA</w:t>
            </w:r>
          </w:p>
        </w:tc>
        <w:tc>
          <w:tcPr>
            <w:tcW w:w="651" w:type="dxa"/>
            <w:tcBorders>
              <w:top w:val="nil"/>
              <w:left w:val="nil"/>
              <w:bottom w:val="single" w:sz="4" w:space="0" w:color="auto"/>
              <w:right w:val="single" w:sz="4" w:space="0" w:color="auto"/>
            </w:tcBorders>
            <w:shd w:val="clear" w:color="auto" w:fill="auto"/>
            <w:noWrap/>
            <w:vAlign w:val="bottom"/>
            <w:hideMark/>
          </w:tcPr>
          <w:p w14:paraId="0263B32B" w14:textId="77777777" w:rsidR="00B84F30" w:rsidRPr="00CF3AD4" w:rsidRDefault="00B84F30" w:rsidP="00957170">
            <w:pPr>
              <w:spacing w:after="0" w:line="240" w:lineRule="auto"/>
              <w:ind w:left="-106"/>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w:t>
            </w:r>
          </w:p>
        </w:tc>
      </w:tr>
      <w:tr w:rsidR="00B84F30" w:rsidRPr="00B66C5F" w14:paraId="1D7C3155" w14:textId="77777777" w:rsidTr="00CF3AD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56AAC2" w14:textId="22373B78" w:rsidR="00B84F30" w:rsidRPr="00CF3AD4" w:rsidRDefault="00B66C5F" w:rsidP="00957170">
            <w:pPr>
              <w:spacing w:after="0" w:line="240" w:lineRule="auto"/>
              <w:ind w:left="-106"/>
              <w:jc w:val="both"/>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Guvernul RM</w:t>
            </w:r>
          </w:p>
        </w:tc>
        <w:tc>
          <w:tcPr>
            <w:tcW w:w="847" w:type="dxa"/>
            <w:tcBorders>
              <w:top w:val="nil"/>
              <w:left w:val="nil"/>
              <w:bottom w:val="single" w:sz="4" w:space="0" w:color="auto"/>
              <w:right w:val="single" w:sz="4" w:space="0" w:color="auto"/>
            </w:tcBorders>
            <w:shd w:val="clear" w:color="auto" w:fill="auto"/>
            <w:vAlign w:val="center"/>
            <w:hideMark/>
          </w:tcPr>
          <w:p w14:paraId="6DE1C1DF"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343138,0</w:t>
            </w:r>
          </w:p>
        </w:tc>
        <w:tc>
          <w:tcPr>
            <w:tcW w:w="854" w:type="dxa"/>
            <w:tcBorders>
              <w:top w:val="nil"/>
              <w:left w:val="nil"/>
              <w:bottom w:val="single" w:sz="4" w:space="0" w:color="auto"/>
              <w:right w:val="single" w:sz="4" w:space="0" w:color="auto"/>
            </w:tcBorders>
            <w:shd w:val="clear" w:color="auto" w:fill="auto"/>
            <w:vAlign w:val="center"/>
            <w:hideMark/>
          </w:tcPr>
          <w:p w14:paraId="08D76959"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81120</w:t>
            </w:r>
          </w:p>
        </w:tc>
        <w:tc>
          <w:tcPr>
            <w:tcW w:w="848" w:type="dxa"/>
            <w:tcBorders>
              <w:top w:val="nil"/>
              <w:left w:val="nil"/>
              <w:bottom w:val="single" w:sz="4" w:space="0" w:color="auto"/>
              <w:right w:val="single" w:sz="4" w:space="0" w:color="auto"/>
            </w:tcBorders>
            <w:shd w:val="clear" w:color="auto" w:fill="auto"/>
            <w:vAlign w:val="center"/>
            <w:hideMark/>
          </w:tcPr>
          <w:p w14:paraId="4AF12D02"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40560</w:t>
            </w:r>
          </w:p>
        </w:tc>
        <w:tc>
          <w:tcPr>
            <w:tcW w:w="554" w:type="dxa"/>
            <w:tcBorders>
              <w:top w:val="nil"/>
              <w:left w:val="nil"/>
              <w:bottom w:val="single" w:sz="4" w:space="0" w:color="auto"/>
              <w:right w:val="single" w:sz="4" w:space="0" w:color="auto"/>
            </w:tcBorders>
            <w:shd w:val="clear" w:color="auto" w:fill="auto"/>
            <w:vAlign w:val="center"/>
            <w:hideMark/>
          </w:tcPr>
          <w:p w14:paraId="21588FFA"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39,0</w:t>
            </w:r>
          </w:p>
        </w:tc>
        <w:tc>
          <w:tcPr>
            <w:tcW w:w="895" w:type="dxa"/>
            <w:tcBorders>
              <w:top w:val="nil"/>
              <w:left w:val="nil"/>
              <w:bottom w:val="single" w:sz="4" w:space="0" w:color="auto"/>
              <w:right w:val="single" w:sz="4" w:space="0" w:color="auto"/>
            </w:tcBorders>
            <w:shd w:val="clear" w:color="auto" w:fill="auto"/>
            <w:vAlign w:val="center"/>
            <w:hideMark/>
          </w:tcPr>
          <w:p w14:paraId="5D983306"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405.012,6</w:t>
            </w:r>
          </w:p>
        </w:tc>
        <w:tc>
          <w:tcPr>
            <w:tcW w:w="848" w:type="dxa"/>
            <w:tcBorders>
              <w:top w:val="nil"/>
              <w:left w:val="nil"/>
              <w:bottom w:val="single" w:sz="4" w:space="0" w:color="auto"/>
              <w:right w:val="single" w:sz="4" w:space="0" w:color="auto"/>
            </w:tcBorders>
            <w:shd w:val="clear" w:color="auto" w:fill="auto"/>
            <w:vAlign w:val="center"/>
            <w:hideMark/>
          </w:tcPr>
          <w:p w14:paraId="32EA58C7"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95747,7</w:t>
            </w:r>
          </w:p>
        </w:tc>
        <w:tc>
          <w:tcPr>
            <w:tcW w:w="750" w:type="dxa"/>
            <w:tcBorders>
              <w:top w:val="nil"/>
              <w:left w:val="nil"/>
              <w:bottom w:val="single" w:sz="4" w:space="0" w:color="auto"/>
              <w:right w:val="single" w:sz="4" w:space="0" w:color="auto"/>
            </w:tcBorders>
            <w:shd w:val="clear" w:color="auto" w:fill="auto"/>
            <w:vAlign w:val="center"/>
            <w:hideMark/>
          </w:tcPr>
          <w:p w14:paraId="635C9DD6" w14:textId="77777777" w:rsidR="00B84F30" w:rsidRPr="00CF3AD4" w:rsidRDefault="00B84F30" w:rsidP="00957170">
            <w:pPr>
              <w:spacing w:after="0" w:line="240" w:lineRule="auto"/>
              <w:ind w:left="-106"/>
              <w:jc w:val="right"/>
              <w:rPr>
                <w:rFonts w:asciiTheme="majorHAnsi" w:eastAsia="Times New Roman" w:hAnsiTheme="majorHAnsi" w:cstheme="majorHAnsi"/>
                <w:b/>
                <w:sz w:val="16"/>
                <w:szCs w:val="16"/>
                <w:lang w:val="ro-MD"/>
              </w:rPr>
            </w:pPr>
            <w:r w:rsidRPr="00CF3AD4">
              <w:rPr>
                <w:rFonts w:asciiTheme="majorHAnsi" w:eastAsia="Times New Roman" w:hAnsiTheme="majorHAnsi" w:cstheme="majorHAnsi"/>
                <w:b/>
                <w:sz w:val="16"/>
                <w:szCs w:val="16"/>
                <w:lang w:val="ro-MD"/>
              </w:rPr>
              <w:t>-61875,0</w:t>
            </w:r>
          </w:p>
        </w:tc>
        <w:tc>
          <w:tcPr>
            <w:tcW w:w="750" w:type="dxa"/>
            <w:tcBorders>
              <w:top w:val="nil"/>
              <w:left w:val="nil"/>
              <w:bottom w:val="single" w:sz="4" w:space="0" w:color="auto"/>
              <w:right w:val="single" w:sz="4" w:space="0" w:color="auto"/>
            </w:tcBorders>
            <w:shd w:val="clear" w:color="auto" w:fill="auto"/>
            <w:vAlign w:val="center"/>
            <w:hideMark/>
          </w:tcPr>
          <w:p w14:paraId="732008E2" w14:textId="77777777" w:rsidR="00B84F30" w:rsidRPr="00CF3AD4" w:rsidRDefault="00B84F30" w:rsidP="00957170">
            <w:pPr>
              <w:spacing w:after="0" w:line="240" w:lineRule="auto"/>
              <w:ind w:left="-106"/>
              <w:jc w:val="right"/>
              <w:rPr>
                <w:rFonts w:asciiTheme="majorHAnsi" w:eastAsia="Times New Roman" w:hAnsiTheme="majorHAnsi" w:cstheme="majorHAnsi"/>
                <w:b/>
                <w:sz w:val="16"/>
                <w:szCs w:val="16"/>
                <w:lang w:val="ro-MD"/>
              </w:rPr>
            </w:pPr>
            <w:r w:rsidRPr="00CF3AD4">
              <w:rPr>
                <w:rFonts w:asciiTheme="majorHAnsi" w:eastAsia="Times New Roman" w:hAnsiTheme="majorHAnsi" w:cstheme="majorHAnsi"/>
                <w:b/>
                <w:sz w:val="16"/>
                <w:szCs w:val="16"/>
                <w:lang w:val="ro-MD"/>
              </w:rPr>
              <w:t>-14627,7</w:t>
            </w:r>
          </w:p>
        </w:tc>
        <w:tc>
          <w:tcPr>
            <w:tcW w:w="848" w:type="dxa"/>
            <w:tcBorders>
              <w:top w:val="nil"/>
              <w:left w:val="nil"/>
              <w:bottom w:val="single" w:sz="4" w:space="0" w:color="auto"/>
              <w:right w:val="single" w:sz="4" w:space="0" w:color="auto"/>
            </w:tcBorders>
            <w:shd w:val="clear" w:color="auto" w:fill="auto"/>
            <w:vAlign w:val="center"/>
            <w:hideMark/>
          </w:tcPr>
          <w:p w14:paraId="2F01C6C1"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47873,8</w:t>
            </w:r>
          </w:p>
        </w:tc>
        <w:tc>
          <w:tcPr>
            <w:tcW w:w="651" w:type="dxa"/>
            <w:tcBorders>
              <w:top w:val="nil"/>
              <w:left w:val="nil"/>
              <w:bottom w:val="single" w:sz="4" w:space="0" w:color="auto"/>
              <w:right w:val="single" w:sz="4" w:space="0" w:color="auto"/>
            </w:tcBorders>
            <w:shd w:val="clear" w:color="auto" w:fill="auto"/>
            <w:noWrap/>
            <w:vAlign w:val="center"/>
            <w:hideMark/>
          </w:tcPr>
          <w:p w14:paraId="7232AF4E"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46,03</w:t>
            </w:r>
          </w:p>
        </w:tc>
      </w:tr>
      <w:tr w:rsidR="00B84F30" w:rsidRPr="00B66C5F" w14:paraId="23EB37EA" w14:textId="77777777" w:rsidTr="00CF3AD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7D563B" w14:textId="3BF124E3" w:rsidR="00B84F30" w:rsidRPr="00CF3AD4" w:rsidRDefault="00C319CD">
            <w:pPr>
              <w:spacing w:after="0" w:line="240" w:lineRule="auto"/>
              <w:ind w:left="-106"/>
              <w:jc w:val="both"/>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Partea t</w:t>
            </w:r>
            <w:r w:rsidRPr="00CF3AD4">
              <w:rPr>
                <w:rFonts w:asciiTheme="majorHAnsi" w:eastAsia="Times New Roman" w:hAnsiTheme="majorHAnsi" w:cstheme="majorHAnsi"/>
                <w:sz w:val="16"/>
                <w:szCs w:val="16"/>
                <w:lang w:val="ro-MD"/>
              </w:rPr>
              <w:t>ransnistr</w:t>
            </w:r>
            <w:r>
              <w:rPr>
                <w:rFonts w:asciiTheme="majorHAnsi" w:eastAsia="Times New Roman" w:hAnsiTheme="majorHAnsi" w:cstheme="majorHAnsi"/>
                <w:sz w:val="16"/>
                <w:szCs w:val="16"/>
                <w:lang w:val="ro-MD"/>
              </w:rPr>
              <w:t>eană</w:t>
            </w:r>
          </w:p>
        </w:tc>
        <w:tc>
          <w:tcPr>
            <w:tcW w:w="847" w:type="dxa"/>
            <w:tcBorders>
              <w:top w:val="nil"/>
              <w:left w:val="nil"/>
              <w:bottom w:val="single" w:sz="4" w:space="0" w:color="auto"/>
              <w:right w:val="single" w:sz="4" w:space="0" w:color="auto"/>
            </w:tcBorders>
            <w:shd w:val="clear" w:color="auto" w:fill="auto"/>
            <w:vAlign w:val="center"/>
            <w:hideMark/>
          </w:tcPr>
          <w:p w14:paraId="2361F2CC"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96782,4</w:t>
            </w:r>
          </w:p>
        </w:tc>
        <w:tc>
          <w:tcPr>
            <w:tcW w:w="854" w:type="dxa"/>
            <w:tcBorders>
              <w:top w:val="nil"/>
              <w:left w:val="nil"/>
              <w:bottom w:val="single" w:sz="4" w:space="0" w:color="auto"/>
              <w:right w:val="single" w:sz="4" w:space="0" w:color="auto"/>
            </w:tcBorders>
            <w:shd w:val="clear" w:color="auto" w:fill="auto"/>
            <w:vAlign w:val="center"/>
            <w:hideMark/>
          </w:tcPr>
          <w:p w14:paraId="7FAC3C05"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22880</w:t>
            </w:r>
          </w:p>
        </w:tc>
        <w:tc>
          <w:tcPr>
            <w:tcW w:w="848" w:type="dxa"/>
            <w:tcBorders>
              <w:top w:val="nil"/>
              <w:left w:val="nil"/>
              <w:bottom w:val="single" w:sz="4" w:space="0" w:color="auto"/>
              <w:right w:val="single" w:sz="4" w:space="0" w:color="auto"/>
            </w:tcBorders>
            <w:shd w:val="clear" w:color="auto" w:fill="auto"/>
            <w:vAlign w:val="center"/>
            <w:hideMark/>
          </w:tcPr>
          <w:p w14:paraId="0D8789B3"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11440</w:t>
            </w:r>
          </w:p>
        </w:tc>
        <w:tc>
          <w:tcPr>
            <w:tcW w:w="554" w:type="dxa"/>
            <w:tcBorders>
              <w:top w:val="nil"/>
              <w:left w:val="nil"/>
              <w:bottom w:val="single" w:sz="4" w:space="0" w:color="auto"/>
              <w:right w:val="single" w:sz="4" w:space="0" w:color="auto"/>
            </w:tcBorders>
            <w:shd w:val="clear" w:color="auto" w:fill="auto"/>
            <w:vAlign w:val="center"/>
            <w:hideMark/>
          </w:tcPr>
          <w:p w14:paraId="23BA5180"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11,0</w:t>
            </w:r>
          </w:p>
        </w:tc>
        <w:tc>
          <w:tcPr>
            <w:tcW w:w="895" w:type="dxa"/>
            <w:tcBorders>
              <w:top w:val="nil"/>
              <w:left w:val="nil"/>
              <w:bottom w:val="single" w:sz="4" w:space="0" w:color="auto"/>
              <w:right w:val="single" w:sz="4" w:space="0" w:color="auto"/>
            </w:tcBorders>
            <w:shd w:val="clear" w:color="auto" w:fill="auto"/>
            <w:vAlign w:val="center"/>
            <w:hideMark/>
          </w:tcPr>
          <w:p w14:paraId="3DD55B31"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34.907,4</w:t>
            </w:r>
          </w:p>
        </w:tc>
        <w:tc>
          <w:tcPr>
            <w:tcW w:w="848" w:type="dxa"/>
            <w:tcBorders>
              <w:top w:val="nil"/>
              <w:left w:val="nil"/>
              <w:bottom w:val="single" w:sz="4" w:space="0" w:color="auto"/>
              <w:right w:val="single" w:sz="4" w:space="0" w:color="auto"/>
            </w:tcBorders>
            <w:shd w:val="clear" w:color="auto" w:fill="auto"/>
            <w:vAlign w:val="center"/>
            <w:hideMark/>
          </w:tcPr>
          <w:p w14:paraId="3D18296A"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8252,3</w:t>
            </w:r>
          </w:p>
        </w:tc>
        <w:tc>
          <w:tcPr>
            <w:tcW w:w="750" w:type="dxa"/>
            <w:tcBorders>
              <w:top w:val="nil"/>
              <w:left w:val="nil"/>
              <w:bottom w:val="single" w:sz="4" w:space="0" w:color="auto"/>
              <w:right w:val="single" w:sz="4" w:space="0" w:color="auto"/>
            </w:tcBorders>
            <w:shd w:val="clear" w:color="auto" w:fill="auto"/>
            <w:vAlign w:val="center"/>
            <w:hideMark/>
          </w:tcPr>
          <w:p w14:paraId="62F98D57" w14:textId="77777777" w:rsidR="00B84F30" w:rsidRPr="00CF3AD4" w:rsidRDefault="00B84F30" w:rsidP="00957170">
            <w:pPr>
              <w:spacing w:after="0" w:line="240" w:lineRule="auto"/>
              <w:ind w:left="-106"/>
              <w:jc w:val="right"/>
              <w:rPr>
                <w:rFonts w:asciiTheme="majorHAnsi" w:eastAsia="Times New Roman" w:hAnsiTheme="majorHAnsi" w:cstheme="majorHAnsi"/>
                <w:b/>
                <w:sz w:val="16"/>
                <w:szCs w:val="16"/>
                <w:lang w:val="ro-MD"/>
              </w:rPr>
            </w:pPr>
            <w:r w:rsidRPr="00CF3AD4">
              <w:rPr>
                <w:rFonts w:asciiTheme="majorHAnsi" w:eastAsia="Times New Roman" w:hAnsiTheme="majorHAnsi" w:cstheme="majorHAnsi"/>
                <w:b/>
                <w:sz w:val="16"/>
                <w:szCs w:val="16"/>
                <w:lang w:val="ro-MD"/>
              </w:rPr>
              <w:t>61875,0</w:t>
            </w:r>
          </w:p>
        </w:tc>
        <w:tc>
          <w:tcPr>
            <w:tcW w:w="750" w:type="dxa"/>
            <w:tcBorders>
              <w:top w:val="nil"/>
              <w:left w:val="nil"/>
              <w:bottom w:val="single" w:sz="4" w:space="0" w:color="auto"/>
              <w:right w:val="single" w:sz="4" w:space="0" w:color="auto"/>
            </w:tcBorders>
            <w:shd w:val="clear" w:color="auto" w:fill="auto"/>
            <w:vAlign w:val="center"/>
            <w:hideMark/>
          </w:tcPr>
          <w:p w14:paraId="1AB02789" w14:textId="77777777" w:rsidR="00B84F30" w:rsidRPr="00CF3AD4" w:rsidRDefault="00B84F30" w:rsidP="00957170">
            <w:pPr>
              <w:spacing w:after="0" w:line="240" w:lineRule="auto"/>
              <w:ind w:left="-106"/>
              <w:jc w:val="right"/>
              <w:rPr>
                <w:rFonts w:asciiTheme="majorHAnsi" w:eastAsia="Times New Roman" w:hAnsiTheme="majorHAnsi" w:cstheme="majorHAnsi"/>
                <w:b/>
                <w:sz w:val="16"/>
                <w:szCs w:val="16"/>
                <w:lang w:val="ro-MD"/>
              </w:rPr>
            </w:pPr>
            <w:r w:rsidRPr="00CF3AD4">
              <w:rPr>
                <w:rFonts w:asciiTheme="majorHAnsi" w:eastAsia="Times New Roman" w:hAnsiTheme="majorHAnsi" w:cstheme="majorHAnsi"/>
                <w:b/>
                <w:sz w:val="16"/>
                <w:szCs w:val="16"/>
                <w:lang w:val="ro-MD"/>
              </w:rPr>
              <w:t>14627,7</w:t>
            </w:r>
          </w:p>
        </w:tc>
        <w:tc>
          <w:tcPr>
            <w:tcW w:w="848" w:type="dxa"/>
            <w:tcBorders>
              <w:top w:val="nil"/>
              <w:left w:val="nil"/>
              <w:bottom w:val="single" w:sz="4" w:space="0" w:color="auto"/>
              <w:right w:val="single" w:sz="4" w:space="0" w:color="auto"/>
            </w:tcBorders>
            <w:shd w:val="clear" w:color="auto" w:fill="auto"/>
            <w:vAlign w:val="center"/>
            <w:hideMark/>
          </w:tcPr>
          <w:p w14:paraId="72E97FF1"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4126,2</w:t>
            </w:r>
          </w:p>
        </w:tc>
        <w:tc>
          <w:tcPr>
            <w:tcW w:w="651" w:type="dxa"/>
            <w:tcBorders>
              <w:top w:val="nil"/>
              <w:left w:val="nil"/>
              <w:bottom w:val="single" w:sz="4" w:space="0" w:color="auto"/>
              <w:right w:val="single" w:sz="4" w:space="0" w:color="auto"/>
            </w:tcBorders>
            <w:shd w:val="clear" w:color="auto" w:fill="auto"/>
            <w:noWrap/>
            <w:vAlign w:val="center"/>
            <w:hideMark/>
          </w:tcPr>
          <w:p w14:paraId="02DE4434"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3,97</w:t>
            </w:r>
          </w:p>
        </w:tc>
      </w:tr>
      <w:tr w:rsidR="00B84F30" w:rsidRPr="00B66C5F" w14:paraId="10BD013B" w14:textId="77777777" w:rsidTr="00CF3AD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1CCC841" w14:textId="77777777" w:rsidR="00B84F30" w:rsidRPr="00CF3AD4" w:rsidRDefault="00B84F30" w:rsidP="00957170">
            <w:pPr>
              <w:spacing w:after="0" w:line="240" w:lineRule="auto"/>
              <w:ind w:left="-106"/>
              <w:jc w:val="both"/>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SA Gazprom</w:t>
            </w:r>
          </w:p>
        </w:tc>
        <w:tc>
          <w:tcPr>
            <w:tcW w:w="847" w:type="dxa"/>
            <w:tcBorders>
              <w:top w:val="nil"/>
              <w:left w:val="nil"/>
              <w:bottom w:val="single" w:sz="4" w:space="0" w:color="auto"/>
              <w:right w:val="single" w:sz="4" w:space="0" w:color="auto"/>
            </w:tcBorders>
            <w:shd w:val="clear" w:color="auto" w:fill="auto"/>
            <w:vAlign w:val="center"/>
            <w:hideMark/>
          </w:tcPr>
          <w:p w14:paraId="782B3196"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 </w:t>
            </w:r>
          </w:p>
        </w:tc>
        <w:tc>
          <w:tcPr>
            <w:tcW w:w="854" w:type="dxa"/>
            <w:tcBorders>
              <w:top w:val="nil"/>
              <w:left w:val="nil"/>
              <w:bottom w:val="single" w:sz="4" w:space="0" w:color="auto"/>
              <w:right w:val="single" w:sz="4" w:space="0" w:color="auto"/>
            </w:tcBorders>
            <w:shd w:val="clear" w:color="auto" w:fill="auto"/>
            <w:vAlign w:val="center"/>
            <w:hideMark/>
          </w:tcPr>
          <w:p w14:paraId="2C1A4EBD"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 </w:t>
            </w:r>
          </w:p>
        </w:tc>
        <w:tc>
          <w:tcPr>
            <w:tcW w:w="848" w:type="dxa"/>
            <w:tcBorders>
              <w:top w:val="nil"/>
              <w:left w:val="nil"/>
              <w:bottom w:val="single" w:sz="4" w:space="0" w:color="auto"/>
              <w:right w:val="single" w:sz="4" w:space="0" w:color="auto"/>
            </w:tcBorders>
            <w:shd w:val="clear" w:color="auto" w:fill="auto"/>
            <w:vAlign w:val="center"/>
            <w:hideMark/>
          </w:tcPr>
          <w:p w14:paraId="084B7D42"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52000</w:t>
            </w:r>
          </w:p>
        </w:tc>
        <w:tc>
          <w:tcPr>
            <w:tcW w:w="554" w:type="dxa"/>
            <w:tcBorders>
              <w:top w:val="nil"/>
              <w:left w:val="nil"/>
              <w:bottom w:val="single" w:sz="4" w:space="0" w:color="auto"/>
              <w:right w:val="single" w:sz="4" w:space="0" w:color="auto"/>
            </w:tcBorders>
            <w:shd w:val="clear" w:color="auto" w:fill="auto"/>
            <w:vAlign w:val="center"/>
            <w:hideMark/>
          </w:tcPr>
          <w:p w14:paraId="53110339"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50,0</w:t>
            </w:r>
          </w:p>
        </w:tc>
        <w:tc>
          <w:tcPr>
            <w:tcW w:w="895" w:type="dxa"/>
            <w:tcBorders>
              <w:top w:val="nil"/>
              <w:left w:val="nil"/>
              <w:bottom w:val="single" w:sz="4" w:space="0" w:color="auto"/>
              <w:right w:val="single" w:sz="4" w:space="0" w:color="auto"/>
            </w:tcBorders>
            <w:shd w:val="clear" w:color="auto" w:fill="auto"/>
            <w:vAlign w:val="center"/>
            <w:hideMark/>
          </w:tcPr>
          <w:p w14:paraId="4EB58F07" w14:textId="77777777" w:rsidR="00B84F30" w:rsidRPr="00CF3AD4" w:rsidRDefault="00B84F30" w:rsidP="00957170">
            <w:pPr>
              <w:spacing w:after="0" w:line="240" w:lineRule="auto"/>
              <w:ind w:left="-106" w:right="23"/>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 </w:t>
            </w:r>
          </w:p>
        </w:tc>
        <w:tc>
          <w:tcPr>
            <w:tcW w:w="848" w:type="dxa"/>
            <w:tcBorders>
              <w:top w:val="nil"/>
              <w:left w:val="nil"/>
              <w:bottom w:val="single" w:sz="4" w:space="0" w:color="auto"/>
              <w:right w:val="single" w:sz="4" w:space="0" w:color="auto"/>
            </w:tcBorders>
            <w:shd w:val="clear" w:color="auto" w:fill="auto"/>
            <w:vAlign w:val="center"/>
            <w:hideMark/>
          </w:tcPr>
          <w:p w14:paraId="263CD9E9"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 </w:t>
            </w:r>
          </w:p>
        </w:tc>
        <w:tc>
          <w:tcPr>
            <w:tcW w:w="750" w:type="dxa"/>
            <w:tcBorders>
              <w:top w:val="nil"/>
              <w:left w:val="nil"/>
              <w:bottom w:val="single" w:sz="4" w:space="0" w:color="auto"/>
              <w:right w:val="single" w:sz="4" w:space="0" w:color="auto"/>
            </w:tcBorders>
            <w:shd w:val="clear" w:color="auto" w:fill="auto"/>
            <w:vAlign w:val="center"/>
            <w:hideMark/>
          </w:tcPr>
          <w:p w14:paraId="0780755F"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0,0</w:t>
            </w:r>
          </w:p>
        </w:tc>
        <w:tc>
          <w:tcPr>
            <w:tcW w:w="750" w:type="dxa"/>
            <w:tcBorders>
              <w:top w:val="nil"/>
              <w:left w:val="nil"/>
              <w:bottom w:val="single" w:sz="4" w:space="0" w:color="auto"/>
              <w:right w:val="single" w:sz="4" w:space="0" w:color="auto"/>
            </w:tcBorders>
            <w:shd w:val="clear" w:color="auto" w:fill="auto"/>
            <w:vAlign w:val="center"/>
            <w:hideMark/>
          </w:tcPr>
          <w:p w14:paraId="66237A0D"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0,0</w:t>
            </w:r>
          </w:p>
        </w:tc>
        <w:tc>
          <w:tcPr>
            <w:tcW w:w="848" w:type="dxa"/>
            <w:tcBorders>
              <w:top w:val="nil"/>
              <w:left w:val="nil"/>
              <w:bottom w:val="single" w:sz="4" w:space="0" w:color="auto"/>
              <w:right w:val="single" w:sz="4" w:space="0" w:color="auto"/>
            </w:tcBorders>
            <w:shd w:val="clear" w:color="auto" w:fill="auto"/>
            <w:vAlign w:val="center"/>
            <w:hideMark/>
          </w:tcPr>
          <w:p w14:paraId="7A0E3BEE"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52000,0</w:t>
            </w:r>
          </w:p>
        </w:tc>
        <w:tc>
          <w:tcPr>
            <w:tcW w:w="651" w:type="dxa"/>
            <w:tcBorders>
              <w:top w:val="nil"/>
              <w:left w:val="nil"/>
              <w:bottom w:val="single" w:sz="4" w:space="0" w:color="auto"/>
              <w:right w:val="single" w:sz="4" w:space="0" w:color="auto"/>
            </w:tcBorders>
            <w:shd w:val="clear" w:color="auto" w:fill="auto"/>
            <w:noWrap/>
            <w:vAlign w:val="center"/>
            <w:hideMark/>
          </w:tcPr>
          <w:p w14:paraId="0F1E194B"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50,00</w:t>
            </w:r>
          </w:p>
        </w:tc>
      </w:tr>
      <w:tr w:rsidR="00B84F30" w:rsidRPr="00B66C5F" w14:paraId="265F9623" w14:textId="77777777" w:rsidTr="00CF3AD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4B0C66" w14:textId="77777777" w:rsidR="00B84F30" w:rsidRPr="00CF3AD4" w:rsidRDefault="00B84F30" w:rsidP="00957170">
            <w:pPr>
              <w:spacing w:after="0" w:line="240" w:lineRule="auto"/>
              <w:ind w:left="-106"/>
              <w:jc w:val="both"/>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Total</w:t>
            </w:r>
          </w:p>
        </w:tc>
        <w:tc>
          <w:tcPr>
            <w:tcW w:w="847" w:type="dxa"/>
            <w:tcBorders>
              <w:top w:val="nil"/>
              <w:left w:val="nil"/>
              <w:bottom w:val="single" w:sz="4" w:space="0" w:color="auto"/>
              <w:right w:val="single" w:sz="4" w:space="0" w:color="auto"/>
            </w:tcBorders>
            <w:shd w:val="clear" w:color="auto" w:fill="auto"/>
            <w:vAlign w:val="center"/>
            <w:hideMark/>
          </w:tcPr>
          <w:p w14:paraId="2027A808"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439920,0</w:t>
            </w:r>
          </w:p>
        </w:tc>
        <w:tc>
          <w:tcPr>
            <w:tcW w:w="854" w:type="dxa"/>
            <w:tcBorders>
              <w:top w:val="nil"/>
              <w:left w:val="nil"/>
              <w:bottom w:val="single" w:sz="4" w:space="0" w:color="auto"/>
              <w:right w:val="single" w:sz="4" w:space="0" w:color="auto"/>
            </w:tcBorders>
            <w:shd w:val="clear" w:color="auto" w:fill="auto"/>
            <w:vAlign w:val="center"/>
            <w:hideMark/>
          </w:tcPr>
          <w:p w14:paraId="2C6601DD"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104000,0</w:t>
            </w:r>
          </w:p>
        </w:tc>
        <w:tc>
          <w:tcPr>
            <w:tcW w:w="848" w:type="dxa"/>
            <w:tcBorders>
              <w:top w:val="nil"/>
              <w:left w:val="nil"/>
              <w:bottom w:val="single" w:sz="4" w:space="0" w:color="auto"/>
              <w:right w:val="single" w:sz="4" w:space="0" w:color="auto"/>
            </w:tcBorders>
            <w:shd w:val="clear" w:color="auto" w:fill="auto"/>
            <w:vAlign w:val="center"/>
            <w:hideMark/>
          </w:tcPr>
          <w:p w14:paraId="606255A6"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104000,0</w:t>
            </w:r>
          </w:p>
        </w:tc>
        <w:tc>
          <w:tcPr>
            <w:tcW w:w="554" w:type="dxa"/>
            <w:tcBorders>
              <w:top w:val="nil"/>
              <w:left w:val="nil"/>
              <w:bottom w:val="single" w:sz="4" w:space="0" w:color="auto"/>
              <w:right w:val="single" w:sz="4" w:space="0" w:color="auto"/>
            </w:tcBorders>
            <w:shd w:val="clear" w:color="auto" w:fill="auto"/>
            <w:vAlign w:val="center"/>
            <w:hideMark/>
          </w:tcPr>
          <w:p w14:paraId="377C9D64"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100,0</w:t>
            </w:r>
          </w:p>
        </w:tc>
        <w:tc>
          <w:tcPr>
            <w:tcW w:w="895" w:type="dxa"/>
            <w:tcBorders>
              <w:top w:val="nil"/>
              <w:left w:val="nil"/>
              <w:bottom w:val="single" w:sz="4" w:space="0" w:color="auto"/>
              <w:right w:val="single" w:sz="4" w:space="0" w:color="auto"/>
            </w:tcBorders>
            <w:shd w:val="clear" w:color="auto" w:fill="auto"/>
            <w:vAlign w:val="center"/>
            <w:hideMark/>
          </w:tcPr>
          <w:p w14:paraId="42AEE83C"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439.920,0</w:t>
            </w:r>
          </w:p>
        </w:tc>
        <w:tc>
          <w:tcPr>
            <w:tcW w:w="848" w:type="dxa"/>
            <w:tcBorders>
              <w:top w:val="nil"/>
              <w:left w:val="nil"/>
              <w:bottom w:val="single" w:sz="4" w:space="0" w:color="auto"/>
              <w:right w:val="single" w:sz="4" w:space="0" w:color="auto"/>
            </w:tcBorders>
            <w:shd w:val="clear" w:color="auto" w:fill="auto"/>
            <w:vAlign w:val="center"/>
            <w:hideMark/>
          </w:tcPr>
          <w:p w14:paraId="4B1016A5"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104000,0</w:t>
            </w:r>
          </w:p>
        </w:tc>
        <w:tc>
          <w:tcPr>
            <w:tcW w:w="750" w:type="dxa"/>
            <w:tcBorders>
              <w:top w:val="nil"/>
              <w:left w:val="nil"/>
              <w:bottom w:val="single" w:sz="4" w:space="0" w:color="auto"/>
              <w:right w:val="single" w:sz="4" w:space="0" w:color="auto"/>
            </w:tcBorders>
            <w:shd w:val="clear" w:color="auto" w:fill="auto"/>
            <w:vAlign w:val="center"/>
            <w:hideMark/>
          </w:tcPr>
          <w:p w14:paraId="43419168"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0,0</w:t>
            </w:r>
          </w:p>
        </w:tc>
        <w:tc>
          <w:tcPr>
            <w:tcW w:w="750" w:type="dxa"/>
            <w:tcBorders>
              <w:top w:val="nil"/>
              <w:left w:val="nil"/>
              <w:bottom w:val="single" w:sz="4" w:space="0" w:color="auto"/>
              <w:right w:val="single" w:sz="4" w:space="0" w:color="auto"/>
            </w:tcBorders>
            <w:shd w:val="clear" w:color="auto" w:fill="auto"/>
            <w:vAlign w:val="center"/>
            <w:hideMark/>
          </w:tcPr>
          <w:p w14:paraId="457417FA"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0,0</w:t>
            </w:r>
          </w:p>
        </w:tc>
        <w:tc>
          <w:tcPr>
            <w:tcW w:w="848" w:type="dxa"/>
            <w:tcBorders>
              <w:top w:val="nil"/>
              <w:left w:val="nil"/>
              <w:bottom w:val="single" w:sz="4" w:space="0" w:color="auto"/>
              <w:right w:val="single" w:sz="4" w:space="0" w:color="auto"/>
            </w:tcBorders>
            <w:shd w:val="clear" w:color="auto" w:fill="auto"/>
            <w:vAlign w:val="center"/>
            <w:hideMark/>
          </w:tcPr>
          <w:p w14:paraId="11C89974"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104000,0</w:t>
            </w:r>
          </w:p>
        </w:tc>
        <w:tc>
          <w:tcPr>
            <w:tcW w:w="651" w:type="dxa"/>
            <w:tcBorders>
              <w:top w:val="nil"/>
              <w:left w:val="nil"/>
              <w:bottom w:val="single" w:sz="4" w:space="0" w:color="auto"/>
              <w:right w:val="single" w:sz="4" w:space="0" w:color="auto"/>
            </w:tcBorders>
            <w:shd w:val="clear" w:color="auto" w:fill="auto"/>
            <w:noWrap/>
            <w:vAlign w:val="center"/>
            <w:hideMark/>
          </w:tcPr>
          <w:p w14:paraId="57B3C37E" w14:textId="77777777" w:rsidR="00B84F30" w:rsidRPr="00CF3AD4" w:rsidRDefault="00B84F30" w:rsidP="00957170">
            <w:pPr>
              <w:spacing w:after="0" w:line="240" w:lineRule="auto"/>
              <w:ind w:left="-106"/>
              <w:jc w:val="right"/>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100,00</w:t>
            </w:r>
          </w:p>
        </w:tc>
      </w:tr>
    </w:tbl>
    <w:p w14:paraId="3C0F7CA1" w14:textId="77777777" w:rsidR="00B84F30" w:rsidRPr="009772A3" w:rsidRDefault="00B84F30" w:rsidP="00A06C37">
      <w:pPr>
        <w:spacing w:after="0" w:line="276" w:lineRule="auto"/>
        <w:ind w:firstLine="709"/>
        <w:jc w:val="both"/>
        <w:rPr>
          <w:rFonts w:asciiTheme="majorHAnsi" w:hAnsiTheme="majorHAnsi" w:cstheme="majorHAnsi"/>
          <w:sz w:val="24"/>
          <w:szCs w:val="24"/>
          <w:lang w:val="ro-MD"/>
        </w:rPr>
      </w:pPr>
    </w:p>
    <w:p w14:paraId="392D0401" w14:textId="65CE170E" w:rsidR="00B84F30" w:rsidRPr="009772A3" w:rsidRDefault="00B66C5F" w:rsidP="00A06C37">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Control</w:t>
      </w:r>
      <w:r w:rsidRPr="009772A3">
        <w:rPr>
          <w:rFonts w:asciiTheme="majorHAnsi" w:hAnsiTheme="majorHAnsi" w:cstheme="majorHAnsi"/>
          <w:sz w:val="24"/>
          <w:szCs w:val="24"/>
          <w:lang w:val="ro-MD"/>
        </w:rPr>
        <w:t xml:space="preserve">ul </w:t>
      </w:r>
      <w:r w:rsidR="00B84F30" w:rsidRPr="009772A3">
        <w:rPr>
          <w:rFonts w:asciiTheme="majorHAnsi" w:hAnsiTheme="majorHAnsi" w:cstheme="majorHAnsi"/>
          <w:sz w:val="24"/>
          <w:szCs w:val="24"/>
          <w:lang w:val="ro-MD"/>
        </w:rPr>
        <w:t>Curții de Conturi efectuat în anul 2002 a indicat că</w:t>
      </w:r>
      <w:r w:rsidR="00DC1618"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din lungimea totală a gazoductelor magistrale care traversează teritoriul </w:t>
      </w:r>
      <w:r w:rsidR="00CE2965">
        <w:rPr>
          <w:rFonts w:asciiTheme="majorHAnsi" w:hAnsiTheme="majorHAnsi" w:cstheme="majorHAnsi"/>
          <w:sz w:val="24"/>
          <w:szCs w:val="24"/>
          <w:lang w:val="ro-MD"/>
        </w:rPr>
        <w:t xml:space="preserve">Republicii </w:t>
      </w:r>
      <w:r w:rsidR="00B84F30" w:rsidRPr="009772A3">
        <w:rPr>
          <w:rFonts w:asciiTheme="majorHAnsi" w:hAnsiTheme="majorHAnsi" w:cstheme="majorHAnsi"/>
          <w:sz w:val="24"/>
          <w:szCs w:val="24"/>
          <w:lang w:val="ro-MD"/>
        </w:rPr>
        <w:t>Moldov</w:t>
      </w:r>
      <w:r w:rsidR="00CE2965">
        <w:rPr>
          <w:rFonts w:asciiTheme="majorHAnsi" w:hAnsiTheme="majorHAnsi" w:cstheme="majorHAnsi"/>
          <w:sz w:val="24"/>
          <w:szCs w:val="24"/>
          <w:lang w:val="ro-MD"/>
        </w:rPr>
        <w:t>a</w:t>
      </w:r>
      <w:r w:rsidR="00B84F30" w:rsidRPr="009772A3">
        <w:rPr>
          <w:rFonts w:asciiTheme="majorHAnsi" w:hAnsiTheme="majorHAnsi" w:cstheme="majorHAnsi"/>
          <w:sz w:val="24"/>
          <w:szCs w:val="24"/>
          <w:lang w:val="ro-MD"/>
        </w:rPr>
        <w:t xml:space="preserve"> pe partea dreaptă și </w:t>
      </w:r>
      <w:r w:rsidR="00DC1618" w:rsidRPr="009772A3">
        <w:rPr>
          <w:rFonts w:asciiTheme="majorHAnsi" w:hAnsiTheme="majorHAnsi" w:cstheme="majorHAnsi"/>
          <w:sz w:val="24"/>
          <w:szCs w:val="24"/>
          <w:lang w:val="ro-MD"/>
        </w:rPr>
        <w:t xml:space="preserve">cea </w:t>
      </w:r>
      <w:r w:rsidR="00B84F30" w:rsidRPr="009772A3">
        <w:rPr>
          <w:rFonts w:asciiTheme="majorHAnsi" w:hAnsiTheme="majorHAnsi" w:cstheme="majorHAnsi"/>
          <w:sz w:val="24"/>
          <w:szCs w:val="24"/>
          <w:lang w:val="ro-MD"/>
        </w:rPr>
        <w:t>stângă a</w:t>
      </w:r>
      <w:r w:rsidR="00DC1618" w:rsidRPr="009772A3">
        <w:rPr>
          <w:rFonts w:asciiTheme="majorHAnsi" w:hAnsiTheme="majorHAnsi" w:cstheme="majorHAnsi"/>
          <w:sz w:val="24"/>
          <w:szCs w:val="24"/>
          <w:lang w:val="ro-MD"/>
        </w:rPr>
        <w:t>le</w:t>
      </w:r>
      <w:r w:rsidR="00B84F30" w:rsidRPr="009772A3">
        <w:rPr>
          <w:rFonts w:asciiTheme="majorHAnsi" w:hAnsiTheme="majorHAnsi" w:cstheme="majorHAnsi"/>
          <w:sz w:val="24"/>
          <w:szCs w:val="24"/>
          <w:lang w:val="ro-MD"/>
        </w:rPr>
        <w:t xml:space="preserve"> râului Nistru</w:t>
      </w:r>
      <w:r w:rsidR="00DC1618"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ce constituia 542,9 km, în listele de estimare a patrimoniul</w:t>
      </w:r>
      <w:r w:rsidR="00DC1618" w:rsidRPr="009772A3">
        <w:rPr>
          <w:rFonts w:asciiTheme="majorHAnsi" w:hAnsiTheme="majorHAnsi" w:cstheme="majorHAnsi"/>
          <w:sz w:val="24"/>
          <w:szCs w:val="24"/>
          <w:lang w:val="ro-MD"/>
        </w:rPr>
        <w:t>ui</w:t>
      </w:r>
      <w:r w:rsidR="00B84F30" w:rsidRPr="009772A3">
        <w:rPr>
          <w:rFonts w:asciiTheme="majorHAnsi" w:hAnsiTheme="majorHAnsi" w:cstheme="majorHAnsi"/>
          <w:sz w:val="24"/>
          <w:szCs w:val="24"/>
          <w:lang w:val="ro-MD"/>
        </w:rPr>
        <w:t xml:space="preserve"> depus în capitalul SA </w:t>
      </w:r>
      <w:r w:rsidR="00DC1618"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Gazsnabtranzit</w:t>
      </w:r>
      <w:r w:rsidR="00DC1618"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au fost incluse doar 416,2 km, ce</w:t>
      </w:r>
      <w:r w:rsidR="00DC1618" w:rsidRPr="009772A3">
        <w:rPr>
          <w:rFonts w:asciiTheme="majorHAnsi" w:hAnsiTheme="majorHAnsi" w:cstheme="majorHAnsi"/>
          <w:sz w:val="24"/>
          <w:szCs w:val="24"/>
          <w:lang w:val="ro-MD"/>
        </w:rPr>
        <w:t>e</w:t>
      </w:r>
      <w:r w:rsidR="00B84F30" w:rsidRPr="009772A3">
        <w:rPr>
          <w:rFonts w:asciiTheme="majorHAnsi" w:hAnsiTheme="majorHAnsi" w:cstheme="majorHAnsi"/>
          <w:sz w:val="24"/>
          <w:szCs w:val="24"/>
          <w:lang w:val="ro-MD"/>
        </w:rPr>
        <w:t xml:space="preserve">a ce </w:t>
      </w:r>
      <w:r w:rsidR="00DC1618" w:rsidRPr="009772A3">
        <w:rPr>
          <w:rFonts w:asciiTheme="majorHAnsi" w:hAnsiTheme="majorHAnsi" w:cstheme="majorHAnsi"/>
          <w:sz w:val="24"/>
          <w:szCs w:val="24"/>
          <w:lang w:val="ro-MD"/>
        </w:rPr>
        <w:t xml:space="preserve">reprezenta </w:t>
      </w:r>
      <w:r w:rsidR="00B84F30" w:rsidRPr="009772A3">
        <w:rPr>
          <w:rFonts w:asciiTheme="majorHAnsi" w:hAnsiTheme="majorHAnsi" w:cstheme="majorHAnsi"/>
          <w:sz w:val="24"/>
          <w:szCs w:val="24"/>
          <w:lang w:val="ro-MD"/>
        </w:rPr>
        <w:t xml:space="preserve">doar 76 la sută din lungimea acestora, sau cu 126,7 km mai puțin. </w:t>
      </w:r>
    </w:p>
    <w:p w14:paraId="4A2B0E05" w14:textId="1AAE49DF" w:rsidR="00856489" w:rsidRPr="009772A3" w:rsidRDefault="00B84F30" w:rsidP="00074B8F">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b/>
          <w:sz w:val="24"/>
          <w:szCs w:val="24"/>
          <w:lang w:val="ro-MD"/>
        </w:rPr>
        <w:t>Tabelul nr.</w:t>
      </w:r>
      <w:r w:rsidR="00856489" w:rsidRPr="009772A3">
        <w:rPr>
          <w:rFonts w:asciiTheme="majorHAnsi" w:hAnsiTheme="majorHAnsi" w:cstheme="majorHAnsi"/>
          <w:b/>
          <w:sz w:val="24"/>
          <w:szCs w:val="24"/>
          <w:lang w:val="ro-MD"/>
        </w:rPr>
        <w:t>4.1.</w:t>
      </w:r>
      <w:r w:rsidR="00CE2965">
        <w:rPr>
          <w:rFonts w:asciiTheme="majorHAnsi" w:hAnsiTheme="majorHAnsi" w:cstheme="majorHAnsi"/>
          <w:b/>
          <w:sz w:val="24"/>
          <w:szCs w:val="24"/>
          <w:lang w:val="ro-MD"/>
        </w:rPr>
        <w:t>1.</w:t>
      </w:r>
      <w:r w:rsidRPr="009772A3">
        <w:rPr>
          <w:rFonts w:asciiTheme="majorHAnsi" w:hAnsiTheme="majorHAnsi" w:cstheme="majorHAnsi"/>
          <w:b/>
          <w:sz w:val="24"/>
          <w:szCs w:val="24"/>
          <w:lang w:val="ro-MD"/>
        </w:rPr>
        <w:t>2</w:t>
      </w:r>
      <w:r w:rsidR="00856489"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 xml:space="preserve"> </w:t>
      </w:r>
    </w:p>
    <w:p w14:paraId="79FFB637" w14:textId="02030D8A" w:rsidR="00B84F30" w:rsidRPr="009772A3" w:rsidRDefault="00B84F30" w:rsidP="00074B8F">
      <w:pPr>
        <w:spacing w:after="0" w:line="276" w:lineRule="auto"/>
        <w:ind w:firstLine="709"/>
        <w:jc w:val="center"/>
        <w:rPr>
          <w:rFonts w:asciiTheme="majorHAnsi" w:hAnsiTheme="majorHAnsi" w:cstheme="majorHAnsi"/>
          <w:b/>
          <w:sz w:val="24"/>
          <w:szCs w:val="24"/>
          <w:lang w:val="ro-MD"/>
        </w:rPr>
      </w:pPr>
      <w:r w:rsidRPr="009772A3">
        <w:rPr>
          <w:rFonts w:asciiTheme="majorHAnsi" w:hAnsiTheme="majorHAnsi" w:cstheme="majorHAnsi"/>
          <w:b/>
          <w:sz w:val="24"/>
          <w:szCs w:val="24"/>
          <w:lang w:val="ro-MD"/>
        </w:rPr>
        <w:t>Lungimea gazoductelor magistrale indicate în diferite perioade</w:t>
      </w:r>
    </w:p>
    <w:tbl>
      <w:tblPr>
        <w:tblStyle w:val="TableGrid"/>
        <w:tblW w:w="9084" w:type="dxa"/>
        <w:tblLayout w:type="fixed"/>
        <w:tblLook w:val="04A0" w:firstRow="1" w:lastRow="0" w:firstColumn="1" w:lastColumn="0" w:noHBand="0" w:noVBand="1"/>
      </w:tblPr>
      <w:tblGrid>
        <w:gridCol w:w="1696"/>
        <w:gridCol w:w="851"/>
        <w:gridCol w:w="850"/>
        <w:gridCol w:w="725"/>
        <w:gridCol w:w="709"/>
        <w:gridCol w:w="1118"/>
        <w:gridCol w:w="709"/>
        <w:gridCol w:w="709"/>
        <w:gridCol w:w="850"/>
        <w:gridCol w:w="867"/>
      </w:tblGrid>
      <w:tr w:rsidR="006A6187" w:rsidRPr="009772A3" w14:paraId="16DC7821" w14:textId="77777777" w:rsidTr="00CF3AD4">
        <w:tc>
          <w:tcPr>
            <w:tcW w:w="1696" w:type="dxa"/>
          </w:tcPr>
          <w:p w14:paraId="61FE44F4" w14:textId="77777777" w:rsidR="006A6187" w:rsidRPr="009772A3" w:rsidRDefault="006A6187" w:rsidP="00957170">
            <w:pPr>
              <w:ind w:left="-118"/>
              <w:jc w:val="both"/>
              <w:rPr>
                <w:rFonts w:asciiTheme="majorHAnsi" w:eastAsia="Times New Roman" w:hAnsiTheme="majorHAnsi" w:cstheme="majorHAnsi"/>
                <w:sz w:val="16"/>
                <w:szCs w:val="16"/>
                <w:lang w:val="ro-MD"/>
              </w:rPr>
            </w:pPr>
          </w:p>
        </w:tc>
        <w:tc>
          <w:tcPr>
            <w:tcW w:w="851" w:type="dxa"/>
          </w:tcPr>
          <w:p w14:paraId="72A830E9" w14:textId="77777777" w:rsidR="006A6187" w:rsidRPr="009772A3" w:rsidRDefault="006A6187" w:rsidP="00957170">
            <w:pPr>
              <w:ind w:left="-118"/>
              <w:jc w:val="both"/>
              <w:rPr>
                <w:rFonts w:asciiTheme="majorHAnsi" w:eastAsia="Times New Roman" w:hAnsiTheme="majorHAnsi" w:cstheme="majorHAnsi"/>
                <w:sz w:val="16"/>
                <w:szCs w:val="16"/>
                <w:lang w:val="ro-MD"/>
              </w:rPr>
            </w:pPr>
          </w:p>
        </w:tc>
        <w:tc>
          <w:tcPr>
            <w:tcW w:w="850" w:type="dxa"/>
          </w:tcPr>
          <w:p w14:paraId="3969468B" w14:textId="77777777" w:rsidR="006A6187" w:rsidRPr="009772A3" w:rsidRDefault="006A6187" w:rsidP="00957170">
            <w:pPr>
              <w:ind w:left="-118"/>
              <w:jc w:val="both"/>
              <w:rPr>
                <w:rFonts w:asciiTheme="majorHAnsi" w:eastAsia="Times New Roman" w:hAnsiTheme="majorHAnsi" w:cstheme="majorHAnsi"/>
                <w:sz w:val="16"/>
                <w:szCs w:val="16"/>
                <w:lang w:val="ro-MD"/>
              </w:rPr>
            </w:pPr>
          </w:p>
        </w:tc>
        <w:tc>
          <w:tcPr>
            <w:tcW w:w="1434" w:type="dxa"/>
            <w:gridSpan w:val="2"/>
          </w:tcPr>
          <w:p w14:paraId="79FBFDE1" w14:textId="1B73E948" w:rsidR="006A6187" w:rsidRPr="009772A3" w:rsidRDefault="006A6187" w:rsidP="00856489">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Act</w:t>
            </w:r>
            <w:r w:rsidR="00856489" w:rsidRPr="009772A3">
              <w:rPr>
                <w:rFonts w:asciiTheme="majorHAnsi" w:eastAsia="Times New Roman" w:hAnsiTheme="majorHAnsi" w:cstheme="majorHAnsi"/>
                <w:b/>
                <w:sz w:val="16"/>
                <w:szCs w:val="16"/>
                <w:lang w:val="ro-MD"/>
              </w:rPr>
              <w:t>ul</w:t>
            </w:r>
            <w:r w:rsidRPr="009772A3">
              <w:rPr>
                <w:rFonts w:asciiTheme="majorHAnsi" w:eastAsia="Times New Roman" w:hAnsiTheme="majorHAnsi" w:cstheme="majorHAnsi"/>
                <w:b/>
                <w:sz w:val="16"/>
                <w:szCs w:val="16"/>
                <w:lang w:val="ro-MD"/>
              </w:rPr>
              <w:t xml:space="preserve"> din 30</w:t>
            </w:r>
            <w:r w:rsidR="00856489" w:rsidRPr="009772A3">
              <w:rPr>
                <w:rFonts w:asciiTheme="majorHAnsi" w:eastAsia="Times New Roman" w:hAnsiTheme="majorHAnsi" w:cstheme="majorHAnsi"/>
                <w:b/>
                <w:sz w:val="16"/>
                <w:szCs w:val="16"/>
                <w:lang w:val="ro-MD"/>
              </w:rPr>
              <w:t>.</w:t>
            </w:r>
            <w:r w:rsidRPr="009772A3">
              <w:rPr>
                <w:rFonts w:asciiTheme="majorHAnsi" w:eastAsia="Times New Roman" w:hAnsiTheme="majorHAnsi" w:cstheme="majorHAnsi"/>
                <w:b/>
                <w:sz w:val="16"/>
                <w:szCs w:val="16"/>
                <w:lang w:val="ro-MD"/>
              </w:rPr>
              <w:t>12</w:t>
            </w:r>
            <w:r w:rsidR="00856489" w:rsidRPr="009772A3">
              <w:rPr>
                <w:rFonts w:asciiTheme="majorHAnsi" w:eastAsia="Times New Roman" w:hAnsiTheme="majorHAnsi" w:cstheme="majorHAnsi"/>
                <w:b/>
                <w:sz w:val="16"/>
                <w:szCs w:val="16"/>
                <w:lang w:val="ro-MD"/>
              </w:rPr>
              <w:t>.</w:t>
            </w:r>
            <w:r w:rsidRPr="009772A3">
              <w:rPr>
                <w:rFonts w:asciiTheme="majorHAnsi" w:eastAsia="Times New Roman" w:hAnsiTheme="majorHAnsi" w:cstheme="majorHAnsi"/>
                <w:b/>
                <w:sz w:val="16"/>
                <w:szCs w:val="16"/>
                <w:lang w:val="ro-MD"/>
              </w:rPr>
              <w:t>1993</w:t>
            </w:r>
          </w:p>
        </w:tc>
        <w:tc>
          <w:tcPr>
            <w:tcW w:w="1118" w:type="dxa"/>
            <w:vMerge w:val="restart"/>
          </w:tcPr>
          <w:p w14:paraId="38F9EB03" w14:textId="359A7989"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Neincluse în capitalul social al SA Gazsnabtranzit</w:t>
            </w:r>
          </w:p>
        </w:tc>
        <w:tc>
          <w:tcPr>
            <w:tcW w:w="1418" w:type="dxa"/>
            <w:gridSpan w:val="2"/>
          </w:tcPr>
          <w:p w14:paraId="5347A2E3" w14:textId="698FB802" w:rsidR="006A6187" w:rsidRPr="009772A3" w:rsidRDefault="006A6187" w:rsidP="00856489">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Act</w:t>
            </w:r>
            <w:r w:rsidR="00856489" w:rsidRPr="009772A3">
              <w:rPr>
                <w:rFonts w:asciiTheme="majorHAnsi" w:eastAsia="Times New Roman" w:hAnsiTheme="majorHAnsi" w:cstheme="majorHAnsi"/>
                <w:b/>
                <w:sz w:val="16"/>
                <w:szCs w:val="16"/>
                <w:lang w:val="ro-MD"/>
              </w:rPr>
              <w:t>ul</w:t>
            </w:r>
            <w:r w:rsidRPr="009772A3">
              <w:rPr>
                <w:rFonts w:asciiTheme="majorHAnsi" w:eastAsia="Times New Roman" w:hAnsiTheme="majorHAnsi" w:cstheme="majorHAnsi"/>
                <w:b/>
                <w:sz w:val="16"/>
                <w:szCs w:val="16"/>
                <w:lang w:val="ro-MD"/>
              </w:rPr>
              <w:t xml:space="preserve"> din 01</w:t>
            </w:r>
            <w:r w:rsidR="00856489" w:rsidRPr="009772A3">
              <w:rPr>
                <w:rFonts w:asciiTheme="majorHAnsi" w:eastAsia="Times New Roman" w:hAnsiTheme="majorHAnsi" w:cstheme="majorHAnsi"/>
                <w:b/>
                <w:sz w:val="16"/>
                <w:szCs w:val="16"/>
                <w:lang w:val="ro-MD"/>
              </w:rPr>
              <w:t>.</w:t>
            </w:r>
            <w:r w:rsidRPr="009772A3">
              <w:rPr>
                <w:rFonts w:asciiTheme="majorHAnsi" w:eastAsia="Times New Roman" w:hAnsiTheme="majorHAnsi" w:cstheme="majorHAnsi"/>
                <w:b/>
                <w:sz w:val="16"/>
                <w:szCs w:val="16"/>
                <w:lang w:val="ro-MD"/>
              </w:rPr>
              <w:t>07</w:t>
            </w:r>
            <w:r w:rsidR="00856489" w:rsidRPr="009772A3">
              <w:rPr>
                <w:rFonts w:asciiTheme="majorHAnsi" w:eastAsia="Times New Roman" w:hAnsiTheme="majorHAnsi" w:cstheme="majorHAnsi"/>
                <w:b/>
                <w:sz w:val="16"/>
                <w:szCs w:val="16"/>
                <w:lang w:val="ro-MD"/>
              </w:rPr>
              <w:t>.</w:t>
            </w:r>
            <w:r w:rsidRPr="009772A3">
              <w:rPr>
                <w:rFonts w:asciiTheme="majorHAnsi" w:eastAsia="Times New Roman" w:hAnsiTheme="majorHAnsi" w:cstheme="majorHAnsi"/>
                <w:b/>
                <w:sz w:val="16"/>
                <w:szCs w:val="16"/>
                <w:lang w:val="ro-MD"/>
              </w:rPr>
              <w:t>1999</w:t>
            </w:r>
          </w:p>
        </w:tc>
        <w:tc>
          <w:tcPr>
            <w:tcW w:w="1717" w:type="dxa"/>
            <w:gridSpan w:val="2"/>
            <w:vAlign w:val="center"/>
          </w:tcPr>
          <w:p w14:paraId="7E40CBEE" w14:textId="2CCBB255" w:rsidR="006A6187" w:rsidRPr="009772A3" w:rsidRDefault="006A6187" w:rsidP="00856489">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 xml:space="preserve">La </w:t>
            </w:r>
            <w:r w:rsidR="00856489" w:rsidRPr="009772A3">
              <w:rPr>
                <w:rFonts w:asciiTheme="majorHAnsi" w:eastAsia="Times New Roman" w:hAnsiTheme="majorHAnsi" w:cstheme="majorHAnsi"/>
                <w:b/>
                <w:sz w:val="16"/>
                <w:szCs w:val="16"/>
                <w:lang w:val="ro-MD"/>
              </w:rPr>
              <w:t xml:space="preserve">situația din </w:t>
            </w:r>
            <w:r w:rsidRPr="009772A3">
              <w:rPr>
                <w:rFonts w:asciiTheme="majorHAnsi" w:eastAsia="Times New Roman" w:hAnsiTheme="majorHAnsi" w:cstheme="majorHAnsi"/>
                <w:b/>
                <w:sz w:val="16"/>
                <w:szCs w:val="16"/>
                <w:lang w:val="ro-MD"/>
              </w:rPr>
              <w:t>31</w:t>
            </w:r>
            <w:r w:rsidR="00856489" w:rsidRPr="009772A3">
              <w:rPr>
                <w:rFonts w:asciiTheme="majorHAnsi" w:eastAsia="Times New Roman" w:hAnsiTheme="majorHAnsi" w:cstheme="majorHAnsi"/>
                <w:b/>
                <w:sz w:val="16"/>
                <w:szCs w:val="16"/>
                <w:lang w:val="ro-MD"/>
              </w:rPr>
              <w:t>.</w:t>
            </w:r>
            <w:r w:rsidRPr="009772A3">
              <w:rPr>
                <w:rFonts w:asciiTheme="majorHAnsi" w:eastAsia="Times New Roman" w:hAnsiTheme="majorHAnsi" w:cstheme="majorHAnsi"/>
                <w:b/>
                <w:sz w:val="16"/>
                <w:szCs w:val="16"/>
                <w:lang w:val="ro-MD"/>
              </w:rPr>
              <w:t>12</w:t>
            </w:r>
            <w:r w:rsidR="00856489" w:rsidRPr="009772A3">
              <w:rPr>
                <w:rFonts w:asciiTheme="majorHAnsi" w:eastAsia="Times New Roman" w:hAnsiTheme="majorHAnsi" w:cstheme="majorHAnsi"/>
                <w:b/>
                <w:sz w:val="16"/>
                <w:szCs w:val="16"/>
                <w:lang w:val="ro-MD"/>
              </w:rPr>
              <w:t>.</w:t>
            </w:r>
            <w:r w:rsidRPr="009772A3">
              <w:rPr>
                <w:rFonts w:asciiTheme="majorHAnsi" w:eastAsia="Times New Roman" w:hAnsiTheme="majorHAnsi" w:cstheme="majorHAnsi"/>
                <w:b/>
                <w:sz w:val="16"/>
                <w:szCs w:val="16"/>
                <w:lang w:val="ro-MD"/>
              </w:rPr>
              <w:t>2021</w:t>
            </w:r>
          </w:p>
        </w:tc>
      </w:tr>
      <w:tr w:rsidR="006A6187" w:rsidRPr="009772A3" w14:paraId="33D9A580" w14:textId="77777777" w:rsidTr="00CF3AD4">
        <w:tc>
          <w:tcPr>
            <w:tcW w:w="1696" w:type="dxa"/>
          </w:tcPr>
          <w:p w14:paraId="22F93779"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Denumirea gazoductului magistral</w:t>
            </w:r>
          </w:p>
        </w:tc>
        <w:tc>
          <w:tcPr>
            <w:tcW w:w="851" w:type="dxa"/>
          </w:tcPr>
          <w:p w14:paraId="4DD1DA3F"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Abrevierea</w:t>
            </w:r>
          </w:p>
        </w:tc>
        <w:tc>
          <w:tcPr>
            <w:tcW w:w="850" w:type="dxa"/>
          </w:tcPr>
          <w:p w14:paraId="06AE930F" w14:textId="1D85399A" w:rsidR="006A6187" w:rsidRPr="009772A3" w:rsidRDefault="006A6187" w:rsidP="00856489">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 xml:space="preserve">Lungimea </w:t>
            </w:r>
            <w:r w:rsidR="00856489" w:rsidRPr="009772A3">
              <w:rPr>
                <w:rFonts w:asciiTheme="majorHAnsi" w:eastAsia="Times New Roman" w:hAnsiTheme="majorHAnsi" w:cstheme="majorHAnsi"/>
                <w:b/>
                <w:sz w:val="16"/>
                <w:szCs w:val="16"/>
                <w:lang w:val="ro-MD"/>
              </w:rPr>
              <w:t>t</w:t>
            </w:r>
            <w:r w:rsidRPr="009772A3">
              <w:rPr>
                <w:rFonts w:asciiTheme="majorHAnsi" w:eastAsia="Times New Roman" w:hAnsiTheme="majorHAnsi" w:cstheme="majorHAnsi"/>
                <w:b/>
                <w:sz w:val="16"/>
                <w:szCs w:val="16"/>
                <w:lang w:val="ro-MD"/>
              </w:rPr>
              <w:t>otală</w:t>
            </w:r>
          </w:p>
        </w:tc>
        <w:tc>
          <w:tcPr>
            <w:tcW w:w="725" w:type="dxa"/>
          </w:tcPr>
          <w:p w14:paraId="75A71054"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Moldova</w:t>
            </w:r>
          </w:p>
          <w:p w14:paraId="252A57BC"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transgaz</w:t>
            </w:r>
          </w:p>
        </w:tc>
        <w:tc>
          <w:tcPr>
            <w:tcW w:w="709" w:type="dxa"/>
          </w:tcPr>
          <w:p w14:paraId="64748C74"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Tiraspol</w:t>
            </w:r>
          </w:p>
          <w:p w14:paraId="663D3114"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transgaz</w:t>
            </w:r>
          </w:p>
        </w:tc>
        <w:tc>
          <w:tcPr>
            <w:tcW w:w="1118" w:type="dxa"/>
            <w:vMerge/>
          </w:tcPr>
          <w:p w14:paraId="7DC32715" w14:textId="248CF0E4" w:rsidR="006A6187" w:rsidRPr="009772A3" w:rsidRDefault="006A6187" w:rsidP="006A6187">
            <w:pPr>
              <w:ind w:left="-118"/>
              <w:jc w:val="center"/>
              <w:rPr>
                <w:rFonts w:asciiTheme="majorHAnsi" w:eastAsia="Times New Roman" w:hAnsiTheme="majorHAnsi" w:cstheme="majorHAnsi"/>
                <w:b/>
                <w:sz w:val="16"/>
                <w:szCs w:val="16"/>
                <w:lang w:val="ro-MD"/>
              </w:rPr>
            </w:pPr>
          </w:p>
        </w:tc>
        <w:tc>
          <w:tcPr>
            <w:tcW w:w="709" w:type="dxa"/>
          </w:tcPr>
          <w:p w14:paraId="5490BE88" w14:textId="66B9B78A"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Moldova</w:t>
            </w:r>
          </w:p>
          <w:p w14:paraId="4FEA4152"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transgaz</w:t>
            </w:r>
          </w:p>
        </w:tc>
        <w:tc>
          <w:tcPr>
            <w:tcW w:w="709" w:type="dxa"/>
          </w:tcPr>
          <w:p w14:paraId="68D8BF6D"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Tiraspol</w:t>
            </w:r>
          </w:p>
          <w:p w14:paraId="5E34B43A"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transgaz</w:t>
            </w:r>
          </w:p>
        </w:tc>
        <w:tc>
          <w:tcPr>
            <w:tcW w:w="850" w:type="dxa"/>
          </w:tcPr>
          <w:p w14:paraId="26F30A09"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Moldova</w:t>
            </w:r>
          </w:p>
          <w:p w14:paraId="54D4C380"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transgaz</w:t>
            </w:r>
          </w:p>
        </w:tc>
        <w:tc>
          <w:tcPr>
            <w:tcW w:w="867" w:type="dxa"/>
          </w:tcPr>
          <w:p w14:paraId="015CE33D"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Tiraspol</w:t>
            </w:r>
          </w:p>
          <w:p w14:paraId="6386578D" w14:textId="77777777" w:rsidR="006A6187" w:rsidRPr="009772A3" w:rsidRDefault="006A6187" w:rsidP="006A6187">
            <w:pPr>
              <w:ind w:left="-118"/>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transgaz</w:t>
            </w:r>
          </w:p>
        </w:tc>
      </w:tr>
      <w:tr w:rsidR="006A6187" w:rsidRPr="009772A3" w14:paraId="69CAD4F5" w14:textId="77777777" w:rsidTr="00CF3AD4">
        <w:tc>
          <w:tcPr>
            <w:tcW w:w="1696" w:type="dxa"/>
          </w:tcPr>
          <w:p w14:paraId="3FAEE64F" w14:textId="1AFF90CE" w:rsidR="006A6187" w:rsidRPr="009772A3" w:rsidRDefault="006A6187" w:rsidP="004B74C3">
            <w:pPr>
              <w:ind w:left="-118"/>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Ananiev-Tiraspol-I</w:t>
            </w:r>
            <w:r w:rsidR="004B74C3" w:rsidRPr="009772A3">
              <w:rPr>
                <w:rFonts w:asciiTheme="majorHAnsi" w:eastAsia="Times New Roman" w:hAnsiTheme="majorHAnsi" w:cstheme="majorHAnsi"/>
                <w:sz w:val="16"/>
                <w:szCs w:val="16"/>
                <w:lang w:val="ro-MD"/>
              </w:rPr>
              <w:t>s</w:t>
            </w:r>
            <w:r w:rsidRPr="009772A3">
              <w:rPr>
                <w:rFonts w:asciiTheme="majorHAnsi" w:eastAsia="Times New Roman" w:hAnsiTheme="majorHAnsi" w:cstheme="majorHAnsi"/>
                <w:sz w:val="16"/>
                <w:szCs w:val="16"/>
                <w:lang w:val="ro-MD"/>
              </w:rPr>
              <w:t>mail</w:t>
            </w:r>
          </w:p>
        </w:tc>
        <w:tc>
          <w:tcPr>
            <w:tcW w:w="851" w:type="dxa"/>
          </w:tcPr>
          <w:p w14:paraId="33C63121" w14:textId="77777777" w:rsidR="006A6187" w:rsidRPr="009772A3" w:rsidRDefault="006A6187" w:rsidP="006A6187">
            <w:pPr>
              <w:ind w:left="-118"/>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ATI</w:t>
            </w:r>
          </w:p>
        </w:tc>
        <w:tc>
          <w:tcPr>
            <w:tcW w:w="850" w:type="dxa"/>
          </w:tcPr>
          <w:p w14:paraId="55577CF4"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92,10</w:t>
            </w:r>
          </w:p>
        </w:tc>
        <w:tc>
          <w:tcPr>
            <w:tcW w:w="725" w:type="dxa"/>
          </w:tcPr>
          <w:p w14:paraId="6F4A2FFF"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49,6</w:t>
            </w:r>
          </w:p>
        </w:tc>
        <w:tc>
          <w:tcPr>
            <w:tcW w:w="709" w:type="dxa"/>
          </w:tcPr>
          <w:p w14:paraId="0C204C51"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42,50</w:t>
            </w:r>
          </w:p>
        </w:tc>
        <w:tc>
          <w:tcPr>
            <w:tcW w:w="1118" w:type="dxa"/>
          </w:tcPr>
          <w:p w14:paraId="427E16AD" w14:textId="485D17C8"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42,1</w:t>
            </w:r>
          </w:p>
        </w:tc>
        <w:tc>
          <w:tcPr>
            <w:tcW w:w="709" w:type="dxa"/>
          </w:tcPr>
          <w:p w14:paraId="4E1C6A82" w14:textId="42BF5DCB"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62,910</w:t>
            </w:r>
          </w:p>
        </w:tc>
        <w:tc>
          <w:tcPr>
            <w:tcW w:w="709" w:type="dxa"/>
          </w:tcPr>
          <w:p w14:paraId="332EE813"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29,190</w:t>
            </w:r>
          </w:p>
        </w:tc>
        <w:tc>
          <w:tcPr>
            <w:tcW w:w="850" w:type="dxa"/>
          </w:tcPr>
          <w:p w14:paraId="2989FB7E"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61,71</w:t>
            </w:r>
          </w:p>
        </w:tc>
        <w:tc>
          <w:tcPr>
            <w:tcW w:w="867" w:type="dxa"/>
          </w:tcPr>
          <w:p w14:paraId="2D81DB67"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30,39</w:t>
            </w:r>
          </w:p>
        </w:tc>
      </w:tr>
      <w:tr w:rsidR="006A6187" w:rsidRPr="009772A3" w14:paraId="4C6A4AD2" w14:textId="77777777" w:rsidTr="00CF3AD4">
        <w:trPr>
          <w:trHeight w:val="366"/>
        </w:trPr>
        <w:tc>
          <w:tcPr>
            <w:tcW w:w="1696" w:type="dxa"/>
          </w:tcPr>
          <w:p w14:paraId="2558B357" w14:textId="147840DD" w:rsidR="006A6187" w:rsidRPr="009772A3" w:rsidRDefault="006A6187" w:rsidP="004B74C3">
            <w:pPr>
              <w:ind w:left="-118"/>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Șebelin</w:t>
            </w:r>
            <w:r w:rsidR="004B74C3" w:rsidRPr="009772A3">
              <w:rPr>
                <w:rFonts w:asciiTheme="majorHAnsi" w:eastAsia="Times New Roman" w:hAnsiTheme="majorHAnsi" w:cstheme="majorHAnsi"/>
                <w:sz w:val="16"/>
                <w:szCs w:val="16"/>
                <w:lang w:val="ro-MD"/>
              </w:rPr>
              <w:t>k</w:t>
            </w:r>
            <w:r w:rsidRPr="009772A3">
              <w:rPr>
                <w:rFonts w:asciiTheme="majorHAnsi" w:eastAsia="Times New Roman" w:hAnsiTheme="majorHAnsi" w:cstheme="majorHAnsi"/>
                <w:sz w:val="16"/>
                <w:szCs w:val="16"/>
                <w:lang w:val="ro-MD"/>
              </w:rPr>
              <w:t>a-Doneț</w:t>
            </w:r>
            <w:r w:rsidR="004B74C3" w:rsidRPr="009772A3">
              <w:rPr>
                <w:rFonts w:asciiTheme="majorHAnsi" w:eastAsia="Times New Roman" w:hAnsiTheme="majorHAnsi" w:cstheme="majorHAnsi"/>
                <w:sz w:val="16"/>
                <w:szCs w:val="16"/>
                <w:lang w:val="ro-MD"/>
              </w:rPr>
              <w:t>k</w:t>
            </w:r>
            <w:r w:rsidRPr="009772A3">
              <w:rPr>
                <w:rFonts w:asciiTheme="majorHAnsi" w:eastAsia="Times New Roman" w:hAnsiTheme="majorHAnsi" w:cstheme="majorHAnsi"/>
                <w:sz w:val="16"/>
                <w:szCs w:val="16"/>
                <w:lang w:val="ro-MD"/>
              </w:rPr>
              <w:t>-Krivoi Rog-I</w:t>
            </w:r>
            <w:r w:rsidR="004B74C3" w:rsidRPr="009772A3">
              <w:rPr>
                <w:rFonts w:asciiTheme="majorHAnsi" w:eastAsia="Times New Roman" w:hAnsiTheme="majorHAnsi" w:cstheme="majorHAnsi"/>
                <w:sz w:val="16"/>
                <w:szCs w:val="16"/>
                <w:lang w:val="ro-MD"/>
              </w:rPr>
              <w:t>s</w:t>
            </w:r>
            <w:r w:rsidRPr="009772A3">
              <w:rPr>
                <w:rFonts w:asciiTheme="majorHAnsi" w:eastAsia="Times New Roman" w:hAnsiTheme="majorHAnsi" w:cstheme="majorHAnsi"/>
                <w:sz w:val="16"/>
                <w:szCs w:val="16"/>
                <w:lang w:val="ro-MD"/>
              </w:rPr>
              <w:t>mail</w:t>
            </w:r>
          </w:p>
        </w:tc>
        <w:tc>
          <w:tcPr>
            <w:tcW w:w="851" w:type="dxa"/>
          </w:tcPr>
          <w:p w14:paraId="56E4DF81" w14:textId="77777777" w:rsidR="006A6187" w:rsidRPr="009772A3" w:rsidRDefault="006A6187" w:rsidP="006A6187">
            <w:pPr>
              <w:ind w:left="-118"/>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ȘDKRI</w:t>
            </w:r>
          </w:p>
        </w:tc>
        <w:tc>
          <w:tcPr>
            <w:tcW w:w="850" w:type="dxa"/>
          </w:tcPr>
          <w:p w14:paraId="255F3BF8"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124,58</w:t>
            </w:r>
          </w:p>
        </w:tc>
        <w:tc>
          <w:tcPr>
            <w:tcW w:w="725" w:type="dxa"/>
          </w:tcPr>
          <w:p w14:paraId="123F223A"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46,5</w:t>
            </w:r>
          </w:p>
        </w:tc>
        <w:tc>
          <w:tcPr>
            <w:tcW w:w="709" w:type="dxa"/>
          </w:tcPr>
          <w:p w14:paraId="1B10BFE6"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78,35</w:t>
            </w:r>
          </w:p>
        </w:tc>
        <w:tc>
          <w:tcPr>
            <w:tcW w:w="1118" w:type="dxa"/>
          </w:tcPr>
          <w:p w14:paraId="71316AD6" w14:textId="366621CF"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41,6</w:t>
            </w:r>
          </w:p>
        </w:tc>
        <w:tc>
          <w:tcPr>
            <w:tcW w:w="709" w:type="dxa"/>
          </w:tcPr>
          <w:p w14:paraId="6C9E9033" w14:textId="7A38D432"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91,817</w:t>
            </w:r>
          </w:p>
        </w:tc>
        <w:tc>
          <w:tcPr>
            <w:tcW w:w="709" w:type="dxa"/>
          </w:tcPr>
          <w:p w14:paraId="1A0EF6D5"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32,763</w:t>
            </w:r>
          </w:p>
        </w:tc>
        <w:tc>
          <w:tcPr>
            <w:tcW w:w="850" w:type="dxa"/>
          </w:tcPr>
          <w:p w14:paraId="4B1FF80F"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93,20</w:t>
            </w:r>
          </w:p>
        </w:tc>
        <w:tc>
          <w:tcPr>
            <w:tcW w:w="867" w:type="dxa"/>
          </w:tcPr>
          <w:p w14:paraId="247C3782"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31,38</w:t>
            </w:r>
          </w:p>
        </w:tc>
      </w:tr>
      <w:tr w:rsidR="006A6187" w:rsidRPr="009772A3" w14:paraId="763ECAC0" w14:textId="77777777" w:rsidTr="00CF3AD4">
        <w:tc>
          <w:tcPr>
            <w:tcW w:w="1696" w:type="dxa"/>
          </w:tcPr>
          <w:p w14:paraId="24C536E7" w14:textId="645D2B3C" w:rsidR="006A6187" w:rsidRPr="009772A3" w:rsidRDefault="006A6187" w:rsidP="004B74C3">
            <w:pPr>
              <w:ind w:left="-118"/>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Razdelinaia-I</w:t>
            </w:r>
            <w:r w:rsidR="004B74C3" w:rsidRPr="009772A3">
              <w:rPr>
                <w:rFonts w:asciiTheme="majorHAnsi" w:eastAsia="Times New Roman" w:hAnsiTheme="majorHAnsi" w:cstheme="majorHAnsi"/>
                <w:sz w:val="16"/>
                <w:szCs w:val="16"/>
                <w:lang w:val="ro-MD"/>
              </w:rPr>
              <w:t>s</w:t>
            </w:r>
            <w:r w:rsidRPr="009772A3">
              <w:rPr>
                <w:rFonts w:asciiTheme="majorHAnsi" w:eastAsia="Times New Roman" w:hAnsiTheme="majorHAnsi" w:cstheme="majorHAnsi"/>
                <w:sz w:val="16"/>
                <w:szCs w:val="16"/>
                <w:lang w:val="ro-MD"/>
              </w:rPr>
              <w:t>mail</w:t>
            </w:r>
          </w:p>
        </w:tc>
        <w:tc>
          <w:tcPr>
            <w:tcW w:w="851" w:type="dxa"/>
          </w:tcPr>
          <w:p w14:paraId="3CD802E0" w14:textId="77777777" w:rsidR="006A6187" w:rsidRPr="009772A3" w:rsidRDefault="006A6187" w:rsidP="006A6187">
            <w:pPr>
              <w:ind w:left="-118"/>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RI</w:t>
            </w:r>
          </w:p>
        </w:tc>
        <w:tc>
          <w:tcPr>
            <w:tcW w:w="850" w:type="dxa"/>
          </w:tcPr>
          <w:p w14:paraId="45F325BD"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126,46</w:t>
            </w:r>
          </w:p>
        </w:tc>
        <w:tc>
          <w:tcPr>
            <w:tcW w:w="725" w:type="dxa"/>
          </w:tcPr>
          <w:p w14:paraId="1F2C454B"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709" w:type="dxa"/>
          </w:tcPr>
          <w:p w14:paraId="006B1F19"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1118" w:type="dxa"/>
          </w:tcPr>
          <w:p w14:paraId="1ABA4CF5" w14:textId="072BC6FD"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42,9</w:t>
            </w:r>
          </w:p>
        </w:tc>
        <w:tc>
          <w:tcPr>
            <w:tcW w:w="709" w:type="dxa"/>
          </w:tcPr>
          <w:p w14:paraId="2894B52F" w14:textId="0FDC8A82"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92,240</w:t>
            </w:r>
          </w:p>
        </w:tc>
        <w:tc>
          <w:tcPr>
            <w:tcW w:w="709" w:type="dxa"/>
          </w:tcPr>
          <w:p w14:paraId="6BF7A144"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34,220</w:t>
            </w:r>
          </w:p>
        </w:tc>
        <w:tc>
          <w:tcPr>
            <w:tcW w:w="850" w:type="dxa"/>
          </w:tcPr>
          <w:p w14:paraId="15F2A734"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92,24</w:t>
            </w:r>
          </w:p>
        </w:tc>
        <w:tc>
          <w:tcPr>
            <w:tcW w:w="867" w:type="dxa"/>
          </w:tcPr>
          <w:p w14:paraId="19052A91"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34,22</w:t>
            </w:r>
          </w:p>
        </w:tc>
      </w:tr>
      <w:tr w:rsidR="006A6187" w:rsidRPr="009772A3" w14:paraId="42D50E18" w14:textId="77777777" w:rsidTr="00CF3AD4">
        <w:tc>
          <w:tcPr>
            <w:tcW w:w="1696" w:type="dxa"/>
          </w:tcPr>
          <w:p w14:paraId="61F50BED" w14:textId="77777777" w:rsidR="006A6187" w:rsidRPr="009772A3" w:rsidRDefault="006A6187" w:rsidP="006A6187">
            <w:pPr>
              <w:ind w:left="-118"/>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Ananiev-Cernăuți-Bogorocianî</w:t>
            </w:r>
          </w:p>
        </w:tc>
        <w:tc>
          <w:tcPr>
            <w:tcW w:w="851" w:type="dxa"/>
          </w:tcPr>
          <w:p w14:paraId="10D77DC2" w14:textId="77777777" w:rsidR="006A6187" w:rsidRPr="009772A3" w:rsidRDefault="006A6187" w:rsidP="006A6187">
            <w:pPr>
              <w:ind w:left="-118"/>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ACB</w:t>
            </w:r>
          </w:p>
        </w:tc>
        <w:tc>
          <w:tcPr>
            <w:tcW w:w="850" w:type="dxa"/>
          </w:tcPr>
          <w:p w14:paraId="36003C37"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199,80</w:t>
            </w:r>
          </w:p>
        </w:tc>
        <w:tc>
          <w:tcPr>
            <w:tcW w:w="725" w:type="dxa"/>
          </w:tcPr>
          <w:p w14:paraId="695EC519"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184,8</w:t>
            </w:r>
          </w:p>
        </w:tc>
        <w:tc>
          <w:tcPr>
            <w:tcW w:w="709" w:type="dxa"/>
          </w:tcPr>
          <w:p w14:paraId="73BC3A41"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1118" w:type="dxa"/>
          </w:tcPr>
          <w:p w14:paraId="103E1FAC"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709" w:type="dxa"/>
          </w:tcPr>
          <w:p w14:paraId="1713B837" w14:textId="7827218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184,800</w:t>
            </w:r>
          </w:p>
        </w:tc>
        <w:tc>
          <w:tcPr>
            <w:tcW w:w="709" w:type="dxa"/>
          </w:tcPr>
          <w:p w14:paraId="6A8EDF55"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15,000</w:t>
            </w:r>
          </w:p>
        </w:tc>
        <w:tc>
          <w:tcPr>
            <w:tcW w:w="850" w:type="dxa"/>
          </w:tcPr>
          <w:p w14:paraId="061AB96B"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184,80</w:t>
            </w:r>
          </w:p>
        </w:tc>
        <w:tc>
          <w:tcPr>
            <w:tcW w:w="867" w:type="dxa"/>
          </w:tcPr>
          <w:p w14:paraId="4A47E2CF"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15,00</w:t>
            </w:r>
          </w:p>
        </w:tc>
      </w:tr>
      <w:tr w:rsidR="006A6187" w:rsidRPr="009772A3" w14:paraId="490FF8EA" w14:textId="77777777" w:rsidTr="00CF3AD4">
        <w:tc>
          <w:tcPr>
            <w:tcW w:w="1696" w:type="dxa"/>
          </w:tcPr>
          <w:p w14:paraId="028A81F8" w14:textId="77777777" w:rsidR="006A6187" w:rsidRPr="009772A3" w:rsidRDefault="006A6187" w:rsidP="006A6187">
            <w:pPr>
              <w:ind w:left="-118"/>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Total</w:t>
            </w:r>
          </w:p>
        </w:tc>
        <w:tc>
          <w:tcPr>
            <w:tcW w:w="851" w:type="dxa"/>
          </w:tcPr>
          <w:p w14:paraId="16A8B301" w14:textId="77777777" w:rsidR="006A6187" w:rsidRPr="009772A3" w:rsidRDefault="006A6187" w:rsidP="006A6187">
            <w:pPr>
              <w:ind w:left="-118"/>
              <w:jc w:val="both"/>
              <w:rPr>
                <w:rFonts w:asciiTheme="majorHAnsi" w:eastAsia="Times New Roman" w:hAnsiTheme="majorHAnsi" w:cstheme="majorHAnsi"/>
                <w:sz w:val="16"/>
                <w:szCs w:val="16"/>
                <w:lang w:val="ro-MD"/>
              </w:rPr>
            </w:pPr>
          </w:p>
        </w:tc>
        <w:tc>
          <w:tcPr>
            <w:tcW w:w="850" w:type="dxa"/>
          </w:tcPr>
          <w:p w14:paraId="60E7F1C6" w14:textId="77777777"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542,94</w:t>
            </w:r>
          </w:p>
        </w:tc>
        <w:tc>
          <w:tcPr>
            <w:tcW w:w="725" w:type="dxa"/>
          </w:tcPr>
          <w:p w14:paraId="6DE7C444"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709" w:type="dxa"/>
          </w:tcPr>
          <w:p w14:paraId="6F61620E"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1118" w:type="dxa"/>
          </w:tcPr>
          <w:p w14:paraId="6E016D12" w14:textId="357D81A5" w:rsidR="006A6187" w:rsidRPr="009772A3" w:rsidRDefault="006A6187" w:rsidP="006A6187">
            <w:pPr>
              <w:ind w:left="-118"/>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126,6</w:t>
            </w:r>
          </w:p>
        </w:tc>
        <w:tc>
          <w:tcPr>
            <w:tcW w:w="709" w:type="dxa"/>
          </w:tcPr>
          <w:p w14:paraId="05FBAEF2" w14:textId="3A51C50E" w:rsidR="006A6187" w:rsidRPr="009772A3" w:rsidRDefault="006A6187" w:rsidP="006A6187">
            <w:pPr>
              <w:ind w:left="-118"/>
              <w:jc w:val="right"/>
              <w:rPr>
                <w:rFonts w:asciiTheme="majorHAnsi" w:eastAsia="Times New Roman" w:hAnsiTheme="majorHAnsi" w:cstheme="majorHAnsi"/>
                <w:sz w:val="16"/>
                <w:szCs w:val="16"/>
                <w:lang w:val="ro-MD"/>
              </w:rPr>
            </w:pPr>
          </w:p>
        </w:tc>
        <w:tc>
          <w:tcPr>
            <w:tcW w:w="709" w:type="dxa"/>
          </w:tcPr>
          <w:p w14:paraId="23733722"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850" w:type="dxa"/>
          </w:tcPr>
          <w:p w14:paraId="1616D631"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c>
          <w:tcPr>
            <w:tcW w:w="867" w:type="dxa"/>
          </w:tcPr>
          <w:p w14:paraId="0523CA2E" w14:textId="77777777" w:rsidR="006A6187" w:rsidRPr="009772A3" w:rsidRDefault="006A6187" w:rsidP="006A6187">
            <w:pPr>
              <w:ind w:left="-118"/>
              <w:jc w:val="right"/>
              <w:rPr>
                <w:rFonts w:asciiTheme="majorHAnsi" w:eastAsia="Times New Roman" w:hAnsiTheme="majorHAnsi" w:cstheme="majorHAnsi"/>
                <w:sz w:val="16"/>
                <w:szCs w:val="16"/>
                <w:lang w:val="ro-MD"/>
              </w:rPr>
            </w:pPr>
          </w:p>
        </w:tc>
      </w:tr>
    </w:tbl>
    <w:p w14:paraId="4638646C" w14:textId="753B0A49" w:rsidR="00B84F30" w:rsidRPr="009772A3" w:rsidRDefault="00B84F30" w:rsidP="00A06C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Astfel, doar o parte din patrimoniul gestionat de </w:t>
      </w:r>
      <w:r w:rsidR="008564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8564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w:t>
      </w:r>
      <w:r w:rsidR="008564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8564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depus</w:t>
      </w:r>
      <w:r w:rsidR="00856489"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la fondarea SA </w:t>
      </w:r>
      <w:r w:rsidR="008564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8564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Totodată, conform pct. 2</w:t>
      </w:r>
      <w:r w:rsidR="00EC0ED8" w:rsidRPr="009772A3">
        <w:rPr>
          <w:rFonts w:asciiTheme="majorHAnsi" w:hAnsiTheme="majorHAnsi" w:cstheme="majorHAnsi"/>
          <w:sz w:val="24"/>
          <w:szCs w:val="24"/>
          <w:lang w:val="ro-MD"/>
        </w:rPr>
        <w:t xml:space="preserve"> lit.</w:t>
      </w:r>
      <w:r w:rsidRPr="009772A3">
        <w:rPr>
          <w:rFonts w:asciiTheme="majorHAnsi" w:hAnsiTheme="majorHAnsi" w:cstheme="majorHAnsi"/>
          <w:sz w:val="24"/>
          <w:szCs w:val="24"/>
          <w:lang w:val="ro-MD"/>
        </w:rPr>
        <w:t>e</w:t>
      </w:r>
      <w:r w:rsidR="00EC0E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din HG nr.302 din 12.05.1995</w:t>
      </w:r>
      <w:r w:rsidR="008564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prevăzut că în cadrul societății create funcționează (în conformitate cu regulamentele aprobate de societatea menționată) întreprinderea republicană a gazoductelor magistrale </w:t>
      </w:r>
      <w:r w:rsidR="00EC0E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 şi DRGM „Tiraspoltransgaz”</w:t>
      </w:r>
      <w:r w:rsidR="00EC0E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patrimoniului ce l-au avut în posesie p</w:t>
      </w:r>
      <w:r w:rsidR="00EC0ED8"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nă la intrarea în societatea pe acţiuni </w:t>
      </w:r>
      <w:r w:rsidR="00EC0E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Gazsnabtranzit”. Conform pct.8.20 din statutul SA </w:t>
      </w:r>
      <w:r w:rsidR="00EC0E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EC0E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aceasta exercita faţă de „Moldovatransgaz” şi „Tiraspoltransgaz” drepturile de proprietar. Deci</w:t>
      </w:r>
      <w:r w:rsidR="00EC0E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E33C38" w:rsidRPr="009772A3">
        <w:rPr>
          <w:rFonts w:asciiTheme="majorHAnsi" w:hAnsiTheme="majorHAnsi" w:cstheme="majorHAnsi"/>
          <w:sz w:val="24"/>
          <w:szCs w:val="24"/>
          <w:lang w:val="ro-MD"/>
        </w:rPr>
        <w:t>SA „Gazsnabtranzit”</w:t>
      </w:r>
      <w:r w:rsidRPr="009772A3">
        <w:rPr>
          <w:rFonts w:asciiTheme="majorHAnsi" w:hAnsiTheme="majorHAnsi" w:cstheme="majorHAnsi"/>
          <w:sz w:val="24"/>
          <w:szCs w:val="24"/>
          <w:lang w:val="ro-MD"/>
        </w:rPr>
        <w:t xml:space="preserve"> gestiona un patrimoniu care nu a fost depus în capitalul statutar al acesteia.</w:t>
      </w:r>
    </w:p>
    <w:p w14:paraId="215A929D" w14:textId="17E96011" w:rsidR="00B84F30" w:rsidRPr="009772A3" w:rsidRDefault="00A06C37" w:rsidP="00A06C37">
      <w:pPr>
        <w:spacing w:after="0" w:line="276" w:lineRule="auto"/>
        <w:ind w:firstLine="709"/>
        <w:jc w:val="both"/>
        <w:rPr>
          <w:rFonts w:asciiTheme="majorHAnsi" w:hAnsiTheme="majorHAnsi" w:cstheme="majorHAnsi"/>
          <w:b/>
          <w:i/>
          <w:sz w:val="24"/>
          <w:szCs w:val="24"/>
          <w:lang w:val="ro-MD"/>
        </w:rPr>
      </w:pPr>
      <w:r w:rsidRPr="009772A3">
        <w:rPr>
          <w:rFonts w:asciiTheme="majorHAnsi" w:hAnsiTheme="majorHAnsi" w:cstheme="majorHAnsi"/>
          <w:b/>
          <w:i/>
          <w:sz w:val="24"/>
          <w:szCs w:val="24"/>
          <w:lang w:val="ro-MD"/>
        </w:rPr>
        <w:t>Referitor la f</w:t>
      </w:r>
      <w:r w:rsidR="00B84F30" w:rsidRPr="009772A3">
        <w:rPr>
          <w:rFonts w:asciiTheme="majorHAnsi" w:hAnsiTheme="majorHAnsi" w:cstheme="majorHAnsi"/>
          <w:b/>
          <w:i/>
          <w:sz w:val="24"/>
          <w:szCs w:val="24"/>
          <w:lang w:val="ro-MD"/>
        </w:rPr>
        <w:t xml:space="preserve">ormarea SA </w:t>
      </w:r>
      <w:r w:rsidR="00E33C38" w:rsidRPr="009772A3">
        <w:rPr>
          <w:rFonts w:asciiTheme="majorHAnsi" w:hAnsiTheme="majorHAnsi" w:cstheme="majorHAnsi"/>
          <w:b/>
          <w:i/>
          <w:sz w:val="24"/>
          <w:szCs w:val="24"/>
          <w:lang w:val="ro-MD"/>
        </w:rPr>
        <w:t>„</w:t>
      </w:r>
      <w:r w:rsidR="00B84F30" w:rsidRPr="009772A3">
        <w:rPr>
          <w:rFonts w:asciiTheme="majorHAnsi" w:hAnsiTheme="majorHAnsi" w:cstheme="majorHAnsi"/>
          <w:b/>
          <w:i/>
          <w:sz w:val="24"/>
          <w:szCs w:val="24"/>
          <w:lang w:val="ro-MD"/>
        </w:rPr>
        <w:t>Moldovagaz</w:t>
      </w:r>
      <w:r w:rsidR="00E33C38" w:rsidRPr="009772A3">
        <w:rPr>
          <w:rFonts w:asciiTheme="majorHAnsi" w:hAnsiTheme="majorHAnsi" w:cstheme="majorHAnsi"/>
          <w:b/>
          <w:i/>
          <w:sz w:val="24"/>
          <w:szCs w:val="24"/>
          <w:lang w:val="ro-MD"/>
        </w:rPr>
        <w:t>”</w:t>
      </w:r>
    </w:p>
    <w:p w14:paraId="2AB7622F" w14:textId="6BA50A50" w:rsidR="00B84F30" w:rsidRPr="009772A3" w:rsidRDefault="00B84F30" w:rsidP="00A06C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8"/>
          <w:szCs w:val="28"/>
          <w:shd w:val="clear" w:color="auto" w:fill="FFFFFF"/>
          <w:lang w:val="ro-MD"/>
        </w:rPr>
        <w:t> </w:t>
      </w:r>
      <w:r w:rsidRPr="009772A3">
        <w:rPr>
          <w:rFonts w:asciiTheme="majorHAnsi" w:hAnsiTheme="majorHAnsi" w:cstheme="majorHAnsi"/>
          <w:sz w:val="24"/>
          <w:szCs w:val="24"/>
          <w:lang w:val="ro-MD"/>
        </w:rPr>
        <w:t xml:space="preserve">În scopul reducerii datoriilor la gaze față de S.A. </w:t>
      </w:r>
      <w:r w:rsidR="00E33C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Gazprom", potrivit art.l din HP nr.1556 din 26.02.</w:t>
      </w:r>
      <w:r w:rsidR="00E33C38" w:rsidRPr="009772A3">
        <w:rPr>
          <w:rFonts w:asciiTheme="majorHAnsi" w:hAnsiTheme="majorHAnsi" w:cstheme="majorHAnsi"/>
          <w:sz w:val="24"/>
          <w:szCs w:val="24"/>
          <w:lang w:val="ro-MD"/>
        </w:rPr>
        <w:t>19</w:t>
      </w:r>
      <w:r w:rsidRPr="009772A3">
        <w:rPr>
          <w:rFonts w:asciiTheme="majorHAnsi" w:hAnsiTheme="majorHAnsi" w:cstheme="majorHAnsi"/>
          <w:sz w:val="24"/>
          <w:szCs w:val="24"/>
          <w:lang w:val="ro-MD"/>
        </w:rPr>
        <w:t>98</w:t>
      </w:r>
      <w:r w:rsidRPr="009772A3">
        <w:rPr>
          <w:rFonts w:asciiTheme="majorHAnsi" w:hAnsiTheme="majorHAnsi" w:cstheme="majorHAnsi"/>
          <w:sz w:val="24"/>
          <w:szCs w:val="24"/>
          <w:vertAlign w:val="superscript"/>
          <w:lang w:val="ro-MD"/>
        </w:rPr>
        <w:footnoteReference w:id="21"/>
      </w:r>
      <w:r w:rsidRPr="009772A3">
        <w:rPr>
          <w:rFonts w:asciiTheme="majorHAnsi" w:hAnsiTheme="majorHAnsi" w:cstheme="majorHAnsi"/>
          <w:sz w:val="24"/>
          <w:szCs w:val="24"/>
          <w:lang w:val="ro-MD"/>
        </w:rPr>
        <w:t xml:space="preserve">, s-a permis reorganizarea Concernului </w:t>
      </w:r>
      <w:r w:rsidR="00E33C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Moldova-Gaz</w:t>
      </w:r>
      <w:r w:rsidR="00E33C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comasarea acestuia cu S.A. </w:t>
      </w:r>
      <w:r w:rsidR="00E33C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Aprogaztranzit</w:t>
      </w:r>
      <w:r w:rsidR="00E33C38" w:rsidRPr="009772A3">
        <w:rPr>
          <w:rFonts w:asciiTheme="majorHAnsi" w:hAnsiTheme="majorHAnsi" w:cstheme="majorHAnsi"/>
          <w:sz w:val="24"/>
          <w:szCs w:val="24"/>
          <w:lang w:val="ro-MD"/>
        </w:rPr>
        <w:t>”</w:t>
      </w:r>
      <w:r w:rsidR="001B2B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şi crearea unei noi societăți pe acțiuni. Conform art.4 din hotăr</w:t>
      </w:r>
      <w:r w:rsidR="00E33C38"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rea nominalizat</w:t>
      </w:r>
      <w:r w:rsidR="00E33C38"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cota-parte a statului în capitalul social al societății nou</w:t>
      </w:r>
      <w:r w:rsidR="00E33C3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formate urma să constituie nu mai puțin de 35 la sută.</w:t>
      </w:r>
    </w:p>
    <w:p w14:paraId="583E740C" w14:textId="2E576468" w:rsidR="00B84F30" w:rsidRPr="009772A3" w:rsidRDefault="00B84F30" w:rsidP="00A06C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HG nr.1068 din 21.10.1998</w:t>
      </w:r>
      <w:r w:rsidRPr="009772A3">
        <w:rPr>
          <w:rFonts w:asciiTheme="majorHAnsi" w:hAnsiTheme="majorHAnsi" w:cstheme="majorHAnsi"/>
          <w:sz w:val="24"/>
          <w:szCs w:val="24"/>
          <w:vertAlign w:val="superscript"/>
          <w:lang w:val="ro-MD"/>
        </w:rPr>
        <w:footnoteReference w:id="22"/>
      </w:r>
      <w:r w:rsidRPr="009772A3">
        <w:rPr>
          <w:rFonts w:asciiTheme="majorHAnsi" w:hAnsiTheme="majorHAnsi" w:cstheme="majorHAnsi"/>
          <w:sz w:val="24"/>
          <w:szCs w:val="24"/>
          <w:lang w:val="ro-MD"/>
        </w:rPr>
        <w:t xml:space="preserve"> s-a decis reorganizarea Întreprinderii mixte moldo-ruse de tip închis </w:t>
      </w:r>
      <w:r w:rsidR="001B2B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Aprogaztranzit</w:t>
      </w:r>
      <w:r w:rsidR="001B2B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prin comasarea Concernul </w:t>
      </w:r>
      <w:r w:rsidR="001B2B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Moldova-gaz</w:t>
      </w:r>
      <w:r w:rsidR="001B2B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cu aceasta, în societate pe acțiuni moldo-rusă de tip deschis. De asemenea, </w:t>
      </w:r>
      <w:r w:rsidRPr="00CF3AD4">
        <w:rPr>
          <w:rFonts w:asciiTheme="majorHAnsi" w:hAnsiTheme="majorHAnsi" w:cstheme="majorHAnsi"/>
          <w:b/>
          <w:i/>
          <w:sz w:val="24"/>
          <w:szCs w:val="24"/>
          <w:lang w:val="ro-MD"/>
        </w:rPr>
        <w:t>a fost acceptată valoarea preliminară a proprietății complexului de gaze</w:t>
      </w:r>
      <w:r w:rsidRPr="009772A3">
        <w:rPr>
          <w:rFonts w:asciiTheme="majorHAnsi" w:hAnsiTheme="majorHAnsi" w:cstheme="majorHAnsi"/>
          <w:sz w:val="24"/>
          <w:szCs w:val="24"/>
          <w:lang w:val="ro-MD"/>
        </w:rPr>
        <w:t xml:space="preserve"> al RM (conform evaluării patrimoniului existent la situația din 01.07.1997), depusă în capitalul social al societății nou-create, de 1</w:t>
      </w:r>
      <w:r w:rsidR="001B2B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332,9 mii. lei (290,6 mii. dolari SUA), inclusiv proprietatea amplasată pe teritoriul </w:t>
      </w:r>
      <w:r w:rsidR="00AD1A54">
        <w:rPr>
          <w:rFonts w:asciiTheme="majorHAnsi" w:hAnsiTheme="majorHAnsi" w:cstheme="majorHAnsi"/>
          <w:sz w:val="24"/>
          <w:szCs w:val="24"/>
          <w:lang w:val="ro-MD"/>
        </w:rPr>
        <w:t>t</w:t>
      </w:r>
      <w:r w:rsidR="00AD1A54" w:rsidRPr="009772A3">
        <w:rPr>
          <w:rFonts w:asciiTheme="majorHAnsi" w:hAnsiTheme="majorHAnsi" w:cstheme="majorHAnsi"/>
          <w:sz w:val="24"/>
          <w:szCs w:val="24"/>
          <w:lang w:val="ro-MD"/>
        </w:rPr>
        <w:t>ransnistr</w:t>
      </w:r>
      <w:r w:rsidR="00AD1A54">
        <w:rPr>
          <w:rFonts w:asciiTheme="majorHAnsi" w:hAnsiTheme="majorHAnsi" w:cstheme="majorHAnsi"/>
          <w:sz w:val="24"/>
          <w:szCs w:val="24"/>
          <w:lang w:val="ro-MD"/>
        </w:rPr>
        <w:t>ean</w:t>
      </w:r>
      <w:r w:rsidR="00AD1A54" w:rsidRPr="009772A3">
        <w:rPr>
          <w:rFonts w:asciiTheme="majorHAnsi" w:hAnsiTheme="majorHAnsi" w:cstheme="majorHAnsi"/>
          <w:sz w:val="24"/>
          <w:szCs w:val="24"/>
          <w:lang w:val="ro-MD"/>
        </w:rPr>
        <w:t xml:space="preserve"> </w:t>
      </w:r>
      <w:r w:rsidR="001B2BE4" w:rsidRPr="009772A3">
        <w:rPr>
          <w:rFonts w:asciiTheme="majorHAnsi" w:hAnsiTheme="majorHAnsi" w:cstheme="majorHAnsi"/>
          <w:sz w:val="24"/>
          <w:szCs w:val="24"/>
          <w:lang w:val="ro-MD"/>
        </w:rPr>
        <w:t>în sumă</w:t>
      </w:r>
      <w:r w:rsidRPr="009772A3">
        <w:rPr>
          <w:rFonts w:asciiTheme="majorHAnsi" w:hAnsiTheme="majorHAnsi" w:cstheme="majorHAnsi"/>
          <w:sz w:val="24"/>
          <w:szCs w:val="24"/>
          <w:lang w:val="ro-MD"/>
        </w:rPr>
        <w:t xml:space="preserve"> de 358,3 mii lei (78,1 mii dolari SUA), urm</w:t>
      </w:r>
      <w:r w:rsidR="001B2BE4"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nd ca Departamentul Privatizării şi Administrării Proprietății de Stat să efectueze în anul 1999 reevaluarea bunurilor complexului de aprovizionare cu gaze al Republicii Moldova prin intermediul unei organizații internaționale de audit, conform unei metodici reciproc acceptate în eventualitatea rectificării ulterioare a capitalului social, a cotelor-părți şi a datoriilor la plata consumului de gaze naturale, pct. 3 alin.</w:t>
      </w:r>
      <w:r w:rsidR="006157F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w:t>
      </w:r>
      <w:r w:rsidR="006157F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al hotăr</w:t>
      </w:r>
      <w:r w:rsidR="006157F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rii răm</w:t>
      </w:r>
      <w:r w:rsidR="006157F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w:t>
      </w:r>
      <w:r w:rsidR="006157F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nd p</w:t>
      </w:r>
      <w:r w:rsidR="006157F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nă în prezent neexecutat. Ulterior</w:t>
      </w:r>
      <w:r w:rsidR="006157F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prin HG nr.226 din 01.03.2003 s-a planificat efectuarea reevaluării cotelor</w:t>
      </w:r>
      <w:r w:rsidR="006157F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părți depuse în capitalul social al SA Moldovagaz.</w:t>
      </w:r>
    </w:p>
    <w:p w14:paraId="6EF6DB6E" w14:textId="2670E186" w:rsidR="00B84F30" w:rsidRPr="009772A3" w:rsidRDefault="00B84F30" w:rsidP="00A06C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Conform contractului de constituire a Societății pe acțiuni mixte moldo-ruse de tip deschis </w:t>
      </w:r>
      <w:r w:rsidR="006157F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Moldova-Gaz</w:t>
      </w:r>
      <w:r w:rsidR="006157F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înregistrat la 25.05.</w:t>
      </w:r>
      <w:r w:rsidR="00B957B0" w:rsidRPr="009772A3">
        <w:rPr>
          <w:rFonts w:asciiTheme="majorHAnsi" w:hAnsiTheme="majorHAnsi" w:cstheme="majorHAnsi"/>
          <w:sz w:val="24"/>
          <w:szCs w:val="24"/>
          <w:lang w:val="ro-MD"/>
        </w:rPr>
        <w:t>19</w:t>
      </w:r>
      <w:r w:rsidRPr="009772A3">
        <w:rPr>
          <w:rFonts w:asciiTheme="majorHAnsi" w:hAnsiTheme="majorHAnsi" w:cstheme="majorHAnsi"/>
          <w:sz w:val="24"/>
          <w:szCs w:val="24"/>
          <w:lang w:val="ro-MD"/>
        </w:rPr>
        <w:t xml:space="preserve">99, 50 la sută </w:t>
      </w:r>
      <w:r w:rsidR="00B957B0" w:rsidRPr="009772A3">
        <w:rPr>
          <w:rFonts w:asciiTheme="majorHAnsi" w:hAnsiTheme="majorHAnsi" w:cstheme="majorHAnsi"/>
          <w:sz w:val="24"/>
          <w:szCs w:val="24"/>
          <w:lang w:val="ro-MD"/>
        </w:rPr>
        <w:t xml:space="preserve">din capitalul social al societății </w:t>
      </w:r>
      <w:r w:rsidRPr="009772A3">
        <w:rPr>
          <w:rFonts w:asciiTheme="majorHAnsi" w:hAnsiTheme="majorHAnsi" w:cstheme="majorHAnsi"/>
          <w:sz w:val="24"/>
          <w:szCs w:val="24"/>
          <w:lang w:val="ro-MD"/>
        </w:rPr>
        <w:t>aparțin</w:t>
      </w:r>
      <w:r w:rsidR="00B957B0"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S.A. </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Gazprom</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36 la sută </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Departamentului Privatizării şi Administrării Proprietății de Stat</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şi 14 la sută – Comitetului de administrare a proprietății din Transnistria.</w:t>
      </w:r>
    </w:p>
    <w:p w14:paraId="0F4CFA75" w14:textId="2C3FCC28" w:rsidR="00B84F30" w:rsidRPr="009772A3" w:rsidRDefault="00B84F30" w:rsidP="00A06C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HG nr.1068 din 21.10.1998</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valoarea cotelor</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părți ale statului </w:t>
      </w:r>
      <w:r w:rsidR="00243C28">
        <w:rPr>
          <w:rFonts w:asciiTheme="majorHAnsi" w:hAnsiTheme="majorHAnsi" w:cstheme="majorHAnsi"/>
          <w:sz w:val="24"/>
          <w:szCs w:val="24"/>
          <w:lang w:val="ro-MD"/>
        </w:rPr>
        <w:t xml:space="preserve">transmise </w:t>
      </w:r>
      <w:r w:rsidRPr="009772A3">
        <w:rPr>
          <w:rFonts w:asciiTheme="majorHAnsi" w:hAnsiTheme="majorHAnsi" w:cstheme="majorHAnsi"/>
          <w:sz w:val="24"/>
          <w:szCs w:val="24"/>
          <w:lang w:val="ro-MD"/>
        </w:rPr>
        <w:t>în SA Moldovagaz diferă de cele indicate în Contractul de societate</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primul caz </w:t>
      </w:r>
      <w:r w:rsidR="00B957B0" w:rsidRPr="009772A3">
        <w:rPr>
          <w:rFonts w:asciiTheme="majorHAnsi" w:hAnsiTheme="majorHAnsi" w:cstheme="majorHAnsi"/>
          <w:sz w:val="24"/>
          <w:szCs w:val="24"/>
          <w:lang w:val="ro-MD"/>
        </w:rPr>
        <w:t>ac</w:t>
      </w:r>
      <w:r w:rsidRPr="009772A3">
        <w:rPr>
          <w:rFonts w:asciiTheme="majorHAnsi" w:hAnsiTheme="majorHAnsi" w:cstheme="majorHAnsi"/>
          <w:sz w:val="24"/>
          <w:szCs w:val="24"/>
          <w:lang w:val="ro-MD"/>
        </w:rPr>
        <w:t>ea</w:t>
      </w:r>
      <w:r w:rsidR="00B957B0" w:rsidRPr="009772A3">
        <w:rPr>
          <w:rFonts w:asciiTheme="majorHAnsi" w:hAnsiTheme="majorHAnsi" w:cstheme="majorHAnsi"/>
          <w:sz w:val="24"/>
          <w:szCs w:val="24"/>
          <w:lang w:val="ro-MD"/>
        </w:rPr>
        <w:t>sta</w:t>
      </w:r>
      <w:r w:rsidRPr="009772A3">
        <w:rPr>
          <w:rFonts w:asciiTheme="majorHAnsi" w:hAnsiTheme="majorHAnsi" w:cstheme="majorHAnsi"/>
          <w:sz w:val="24"/>
          <w:szCs w:val="24"/>
          <w:lang w:val="ro-MD"/>
        </w:rPr>
        <w:t xml:space="preserve"> constituia 287</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004</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088 lei (62</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562</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199 dolari SUA) și 183</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883</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525 lei (40</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083</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602 dolari SUA), în timp ce în al doilea caz </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270</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335,592 mii lei (58</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928,74 mii </w:t>
      </w:r>
      <w:r w:rsidR="00B957B0" w:rsidRPr="009772A3">
        <w:rPr>
          <w:rFonts w:asciiTheme="majorHAnsi" w:hAnsiTheme="majorHAnsi" w:cstheme="majorHAnsi"/>
          <w:sz w:val="24"/>
          <w:szCs w:val="24"/>
          <w:lang w:val="ro-MD"/>
        </w:rPr>
        <w:t>dolari SUA</w:t>
      </w:r>
      <w:r w:rsidRPr="009772A3">
        <w:rPr>
          <w:rFonts w:asciiTheme="majorHAnsi" w:hAnsiTheme="majorHAnsi" w:cstheme="majorHAnsi"/>
          <w:sz w:val="24"/>
          <w:szCs w:val="24"/>
          <w:lang w:val="ro-MD"/>
        </w:rPr>
        <w:t>) și 216</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987,811 mii lei (47</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299,795 mii </w:t>
      </w:r>
      <w:r w:rsidR="00B957B0" w:rsidRPr="009772A3">
        <w:rPr>
          <w:rFonts w:asciiTheme="majorHAnsi" w:hAnsiTheme="majorHAnsi" w:cstheme="majorHAnsi"/>
          <w:sz w:val="24"/>
          <w:szCs w:val="24"/>
          <w:lang w:val="ro-MD"/>
        </w:rPr>
        <w:t>dolari SUA</w:t>
      </w:r>
      <w:r w:rsidRPr="009772A3">
        <w:rPr>
          <w:rFonts w:asciiTheme="majorHAnsi" w:hAnsiTheme="majorHAnsi" w:cstheme="majorHAnsi"/>
          <w:sz w:val="24"/>
          <w:szCs w:val="24"/>
          <w:lang w:val="ro-MD"/>
        </w:rPr>
        <w:t>).</w:t>
      </w:r>
    </w:p>
    <w:p w14:paraId="173118C6" w14:textId="2687E610" w:rsidR="00B84F30" w:rsidRPr="009772A3" w:rsidRDefault="00B84F30" w:rsidP="00A06C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HP nr.1556 din 26.02.</w:t>
      </w:r>
      <w:r w:rsidR="00B957B0" w:rsidRPr="009772A3">
        <w:rPr>
          <w:rFonts w:asciiTheme="majorHAnsi" w:hAnsiTheme="majorHAnsi" w:cstheme="majorHAnsi"/>
          <w:sz w:val="24"/>
          <w:szCs w:val="24"/>
          <w:lang w:val="ro-MD"/>
        </w:rPr>
        <w:t>19</w:t>
      </w:r>
      <w:r w:rsidRPr="009772A3">
        <w:rPr>
          <w:rFonts w:asciiTheme="majorHAnsi" w:hAnsiTheme="majorHAnsi" w:cstheme="majorHAnsi"/>
          <w:sz w:val="24"/>
          <w:szCs w:val="24"/>
          <w:lang w:val="ro-MD"/>
        </w:rPr>
        <w:t xml:space="preserve">98 prevedea depunerea în capitalul social a cotei-părți a statului în patrimoniul SA </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B957B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w:t>
      </w:r>
      <w:r w:rsidR="00BC612E"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cotelor-părți a</w:t>
      </w:r>
      <w:r w:rsidR="00B957B0"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statului în patrimoniul societăților pe acțiuni ale Concernului </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Moldova-Gaz</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create conform HP nr.611 din 27.10.1995 (cu excepția societăților pe acți</w:t>
      </w:r>
      <w:r w:rsidR="00DA06B6" w:rsidRPr="009772A3">
        <w:rPr>
          <w:rFonts w:asciiTheme="majorHAnsi" w:hAnsiTheme="majorHAnsi" w:cstheme="majorHAnsi"/>
          <w:sz w:val="24"/>
          <w:szCs w:val="24"/>
          <w:lang w:val="ro-MD"/>
        </w:rPr>
        <w:t xml:space="preserve">uni </w:t>
      </w:r>
      <w:r w:rsidR="00BC612E" w:rsidRPr="009772A3">
        <w:rPr>
          <w:rFonts w:asciiTheme="majorHAnsi" w:hAnsiTheme="majorHAnsi" w:cstheme="majorHAnsi"/>
          <w:sz w:val="24"/>
          <w:szCs w:val="24"/>
          <w:lang w:val="ro-MD"/>
        </w:rPr>
        <w:t>„</w:t>
      </w:r>
      <w:r w:rsidR="00DA06B6" w:rsidRPr="009772A3">
        <w:rPr>
          <w:rFonts w:asciiTheme="majorHAnsi" w:hAnsiTheme="majorHAnsi" w:cstheme="majorHAnsi"/>
          <w:sz w:val="24"/>
          <w:szCs w:val="24"/>
          <w:lang w:val="ro-MD"/>
        </w:rPr>
        <w:t>Incorgaz</w:t>
      </w:r>
      <w:r w:rsidR="00BC612E" w:rsidRPr="009772A3">
        <w:rPr>
          <w:rFonts w:asciiTheme="majorHAnsi" w:hAnsiTheme="majorHAnsi" w:cstheme="majorHAnsi"/>
          <w:sz w:val="24"/>
          <w:szCs w:val="24"/>
          <w:lang w:val="ro-MD"/>
        </w:rPr>
        <w:t>”</w:t>
      </w:r>
      <w:r w:rsidR="00DA06B6" w:rsidRPr="009772A3">
        <w:rPr>
          <w:rFonts w:asciiTheme="majorHAnsi" w:hAnsiTheme="majorHAnsi" w:cstheme="majorHAnsi"/>
          <w:sz w:val="24"/>
          <w:szCs w:val="24"/>
          <w:lang w:val="ro-MD"/>
        </w:rPr>
        <w:t xml:space="preserve"> şi </w:t>
      </w:r>
      <w:r w:rsidR="00BC612E" w:rsidRPr="009772A3">
        <w:rPr>
          <w:rFonts w:asciiTheme="majorHAnsi" w:hAnsiTheme="majorHAnsi" w:cstheme="majorHAnsi"/>
          <w:sz w:val="24"/>
          <w:szCs w:val="24"/>
          <w:lang w:val="ro-MD"/>
        </w:rPr>
        <w:t>„</w:t>
      </w:r>
      <w:r w:rsidR="00DA06B6" w:rsidRPr="009772A3">
        <w:rPr>
          <w:rFonts w:asciiTheme="majorHAnsi" w:hAnsiTheme="majorHAnsi" w:cstheme="majorHAnsi"/>
          <w:sz w:val="24"/>
          <w:szCs w:val="24"/>
          <w:lang w:val="ro-MD"/>
        </w:rPr>
        <w:t>Gazproiect</w:t>
      </w:r>
      <w:r w:rsidR="00BC612E" w:rsidRPr="009772A3">
        <w:rPr>
          <w:rFonts w:asciiTheme="majorHAnsi" w:hAnsiTheme="majorHAnsi" w:cstheme="majorHAnsi"/>
          <w:sz w:val="24"/>
          <w:szCs w:val="24"/>
          <w:lang w:val="ro-MD"/>
        </w:rPr>
        <w:t>”</w:t>
      </w:r>
      <w:r w:rsidR="00DA06B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DA06B6"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 xml:space="preserve">ontractul de societate (pct.7) prevedea depunerea în capitalul social a bunurilor depuse </w:t>
      </w:r>
      <w:r w:rsidR="00BC612E" w:rsidRPr="009772A3">
        <w:rPr>
          <w:rFonts w:asciiTheme="majorHAnsi" w:hAnsiTheme="majorHAnsi" w:cstheme="majorHAnsi"/>
          <w:sz w:val="24"/>
          <w:szCs w:val="24"/>
          <w:lang w:val="ro-MD"/>
        </w:rPr>
        <w:t xml:space="preserve">deja </w:t>
      </w:r>
      <w:r w:rsidRPr="009772A3">
        <w:rPr>
          <w:rFonts w:asciiTheme="majorHAnsi" w:hAnsiTheme="majorHAnsi" w:cstheme="majorHAnsi"/>
          <w:sz w:val="24"/>
          <w:szCs w:val="24"/>
          <w:lang w:val="ro-MD"/>
        </w:rPr>
        <w:t xml:space="preserve">în capitalul social al SA  </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w:t>
      </w:r>
      <w:r w:rsidR="00BC612E"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bunurilor aflate în inventarul societăților pe acțiuni ale Concernului </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Moldova-Gaz</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w:t>
      </w:r>
    </w:p>
    <w:p w14:paraId="5190153B" w14:textId="7A0459C6" w:rsidR="00B84F30" w:rsidRDefault="00B84F30" w:rsidP="00A06C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Astfel, Contractul de societate a prevăzut majorarea valorii bunurilor depuse anterior în capitalul social al SA </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evaluării acestora în anul 1996, de la 439</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920,0 mii lei (104 mil.</w:t>
      </w:r>
      <w:r w:rsidR="00BC612E" w:rsidRPr="009772A3">
        <w:rPr>
          <w:rFonts w:asciiTheme="majorHAnsi" w:hAnsiTheme="majorHAnsi" w:cstheme="majorHAnsi"/>
          <w:sz w:val="24"/>
          <w:szCs w:val="24"/>
          <w:lang w:val="ro-MD"/>
        </w:rPr>
        <w:t xml:space="preserve"> dolari SUA</w:t>
      </w:r>
      <w:r w:rsidRPr="009772A3">
        <w:rPr>
          <w:rFonts w:asciiTheme="majorHAnsi" w:hAnsiTheme="majorHAnsi" w:cstheme="majorHAnsi"/>
          <w:sz w:val="24"/>
          <w:szCs w:val="24"/>
          <w:lang w:val="ro-MD"/>
        </w:rPr>
        <w:t>) p</w:t>
      </w:r>
      <w:r w:rsidR="00BC612E"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nă la 782</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755,5 mii lei (170,63 mil.</w:t>
      </w:r>
      <w:r w:rsidR="00BC612E" w:rsidRPr="009772A3">
        <w:rPr>
          <w:rFonts w:asciiTheme="majorHAnsi" w:hAnsiTheme="majorHAnsi" w:cstheme="majorHAnsi"/>
          <w:sz w:val="24"/>
          <w:szCs w:val="24"/>
          <w:lang w:val="ro-MD"/>
        </w:rPr>
        <w:t xml:space="preserve"> dolari SUA</w:t>
      </w:r>
      <w:r w:rsidRPr="009772A3">
        <w:rPr>
          <w:rFonts w:asciiTheme="majorHAnsi" w:hAnsiTheme="majorHAnsi" w:cstheme="majorHAnsi"/>
          <w:sz w:val="24"/>
          <w:szCs w:val="24"/>
          <w:lang w:val="ro-MD"/>
        </w:rPr>
        <w:t xml:space="preserve">), însă indexarea nu a fost aplicată uniform. </w:t>
      </w:r>
      <w:r w:rsidR="00BC612E" w:rsidRPr="009772A3">
        <w:rPr>
          <w:rFonts w:asciiTheme="majorHAnsi" w:hAnsiTheme="majorHAnsi" w:cstheme="majorHAnsi"/>
          <w:sz w:val="24"/>
          <w:szCs w:val="24"/>
          <w:lang w:val="ro-MD"/>
        </w:rPr>
        <w:t>Ca u</w:t>
      </w:r>
      <w:r w:rsidRPr="009772A3">
        <w:rPr>
          <w:rFonts w:asciiTheme="majorHAnsi" w:hAnsiTheme="majorHAnsi" w:cstheme="majorHAnsi"/>
          <w:sz w:val="24"/>
          <w:szCs w:val="24"/>
          <w:lang w:val="ro-MD"/>
        </w:rPr>
        <w:t xml:space="preserve">rmare a comparării valorii patrimoniului depus în capitalul SA </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valoarea patrimoniului depus de acesta în capitalul SA Moldovagaz s-a constatat aplicarea unor coeficienți de indexare majorați pentru patrimoniul </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BC61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w:t>
      </w:r>
      <w:r w:rsidR="00D13426" w:rsidRPr="009772A3">
        <w:rPr>
          <w:rFonts w:asciiTheme="majorHAnsi" w:hAnsiTheme="majorHAnsi" w:cstheme="majorHAnsi"/>
          <w:sz w:val="24"/>
          <w:szCs w:val="24"/>
          <w:lang w:val="ro-MD"/>
        </w:rPr>
        <w:t xml:space="preserve">a altora </w:t>
      </w:r>
      <w:r w:rsidRPr="009772A3">
        <w:rPr>
          <w:rFonts w:asciiTheme="majorHAnsi" w:hAnsiTheme="majorHAnsi" w:cstheme="majorHAnsi"/>
          <w:sz w:val="24"/>
          <w:szCs w:val="24"/>
          <w:lang w:val="ro-MD"/>
        </w:rPr>
        <w:t xml:space="preserve">diminuați pentru patrimoniul </w:t>
      </w:r>
      <w:r w:rsidR="00D1342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D1342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Cauza acestei situații nu a fost identificată, însă conform </w:t>
      </w:r>
      <w:r w:rsidRPr="00FB5BD0">
        <w:rPr>
          <w:rFonts w:asciiTheme="majorHAnsi" w:hAnsiTheme="majorHAnsi" w:cstheme="majorHAnsi"/>
          <w:sz w:val="24"/>
          <w:szCs w:val="24"/>
          <w:lang w:val="ro-MD"/>
        </w:rPr>
        <w:t>pct.34 din SNC 16</w:t>
      </w:r>
      <w:r w:rsidR="00D13426" w:rsidRPr="00FB5BD0">
        <w:rPr>
          <w:rFonts w:asciiTheme="majorHAnsi" w:hAnsiTheme="majorHAnsi" w:cstheme="majorHAnsi"/>
          <w:sz w:val="24"/>
          <w:szCs w:val="24"/>
          <w:lang w:val="ro-MD"/>
        </w:rPr>
        <w:t>,</w:t>
      </w:r>
      <w:r w:rsidRPr="00FB5BD0">
        <w:rPr>
          <w:rFonts w:asciiTheme="majorHAnsi" w:hAnsiTheme="majorHAnsi" w:cstheme="majorHAnsi"/>
          <w:sz w:val="24"/>
          <w:szCs w:val="24"/>
          <w:lang w:val="ro-MD"/>
        </w:rPr>
        <w:t xml:space="preserve"> reevaluarea trebuia efectuată concomitent pentru toate mijloacele fixe din ace</w:t>
      </w:r>
      <w:r w:rsidR="00D13426" w:rsidRPr="00FB5BD0">
        <w:rPr>
          <w:rFonts w:asciiTheme="majorHAnsi" w:hAnsiTheme="majorHAnsi" w:cstheme="majorHAnsi"/>
          <w:sz w:val="24"/>
          <w:szCs w:val="24"/>
          <w:lang w:val="ro-MD"/>
        </w:rPr>
        <w:t>e</w:t>
      </w:r>
      <w:r w:rsidRPr="00FB5BD0">
        <w:rPr>
          <w:rFonts w:asciiTheme="majorHAnsi" w:hAnsiTheme="majorHAnsi" w:cstheme="majorHAnsi"/>
          <w:sz w:val="24"/>
          <w:szCs w:val="24"/>
          <w:lang w:val="ro-MD"/>
        </w:rPr>
        <w:t>ași grupă</w:t>
      </w:r>
      <w:r w:rsidR="00C143AA">
        <w:rPr>
          <w:rFonts w:asciiTheme="majorHAnsi" w:hAnsiTheme="majorHAnsi" w:cstheme="majorHAnsi"/>
          <w:sz w:val="24"/>
          <w:szCs w:val="24"/>
          <w:lang w:val="ro-MD"/>
        </w:rPr>
        <w:t xml:space="preserve"> și conform acelorași metode</w:t>
      </w:r>
      <w:r w:rsidRPr="009772A3">
        <w:rPr>
          <w:rFonts w:asciiTheme="majorHAnsi" w:hAnsiTheme="majorHAnsi" w:cstheme="majorHAnsi"/>
          <w:sz w:val="24"/>
          <w:szCs w:val="24"/>
          <w:lang w:val="ro-MD"/>
        </w:rPr>
        <w:t xml:space="preserve">. Ca urmare, patrimoniul depus de </w:t>
      </w:r>
      <w:r w:rsidR="00FB5BD0">
        <w:rPr>
          <w:rFonts w:asciiTheme="majorHAnsi" w:hAnsiTheme="majorHAnsi" w:cstheme="majorHAnsi"/>
          <w:sz w:val="24"/>
          <w:szCs w:val="24"/>
          <w:lang w:val="ro-MD"/>
        </w:rPr>
        <w:t xml:space="preserve">Guvernul </w:t>
      </w:r>
      <w:r w:rsidR="00FB5BD0" w:rsidRPr="009772A3">
        <w:rPr>
          <w:rFonts w:asciiTheme="majorHAnsi" w:hAnsiTheme="majorHAnsi" w:cstheme="majorHAnsi"/>
          <w:sz w:val="24"/>
          <w:szCs w:val="24"/>
          <w:lang w:val="ro-MD"/>
        </w:rPr>
        <w:t>Republic</w:t>
      </w:r>
      <w:r w:rsidR="00FB5BD0">
        <w:rPr>
          <w:rFonts w:asciiTheme="majorHAnsi" w:hAnsiTheme="majorHAnsi" w:cstheme="majorHAnsi"/>
          <w:sz w:val="24"/>
          <w:szCs w:val="24"/>
          <w:lang w:val="ro-MD"/>
        </w:rPr>
        <w:t>ii</w:t>
      </w:r>
      <w:r w:rsidR="00FB5BD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Moldova a fost diminuat cu 34</w:t>
      </w:r>
      <w:r w:rsidR="00D1342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939,0 mii lei (7,62 mil.</w:t>
      </w:r>
      <w:r w:rsidR="00661D04" w:rsidRPr="009772A3">
        <w:rPr>
          <w:rFonts w:asciiTheme="majorHAnsi" w:hAnsiTheme="majorHAnsi" w:cstheme="majorHAnsi"/>
          <w:sz w:val="24"/>
          <w:szCs w:val="24"/>
          <w:lang w:val="ro-MD"/>
        </w:rPr>
        <w:t xml:space="preserve"> dolari SUA</w:t>
      </w:r>
      <w:r w:rsidRPr="009772A3">
        <w:rPr>
          <w:rFonts w:asciiTheme="majorHAnsi" w:hAnsiTheme="majorHAnsi" w:cstheme="majorHAnsi"/>
          <w:sz w:val="24"/>
          <w:szCs w:val="24"/>
          <w:lang w:val="ro-MD"/>
        </w:rPr>
        <w:t xml:space="preserve">), iar patrimoniul </w:t>
      </w:r>
      <w:r w:rsidR="00FB5BD0">
        <w:rPr>
          <w:rFonts w:asciiTheme="majorHAnsi" w:hAnsiTheme="majorHAnsi" w:cstheme="majorHAnsi"/>
          <w:sz w:val="24"/>
          <w:szCs w:val="24"/>
          <w:lang w:val="ro-MD"/>
        </w:rPr>
        <w:t>depus de partea t</w:t>
      </w:r>
      <w:r w:rsidRPr="009772A3">
        <w:rPr>
          <w:rFonts w:asciiTheme="majorHAnsi" w:hAnsiTheme="majorHAnsi" w:cstheme="majorHAnsi"/>
          <w:sz w:val="24"/>
          <w:szCs w:val="24"/>
          <w:lang w:val="ro-MD"/>
        </w:rPr>
        <w:t>ransnistre</w:t>
      </w:r>
      <w:r w:rsidR="00FB5BD0">
        <w:rPr>
          <w:rFonts w:asciiTheme="majorHAnsi" w:hAnsiTheme="majorHAnsi" w:cstheme="majorHAnsi"/>
          <w:sz w:val="24"/>
          <w:szCs w:val="24"/>
          <w:lang w:val="ro-MD"/>
        </w:rPr>
        <w:t>ană</w:t>
      </w:r>
      <w:r w:rsidRPr="009772A3">
        <w:rPr>
          <w:rFonts w:asciiTheme="majorHAnsi" w:hAnsiTheme="majorHAnsi" w:cstheme="majorHAnsi"/>
          <w:sz w:val="24"/>
          <w:szCs w:val="24"/>
          <w:lang w:val="ro-MD"/>
        </w:rPr>
        <w:t xml:space="preserve"> a fost majorat cu ace</w:t>
      </w:r>
      <w:r w:rsidR="00661D04"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ași sumă.</w:t>
      </w:r>
    </w:p>
    <w:p w14:paraId="0AC6FF05" w14:textId="47F54ED0" w:rsidR="0079574D" w:rsidRDefault="0079574D" w:rsidP="00A06C37">
      <w:pPr>
        <w:spacing w:after="0" w:line="276" w:lineRule="auto"/>
        <w:ind w:firstLine="709"/>
        <w:jc w:val="both"/>
        <w:rPr>
          <w:rFonts w:asciiTheme="majorHAnsi" w:hAnsiTheme="majorHAnsi" w:cstheme="majorHAnsi"/>
          <w:sz w:val="24"/>
          <w:szCs w:val="24"/>
          <w:lang w:val="ro-MD"/>
        </w:rPr>
      </w:pPr>
    </w:p>
    <w:p w14:paraId="28DD63B8" w14:textId="77777777" w:rsidR="0079574D" w:rsidRPr="009772A3" w:rsidRDefault="0079574D" w:rsidP="00A06C37">
      <w:pPr>
        <w:spacing w:after="0" w:line="276" w:lineRule="auto"/>
        <w:ind w:firstLine="709"/>
        <w:jc w:val="both"/>
        <w:rPr>
          <w:rFonts w:asciiTheme="majorHAnsi" w:hAnsiTheme="majorHAnsi" w:cstheme="majorHAnsi"/>
          <w:sz w:val="24"/>
          <w:szCs w:val="24"/>
          <w:lang w:val="ro-MD"/>
        </w:rPr>
      </w:pPr>
    </w:p>
    <w:p w14:paraId="4DE1828B" w14:textId="15292B7E" w:rsidR="00661D04" w:rsidRPr="009772A3" w:rsidRDefault="00B84F30" w:rsidP="00074B8F">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b/>
          <w:sz w:val="24"/>
          <w:szCs w:val="24"/>
          <w:lang w:val="ro-MD"/>
        </w:rPr>
        <w:t>Tabelul nr.</w:t>
      </w:r>
      <w:r w:rsidR="00661D04" w:rsidRPr="009772A3">
        <w:rPr>
          <w:rFonts w:asciiTheme="majorHAnsi" w:hAnsiTheme="majorHAnsi" w:cstheme="majorHAnsi"/>
          <w:b/>
          <w:sz w:val="24"/>
          <w:szCs w:val="24"/>
          <w:lang w:val="ro-MD"/>
        </w:rPr>
        <w:t>4.1.</w:t>
      </w:r>
      <w:r w:rsidR="0079574D">
        <w:rPr>
          <w:rFonts w:asciiTheme="majorHAnsi" w:hAnsiTheme="majorHAnsi" w:cstheme="majorHAnsi"/>
          <w:b/>
          <w:sz w:val="24"/>
          <w:szCs w:val="24"/>
          <w:lang w:val="ro-MD"/>
        </w:rPr>
        <w:t>1.</w:t>
      </w:r>
      <w:r w:rsidRPr="009772A3">
        <w:rPr>
          <w:rFonts w:asciiTheme="majorHAnsi" w:hAnsiTheme="majorHAnsi" w:cstheme="majorHAnsi"/>
          <w:b/>
          <w:sz w:val="24"/>
          <w:szCs w:val="24"/>
          <w:lang w:val="ro-MD"/>
        </w:rPr>
        <w:t>3</w:t>
      </w:r>
      <w:r w:rsidR="00661D04"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 xml:space="preserve"> </w:t>
      </w:r>
    </w:p>
    <w:p w14:paraId="41DCB6B3" w14:textId="7E277A36" w:rsidR="00B84F30" w:rsidRPr="009772A3" w:rsidRDefault="00B84F30" w:rsidP="00074B8F">
      <w:pPr>
        <w:spacing w:after="0" w:line="276" w:lineRule="auto"/>
        <w:ind w:firstLine="709"/>
        <w:jc w:val="center"/>
        <w:rPr>
          <w:rFonts w:asciiTheme="majorHAnsi" w:hAnsiTheme="majorHAnsi" w:cstheme="majorHAnsi"/>
          <w:b/>
          <w:sz w:val="24"/>
          <w:szCs w:val="24"/>
          <w:lang w:val="ro-MD"/>
        </w:rPr>
      </w:pPr>
      <w:r w:rsidRPr="009772A3">
        <w:rPr>
          <w:rFonts w:asciiTheme="majorHAnsi" w:hAnsiTheme="majorHAnsi" w:cstheme="majorHAnsi"/>
          <w:b/>
          <w:sz w:val="24"/>
          <w:szCs w:val="24"/>
          <w:lang w:val="ro-MD"/>
        </w:rPr>
        <w:t xml:space="preserve">Patrimoniul SA </w:t>
      </w:r>
      <w:r w:rsidR="00661D04"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Gazsnabtranzit</w:t>
      </w:r>
      <w:r w:rsidR="00661D04"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 xml:space="preserve"> depus în capitalul SA Moldovagaz</w:t>
      </w:r>
    </w:p>
    <w:tbl>
      <w:tblPr>
        <w:tblW w:w="9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1"/>
        <w:gridCol w:w="691"/>
        <w:gridCol w:w="691"/>
        <w:gridCol w:w="691"/>
        <w:gridCol w:w="501"/>
        <w:gridCol w:w="742"/>
        <w:gridCol w:w="697"/>
        <w:gridCol w:w="712"/>
        <w:gridCol w:w="817"/>
        <w:gridCol w:w="754"/>
        <w:gridCol w:w="628"/>
        <w:gridCol w:w="564"/>
      </w:tblGrid>
      <w:tr w:rsidR="00B84F30" w:rsidRPr="009772A3" w14:paraId="63E38750" w14:textId="77777777" w:rsidTr="006E4984">
        <w:trPr>
          <w:trHeight w:val="20"/>
        </w:trPr>
        <w:tc>
          <w:tcPr>
            <w:tcW w:w="1134" w:type="dxa"/>
            <w:shd w:val="clear" w:color="auto" w:fill="auto"/>
            <w:vAlign w:val="center"/>
            <w:hideMark/>
          </w:tcPr>
          <w:p w14:paraId="4B59DAC0" w14:textId="77777777" w:rsidR="00B84F30" w:rsidRPr="009772A3" w:rsidRDefault="00B84F30" w:rsidP="00957170">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Fondatorii</w:t>
            </w:r>
          </w:p>
        </w:tc>
        <w:tc>
          <w:tcPr>
            <w:tcW w:w="1382" w:type="dxa"/>
            <w:gridSpan w:val="2"/>
            <w:shd w:val="clear" w:color="auto" w:fill="auto"/>
            <w:vAlign w:val="center"/>
            <w:hideMark/>
          </w:tcPr>
          <w:p w14:paraId="5129DCE7" w14:textId="78D76D1E" w:rsidR="00B84F30" w:rsidRPr="009772A3" w:rsidRDefault="00B84F30" w:rsidP="00455C52">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Patrimoniu</w:t>
            </w:r>
            <w:r w:rsidR="00661D04" w:rsidRPr="009772A3">
              <w:rPr>
                <w:rFonts w:asciiTheme="majorHAnsi" w:eastAsia="Times New Roman" w:hAnsiTheme="majorHAnsi" w:cstheme="majorHAnsi"/>
                <w:sz w:val="12"/>
                <w:szCs w:val="12"/>
                <w:lang w:val="ro-MD"/>
              </w:rPr>
              <w:t>l</w:t>
            </w:r>
            <w:r w:rsidRPr="009772A3">
              <w:rPr>
                <w:rFonts w:asciiTheme="majorHAnsi" w:eastAsia="Times New Roman" w:hAnsiTheme="majorHAnsi" w:cstheme="majorHAnsi"/>
                <w:sz w:val="12"/>
                <w:szCs w:val="12"/>
                <w:lang w:val="ro-MD"/>
              </w:rPr>
              <w:t xml:space="preserve"> transmis în capitalul social </w:t>
            </w:r>
            <w:r w:rsidR="00661D04" w:rsidRPr="009772A3">
              <w:rPr>
                <w:rFonts w:asciiTheme="majorHAnsi" w:eastAsia="Times New Roman" w:hAnsiTheme="majorHAnsi" w:cstheme="majorHAnsi"/>
                <w:sz w:val="12"/>
                <w:szCs w:val="12"/>
                <w:lang w:val="ro-MD"/>
              </w:rPr>
              <w:t xml:space="preserve">al </w:t>
            </w:r>
            <w:r w:rsidRPr="009772A3">
              <w:rPr>
                <w:rFonts w:asciiTheme="majorHAnsi" w:eastAsia="Times New Roman" w:hAnsiTheme="majorHAnsi" w:cstheme="majorHAnsi"/>
                <w:sz w:val="12"/>
                <w:szCs w:val="12"/>
                <w:lang w:val="ro-MD"/>
              </w:rPr>
              <w:t xml:space="preserve">SA </w:t>
            </w:r>
            <w:r w:rsidRPr="009772A3">
              <w:rPr>
                <w:rFonts w:asciiTheme="majorHAnsi" w:hAnsiTheme="majorHAnsi" w:cstheme="majorHAnsi"/>
                <w:sz w:val="12"/>
                <w:szCs w:val="12"/>
                <w:lang w:val="ro-MD"/>
              </w:rPr>
              <w:t>Gazsnabtranzit</w:t>
            </w:r>
          </w:p>
        </w:tc>
        <w:tc>
          <w:tcPr>
            <w:tcW w:w="1883" w:type="dxa"/>
            <w:gridSpan w:val="3"/>
            <w:shd w:val="clear" w:color="auto" w:fill="auto"/>
            <w:vAlign w:val="center"/>
            <w:hideMark/>
          </w:tcPr>
          <w:p w14:paraId="4E0C6C00" w14:textId="0E3EE87D" w:rsidR="00B84F30" w:rsidRPr="009772A3" w:rsidRDefault="00B84F30" w:rsidP="000348CA">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 xml:space="preserve">Cota determinată în capitalul social </w:t>
            </w:r>
            <w:r w:rsidR="00661D04" w:rsidRPr="009772A3">
              <w:rPr>
                <w:rFonts w:asciiTheme="majorHAnsi" w:eastAsia="Times New Roman" w:hAnsiTheme="majorHAnsi" w:cstheme="majorHAnsi"/>
                <w:sz w:val="12"/>
                <w:szCs w:val="12"/>
                <w:lang w:val="ro-MD"/>
              </w:rPr>
              <w:t xml:space="preserve">al </w:t>
            </w:r>
            <w:r w:rsidRPr="009772A3">
              <w:rPr>
                <w:rFonts w:asciiTheme="majorHAnsi" w:eastAsia="Times New Roman" w:hAnsiTheme="majorHAnsi" w:cstheme="majorHAnsi"/>
                <w:sz w:val="12"/>
                <w:szCs w:val="12"/>
                <w:lang w:val="ro-MD"/>
              </w:rPr>
              <w:t xml:space="preserve">SA </w:t>
            </w:r>
            <w:r w:rsidRPr="009772A3">
              <w:rPr>
                <w:rFonts w:asciiTheme="majorHAnsi" w:hAnsiTheme="majorHAnsi" w:cstheme="majorHAnsi"/>
                <w:sz w:val="12"/>
                <w:szCs w:val="12"/>
                <w:lang w:val="ro-MD"/>
              </w:rPr>
              <w:t>Gazsnabtranzit</w:t>
            </w:r>
          </w:p>
        </w:tc>
        <w:tc>
          <w:tcPr>
            <w:tcW w:w="1439" w:type="dxa"/>
            <w:gridSpan w:val="2"/>
            <w:shd w:val="clear" w:color="auto" w:fill="auto"/>
            <w:noWrap/>
            <w:vAlign w:val="center"/>
            <w:hideMark/>
          </w:tcPr>
          <w:p w14:paraId="4D980CEC" w14:textId="77777777" w:rsidR="00B84F30" w:rsidRPr="009772A3" w:rsidRDefault="00B84F30">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Cota evaluată conform Contractului de societate al SA Moldovagaz</w:t>
            </w:r>
          </w:p>
        </w:tc>
        <w:tc>
          <w:tcPr>
            <w:tcW w:w="712" w:type="dxa"/>
            <w:shd w:val="clear" w:color="auto" w:fill="auto"/>
            <w:noWrap/>
            <w:vAlign w:val="center"/>
            <w:hideMark/>
          </w:tcPr>
          <w:p w14:paraId="5D349A2A" w14:textId="77777777" w:rsidR="00B84F30" w:rsidRPr="009772A3" w:rsidRDefault="00B84F30">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Coeficientul de indexare aplicat</w:t>
            </w:r>
          </w:p>
        </w:tc>
        <w:tc>
          <w:tcPr>
            <w:tcW w:w="1571" w:type="dxa"/>
            <w:gridSpan w:val="2"/>
          </w:tcPr>
          <w:p w14:paraId="460B34B2" w14:textId="77777777" w:rsidR="00B84F30" w:rsidRPr="009772A3" w:rsidRDefault="00B84F30">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Aportul în capital în cazul aplicării aceluiași coeficient de evaluare</w:t>
            </w:r>
          </w:p>
        </w:tc>
        <w:tc>
          <w:tcPr>
            <w:tcW w:w="1192" w:type="dxa"/>
            <w:gridSpan w:val="2"/>
          </w:tcPr>
          <w:p w14:paraId="36F158AC" w14:textId="77777777" w:rsidR="00B84F30" w:rsidRPr="009772A3" w:rsidRDefault="00B84F30">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Diferența</w:t>
            </w:r>
          </w:p>
        </w:tc>
      </w:tr>
      <w:tr w:rsidR="00B84F30" w:rsidRPr="009772A3" w14:paraId="1C3668BD" w14:textId="77777777" w:rsidTr="006E4984">
        <w:trPr>
          <w:trHeight w:val="20"/>
        </w:trPr>
        <w:tc>
          <w:tcPr>
            <w:tcW w:w="1134" w:type="dxa"/>
            <w:shd w:val="clear" w:color="auto" w:fill="auto"/>
            <w:vAlign w:val="center"/>
            <w:hideMark/>
          </w:tcPr>
          <w:p w14:paraId="2ACAF72F" w14:textId="77777777" w:rsidR="00B84F30" w:rsidRPr="009772A3" w:rsidRDefault="00B84F30" w:rsidP="00957170">
            <w:pPr>
              <w:spacing w:after="0" w:line="240" w:lineRule="auto"/>
              <w:ind w:left="-106"/>
              <w:jc w:val="both"/>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 </w:t>
            </w:r>
          </w:p>
        </w:tc>
        <w:tc>
          <w:tcPr>
            <w:tcW w:w="691" w:type="dxa"/>
            <w:shd w:val="clear" w:color="auto" w:fill="auto"/>
            <w:vAlign w:val="center"/>
            <w:hideMark/>
          </w:tcPr>
          <w:p w14:paraId="477987DC" w14:textId="7B676453"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 lei</w:t>
            </w:r>
          </w:p>
        </w:tc>
        <w:tc>
          <w:tcPr>
            <w:tcW w:w="691" w:type="dxa"/>
            <w:shd w:val="clear" w:color="auto" w:fill="auto"/>
            <w:vAlign w:val="center"/>
            <w:hideMark/>
          </w:tcPr>
          <w:p w14:paraId="1C5DEF32" w14:textId="0FA6210D"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 xml:space="preserve">ii </w:t>
            </w:r>
            <w:r w:rsidRPr="009772A3">
              <w:rPr>
                <w:rFonts w:asciiTheme="majorHAnsi" w:eastAsia="Times New Roman" w:hAnsiTheme="majorHAnsi" w:cstheme="majorHAnsi"/>
                <w:sz w:val="12"/>
                <w:szCs w:val="12"/>
                <w:lang w:val="ro-MD"/>
              </w:rPr>
              <w:t>dolari SUA</w:t>
            </w:r>
          </w:p>
        </w:tc>
        <w:tc>
          <w:tcPr>
            <w:tcW w:w="691" w:type="dxa"/>
            <w:shd w:val="clear" w:color="auto" w:fill="auto"/>
            <w:vAlign w:val="center"/>
            <w:hideMark/>
          </w:tcPr>
          <w:p w14:paraId="5AAE16B2" w14:textId="734E98A1"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 lei</w:t>
            </w:r>
          </w:p>
        </w:tc>
        <w:tc>
          <w:tcPr>
            <w:tcW w:w="691" w:type="dxa"/>
            <w:shd w:val="clear" w:color="auto" w:fill="auto"/>
            <w:vAlign w:val="center"/>
            <w:hideMark/>
          </w:tcPr>
          <w:p w14:paraId="63A99A15" w14:textId="72540468"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 xml:space="preserve">ii </w:t>
            </w:r>
            <w:r w:rsidRPr="009772A3">
              <w:rPr>
                <w:rFonts w:asciiTheme="majorHAnsi" w:eastAsia="Times New Roman" w:hAnsiTheme="majorHAnsi" w:cstheme="majorHAnsi"/>
                <w:sz w:val="12"/>
                <w:szCs w:val="12"/>
                <w:lang w:val="ro-MD"/>
              </w:rPr>
              <w:t>dolari SUA</w:t>
            </w:r>
          </w:p>
        </w:tc>
        <w:tc>
          <w:tcPr>
            <w:tcW w:w="501" w:type="dxa"/>
            <w:shd w:val="clear" w:color="auto" w:fill="auto"/>
            <w:vAlign w:val="center"/>
            <w:hideMark/>
          </w:tcPr>
          <w:p w14:paraId="7C88F549" w14:textId="77777777" w:rsidR="00B84F30" w:rsidRPr="009772A3" w:rsidRDefault="00B84F30"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w:t>
            </w:r>
          </w:p>
        </w:tc>
        <w:tc>
          <w:tcPr>
            <w:tcW w:w="742" w:type="dxa"/>
            <w:shd w:val="clear" w:color="auto" w:fill="auto"/>
            <w:vAlign w:val="center"/>
            <w:hideMark/>
          </w:tcPr>
          <w:p w14:paraId="2D36F3AC" w14:textId="1C39F6E1"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 lei</w:t>
            </w:r>
          </w:p>
        </w:tc>
        <w:tc>
          <w:tcPr>
            <w:tcW w:w="697" w:type="dxa"/>
            <w:shd w:val="clear" w:color="auto" w:fill="auto"/>
            <w:vAlign w:val="center"/>
            <w:hideMark/>
          </w:tcPr>
          <w:p w14:paraId="302ED498" w14:textId="5FA5F59D"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 xml:space="preserve">ii </w:t>
            </w:r>
            <w:r w:rsidRPr="009772A3">
              <w:rPr>
                <w:rFonts w:asciiTheme="majorHAnsi" w:eastAsia="Times New Roman" w:hAnsiTheme="majorHAnsi" w:cstheme="majorHAnsi"/>
                <w:sz w:val="12"/>
                <w:szCs w:val="12"/>
                <w:lang w:val="ro-MD"/>
              </w:rPr>
              <w:t>dolari SUA</w:t>
            </w:r>
          </w:p>
        </w:tc>
        <w:tc>
          <w:tcPr>
            <w:tcW w:w="712" w:type="dxa"/>
            <w:shd w:val="clear" w:color="auto" w:fill="auto"/>
            <w:noWrap/>
            <w:vAlign w:val="bottom"/>
            <w:hideMark/>
          </w:tcPr>
          <w:p w14:paraId="0F9E8D29" w14:textId="77777777" w:rsidR="00B84F30" w:rsidRPr="009772A3" w:rsidRDefault="00B84F30" w:rsidP="00074B8F">
            <w:pPr>
              <w:spacing w:after="0" w:line="240" w:lineRule="auto"/>
              <w:ind w:left="-106"/>
              <w:jc w:val="center"/>
              <w:rPr>
                <w:rFonts w:asciiTheme="majorHAnsi" w:eastAsia="Times New Roman" w:hAnsiTheme="majorHAnsi" w:cstheme="majorHAnsi"/>
                <w:sz w:val="12"/>
                <w:szCs w:val="12"/>
                <w:lang w:val="ro-MD"/>
              </w:rPr>
            </w:pPr>
          </w:p>
        </w:tc>
        <w:tc>
          <w:tcPr>
            <w:tcW w:w="817" w:type="dxa"/>
            <w:vAlign w:val="center"/>
          </w:tcPr>
          <w:p w14:paraId="509A0B60" w14:textId="7CCC69F7"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 lei</w:t>
            </w:r>
          </w:p>
        </w:tc>
        <w:tc>
          <w:tcPr>
            <w:tcW w:w="754" w:type="dxa"/>
            <w:vAlign w:val="center"/>
          </w:tcPr>
          <w:p w14:paraId="40B34588" w14:textId="22647218"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 xml:space="preserve">ii </w:t>
            </w:r>
            <w:r w:rsidRPr="009772A3">
              <w:rPr>
                <w:rFonts w:asciiTheme="majorHAnsi" w:eastAsia="Times New Roman" w:hAnsiTheme="majorHAnsi" w:cstheme="majorHAnsi"/>
                <w:sz w:val="12"/>
                <w:szCs w:val="12"/>
                <w:lang w:val="ro-MD"/>
              </w:rPr>
              <w:t>dolari SUA</w:t>
            </w:r>
          </w:p>
        </w:tc>
        <w:tc>
          <w:tcPr>
            <w:tcW w:w="628" w:type="dxa"/>
            <w:vAlign w:val="center"/>
          </w:tcPr>
          <w:p w14:paraId="387F3C36" w14:textId="0279BA9F"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 lei</w:t>
            </w:r>
          </w:p>
        </w:tc>
        <w:tc>
          <w:tcPr>
            <w:tcW w:w="564" w:type="dxa"/>
            <w:vAlign w:val="center"/>
          </w:tcPr>
          <w:p w14:paraId="0435BA3D" w14:textId="766FEBAE" w:rsidR="00B84F30" w:rsidRPr="009772A3" w:rsidRDefault="00455C52"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w:t>
            </w:r>
            <w:r w:rsidRPr="009772A3">
              <w:rPr>
                <w:rFonts w:asciiTheme="majorHAnsi" w:eastAsia="Times New Roman" w:hAnsiTheme="majorHAnsi" w:cstheme="majorHAnsi"/>
                <w:sz w:val="12"/>
                <w:szCs w:val="12"/>
                <w:lang w:val="ro-MD"/>
              </w:rPr>
              <w:t xml:space="preserve"> dolari SUA</w:t>
            </w:r>
          </w:p>
        </w:tc>
      </w:tr>
      <w:tr w:rsidR="0079574D" w:rsidRPr="009772A3" w14:paraId="6222C6FD" w14:textId="77777777" w:rsidTr="00CF3AD4">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E5CE570" w14:textId="3A86B819" w:rsidR="0079574D" w:rsidRPr="0079574D" w:rsidRDefault="0079574D" w:rsidP="0079574D">
            <w:pPr>
              <w:spacing w:after="0" w:line="240" w:lineRule="auto"/>
              <w:ind w:left="-106"/>
              <w:jc w:val="both"/>
              <w:rPr>
                <w:rFonts w:asciiTheme="majorHAnsi" w:eastAsia="Times New Roman" w:hAnsiTheme="majorHAnsi" w:cstheme="majorHAnsi"/>
                <w:sz w:val="12"/>
                <w:szCs w:val="12"/>
                <w:lang w:val="ro-MD"/>
              </w:rPr>
            </w:pPr>
            <w:r w:rsidRPr="00CF3AD4">
              <w:rPr>
                <w:rFonts w:asciiTheme="majorHAnsi" w:eastAsia="Times New Roman" w:hAnsiTheme="majorHAnsi" w:cstheme="majorHAnsi"/>
                <w:sz w:val="12"/>
                <w:szCs w:val="12"/>
                <w:lang w:val="ro-MD"/>
              </w:rPr>
              <w:t>Guvernul RM</w:t>
            </w:r>
          </w:p>
        </w:tc>
        <w:tc>
          <w:tcPr>
            <w:tcW w:w="691" w:type="dxa"/>
            <w:shd w:val="clear" w:color="auto" w:fill="auto"/>
            <w:vAlign w:val="center"/>
            <w:hideMark/>
          </w:tcPr>
          <w:p w14:paraId="7CDADE2A"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343138.0</w:t>
            </w:r>
          </w:p>
        </w:tc>
        <w:tc>
          <w:tcPr>
            <w:tcW w:w="691" w:type="dxa"/>
            <w:shd w:val="clear" w:color="auto" w:fill="auto"/>
            <w:vAlign w:val="center"/>
            <w:hideMark/>
          </w:tcPr>
          <w:p w14:paraId="7389E16C"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81120</w:t>
            </w:r>
          </w:p>
        </w:tc>
        <w:tc>
          <w:tcPr>
            <w:tcW w:w="691" w:type="dxa"/>
            <w:shd w:val="clear" w:color="auto" w:fill="auto"/>
            <w:vAlign w:val="center"/>
            <w:hideMark/>
          </w:tcPr>
          <w:p w14:paraId="0B99E94B"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171568,8</w:t>
            </w:r>
          </w:p>
        </w:tc>
        <w:tc>
          <w:tcPr>
            <w:tcW w:w="691" w:type="dxa"/>
            <w:shd w:val="clear" w:color="auto" w:fill="auto"/>
            <w:vAlign w:val="center"/>
            <w:hideMark/>
          </w:tcPr>
          <w:p w14:paraId="2A979BDE"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40560</w:t>
            </w:r>
          </w:p>
        </w:tc>
        <w:tc>
          <w:tcPr>
            <w:tcW w:w="501" w:type="dxa"/>
            <w:shd w:val="clear" w:color="auto" w:fill="auto"/>
            <w:vAlign w:val="center"/>
            <w:hideMark/>
          </w:tcPr>
          <w:p w14:paraId="15436147"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39,0</w:t>
            </w:r>
          </w:p>
        </w:tc>
        <w:tc>
          <w:tcPr>
            <w:tcW w:w="742" w:type="dxa"/>
            <w:shd w:val="clear" w:color="auto" w:fill="auto"/>
            <w:noWrap/>
            <w:vAlign w:val="bottom"/>
            <w:hideMark/>
          </w:tcPr>
          <w:p w14:paraId="54F79B29"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270335,6</w:t>
            </w:r>
          </w:p>
        </w:tc>
        <w:tc>
          <w:tcPr>
            <w:tcW w:w="697" w:type="dxa"/>
            <w:shd w:val="clear" w:color="auto" w:fill="auto"/>
            <w:noWrap/>
            <w:vAlign w:val="bottom"/>
            <w:hideMark/>
          </w:tcPr>
          <w:p w14:paraId="3A0860D7"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58928,74</w:t>
            </w:r>
          </w:p>
        </w:tc>
        <w:tc>
          <w:tcPr>
            <w:tcW w:w="712" w:type="dxa"/>
            <w:shd w:val="clear" w:color="auto" w:fill="auto"/>
            <w:noWrap/>
            <w:vAlign w:val="bottom"/>
            <w:hideMark/>
          </w:tcPr>
          <w:p w14:paraId="6E77F5FD"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1,575669</w:t>
            </w:r>
          </w:p>
        </w:tc>
        <w:tc>
          <w:tcPr>
            <w:tcW w:w="817" w:type="dxa"/>
            <w:vAlign w:val="center"/>
          </w:tcPr>
          <w:p w14:paraId="0B24DB9B"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305274,634</w:t>
            </w:r>
          </w:p>
        </w:tc>
        <w:tc>
          <w:tcPr>
            <w:tcW w:w="754" w:type="dxa"/>
            <w:vAlign w:val="center"/>
          </w:tcPr>
          <w:p w14:paraId="200983FB"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66544,88</w:t>
            </w:r>
          </w:p>
        </w:tc>
        <w:tc>
          <w:tcPr>
            <w:tcW w:w="628" w:type="dxa"/>
            <w:vAlign w:val="center"/>
          </w:tcPr>
          <w:p w14:paraId="2818F047"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-34939,0</w:t>
            </w:r>
          </w:p>
        </w:tc>
        <w:tc>
          <w:tcPr>
            <w:tcW w:w="564" w:type="dxa"/>
            <w:vAlign w:val="center"/>
          </w:tcPr>
          <w:p w14:paraId="5FC6A131"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-7616,1</w:t>
            </w:r>
          </w:p>
        </w:tc>
      </w:tr>
      <w:tr w:rsidR="0079574D" w:rsidRPr="009772A3" w14:paraId="748BD88B" w14:textId="77777777" w:rsidTr="00CF3AD4">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B38D137" w14:textId="5D5165C1" w:rsidR="0079574D" w:rsidRPr="0079574D" w:rsidRDefault="0079574D" w:rsidP="0079574D">
            <w:pPr>
              <w:spacing w:after="0" w:line="240" w:lineRule="auto"/>
              <w:ind w:left="-106"/>
              <w:jc w:val="both"/>
              <w:rPr>
                <w:rFonts w:asciiTheme="majorHAnsi" w:eastAsia="Times New Roman" w:hAnsiTheme="majorHAnsi" w:cstheme="majorHAnsi"/>
                <w:sz w:val="12"/>
                <w:szCs w:val="12"/>
                <w:lang w:val="ro-MD"/>
              </w:rPr>
            </w:pPr>
            <w:r w:rsidRPr="00CF3AD4">
              <w:rPr>
                <w:rFonts w:asciiTheme="majorHAnsi" w:eastAsia="Times New Roman" w:hAnsiTheme="majorHAnsi" w:cstheme="majorHAnsi"/>
                <w:sz w:val="12"/>
                <w:szCs w:val="12"/>
                <w:lang w:val="ro-MD"/>
              </w:rPr>
              <w:t>Partea transnistreană</w:t>
            </w:r>
          </w:p>
        </w:tc>
        <w:tc>
          <w:tcPr>
            <w:tcW w:w="691" w:type="dxa"/>
            <w:shd w:val="clear" w:color="auto" w:fill="auto"/>
            <w:vAlign w:val="center"/>
            <w:hideMark/>
          </w:tcPr>
          <w:p w14:paraId="7DBF2E1A"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96782,4</w:t>
            </w:r>
          </w:p>
        </w:tc>
        <w:tc>
          <w:tcPr>
            <w:tcW w:w="691" w:type="dxa"/>
            <w:shd w:val="clear" w:color="auto" w:fill="auto"/>
            <w:vAlign w:val="center"/>
            <w:hideMark/>
          </w:tcPr>
          <w:p w14:paraId="2A5896DB"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22880</w:t>
            </w:r>
          </w:p>
        </w:tc>
        <w:tc>
          <w:tcPr>
            <w:tcW w:w="691" w:type="dxa"/>
            <w:shd w:val="clear" w:color="auto" w:fill="auto"/>
            <w:vAlign w:val="center"/>
            <w:hideMark/>
          </w:tcPr>
          <w:p w14:paraId="23A00955"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48391,2</w:t>
            </w:r>
          </w:p>
        </w:tc>
        <w:tc>
          <w:tcPr>
            <w:tcW w:w="691" w:type="dxa"/>
            <w:shd w:val="clear" w:color="auto" w:fill="auto"/>
            <w:vAlign w:val="center"/>
            <w:hideMark/>
          </w:tcPr>
          <w:p w14:paraId="4D92B714"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11440</w:t>
            </w:r>
          </w:p>
        </w:tc>
        <w:tc>
          <w:tcPr>
            <w:tcW w:w="501" w:type="dxa"/>
            <w:shd w:val="clear" w:color="auto" w:fill="auto"/>
            <w:vAlign w:val="center"/>
            <w:hideMark/>
          </w:tcPr>
          <w:p w14:paraId="108652C2"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11,0</w:t>
            </w:r>
          </w:p>
        </w:tc>
        <w:tc>
          <w:tcPr>
            <w:tcW w:w="742" w:type="dxa"/>
            <w:shd w:val="clear" w:color="auto" w:fill="auto"/>
            <w:noWrap/>
            <w:vAlign w:val="bottom"/>
            <w:hideMark/>
          </w:tcPr>
          <w:p w14:paraId="0C21A3D0"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121042,1</w:t>
            </w:r>
          </w:p>
        </w:tc>
        <w:tc>
          <w:tcPr>
            <w:tcW w:w="697" w:type="dxa"/>
            <w:shd w:val="clear" w:color="auto" w:fill="auto"/>
            <w:noWrap/>
            <w:vAlign w:val="bottom"/>
            <w:hideMark/>
          </w:tcPr>
          <w:p w14:paraId="0196130C"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26385,21</w:t>
            </w:r>
          </w:p>
        </w:tc>
        <w:tc>
          <w:tcPr>
            <w:tcW w:w="712" w:type="dxa"/>
            <w:shd w:val="clear" w:color="auto" w:fill="auto"/>
            <w:noWrap/>
            <w:vAlign w:val="bottom"/>
            <w:hideMark/>
          </w:tcPr>
          <w:p w14:paraId="7565547A"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2,501326</w:t>
            </w:r>
          </w:p>
        </w:tc>
        <w:tc>
          <w:tcPr>
            <w:tcW w:w="817" w:type="dxa"/>
            <w:vAlign w:val="center"/>
          </w:tcPr>
          <w:p w14:paraId="4B66B11A"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86103,102</w:t>
            </w:r>
          </w:p>
        </w:tc>
        <w:tc>
          <w:tcPr>
            <w:tcW w:w="754" w:type="dxa"/>
            <w:vAlign w:val="center"/>
          </w:tcPr>
          <w:p w14:paraId="3DA4FD4D"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18769,07</w:t>
            </w:r>
          </w:p>
        </w:tc>
        <w:tc>
          <w:tcPr>
            <w:tcW w:w="628" w:type="dxa"/>
            <w:vAlign w:val="center"/>
          </w:tcPr>
          <w:p w14:paraId="7D96380E"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34939,0</w:t>
            </w:r>
          </w:p>
        </w:tc>
        <w:tc>
          <w:tcPr>
            <w:tcW w:w="564" w:type="dxa"/>
            <w:vAlign w:val="center"/>
          </w:tcPr>
          <w:p w14:paraId="06F15D10"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7616,1</w:t>
            </w:r>
          </w:p>
        </w:tc>
      </w:tr>
      <w:tr w:rsidR="00B84F30" w:rsidRPr="009772A3" w14:paraId="1D732214" w14:textId="77777777" w:rsidTr="006E4984">
        <w:trPr>
          <w:trHeight w:val="20"/>
        </w:trPr>
        <w:tc>
          <w:tcPr>
            <w:tcW w:w="1134" w:type="dxa"/>
            <w:shd w:val="clear" w:color="auto" w:fill="auto"/>
            <w:vAlign w:val="center"/>
            <w:hideMark/>
          </w:tcPr>
          <w:p w14:paraId="33FF535E" w14:textId="77777777" w:rsidR="00B84F30" w:rsidRPr="009772A3" w:rsidRDefault="00B84F30" w:rsidP="00957170">
            <w:pPr>
              <w:spacing w:after="0" w:line="240" w:lineRule="auto"/>
              <w:ind w:left="-106"/>
              <w:jc w:val="both"/>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SA Gazprom</w:t>
            </w:r>
          </w:p>
        </w:tc>
        <w:tc>
          <w:tcPr>
            <w:tcW w:w="691" w:type="dxa"/>
            <w:shd w:val="clear" w:color="auto" w:fill="auto"/>
            <w:vAlign w:val="center"/>
            <w:hideMark/>
          </w:tcPr>
          <w:p w14:paraId="652E1530"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 </w:t>
            </w:r>
          </w:p>
        </w:tc>
        <w:tc>
          <w:tcPr>
            <w:tcW w:w="691" w:type="dxa"/>
            <w:shd w:val="clear" w:color="auto" w:fill="auto"/>
            <w:vAlign w:val="center"/>
            <w:hideMark/>
          </w:tcPr>
          <w:p w14:paraId="33EFBCB0"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 </w:t>
            </w:r>
          </w:p>
        </w:tc>
        <w:tc>
          <w:tcPr>
            <w:tcW w:w="691" w:type="dxa"/>
            <w:shd w:val="clear" w:color="auto" w:fill="auto"/>
            <w:vAlign w:val="center"/>
            <w:hideMark/>
          </w:tcPr>
          <w:p w14:paraId="0F267525"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219960,0</w:t>
            </w:r>
          </w:p>
        </w:tc>
        <w:tc>
          <w:tcPr>
            <w:tcW w:w="691" w:type="dxa"/>
            <w:shd w:val="clear" w:color="auto" w:fill="auto"/>
            <w:vAlign w:val="center"/>
            <w:hideMark/>
          </w:tcPr>
          <w:p w14:paraId="5168D1AD"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52000</w:t>
            </w:r>
          </w:p>
        </w:tc>
        <w:tc>
          <w:tcPr>
            <w:tcW w:w="501" w:type="dxa"/>
            <w:shd w:val="clear" w:color="auto" w:fill="auto"/>
            <w:vAlign w:val="center"/>
            <w:hideMark/>
          </w:tcPr>
          <w:p w14:paraId="3D40AD65"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50,0</w:t>
            </w:r>
          </w:p>
        </w:tc>
        <w:tc>
          <w:tcPr>
            <w:tcW w:w="742" w:type="dxa"/>
            <w:shd w:val="clear" w:color="auto" w:fill="auto"/>
            <w:noWrap/>
            <w:vAlign w:val="bottom"/>
            <w:hideMark/>
          </w:tcPr>
          <w:p w14:paraId="7548C378"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391377,7</w:t>
            </w:r>
          </w:p>
        </w:tc>
        <w:tc>
          <w:tcPr>
            <w:tcW w:w="697" w:type="dxa"/>
            <w:shd w:val="clear" w:color="auto" w:fill="auto"/>
            <w:noWrap/>
            <w:vAlign w:val="bottom"/>
            <w:hideMark/>
          </w:tcPr>
          <w:p w14:paraId="037FD340"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85313,95</w:t>
            </w:r>
          </w:p>
        </w:tc>
        <w:tc>
          <w:tcPr>
            <w:tcW w:w="712" w:type="dxa"/>
            <w:shd w:val="clear" w:color="auto" w:fill="auto"/>
            <w:noWrap/>
            <w:vAlign w:val="bottom"/>
            <w:hideMark/>
          </w:tcPr>
          <w:p w14:paraId="59D7ED14"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1,779313</w:t>
            </w:r>
          </w:p>
        </w:tc>
        <w:tc>
          <w:tcPr>
            <w:tcW w:w="817" w:type="dxa"/>
            <w:vAlign w:val="center"/>
          </w:tcPr>
          <w:p w14:paraId="4BAF0643"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391377,736</w:t>
            </w:r>
          </w:p>
        </w:tc>
        <w:tc>
          <w:tcPr>
            <w:tcW w:w="754" w:type="dxa"/>
            <w:vAlign w:val="center"/>
          </w:tcPr>
          <w:p w14:paraId="149004B2"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85313,95</w:t>
            </w:r>
          </w:p>
        </w:tc>
        <w:tc>
          <w:tcPr>
            <w:tcW w:w="628" w:type="dxa"/>
            <w:vAlign w:val="center"/>
          </w:tcPr>
          <w:p w14:paraId="7410D7A9"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0,0</w:t>
            </w:r>
          </w:p>
        </w:tc>
        <w:tc>
          <w:tcPr>
            <w:tcW w:w="564" w:type="dxa"/>
            <w:vAlign w:val="center"/>
          </w:tcPr>
          <w:p w14:paraId="452E54AC"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0,0</w:t>
            </w:r>
          </w:p>
        </w:tc>
      </w:tr>
      <w:tr w:rsidR="00B84F30" w:rsidRPr="009772A3" w14:paraId="487B24F5" w14:textId="77777777" w:rsidTr="006E4984">
        <w:trPr>
          <w:trHeight w:val="20"/>
        </w:trPr>
        <w:tc>
          <w:tcPr>
            <w:tcW w:w="1134" w:type="dxa"/>
            <w:shd w:val="clear" w:color="auto" w:fill="auto"/>
            <w:vAlign w:val="center"/>
            <w:hideMark/>
          </w:tcPr>
          <w:p w14:paraId="5FE055BA" w14:textId="77777777" w:rsidR="00B84F30" w:rsidRPr="009772A3" w:rsidRDefault="00B84F30" w:rsidP="00957170">
            <w:pPr>
              <w:spacing w:after="0" w:line="240" w:lineRule="auto"/>
              <w:ind w:left="-106"/>
              <w:jc w:val="both"/>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Total</w:t>
            </w:r>
          </w:p>
        </w:tc>
        <w:tc>
          <w:tcPr>
            <w:tcW w:w="691" w:type="dxa"/>
            <w:shd w:val="clear" w:color="auto" w:fill="auto"/>
            <w:vAlign w:val="center"/>
            <w:hideMark/>
          </w:tcPr>
          <w:p w14:paraId="3C45A2F4"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439920,0</w:t>
            </w:r>
          </w:p>
        </w:tc>
        <w:tc>
          <w:tcPr>
            <w:tcW w:w="691" w:type="dxa"/>
            <w:shd w:val="clear" w:color="auto" w:fill="auto"/>
            <w:vAlign w:val="center"/>
            <w:hideMark/>
          </w:tcPr>
          <w:p w14:paraId="56893112"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104000,0</w:t>
            </w:r>
          </w:p>
        </w:tc>
        <w:tc>
          <w:tcPr>
            <w:tcW w:w="691" w:type="dxa"/>
            <w:shd w:val="clear" w:color="auto" w:fill="auto"/>
            <w:vAlign w:val="center"/>
            <w:hideMark/>
          </w:tcPr>
          <w:p w14:paraId="682C75D9"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439920,0</w:t>
            </w:r>
          </w:p>
        </w:tc>
        <w:tc>
          <w:tcPr>
            <w:tcW w:w="691" w:type="dxa"/>
            <w:shd w:val="clear" w:color="auto" w:fill="auto"/>
            <w:vAlign w:val="center"/>
            <w:hideMark/>
          </w:tcPr>
          <w:p w14:paraId="0CB1FEC5"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104000</w:t>
            </w:r>
          </w:p>
        </w:tc>
        <w:tc>
          <w:tcPr>
            <w:tcW w:w="501" w:type="dxa"/>
            <w:shd w:val="clear" w:color="auto" w:fill="auto"/>
            <w:vAlign w:val="center"/>
            <w:hideMark/>
          </w:tcPr>
          <w:p w14:paraId="2387857D"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100,0</w:t>
            </w:r>
          </w:p>
        </w:tc>
        <w:tc>
          <w:tcPr>
            <w:tcW w:w="742" w:type="dxa"/>
            <w:shd w:val="clear" w:color="auto" w:fill="auto"/>
            <w:vAlign w:val="center"/>
            <w:hideMark/>
          </w:tcPr>
          <w:p w14:paraId="2118CF8C"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782755,5</w:t>
            </w:r>
          </w:p>
        </w:tc>
        <w:tc>
          <w:tcPr>
            <w:tcW w:w="697" w:type="dxa"/>
            <w:shd w:val="clear" w:color="auto" w:fill="auto"/>
            <w:vAlign w:val="center"/>
            <w:hideMark/>
          </w:tcPr>
          <w:p w14:paraId="4FDEFE1B"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170627,90</w:t>
            </w:r>
          </w:p>
        </w:tc>
        <w:tc>
          <w:tcPr>
            <w:tcW w:w="712" w:type="dxa"/>
            <w:shd w:val="clear" w:color="auto" w:fill="auto"/>
            <w:noWrap/>
            <w:vAlign w:val="bottom"/>
            <w:hideMark/>
          </w:tcPr>
          <w:p w14:paraId="38C74041"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1,779313</w:t>
            </w:r>
          </w:p>
        </w:tc>
        <w:tc>
          <w:tcPr>
            <w:tcW w:w="817" w:type="dxa"/>
            <w:vAlign w:val="center"/>
          </w:tcPr>
          <w:p w14:paraId="4EF8CD69"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782755,472</w:t>
            </w:r>
          </w:p>
        </w:tc>
        <w:tc>
          <w:tcPr>
            <w:tcW w:w="754" w:type="dxa"/>
            <w:vAlign w:val="center"/>
          </w:tcPr>
          <w:p w14:paraId="39ED2025"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170627,90</w:t>
            </w:r>
          </w:p>
        </w:tc>
        <w:tc>
          <w:tcPr>
            <w:tcW w:w="628" w:type="dxa"/>
            <w:vAlign w:val="center"/>
          </w:tcPr>
          <w:p w14:paraId="58F6ED9A"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0,0</w:t>
            </w:r>
          </w:p>
        </w:tc>
        <w:tc>
          <w:tcPr>
            <w:tcW w:w="564" w:type="dxa"/>
            <w:vAlign w:val="center"/>
          </w:tcPr>
          <w:p w14:paraId="140615B3"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0,0</w:t>
            </w:r>
          </w:p>
        </w:tc>
      </w:tr>
    </w:tbl>
    <w:p w14:paraId="0395BDE1" w14:textId="506B7280" w:rsidR="00B84F30" w:rsidRPr="009772A3" w:rsidRDefault="00B84F30" w:rsidP="008050C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Țin</w:t>
      </w:r>
      <w:r w:rsidR="00D0018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nd cont </w:t>
      </w:r>
      <w:r w:rsidR="00D00187" w:rsidRPr="009772A3">
        <w:rPr>
          <w:rFonts w:asciiTheme="majorHAnsi" w:hAnsiTheme="majorHAnsi" w:cstheme="majorHAnsi"/>
          <w:sz w:val="24"/>
          <w:szCs w:val="24"/>
          <w:lang w:val="ro-MD"/>
        </w:rPr>
        <w:t xml:space="preserve">de faptul </w:t>
      </w:r>
      <w:r w:rsidRPr="009772A3">
        <w:rPr>
          <w:rFonts w:asciiTheme="majorHAnsi" w:hAnsiTheme="majorHAnsi" w:cstheme="majorHAnsi"/>
          <w:sz w:val="24"/>
          <w:szCs w:val="24"/>
          <w:lang w:val="ro-MD"/>
        </w:rPr>
        <w:t xml:space="preserve">că la fondarea ÎM </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în listele de evaluare a patrimoniului DRGM </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inclus și patrimoniul aflat pe malul drept al </w:t>
      </w:r>
      <w:r w:rsidR="00D00187" w:rsidRPr="009772A3">
        <w:rPr>
          <w:rFonts w:asciiTheme="majorHAnsi" w:hAnsiTheme="majorHAnsi" w:cstheme="majorHAnsi"/>
          <w:sz w:val="24"/>
          <w:szCs w:val="24"/>
          <w:lang w:val="ro-MD"/>
        </w:rPr>
        <w:t>râului Nistru</w:t>
      </w:r>
      <w:r w:rsidRPr="009772A3">
        <w:rPr>
          <w:rFonts w:asciiTheme="majorHAnsi" w:hAnsiTheme="majorHAnsi" w:cstheme="majorHAnsi"/>
          <w:sz w:val="24"/>
          <w:szCs w:val="24"/>
          <w:lang w:val="ro-MD"/>
        </w:rPr>
        <w:t xml:space="preserve">, valoarea patrimoniului ÎM </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depus de </w:t>
      </w:r>
      <w:r w:rsidR="00FB5BD0">
        <w:rPr>
          <w:rFonts w:asciiTheme="majorHAnsi" w:hAnsiTheme="majorHAnsi" w:cstheme="majorHAnsi"/>
          <w:sz w:val="24"/>
          <w:szCs w:val="24"/>
          <w:lang w:val="ro-MD"/>
        </w:rPr>
        <w:t xml:space="preserve">Guvernul </w:t>
      </w:r>
      <w:r w:rsidRPr="009772A3">
        <w:rPr>
          <w:rFonts w:asciiTheme="majorHAnsi" w:hAnsiTheme="majorHAnsi" w:cstheme="majorHAnsi"/>
          <w:sz w:val="24"/>
          <w:szCs w:val="24"/>
          <w:lang w:val="ro-MD"/>
        </w:rPr>
        <w:t>RM în capitalul statutar al SA Moldovagaz urma să constituie 78</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544,3 mii </w:t>
      </w:r>
      <w:r w:rsidR="00D00187" w:rsidRPr="009772A3">
        <w:rPr>
          <w:rFonts w:asciiTheme="majorHAnsi" w:hAnsiTheme="majorHAnsi" w:cstheme="majorHAnsi"/>
          <w:sz w:val="24"/>
          <w:szCs w:val="24"/>
          <w:lang w:val="ro-MD"/>
        </w:rPr>
        <w:t xml:space="preserve">dolari SUA, </w:t>
      </w:r>
      <w:r w:rsidRPr="009772A3">
        <w:rPr>
          <w:rFonts w:asciiTheme="majorHAnsi" w:hAnsiTheme="majorHAnsi" w:cstheme="majorHAnsi"/>
          <w:sz w:val="24"/>
          <w:szCs w:val="24"/>
          <w:lang w:val="ro-MD"/>
        </w:rPr>
        <w:t>și nu 58</w:t>
      </w:r>
      <w:r w:rsidR="00D001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928,74 mii </w:t>
      </w:r>
      <w:r w:rsidR="00D00187" w:rsidRPr="009772A3">
        <w:rPr>
          <w:rFonts w:asciiTheme="majorHAnsi" w:hAnsiTheme="majorHAnsi" w:cstheme="majorHAnsi"/>
          <w:sz w:val="24"/>
          <w:szCs w:val="24"/>
          <w:lang w:val="ro-MD"/>
        </w:rPr>
        <w:t>dolari SUA</w:t>
      </w:r>
      <w:r w:rsidRPr="009772A3">
        <w:rPr>
          <w:rFonts w:asciiTheme="majorHAnsi" w:hAnsiTheme="majorHAnsi" w:cstheme="majorHAnsi"/>
          <w:sz w:val="24"/>
          <w:szCs w:val="24"/>
          <w:lang w:val="ro-MD"/>
        </w:rPr>
        <w:t xml:space="preserve">. </w:t>
      </w:r>
    </w:p>
    <w:p w14:paraId="149A1EC2" w14:textId="7A1E1747" w:rsidR="00D00187" w:rsidRPr="009772A3" w:rsidRDefault="00B84F30" w:rsidP="00074B8F">
      <w:pPr>
        <w:shd w:val="clear" w:color="auto" w:fill="FFFFFF"/>
        <w:spacing w:after="0" w:line="240" w:lineRule="auto"/>
        <w:jc w:val="right"/>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Tabelul nr.</w:t>
      </w:r>
      <w:r w:rsidR="00D00187" w:rsidRPr="009772A3">
        <w:rPr>
          <w:rFonts w:asciiTheme="majorHAnsi" w:eastAsia="Times New Roman" w:hAnsiTheme="majorHAnsi" w:cstheme="majorHAnsi"/>
          <w:b/>
          <w:sz w:val="24"/>
          <w:szCs w:val="24"/>
          <w:lang w:val="ro-MD" w:eastAsia="ru-RU"/>
        </w:rPr>
        <w:t>4.1.</w:t>
      </w:r>
      <w:r w:rsidR="0079574D">
        <w:rPr>
          <w:rFonts w:asciiTheme="majorHAnsi" w:eastAsia="Times New Roman" w:hAnsiTheme="majorHAnsi" w:cstheme="majorHAnsi"/>
          <w:b/>
          <w:sz w:val="24"/>
          <w:szCs w:val="24"/>
          <w:lang w:val="ro-MD" w:eastAsia="ru-RU"/>
        </w:rPr>
        <w:t>1.</w:t>
      </w:r>
      <w:r w:rsidRPr="009772A3">
        <w:rPr>
          <w:rFonts w:asciiTheme="majorHAnsi" w:eastAsia="Times New Roman" w:hAnsiTheme="majorHAnsi" w:cstheme="majorHAnsi"/>
          <w:b/>
          <w:sz w:val="24"/>
          <w:szCs w:val="24"/>
          <w:lang w:val="ro-MD" w:eastAsia="ru-RU"/>
        </w:rPr>
        <w:t xml:space="preserve">4 </w:t>
      </w:r>
    </w:p>
    <w:p w14:paraId="22A2223A" w14:textId="72B78398" w:rsidR="00B84F30" w:rsidRPr="009772A3" w:rsidRDefault="00B84F30" w:rsidP="008050C6">
      <w:pPr>
        <w:shd w:val="clear" w:color="auto" w:fill="FFFFFF"/>
        <w:spacing w:after="0" w:line="240" w:lineRule="auto"/>
        <w:jc w:val="center"/>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 xml:space="preserve">Patrimoniul SA </w:t>
      </w:r>
      <w:r w:rsidR="00D00187" w:rsidRPr="009772A3">
        <w:rPr>
          <w:rFonts w:asciiTheme="majorHAnsi" w:eastAsia="Times New Roman" w:hAnsiTheme="majorHAnsi" w:cstheme="majorHAnsi"/>
          <w:b/>
          <w:sz w:val="24"/>
          <w:szCs w:val="24"/>
          <w:lang w:val="ro-MD" w:eastAsia="ru-RU"/>
        </w:rPr>
        <w:t>„</w:t>
      </w:r>
      <w:r w:rsidRPr="009772A3">
        <w:rPr>
          <w:rFonts w:asciiTheme="majorHAnsi" w:eastAsia="Times New Roman" w:hAnsiTheme="majorHAnsi" w:cstheme="majorHAnsi"/>
          <w:b/>
          <w:sz w:val="24"/>
          <w:szCs w:val="24"/>
          <w:lang w:val="ro-MD" w:eastAsia="ru-RU"/>
        </w:rPr>
        <w:t>Gazsnabtranzit</w:t>
      </w:r>
      <w:r w:rsidR="00D00187" w:rsidRPr="009772A3">
        <w:rPr>
          <w:rFonts w:asciiTheme="majorHAnsi" w:eastAsia="Times New Roman" w:hAnsiTheme="majorHAnsi" w:cstheme="majorHAnsi"/>
          <w:b/>
          <w:sz w:val="24"/>
          <w:szCs w:val="24"/>
          <w:lang w:val="ro-MD" w:eastAsia="ru-RU"/>
        </w:rPr>
        <w:t>”</w:t>
      </w:r>
      <w:r w:rsidRPr="009772A3">
        <w:rPr>
          <w:rFonts w:asciiTheme="majorHAnsi" w:eastAsia="Times New Roman" w:hAnsiTheme="majorHAnsi" w:cstheme="majorHAnsi"/>
          <w:b/>
          <w:sz w:val="24"/>
          <w:szCs w:val="24"/>
          <w:lang w:val="ro-MD" w:eastAsia="ru-RU"/>
        </w:rPr>
        <w:t xml:space="preserve"> real depus în capitalul SA Moldovagaz</w:t>
      </w: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3"/>
        <w:gridCol w:w="593"/>
        <w:gridCol w:w="383"/>
        <w:gridCol w:w="860"/>
        <w:gridCol w:w="672"/>
        <w:gridCol w:w="550"/>
        <w:gridCol w:w="8"/>
        <w:gridCol w:w="785"/>
        <w:gridCol w:w="810"/>
        <w:gridCol w:w="551"/>
        <w:gridCol w:w="6"/>
        <w:gridCol w:w="677"/>
        <w:gridCol w:w="696"/>
        <w:gridCol w:w="556"/>
      </w:tblGrid>
      <w:tr w:rsidR="00B84F30" w:rsidRPr="009772A3" w14:paraId="7ACF0E7F" w14:textId="77777777" w:rsidTr="006E4984">
        <w:trPr>
          <w:trHeight w:val="20"/>
        </w:trPr>
        <w:tc>
          <w:tcPr>
            <w:tcW w:w="1418" w:type="dxa"/>
            <w:shd w:val="clear" w:color="auto" w:fill="auto"/>
            <w:vAlign w:val="center"/>
            <w:hideMark/>
          </w:tcPr>
          <w:p w14:paraId="4107DB78" w14:textId="77777777" w:rsidR="00B84F30" w:rsidRPr="009772A3" w:rsidRDefault="00B84F30" w:rsidP="00957170">
            <w:pPr>
              <w:spacing w:after="0" w:line="240" w:lineRule="auto"/>
              <w:jc w:val="both"/>
              <w:rPr>
                <w:rFonts w:asciiTheme="majorHAnsi" w:eastAsia="Times New Roman" w:hAnsiTheme="majorHAnsi" w:cstheme="majorHAnsi"/>
                <w:sz w:val="12"/>
                <w:szCs w:val="12"/>
                <w:lang w:val="ro-MD"/>
              </w:rPr>
            </w:pPr>
            <w:r w:rsidRPr="009772A3">
              <w:rPr>
                <w:rFonts w:asciiTheme="majorHAnsi" w:hAnsiTheme="majorHAnsi" w:cstheme="majorHAnsi"/>
                <w:sz w:val="12"/>
                <w:szCs w:val="12"/>
                <w:lang w:val="ro-MD"/>
              </w:rPr>
              <w:t xml:space="preserve"> </w:t>
            </w:r>
            <w:r w:rsidRPr="009772A3">
              <w:rPr>
                <w:rFonts w:asciiTheme="majorHAnsi" w:eastAsia="Times New Roman" w:hAnsiTheme="majorHAnsi" w:cstheme="majorHAnsi"/>
                <w:sz w:val="12"/>
                <w:szCs w:val="12"/>
                <w:lang w:val="ro-MD"/>
              </w:rPr>
              <w:t>Fondatorii</w:t>
            </w:r>
          </w:p>
        </w:tc>
        <w:tc>
          <w:tcPr>
            <w:tcW w:w="1709" w:type="dxa"/>
            <w:gridSpan w:val="3"/>
          </w:tcPr>
          <w:p w14:paraId="657B609C" w14:textId="142CE8A1" w:rsidR="00B84F30" w:rsidRPr="009772A3" w:rsidRDefault="00B84F30" w:rsidP="00957170">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 xml:space="preserve">Cota determinată în capitalul social </w:t>
            </w:r>
            <w:r w:rsidR="00D00187" w:rsidRPr="009772A3">
              <w:rPr>
                <w:rFonts w:asciiTheme="majorHAnsi" w:eastAsia="Times New Roman" w:hAnsiTheme="majorHAnsi" w:cstheme="majorHAnsi"/>
                <w:sz w:val="12"/>
                <w:szCs w:val="12"/>
                <w:lang w:val="ro-MD"/>
              </w:rPr>
              <w:t xml:space="preserve">al </w:t>
            </w:r>
            <w:r w:rsidRPr="009772A3">
              <w:rPr>
                <w:rFonts w:asciiTheme="majorHAnsi" w:eastAsia="Times New Roman" w:hAnsiTheme="majorHAnsi" w:cstheme="majorHAnsi"/>
                <w:sz w:val="12"/>
                <w:szCs w:val="12"/>
                <w:lang w:val="ro-MD"/>
              </w:rPr>
              <w:t xml:space="preserve">SA </w:t>
            </w:r>
            <w:r w:rsidRPr="009772A3">
              <w:rPr>
                <w:rFonts w:asciiTheme="majorHAnsi" w:hAnsiTheme="majorHAnsi" w:cstheme="majorHAnsi"/>
                <w:sz w:val="12"/>
                <w:szCs w:val="12"/>
                <w:lang w:val="ro-MD"/>
              </w:rPr>
              <w:t>Gazsnabtranzit</w:t>
            </w:r>
          </w:p>
        </w:tc>
        <w:tc>
          <w:tcPr>
            <w:tcW w:w="2090" w:type="dxa"/>
            <w:gridSpan w:val="4"/>
            <w:shd w:val="clear" w:color="auto" w:fill="auto"/>
            <w:vAlign w:val="center"/>
            <w:hideMark/>
          </w:tcPr>
          <w:p w14:paraId="49362E97" w14:textId="77777777" w:rsidR="00B84F30" w:rsidRPr="009772A3" w:rsidRDefault="00B84F30" w:rsidP="00957170">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 xml:space="preserve">Cota reală a patrimoniului depus în capitalul social SA </w:t>
            </w:r>
            <w:r w:rsidRPr="009772A3">
              <w:rPr>
                <w:rFonts w:asciiTheme="majorHAnsi" w:hAnsiTheme="majorHAnsi" w:cstheme="majorHAnsi"/>
                <w:sz w:val="12"/>
                <w:szCs w:val="12"/>
                <w:lang w:val="ro-MD"/>
              </w:rPr>
              <w:t>Gazsnabtranzit</w:t>
            </w:r>
          </w:p>
        </w:tc>
        <w:tc>
          <w:tcPr>
            <w:tcW w:w="2152" w:type="dxa"/>
            <w:gridSpan w:val="4"/>
            <w:shd w:val="clear" w:color="auto" w:fill="auto"/>
            <w:vAlign w:val="bottom"/>
            <w:hideMark/>
          </w:tcPr>
          <w:p w14:paraId="3EA6429A" w14:textId="77777777" w:rsidR="00B84F30" w:rsidRPr="009772A3" w:rsidRDefault="00B84F30" w:rsidP="00957170">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Cota evaluată conform Contractului de societate SA Moldovagaz</w:t>
            </w:r>
          </w:p>
        </w:tc>
        <w:tc>
          <w:tcPr>
            <w:tcW w:w="1929" w:type="dxa"/>
            <w:gridSpan w:val="3"/>
            <w:shd w:val="clear" w:color="auto" w:fill="auto"/>
            <w:vAlign w:val="center"/>
            <w:hideMark/>
          </w:tcPr>
          <w:p w14:paraId="0B55EF6E" w14:textId="77777777" w:rsidR="00B84F30" w:rsidRPr="009772A3" w:rsidRDefault="00B84F30" w:rsidP="00957170">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Cota reală depusă în capitalul social al SA Moldovagaz</w:t>
            </w:r>
          </w:p>
        </w:tc>
      </w:tr>
      <w:tr w:rsidR="00B84F30" w:rsidRPr="009772A3" w14:paraId="499920BA" w14:textId="77777777" w:rsidTr="006E4984">
        <w:trPr>
          <w:trHeight w:val="20"/>
        </w:trPr>
        <w:tc>
          <w:tcPr>
            <w:tcW w:w="1418" w:type="dxa"/>
            <w:shd w:val="clear" w:color="auto" w:fill="auto"/>
            <w:vAlign w:val="center"/>
            <w:hideMark/>
          </w:tcPr>
          <w:p w14:paraId="746C1F89" w14:textId="77777777" w:rsidR="00B84F30" w:rsidRPr="009772A3" w:rsidRDefault="00B84F30" w:rsidP="00957170">
            <w:pPr>
              <w:spacing w:after="0" w:line="240" w:lineRule="auto"/>
              <w:jc w:val="both"/>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 </w:t>
            </w:r>
          </w:p>
        </w:tc>
        <w:tc>
          <w:tcPr>
            <w:tcW w:w="733" w:type="dxa"/>
            <w:vAlign w:val="center"/>
          </w:tcPr>
          <w:p w14:paraId="7302BF48" w14:textId="49709F47" w:rsidR="00B84F30" w:rsidRPr="009772A3" w:rsidRDefault="00D00187"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 lei</w:t>
            </w:r>
          </w:p>
        </w:tc>
        <w:tc>
          <w:tcPr>
            <w:tcW w:w="593" w:type="dxa"/>
            <w:vAlign w:val="center"/>
          </w:tcPr>
          <w:p w14:paraId="4B711861" w14:textId="5F3C3653" w:rsidR="00B84F30" w:rsidRPr="009772A3" w:rsidRDefault="00D00187"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 xml:space="preserve">ii </w:t>
            </w:r>
            <w:r w:rsidRPr="009772A3">
              <w:rPr>
                <w:rFonts w:asciiTheme="majorHAnsi" w:eastAsia="Times New Roman" w:hAnsiTheme="majorHAnsi" w:cstheme="majorHAnsi"/>
                <w:sz w:val="12"/>
                <w:szCs w:val="12"/>
                <w:lang w:val="ro-MD"/>
              </w:rPr>
              <w:t>dolari SUA</w:t>
            </w:r>
          </w:p>
        </w:tc>
        <w:tc>
          <w:tcPr>
            <w:tcW w:w="383" w:type="dxa"/>
            <w:vAlign w:val="center"/>
          </w:tcPr>
          <w:p w14:paraId="4CC11861" w14:textId="77777777" w:rsidR="00B84F30" w:rsidRPr="009772A3" w:rsidRDefault="00B84F30" w:rsidP="00074B8F">
            <w:pPr>
              <w:spacing w:after="0" w:line="240" w:lineRule="auto"/>
              <w:ind w:left="-106"/>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w:t>
            </w:r>
          </w:p>
        </w:tc>
        <w:tc>
          <w:tcPr>
            <w:tcW w:w="860" w:type="dxa"/>
            <w:shd w:val="clear" w:color="auto" w:fill="auto"/>
            <w:vAlign w:val="center"/>
            <w:hideMark/>
          </w:tcPr>
          <w:p w14:paraId="26D12498" w14:textId="77777777" w:rsidR="00B84F30" w:rsidRPr="009772A3" w:rsidRDefault="00B84F30"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mii lei</w:t>
            </w:r>
          </w:p>
        </w:tc>
        <w:tc>
          <w:tcPr>
            <w:tcW w:w="672" w:type="dxa"/>
            <w:shd w:val="clear" w:color="auto" w:fill="auto"/>
            <w:vAlign w:val="center"/>
            <w:hideMark/>
          </w:tcPr>
          <w:p w14:paraId="4075AF83" w14:textId="394B6DAD" w:rsidR="00B84F30" w:rsidRPr="009772A3" w:rsidRDefault="00D00187"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w:t>
            </w:r>
            <w:r w:rsidRPr="009772A3">
              <w:rPr>
                <w:rFonts w:asciiTheme="majorHAnsi" w:eastAsia="Times New Roman" w:hAnsiTheme="majorHAnsi" w:cstheme="majorHAnsi"/>
                <w:sz w:val="12"/>
                <w:szCs w:val="12"/>
                <w:lang w:val="ro-MD"/>
              </w:rPr>
              <w:t xml:space="preserve"> dolari SUA</w:t>
            </w:r>
          </w:p>
        </w:tc>
        <w:tc>
          <w:tcPr>
            <w:tcW w:w="550" w:type="dxa"/>
            <w:shd w:val="clear" w:color="auto" w:fill="auto"/>
            <w:noWrap/>
            <w:vAlign w:val="bottom"/>
            <w:hideMark/>
          </w:tcPr>
          <w:p w14:paraId="7DDB1BB0" w14:textId="77777777" w:rsidR="00B84F30" w:rsidRPr="009772A3" w:rsidRDefault="00B84F30"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w:t>
            </w:r>
          </w:p>
        </w:tc>
        <w:tc>
          <w:tcPr>
            <w:tcW w:w="793" w:type="dxa"/>
            <w:gridSpan w:val="2"/>
            <w:shd w:val="clear" w:color="auto" w:fill="auto"/>
            <w:vAlign w:val="center"/>
            <w:hideMark/>
          </w:tcPr>
          <w:p w14:paraId="59C22CBE" w14:textId="1DBB5A72" w:rsidR="00B84F30" w:rsidRPr="009772A3" w:rsidRDefault="00D00187"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ii lei</w:t>
            </w:r>
          </w:p>
        </w:tc>
        <w:tc>
          <w:tcPr>
            <w:tcW w:w="810" w:type="dxa"/>
            <w:shd w:val="clear" w:color="auto" w:fill="auto"/>
            <w:vAlign w:val="center"/>
            <w:hideMark/>
          </w:tcPr>
          <w:p w14:paraId="093B4DF8" w14:textId="30A6A9B7" w:rsidR="00B84F30" w:rsidRPr="009772A3" w:rsidRDefault="00D00187"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 xml:space="preserve">ii </w:t>
            </w:r>
            <w:r w:rsidRPr="009772A3">
              <w:rPr>
                <w:rFonts w:asciiTheme="majorHAnsi" w:eastAsia="Times New Roman" w:hAnsiTheme="majorHAnsi" w:cstheme="majorHAnsi"/>
                <w:sz w:val="12"/>
                <w:szCs w:val="12"/>
                <w:lang w:val="ro-MD"/>
              </w:rPr>
              <w:t>dolari SUA</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32AC782" w14:textId="77777777" w:rsidR="00B84F30" w:rsidRPr="009772A3" w:rsidRDefault="00B84F30" w:rsidP="00074B8F">
            <w:pPr>
              <w:spacing w:after="0"/>
              <w:jc w:val="center"/>
              <w:rPr>
                <w:rFonts w:asciiTheme="majorHAnsi" w:eastAsia="Times New Roman" w:hAnsiTheme="majorHAnsi" w:cstheme="majorHAnsi"/>
                <w:sz w:val="12"/>
                <w:szCs w:val="12"/>
                <w:lang w:val="ro-MD"/>
              </w:rPr>
            </w:pPr>
            <w:r w:rsidRPr="009772A3">
              <w:rPr>
                <w:rFonts w:asciiTheme="majorHAnsi" w:hAnsiTheme="majorHAnsi" w:cstheme="majorHAnsi"/>
                <w:sz w:val="12"/>
                <w:szCs w:val="12"/>
                <w:lang w:val="ro-MD"/>
              </w:rPr>
              <w:t>%</w:t>
            </w:r>
          </w:p>
        </w:tc>
        <w:tc>
          <w:tcPr>
            <w:tcW w:w="683" w:type="dxa"/>
            <w:gridSpan w:val="2"/>
            <w:shd w:val="clear" w:color="auto" w:fill="auto"/>
            <w:vAlign w:val="center"/>
            <w:hideMark/>
          </w:tcPr>
          <w:p w14:paraId="5B34AAB4" w14:textId="77777777" w:rsidR="00B84F30" w:rsidRPr="009772A3" w:rsidRDefault="00B84F30"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mii lei</w:t>
            </w:r>
          </w:p>
        </w:tc>
        <w:tc>
          <w:tcPr>
            <w:tcW w:w="696" w:type="dxa"/>
            <w:shd w:val="clear" w:color="auto" w:fill="auto"/>
            <w:vAlign w:val="center"/>
            <w:hideMark/>
          </w:tcPr>
          <w:p w14:paraId="0E85AB7D" w14:textId="6BC27F7D" w:rsidR="00B84F30" w:rsidRPr="009772A3" w:rsidRDefault="00D00187"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m</w:t>
            </w:r>
            <w:r w:rsidR="00B84F30" w:rsidRPr="009772A3">
              <w:rPr>
                <w:rFonts w:asciiTheme="majorHAnsi" w:eastAsia="Times New Roman" w:hAnsiTheme="majorHAnsi" w:cstheme="majorHAnsi"/>
                <w:sz w:val="12"/>
                <w:szCs w:val="12"/>
                <w:lang w:val="ro-MD"/>
              </w:rPr>
              <w:t xml:space="preserve">ii </w:t>
            </w:r>
            <w:r w:rsidRPr="009772A3">
              <w:rPr>
                <w:rFonts w:asciiTheme="majorHAnsi" w:eastAsia="Times New Roman" w:hAnsiTheme="majorHAnsi" w:cstheme="majorHAnsi"/>
                <w:sz w:val="12"/>
                <w:szCs w:val="12"/>
                <w:lang w:val="ro-MD"/>
              </w:rPr>
              <w:t>dolari SUA</w:t>
            </w:r>
          </w:p>
        </w:tc>
        <w:tc>
          <w:tcPr>
            <w:tcW w:w="550" w:type="dxa"/>
            <w:shd w:val="clear" w:color="auto" w:fill="auto"/>
            <w:noWrap/>
            <w:vAlign w:val="bottom"/>
            <w:hideMark/>
          </w:tcPr>
          <w:p w14:paraId="391083B2" w14:textId="77777777" w:rsidR="00B84F30" w:rsidRPr="009772A3" w:rsidRDefault="00B84F30" w:rsidP="00074B8F">
            <w:pPr>
              <w:spacing w:after="0" w:line="240" w:lineRule="auto"/>
              <w:jc w:val="center"/>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w:t>
            </w:r>
          </w:p>
        </w:tc>
      </w:tr>
      <w:tr w:rsidR="0079574D" w:rsidRPr="009772A3" w14:paraId="006573E8" w14:textId="77777777" w:rsidTr="006E4984">
        <w:trPr>
          <w:trHeight w:val="20"/>
        </w:trPr>
        <w:tc>
          <w:tcPr>
            <w:tcW w:w="1418" w:type="dxa"/>
            <w:shd w:val="clear" w:color="auto" w:fill="auto"/>
            <w:vAlign w:val="center"/>
            <w:hideMark/>
          </w:tcPr>
          <w:p w14:paraId="128949FA" w14:textId="16B992AE" w:rsidR="0079574D" w:rsidRPr="0079574D" w:rsidRDefault="0079574D" w:rsidP="0079574D">
            <w:pPr>
              <w:spacing w:after="0" w:line="240" w:lineRule="auto"/>
              <w:jc w:val="both"/>
              <w:rPr>
                <w:rFonts w:asciiTheme="majorHAnsi" w:eastAsia="Times New Roman" w:hAnsiTheme="majorHAnsi" w:cstheme="majorHAnsi"/>
                <w:sz w:val="12"/>
                <w:szCs w:val="12"/>
                <w:lang w:val="ro-MD"/>
              </w:rPr>
            </w:pPr>
            <w:r w:rsidRPr="00CF3AD4">
              <w:rPr>
                <w:rFonts w:asciiTheme="majorHAnsi" w:eastAsia="Times New Roman" w:hAnsiTheme="majorHAnsi" w:cstheme="majorHAnsi"/>
                <w:sz w:val="12"/>
                <w:szCs w:val="12"/>
                <w:lang w:val="ro-MD"/>
              </w:rPr>
              <w:t>Guvernul RM</w:t>
            </w:r>
          </w:p>
        </w:tc>
        <w:tc>
          <w:tcPr>
            <w:tcW w:w="733" w:type="dxa"/>
            <w:vAlign w:val="center"/>
          </w:tcPr>
          <w:p w14:paraId="37E7BD75"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171568,8</w:t>
            </w:r>
          </w:p>
        </w:tc>
        <w:tc>
          <w:tcPr>
            <w:tcW w:w="593" w:type="dxa"/>
            <w:vAlign w:val="center"/>
          </w:tcPr>
          <w:p w14:paraId="505C0FD7"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40560</w:t>
            </w:r>
          </w:p>
        </w:tc>
        <w:tc>
          <w:tcPr>
            <w:tcW w:w="383" w:type="dxa"/>
            <w:vAlign w:val="center"/>
          </w:tcPr>
          <w:p w14:paraId="76D878E1"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39,0</w:t>
            </w:r>
          </w:p>
        </w:tc>
        <w:tc>
          <w:tcPr>
            <w:tcW w:w="860" w:type="dxa"/>
            <w:shd w:val="clear" w:color="auto" w:fill="auto"/>
            <w:vAlign w:val="center"/>
            <w:hideMark/>
          </w:tcPr>
          <w:p w14:paraId="69A23E68"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202506,3</w:t>
            </w:r>
          </w:p>
        </w:tc>
        <w:tc>
          <w:tcPr>
            <w:tcW w:w="672" w:type="dxa"/>
            <w:shd w:val="clear" w:color="auto" w:fill="auto"/>
            <w:vAlign w:val="center"/>
            <w:hideMark/>
          </w:tcPr>
          <w:p w14:paraId="10410090"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47873,8</w:t>
            </w:r>
          </w:p>
        </w:tc>
        <w:tc>
          <w:tcPr>
            <w:tcW w:w="550" w:type="dxa"/>
            <w:shd w:val="clear" w:color="auto" w:fill="auto"/>
            <w:noWrap/>
            <w:vAlign w:val="center"/>
            <w:hideMark/>
          </w:tcPr>
          <w:p w14:paraId="28BF538E"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46,03</w:t>
            </w:r>
          </w:p>
        </w:tc>
        <w:tc>
          <w:tcPr>
            <w:tcW w:w="793" w:type="dxa"/>
            <w:gridSpan w:val="2"/>
            <w:shd w:val="clear" w:color="auto" w:fill="auto"/>
            <w:noWrap/>
            <w:vAlign w:val="center"/>
            <w:hideMark/>
          </w:tcPr>
          <w:p w14:paraId="4EF52DC0"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270335,592</w:t>
            </w:r>
          </w:p>
        </w:tc>
        <w:tc>
          <w:tcPr>
            <w:tcW w:w="810" w:type="dxa"/>
            <w:shd w:val="clear" w:color="auto" w:fill="auto"/>
            <w:noWrap/>
            <w:vAlign w:val="center"/>
            <w:hideMark/>
          </w:tcPr>
          <w:p w14:paraId="2EE8FD50"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58928,74</w:t>
            </w:r>
          </w:p>
        </w:tc>
        <w:tc>
          <w:tcPr>
            <w:tcW w:w="551" w:type="dxa"/>
            <w:tcBorders>
              <w:top w:val="nil"/>
              <w:left w:val="single" w:sz="4" w:space="0" w:color="auto"/>
              <w:bottom w:val="single" w:sz="4" w:space="0" w:color="auto"/>
              <w:right w:val="single" w:sz="4" w:space="0" w:color="auto"/>
            </w:tcBorders>
            <w:shd w:val="clear" w:color="auto" w:fill="auto"/>
            <w:vAlign w:val="bottom"/>
          </w:tcPr>
          <w:p w14:paraId="3B4AA261" w14:textId="77777777" w:rsidR="0079574D" w:rsidRPr="009772A3" w:rsidRDefault="0079574D" w:rsidP="0079574D">
            <w:pPr>
              <w:spacing w:after="0"/>
              <w:jc w:val="right"/>
              <w:rPr>
                <w:rFonts w:asciiTheme="majorHAnsi" w:hAnsiTheme="majorHAnsi" w:cstheme="majorHAnsi"/>
                <w:sz w:val="12"/>
                <w:szCs w:val="12"/>
                <w:lang w:val="ro-MD"/>
              </w:rPr>
            </w:pPr>
            <w:r w:rsidRPr="009772A3">
              <w:rPr>
                <w:rFonts w:asciiTheme="majorHAnsi" w:hAnsiTheme="majorHAnsi" w:cstheme="majorHAnsi"/>
                <w:sz w:val="12"/>
                <w:szCs w:val="12"/>
                <w:lang w:val="ro-MD"/>
              </w:rPr>
              <w:t>34,54</w:t>
            </w:r>
          </w:p>
        </w:tc>
        <w:tc>
          <w:tcPr>
            <w:tcW w:w="683" w:type="dxa"/>
            <w:gridSpan w:val="2"/>
            <w:shd w:val="clear" w:color="auto" w:fill="auto"/>
            <w:vAlign w:val="center"/>
            <w:hideMark/>
          </w:tcPr>
          <w:p w14:paraId="3944458C"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360322,2</w:t>
            </w:r>
          </w:p>
        </w:tc>
        <w:tc>
          <w:tcPr>
            <w:tcW w:w="696" w:type="dxa"/>
            <w:shd w:val="clear" w:color="auto" w:fill="auto"/>
            <w:vAlign w:val="center"/>
            <w:hideMark/>
          </w:tcPr>
          <w:p w14:paraId="0B2CCB54"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78544,3</w:t>
            </w:r>
          </w:p>
        </w:tc>
        <w:tc>
          <w:tcPr>
            <w:tcW w:w="550" w:type="dxa"/>
            <w:shd w:val="clear" w:color="auto" w:fill="auto"/>
            <w:noWrap/>
            <w:vAlign w:val="center"/>
            <w:hideMark/>
          </w:tcPr>
          <w:p w14:paraId="50810339"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46,03</w:t>
            </w:r>
          </w:p>
        </w:tc>
      </w:tr>
      <w:tr w:rsidR="0079574D" w:rsidRPr="009772A3" w14:paraId="77AF0DDB" w14:textId="77777777" w:rsidTr="006E4984">
        <w:trPr>
          <w:trHeight w:val="20"/>
        </w:trPr>
        <w:tc>
          <w:tcPr>
            <w:tcW w:w="1418" w:type="dxa"/>
            <w:shd w:val="clear" w:color="auto" w:fill="auto"/>
            <w:vAlign w:val="center"/>
            <w:hideMark/>
          </w:tcPr>
          <w:p w14:paraId="4F1C48B9" w14:textId="683CD076" w:rsidR="0079574D" w:rsidRPr="0079574D" w:rsidRDefault="0079574D" w:rsidP="0079574D">
            <w:pPr>
              <w:spacing w:after="0" w:line="240" w:lineRule="auto"/>
              <w:jc w:val="both"/>
              <w:rPr>
                <w:rFonts w:asciiTheme="majorHAnsi" w:eastAsia="Times New Roman" w:hAnsiTheme="majorHAnsi" w:cstheme="majorHAnsi"/>
                <w:sz w:val="12"/>
                <w:szCs w:val="12"/>
                <w:lang w:val="ro-MD"/>
              </w:rPr>
            </w:pPr>
            <w:r w:rsidRPr="00CF3AD4">
              <w:rPr>
                <w:rFonts w:asciiTheme="majorHAnsi" w:eastAsia="Times New Roman" w:hAnsiTheme="majorHAnsi" w:cstheme="majorHAnsi"/>
                <w:sz w:val="12"/>
                <w:szCs w:val="12"/>
                <w:lang w:val="ro-MD"/>
              </w:rPr>
              <w:t>Partea transnistreană</w:t>
            </w:r>
          </w:p>
        </w:tc>
        <w:tc>
          <w:tcPr>
            <w:tcW w:w="733" w:type="dxa"/>
            <w:vAlign w:val="center"/>
          </w:tcPr>
          <w:p w14:paraId="0B1EB8F4"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48391,2</w:t>
            </w:r>
          </w:p>
        </w:tc>
        <w:tc>
          <w:tcPr>
            <w:tcW w:w="593" w:type="dxa"/>
            <w:vAlign w:val="center"/>
          </w:tcPr>
          <w:p w14:paraId="34AA1F0A"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11440</w:t>
            </w:r>
          </w:p>
        </w:tc>
        <w:tc>
          <w:tcPr>
            <w:tcW w:w="383" w:type="dxa"/>
            <w:vAlign w:val="center"/>
          </w:tcPr>
          <w:p w14:paraId="7D759786" w14:textId="77777777" w:rsidR="0079574D" w:rsidRPr="009772A3" w:rsidRDefault="0079574D" w:rsidP="0079574D">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11,0</w:t>
            </w:r>
          </w:p>
        </w:tc>
        <w:tc>
          <w:tcPr>
            <w:tcW w:w="860" w:type="dxa"/>
            <w:shd w:val="clear" w:color="auto" w:fill="auto"/>
            <w:vAlign w:val="center"/>
            <w:hideMark/>
          </w:tcPr>
          <w:p w14:paraId="2342E82B"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17453,7</w:t>
            </w:r>
          </w:p>
        </w:tc>
        <w:tc>
          <w:tcPr>
            <w:tcW w:w="672" w:type="dxa"/>
            <w:shd w:val="clear" w:color="auto" w:fill="auto"/>
            <w:vAlign w:val="center"/>
            <w:hideMark/>
          </w:tcPr>
          <w:p w14:paraId="58D17018"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4126,2</w:t>
            </w:r>
          </w:p>
        </w:tc>
        <w:tc>
          <w:tcPr>
            <w:tcW w:w="550" w:type="dxa"/>
            <w:shd w:val="clear" w:color="auto" w:fill="auto"/>
            <w:noWrap/>
            <w:vAlign w:val="center"/>
            <w:hideMark/>
          </w:tcPr>
          <w:p w14:paraId="75C62494"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3,97</w:t>
            </w:r>
          </w:p>
        </w:tc>
        <w:tc>
          <w:tcPr>
            <w:tcW w:w="793" w:type="dxa"/>
            <w:gridSpan w:val="2"/>
            <w:shd w:val="clear" w:color="auto" w:fill="auto"/>
            <w:noWrap/>
            <w:vAlign w:val="bottom"/>
            <w:hideMark/>
          </w:tcPr>
          <w:p w14:paraId="4D763621"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121042,144</w:t>
            </w:r>
          </w:p>
        </w:tc>
        <w:tc>
          <w:tcPr>
            <w:tcW w:w="810" w:type="dxa"/>
            <w:shd w:val="clear" w:color="auto" w:fill="auto"/>
            <w:noWrap/>
            <w:vAlign w:val="bottom"/>
            <w:hideMark/>
          </w:tcPr>
          <w:p w14:paraId="4B076D46"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26385,21</w:t>
            </w:r>
          </w:p>
        </w:tc>
        <w:tc>
          <w:tcPr>
            <w:tcW w:w="551" w:type="dxa"/>
            <w:tcBorders>
              <w:top w:val="nil"/>
              <w:left w:val="single" w:sz="4" w:space="0" w:color="auto"/>
              <w:bottom w:val="single" w:sz="4" w:space="0" w:color="auto"/>
              <w:right w:val="single" w:sz="4" w:space="0" w:color="auto"/>
            </w:tcBorders>
            <w:shd w:val="clear" w:color="auto" w:fill="auto"/>
            <w:vAlign w:val="bottom"/>
          </w:tcPr>
          <w:p w14:paraId="76F7F5BC" w14:textId="77777777" w:rsidR="0079574D" w:rsidRPr="009772A3" w:rsidRDefault="0079574D" w:rsidP="0079574D">
            <w:pPr>
              <w:spacing w:after="0"/>
              <w:jc w:val="right"/>
              <w:rPr>
                <w:rFonts w:asciiTheme="majorHAnsi" w:hAnsiTheme="majorHAnsi" w:cstheme="majorHAnsi"/>
                <w:sz w:val="12"/>
                <w:szCs w:val="12"/>
                <w:lang w:val="ro-MD"/>
              </w:rPr>
            </w:pPr>
            <w:r w:rsidRPr="009772A3">
              <w:rPr>
                <w:rFonts w:asciiTheme="majorHAnsi" w:hAnsiTheme="majorHAnsi" w:cstheme="majorHAnsi"/>
                <w:sz w:val="12"/>
                <w:szCs w:val="12"/>
                <w:lang w:val="ro-MD"/>
              </w:rPr>
              <w:t>15,46</w:t>
            </w:r>
          </w:p>
        </w:tc>
        <w:tc>
          <w:tcPr>
            <w:tcW w:w="683" w:type="dxa"/>
            <w:gridSpan w:val="2"/>
            <w:shd w:val="clear" w:color="auto" w:fill="auto"/>
            <w:vAlign w:val="center"/>
            <w:hideMark/>
          </w:tcPr>
          <w:p w14:paraId="219B2F4D"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31055,6</w:t>
            </w:r>
          </w:p>
        </w:tc>
        <w:tc>
          <w:tcPr>
            <w:tcW w:w="696" w:type="dxa"/>
            <w:shd w:val="clear" w:color="auto" w:fill="auto"/>
            <w:vAlign w:val="center"/>
            <w:hideMark/>
          </w:tcPr>
          <w:p w14:paraId="59725624"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6769,6</w:t>
            </w:r>
          </w:p>
        </w:tc>
        <w:tc>
          <w:tcPr>
            <w:tcW w:w="550" w:type="dxa"/>
            <w:shd w:val="clear" w:color="auto" w:fill="auto"/>
            <w:noWrap/>
            <w:vAlign w:val="center"/>
            <w:hideMark/>
          </w:tcPr>
          <w:p w14:paraId="125F93A0" w14:textId="77777777" w:rsidR="0079574D" w:rsidRPr="009772A3" w:rsidRDefault="0079574D" w:rsidP="0079574D">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3,97</w:t>
            </w:r>
          </w:p>
        </w:tc>
      </w:tr>
      <w:tr w:rsidR="00B84F30" w:rsidRPr="009772A3" w14:paraId="192C0A5B" w14:textId="77777777" w:rsidTr="006E4984">
        <w:trPr>
          <w:trHeight w:val="20"/>
        </w:trPr>
        <w:tc>
          <w:tcPr>
            <w:tcW w:w="1418" w:type="dxa"/>
            <w:shd w:val="clear" w:color="auto" w:fill="auto"/>
            <w:vAlign w:val="center"/>
            <w:hideMark/>
          </w:tcPr>
          <w:p w14:paraId="11B37542" w14:textId="77777777" w:rsidR="00B84F30" w:rsidRPr="009772A3" w:rsidRDefault="00B84F30" w:rsidP="00957170">
            <w:pPr>
              <w:spacing w:after="0" w:line="240" w:lineRule="auto"/>
              <w:jc w:val="both"/>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SA Gazprom</w:t>
            </w:r>
          </w:p>
        </w:tc>
        <w:tc>
          <w:tcPr>
            <w:tcW w:w="733" w:type="dxa"/>
            <w:vAlign w:val="center"/>
          </w:tcPr>
          <w:p w14:paraId="2CA631A1"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219960,0</w:t>
            </w:r>
          </w:p>
        </w:tc>
        <w:tc>
          <w:tcPr>
            <w:tcW w:w="593" w:type="dxa"/>
            <w:vAlign w:val="center"/>
          </w:tcPr>
          <w:p w14:paraId="7ECAC05B"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52000</w:t>
            </w:r>
          </w:p>
        </w:tc>
        <w:tc>
          <w:tcPr>
            <w:tcW w:w="383" w:type="dxa"/>
            <w:vAlign w:val="center"/>
          </w:tcPr>
          <w:p w14:paraId="43425F37"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50,0</w:t>
            </w:r>
          </w:p>
        </w:tc>
        <w:tc>
          <w:tcPr>
            <w:tcW w:w="860" w:type="dxa"/>
            <w:shd w:val="clear" w:color="auto" w:fill="auto"/>
            <w:vAlign w:val="center"/>
            <w:hideMark/>
          </w:tcPr>
          <w:p w14:paraId="644B9A11"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219960,0</w:t>
            </w:r>
          </w:p>
        </w:tc>
        <w:tc>
          <w:tcPr>
            <w:tcW w:w="672" w:type="dxa"/>
            <w:shd w:val="clear" w:color="auto" w:fill="auto"/>
            <w:vAlign w:val="center"/>
            <w:hideMark/>
          </w:tcPr>
          <w:p w14:paraId="43627D41" w14:textId="6557F1C3"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52000</w:t>
            </w:r>
            <w:r w:rsidR="00FB5BD0">
              <w:rPr>
                <w:rFonts w:asciiTheme="majorHAnsi" w:eastAsia="Times New Roman" w:hAnsiTheme="majorHAnsi" w:cstheme="majorHAnsi"/>
                <w:sz w:val="12"/>
                <w:szCs w:val="12"/>
                <w:lang w:val="ro-MD"/>
              </w:rPr>
              <w:t>,0</w:t>
            </w:r>
          </w:p>
        </w:tc>
        <w:tc>
          <w:tcPr>
            <w:tcW w:w="550" w:type="dxa"/>
            <w:shd w:val="clear" w:color="auto" w:fill="auto"/>
            <w:noWrap/>
            <w:vAlign w:val="center"/>
            <w:hideMark/>
          </w:tcPr>
          <w:p w14:paraId="346C02DA"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50,00</w:t>
            </w:r>
          </w:p>
        </w:tc>
        <w:tc>
          <w:tcPr>
            <w:tcW w:w="793" w:type="dxa"/>
            <w:gridSpan w:val="2"/>
            <w:shd w:val="clear" w:color="auto" w:fill="auto"/>
            <w:noWrap/>
            <w:vAlign w:val="bottom"/>
            <w:hideMark/>
          </w:tcPr>
          <w:p w14:paraId="2EB62FAD"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391377,736</w:t>
            </w:r>
          </w:p>
        </w:tc>
        <w:tc>
          <w:tcPr>
            <w:tcW w:w="810" w:type="dxa"/>
            <w:shd w:val="clear" w:color="auto" w:fill="auto"/>
            <w:noWrap/>
            <w:vAlign w:val="bottom"/>
            <w:hideMark/>
          </w:tcPr>
          <w:p w14:paraId="1E4FC875"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85313,95</w:t>
            </w:r>
          </w:p>
        </w:tc>
        <w:tc>
          <w:tcPr>
            <w:tcW w:w="551" w:type="dxa"/>
            <w:tcBorders>
              <w:top w:val="nil"/>
              <w:left w:val="single" w:sz="4" w:space="0" w:color="auto"/>
              <w:bottom w:val="single" w:sz="4" w:space="0" w:color="auto"/>
              <w:right w:val="single" w:sz="4" w:space="0" w:color="auto"/>
            </w:tcBorders>
            <w:shd w:val="clear" w:color="auto" w:fill="auto"/>
            <w:vAlign w:val="bottom"/>
          </w:tcPr>
          <w:p w14:paraId="75C9E45A" w14:textId="77777777" w:rsidR="00B84F30" w:rsidRPr="009772A3" w:rsidRDefault="00B84F30" w:rsidP="00957170">
            <w:pPr>
              <w:spacing w:after="0"/>
              <w:jc w:val="right"/>
              <w:rPr>
                <w:rFonts w:asciiTheme="majorHAnsi" w:hAnsiTheme="majorHAnsi" w:cstheme="majorHAnsi"/>
                <w:sz w:val="12"/>
                <w:szCs w:val="12"/>
                <w:lang w:val="ro-MD"/>
              </w:rPr>
            </w:pPr>
            <w:r w:rsidRPr="009772A3">
              <w:rPr>
                <w:rFonts w:asciiTheme="majorHAnsi" w:hAnsiTheme="majorHAnsi" w:cstheme="majorHAnsi"/>
                <w:sz w:val="12"/>
                <w:szCs w:val="12"/>
                <w:lang w:val="ro-MD"/>
              </w:rPr>
              <w:t>50,00</w:t>
            </w:r>
          </w:p>
        </w:tc>
        <w:tc>
          <w:tcPr>
            <w:tcW w:w="683" w:type="dxa"/>
            <w:gridSpan w:val="2"/>
            <w:shd w:val="clear" w:color="auto" w:fill="auto"/>
            <w:vAlign w:val="center"/>
            <w:hideMark/>
          </w:tcPr>
          <w:p w14:paraId="5D4A4535"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391377,7</w:t>
            </w:r>
          </w:p>
        </w:tc>
        <w:tc>
          <w:tcPr>
            <w:tcW w:w="696" w:type="dxa"/>
            <w:shd w:val="clear" w:color="auto" w:fill="auto"/>
            <w:vAlign w:val="center"/>
            <w:hideMark/>
          </w:tcPr>
          <w:p w14:paraId="054DED7B"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85313,9</w:t>
            </w:r>
          </w:p>
        </w:tc>
        <w:tc>
          <w:tcPr>
            <w:tcW w:w="550" w:type="dxa"/>
            <w:shd w:val="clear" w:color="auto" w:fill="auto"/>
            <w:noWrap/>
            <w:vAlign w:val="center"/>
            <w:hideMark/>
          </w:tcPr>
          <w:p w14:paraId="199C3864"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50,00</w:t>
            </w:r>
          </w:p>
        </w:tc>
      </w:tr>
      <w:tr w:rsidR="00B84F30" w:rsidRPr="009772A3" w14:paraId="18FFC088" w14:textId="77777777" w:rsidTr="006E4984">
        <w:trPr>
          <w:trHeight w:val="20"/>
        </w:trPr>
        <w:tc>
          <w:tcPr>
            <w:tcW w:w="1418" w:type="dxa"/>
            <w:shd w:val="clear" w:color="auto" w:fill="auto"/>
            <w:vAlign w:val="center"/>
            <w:hideMark/>
          </w:tcPr>
          <w:p w14:paraId="1C3ABA3C" w14:textId="77777777" w:rsidR="00B84F30" w:rsidRPr="009772A3" w:rsidRDefault="00B84F30" w:rsidP="00957170">
            <w:pPr>
              <w:spacing w:after="0" w:line="240" w:lineRule="auto"/>
              <w:jc w:val="both"/>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Total</w:t>
            </w:r>
          </w:p>
        </w:tc>
        <w:tc>
          <w:tcPr>
            <w:tcW w:w="733" w:type="dxa"/>
            <w:vAlign w:val="center"/>
          </w:tcPr>
          <w:p w14:paraId="14075A34"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439920,0</w:t>
            </w:r>
          </w:p>
        </w:tc>
        <w:tc>
          <w:tcPr>
            <w:tcW w:w="593" w:type="dxa"/>
            <w:vAlign w:val="center"/>
          </w:tcPr>
          <w:p w14:paraId="791C3E86"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104000</w:t>
            </w:r>
          </w:p>
        </w:tc>
        <w:tc>
          <w:tcPr>
            <w:tcW w:w="383" w:type="dxa"/>
            <w:vAlign w:val="center"/>
          </w:tcPr>
          <w:p w14:paraId="4B979F61" w14:textId="77777777" w:rsidR="00B84F30" w:rsidRPr="009772A3" w:rsidRDefault="00B84F30" w:rsidP="00957170">
            <w:pPr>
              <w:spacing w:after="0" w:line="240" w:lineRule="auto"/>
              <w:ind w:left="-106"/>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100,0</w:t>
            </w:r>
          </w:p>
        </w:tc>
        <w:tc>
          <w:tcPr>
            <w:tcW w:w="860" w:type="dxa"/>
            <w:shd w:val="clear" w:color="auto" w:fill="auto"/>
            <w:vAlign w:val="center"/>
            <w:hideMark/>
          </w:tcPr>
          <w:p w14:paraId="12CA1A18"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439920,0</w:t>
            </w:r>
          </w:p>
        </w:tc>
        <w:tc>
          <w:tcPr>
            <w:tcW w:w="672" w:type="dxa"/>
            <w:shd w:val="clear" w:color="auto" w:fill="auto"/>
            <w:vAlign w:val="center"/>
            <w:hideMark/>
          </w:tcPr>
          <w:p w14:paraId="6E57B3A1"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104000,0</w:t>
            </w:r>
          </w:p>
        </w:tc>
        <w:tc>
          <w:tcPr>
            <w:tcW w:w="550" w:type="dxa"/>
            <w:shd w:val="clear" w:color="auto" w:fill="auto"/>
            <w:noWrap/>
            <w:vAlign w:val="center"/>
            <w:hideMark/>
          </w:tcPr>
          <w:p w14:paraId="35930812"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100,00</w:t>
            </w:r>
          </w:p>
        </w:tc>
        <w:tc>
          <w:tcPr>
            <w:tcW w:w="793" w:type="dxa"/>
            <w:gridSpan w:val="2"/>
            <w:shd w:val="clear" w:color="auto" w:fill="auto"/>
            <w:vAlign w:val="center"/>
            <w:hideMark/>
          </w:tcPr>
          <w:p w14:paraId="64A9799F"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782755,472</w:t>
            </w:r>
          </w:p>
        </w:tc>
        <w:tc>
          <w:tcPr>
            <w:tcW w:w="810" w:type="dxa"/>
            <w:shd w:val="clear" w:color="auto" w:fill="auto"/>
            <w:vAlign w:val="center"/>
            <w:hideMark/>
          </w:tcPr>
          <w:p w14:paraId="54ABB5DB"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170627,9</w:t>
            </w:r>
          </w:p>
        </w:tc>
        <w:tc>
          <w:tcPr>
            <w:tcW w:w="551" w:type="dxa"/>
            <w:tcBorders>
              <w:top w:val="nil"/>
              <w:left w:val="single" w:sz="4" w:space="0" w:color="auto"/>
              <w:bottom w:val="single" w:sz="4" w:space="0" w:color="auto"/>
              <w:right w:val="single" w:sz="4" w:space="0" w:color="auto"/>
            </w:tcBorders>
            <w:shd w:val="clear" w:color="auto" w:fill="auto"/>
            <w:vAlign w:val="bottom"/>
          </w:tcPr>
          <w:p w14:paraId="5A6C7E61" w14:textId="77777777" w:rsidR="00B84F30" w:rsidRPr="009772A3" w:rsidRDefault="00B84F30" w:rsidP="00957170">
            <w:pPr>
              <w:spacing w:after="0"/>
              <w:jc w:val="right"/>
              <w:rPr>
                <w:rFonts w:asciiTheme="majorHAnsi" w:hAnsiTheme="majorHAnsi" w:cstheme="majorHAnsi"/>
                <w:sz w:val="12"/>
                <w:szCs w:val="12"/>
                <w:lang w:val="ro-MD"/>
              </w:rPr>
            </w:pPr>
            <w:r w:rsidRPr="009772A3">
              <w:rPr>
                <w:rFonts w:asciiTheme="majorHAnsi" w:hAnsiTheme="majorHAnsi" w:cstheme="majorHAnsi"/>
                <w:sz w:val="12"/>
                <w:szCs w:val="12"/>
                <w:lang w:val="ro-MD"/>
              </w:rPr>
              <w:t>100,00</w:t>
            </w:r>
          </w:p>
        </w:tc>
        <w:tc>
          <w:tcPr>
            <w:tcW w:w="683" w:type="dxa"/>
            <w:gridSpan w:val="2"/>
            <w:shd w:val="clear" w:color="auto" w:fill="auto"/>
            <w:vAlign w:val="center"/>
            <w:hideMark/>
          </w:tcPr>
          <w:p w14:paraId="0F3937B1"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782755,5</w:t>
            </w:r>
          </w:p>
        </w:tc>
        <w:tc>
          <w:tcPr>
            <w:tcW w:w="696" w:type="dxa"/>
            <w:shd w:val="clear" w:color="auto" w:fill="auto"/>
            <w:vAlign w:val="center"/>
            <w:hideMark/>
          </w:tcPr>
          <w:p w14:paraId="211A3CB9"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170627,9</w:t>
            </w:r>
          </w:p>
        </w:tc>
        <w:tc>
          <w:tcPr>
            <w:tcW w:w="550" w:type="dxa"/>
            <w:shd w:val="clear" w:color="auto" w:fill="auto"/>
            <w:noWrap/>
            <w:vAlign w:val="center"/>
            <w:hideMark/>
          </w:tcPr>
          <w:p w14:paraId="06983A43" w14:textId="77777777" w:rsidR="00B84F30" w:rsidRPr="009772A3" w:rsidRDefault="00B84F30" w:rsidP="00957170">
            <w:pPr>
              <w:spacing w:after="0" w:line="240" w:lineRule="auto"/>
              <w:jc w:val="right"/>
              <w:rPr>
                <w:rFonts w:asciiTheme="majorHAnsi" w:eastAsia="Times New Roman" w:hAnsiTheme="majorHAnsi" w:cstheme="majorHAnsi"/>
                <w:sz w:val="12"/>
                <w:szCs w:val="12"/>
                <w:lang w:val="ro-MD"/>
              </w:rPr>
            </w:pPr>
            <w:r w:rsidRPr="009772A3">
              <w:rPr>
                <w:rFonts w:asciiTheme="majorHAnsi" w:eastAsia="Times New Roman" w:hAnsiTheme="majorHAnsi" w:cstheme="majorHAnsi"/>
                <w:sz w:val="12"/>
                <w:szCs w:val="12"/>
                <w:lang w:val="ro-MD"/>
              </w:rPr>
              <w:t>100,00</w:t>
            </w:r>
          </w:p>
        </w:tc>
      </w:tr>
    </w:tbl>
    <w:p w14:paraId="14EEA347" w14:textId="12B2F5C4" w:rsidR="00B84F30" w:rsidRPr="009772A3" w:rsidRDefault="00B84F30" w:rsidP="008050C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moment auditul nu poate determina exhaustiv patrimoniul depus în capitalul social al SA Moldovagaz din contul cărora urmau a fi diminuate datoriile pentru gazele naturale livrate de SA Gazprom. Actul centralizator al valorii aporturilor ce urm</w:t>
      </w:r>
      <w:r w:rsidR="009A2770" w:rsidRPr="009772A3">
        <w:rPr>
          <w:rFonts w:asciiTheme="majorHAnsi" w:hAnsiTheme="majorHAnsi" w:cstheme="majorHAnsi"/>
          <w:sz w:val="24"/>
          <w:szCs w:val="24"/>
          <w:lang w:val="ro-MD"/>
        </w:rPr>
        <w:t xml:space="preserve">au a </w:t>
      </w:r>
      <w:r w:rsidRPr="009772A3">
        <w:rPr>
          <w:rFonts w:asciiTheme="majorHAnsi" w:hAnsiTheme="majorHAnsi" w:cstheme="majorHAnsi"/>
          <w:sz w:val="24"/>
          <w:szCs w:val="24"/>
          <w:lang w:val="ro-MD"/>
        </w:rPr>
        <w:t xml:space="preserve">fi depuse în contul achitării acțiunilor </w:t>
      </w:r>
      <w:r w:rsidRPr="00CF3AD4">
        <w:rPr>
          <w:rFonts w:asciiTheme="majorHAnsi" w:hAnsiTheme="majorHAnsi" w:cstheme="majorHAnsi"/>
          <w:sz w:val="24"/>
          <w:szCs w:val="24"/>
          <w:lang w:val="ro-MD"/>
        </w:rPr>
        <w:t>SA Moldovagaz</w:t>
      </w:r>
      <w:r w:rsidRPr="009772A3">
        <w:rPr>
          <w:rFonts w:asciiTheme="majorHAnsi" w:hAnsiTheme="majorHAnsi" w:cstheme="majorHAnsi"/>
          <w:sz w:val="24"/>
          <w:szCs w:val="24"/>
          <w:lang w:val="ro-MD"/>
        </w:rPr>
        <w:t xml:space="preserve"> include</w:t>
      </w:r>
      <w:r w:rsidR="009A2770"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toate activele nete ale întreprinderilor din domeniul gazelor de pe ambele maluri ale </w:t>
      </w:r>
      <w:r w:rsidR="007701F8" w:rsidRPr="009772A3">
        <w:rPr>
          <w:rFonts w:asciiTheme="majorHAnsi" w:hAnsiTheme="majorHAnsi" w:cstheme="majorHAnsi"/>
          <w:sz w:val="24"/>
          <w:szCs w:val="24"/>
          <w:lang w:val="ro-MD"/>
        </w:rPr>
        <w:t xml:space="preserve">râului </w:t>
      </w:r>
      <w:r w:rsidRPr="009772A3">
        <w:rPr>
          <w:rFonts w:asciiTheme="majorHAnsi" w:hAnsiTheme="majorHAnsi" w:cstheme="majorHAnsi"/>
          <w:sz w:val="24"/>
          <w:szCs w:val="24"/>
          <w:lang w:val="ro-MD"/>
        </w:rPr>
        <w:t xml:space="preserve">Nistru, fără a face diferență dacă aceste bunuri au fost sau nu depuse în capitalul </w:t>
      </w:r>
      <w:r w:rsidR="00FB5BD0">
        <w:rPr>
          <w:rFonts w:asciiTheme="majorHAnsi" w:hAnsiTheme="majorHAnsi" w:cstheme="majorHAnsi"/>
          <w:sz w:val="24"/>
          <w:szCs w:val="24"/>
          <w:lang w:val="ro-MD"/>
        </w:rPr>
        <w:t xml:space="preserve">social al </w:t>
      </w:r>
      <w:r w:rsidRPr="009772A3">
        <w:rPr>
          <w:rFonts w:asciiTheme="majorHAnsi" w:hAnsiTheme="majorHAnsi" w:cstheme="majorHAnsi"/>
          <w:sz w:val="24"/>
          <w:szCs w:val="24"/>
          <w:lang w:val="ro-MD"/>
        </w:rPr>
        <w:t xml:space="preserve">SA </w:t>
      </w:r>
      <w:r w:rsidR="007701F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7701F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Astfel, valoarea </w:t>
      </w:r>
      <w:r w:rsidR="00FB5BD0">
        <w:rPr>
          <w:rFonts w:asciiTheme="majorHAnsi" w:hAnsiTheme="majorHAnsi" w:cstheme="majorHAnsi"/>
          <w:sz w:val="24"/>
          <w:szCs w:val="24"/>
          <w:lang w:val="ro-MD"/>
        </w:rPr>
        <w:t>patrimoniului</w:t>
      </w:r>
      <w:r w:rsidR="00FB5BD0" w:rsidRPr="009772A3">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 xml:space="preserve">întreprinderilor din </w:t>
      </w:r>
      <w:r w:rsidR="009A2770" w:rsidRPr="00CF3AD4">
        <w:rPr>
          <w:rFonts w:asciiTheme="majorHAnsi" w:hAnsiTheme="majorHAnsi" w:cstheme="majorHAnsi"/>
          <w:sz w:val="24"/>
          <w:szCs w:val="24"/>
          <w:lang w:val="ro-MD"/>
        </w:rPr>
        <w:t xml:space="preserve">partea dreaptă a Nistrului </w:t>
      </w:r>
      <w:r w:rsidRPr="00CF3AD4">
        <w:rPr>
          <w:rFonts w:asciiTheme="majorHAnsi" w:hAnsiTheme="majorHAnsi" w:cstheme="majorHAnsi"/>
          <w:sz w:val="24"/>
          <w:szCs w:val="24"/>
          <w:lang w:val="ro-MD"/>
        </w:rPr>
        <w:t>constituia 974</w:t>
      </w:r>
      <w:r w:rsidR="007701F8" w:rsidRPr="00CF3AD4">
        <w:rPr>
          <w:rFonts w:asciiTheme="majorHAnsi" w:hAnsiTheme="majorHAnsi" w:cstheme="majorHAnsi"/>
          <w:sz w:val="24"/>
          <w:szCs w:val="24"/>
          <w:lang w:val="ro-MD"/>
        </w:rPr>
        <w:t>.</w:t>
      </w:r>
      <w:r w:rsidRPr="00CF3AD4">
        <w:rPr>
          <w:rFonts w:asciiTheme="majorHAnsi" w:hAnsiTheme="majorHAnsi" w:cstheme="majorHAnsi"/>
          <w:sz w:val="24"/>
          <w:szCs w:val="24"/>
          <w:lang w:val="ro-MD"/>
        </w:rPr>
        <w:t xml:space="preserve">646,807 mii lei și </w:t>
      </w:r>
      <w:r w:rsidR="00586062" w:rsidRPr="00CF3AD4">
        <w:rPr>
          <w:rFonts w:asciiTheme="majorHAnsi" w:hAnsiTheme="majorHAnsi" w:cstheme="majorHAnsi"/>
          <w:sz w:val="24"/>
          <w:szCs w:val="24"/>
          <w:lang w:val="ro-MD"/>
        </w:rPr>
        <w:t xml:space="preserve">a celor </w:t>
      </w:r>
      <w:r w:rsidRPr="00CF3AD4">
        <w:rPr>
          <w:rFonts w:asciiTheme="majorHAnsi" w:hAnsiTheme="majorHAnsi" w:cstheme="majorHAnsi"/>
          <w:sz w:val="24"/>
          <w:szCs w:val="24"/>
          <w:lang w:val="ro-MD"/>
        </w:rPr>
        <w:t xml:space="preserve">din </w:t>
      </w:r>
      <w:r w:rsidR="009A2770" w:rsidRPr="009772A3">
        <w:rPr>
          <w:rFonts w:asciiTheme="majorHAnsi" w:hAnsiTheme="majorHAnsi" w:cstheme="majorHAnsi"/>
          <w:sz w:val="24"/>
          <w:szCs w:val="24"/>
          <w:lang w:val="ro-MD"/>
        </w:rPr>
        <w:t xml:space="preserve">partea stânga a Nistrului  </w:t>
      </w:r>
      <w:r w:rsidRPr="009772A3">
        <w:rPr>
          <w:rFonts w:asciiTheme="majorHAnsi" w:hAnsiTheme="majorHAnsi" w:cstheme="majorHAnsi"/>
          <w:sz w:val="24"/>
          <w:szCs w:val="24"/>
          <w:lang w:val="ro-MD"/>
        </w:rPr>
        <w:t>– 358</w:t>
      </w:r>
      <w:r w:rsidR="007701F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261,354 mii lei, </w:t>
      </w:r>
      <w:r w:rsidR="007701F8" w:rsidRPr="009772A3">
        <w:rPr>
          <w:rFonts w:asciiTheme="majorHAnsi" w:hAnsiTheme="majorHAnsi" w:cstheme="majorHAnsi"/>
          <w:sz w:val="24"/>
          <w:szCs w:val="24"/>
          <w:lang w:val="ro-MD"/>
        </w:rPr>
        <w:t xml:space="preserve">în </w:t>
      </w:r>
      <w:r w:rsidRPr="009772A3">
        <w:rPr>
          <w:rFonts w:asciiTheme="majorHAnsi" w:hAnsiTheme="majorHAnsi" w:cstheme="majorHAnsi"/>
          <w:sz w:val="24"/>
          <w:szCs w:val="24"/>
          <w:lang w:val="ro-MD"/>
        </w:rPr>
        <w:t xml:space="preserve">total </w:t>
      </w:r>
      <w:r w:rsidR="007701F8" w:rsidRPr="009772A3">
        <w:rPr>
          <w:rFonts w:asciiTheme="majorHAnsi" w:hAnsiTheme="majorHAnsi" w:cstheme="majorHAnsi"/>
          <w:sz w:val="24"/>
          <w:szCs w:val="24"/>
          <w:lang w:val="ro-MD"/>
        </w:rPr>
        <w:t>fiind de</w:t>
      </w:r>
      <w:r w:rsidRPr="009772A3">
        <w:rPr>
          <w:rFonts w:asciiTheme="majorHAnsi" w:hAnsiTheme="majorHAnsi" w:cstheme="majorHAnsi"/>
          <w:sz w:val="24"/>
          <w:szCs w:val="24"/>
          <w:lang w:val="ro-MD"/>
        </w:rPr>
        <w:t xml:space="preserve"> 1</w:t>
      </w:r>
      <w:r w:rsidR="007701F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332</w:t>
      </w:r>
      <w:r w:rsidR="007701F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908,16 mii lei. </w:t>
      </w:r>
    </w:p>
    <w:p w14:paraId="21FAA952" w14:textId="0931E185" w:rsidR="00B84F30" w:rsidRPr="009772A3" w:rsidRDefault="00B84F30" w:rsidP="008050C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Auditul a fost limitat în posibilitatea de a se expune </w:t>
      </w:r>
      <w:r w:rsidR="00586062" w:rsidRPr="009772A3">
        <w:rPr>
          <w:rFonts w:asciiTheme="majorHAnsi" w:hAnsiTheme="majorHAnsi" w:cstheme="majorHAnsi"/>
          <w:sz w:val="24"/>
          <w:szCs w:val="24"/>
          <w:lang w:val="ro-MD"/>
        </w:rPr>
        <w:t>asupra</w:t>
      </w:r>
      <w:r w:rsidRPr="009772A3">
        <w:rPr>
          <w:rFonts w:asciiTheme="majorHAnsi" w:hAnsiTheme="majorHAnsi" w:cstheme="majorHAnsi"/>
          <w:sz w:val="24"/>
          <w:szCs w:val="24"/>
          <w:lang w:val="ro-MD"/>
        </w:rPr>
        <w:t xml:space="preserve"> faptul</w:t>
      </w:r>
      <w:r w:rsidR="00586062"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dacă la fondarea SA Moldovagaz, întreprinderile din </w:t>
      </w:r>
      <w:r w:rsidR="00FB5BD0" w:rsidRPr="009772A3">
        <w:rPr>
          <w:rFonts w:asciiTheme="majorHAnsi" w:hAnsiTheme="majorHAnsi" w:cstheme="majorHAnsi"/>
          <w:sz w:val="24"/>
          <w:szCs w:val="24"/>
          <w:lang w:val="ro-MD"/>
        </w:rPr>
        <w:t xml:space="preserve">partea stânga a Nistrului </w:t>
      </w:r>
      <w:r w:rsidRPr="009772A3">
        <w:rPr>
          <w:rFonts w:asciiTheme="majorHAnsi" w:hAnsiTheme="majorHAnsi" w:cstheme="majorHAnsi"/>
          <w:sz w:val="24"/>
          <w:szCs w:val="24"/>
          <w:lang w:val="ro-MD"/>
        </w:rPr>
        <w:t xml:space="preserve">au inclus sau nu au inclus patrimoniul aflat pe </w:t>
      </w:r>
      <w:r w:rsidR="002B025C" w:rsidRPr="005D6E99">
        <w:rPr>
          <w:rFonts w:asciiTheme="majorHAnsi" w:hAnsiTheme="majorHAnsi" w:cstheme="majorHAnsi"/>
          <w:sz w:val="24"/>
          <w:szCs w:val="24"/>
          <w:lang w:val="ro-MD"/>
        </w:rPr>
        <w:t>partea dreaptă a Nistrului</w:t>
      </w:r>
      <w:r w:rsidRPr="009772A3">
        <w:rPr>
          <w:rFonts w:asciiTheme="majorHAnsi" w:hAnsiTheme="majorHAnsi" w:cstheme="majorHAnsi"/>
          <w:sz w:val="24"/>
          <w:szCs w:val="24"/>
          <w:lang w:val="ro-MD"/>
        </w:rPr>
        <w:t xml:space="preserve">, sau dacă acest patrimoniu a fost depus de întreprinderile de pe malul drept </w:t>
      </w:r>
      <w:r w:rsidR="002B025C" w:rsidRPr="005D6E99">
        <w:rPr>
          <w:rFonts w:asciiTheme="majorHAnsi" w:hAnsiTheme="majorHAnsi" w:cstheme="majorHAnsi"/>
          <w:sz w:val="24"/>
          <w:szCs w:val="24"/>
          <w:lang w:val="ro-MD"/>
        </w:rPr>
        <w:t>a Nistrului</w:t>
      </w:r>
      <w:r w:rsidRPr="009772A3">
        <w:rPr>
          <w:rFonts w:asciiTheme="majorHAnsi" w:hAnsiTheme="majorHAnsi" w:cstheme="majorHAnsi"/>
          <w:sz w:val="24"/>
          <w:szCs w:val="24"/>
          <w:lang w:val="ro-MD"/>
        </w:rPr>
        <w:t xml:space="preserve">, deoarece nu a avut acces la lista patrimoniului, inclusiv a mijloacelor fixe depuse în capitalul social al SA Moldovagaz. Totuși, nu toate gazoductele magistrale </w:t>
      </w:r>
      <w:r w:rsidR="002B025C">
        <w:rPr>
          <w:rFonts w:asciiTheme="majorHAnsi" w:hAnsiTheme="majorHAnsi" w:cstheme="majorHAnsi"/>
          <w:sz w:val="24"/>
          <w:szCs w:val="24"/>
          <w:lang w:val="ro-MD"/>
        </w:rPr>
        <w:t xml:space="preserve">de pe </w:t>
      </w:r>
      <w:r w:rsidR="002B025C" w:rsidRPr="005D6E99">
        <w:rPr>
          <w:rFonts w:asciiTheme="majorHAnsi" w:hAnsiTheme="majorHAnsi" w:cstheme="majorHAnsi"/>
          <w:sz w:val="24"/>
          <w:szCs w:val="24"/>
          <w:lang w:val="ro-MD"/>
        </w:rPr>
        <w:t>partea dreaptă a Nistrului</w:t>
      </w:r>
      <w:r w:rsidR="002B025C">
        <w:rPr>
          <w:rFonts w:asciiTheme="majorHAnsi" w:hAnsiTheme="majorHAnsi" w:cstheme="majorHAnsi"/>
          <w:sz w:val="24"/>
          <w:szCs w:val="24"/>
          <w:lang w:val="ro-MD"/>
        </w:rPr>
        <w:t xml:space="preserve">, </w:t>
      </w:r>
      <w:r w:rsidR="002B025C" w:rsidRPr="009772A3">
        <w:rPr>
          <w:rFonts w:asciiTheme="majorHAnsi" w:hAnsiTheme="majorHAnsi" w:cstheme="majorHAnsi"/>
          <w:sz w:val="24"/>
          <w:szCs w:val="24"/>
          <w:lang w:val="ro-MD"/>
        </w:rPr>
        <w:t>existente la 01.07.1997</w:t>
      </w:r>
      <w:r w:rsidR="002B025C">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au fost incluse în listele de evaluare a patrimoniului </w:t>
      </w:r>
      <w:r w:rsidR="005860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5860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acestea fiind incluse în listele </w:t>
      </w:r>
      <w:r w:rsidR="002B025C">
        <w:rPr>
          <w:rFonts w:asciiTheme="majorHAnsi" w:hAnsiTheme="majorHAnsi" w:cstheme="majorHAnsi"/>
          <w:sz w:val="24"/>
          <w:szCs w:val="24"/>
          <w:lang w:val="ro-MD"/>
        </w:rPr>
        <w:t xml:space="preserve">de evaluare a patrimoniului </w:t>
      </w:r>
      <w:r w:rsidR="005860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5860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care au servit ca bază pentru determinarea capitalului social al SA Moldovagaz.</w:t>
      </w:r>
    </w:p>
    <w:p w14:paraId="283E700E" w14:textId="019C825E" w:rsidR="00B84F30" w:rsidRPr="009772A3" w:rsidRDefault="00B84F30" w:rsidP="008050C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5860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după înregistrarea de stat a SA Moldovagaz din 25.05.1999, la 30</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06</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1999 între DRGM </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SA </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(ulterior SRL)</w:t>
      </w:r>
      <w:r w:rsidRPr="009772A3">
        <w:rPr>
          <w:rFonts w:asciiTheme="majorHAnsi" w:hAnsiTheme="majorHAnsi" w:cstheme="majorHAnsi"/>
          <w:sz w:val="24"/>
          <w:szCs w:val="24"/>
          <w:vertAlign w:val="superscript"/>
          <w:lang w:val="ro-MD"/>
        </w:rPr>
        <w:footnoteReference w:id="23"/>
      </w:r>
      <w:r w:rsidRPr="009772A3">
        <w:rPr>
          <w:rFonts w:asciiTheme="majorHAnsi" w:hAnsiTheme="majorHAnsi" w:cstheme="majorHAnsi"/>
          <w:sz w:val="24"/>
          <w:szCs w:val="24"/>
          <w:lang w:val="ro-MD"/>
        </w:rPr>
        <w:t xml:space="preserve"> a fost întocmit Actul de predare-primire a mijloacelor fixe aferente complexului de gazoducte amplasat la sudul RM</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valoare totală de 104</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020,462 mii lei (22</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674,76 mii </w:t>
      </w:r>
      <w:r w:rsidR="00FA540A" w:rsidRPr="009772A3">
        <w:rPr>
          <w:rFonts w:asciiTheme="majorHAnsi" w:hAnsiTheme="majorHAnsi" w:cstheme="majorHAnsi"/>
          <w:sz w:val="24"/>
          <w:szCs w:val="24"/>
          <w:lang w:val="ro-MD"/>
        </w:rPr>
        <w:t>dolari SUA</w:t>
      </w:r>
      <w:r w:rsidRPr="009772A3">
        <w:rPr>
          <w:rFonts w:asciiTheme="majorHAnsi" w:hAnsiTheme="majorHAnsi" w:cstheme="majorHAnsi"/>
          <w:sz w:val="24"/>
          <w:szCs w:val="24"/>
          <w:lang w:val="ro-MD"/>
        </w:rPr>
        <w:t xml:space="preserve">), conform evaluării la data de 01.07.1997, care ulterior a fost transmis de către SA Moldovagaz în capitalul social al SRL </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w:t>
      </w:r>
    </w:p>
    <w:p w14:paraId="7E5D8493" w14:textId="7A122F15" w:rsidR="00B84F30" w:rsidRPr="009772A3" w:rsidRDefault="00B84F30" w:rsidP="008050C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situația din 01.07.1999</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Moldovagaz a transmis patrimoniul primit de la întreprinderile din Transnistria pentru fondarea a 6 întreprinderi</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fiice din Transnistria</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sumă de 338</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140,932 mii lei. În acest patrimoniu a fost inclus și patrimoniu</w:t>
      </w:r>
      <w:r w:rsidR="00FA540A"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aflat în dreapta </w:t>
      </w:r>
      <w:r w:rsidR="00FA540A" w:rsidRPr="009772A3">
        <w:rPr>
          <w:rFonts w:asciiTheme="majorHAnsi" w:hAnsiTheme="majorHAnsi" w:cstheme="majorHAnsi"/>
          <w:sz w:val="24"/>
          <w:szCs w:val="24"/>
          <w:lang w:val="ro-MD"/>
        </w:rPr>
        <w:t xml:space="preserve">râului </w:t>
      </w:r>
      <w:r w:rsidRPr="009772A3">
        <w:rPr>
          <w:rFonts w:asciiTheme="majorHAnsi" w:hAnsiTheme="majorHAnsi" w:cstheme="majorHAnsi"/>
          <w:sz w:val="24"/>
          <w:szCs w:val="24"/>
          <w:lang w:val="ro-MD"/>
        </w:rPr>
        <w:t>Nistru (</w:t>
      </w:r>
      <w:r w:rsidR="00FA540A"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azoductul spre or. Reni</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valoare</w:t>
      </w:r>
      <w:r w:rsidR="00FA540A"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de bilanț de 2</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507,132 mii lei</w:t>
      </w:r>
      <w:r w:rsidRPr="009772A3">
        <w:rPr>
          <w:rFonts w:asciiTheme="majorHAnsi" w:hAnsiTheme="majorHAnsi" w:cstheme="majorHAnsi"/>
          <w:sz w:val="24"/>
          <w:szCs w:val="24"/>
          <w:vertAlign w:val="superscript"/>
          <w:lang w:val="ro-MD"/>
        </w:rPr>
        <w:footnoteReference w:id="24"/>
      </w:r>
      <w:r w:rsidRPr="009772A3">
        <w:rPr>
          <w:rFonts w:asciiTheme="majorHAnsi" w:hAnsiTheme="majorHAnsi" w:cstheme="majorHAnsi"/>
          <w:sz w:val="24"/>
          <w:szCs w:val="24"/>
          <w:lang w:val="ro-MD"/>
        </w:rPr>
        <w:t>)</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precum și un patrimoniu cu statut incert („Gazoductul magistral ATI-39,5 km”</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valoare de 18</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652,085 mii lei). În același act </w:t>
      </w:r>
      <w:r w:rsidR="004439DA" w:rsidRPr="009772A3">
        <w:rPr>
          <w:rFonts w:asciiTheme="majorHAnsi" w:hAnsiTheme="majorHAnsi" w:cstheme="majorHAnsi"/>
          <w:sz w:val="24"/>
          <w:szCs w:val="24"/>
          <w:lang w:val="ro-MD"/>
        </w:rPr>
        <w:t xml:space="preserve">de transmitere </w:t>
      </w:r>
      <w:r w:rsidRPr="009772A3">
        <w:rPr>
          <w:rFonts w:asciiTheme="majorHAnsi" w:hAnsiTheme="majorHAnsi" w:cstheme="majorHAnsi"/>
          <w:sz w:val="24"/>
          <w:szCs w:val="24"/>
          <w:lang w:val="ro-MD"/>
        </w:rPr>
        <w:t xml:space="preserve">este inclus și </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Gazoductul ATI D1200 L10410” cu valoarea de 8</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548,540 mii lei. De menționat că</w:t>
      </w:r>
      <w:r w:rsidR="00FA54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FA540A" w:rsidRPr="009772A3">
        <w:rPr>
          <w:rFonts w:asciiTheme="majorHAnsi" w:hAnsiTheme="majorHAnsi" w:cstheme="majorHAnsi"/>
          <w:sz w:val="24"/>
          <w:szCs w:val="24"/>
          <w:lang w:val="ro-MD"/>
        </w:rPr>
        <w:t>potrivit</w:t>
      </w:r>
      <w:r w:rsidRPr="009772A3">
        <w:rPr>
          <w:rFonts w:asciiTheme="majorHAnsi" w:hAnsiTheme="majorHAnsi" w:cstheme="majorHAnsi"/>
          <w:sz w:val="24"/>
          <w:szCs w:val="24"/>
          <w:lang w:val="ro-MD"/>
        </w:rPr>
        <w:t xml:space="preserve"> informațiilor prezentate, lungimea gazoductului ATI deservit de </w:t>
      </w:r>
      <w:r w:rsidR="005D4F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Tiraspoltransgaz</w:t>
      </w:r>
      <w:r w:rsidR="005D4F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constituie 29,19 km. Ca urmare a celor indicate, auditul</w:t>
      </w:r>
      <w:r w:rsidR="00467728" w:rsidRPr="009772A3">
        <w:rPr>
          <w:rFonts w:asciiTheme="majorHAnsi" w:hAnsiTheme="majorHAnsi" w:cstheme="majorHAnsi"/>
          <w:sz w:val="24"/>
          <w:szCs w:val="24"/>
          <w:lang w:val="ro-MD"/>
        </w:rPr>
        <w:t xml:space="preserve"> co</w:t>
      </w:r>
      <w:r w:rsidR="005D4FE4" w:rsidRPr="009772A3">
        <w:rPr>
          <w:rFonts w:asciiTheme="majorHAnsi" w:hAnsiTheme="majorHAnsi" w:cstheme="majorHAnsi"/>
          <w:sz w:val="24"/>
          <w:szCs w:val="24"/>
          <w:lang w:val="ro-MD"/>
        </w:rPr>
        <w:t>n</w:t>
      </w:r>
      <w:r w:rsidR="00467728" w:rsidRPr="009772A3">
        <w:rPr>
          <w:rFonts w:asciiTheme="majorHAnsi" w:hAnsiTheme="majorHAnsi" w:cstheme="majorHAnsi"/>
          <w:sz w:val="24"/>
          <w:szCs w:val="24"/>
          <w:lang w:val="ro-MD"/>
        </w:rPr>
        <w:t>stată lipsa probelor veridice care ar confirma sau infirma</w:t>
      </w:r>
      <w:r w:rsidRPr="009772A3">
        <w:rPr>
          <w:rFonts w:asciiTheme="majorHAnsi" w:hAnsiTheme="majorHAnsi" w:cstheme="majorHAnsi"/>
          <w:sz w:val="24"/>
          <w:szCs w:val="24"/>
          <w:lang w:val="ro-MD"/>
        </w:rPr>
        <w:t xml:space="preserve"> dacă în valoarea „Gazoductul</w:t>
      </w:r>
      <w:r w:rsidR="005F2774"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magistral ATI-39,5 km” a fost sau nu inclusă o parte a acestuia deservit</w:t>
      </w:r>
      <w:r w:rsidR="005D4FE4"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de </w:t>
      </w:r>
      <w:r w:rsidR="005D4F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5D4FE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6F66C4F6" w14:textId="77777777" w:rsidR="00A430DD" w:rsidRPr="00CF3AD4" w:rsidRDefault="00A430DD" w:rsidP="008050C6">
      <w:pPr>
        <w:spacing w:after="0" w:line="276" w:lineRule="auto"/>
        <w:ind w:firstLine="709"/>
        <w:jc w:val="both"/>
        <w:rPr>
          <w:rFonts w:asciiTheme="majorHAnsi" w:hAnsiTheme="majorHAnsi" w:cstheme="majorHAnsi"/>
          <w:b/>
          <w:i/>
          <w:sz w:val="16"/>
          <w:szCs w:val="16"/>
          <w:lang w:val="ro-MD"/>
        </w:rPr>
      </w:pPr>
    </w:p>
    <w:p w14:paraId="690FEC4F" w14:textId="4CB041B1" w:rsidR="00B84F30" w:rsidRPr="009772A3" w:rsidRDefault="008050C6" w:rsidP="008050C6">
      <w:pPr>
        <w:spacing w:after="0" w:line="276" w:lineRule="auto"/>
        <w:ind w:firstLine="709"/>
        <w:jc w:val="both"/>
        <w:rPr>
          <w:rFonts w:asciiTheme="majorHAnsi" w:hAnsiTheme="majorHAnsi" w:cstheme="majorHAnsi"/>
          <w:b/>
          <w:i/>
          <w:sz w:val="24"/>
          <w:szCs w:val="24"/>
          <w:lang w:val="ro-MD"/>
        </w:rPr>
      </w:pPr>
      <w:r w:rsidRPr="009772A3">
        <w:rPr>
          <w:rFonts w:asciiTheme="majorHAnsi" w:hAnsiTheme="majorHAnsi" w:cstheme="majorHAnsi"/>
          <w:b/>
          <w:i/>
          <w:sz w:val="24"/>
          <w:szCs w:val="24"/>
          <w:lang w:val="ro-MD"/>
        </w:rPr>
        <w:t>Referitor la e</w:t>
      </w:r>
      <w:r w:rsidR="00B84F30" w:rsidRPr="009772A3">
        <w:rPr>
          <w:rFonts w:asciiTheme="majorHAnsi" w:hAnsiTheme="majorHAnsi" w:cstheme="majorHAnsi"/>
          <w:b/>
          <w:i/>
          <w:sz w:val="24"/>
          <w:szCs w:val="24"/>
          <w:lang w:val="ro-MD"/>
        </w:rPr>
        <w:t>valuarea patrimoniul</w:t>
      </w:r>
      <w:r w:rsidR="002D1676" w:rsidRPr="009772A3">
        <w:rPr>
          <w:rFonts w:asciiTheme="majorHAnsi" w:hAnsiTheme="majorHAnsi" w:cstheme="majorHAnsi"/>
          <w:b/>
          <w:i/>
          <w:sz w:val="24"/>
          <w:szCs w:val="24"/>
          <w:lang w:val="ro-MD"/>
        </w:rPr>
        <w:t>ui</w:t>
      </w:r>
      <w:r w:rsidR="00B84F30" w:rsidRPr="009772A3">
        <w:rPr>
          <w:rFonts w:asciiTheme="majorHAnsi" w:hAnsiTheme="majorHAnsi" w:cstheme="majorHAnsi"/>
          <w:b/>
          <w:i/>
          <w:sz w:val="24"/>
          <w:szCs w:val="24"/>
          <w:lang w:val="ro-MD"/>
        </w:rPr>
        <w:t xml:space="preserve"> depus în capitalul social al SA Moldovagaz</w:t>
      </w:r>
    </w:p>
    <w:p w14:paraId="22E98FFB" w14:textId="39494DDE" w:rsidR="00B84F30" w:rsidRPr="00557237" w:rsidRDefault="00B84F30" w:rsidP="00383FF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Conform constatărilor </w:t>
      </w:r>
      <w:r w:rsidR="002D1676" w:rsidRPr="009772A3">
        <w:rPr>
          <w:rFonts w:asciiTheme="majorHAnsi" w:hAnsiTheme="majorHAnsi" w:cstheme="majorHAnsi"/>
          <w:sz w:val="24"/>
          <w:szCs w:val="24"/>
          <w:lang w:val="ro-MD"/>
        </w:rPr>
        <w:t xml:space="preserve">enunțate la finele </w:t>
      </w:r>
      <w:r w:rsidR="00BA1D54" w:rsidRPr="009772A3">
        <w:rPr>
          <w:rFonts w:asciiTheme="majorHAnsi" w:hAnsiTheme="majorHAnsi" w:cstheme="majorHAnsi"/>
          <w:sz w:val="24"/>
          <w:szCs w:val="24"/>
          <w:lang w:val="ro-MD"/>
        </w:rPr>
        <w:t>controlului</w:t>
      </w:r>
      <w:r w:rsidRPr="009772A3">
        <w:rPr>
          <w:rFonts w:asciiTheme="majorHAnsi" w:hAnsiTheme="majorHAnsi" w:cstheme="majorHAnsi"/>
          <w:sz w:val="24"/>
          <w:szCs w:val="24"/>
          <w:lang w:val="ro-MD"/>
        </w:rPr>
        <w:t xml:space="preserve"> precedent al Curții de Conturi (2002), valoarea patrimoniului inclusă în capitalul social al SA </w:t>
      </w:r>
      <w:r w:rsidR="002D167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2D167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(11.08.1995), c</w:t>
      </w:r>
      <w:r w:rsidR="002D10B5"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 și a</w:t>
      </w:r>
      <w:r w:rsidR="00071CF3"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SA Moldovagaz (25.05.1999) a </w:t>
      </w:r>
      <w:r w:rsidRPr="00557237">
        <w:rPr>
          <w:rFonts w:asciiTheme="majorHAnsi" w:hAnsiTheme="majorHAnsi" w:cstheme="majorHAnsi"/>
          <w:sz w:val="24"/>
          <w:szCs w:val="24"/>
          <w:lang w:val="ro-MD"/>
        </w:rPr>
        <w:t xml:space="preserve">fost </w:t>
      </w:r>
      <w:r w:rsidR="002B025C" w:rsidRPr="00CF3AD4">
        <w:rPr>
          <w:rFonts w:asciiTheme="majorHAnsi" w:hAnsiTheme="majorHAnsi" w:cstheme="majorHAnsi"/>
          <w:sz w:val="24"/>
          <w:szCs w:val="24"/>
          <w:lang w:val="ro-MD"/>
        </w:rPr>
        <w:t>diminuată</w:t>
      </w:r>
      <w:r w:rsidR="002B025C" w:rsidRPr="00557237">
        <w:rPr>
          <w:rFonts w:asciiTheme="majorHAnsi" w:hAnsiTheme="majorHAnsi" w:cstheme="majorHAnsi"/>
          <w:sz w:val="24"/>
          <w:szCs w:val="24"/>
          <w:lang w:val="ro-MD"/>
        </w:rPr>
        <w:t xml:space="preserve">, </w:t>
      </w:r>
      <w:r w:rsidR="002B025C" w:rsidRPr="00CF3AD4">
        <w:rPr>
          <w:rFonts w:asciiTheme="majorHAnsi" w:hAnsiTheme="majorHAnsi" w:cstheme="majorHAnsi"/>
          <w:sz w:val="24"/>
          <w:szCs w:val="24"/>
          <w:lang w:val="ro-MD"/>
        </w:rPr>
        <w:t>fiind</w:t>
      </w:r>
      <w:r w:rsidR="002B025C" w:rsidRPr="00557237">
        <w:rPr>
          <w:rFonts w:asciiTheme="majorHAnsi" w:hAnsiTheme="majorHAnsi" w:cstheme="majorHAnsi"/>
          <w:sz w:val="24"/>
          <w:szCs w:val="24"/>
          <w:lang w:val="ro-MD"/>
        </w:rPr>
        <w:t xml:space="preserve"> </w:t>
      </w:r>
      <w:r w:rsidRPr="00557237">
        <w:rPr>
          <w:rFonts w:asciiTheme="majorHAnsi" w:hAnsiTheme="majorHAnsi" w:cstheme="majorHAnsi"/>
          <w:sz w:val="24"/>
          <w:szCs w:val="24"/>
          <w:lang w:val="ro-MD"/>
        </w:rPr>
        <w:t>estimată la momentul fondării cu încălcarea prevederilor art.9 pct.2 din Legea privind investițiile străine nr.998 din 01.04.1992, conform cărora „depunerile în capitalul social al întreprinderii urmau să fie evaluate la prețuri mondiale”.</w:t>
      </w:r>
    </w:p>
    <w:p w14:paraId="75455EA1" w14:textId="4ABDD733" w:rsidR="00B84F30" w:rsidRPr="009772A3" w:rsidRDefault="0044170C" w:rsidP="00BA4B8B">
      <w:pPr>
        <w:tabs>
          <w:tab w:val="left" w:pos="6663"/>
        </w:tabs>
        <w:spacing w:after="0" w:line="276" w:lineRule="auto"/>
        <w:ind w:firstLine="709"/>
        <w:jc w:val="both"/>
        <w:rPr>
          <w:rFonts w:asciiTheme="majorHAnsi" w:hAnsiTheme="majorHAnsi" w:cstheme="majorHAnsi"/>
          <w:sz w:val="24"/>
          <w:szCs w:val="24"/>
          <w:lang w:val="ro-MD"/>
        </w:rPr>
      </w:pPr>
      <w:r w:rsidRPr="00CF3AD4">
        <w:rPr>
          <w:rFonts w:asciiTheme="majorHAnsi" w:hAnsiTheme="majorHAnsi" w:cstheme="majorHAnsi"/>
          <w:sz w:val="24"/>
          <w:szCs w:val="24"/>
          <w:lang w:val="ro-MD"/>
        </w:rPr>
        <w:t>Conform deciziei a</w:t>
      </w:r>
      <w:r w:rsidR="00B84F30" w:rsidRPr="00CF3AD4">
        <w:rPr>
          <w:rFonts w:asciiTheme="majorHAnsi" w:hAnsiTheme="majorHAnsi" w:cstheme="majorHAnsi"/>
          <w:sz w:val="24"/>
          <w:szCs w:val="24"/>
          <w:lang w:val="ro-MD"/>
        </w:rPr>
        <w:t>dun</w:t>
      </w:r>
      <w:r w:rsidRPr="00CF3AD4">
        <w:rPr>
          <w:rFonts w:asciiTheme="majorHAnsi" w:hAnsiTheme="majorHAnsi" w:cstheme="majorHAnsi"/>
          <w:sz w:val="24"/>
          <w:szCs w:val="24"/>
          <w:lang w:val="ro-MD"/>
        </w:rPr>
        <w:t>ă</w:t>
      </w:r>
      <w:r w:rsidR="00B84F30" w:rsidRPr="00CF3AD4">
        <w:rPr>
          <w:rFonts w:asciiTheme="majorHAnsi" w:hAnsiTheme="majorHAnsi" w:cstheme="majorHAnsi"/>
          <w:sz w:val="24"/>
          <w:szCs w:val="24"/>
          <w:lang w:val="ro-MD"/>
        </w:rPr>
        <w:t>r</w:t>
      </w:r>
      <w:r w:rsidRPr="00CF3AD4">
        <w:rPr>
          <w:rFonts w:asciiTheme="majorHAnsi" w:hAnsiTheme="majorHAnsi" w:cstheme="majorHAnsi"/>
          <w:sz w:val="24"/>
          <w:szCs w:val="24"/>
          <w:lang w:val="ro-MD"/>
        </w:rPr>
        <w:t>ii</w:t>
      </w:r>
      <w:r w:rsidR="00B84F30" w:rsidRPr="00CF3AD4">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 xml:space="preserve">generale </w:t>
      </w:r>
      <w:r w:rsidR="00B84F30" w:rsidRPr="00CF3AD4">
        <w:rPr>
          <w:rFonts w:asciiTheme="majorHAnsi" w:hAnsiTheme="majorHAnsi" w:cstheme="majorHAnsi"/>
          <w:sz w:val="24"/>
          <w:szCs w:val="24"/>
          <w:lang w:val="ro-MD"/>
        </w:rPr>
        <w:t xml:space="preserve">a acționarilor SA Moldovagaz </w:t>
      </w:r>
      <w:r w:rsidR="00BA4B8B" w:rsidRPr="00CF3AD4">
        <w:rPr>
          <w:rFonts w:asciiTheme="majorHAnsi" w:hAnsiTheme="majorHAnsi" w:cstheme="majorHAnsi"/>
          <w:sz w:val="24"/>
          <w:szCs w:val="24"/>
          <w:lang w:val="ro-MD"/>
        </w:rPr>
        <w:t xml:space="preserve">din 24.05.2002 </w:t>
      </w:r>
      <w:r w:rsidR="002B025C" w:rsidRPr="00CF3AD4">
        <w:rPr>
          <w:rFonts w:asciiTheme="majorHAnsi" w:hAnsiTheme="majorHAnsi" w:cstheme="majorHAnsi"/>
          <w:sz w:val="24"/>
          <w:szCs w:val="24"/>
          <w:lang w:val="ro-MD"/>
        </w:rPr>
        <w:t>(pct.2)</w:t>
      </w:r>
      <w:r w:rsidR="00A86349">
        <w:rPr>
          <w:rFonts w:asciiTheme="majorHAnsi" w:hAnsiTheme="majorHAnsi" w:cstheme="majorHAnsi"/>
          <w:sz w:val="24"/>
          <w:szCs w:val="24"/>
          <w:lang w:val="ro-MD"/>
        </w:rPr>
        <w:t>,</w:t>
      </w:r>
      <w:r w:rsidR="002B025C" w:rsidRPr="00CF3AD4">
        <w:rPr>
          <w:rFonts w:asciiTheme="majorHAnsi" w:hAnsiTheme="majorHAnsi" w:cstheme="majorHAnsi"/>
          <w:sz w:val="24"/>
          <w:szCs w:val="24"/>
          <w:lang w:val="ro-MD"/>
        </w:rPr>
        <w:t xml:space="preserve"> </w:t>
      </w:r>
      <w:r w:rsidR="00B84F30" w:rsidRPr="00CF3AD4">
        <w:rPr>
          <w:rFonts w:asciiTheme="majorHAnsi" w:hAnsiTheme="majorHAnsi" w:cstheme="majorHAnsi"/>
          <w:sz w:val="24"/>
          <w:szCs w:val="24"/>
          <w:lang w:val="ro-MD"/>
        </w:rPr>
        <w:t xml:space="preserve">s-a </w:t>
      </w:r>
      <w:r w:rsidR="00A86349" w:rsidRPr="00CF3AD4">
        <w:rPr>
          <w:rFonts w:asciiTheme="majorHAnsi" w:hAnsiTheme="majorHAnsi" w:cstheme="majorHAnsi"/>
          <w:sz w:val="24"/>
          <w:szCs w:val="24"/>
          <w:lang w:val="ro-MD"/>
        </w:rPr>
        <w:t>hotăr</w:t>
      </w:r>
      <w:r w:rsidR="00A86349">
        <w:rPr>
          <w:rFonts w:asciiTheme="majorHAnsi" w:hAnsiTheme="majorHAnsi" w:cstheme="majorHAnsi"/>
          <w:sz w:val="24"/>
          <w:szCs w:val="24"/>
          <w:lang w:val="ro-MD"/>
        </w:rPr>
        <w:t>â</w:t>
      </w:r>
      <w:r w:rsidR="00A86349" w:rsidRPr="00CF3AD4">
        <w:rPr>
          <w:rFonts w:asciiTheme="majorHAnsi" w:hAnsiTheme="majorHAnsi" w:cstheme="majorHAnsi"/>
          <w:sz w:val="24"/>
          <w:szCs w:val="24"/>
          <w:lang w:val="ro-MD"/>
        </w:rPr>
        <w:t>t</w:t>
      </w:r>
      <w:r w:rsidR="00F83BC4" w:rsidRPr="00CF3AD4">
        <w:rPr>
          <w:rFonts w:asciiTheme="majorHAnsi" w:hAnsiTheme="majorHAnsi" w:cstheme="majorHAnsi"/>
          <w:sz w:val="24"/>
          <w:szCs w:val="24"/>
          <w:lang w:val="ro-MD"/>
        </w:rPr>
        <w:t>:</w:t>
      </w:r>
      <w:r w:rsidR="00B84F30" w:rsidRPr="00CF3AD4">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 xml:space="preserve">(i) </w:t>
      </w:r>
      <w:r w:rsidR="00B84F30" w:rsidRPr="00CF3AD4">
        <w:rPr>
          <w:rFonts w:asciiTheme="majorHAnsi" w:hAnsiTheme="majorHAnsi" w:cstheme="majorHAnsi"/>
          <w:sz w:val="24"/>
          <w:szCs w:val="24"/>
          <w:lang w:val="ro-MD"/>
        </w:rPr>
        <w:t>a lua act de Hotăr</w:t>
      </w:r>
      <w:r w:rsidR="00BA4B8B" w:rsidRPr="00CF3AD4">
        <w:rPr>
          <w:rFonts w:asciiTheme="majorHAnsi" w:hAnsiTheme="majorHAnsi" w:cstheme="majorHAnsi"/>
          <w:sz w:val="24"/>
          <w:szCs w:val="24"/>
          <w:lang w:val="ro-MD"/>
        </w:rPr>
        <w:t>â</w:t>
      </w:r>
      <w:r w:rsidR="00B84F30" w:rsidRPr="00CF3AD4">
        <w:rPr>
          <w:rFonts w:asciiTheme="majorHAnsi" w:hAnsiTheme="majorHAnsi" w:cstheme="majorHAnsi"/>
          <w:sz w:val="24"/>
          <w:szCs w:val="24"/>
          <w:lang w:val="ro-MD"/>
        </w:rPr>
        <w:t>rea Curții de Conturi nr.15 din 14.02.2002</w:t>
      </w:r>
      <w:r w:rsidRPr="00CF3AD4">
        <w:rPr>
          <w:rFonts w:asciiTheme="majorHAnsi" w:hAnsiTheme="majorHAnsi" w:cstheme="majorHAnsi"/>
          <w:sz w:val="24"/>
          <w:szCs w:val="24"/>
          <w:lang w:val="ro-MD"/>
        </w:rPr>
        <w:t>;</w:t>
      </w:r>
      <w:r w:rsidR="00B84F30" w:rsidRPr="00CF3AD4">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 xml:space="preserve">(ii) </w:t>
      </w:r>
      <w:r w:rsidR="00B84F30" w:rsidRPr="00CF3AD4">
        <w:rPr>
          <w:rFonts w:asciiTheme="majorHAnsi" w:hAnsiTheme="majorHAnsi" w:cstheme="majorHAnsi"/>
          <w:sz w:val="24"/>
          <w:szCs w:val="24"/>
          <w:lang w:val="ro-MD"/>
        </w:rPr>
        <w:t xml:space="preserve">a obliga Consiliul de </w:t>
      </w:r>
      <w:r w:rsidR="00BA4B8B" w:rsidRPr="00CF3AD4">
        <w:rPr>
          <w:rFonts w:asciiTheme="majorHAnsi" w:hAnsiTheme="majorHAnsi" w:cstheme="majorHAnsi"/>
          <w:sz w:val="24"/>
          <w:szCs w:val="24"/>
          <w:lang w:val="ro-MD"/>
        </w:rPr>
        <w:t>a</w:t>
      </w:r>
      <w:r w:rsidR="00B84F30" w:rsidRPr="00CF3AD4">
        <w:rPr>
          <w:rFonts w:asciiTheme="majorHAnsi" w:hAnsiTheme="majorHAnsi" w:cstheme="majorHAnsi"/>
          <w:sz w:val="24"/>
          <w:szCs w:val="24"/>
          <w:lang w:val="ro-MD"/>
        </w:rPr>
        <w:t>dministrație</w:t>
      </w:r>
      <w:r w:rsidRPr="00CF3AD4">
        <w:rPr>
          <w:rFonts w:asciiTheme="majorHAnsi" w:hAnsiTheme="majorHAnsi" w:cstheme="majorHAnsi"/>
          <w:sz w:val="24"/>
          <w:szCs w:val="24"/>
          <w:lang w:val="ro-MD"/>
        </w:rPr>
        <w:t xml:space="preserve"> </w:t>
      </w:r>
      <w:r w:rsidR="00B84F30" w:rsidRPr="00CF3AD4">
        <w:rPr>
          <w:rFonts w:asciiTheme="majorHAnsi" w:hAnsiTheme="majorHAnsi" w:cstheme="majorHAnsi"/>
          <w:sz w:val="24"/>
          <w:szCs w:val="24"/>
          <w:lang w:val="ro-MD"/>
        </w:rPr>
        <w:t>efectua</w:t>
      </w:r>
      <w:r w:rsidRPr="00CF3AD4">
        <w:rPr>
          <w:rFonts w:asciiTheme="majorHAnsi" w:hAnsiTheme="majorHAnsi" w:cstheme="majorHAnsi"/>
          <w:sz w:val="24"/>
          <w:szCs w:val="24"/>
          <w:lang w:val="ro-MD"/>
        </w:rPr>
        <w:t>rea,</w:t>
      </w:r>
      <w:r w:rsidR="00B84F30" w:rsidRPr="00CF3AD4">
        <w:rPr>
          <w:rFonts w:asciiTheme="majorHAnsi" w:hAnsiTheme="majorHAnsi" w:cstheme="majorHAnsi"/>
          <w:sz w:val="24"/>
          <w:szCs w:val="24"/>
          <w:lang w:val="ro-MD"/>
        </w:rPr>
        <w:t xml:space="preserve"> în a </w:t>
      </w:r>
      <w:r w:rsidR="00BA4B8B" w:rsidRPr="00CF3AD4">
        <w:rPr>
          <w:rFonts w:asciiTheme="majorHAnsi" w:hAnsiTheme="majorHAnsi" w:cstheme="majorHAnsi"/>
          <w:sz w:val="24"/>
          <w:szCs w:val="24"/>
          <w:lang w:val="ro-MD"/>
        </w:rPr>
        <w:t>doua</w:t>
      </w:r>
      <w:r w:rsidR="00B84F30" w:rsidRPr="00CF3AD4">
        <w:rPr>
          <w:rFonts w:asciiTheme="majorHAnsi" w:hAnsiTheme="majorHAnsi" w:cstheme="majorHAnsi"/>
          <w:sz w:val="24"/>
          <w:szCs w:val="24"/>
          <w:lang w:val="ro-MD"/>
        </w:rPr>
        <w:t xml:space="preserve"> jum</w:t>
      </w:r>
      <w:r w:rsidR="00BA4B8B" w:rsidRPr="00CF3AD4">
        <w:rPr>
          <w:rFonts w:asciiTheme="majorHAnsi" w:hAnsiTheme="majorHAnsi" w:cstheme="majorHAnsi"/>
          <w:sz w:val="24"/>
          <w:szCs w:val="24"/>
          <w:lang w:val="ro-MD"/>
        </w:rPr>
        <w:t>ătate</w:t>
      </w:r>
      <w:r w:rsidR="00B84F30" w:rsidRPr="00CF3AD4">
        <w:rPr>
          <w:rFonts w:asciiTheme="majorHAnsi" w:hAnsiTheme="majorHAnsi" w:cstheme="majorHAnsi"/>
          <w:sz w:val="24"/>
          <w:szCs w:val="24"/>
          <w:lang w:val="ro-MD"/>
        </w:rPr>
        <w:t xml:space="preserve"> a anului 2002</w:t>
      </w:r>
      <w:r w:rsidRPr="00CF3AD4">
        <w:rPr>
          <w:rFonts w:asciiTheme="majorHAnsi" w:hAnsiTheme="majorHAnsi" w:cstheme="majorHAnsi"/>
          <w:sz w:val="24"/>
          <w:szCs w:val="24"/>
          <w:lang w:val="ro-MD"/>
        </w:rPr>
        <w:t>,</w:t>
      </w:r>
      <w:r w:rsidR="00B84F30" w:rsidRPr="00CF3AD4">
        <w:rPr>
          <w:rFonts w:asciiTheme="majorHAnsi" w:hAnsiTheme="majorHAnsi" w:cstheme="majorHAnsi"/>
          <w:sz w:val="24"/>
          <w:szCs w:val="24"/>
          <w:lang w:val="ro-MD"/>
        </w:rPr>
        <w:t xml:space="preserve"> </w:t>
      </w:r>
      <w:r w:rsidR="00A86349" w:rsidRPr="00CF3AD4">
        <w:rPr>
          <w:rFonts w:asciiTheme="majorHAnsi" w:hAnsiTheme="majorHAnsi" w:cstheme="majorHAnsi"/>
          <w:sz w:val="24"/>
          <w:szCs w:val="24"/>
          <w:lang w:val="ro-MD"/>
        </w:rPr>
        <w:t>inventarier</w:t>
      </w:r>
      <w:r w:rsidR="00A86349">
        <w:rPr>
          <w:rFonts w:asciiTheme="majorHAnsi" w:hAnsiTheme="majorHAnsi" w:cstheme="majorHAnsi"/>
          <w:sz w:val="24"/>
          <w:szCs w:val="24"/>
          <w:lang w:val="ro-MD"/>
        </w:rPr>
        <w:t>ea</w:t>
      </w:r>
      <w:r w:rsidR="00A86349" w:rsidRPr="00CF3AD4">
        <w:rPr>
          <w:rFonts w:asciiTheme="majorHAnsi" w:hAnsiTheme="majorHAnsi" w:cstheme="majorHAnsi"/>
          <w:sz w:val="24"/>
          <w:szCs w:val="24"/>
          <w:lang w:val="ro-MD"/>
        </w:rPr>
        <w:t xml:space="preserve"> </w:t>
      </w:r>
      <w:r w:rsidR="00B84F30" w:rsidRPr="00CF3AD4">
        <w:rPr>
          <w:rFonts w:asciiTheme="majorHAnsi" w:hAnsiTheme="majorHAnsi" w:cstheme="majorHAnsi"/>
          <w:sz w:val="24"/>
          <w:szCs w:val="24"/>
          <w:lang w:val="ro-MD"/>
        </w:rPr>
        <w:t xml:space="preserve">bunurilor SA, </w:t>
      </w:r>
      <w:r w:rsidR="00A86349" w:rsidRPr="00CF3AD4">
        <w:rPr>
          <w:rFonts w:asciiTheme="majorHAnsi" w:hAnsiTheme="majorHAnsi" w:cstheme="majorHAnsi"/>
          <w:sz w:val="24"/>
          <w:szCs w:val="24"/>
          <w:lang w:val="ro-MD"/>
        </w:rPr>
        <w:t>reevalu</w:t>
      </w:r>
      <w:r w:rsidR="00A86349">
        <w:rPr>
          <w:rFonts w:asciiTheme="majorHAnsi" w:hAnsiTheme="majorHAnsi" w:cstheme="majorHAnsi"/>
          <w:sz w:val="24"/>
          <w:szCs w:val="24"/>
          <w:lang w:val="ro-MD"/>
        </w:rPr>
        <w:t>area</w:t>
      </w:r>
      <w:r w:rsidR="00A86349" w:rsidRPr="00CF3AD4">
        <w:rPr>
          <w:rFonts w:asciiTheme="majorHAnsi" w:hAnsiTheme="majorHAnsi" w:cstheme="majorHAnsi"/>
          <w:sz w:val="24"/>
          <w:szCs w:val="24"/>
          <w:lang w:val="ro-MD"/>
        </w:rPr>
        <w:t xml:space="preserve"> </w:t>
      </w:r>
      <w:r w:rsidR="00B84F30" w:rsidRPr="00CF3AD4">
        <w:rPr>
          <w:rFonts w:asciiTheme="majorHAnsi" w:hAnsiTheme="majorHAnsi" w:cstheme="majorHAnsi"/>
          <w:sz w:val="24"/>
          <w:szCs w:val="24"/>
          <w:lang w:val="ro-MD"/>
        </w:rPr>
        <w:t>fondurilor fixe</w:t>
      </w:r>
      <w:r w:rsidRPr="00CF3AD4">
        <w:rPr>
          <w:rFonts w:asciiTheme="majorHAnsi" w:hAnsiTheme="majorHAnsi" w:cstheme="majorHAnsi"/>
          <w:sz w:val="24"/>
          <w:szCs w:val="24"/>
          <w:lang w:val="ro-MD"/>
        </w:rPr>
        <w:t xml:space="preserve"> (mijloace fixe)</w:t>
      </w:r>
      <w:r w:rsidR="00B84F30" w:rsidRPr="00CF3AD4">
        <w:rPr>
          <w:rFonts w:asciiTheme="majorHAnsi" w:hAnsiTheme="majorHAnsi" w:cstheme="majorHAnsi"/>
          <w:sz w:val="24"/>
          <w:szCs w:val="24"/>
          <w:lang w:val="ro-MD"/>
        </w:rPr>
        <w:t>, analiz</w:t>
      </w:r>
      <w:r w:rsidR="006A29E5" w:rsidRPr="00CF3AD4">
        <w:rPr>
          <w:rFonts w:asciiTheme="majorHAnsi" w:hAnsiTheme="majorHAnsi" w:cstheme="majorHAnsi"/>
          <w:sz w:val="24"/>
          <w:szCs w:val="24"/>
          <w:lang w:val="ro-MD"/>
        </w:rPr>
        <w:t>ei</w:t>
      </w:r>
      <w:r w:rsidR="00B84F30" w:rsidRPr="00CF3AD4">
        <w:rPr>
          <w:rFonts w:asciiTheme="majorHAnsi" w:hAnsiTheme="majorHAnsi" w:cstheme="majorHAnsi"/>
          <w:sz w:val="24"/>
          <w:szCs w:val="24"/>
          <w:lang w:val="ro-MD"/>
        </w:rPr>
        <w:t xml:space="preserve"> mărimii și cote</w:t>
      </w:r>
      <w:r w:rsidR="006A29E5" w:rsidRPr="00CF3AD4">
        <w:rPr>
          <w:rFonts w:asciiTheme="majorHAnsi" w:hAnsiTheme="majorHAnsi" w:cstheme="majorHAnsi"/>
          <w:sz w:val="24"/>
          <w:szCs w:val="24"/>
          <w:lang w:val="ro-MD"/>
        </w:rPr>
        <w:t>lor</w:t>
      </w:r>
      <w:r w:rsidR="00B84F30" w:rsidRPr="00CF3AD4">
        <w:rPr>
          <w:rFonts w:asciiTheme="majorHAnsi" w:hAnsiTheme="majorHAnsi" w:cstheme="majorHAnsi"/>
          <w:sz w:val="24"/>
          <w:szCs w:val="24"/>
          <w:lang w:val="ro-MD"/>
        </w:rPr>
        <w:t xml:space="preserve"> de participare în capitalul social a</w:t>
      </w:r>
      <w:r w:rsidR="00BA4B8B" w:rsidRPr="00CF3AD4">
        <w:rPr>
          <w:rFonts w:asciiTheme="majorHAnsi" w:hAnsiTheme="majorHAnsi" w:cstheme="majorHAnsi"/>
          <w:sz w:val="24"/>
          <w:szCs w:val="24"/>
          <w:lang w:val="ro-MD"/>
        </w:rPr>
        <w:t>l</w:t>
      </w:r>
      <w:r w:rsidR="00B84F30" w:rsidRPr="00CF3AD4">
        <w:rPr>
          <w:rFonts w:asciiTheme="majorHAnsi" w:hAnsiTheme="majorHAnsi" w:cstheme="majorHAnsi"/>
          <w:sz w:val="24"/>
          <w:szCs w:val="24"/>
          <w:lang w:val="ro-MD"/>
        </w:rPr>
        <w:t xml:space="preserve"> SA</w:t>
      </w:r>
      <w:r w:rsidRPr="00CF3AD4">
        <w:rPr>
          <w:rFonts w:asciiTheme="majorHAnsi" w:hAnsiTheme="majorHAnsi" w:cstheme="majorHAnsi"/>
          <w:sz w:val="24"/>
          <w:szCs w:val="24"/>
          <w:lang w:val="ro-MD"/>
        </w:rPr>
        <w:t>, precum</w:t>
      </w:r>
      <w:r w:rsidR="00B84F30" w:rsidRPr="00CF3AD4">
        <w:rPr>
          <w:rFonts w:asciiTheme="majorHAnsi" w:hAnsiTheme="majorHAnsi" w:cstheme="majorHAnsi"/>
          <w:sz w:val="24"/>
          <w:szCs w:val="24"/>
          <w:lang w:val="ro-MD"/>
        </w:rPr>
        <w:t xml:space="preserve"> și a propune Consiliului Societății </w:t>
      </w:r>
      <w:r w:rsidR="006A29E5" w:rsidRPr="00CF3AD4">
        <w:rPr>
          <w:rFonts w:asciiTheme="majorHAnsi" w:hAnsiTheme="majorHAnsi" w:cstheme="majorHAnsi"/>
          <w:sz w:val="24"/>
          <w:szCs w:val="24"/>
          <w:lang w:val="ro-MD"/>
        </w:rPr>
        <w:t xml:space="preserve">proiectul </w:t>
      </w:r>
      <w:r w:rsidR="00B84F30" w:rsidRPr="00CF3AD4">
        <w:rPr>
          <w:rFonts w:asciiTheme="majorHAnsi" w:hAnsiTheme="majorHAnsi" w:cstheme="majorHAnsi"/>
          <w:sz w:val="24"/>
          <w:szCs w:val="24"/>
          <w:lang w:val="ro-MD"/>
        </w:rPr>
        <w:t>decizi</w:t>
      </w:r>
      <w:r w:rsidR="006A29E5" w:rsidRPr="00CF3AD4">
        <w:rPr>
          <w:rFonts w:asciiTheme="majorHAnsi" w:hAnsiTheme="majorHAnsi" w:cstheme="majorHAnsi"/>
          <w:sz w:val="24"/>
          <w:szCs w:val="24"/>
          <w:lang w:val="ro-MD"/>
        </w:rPr>
        <w:t>e</w:t>
      </w:r>
      <w:r w:rsidR="00B84F30" w:rsidRPr="00CF3AD4">
        <w:rPr>
          <w:rFonts w:asciiTheme="majorHAnsi" w:hAnsiTheme="majorHAnsi" w:cstheme="majorHAnsi"/>
          <w:sz w:val="24"/>
          <w:szCs w:val="24"/>
          <w:lang w:val="ro-MD"/>
        </w:rPr>
        <w:t>i</w:t>
      </w:r>
      <w:r w:rsidR="006A29E5" w:rsidRPr="00CF3AD4">
        <w:rPr>
          <w:rFonts w:asciiTheme="majorHAnsi" w:hAnsiTheme="majorHAnsi" w:cstheme="majorHAnsi"/>
          <w:sz w:val="24"/>
          <w:szCs w:val="24"/>
          <w:lang w:val="ro-MD"/>
        </w:rPr>
        <w:t xml:space="preserve">, </w:t>
      </w:r>
      <w:r w:rsidR="00ED3D9B" w:rsidRPr="00CF3AD4">
        <w:rPr>
          <w:rFonts w:asciiTheme="majorHAnsi" w:hAnsiTheme="majorHAnsi" w:cstheme="majorHAnsi"/>
          <w:sz w:val="24"/>
          <w:szCs w:val="24"/>
          <w:lang w:val="ro-MD"/>
        </w:rPr>
        <w:t>necesare de a fi</w:t>
      </w:r>
      <w:r w:rsidR="006A29E5" w:rsidRPr="00CF3AD4">
        <w:rPr>
          <w:rFonts w:asciiTheme="majorHAnsi" w:hAnsiTheme="majorHAnsi" w:cstheme="majorHAnsi"/>
          <w:sz w:val="24"/>
          <w:szCs w:val="24"/>
          <w:lang w:val="ro-MD"/>
        </w:rPr>
        <w:t xml:space="preserve"> luată </w:t>
      </w:r>
      <w:r w:rsidR="00B84F30" w:rsidRPr="00CF3AD4">
        <w:rPr>
          <w:rFonts w:asciiTheme="majorHAnsi" w:hAnsiTheme="majorHAnsi" w:cstheme="majorHAnsi"/>
          <w:sz w:val="24"/>
          <w:szCs w:val="24"/>
          <w:lang w:val="ro-MD"/>
        </w:rPr>
        <w:t>de Adunarea generală a acționarilor</w:t>
      </w:r>
      <w:r w:rsidR="006A29E5" w:rsidRPr="00CF3AD4">
        <w:rPr>
          <w:rFonts w:asciiTheme="majorHAnsi" w:hAnsiTheme="majorHAnsi" w:cstheme="majorHAnsi"/>
          <w:sz w:val="24"/>
          <w:szCs w:val="24"/>
          <w:lang w:val="ro-MD"/>
        </w:rPr>
        <w:t xml:space="preserve">. </w:t>
      </w:r>
      <w:r w:rsidR="006A29E5" w:rsidRPr="00557237">
        <w:rPr>
          <w:rFonts w:asciiTheme="majorHAnsi" w:hAnsiTheme="majorHAnsi" w:cstheme="majorHAnsi"/>
          <w:sz w:val="24"/>
          <w:szCs w:val="24"/>
          <w:lang w:val="ro-MD"/>
        </w:rPr>
        <w:t>D</w:t>
      </w:r>
      <w:r w:rsidR="00B84F30" w:rsidRPr="00557237">
        <w:rPr>
          <w:rFonts w:asciiTheme="majorHAnsi" w:hAnsiTheme="majorHAnsi" w:cstheme="majorHAnsi"/>
          <w:sz w:val="24"/>
          <w:szCs w:val="24"/>
          <w:lang w:val="ro-MD"/>
        </w:rPr>
        <w:t>i</w:t>
      </w:r>
      <w:r w:rsidR="00B84F30" w:rsidRPr="009772A3">
        <w:rPr>
          <w:rFonts w:asciiTheme="majorHAnsi" w:hAnsiTheme="majorHAnsi" w:cstheme="majorHAnsi"/>
          <w:sz w:val="24"/>
          <w:szCs w:val="24"/>
          <w:lang w:val="ro-MD"/>
        </w:rPr>
        <w:t xml:space="preserve">n cauza că </w:t>
      </w:r>
      <w:r w:rsidR="00ED3D9B">
        <w:rPr>
          <w:rFonts w:asciiTheme="majorHAnsi" w:hAnsiTheme="majorHAnsi" w:cstheme="majorHAnsi"/>
          <w:sz w:val="24"/>
          <w:szCs w:val="24"/>
          <w:lang w:val="ro-MD"/>
        </w:rPr>
        <w:t xml:space="preserve">în anii 2002-2003 </w:t>
      </w:r>
      <w:r w:rsidR="00B84F30" w:rsidRPr="009772A3">
        <w:rPr>
          <w:rFonts w:asciiTheme="majorHAnsi" w:hAnsiTheme="majorHAnsi" w:cstheme="majorHAnsi"/>
          <w:sz w:val="24"/>
          <w:szCs w:val="24"/>
          <w:lang w:val="ro-MD"/>
        </w:rPr>
        <w:t xml:space="preserve">reevaluarea s-a efectuat în baza unor metodici diferite </w:t>
      </w:r>
      <w:r w:rsidR="00BA4B8B" w:rsidRPr="009772A3">
        <w:rPr>
          <w:rFonts w:asciiTheme="majorHAnsi" w:hAnsiTheme="majorHAnsi" w:cstheme="majorHAnsi"/>
          <w:sz w:val="24"/>
          <w:szCs w:val="24"/>
          <w:lang w:val="ro-MD"/>
        </w:rPr>
        <w:t xml:space="preserve">la întreprinderile </w:t>
      </w:r>
      <w:r w:rsidR="00071CF3" w:rsidRPr="009772A3">
        <w:rPr>
          <w:rFonts w:asciiTheme="majorHAnsi" w:hAnsiTheme="majorHAnsi" w:cstheme="majorHAnsi"/>
          <w:sz w:val="24"/>
          <w:szCs w:val="24"/>
          <w:lang w:val="ro-MD"/>
        </w:rPr>
        <w:t xml:space="preserve">de </w:t>
      </w:r>
      <w:r w:rsidR="00B84F30" w:rsidRPr="009772A3">
        <w:rPr>
          <w:rFonts w:asciiTheme="majorHAnsi" w:hAnsiTheme="majorHAnsi" w:cstheme="majorHAnsi"/>
          <w:sz w:val="24"/>
          <w:szCs w:val="24"/>
          <w:lang w:val="ro-MD"/>
        </w:rPr>
        <w:t xml:space="preserve">pe malul drept și </w:t>
      </w:r>
      <w:r w:rsidR="00071CF3" w:rsidRPr="009772A3">
        <w:rPr>
          <w:rFonts w:asciiTheme="majorHAnsi" w:hAnsiTheme="majorHAnsi" w:cstheme="majorHAnsi"/>
          <w:sz w:val="24"/>
          <w:szCs w:val="24"/>
          <w:lang w:val="ro-MD"/>
        </w:rPr>
        <w:t xml:space="preserve">de </w:t>
      </w:r>
      <w:r w:rsidR="00B84F30" w:rsidRPr="009772A3">
        <w:rPr>
          <w:rFonts w:asciiTheme="majorHAnsi" w:hAnsiTheme="majorHAnsi" w:cstheme="majorHAnsi"/>
          <w:sz w:val="24"/>
          <w:szCs w:val="24"/>
          <w:lang w:val="ro-MD"/>
        </w:rPr>
        <w:t>pe malul stâng</w:t>
      </w:r>
      <w:r w:rsidR="00BA4B8B" w:rsidRPr="009772A3">
        <w:rPr>
          <w:rFonts w:asciiTheme="majorHAnsi" w:hAnsiTheme="majorHAnsi" w:cstheme="majorHAnsi"/>
          <w:sz w:val="24"/>
          <w:szCs w:val="24"/>
          <w:lang w:val="ro-MD"/>
        </w:rPr>
        <w:t xml:space="preserve"> ale râului Nistru</w:t>
      </w:r>
      <w:r w:rsidR="00B84F30" w:rsidRPr="009772A3">
        <w:rPr>
          <w:rFonts w:asciiTheme="majorHAnsi" w:hAnsiTheme="majorHAnsi" w:cstheme="majorHAnsi"/>
          <w:sz w:val="24"/>
          <w:szCs w:val="24"/>
          <w:lang w:val="ro-MD"/>
        </w:rPr>
        <w:t>, aceasta nu a fost compatibilă și nu a putut fi implementată</w:t>
      </w:r>
      <w:r w:rsidR="003227FC" w:rsidRPr="009772A3">
        <w:rPr>
          <w:rStyle w:val="FootnoteReference"/>
          <w:rFonts w:asciiTheme="majorHAnsi" w:hAnsiTheme="majorHAnsi" w:cstheme="majorHAnsi"/>
          <w:sz w:val="24"/>
          <w:szCs w:val="24"/>
          <w:lang w:val="ro-MD"/>
        </w:rPr>
        <w:footnoteReference w:id="25"/>
      </w:r>
      <w:r w:rsidR="00B84F30" w:rsidRPr="009772A3">
        <w:rPr>
          <w:rFonts w:asciiTheme="majorHAnsi" w:hAnsiTheme="majorHAnsi" w:cstheme="majorHAnsi"/>
          <w:sz w:val="24"/>
          <w:szCs w:val="24"/>
          <w:lang w:val="ro-MD"/>
        </w:rPr>
        <w:t xml:space="preserve">.   </w:t>
      </w:r>
    </w:p>
    <w:p w14:paraId="67465A5A" w14:textId="08573CFF" w:rsidR="00B84F30" w:rsidRPr="009772A3" w:rsidRDefault="00B84F30" w:rsidP="00383FF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Ulterior, în baza pct.5 a</w:t>
      </w:r>
      <w:r w:rsidR="00BA4B8B"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procesului-verbal al ședinței Consiliului de observatori a</w:t>
      </w:r>
      <w:r w:rsidR="00BA4B8B"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SA Moldovagaz din 30.01.2007, prin care s-a decis „efectuarea reevaluării complexului de gaze a</w:t>
      </w:r>
      <w:r w:rsidR="00BA4B8B"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Republicii Moldova, inclusiv din </w:t>
      </w:r>
      <w:r w:rsidR="00ED3D9B">
        <w:rPr>
          <w:rFonts w:asciiTheme="majorHAnsi" w:hAnsiTheme="majorHAnsi" w:cstheme="majorHAnsi"/>
          <w:sz w:val="24"/>
          <w:szCs w:val="24"/>
          <w:lang w:val="ro-MD"/>
        </w:rPr>
        <w:t>r</w:t>
      </w:r>
      <w:r w:rsidR="00ED3D9B" w:rsidRPr="009772A3">
        <w:rPr>
          <w:rFonts w:asciiTheme="majorHAnsi" w:hAnsiTheme="majorHAnsi" w:cstheme="majorHAnsi"/>
          <w:sz w:val="24"/>
          <w:szCs w:val="24"/>
          <w:lang w:val="ro-MD"/>
        </w:rPr>
        <w:t xml:space="preserve">egiunea </w:t>
      </w:r>
      <w:r w:rsidR="00ED3D9B">
        <w:rPr>
          <w:rFonts w:asciiTheme="majorHAnsi" w:hAnsiTheme="majorHAnsi" w:cstheme="majorHAnsi"/>
          <w:sz w:val="24"/>
          <w:szCs w:val="24"/>
          <w:lang w:val="ro-MD"/>
        </w:rPr>
        <w:t>t</w:t>
      </w:r>
      <w:r w:rsidRPr="009772A3">
        <w:rPr>
          <w:rFonts w:asciiTheme="majorHAnsi" w:hAnsiTheme="majorHAnsi" w:cstheme="majorHAnsi"/>
          <w:sz w:val="24"/>
          <w:szCs w:val="24"/>
          <w:lang w:val="ro-MD"/>
        </w:rPr>
        <w:t xml:space="preserve">ransnistreană, precum și a rețelelor de transportare și distribuție a gazelor naturale construite din surse bugetare în anii 1997-2006, pentru depunerea lor ulterioară în capitalul social al SA Moldovagaz, coordonarea și determinarea cotelor-părți ale acționarilor”, la 28.02.2007, conform deciziei nr.12 a Consiliului de </w:t>
      </w:r>
      <w:r w:rsidR="00BA4B8B"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dministrație a</w:t>
      </w:r>
      <w:r w:rsidR="00BA4B8B"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SA Moldovagaz</w:t>
      </w:r>
      <w:r w:rsidR="00BA4B8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decis efectuarea </w:t>
      </w:r>
      <w:r w:rsidR="006A29E5" w:rsidRPr="009772A3">
        <w:rPr>
          <w:rFonts w:asciiTheme="majorHAnsi" w:hAnsiTheme="majorHAnsi" w:cstheme="majorHAnsi"/>
          <w:sz w:val="24"/>
          <w:szCs w:val="24"/>
          <w:lang w:val="ro-MD"/>
        </w:rPr>
        <w:t xml:space="preserve">în martie 2007 a </w:t>
      </w:r>
      <w:r w:rsidRPr="009772A3">
        <w:rPr>
          <w:rFonts w:asciiTheme="majorHAnsi" w:hAnsiTheme="majorHAnsi" w:cstheme="majorHAnsi"/>
          <w:sz w:val="24"/>
          <w:szCs w:val="24"/>
          <w:lang w:val="ro-MD"/>
        </w:rPr>
        <w:t>reevaluării activelor SA M</w:t>
      </w:r>
      <w:r w:rsidR="001C76B6" w:rsidRPr="009772A3">
        <w:rPr>
          <w:rFonts w:asciiTheme="majorHAnsi" w:hAnsiTheme="majorHAnsi" w:cstheme="majorHAnsi"/>
          <w:sz w:val="24"/>
          <w:szCs w:val="24"/>
          <w:lang w:val="ro-MD"/>
        </w:rPr>
        <w:t>oldovagaz</w:t>
      </w:r>
      <w:r w:rsidRPr="009772A3">
        <w:rPr>
          <w:rFonts w:asciiTheme="majorHAnsi" w:hAnsiTheme="majorHAnsi" w:cstheme="majorHAnsi"/>
          <w:sz w:val="24"/>
          <w:szCs w:val="24"/>
          <w:lang w:val="ro-MD"/>
        </w:rPr>
        <w:t xml:space="preserve"> și </w:t>
      </w:r>
      <w:r w:rsidR="00BA4B8B" w:rsidRPr="009772A3">
        <w:rPr>
          <w:rFonts w:asciiTheme="majorHAnsi" w:hAnsiTheme="majorHAnsi" w:cstheme="majorHAnsi"/>
          <w:sz w:val="24"/>
          <w:szCs w:val="24"/>
          <w:lang w:val="ro-MD"/>
        </w:rPr>
        <w:t xml:space="preserve">desfășurarea </w:t>
      </w:r>
      <w:r w:rsidRPr="009772A3">
        <w:rPr>
          <w:rFonts w:asciiTheme="majorHAnsi" w:hAnsiTheme="majorHAnsi" w:cstheme="majorHAnsi"/>
          <w:sz w:val="24"/>
          <w:szCs w:val="24"/>
          <w:lang w:val="ro-MD"/>
        </w:rPr>
        <w:t xml:space="preserve">concursului de selectare a evaluatorului. Reevaluarea mijloacelor fixe s-a efectuat </w:t>
      </w:r>
      <w:r w:rsidR="00ED3D9B">
        <w:rPr>
          <w:rFonts w:asciiTheme="majorHAnsi" w:hAnsiTheme="majorHAnsi" w:cstheme="majorHAnsi"/>
          <w:sz w:val="24"/>
          <w:szCs w:val="24"/>
          <w:lang w:val="ro-MD"/>
        </w:rPr>
        <w:t xml:space="preserve">conform </w:t>
      </w:r>
      <w:r w:rsidRPr="009772A3">
        <w:rPr>
          <w:rFonts w:asciiTheme="majorHAnsi" w:hAnsiTheme="majorHAnsi" w:cstheme="majorHAnsi"/>
          <w:sz w:val="24"/>
          <w:szCs w:val="24"/>
          <w:lang w:val="ro-MD"/>
        </w:rPr>
        <w:t>situați</w:t>
      </w:r>
      <w:r w:rsidR="00ED3D9B">
        <w:rPr>
          <w:rFonts w:asciiTheme="majorHAnsi" w:hAnsiTheme="majorHAnsi" w:cstheme="majorHAnsi"/>
          <w:sz w:val="24"/>
          <w:szCs w:val="24"/>
          <w:lang w:val="ro-MD"/>
        </w:rPr>
        <w:t>ei</w:t>
      </w:r>
      <w:r w:rsidRPr="009772A3">
        <w:rPr>
          <w:rFonts w:asciiTheme="majorHAnsi" w:hAnsiTheme="majorHAnsi" w:cstheme="majorHAnsi"/>
          <w:sz w:val="24"/>
          <w:szCs w:val="24"/>
          <w:lang w:val="ro-MD"/>
        </w:rPr>
        <w:t xml:space="preserve"> </w:t>
      </w:r>
      <w:r w:rsidR="00ED3D9B">
        <w:rPr>
          <w:rFonts w:asciiTheme="majorHAnsi" w:hAnsiTheme="majorHAnsi" w:cstheme="majorHAnsi"/>
          <w:sz w:val="24"/>
          <w:szCs w:val="24"/>
          <w:lang w:val="ro-MD"/>
        </w:rPr>
        <w:t xml:space="preserve">existente la </w:t>
      </w:r>
      <w:r w:rsidRPr="009772A3">
        <w:rPr>
          <w:rFonts w:asciiTheme="majorHAnsi" w:hAnsiTheme="majorHAnsi" w:cstheme="majorHAnsi"/>
          <w:sz w:val="24"/>
          <w:szCs w:val="24"/>
          <w:lang w:val="ro-MD"/>
        </w:rPr>
        <w:t xml:space="preserve">30.09.2008 de către SRL Ecofin-Audit-Service, în baza </w:t>
      </w:r>
      <w:r w:rsidR="006F760D"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ontractului nr.92 încheiat la 20.11.2007</w:t>
      </w:r>
      <w:r w:rsidR="00D62D5A" w:rsidRPr="009772A3">
        <w:rPr>
          <w:rStyle w:val="FootnoteReference"/>
          <w:rFonts w:asciiTheme="majorHAnsi" w:hAnsiTheme="majorHAnsi" w:cstheme="majorHAnsi"/>
          <w:sz w:val="24"/>
          <w:szCs w:val="24"/>
          <w:lang w:val="ro-MD"/>
        </w:rPr>
        <w:footnoteReference w:id="26"/>
      </w:r>
      <w:r w:rsidRPr="009772A3">
        <w:rPr>
          <w:rFonts w:asciiTheme="majorHAnsi" w:hAnsiTheme="majorHAnsi" w:cstheme="majorHAnsi"/>
          <w:sz w:val="24"/>
          <w:szCs w:val="24"/>
          <w:lang w:val="ro-MD"/>
        </w:rPr>
        <w:t xml:space="preserve">. </w:t>
      </w:r>
    </w:p>
    <w:p w14:paraId="11051EA4" w14:textId="5FCD0E5C" w:rsidR="00B84F30" w:rsidRPr="009772A3" w:rsidRDefault="00B84F30" w:rsidP="00383FF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23.02.2009, comisia de lucru privind reevaluare</w:t>
      </w:r>
      <w:r w:rsidR="006F760D"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a luat act de rezultatele reevaluării, prin care valoarea de bilanț a mijloacelor fixe reevaluate a crescut de la 743</w:t>
      </w:r>
      <w:r w:rsidR="006F760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787,0 mii lei la 4</w:t>
      </w:r>
      <w:r w:rsidR="006F760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934</w:t>
      </w:r>
      <w:r w:rsidR="006F760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357,7 mii lei</w:t>
      </w:r>
      <w:r w:rsidR="006F760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de 6,63 ori.  </w:t>
      </w:r>
    </w:p>
    <w:p w14:paraId="0C7546C2" w14:textId="0B00F561" w:rsidR="00B84F30" w:rsidRPr="009772A3" w:rsidRDefault="00B84F30" w:rsidP="00383FF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Reevaluarea s-a efectuat pentru 2 componente distincte a</w:t>
      </w:r>
      <w:r w:rsidR="00583FD1"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mijloacelor fixe: 1) pentru cele depuse </w:t>
      </w:r>
      <w:r w:rsidR="00583FD1" w:rsidRPr="009772A3">
        <w:rPr>
          <w:rFonts w:asciiTheme="majorHAnsi" w:hAnsiTheme="majorHAnsi" w:cstheme="majorHAnsi"/>
          <w:sz w:val="24"/>
          <w:szCs w:val="24"/>
          <w:lang w:val="ro-MD"/>
        </w:rPr>
        <w:t xml:space="preserve">în anul 1999 </w:t>
      </w:r>
      <w:r w:rsidRPr="009772A3">
        <w:rPr>
          <w:rFonts w:asciiTheme="majorHAnsi" w:hAnsiTheme="majorHAnsi" w:cstheme="majorHAnsi"/>
          <w:sz w:val="24"/>
          <w:szCs w:val="24"/>
          <w:lang w:val="ro-MD"/>
        </w:rPr>
        <w:t>în capitalul social al entităților fondate</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au constituit 3</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364</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435,4 mii lei (din care la SRL </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Moldovatransgaz</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 </w:t>
      </w:r>
      <w:r w:rsidR="00583FD1" w:rsidRPr="009772A3">
        <w:rPr>
          <w:rFonts w:asciiTheme="majorHAnsi" w:hAnsiTheme="majorHAnsi" w:cstheme="majorHAnsi"/>
          <w:sz w:val="24"/>
          <w:szCs w:val="24"/>
          <w:lang w:val="ro-MD"/>
        </w:rPr>
        <w:t xml:space="preserve">în sumă de </w:t>
      </w:r>
      <w:r w:rsidRPr="009772A3">
        <w:rPr>
          <w:rFonts w:asciiTheme="majorHAnsi" w:hAnsiTheme="majorHAnsi" w:cstheme="majorHAnsi"/>
          <w:sz w:val="24"/>
          <w:szCs w:val="24"/>
          <w:lang w:val="ro-MD"/>
        </w:rPr>
        <w:t>2</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036</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452,9 mii lei, </w:t>
      </w:r>
      <w:r w:rsidR="00583FD1" w:rsidRPr="009772A3">
        <w:rPr>
          <w:rFonts w:asciiTheme="majorHAnsi" w:hAnsiTheme="majorHAnsi" w:cstheme="majorHAnsi"/>
          <w:sz w:val="24"/>
          <w:szCs w:val="24"/>
          <w:lang w:val="ro-MD"/>
        </w:rPr>
        <w:t xml:space="preserve">la </w:t>
      </w:r>
      <w:r w:rsidRPr="009772A3">
        <w:rPr>
          <w:rFonts w:asciiTheme="majorHAnsi" w:hAnsiTheme="majorHAnsi" w:cstheme="majorHAnsi"/>
          <w:sz w:val="24"/>
          <w:szCs w:val="24"/>
          <w:lang w:val="ro-MD"/>
        </w:rPr>
        <w:t xml:space="preserve">alte entități </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583FD1"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1</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327</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982,</w:t>
      </w:r>
      <w:r w:rsidR="00ED3D9B">
        <w:rPr>
          <w:rFonts w:asciiTheme="majorHAnsi" w:hAnsiTheme="majorHAnsi" w:cstheme="majorHAnsi"/>
          <w:sz w:val="24"/>
          <w:szCs w:val="24"/>
          <w:lang w:val="ro-MD"/>
        </w:rPr>
        <w:t>5</w:t>
      </w:r>
      <w:r w:rsidRPr="009772A3">
        <w:rPr>
          <w:rFonts w:asciiTheme="majorHAnsi" w:hAnsiTheme="majorHAnsi" w:cstheme="majorHAnsi"/>
          <w:sz w:val="24"/>
          <w:szCs w:val="24"/>
          <w:lang w:val="ro-MD"/>
        </w:rPr>
        <w:t xml:space="preserve"> mii lei); 2) pentru cele create și procurate de la fondare p</w:t>
      </w:r>
      <w:r w:rsidR="00583FD1"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nă la 30.09.2008</w:t>
      </w:r>
      <w:r w:rsidR="00583FD1" w:rsidRPr="009772A3">
        <w:rPr>
          <w:rFonts w:asciiTheme="majorHAnsi" w:hAnsiTheme="majorHAnsi" w:cstheme="majorHAnsi"/>
          <w:sz w:val="24"/>
          <w:szCs w:val="24"/>
          <w:lang w:val="ro-MD"/>
        </w:rPr>
        <w:t>, a căror</w:t>
      </w:r>
      <w:r w:rsidRPr="009772A3">
        <w:rPr>
          <w:rFonts w:asciiTheme="majorHAnsi" w:hAnsiTheme="majorHAnsi" w:cstheme="majorHAnsi"/>
          <w:sz w:val="24"/>
          <w:szCs w:val="24"/>
          <w:lang w:val="ro-MD"/>
        </w:rPr>
        <w:t xml:space="preserve"> valoare a crescut cu 826.135,3 mii lei (de la 341</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856,7 mii lei la 1</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167</w:t>
      </w:r>
      <w:r w:rsidR="00583F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991,9 mii lei). Astfel, conform Rapoartelor de evaluare executate pentru fiecare entitate fondată, SA Moldovagaz a </w:t>
      </w:r>
      <w:r w:rsidR="00071CF3" w:rsidRPr="009772A3">
        <w:rPr>
          <w:rFonts w:asciiTheme="majorHAnsi" w:hAnsiTheme="majorHAnsi" w:cstheme="majorHAnsi"/>
          <w:sz w:val="24"/>
          <w:szCs w:val="24"/>
          <w:lang w:val="ro-MD"/>
        </w:rPr>
        <w:t xml:space="preserve">creat </w:t>
      </w:r>
      <w:r w:rsidRPr="009772A3">
        <w:rPr>
          <w:rFonts w:asciiTheme="majorHAnsi" w:hAnsiTheme="majorHAnsi" w:cstheme="majorHAnsi"/>
          <w:sz w:val="24"/>
          <w:szCs w:val="24"/>
          <w:lang w:val="ro-MD"/>
        </w:rPr>
        <w:t xml:space="preserve">un Registru </w:t>
      </w:r>
      <w:r w:rsidR="003B4FD3"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 xml:space="preserve">entralizator în baza căruia a fost întocmită Nota de contabilitate din 25.02.2009 și au fost efectuate înregistrările în evidența contabilă </w:t>
      </w:r>
      <w:r w:rsidR="001A22A2" w:rsidRPr="009772A3">
        <w:rPr>
          <w:rFonts w:asciiTheme="majorHAnsi" w:hAnsiTheme="majorHAnsi" w:cstheme="majorHAnsi"/>
          <w:sz w:val="24"/>
          <w:szCs w:val="24"/>
          <w:lang w:val="ro-MD"/>
        </w:rPr>
        <w:t>la</w:t>
      </w:r>
      <w:r w:rsidRPr="009772A3">
        <w:rPr>
          <w:rFonts w:asciiTheme="majorHAnsi" w:hAnsiTheme="majorHAnsi" w:cstheme="majorHAnsi"/>
          <w:sz w:val="24"/>
          <w:szCs w:val="24"/>
          <w:lang w:val="ro-MD"/>
        </w:rPr>
        <w:t xml:space="preserve"> 31.12.2008. </w:t>
      </w:r>
    </w:p>
    <w:p w14:paraId="1FF43A62" w14:textId="44A3BE69" w:rsidR="001A22A2" w:rsidRPr="009772A3" w:rsidRDefault="001A22A2" w:rsidP="00383FF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Pentru prima componentă înregistrările contabile s-au efectuat de SA Moldovagaz și de întreprinderile fondate ca majorare a valorii investițiilor efectuate de fondator, iar pentru a doua componentă înregistrările contabile au fost efectuate doar de către întreprinderile fondate prin majorarea valorii mijloacelor fixe și </w:t>
      </w:r>
      <w:r w:rsidR="00A86349">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„diferențelor din reevaluarea activelor pe termen lung”.</w:t>
      </w:r>
    </w:p>
    <w:p w14:paraId="35D67C87" w14:textId="77777777" w:rsidR="001A22A2" w:rsidRPr="009772A3" w:rsidRDefault="001A22A2" w:rsidP="00383FF2">
      <w:pPr>
        <w:spacing w:after="0" w:line="276" w:lineRule="auto"/>
        <w:ind w:firstLine="709"/>
        <w:jc w:val="both"/>
        <w:rPr>
          <w:rFonts w:asciiTheme="majorHAnsi" w:hAnsiTheme="majorHAnsi" w:cstheme="majorHAnsi"/>
          <w:sz w:val="24"/>
          <w:szCs w:val="24"/>
          <w:lang w:val="ro-MD"/>
        </w:rPr>
      </w:pPr>
    </w:p>
    <w:p w14:paraId="09F0144C" w14:textId="6EB5F17D" w:rsidR="00071CF3" w:rsidRPr="009772A3" w:rsidRDefault="00071CF3" w:rsidP="00071CF3">
      <w:pPr>
        <w:shd w:val="clear" w:color="auto" w:fill="FFFFFF"/>
        <w:spacing w:after="0" w:line="240" w:lineRule="auto"/>
        <w:jc w:val="right"/>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Tabelul nr.4.1.</w:t>
      </w:r>
      <w:r w:rsidR="00ED3D9B">
        <w:rPr>
          <w:rFonts w:asciiTheme="majorHAnsi" w:eastAsia="Times New Roman" w:hAnsiTheme="majorHAnsi" w:cstheme="majorHAnsi"/>
          <w:b/>
          <w:sz w:val="24"/>
          <w:szCs w:val="24"/>
          <w:lang w:val="ro-MD" w:eastAsia="ru-RU"/>
        </w:rPr>
        <w:t>1.</w:t>
      </w:r>
      <w:r w:rsidRPr="009772A3">
        <w:rPr>
          <w:rFonts w:asciiTheme="majorHAnsi" w:eastAsia="Times New Roman" w:hAnsiTheme="majorHAnsi" w:cstheme="majorHAnsi"/>
          <w:b/>
          <w:sz w:val="24"/>
          <w:szCs w:val="24"/>
          <w:lang w:val="ro-MD" w:eastAsia="ru-RU"/>
        </w:rPr>
        <w:t xml:space="preserve">5 </w:t>
      </w:r>
    </w:p>
    <w:p w14:paraId="5A4756E3" w14:textId="20ADBD24" w:rsidR="00071CF3" w:rsidRPr="009772A3" w:rsidRDefault="00ED183D" w:rsidP="00071CF3">
      <w:pPr>
        <w:shd w:val="clear" w:color="auto" w:fill="FFFFFF"/>
        <w:spacing w:after="0" w:line="240" w:lineRule="auto"/>
        <w:jc w:val="center"/>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Rezultatele reevaluării mijloacelor fixe</w:t>
      </w:r>
      <w:r w:rsidR="00ED3D9B">
        <w:rPr>
          <w:rFonts w:asciiTheme="majorHAnsi" w:eastAsia="Times New Roman" w:hAnsiTheme="majorHAnsi" w:cstheme="majorHAnsi"/>
          <w:b/>
          <w:sz w:val="24"/>
          <w:szCs w:val="24"/>
          <w:lang w:val="ro-MD" w:eastAsia="ru-RU"/>
        </w:rPr>
        <w:t>,</w:t>
      </w:r>
      <w:r w:rsidRPr="009772A3">
        <w:rPr>
          <w:rFonts w:asciiTheme="majorHAnsi" w:eastAsia="Times New Roman" w:hAnsiTheme="majorHAnsi" w:cstheme="majorHAnsi"/>
          <w:b/>
          <w:sz w:val="24"/>
          <w:szCs w:val="24"/>
          <w:lang w:val="ro-MD" w:eastAsia="ru-RU"/>
        </w:rPr>
        <w:t xml:space="preserve"> efectuate conform situației din 30.09.2008</w:t>
      </w:r>
      <w:r w:rsidR="00ED3D9B">
        <w:rPr>
          <w:rFonts w:asciiTheme="majorHAnsi" w:eastAsia="Times New Roman" w:hAnsiTheme="majorHAnsi" w:cstheme="majorHAnsi"/>
          <w:b/>
          <w:sz w:val="24"/>
          <w:szCs w:val="24"/>
          <w:lang w:val="ro-MD" w:eastAsia="ru-RU"/>
        </w:rPr>
        <w:t>,</w:t>
      </w:r>
      <w:r w:rsidR="001A22A2" w:rsidRPr="009772A3">
        <w:rPr>
          <w:rFonts w:asciiTheme="majorHAnsi" w:eastAsia="Times New Roman" w:hAnsiTheme="majorHAnsi" w:cstheme="majorHAnsi"/>
          <w:b/>
          <w:sz w:val="24"/>
          <w:szCs w:val="24"/>
          <w:lang w:val="ro-MD" w:eastAsia="ru-RU"/>
        </w:rPr>
        <w:t xml:space="preserve"> depuse în capitalul social al întreprinderilor fondate</w:t>
      </w:r>
    </w:p>
    <w:p w14:paraId="075872D5" w14:textId="6AF9B65A" w:rsidR="00071CF3" w:rsidRPr="009772A3" w:rsidRDefault="00ED183D" w:rsidP="00017149">
      <w:pPr>
        <w:spacing w:after="0" w:line="276" w:lineRule="auto"/>
        <w:ind w:firstLine="709"/>
        <w:jc w:val="right"/>
        <w:rPr>
          <w:rFonts w:asciiTheme="majorHAnsi" w:hAnsiTheme="majorHAnsi" w:cstheme="majorHAnsi"/>
          <w:sz w:val="24"/>
          <w:szCs w:val="24"/>
          <w:lang w:val="ro-MD"/>
        </w:rPr>
      </w:pPr>
      <w:r w:rsidRPr="009772A3">
        <w:rPr>
          <w:rFonts w:asciiTheme="majorHAnsi" w:hAnsiTheme="majorHAnsi" w:cstheme="majorHAnsi"/>
          <w:sz w:val="24"/>
          <w:szCs w:val="24"/>
          <w:lang w:val="ro-MD"/>
        </w:rPr>
        <w:t>lei</w:t>
      </w:r>
    </w:p>
    <w:tbl>
      <w:tblPr>
        <w:tblW w:w="7696" w:type="dxa"/>
        <w:tblInd w:w="846" w:type="dxa"/>
        <w:tblLook w:val="04A0" w:firstRow="1" w:lastRow="0" w:firstColumn="1" w:lastColumn="0" w:noHBand="0" w:noVBand="1"/>
      </w:tblPr>
      <w:tblGrid>
        <w:gridCol w:w="2057"/>
        <w:gridCol w:w="1152"/>
        <w:gridCol w:w="1181"/>
        <w:gridCol w:w="1154"/>
        <w:gridCol w:w="992"/>
        <w:gridCol w:w="1160"/>
      </w:tblGrid>
      <w:tr w:rsidR="00B84F30" w:rsidRPr="009772A3" w14:paraId="2215CEE3" w14:textId="77777777" w:rsidTr="004439DA">
        <w:trPr>
          <w:trHeight w:val="20"/>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2235D" w14:textId="755D560A" w:rsidR="00B84F30" w:rsidRPr="009772A3" w:rsidRDefault="00B84F30" w:rsidP="00E440ED">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Entități</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5573826C" w14:textId="77777777" w:rsidR="00B84F30" w:rsidRPr="009772A3" w:rsidRDefault="00B84F30" w:rsidP="00715944">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Evaluare spre majorare</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4B5F48B1" w14:textId="77777777" w:rsidR="00B84F30" w:rsidRPr="009772A3" w:rsidRDefault="00B84F30" w:rsidP="00715944">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Evaluare spre diminuare</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217497E0" w14:textId="77777777" w:rsidR="00B84F30" w:rsidRPr="009772A3" w:rsidRDefault="00B84F30" w:rsidP="00715944">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Total reflectat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F34398" w14:textId="77777777" w:rsidR="00B84F30" w:rsidRPr="009772A3" w:rsidRDefault="00B84F30" w:rsidP="00715944">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Înregistrări ulterioare</w:t>
            </w:r>
          </w:p>
        </w:tc>
        <w:tc>
          <w:tcPr>
            <w:tcW w:w="1160" w:type="dxa"/>
            <w:tcBorders>
              <w:top w:val="single" w:sz="4" w:space="0" w:color="auto"/>
              <w:left w:val="nil"/>
              <w:bottom w:val="single" w:sz="4" w:space="0" w:color="auto"/>
              <w:right w:val="single" w:sz="4" w:space="0" w:color="auto"/>
            </w:tcBorders>
            <w:vAlign w:val="bottom"/>
          </w:tcPr>
          <w:p w14:paraId="5F74E22D" w14:textId="01FB2577" w:rsidR="00B84F30" w:rsidRPr="009772A3" w:rsidRDefault="00ED183D" w:rsidP="003E123B">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Reflectate la contul 142.5</w:t>
            </w:r>
            <w:r w:rsidRPr="009772A3">
              <w:rPr>
                <w:rStyle w:val="FootnoteReference"/>
                <w:rFonts w:asciiTheme="majorHAnsi" w:eastAsia="Times New Roman" w:hAnsiTheme="majorHAnsi" w:cstheme="majorHAnsi"/>
                <w:b/>
                <w:sz w:val="16"/>
                <w:szCs w:val="16"/>
                <w:lang w:val="ro-MD" w:eastAsia="ru-RU"/>
              </w:rPr>
              <w:footnoteReference w:id="27"/>
            </w:r>
            <w:r w:rsidRPr="009772A3">
              <w:rPr>
                <w:rFonts w:asciiTheme="majorHAnsi" w:eastAsia="Times New Roman" w:hAnsiTheme="majorHAnsi" w:cstheme="majorHAnsi"/>
                <w:b/>
                <w:sz w:val="16"/>
                <w:szCs w:val="16"/>
                <w:lang w:val="ro-MD" w:eastAsia="ru-RU"/>
              </w:rPr>
              <w:t xml:space="preserve"> </w:t>
            </w:r>
            <w:r w:rsidR="00E440ED" w:rsidRPr="009772A3">
              <w:rPr>
                <w:rFonts w:asciiTheme="majorHAnsi" w:eastAsia="Times New Roman" w:hAnsiTheme="majorHAnsi" w:cstheme="majorHAnsi"/>
                <w:b/>
                <w:sz w:val="16"/>
                <w:szCs w:val="16"/>
                <w:lang w:val="ro-MD" w:eastAsia="ru-RU"/>
              </w:rPr>
              <w:t>la</w:t>
            </w:r>
            <w:r w:rsidRPr="009772A3">
              <w:rPr>
                <w:rFonts w:asciiTheme="majorHAnsi" w:eastAsia="Times New Roman" w:hAnsiTheme="majorHAnsi" w:cstheme="majorHAnsi"/>
                <w:b/>
                <w:sz w:val="16"/>
                <w:szCs w:val="16"/>
                <w:lang w:val="ro-MD" w:eastAsia="ru-RU"/>
              </w:rPr>
              <w:t xml:space="preserve"> </w:t>
            </w:r>
            <w:r w:rsidR="00B84F30" w:rsidRPr="009772A3">
              <w:rPr>
                <w:rFonts w:asciiTheme="majorHAnsi" w:eastAsia="Times New Roman" w:hAnsiTheme="majorHAnsi" w:cstheme="majorHAnsi"/>
                <w:b/>
                <w:sz w:val="16"/>
                <w:szCs w:val="16"/>
                <w:lang w:val="ro-MD" w:eastAsia="ru-RU"/>
              </w:rPr>
              <w:t>31</w:t>
            </w:r>
            <w:r w:rsidR="00E440ED" w:rsidRPr="009772A3">
              <w:rPr>
                <w:rFonts w:asciiTheme="majorHAnsi" w:eastAsia="Times New Roman" w:hAnsiTheme="majorHAnsi" w:cstheme="majorHAnsi"/>
                <w:b/>
                <w:sz w:val="16"/>
                <w:szCs w:val="16"/>
                <w:lang w:val="ro-MD" w:eastAsia="ru-RU"/>
              </w:rPr>
              <w:t>.</w:t>
            </w:r>
            <w:r w:rsidR="00B84F30" w:rsidRPr="009772A3">
              <w:rPr>
                <w:rFonts w:asciiTheme="majorHAnsi" w:eastAsia="Times New Roman" w:hAnsiTheme="majorHAnsi" w:cstheme="majorHAnsi"/>
                <w:b/>
                <w:sz w:val="16"/>
                <w:szCs w:val="16"/>
                <w:lang w:val="ro-MD" w:eastAsia="ru-RU"/>
              </w:rPr>
              <w:t>12</w:t>
            </w:r>
            <w:r w:rsidR="00E440ED" w:rsidRPr="009772A3">
              <w:rPr>
                <w:rFonts w:asciiTheme="majorHAnsi" w:eastAsia="Times New Roman" w:hAnsiTheme="majorHAnsi" w:cstheme="majorHAnsi"/>
                <w:b/>
                <w:sz w:val="16"/>
                <w:szCs w:val="16"/>
                <w:lang w:val="ro-MD" w:eastAsia="ru-RU"/>
              </w:rPr>
              <w:t>.</w:t>
            </w:r>
            <w:r w:rsidR="00B84F30" w:rsidRPr="009772A3">
              <w:rPr>
                <w:rFonts w:asciiTheme="majorHAnsi" w:eastAsia="Times New Roman" w:hAnsiTheme="majorHAnsi" w:cstheme="majorHAnsi"/>
                <w:b/>
                <w:sz w:val="16"/>
                <w:szCs w:val="16"/>
                <w:lang w:val="ro-MD" w:eastAsia="ru-RU"/>
              </w:rPr>
              <w:t>2021</w:t>
            </w:r>
          </w:p>
        </w:tc>
      </w:tr>
      <w:tr w:rsidR="00B84F30" w:rsidRPr="009772A3" w14:paraId="712F4D40"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39AE9B94" w14:textId="77777777" w:rsidR="00B84F30" w:rsidRPr="009772A3" w:rsidRDefault="00B84F30" w:rsidP="00957170">
            <w:pPr>
              <w:spacing w:after="0" w:line="240" w:lineRule="auto"/>
              <w:jc w:val="center"/>
              <w:rPr>
                <w:rFonts w:asciiTheme="majorHAnsi" w:eastAsia="Times New Roman" w:hAnsiTheme="majorHAnsi" w:cstheme="majorHAnsi"/>
                <w:b/>
                <w:bCs/>
                <w:sz w:val="16"/>
                <w:szCs w:val="16"/>
                <w:lang w:val="ro-MD" w:eastAsia="ru-RU"/>
              </w:rPr>
            </w:pPr>
            <w:r w:rsidRPr="009772A3">
              <w:rPr>
                <w:rFonts w:asciiTheme="majorHAnsi" w:eastAsia="Times New Roman" w:hAnsiTheme="majorHAnsi" w:cstheme="majorHAnsi"/>
                <w:b/>
                <w:bCs/>
                <w:sz w:val="16"/>
                <w:szCs w:val="16"/>
                <w:lang w:val="ro-MD" w:eastAsia="ru-RU"/>
              </w:rPr>
              <w:t>Total</w:t>
            </w:r>
          </w:p>
        </w:tc>
        <w:tc>
          <w:tcPr>
            <w:tcW w:w="1152" w:type="dxa"/>
            <w:tcBorders>
              <w:top w:val="nil"/>
              <w:left w:val="nil"/>
              <w:bottom w:val="single" w:sz="4" w:space="0" w:color="auto"/>
              <w:right w:val="single" w:sz="4" w:space="0" w:color="auto"/>
            </w:tcBorders>
            <w:shd w:val="clear" w:color="auto" w:fill="auto"/>
            <w:vAlign w:val="center"/>
            <w:hideMark/>
          </w:tcPr>
          <w:p w14:paraId="7A9350AF"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3 385 298 128</w:t>
            </w:r>
          </w:p>
        </w:tc>
        <w:tc>
          <w:tcPr>
            <w:tcW w:w="1181" w:type="dxa"/>
            <w:tcBorders>
              <w:top w:val="nil"/>
              <w:left w:val="nil"/>
              <w:bottom w:val="single" w:sz="4" w:space="0" w:color="auto"/>
              <w:right w:val="single" w:sz="4" w:space="0" w:color="auto"/>
            </w:tcBorders>
            <w:shd w:val="clear" w:color="auto" w:fill="auto"/>
            <w:vAlign w:val="center"/>
            <w:hideMark/>
          </w:tcPr>
          <w:p w14:paraId="008B3434"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20 862 720</w:t>
            </w:r>
          </w:p>
        </w:tc>
        <w:tc>
          <w:tcPr>
            <w:tcW w:w="1154" w:type="dxa"/>
            <w:tcBorders>
              <w:top w:val="nil"/>
              <w:left w:val="nil"/>
              <w:bottom w:val="single" w:sz="4" w:space="0" w:color="auto"/>
              <w:right w:val="single" w:sz="4" w:space="0" w:color="auto"/>
            </w:tcBorders>
            <w:shd w:val="clear" w:color="auto" w:fill="auto"/>
            <w:noWrap/>
            <w:vAlign w:val="bottom"/>
            <w:hideMark/>
          </w:tcPr>
          <w:p w14:paraId="775E4E48"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3 364 435 408</w:t>
            </w:r>
          </w:p>
        </w:tc>
        <w:tc>
          <w:tcPr>
            <w:tcW w:w="992" w:type="dxa"/>
            <w:tcBorders>
              <w:top w:val="nil"/>
              <w:left w:val="nil"/>
              <w:bottom w:val="single" w:sz="4" w:space="0" w:color="auto"/>
              <w:right w:val="single" w:sz="4" w:space="0" w:color="auto"/>
            </w:tcBorders>
            <w:shd w:val="clear" w:color="auto" w:fill="auto"/>
            <w:noWrap/>
            <w:vAlign w:val="bottom"/>
            <w:hideMark/>
          </w:tcPr>
          <w:p w14:paraId="77EE247A"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-61 907</w:t>
            </w:r>
          </w:p>
        </w:tc>
        <w:tc>
          <w:tcPr>
            <w:tcW w:w="1160" w:type="dxa"/>
            <w:tcBorders>
              <w:top w:val="nil"/>
              <w:left w:val="nil"/>
              <w:bottom w:val="single" w:sz="4" w:space="0" w:color="auto"/>
              <w:right w:val="single" w:sz="4" w:space="0" w:color="auto"/>
            </w:tcBorders>
            <w:vAlign w:val="center"/>
          </w:tcPr>
          <w:p w14:paraId="05FA5F86"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3 364 373 501</w:t>
            </w:r>
          </w:p>
        </w:tc>
      </w:tr>
      <w:tr w:rsidR="00B84F30" w:rsidRPr="009772A3" w14:paraId="7D861F58"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3EB38B95"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MOLDOVAGAZ</w:t>
            </w:r>
          </w:p>
        </w:tc>
        <w:tc>
          <w:tcPr>
            <w:tcW w:w="1152" w:type="dxa"/>
            <w:tcBorders>
              <w:top w:val="nil"/>
              <w:left w:val="nil"/>
              <w:bottom w:val="single" w:sz="4" w:space="0" w:color="auto"/>
              <w:right w:val="single" w:sz="4" w:space="0" w:color="auto"/>
            </w:tcBorders>
            <w:shd w:val="clear" w:color="auto" w:fill="auto"/>
            <w:noWrap/>
            <w:vAlign w:val="bottom"/>
            <w:hideMark/>
          </w:tcPr>
          <w:p w14:paraId="08FEAC5F"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14:paraId="2D2778CD"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14:paraId="5E522477"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14:paraId="104DDAD3"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15D09238"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 </w:t>
            </w:r>
          </w:p>
        </w:tc>
      </w:tr>
      <w:tr w:rsidR="00B84F30" w:rsidRPr="009772A3" w14:paraId="30C779D2"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1D6D6B3B" w14:textId="5EFD396E" w:rsidR="00B84F30" w:rsidRPr="009772A3" w:rsidRDefault="00B84F30" w:rsidP="00E440ED">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B</w:t>
            </w:r>
            <w:r w:rsidR="00E440ED" w:rsidRPr="009772A3">
              <w:rPr>
                <w:rFonts w:asciiTheme="majorHAnsi" w:eastAsia="Times New Roman" w:hAnsiTheme="majorHAnsi" w:cstheme="majorHAnsi"/>
                <w:sz w:val="16"/>
                <w:szCs w:val="16"/>
                <w:lang w:val="ro-MD" w:eastAsia="ru-RU"/>
              </w:rPr>
              <w:t>Ă</w:t>
            </w:r>
            <w:r w:rsidRPr="009772A3">
              <w:rPr>
                <w:rFonts w:asciiTheme="majorHAnsi" w:eastAsia="Times New Roman" w:hAnsiTheme="majorHAnsi" w:cstheme="majorHAnsi"/>
                <w:sz w:val="16"/>
                <w:szCs w:val="16"/>
                <w:lang w:val="ro-MD" w:eastAsia="ru-RU"/>
              </w:rPr>
              <w:t>L</w:t>
            </w:r>
            <w:r w:rsidR="00E440ED" w:rsidRPr="009772A3">
              <w:rPr>
                <w:rFonts w:asciiTheme="majorHAnsi" w:eastAsia="Times New Roman" w:hAnsiTheme="majorHAnsi" w:cstheme="majorHAnsi"/>
                <w:sz w:val="16"/>
                <w:szCs w:val="16"/>
                <w:lang w:val="ro-MD" w:eastAsia="ru-RU"/>
              </w:rPr>
              <w:t>Ț</w:t>
            </w:r>
            <w:r w:rsidRPr="009772A3">
              <w:rPr>
                <w:rFonts w:asciiTheme="majorHAnsi" w:eastAsia="Times New Roman" w:hAnsiTheme="majorHAnsi" w:cstheme="majorHAnsi"/>
                <w:sz w:val="16"/>
                <w:szCs w:val="16"/>
                <w:lang w:val="ro-MD" w:eastAsia="ru-RU"/>
              </w:rPr>
              <w:t>I-GAZ</w:t>
            </w:r>
          </w:p>
        </w:tc>
        <w:tc>
          <w:tcPr>
            <w:tcW w:w="1152" w:type="dxa"/>
            <w:tcBorders>
              <w:top w:val="nil"/>
              <w:left w:val="nil"/>
              <w:bottom w:val="single" w:sz="4" w:space="0" w:color="auto"/>
              <w:right w:val="single" w:sz="4" w:space="0" w:color="auto"/>
            </w:tcBorders>
            <w:shd w:val="clear" w:color="auto" w:fill="auto"/>
            <w:noWrap/>
            <w:vAlign w:val="bottom"/>
            <w:hideMark/>
          </w:tcPr>
          <w:p w14:paraId="09B77E71" w14:textId="435B96FC"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56</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094</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270</w:t>
            </w:r>
          </w:p>
        </w:tc>
        <w:tc>
          <w:tcPr>
            <w:tcW w:w="1181" w:type="dxa"/>
            <w:tcBorders>
              <w:top w:val="nil"/>
              <w:left w:val="nil"/>
              <w:bottom w:val="single" w:sz="4" w:space="0" w:color="auto"/>
              <w:right w:val="single" w:sz="4" w:space="0" w:color="auto"/>
            </w:tcBorders>
            <w:shd w:val="clear" w:color="auto" w:fill="auto"/>
            <w:noWrap/>
            <w:vAlign w:val="bottom"/>
            <w:hideMark/>
          </w:tcPr>
          <w:p w14:paraId="5F7A7DE1" w14:textId="2E1757CA"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318</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773</w:t>
            </w:r>
          </w:p>
        </w:tc>
        <w:tc>
          <w:tcPr>
            <w:tcW w:w="1154" w:type="dxa"/>
            <w:tcBorders>
              <w:top w:val="nil"/>
              <w:left w:val="nil"/>
              <w:bottom w:val="single" w:sz="4" w:space="0" w:color="auto"/>
              <w:right w:val="single" w:sz="4" w:space="0" w:color="auto"/>
            </w:tcBorders>
            <w:shd w:val="clear" w:color="auto" w:fill="auto"/>
            <w:noWrap/>
            <w:vAlign w:val="bottom"/>
            <w:hideMark/>
          </w:tcPr>
          <w:p w14:paraId="793C0FDB"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55 775 497</w:t>
            </w:r>
          </w:p>
        </w:tc>
        <w:tc>
          <w:tcPr>
            <w:tcW w:w="992" w:type="dxa"/>
            <w:tcBorders>
              <w:top w:val="nil"/>
              <w:left w:val="nil"/>
              <w:bottom w:val="single" w:sz="4" w:space="0" w:color="auto"/>
              <w:right w:val="single" w:sz="4" w:space="0" w:color="auto"/>
            </w:tcBorders>
            <w:shd w:val="clear" w:color="auto" w:fill="auto"/>
            <w:noWrap/>
            <w:vAlign w:val="bottom"/>
            <w:hideMark/>
          </w:tcPr>
          <w:p w14:paraId="10392CB6"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7C75082C"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55 775 497</w:t>
            </w:r>
          </w:p>
        </w:tc>
      </w:tr>
      <w:tr w:rsidR="00B84F30" w:rsidRPr="009772A3" w14:paraId="4A1345ED"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6F992E40"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CAHUL GAZ</w:t>
            </w:r>
          </w:p>
        </w:tc>
        <w:tc>
          <w:tcPr>
            <w:tcW w:w="1152" w:type="dxa"/>
            <w:tcBorders>
              <w:top w:val="nil"/>
              <w:left w:val="nil"/>
              <w:bottom w:val="single" w:sz="4" w:space="0" w:color="auto"/>
              <w:right w:val="single" w:sz="4" w:space="0" w:color="auto"/>
            </w:tcBorders>
            <w:shd w:val="clear" w:color="auto" w:fill="auto"/>
            <w:noWrap/>
            <w:vAlign w:val="bottom"/>
            <w:hideMark/>
          </w:tcPr>
          <w:p w14:paraId="62903998" w14:textId="5ED5EDE9"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30</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460</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471</w:t>
            </w:r>
          </w:p>
        </w:tc>
        <w:tc>
          <w:tcPr>
            <w:tcW w:w="1181" w:type="dxa"/>
            <w:tcBorders>
              <w:top w:val="nil"/>
              <w:left w:val="nil"/>
              <w:bottom w:val="single" w:sz="4" w:space="0" w:color="auto"/>
              <w:right w:val="single" w:sz="4" w:space="0" w:color="auto"/>
            </w:tcBorders>
            <w:shd w:val="clear" w:color="auto" w:fill="auto"/>
            <w:noWrap/>
            <w:vAlign w:val="bottom"/>
            <w:hideMark/>
          </w:tcPr>
          <w:p w14:paraId="51FE6F3C" w14:textId="0AFA1C4E"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479</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333</w:t>
            </w:r>
          </w:p>
        </w:tc>
        <w:tc>
          <w:tcPr>
            <w:tcW w:w="1154" w:type="dxa"/>
            <w:tcBorders>
              <w:top w:val="nil"/>
              <w:left w:val="nil"/>
              <w:bottom w:val="single" w:sz="4" w:space="0" w:color="auto"/>
              <w:right w:val="single" w:sz="4" w:space="0" w:color="auto"/>
            </w:tcBorders>
            <w:shd w:val="clear" w:color="auto" w:fill="auto"/>
            <w:noWrap/>
            <w:vAlign w:val="bottom"/>
            <w:hideMark/>
          </w:tcPr>
          <w:p w14:paraId="28FE23AB"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29 981 138</w:t>
            </w:r>
          </w:p>
        </w:tc>
        <w:tc>
          <w:tcPr>
            <w:tcW w:w="992" w:type="dxa"/>
            <w:tcBorders>
              <w:top w:val="nil"/>
              <w:left w:val="nil"/>
              <w:bottom w:val="single" w:sz="4" w:space="0" w:color="auto"/>
              <w:right w:val="single" w:sz="4" w:space="0" w:color="auto"/>
            </w:tcBorders>
            <w:shd w:val="clear" w:color="auto" w:fill="auto"/>
            <w:noWrap/>
            <w:vAlign w:val="bottom"/>
            <w:hideMark/>
          </w:tcPr>
          <w:p w14:paraId="38AB2CEA"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19E6E606"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29 981 138</w:t>
            </w:r>
          </w:p>
        </w:tc>
      </w:tr>
      <w:tr w:rsidR="00B84F30" w:rsidRPr="009772A3" w14:paraId="077C2B20"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606E7574"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CHIȘINĂU GAZ</w:t>
            </w:r>
          </w:p>
        </w:tc>
        <w:tc>
          <w:tcPr>
            <w:tcW w:w="1152" w:type="dxa"/>
            <w:tcBorders>
              <w:top w:val="nil"/>
              <w:left w:val="nil"/>
              <w:bottom w:val="single" w:sz="4" w:space="0" w:color="auto"/>
              <w:right w:val="single" w:sz="4" w:space="0" w:color="auto"/>
            </w:tcBorders>
            <w:shd w:val="clear" w:color="auto" w:fill="auto"/>
            <w:noWrap/>
            <w:vAlign w:val="bottom"/>
            <w:hideMark/>
          </w:tcPr>
          <w:p w14:paraId="089CD39D" w14:textId="62B14992"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375</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319</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120</w:t>
            </w:r>
          </w:p>
        </w:tc>
        <w:tc>
          <w:tcPr>
            <w:tcW w:w="1181" w:type="dxa"/>
            <w:tcBorders>
              <w:top w:val="nil"/>
              <w:left w:val="nil"/>
              <w:bottom w:val="single" w:sz="4" w:space="0" w:color="auto"/>
              <w:right w:val="single" w:sz="4" w:space="0" w:color="auto"/>
            </w:tcBorders>
            <w:shd w:val="clear" w:color="auto" w:fill="auto"/>
            <w:noWrap/>
            <w:vAlign w:val="bottom"/>
            <w:hideMark/>
          </w:tcPr>
          <w:p w14:paraId="036ED3CE" w14:textId="37C7A8AE"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940</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287</w:t>
            </w:r>
          </w:p>
        </w:tc>
        <w:tc>
          <w:tcPr>
            <w:tcW w:w="1154" w:type="dxa"/>
            <w:tcBorders>
              <w:top w:val="nil"/>
              <w:left w:val="nil"/>
              <w:bottom w:val="single" w:sz="4" w:space="0" w:color="auto"/>
              <w:right w:val="single" w:sz="4" w:space="0" w:color="auto"/>
            </w:tcBorders>
            <w:shd w:val="clear" w:color="auto" w:fill="auto"/>
            <w:noWrap/>
            <w:vAlign w:val="bottom"/>
            <w:hideMark/>
          </w:tcPr>
          <w:p w14:paraId="4DC027EE"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374 378 833</w:t>
            </w:r>
          </w:p>
        </w:tc>
        <w:tc>
          <w:tcPr>
            <w:tcW w:w="992" w:type="dxa"/>
            <w:tcBorders>
              <w:top w:val="nil"/>
              <w:left w:val="nil"/>
              <w:bottom w:val="single" w:sz="4" w:space="0" w:color="auto"/>
              <w:right w:val="single" w:sz="4" w:space="0" w:color="auto"/>
            </w:tcBorders>
            <w:shd w:val="clear" w:color="auto" w:fill="auto"/>
            <w:noWrap/>
            <w:vAlign w:val="bottom"/>
            <w:hideMark/>
          </w:tcPr>
          <w:p w14:paraId="5FC8A1BC"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2EF1A60E"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374 378 833</w:t>
            </w:r>
          </w:p>
        </w:tc>
      </w:tr>
      <w:tr w:rsidR="00B84F30" w:rsidRPr="009772A3" w14:paraId="67DBF318"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bottom"/>
            <w:hideMark/>
          </w:tcPr>
          <w:p w14:paraId="418F1B67" w14:textId="22EF5785" w:rsidR="00B84F30" w:rsidRPr="009772A3" w:rsidRDefault="00B84F30" w:rsidP="00DD612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C</w:t>
            </w:r>
            <w:r w:rsidR="00E440ED" w:rsidRPr="009772A3">
              <w:rPr>
                <w:rFonts w:asciiTheme="majorHAnsi" w:eastAsia="Times New Roman" w:hAnsiTheme="majorHAnsi" w:cstheme="majorHAnsi"/>
                <w:sz w:val="16"/>
                <w:szCs w:val="16"/>
                <w:lang w:val="ro-MD" w:eastAsia="ru-RU"/>
              </w:rPr>
              <w:t>IMIȘLIA</w:t>
            </w:r>
            <w:r w:rsidR="00DD612C"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G</w:t>
            </w:r>
            <w:r w:rsidR="00E440ED" w:rsidRPr="009772A3">
              <w:rPr>
                <w:rFonts w:asciiTheme="majorHAnsi" w:eastAsia="Times New Roman" w:hAnsiTheme="majorHAnsi" w:cstheme="majorHAnsi"/>
                <w:sz w:val="16"/>
                <w:szCs w:val="16"/>
                <w:lang w:val="ro-MD" w:eastAsia="ru-RU"/>
              </w:rPr>
              <w:t>AZ</w:t>
            </w:r>
          </w:p>
        </w:tc>
        <w:tc>
          <w:tcPr>
            <w:tcW w:w="1152" w:type="dxa"/>
            <w:tcBorders>
              <w:top w:val="nil"/>
              <w:left w:val="nil"/>
              <w:bottom w:val="single" w:sz="4" w:space="0" w:color="auto"/>
              <w:right w:val="single" w:sz="4" w:space="0" w:color="auto"/>
            </w:tcBorders>
            <w:shd w:val="clear" w:color="auto" w:fill="auto"/>
            <w:noWrap/>
            <w:vAlign w:val="bottom"/>
            <w:hideMark/>
          </w:tcPr>
          <w:p w14:paraId="2A1B21C6" w14:textId="54B26325"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32</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868</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909</w:t>
            </w:r>
          </w:p>
        </w:tc>
        <w:tc>
          <w:tcPr>
            <w:tcW w:w="1181" w:type="dxa"/>
            <w:tcBorders>
              <w:top w:val="nil"/>
              <w:left w:val="nil"/>
              <w:bottom w:val="single" w:sz="4" w:space="0" w:color="auto"/>
              <w:right w:val="single" w:sz="4" w:space="0" w:color="auto"/>
            </w:tcBorders>
            <w:shd w:val="clear" w:color="auto" w:fill="auto"/>
            <w:noWrap/>
            <w:vAlign w:val="bottom"/>
            <w:hideMark/>
          </w:tcPr>
          <w:p w14:paraId="6DEB7D39" w14:textId="225960EC"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561</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461</w:t>
            </w:r>
          </w:p>
        </w:tc>
        <w:tc>
          <w:tcPr>
            <w:tcW w:w="1154" w:type="dxa"/>
            <w:tcBorders>
              <w:top w:val="nil"/>
              <w:left w:val="nil"/>
              <w:bottom w:val="single" w:sz="4" w:space="0" w:color="auto"/>
              <w:right w:val="single" w:sz="4" w:space="0" w:color="auto"/>
            </w:tcBorders>
            <w:shd w:val="clear" w:color="auto" w:fill="auto"/>
            <w:noWrap/>
            <w:vAlign w:val="bottom"/>
            <w:hideMark/>
          </w:tcPr>
          <w:p w14:paraId="7E2FDACE"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30 307 448</w:t>
            </w:r>
          </w:p>
        </w:tc>
        <w:tc>
          <w:tcPr>
            <w:tcW w:w="992" w:type="dxa"/>
            <w:tcBorders>
              <w:top w:val="nil"/>
              <w:left w:val="nil"/>
              <w:bottom w:val="single" w:sz="4" w:space="0" w:color="auto"/>
              <w:right w:val="single" w:sz="4" w:space="0" w:color="auto"/>
            </w:tcBorders>
            <w:shd w:val="clear" w:color="auto" w:fill="auto"/>
            <w:noWrap/>
            <w:vAlign w:val="bottom"/>
            <w:hideMark/>
          </w:tcPr>
          <w:p w14:paraId="0CEA0EA5"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-61 907</w:t>
            </w:r>
          </w:p>
        </w:tc>
        <w:tc>
          <w:tcPr>
            <w:tcW w:w="1160" w:type="dxa"/>
            <w:tcBorders>
              <w:top w:val="nil"/>
              <w:left w:val="nil"/>
              <w:bottom w:val="single" w:sz="4" w:space="0" w:color="auto"/>
              <w:right w:val="single" w:sz="4" w:space="0" w:color="auto"/>
            </w:tcBorders>
            <w:vAlign w:val="bottom"/>
          </w:tcPr>
          <w:p w14:paraId="0A408286"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30 245 541</w:t>
            </w:r>
          </w:p>
        </w:tc>
      </w:tr>
      <w:tr w:rsidR="00B84F30" w:rsidRPr="009772A3" w14:paraId="5057ED25"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7C09C432"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COMPLETGAZ</w:t>
            </w:r>
          </w:p>
        </w:tc>
        <w:tc>
          <w:tcPr>
            <w:tcW w:w="1152" w:type="dxa"/>
            <w:tcBorders>
              <w:top w:val="nil"/>
              <w:left w:val="nil"/>
              <w:bottom w:val="single" w:sz="4" w:space="0" w:color="auto"/>
              <w:right w:val="single" w:sz="4" w:space="0" w:color="auto"/>
            </w:tcBorders>
            <w:shd w:val="clear" w:color="auto" w:fill="auto"/>
            <w:noWrap/>
            <w:vAlign w:val="bottom"/>
            <w:hideMark/>
          </w:tcPr>
          <w:p w14:paraId="1DB8A242" w14:textId="031FCF4C"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875</w:t>
            </w:r>
          </w:p>
        </w:tc>
        <w:tc>
          <w:tcPr>
            <w:tcW w:w="1181" w:type="dxa"/>
            <w:tcBorders>
              <w:top w:val="nil"/>
              <w:left w:val="nil"/>
              <w:bottom w:val="single" w:sz="4" w:space="0" w:color="auto"/>
              <w:right w:val="single" w:sz="4" w:space="0" w:color="auto"/>
            </w:tcBorders>
            <w:shd w:val="clear" w:color="auto" w:fill="auto"/>
            <w:noWrap/>
            <w:vAlign w:val="bottom"/>
            <w:hideMark/>
          </w:tcPr>
          <w:p w14:paraId="4F358DA0" w14:textId="45278C7C"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305</w:t>
            </w:r>
          </w:p>
        </w:tc>
        <w:tc>
          <w:tcPr>
            <w:tcW w:w="1154" w:type="dxa"/>
            <w:tcBorders>
              <w:top w:val="nil"/>
              <w:left w:val="nil"/>
              <w:bottom w:val="single" w:sz="4" w:space="0" w:color="auto"/>
              <w:right w:val="single" w:sz="4" w:space="0" w:color="auto"/>
            </w:tcBorders>
            <w:shd w:val="clear" w:color="auto" w:fill="auto"/>
            <w:noWrap/>
            <w:vAlign w:val="bottom"/>
            <w:hideMark/>
          </w:tcPr>
          <w:p w14:paraId="5487102F"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-430</w:t>
            </w:r>
          </w:p>
        </w:tc>
        <w:tc>
          <w:tcPr>
            <w:tcW w:w="992" w:type="dxa"/>
            <w:tcBorders>
              <w:top w:val="nil"/>
              <w:left w:val="nil"/>
              <w:bottom w:val="single" w:sz="4" w:space="0" w:color="auto"/>
              <w:right w:val="single" w:sz="4" w:space="0" w:color="auto"/>
            </w:tcBorders>
            <w:shd w:val="clear" w:color="auto" w:fill="auto"/>
            <w:noWrap/>
            <w:vAlign w:val="bottom"/>
            <w:hideMark/>
          </w:tcPr>
          <w:p w14:paraId="5C84CBD7"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6D8CDF1A"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-430</w:t>
            </w:r>
          </w:p>
        </w:tc>
      </w:tr>
      <w:tr w:rsidR="00B84F30" w:rsidRPr="009772A3" w14:paraId="10FF14C5"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5831724A"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EDINEȚ GAZ</w:t>
            </w:r>
          </w:p>
        </w:tc>
        <w:tc>
          <w:tcPr>
            <w:tcW w:w="1152" w:type="dxa"/>
            <w:tcBorders>
              <w:top w:val="nil"/>
              <w:left w:val="nil"/>
              <w:bottom w:val="single" w:sz="4" w:space="0" w:color="auto"/>
              <w:right w:val="single" w:sz="4" w:space="0" w:color="auto"/>
            </w:tcBorders>
            <w:shd w:val="clear" w:color="auto" w:fill="auto"/>
            <w:noWrap/>
            <w:vAlign w:val="bottom"/>
            <w:hideMark/>
          </w:tcPr>
          <w:p w14:paraId="7BFA7684" w14:textId="0973ED13"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30</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828</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021</w:t>
            </w:r>
          </w:p>
        </w:tc>
        <w:tc>
          <w:tcPr>
            <w:tcW w:w="1181" w:type="dxa"/>
            <w:tcBorders>
              <w:top w:val="nil"/>
              <w:left w:val="nil"/>
              <w:bottom w:val="single" w:sz="4" w:space="0" w:color="auto"/>
              <w:right w:val="single" w:sz="4" w:space="0" w:color="auto"/>
            </w:tcBorders>
            <w:shd w:val="clear" w:color="auto" w:fill="auto"/>
            <w:noWrap/>
            <w:vAlign w:val="bottom"/>
            <w:hideMark/>
          </w:tcPr>
          <w:p w14:paraId="52A1ACE6" w14:textId="21F0B49F"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272</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434</w:t>
            </w:r>
          </w:p>
        </w:tc>
        <w:tc>
          <w:tcPr>
            <w:tcW w:w="1154" w:type="dxa"/>
            <w:tcBorders>
              <w:top w:val="nil"/>
              <w:left w:val="nil"/>
              <w:bottom w:val="single" w:sz="4" w:space="0" w:color="auto"/>
              <w:right w:val="single" w:sz="4" w:space="0" w:color="auto"/>
            </w:tcBorders>
            <w:shd w:val="clear" w:color="auto" w:fill="auto"/>
            <w:noWrap/>
            <w:vAlign w:val="bottom"/>
            <w:hideMark/>
          </w:tcPr>
          <w:p w14:paraId="1F72D2A4"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30 555 587</w:t>
            </w:r>
          </w:p>
        </w:tc>
        <w:tc>
          <w:tcPr>
            <w:tcW w:w="992" w:type="dxa"/>
            <w:tcBorders>
              <w:top w:val="nil"/>
              <w:left w:val="nil"/>
              <w:bottom w:val="single" w:sz="4" w:space="0" w:color="auto"/>
              <w:right w:val="single" w:sz="4" w:space="0" w:color="auto"/>
            </w:tcBorders>
            <w:shd w:val="clear" w:color="auto" w:fill="auto"/>
            <w:noWrap/>
            <w:vAlign w:val="bottom"/>
            <w:hideMark/>
          </w:tcPr>
          <w:p w14:paraId="1307A450"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27375686"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30 555 587</w:t>
            </w:r>
          </w:p>
        </w:tc>
      </w:tr>
      <w:tr w:rsidR="00B84F30" w:rsidRPr="009772A3" w14:paraId="1AB2BEB2"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24CC84FD"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FLACĂRA ALBASTRĂ</w:t>
            </w:r>
          </w:p>
        </w:tc>
        <w:tc>
          <w:tcPr>
            <w:tcW w:w="1152" w:type="dxa"/>
            <w:tcBorders>
              <w:top w:val="nil"/>
              <w:left w:val="nil"/>
              <w:bottom w:val="single" w:sz="4" w:space="0" w:color="auto"/>
              <w:right w:val="single" w:sz="4" w:space="0" w:color="auto"/>
            </w:tcBorders>
            <w:shd w:val="clear" w:color="auto" w:fill="auto"/>
            <w:noWrap/>
            <w:vAlign w:val="bottom"/>
            <w:hideMark/>
          </w:tcPr>
          <w:p w14:paraId="551692F5" w14:textId="23015348"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103</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546</w:t>
            </w:r>
          </w:p>
        </w:tc>
        <w:tc>
          <w:tcPr>
            <w:tcW w:w="1181" w:type="dxa"/>
            <w:tcBorders>
              <w:top w:val="nil"/>
              <w:left w:val="nil"/>
              <w:bottom w:val="single" w:sz="4" w:space="0" w:color="auto"/>
              <w:right w:val="single" w:sz="4" w:space="0" w:color="auto"/>
            </w:tcBorders>
            <w:shd w:val="clear" w:color="auto" w:fill="auto"/>
            <w:noWrap/>
            <w:vAlign w:val="bottom"/>
            <w:hideMark/>
          </w:tcPr>
          <w:p w14:paraId="5E10B1EB"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14:paraId="41867A4F"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1 103 546</w:t>
            </w:r>
          </w:p>
        </w:tc>
        <w:tc>
          <w:tcPr>
            <w:tcW w:w="992" w:type="dxa"/>
            <w:tcBorders>
              <w:top w:val="nil"/>
              <w:left w:val="nil"/>
              <w:bottom w:val="single" w:sz="4" w:space="0" w:color="auto"/>
              <w:right w:val="single" w:sz="4" w:space="0" w:color="auto"/>
            </w:tcBorders>
            <w:shd w:val="clear" w:color="auto" w:fill="auto"/>
            <w:noWrap/>
            <w:vAlign w:val="bottom"/>
            <w:hideMark/>
          </w:tcPr>
          <w:p w14:paraId="5F0EFECA"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5D518045"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1 103 546</w:t>
            </w:r>
          </w:p>
        </w:tc>
      </w:tr>
      <w:tr w:rsidR="00B84F30" w:rsidRPr="009772A3" w14:paraId="56C98FEC"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564A6E28"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FLOREȘTI GAZ</w:t>
            </w:r>
          </w:p>
        </w:tc>
        <w:tc>
          <w:tcPr>
            <w:tcW w:w="1152" w:type="dxa"/>
            <w:tcBorders>
              <w:top w:val="nil"/>
              <w:left w:val="nil"/>
              <w:bottom w:val="single" w:sz="4" w:space="0" w:color="auto"/>
              <w:right w:val="single" w:sz="4" w:space="0" w:color="auto"/>
            </w:tcBorders>
            <w:shd w:val="clear" w:color="auto" w:fill="auto"/>
            <w:noWrap/>
            <w:vAlign w:val="bottom"/>
            <w:hideMark/>
          </w:tcPr>
          <w:p w14:paraId="0070D6EB" w14:textId="197C8435" w:rsidR="00B84F30" w:rsidRPr="009772A3" w:rsidRDefault="00B84F30" w:rsidP="00760A0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105</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524</w:t>
            </w:r>
            <w:r w:rsidR="00760A07"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443</w:t>
            </w:r>
          </w:p>
        </w:tc>
        <w:tc>
          <w:tcPr>
            <w:tcW w:w="1181" w:type="dxa"/>
            <w:tcBorders>
              <w:top w:val="nil"/>
              <w:left w:val="nil"/>
              <w:bottom w:val="single" w:sz="4" w:space="0" w:color="auto"/>
              <w:right w:val="single" w:sz="4" w:space="0" w:color="auto"/>
            </w:tcBorders>
            <w:shd w:val="clear" w:color="auto" w:fill="auto"/>
            <w:noWrap/>
            <w:vAlign w:val="bottom"/>
            <w:hideMark/>
          </w:tcPr>
          <w:p w14:paraId="03F19572" w14:textId="1CBB24A4"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942</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249</w:t>
            </w:r>
          </w:p>
        </w:tc>
        <w:tc>
          <w:tcPr>
            <w:tcW w:w="1154" w:type="dxa"/>
            <w:tcBorders>
              <w:top w:val="nil"/>
              <w:left w:val="nil"/>
              <w:bottom w:val="single" w:sz="4" w:space="0" w:color="auto"/>
              <w:right w:val="single" w:sz="4" w:space="0" w:color="auto"/>
            </w:tcBorders>
            <w:shd w:val="clear" w:color="auto" w:fill="auto"/>
            <w:noWrap/>
            <w:vAlign w:val="bottom"/>
            <w:hideMark/>
          </w:tcPr>
          <w:p w14:paraId="65FEE000"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104 582 194</w:t>
            </w:r>
          </w:p>
        </w:tc>
        <w:tc>
          <w:tcPr>
            <w:tcW w:w="992" w:type="dxa"/>
            <w:tcBorders>
              <w:top w:val="nil"/>
              <w:left w:val="nil"/>
              <w:bottom w:val="single" w:sz="4" w:space="0" w:color="auto"/>
              <w:right w:val="single" w:sz="4" w:space="0" w:color="auto"/>
            </w:tcBorders>
            <w:shd w:val="clear" w:color="auto" w:fill="auto"/>
            <w:noWrap/>
            <w:vAlign w:val="bottom"/>
            <w:hideMark/>
          </w:tcPr>
          <w:p w14:paraId="7DE43E10"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382DF981"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104 582 194</w:t>
            </w:r>
          </w:p>
        </w:tc>
      </w:tr>
      <w:tr w:rsidR="00B84F30" w:rsidRPr="009772A3" w14:paraId="77DA9336"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0DA32435"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GAGAUZGAZ</w:t>
            </w:r>
          </w:p>
        </w:tc>
        <w:tc>
          <w:tcPr>
            <w:tcW w:w="1152" w:type="dxa"/>
            <w:tcBorders>
              <w:top w:val="nil"/>
              <w:left w:val="nil"/>
              <w:bottom w:val="single" w:sz="4" w:space="0" w:color="auto"/>
              <w:right w:val="single" w:sz="4" w:space="0" w:color="auto"/>
            </w:tcBorders>
            <w:shd w:val="clear" w:color="auto" w:fill="auto"/>
            <w:noWrap/>
            <w:vAlign w:val="bottom"/>
            <w:hideMark/>
          </w:tcPr>
          <w:p w14:paraId="46B0C611" w14:textId="0272185C"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202</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251</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177</w:t>
            </w:r>
          </w:p>
        </w:tc>
        <w:tc>
          <w:tcPr>
            <w:tcW w:w="1181" w:type="dxa"/>
            <w:tcBorders>
              <w:top w:val="nil"/>
              <w:left w:val="nil"/>
              <w:bottom w:val="single" w:sz="4" w:space="0" w:color="auto"/>
              <w:right w:val="single" w:sz="4" w:space="0" w:color="auto"/>
            </w:tcBorders>
            <w:shd w:val="clear" w:color="auto" w:fill="auto"/>
            <w:noWrap/>
            <w:vAlign w:val="bottom"/>
            <w:hideMark/>
          </w:tcPr>
          <w:p w14:paraId="06AB5897" w14:textId="3497CC88"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139</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210</w:t>
            </w:r>
          </w:p>
        </w:tc>
        <w:tc>
          <w:tcPr>
            <w:tcW w:w="1154" w:type="dxa"/>
            <w:tcBorders>
              <w:top w:val="nil"/>
              <w:left w:val="nil"/>
              <w:bottom w:val="single" w:sz="4" w:space="0" w:color="auto"/>
              <w:right w:val="single" w:sz="4" w:space="0" w:color="auto"/>
            </w:tcBorders>
            <w:shd w:val="clear" w:color="auto" w:fill="auto"/>
            <w:noWrap/>
            <w:vAlign w:val="bottom"/>
            <w:hideMark/>
          </w:tcPr>
          <w:p w14:paraId="7672473C"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202 111 967</w:t>
            </w:r>
          </w:p>
        </w:tc>
        <w:tc>
          <w:tcPr>
            <w:tcW w:w="992" w:type="dxa"/>
            <w:tcBorders>
              <w:top w:val="nil"/>
              <w:left w:val="nil"/>
              <w:bottom w:val="single" w:sz="4" w:space="0" w:color="auto"/>
              <w:right w:val="single" w:sz="4" w:space="0" w:color="auto"/>
            </w:tcBorders>
            <w:shd w:val="clear" w:color="auto" w:fill="auto"/>
            <w:noWrap/>
            <w:vAlign w:val="bottom"/>
            <w:hideMark/>
          </w:tcPr>
          <w:p w14:paraId="1923B359"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09A41C33"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202 111 967</w:t>
            </w:r>
          </w:p>
        </w:tc>
      </w:tr>
      <w:tr w:rsidR="00B84F30" w:rsidRPr="009772A3" w14:paraId="14EDB2CA"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174E71C9"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IAL GAZ STRAȘENI</w:t>
            </w:r>
          </w:p>
        </w:tc>
        <w:tc>
          <w:tcPr>
            <w:tcW w:w="1152" w:type="dxa"/>
            <w:tcBorders>
              <w:top w:val="nil"/>
              <w:left w:val="nil"/>
              <w:bottom w:val="single" w:sz="4" w:space="0" w:color="auto"/>
              <w:right w:val="single" w:sz="4" w:space="0" w:color="auto"/>
            </w:tcBorders>
            <w:shd w:val="clear" w:color="auto" w:fill="auto"/>
            <w:noWrap/>
            <w:vAlign w:val="bottom"/>
            <w:hideMark/>
          </w:tcPr>
          <w:p w14:paraId="376FE68A" w14:textId="6E308457"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5</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371</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329</w:t>
            </w:r>
          </w:p>
        </w:tc>
        <w:tc>
          <w:tcPr>
            <w:tcW w:w="1181" w:type="dxa"/>
            <w:tcBorders>
              <w:top w:val="nil"/>
              <w:left w:val="nil"/>
              <w:bottom w:val="single" w:sz="4" w:space="0" w:color="auto"/>
              <w:right w:val="single" w:sz="4" w:space="0" w:color="auto"/>
            </w:tcBorders>
            <w:shd w:val="clear" w:color="auto" w:fill="auto"/>
            <w:noWrap/>
            <w:vAlign w:val="bottom"/>
            <w:hideMark/>
          </w:tcPr>
          <w:p w14:paraId="5AEC10A7" w14:textId="3944B474"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689</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828</w:t>
            </w:r>
          </w:p>
        </w:tc>
        <w:tc>
          <w:tcPr>
            <w:tcW w:w="1154" w:type="dxa"/>
            <w:tcBorders>
              <w:top w:val="nil"/>
              <w:left w:val="nil"/>
              <w:bottom w:val="single" w:sz="4" w:space="0" w:color="auto"/>
              <w:right w:val="single" w:sz="4" w:space="0" w:color="auto"/>
            </w:tcBorders>
            <w:shd w:val="clear" w:color="auto" w:fill="auto"/>
            <w:noWrap/>
            <w:vAlign w:val="bottom"/>
            <w:hideMark/>
          </w:tcPr>
          <w:p w14:paraId="2D47AC50"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3 681 501</w:t>
            </w:r>
          </w:p>
        </w:tc>
        <w:tc>
          <w:tcPr>
            <w:tcW w:w="992" w:type="dxa"/>
            <w:tcBorders>
              <w:top w:val="nil"/>
              <w:left w:val="nil"/>
              <w:bottom w:val="single" w:sz="4" w:space="0" w:color="auto"/>
              <w:right w:val="single" w:sz="4" w:space="0" w:color="auto"/>
            </w:tcBorders>
            <w:shd w:val="clear" w:color="auto" w:fill="auto"/>
            <w:noWrap/>
            <w:vAlign w:val="bottom"/>
            <w:hideMark/>
          </w:tcPr>
          <w:p w14:paraId="31AA4424"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6C04F311"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3 681 501</w:t>
            </w:r>
          </w:p>
        </w:tc>
      </w:tr>
      <w:tr w:rsidR="00B84F30" w:rsidRPr="009772A3" w14:paraId="30CC4C8D"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7DF09A2A"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IALOVENI GAZ</w:t>
            </w:r>
          </w:p>
        </w:tc>
        <w:tc>
          <w:tcPr>
            <w:tcW w:w="1152" w:type="dxa"/>
            <w:tcBorders>
              <w:top w:val="nil"/>
              <w:left w:val="nil"/>
              <w:bottom w:val="single" w:sz="4" w:space="0" w:color="auto"/>
              <w:right w:val="single" w:sz="4" w:space="0" w:color="auto"/>
            </w:tcBorders>
            <w:shd w:val="clear" w:color="auto" w:fill="auto"/>
            <w:noWrap/>
            <w:vAlign w:val="bottom"/>
            <w:hideMark/>
          </w:tcPr>
          <w:p w14:paraId="12573299" w14:textId="0612026A"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173</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045</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981</w:t>
            </w:r>
          </w:p>
        </w:tc>
        <w:tc>
          <w:tcPr>
            <w:tcW w:w="1181" w:type="dxa"/>
            <w:tcBorders>
              <w:top w:val="nil"/>
              <w:left w:val="nil"/>
              <w:bottom w:val="single" w:sz="4" w:space="0" w:color="auto"/>
              <w:right w:val="single" w:sz="4" w:space="0" w:color="auto"/>
            </w:tcBorders>
            <w:shd w:val="clear" w:color="auto" w:fill="auto"/>
            <w:noWrap/>
            <w:vAlign w:val="bottom"/>
            <w:hideMark/>
          </w:tcPr>
          <w:p w14:paraId="363CDC71" w14:textId="3E7F5A29"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511</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745</w:t>
            </w:r>
          </w:p>
        </w:tc>
        <w:tc>
          <w:tcPr>
            <w:tcW w:w="1154" w:type="dxa"/>
            <w:tcBorders>
              <w:top w:val="nil"/>
              <w:left w:val="nil"/>
              <w:bottom w:val="single" w:sz="4" w:space="0" w:color="auto"/>
              <w:right w:val="single" w:sz="4" w:space="0" w:color="auto"/>
            </w:tcBorders>
            <w:shd w:val="clear" w:color="auto" w:fill="auto"/>
            <w:noWrap/>
            <w:vAlign w:val="bottom"/>
            <w:hideMark/>
          </w:tcPr>
          <w:p w14:paraId="57E1B21E"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172 534 236</w:t>
            </w:r>
          </w:p>
        </w:tc>
        <w:tc>
          <w:tcPr>
            <w:tcW w:w="992" w:type="dxa"/>
            <w:tcBorders>
              <w:top w:val="nil"/>
              <w:left w:val="nil"/>
              <w:bottom w:val="single" w:sz="4" w:space="0" w:color="auto"/>
              <w:right w:val="single" w:sz="4" w:space="0" w:color="auto"/>
            </w:tcBorders>
            <w:shd w:val="clear" w:color="auto" w:fill="auto"/>
            <w:noWrap/>
            <w:vAlign w:val="bottom"/>
            <w:hideMark/>
          </w:tcPr>
          <w:p w14:paraId="087B054A"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728699EF"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172 534 236</w:t>
            </w:r>
          </w:p>
        </w:tc>
      </w:tr>
      <w:tr w:rsidR="00B84F30" w:rsidRPr="009772A3" w14:paraId="5AF3CB47"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28A19843"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ORHEI GAZ</w:t>
            </w:r>
          </w:p>
        </w:tc>
        <w:tc>
          <w:tcPr>
            <w:tcW w:w="1152" w:type="dxa"/>
            <w:tcBorders>
              <w:top w:val="nil"/>
              <w:left w:val="nil"/>
              <w:bottom w:val="single" w:sz="4" w:space="0" w:color="auto"/>
              <w:right w:val="single" w:sz="4" w:space="0" w:color="auto"/>
            </w:tcBorders>
            <w:shd w:val="clear" w:color="auto" w:fill="auto"/>
            <w:noWrap/>
            <w:vAlign w:val="bottom"/>
            <w:hideMark/>
          </w:tcPr>
          <w:p w14:paraId="5A5B106A" w14:textId="61C6FBCC"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100</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213</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509</w:t>
            </w:r>
          </w:p>
        </w:tc>
        <w:tc>
          <w:tcPr>
            <w:tcW w:w="1181" w:type="dxa"/>
            <w:tcBorders>
              <w:top w:val="nil"/>
              <w:left w:val="nil"/>
              <w:bottom w:val="single" w:sz="4" w:space="0" w:color="auto"/>
              <w:right w:val="single" w:sz="4" w:space="0" w:color="auto"/>
            </w:tcBorders>
            <w:shd w:val="clear" w:color="auto" w:fill="auto"/>
            <w:noWrap/>
            <w:vAlign w:val="bottom"/>
            <w:hideMark/>
          </w:tcPr>
          <w:p w14:paraId="729196AF" w14:textId="3A473A0B"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176</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935</w:t>
            </w:r>
          </w:p>
        </w:tc>
        <w:tc>
          <w:tcPr>
            <w:tcW w:w="1154" w:type="dxa"/>
            <w:tcBorders>
              <w:top w:val="nil"/>
              <w:left w:val="nil"/>
              <w:bottom w:val="single" w:sz="4" w:space="0" w:color="auto"/>
              <w:right w:val="single" w:sz="4" w:space="0" w:color="auto"/>
            </w:tcBorders>
            <w:shd w:val="clear" w:color="auto" w:fill="auto"/>
            <w:noWrap/>
            <w:vAlign w:val="bottom"/>
            <w:hideMark/>
          </w:tcPr>
          <w:p w14:paraId="564EB228"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100 036 574</w:t>
            </w:r>
          </w:p>
        </w:tc>
        <w:tc>
          <w:tcPr>
            <w:tcW w:w="992" w:type="dxa"/>
            <w:tcBorders>
              <w:top w:val="nil"/>
              <w:left w:val="nil"/>
              <w:bottom w:val="single" w:sz="4" w:space="0" w:color="auto"/>
              <w:right w:val="single" w:sz="4" w:space="0" w:color="auto"/>
            </w:tcBorders>
            <w:shd w:val="clear" w:color="auto" w:fill="auto"/>
            <w:noWrap/>
            <w:vAlign w:val="bottom"/>
            <w:hideMark/>
          </w:tcPr>
          <w:p w14:paraId="241588AB"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6928BD51"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100 036 574</w:t>
            </w:r>
          </w:p>
        </w:tc>
      </w:tr>
      <w:tr w:rsidR="00B84F30" w:rsidRPr="009772A3" w14:paraId="5E7B7D12"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55CA507D"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ȘTEFAN VODĂ GAZ</w:t>
            </w:r>
          </w:p>
        </w:tc>
        <w:tc>
          <w:tcPr>
            <w:tcW w:w="1152" w:type="dxa"/>
            <w:tcBorders>
              <w:top w:val="nil"/>
              <w:left w:val="nil"/>
              <w:bottom w:val="single" w:sz="4" w:space="0" w:color="auto"/>
              <w:right w:val="single" w:sz="4" w:space="0" w:color="auto"/>
            </w:tcBorders>
            <w:shd w:val="clear" w:color="auto" w:fill="auto"/>
            <w:noWrap/>
            <w:vAlign w:val="bottom"/>
            <w:hideMark/>
          </w:tcPr>
          <w:p w14:paraId="4D7EA240" w14:textId="09C77C40"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159</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646</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967</w:t>
            </w:r>
          </w:p>
        </w:tc>
        <w:tc>
          <w:tcPr>
            <w:tcW w:w="1181" w:type="dxa"/>
            <w:tcBorders>
              <w:top w:val="nil"/>
              <w:left w:val="nil"/>
              <w:bottom w:val="single" w:sz="4" w:space="0" w:color="auto"/>
              <w:right w:val="single" w:sz="4" w:space="0" w:color="auto"/>
            </w:tcBorders>
            <w:shd w:val="clear" w:color="auto" w:fill="auto"/>
            <w:noWrap/>
            <w:vAlign w:val="bottom"/>
            <w:hideMark/>
          </w:tcPr>
          <w:p w14:paraId="0E235F19" w14:textId="5C237CF4"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673</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231</w:t>
            </w:r>
          </w:p>
        </w:tc>
        <w:tc>
          <w:tcPr>
            <w:tcW w:w="1154" w:type="dxa"/>
            <w:tcBorders>
              <w:top w:val="nil"/>
              <w:left w:val="nil"/>
              <w:bottom w:val="single" w:sz="4" w:space="0" w:color="auto"/>
              <w:right w:val="single" w:sz="4" w:space="0" w:color="auto"/>
            </w:tcBorders>
            <w:shd w:val="clear" w:color="auto" w:fill="auto"/>
            <w:noWrap/>
            <w:vAlign w:val="bottom"/>
            <w:hideMark/>
          </w:tcPr>
          <w:p w14:paraId="7E04007E"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158 973 736</w:t>
            </w:r>
          </w:p>
        </w:tc>
        <w:tc>
          <w:tcPr>
            <w:tcW w:w="992" w:type="dxa"/>
            <w:tcBorders>
              <w:top w:val="nil"/>
              <w:left w:val="nil"/>
              <w:bottom w:val="single" w:sz="4" w:space="0" w:color="auto"/>
              <w:right w:val="single" w:sz="4" w:space="0" w:color="auto"/>
            </w:tcBorders>
            <w:shd w:val="clear" w:color="auto" w:fill="auto"/>
            <w:noWrap/>
            <w:vAlign w:val="bottom"/>
            <w:hideMark/>
          </w:tcPr>
          <w:p w14:paraId="7A93EDBC"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18145131"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158 973 736</w:t>
            </w:r>
          </w:p>
        </w:tc>
      </w:tr>
      <w:tr w:rsidR="00B84F30" w:rsidRPr="009772A3" w14:paraId="68E37911"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427A0530"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UNGHENI GAZ</w:t>
            </w:r>
          </w:p>
        </w:tc>
        <w:tc>
          <w:tcPr>
            <w:tcW w:w="1152" w:type="dxa"/>
            <w:tcBorders>
              <w:top w:val="nil"/>
              <w:left w:val="nil"/>
              <w:bottom w:val="single" w:sz="4" w:space="0" w:color="auto"/>
              <w:right w:val="single" w:sz="4" w:space="0" w:color="auto"/>
            </w:tcBorders>
            <w:shd w:val="clear" w:color="auto" w:fill="auto"/>
            <w:noWrap/>
            <w:vAlign w:val="bottom"/>
            <w:hideMark/>
          </w:tcPr>
          <w:p w14:paraId="5E25E09F" w14:textId="07909A89"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874</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621</w:t>
            </w:r>
          </w:p>
        </w:tc>
        <w:tc>
          <w:tcPr>
            <w:tcW w:w="1181" w:type="dxa"/>
            <w:tcBorders>
              <w:top w:val="nil"/>
              <w:left w:val="nil"/>
              <w:bottom w:val="single" w:sz="4" w:space="0" w:color="auto"/>
              <w:right w:val="single" w:sz="4" w:space="0" w:color="auto"/>
            </w:tcBorders>
            <w:shd w:val="clear" w:color="auto" w:fill="auto"/>
            <w:noWrap/>
            <w:vAlign w:val="bottom"/>
            <w:hideMark/>
          </w:tcPr>
          <w:p w14:paraId="6E2719F6" w14:textId="7D8F2B33"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017</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493</w:t>
            </w:r>
          </w:p>
        </w:tc>
        <w:tc>
          <w:tcPr>
            <w:tcW w:w="1154" w:type="dxa"/>
            <w:tcBorders>
              <w:top w:val="nil"/>
              <w:left w:val="nil"/>
              <w:bottom w:val="single" w:sz="4" w:space="0" w:color="auto"/>
              <w:right w:val="single" w:sz="4" w:space="0" w:color="auto"/>
            </w:tcBorders>
            <w:shd w:val="clear" w:color="auto" w:fill="auto"/>
            <w:noWrap/>
            <w:vAlign w:val="bottom"/>
            <w:hideMark/>
          </w:tcPr>
          <w:p w14:paraId="6D1BE947"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2 857 128</w:t>
            </w:r>
          </w:p>
        </w:tc>
        <w:tc>
          <w:tcPr>
            <w:tcW w:w="992" w:type="dxa"/>
            <w:tcBorders>
              <w:top w:val="nil"/>
              <w:left w:val="nil"/>
              <w:bottom w:val="single" w:sz="4" w:space="0" w:color="auto"/>
              <w:right w:val="single" w:sz="4" w:space="0" w:color="auto"/>
            </w:tcBorders>
            <w:shd w:val="clear" w:color="auto" w:fill="auto"/>
            <w:noWrap/>
            <w:vAlign w:val="bottom"/>
            <w:hideMark/>
          </w:tcPr>
          <w:p w14:paraId="62D12CD2"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0DB16103"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2 857 128</w:t>
            </w:r>
          </w:p>
        </w:tc>
      </w:tr>
      <w:tr w:rsidR="00B84F30" w:rsidRPr="009772A3" w14:paraId="4866D41A"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79A87E3A"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TARACLIAGAZ</w:t>
            </w:r>
          </w:p>
        </w:tc>
        <w:tc>
          <w:tcPr>
            <w:tcW w:w="1152" w:type="dxa"/>
            <w:tcBorders>
              <w:top w:val="nil"/>
              <w:left w:val="nil"/>
              <w:bottom w:val="single" w:sz="4" w:space="0" w:color="auto"/>
              <w:right w:val="single" w:sz="4" w:space="0" w:color="auto"/>
            </w:tcBorders>
            <w:shd w:val="clear" w:color="auto" w:fill="auto"/>
            <w:noWrap/>
            <w:vAlign w:val="bottom"/>
            <w:hideMark/>
          </w:tcPr>
          <w:p w14:paraId="4FFF7D57" w14:textId="2E8D8D70"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61</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104</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199</w:t>
            </w:r>
          </w:p>
        </w:tc>
        <w:tc>
          <w:tcPr>
            <w:tcW w:w="1181" w:type="dxa"/>
            <w:tcBorders>
              <w:top w:val="nil"/>
              <w:left w:val="nil"/>
              <w:bottom w:val="single" w:sz="4" w:space="0" w:color="auto"/>
              <w:right w:val="single" w:sz="4" w:space="0" w:color="auto"/>
            </w:tcBorders>
            <w:shd w:val="clear" w:color="auto" w:fill="auto"/>
            <w:noWrap/>
            <w:vAlign w:val="bottom"/>
            <w:hideMark/>
          </w:tcPr>
          <w:p w14:paraId="17785FA1"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691</w:t>
            </w:r>
          </w:p>
        </w:tc>
        <w:tc>
          <w:tcPr>
            <w:tcW w:w="1154" w:type="dxa"/>
            <w:tcBorders>
              <w:top w:val="nil"/>
              <w:left w:val="nil"/>
              <w:bottom w:val="single" w:sz="4" w:space="0" w:color="auto"/>
              <w:right w:val="single" w:sz="4" w:space="0" w:color="auto"/>
            </w:tcBorders>
            <w:shd w:val="clear" w:color="auto" w:fill="auto"/>
            <w:noWrap/>
            <w:vAlign w:val="bottom"/>
            <w:hideMark/>
          </w:tcPr>
          <w:p w14:paraId="7FF961FA"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61 103 508</w:t>
            </w:r>
          </w:p>
        </w:tc>
        <w:tc>
          <w:tcPr>
            <w:tcW w:w="992" w:type="dxa"/>
            <w:tcBorders>
              <w:top w:val="nil"/>
              <w:left w:val="nil"/>
              <w:bottom w:val="single" w:sz="4" w:space="0" w:color="auto"/>
              <w:right w:val="single" w:sz="4" w:space="0" w:color="auto"/>
            </w:tcBorders>
            <w:shd w:val="clear" w:color="auto" w:fill="auto"/>
            <w:noWrap/>
            <w:vAlign w:val="bottom"/>
            <w:hideMark/>
          </w:tcPr>
          <w:p w14:paraId="1D30A065"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6D85FDCF"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61 103 508</w:t>
            </w:r>
          </w:p>
        </w:tc>
      </w:tr>
      <w:tr w:rsidR="00B84F30" w:rsidRPr="009772A3" w14:paraId="55F56CD8" w14:textId="77777777" w:rsidTr="004439DA">
        <w:trPr>
          <w:trHeight w:val="20"/>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2BE3C47C" w14:textId="77777777" w:rsidR="00B84F30" w:rsidRPr="009772A3" w:rsidRDefault="00B84F30" w:rsidP="00957170">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Moldovatransgaz</w:t>
            </w:r>
          </w:p>
        </w:tc>
        <w:tc>
          <w:tcPr>
            <w:tcW w:w="1152" w:type="dxa"/>
            <w:tcBorders>
              <w:top w:val="nil"/>
              <w:left w:val="nil"/>
              <w:bottom w:val="single" w:sz="4" w:space="0" w:color="auto"/>
              <w:right w:val="single" w:sz="4" w:space="0" w:color="auto"/>
            </w:tcBorders>
            <w:shd w:val="clear" w:color="auto" w:fill="auto"/>
            <w:noWrap/>
            <w:vAlign w:val="bottom"/>
            <w:hideMark/>
          </w:tcPr>
          <w:p w14:paraId="5BF5971F" w14:textId="73B64860" w:rsidR="00B84F30" w:rsidRPr="009772A3" w:rsidRDefault="00B84F30" w:rsidP="002051D5">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047</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584</w:t>
            </w:r>
            <w:r w:rsidR="002051D5" w:rsidRPr="009772A3">
              <w:rPr>
                <w:rFonts w:asciiTheme="majorHAnsi" w:eastAsia="Times New Roman" w:hAnsiTheme="majorHAnsi" w:cstheme="majorHAnsi"/>
                <w:sz w:val="16"/>
                <w:szCs w:val="16"/>
                <w:lang w:val="ro-MD" w:eastAsia="ru-RU"/>
              </w:rPr>
              <w:t>.</w:t>
            </w:r>
            <w:r w:rsidRPr="009772A3">
              <w:rPr>
                <w:rFonts w:asciiTheme="majorHAnsi" w:eastAsia="Times New Roman" w:hAnsiTheme="majorHAnsi" w:cstheme="majorHAnsi"/>
                <w:sz w:val="16"/>
                <w:szCs w:val="16"/>
                <w:lang w:val="ro-MD" w:eastAsia="ru-RU"/>
              </w:rPr>
              <w:t>690</w:t>
            </w:r>
          </w:p>
        </w:tc>
        <w:tc>
          <w:tcPr>
            <w:tcW w:w="1181" w:type="dxa"/>
            <w:tcBorders>
              <w:top w:val="nil"/>
              <w:left w:val="nil"/>
              <w:bottom w:val="single" w:sz="4" w:space="0" w:color="auto"/>
              <w:right w:val="single" w:sz="4" w:space="0" w:color="auto"/>
            </w:tcBorders>
            <w:shd w:val="clear" w:color="auto" w:fill="auto"/>
            <w:noWrap/>
            <w:vAlign w:val="bottom"/>
            <w:hideMark/>
          </w:tcPr>
          <w:p w14:paraId="77B36470" w14:textId="0ACD7A61"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11</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131</w:t>
            </w:r>
            <w:r w:rsidR="00760A07" w:rsidRPr="009772A3">
              <w:rPr>
                <w:rFonts w:asciiTheme="majorHAnsi" w:eastAsia="Times New Roman" w:hAnsiTheme="majorHAnsi" w:cstheme="majorHAnsi"/>
                <w:sz w:val="16"/>
                <w:szCs w:val="16"/>
                <w:lang w:val="ro-MD" w:eastAsia="ru-RU"/>
              </w:rPr>
              <w:t xml:space="preserve"> </w:t>
            </w:r>
            <w:r w:rsidRPr="009772A3">
              <w:rPr>
                <w:rFonts w:asciiTheme="majorHAnsi" w:eastAsia="Times New Roman" w:hAnsiTheme="majorHAnsi" w:cstheme="majorHAnsi"/>
                <w:sz w:val="16"/>
                <w:szCs w:val="16"/>
                <w:lang w:val="ro-MD" w:eastAsia="ru-RU"/>
              </w:rPr>
              <w:t>745</w:t>
            </w:r>
          </w:p>
        </w:tc>
        <w:tc>
          <w:tcPr>
            <w:tcW w:w="1154" w:type="dxa"/>
            <w:tcBorders>
              <w:top w:val="nil"/>
              <w:left w:val="nil"/>
              <w:bottom w:val="single" w:sz="4" w:space="0" w:color="auto"/>
              <w:right w:val="single" w:sz="4" w:space="0" w:color="auto"/>
            </w:tcBorders>
            <w:shd w:val="clear" w:color="auto" w:fill="auto"/>
            <w:noWrap/>
            <w:vAlign w:val="bottom"/>
            <w:hideMark/>
          </w:tcPr>
          <w:p w14:paraId="38211745"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2 036 452 945</w:t>
            </w:r>
          </w:p>
        </w:tc>
        <w:tc>
          <w:tcPr>
            <w:tcW w:w="992" w:type="dxa"/>
            <w:tcBorders>
              <w:top w:val="nil"/>
              <w:left w:val="nil"/>
              <w:bottom w:val="single" w:sz="4" w:space="0" w:color="auto"/>
              <w:right w:val="single" w:sz="4" w:space="0" w:color="auto"/>
            </w:tcBorders>
            <w:shd w:val="clear" w:color="auto" w:fill="auto"/>
            <w:noWrap/>
            <w:vAlign w:val="bottom"/>
            <w:hideMark/>
          </w:tcPr>
          <w:p w14:paraId="68869232"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0</w:t>
            </w:r>
          </w:p>
        </w:tc>
        <w:tc>
          <w:tcPr>
            <w:tcW w:w="1160" w:type="dxa"/>
            <w:tcBorders>
              <w:top w:val="nil"/>
              <w:left w:val="nil"/>
              <w:bottom w:val="single" w:sz="4" w:space="0" w:color="auto"/>
              <w:right w:val="single" w:sz="4" w:space="0" w:color="auto"/>
            </w:tcBorders>
            <w:vAlign w:val="bottom"/>
          </w:tcPr>
          <w:p w14:paraId="0DA38A18"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2 036 452 945</w:t>
            </w:r>
          </w:p>
        </w:tc>
      </w:tr>
    </w:tbl>
    <w:p w14:paraId="52616D1E" w14:textId="77777777" w:rsidR="00CE075B" w:rsidRPr="009772A3" w:rsidRDefault="00CE075B" w:rsidP="00C241F5">
      <w:pPr>
        <w:spacing w:after="0" w:line="276" w:lineRule="auto"/>
        <w:ind w:firstLine="709"/>
        <w:jc w:val="both"/>
        <w:rPr>
          <w:rFonts w:asciiTheme="majorHAnsi" w:hAnsiTheme="majorHAnsi" w:cstheme="majorHAnsi"/>
          <w:sz w:val="24"/>
          <w:szCs w:val="24"/>
          <w:lang w:val="ro-MD"/>
        </w:rPr>
      </w:pPr>
    </w:p>
    <w:p w14:paraId="0F708B63" w14:textId="5CC0B37D" w:rsidR="00CE075B" w:rsidRPr="009772A3" w:rsidRDefault="00CE075B" w:rsidP="00C241F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Rezultatele reevaluării au fost aduse la </w:t>
      </w:r>
      <w:r w:rsidR="007A7E7D" w:rsidRPr="009772A3">
        <w:rPr>
          <w:rFonts w:asciiTheme="majorHAnsi" w:hAnsiTheme="majorHAnsi" w:cstheme="majorHAnsi"/>
          <w:sz w:val="24"/>
          <w:szCs w:val="24"/>
          <w:lang w:val="ro-MD"/>
        </w:rPr>
        <w:t>cunoștinț</w:t>
      </w:r>
      <w:r w:rsidR="007114A8" w:rsidRPr="009772A3">
        <w:rPr>
          <w:rFonts w:asciiTheme="majorHAnsi" w:hAnsiTheme="majorHAnsi" w:cstheme="majorHAnsi"/>
          <w:sz w:val="24"/>
          <w:szCs w:val="24"/>
          <w:lang w:val="ro-MD"/>
        </w:rPr>
        <w:t>ă</w:t>
      </w:r>
      <w:r w:rsidR="007A7E7D" w:rsidRPr="009772A3">
        <w:rPr>
          <w:rFonts w:asciiTheme="majorHAnsi" w:hAnsiTheme="majorHAnsi" w:cstheme="majorHAnsi"/>
          <w:sz w:val="24"/>
          <w:szCs w:val="24"/>
          <w:lang w:val="ro-MD"/>
        </w:rPr>
        <w:t xml:space="preserve"> acționarilor la 28.05.2009</w:t>
      </w:r>
      <w:r w:rsidR="007114A8" w:rsidRPr="009772A3">
        <w:rPr>
          <w:rFonts w:asciiTheme="majorHAnsi" w:hAnsiTheme="majorHAnsi" w:cstheme="majorHAnsi"/>
          <w:sz w:val="24"/>
          <w:szCs w:val="24"/>
          <w:lang w:val="ro-MD"/>
        </w:rPr>
        <w:t>,</w:t>
      </w:r>
      <w:r w:rsidR="007A7E7D" w:rsidRPr="009772A3">
        <w:rPr>
          <w:rFonts w:asciiTheme="majorHAnsi" w:hAnsiTheme="majorHAnsi" w:cstheme="majorHAnsi"/>
          <w:sz w:val="24"/>
          <w:szCs w:val="24"/>
          <w:lang w:val="ro-MD"/>
        </w:rPr>
        <w:t xml:space="preserve"> prin prezentarea Raportului de activitate a</w:t>
      </w:r>
      <w:r w:rsidR="00E440ED" w:rsidRPr="009772A3">
        <w:rPr>
          <w:rFonts w:asciiTheme="majorHAnsi" w:hAnsiTheme="majorHAnsi" w:cstheme="majorHAnsi"/>
          <w:sz w:val="24"/>
          <w:szCs w:val="24"/>
          <w:lang w:val="ro-MD"/>
        </w:rPr>
        <w:t>l</w:t>
      </w:r>
      <w:r w:rsidR="007A7E7D" w:rsidRPr="009772A3">
        <w:rPr>
          <w:rFonts w:asciiTheme="majorHAnsi" w:hAnsiTheme="majorHAnsi" w:cstheme="majorHAnsi"/>
          <w:sz w:val="24"/>
          <w:szCs w:val="24"/>
          <w:lang w:val="ro-MD"/>
        </w:rPr>
        <w:t xml:space="preserve"> Consiliului de administrație și </w:t>
      </w:r>
      <w:r w:rsidR="00E440ED" w:rsidRPr="009772A3">
        <w:rPr>
          <w:rFonts w:asciiTheme="majorHAnsi" w:hAnsiTheme="majorHAnsi" w:cstheme="majorHAnsi"/>
          <w:sz w:val="24"/>
          <w:szCs w:val="24"/>
          <w:lang w:val="ro-MD"/>
        </w:rPr>
        <w:t>a R</w:t>
      </w:r>
      <w:r w:rsidR="007A7E7D" w:rsidRPr="009772A3">
        <w:rPr>
          <w:rFonts w:asciiTheme="majorHAnsi" w:hAnsiTheme="majorHAnsi" w:cstheme="majorHAnsi"/>
          <w:sz w:val="24"/>
          <w:szCs w:val="24"/>
          <w:lang w:val="ro-MD"/>
        </w:rPr>
        <w:t>aportului financiar pe anul 2008, care au fost aprobate de acționari.</w:t>
      </w:r>
    </w:p>
    <w:p w14:paraId="763D8A19" w14:textId="40CB0D54" w:rsidR="00B84F30" w:rsidRPr="009772A3" w:rsidRDefault="00B84F30" w:rsidP="00C241F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Conform datelor BNM</w:t>
      </w:r>
      <w:r w:rsidR="007114A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30.09.2008 valoarea unui dolar SUA a constituit 10,3580 lei</w:t>
      </w:r>
      <w:r w:rsidR="00513BCC" w:rsidRPr="009772A3">
        <w:rPr>
          <w:rFonts w:asciiTheme="majorHAnsi" w:hAnsiTheme="majorHAnsi" w:cstheme="majorHAnsi"/>
          <w:sz w:val="24"/>
          <w:szCs w:val="24"/>
          <w:vertAlign w:val="superscript"/>
          <w:lang w:val="ro-MD"/>
        </w:rPr>
        <w:footnoteReference w:id="28"/>
      </w:r>
      <w:r w:rsidRPr="009772A3">
        <w:rPr>
          <w:rFonts w:asciiTheme="majorHAnsi" w:hAnsiTheme="majorHAnsi" w:cstheme="majorHAnsi"/>
          <w:sz w:val="24"/>
          <w:szCs w:val="24"/>
          <w:lang w:val="ro-MD"/>
        </w:rPr>
        <w:t>, astfel</w:t>
      </w:r>
      <w:r w:rsidR="007114A8" w:rsidRPr="009772A3">
        <w:rPr>
          <w:rFonts w:asciiTheme="majorHAnsi" w:hAnsiTheme="majorHAnsi" w:cstheme="majorHAnsi"/>
          <w:sz w:val="24"/>
          <w:szCs w:val="24"/>
          <w:lang w:val="ro-MD"/>
        </w:rPr>
        <w:t xml:space="preserve"> că</w:t>
      </w:r>
      <w:r w:rsidRPr="009772A3">
        <w:rPr>
          <w:rFonts w:asciiTheme="majorHAnsi" w:hAnsiTheme="majorHAnsi" w:cstheme="majorHAnsi"/>
          <w:sz w:val="24"/>
          <w:szCs w:val="24"/>
          <w:lang w:val="ro-MD"/>
        </w:rPr>
        <w:t xml:space="preserve"> valoarea aportului </w:t>
      </w:r>
      <w:r w:rsidR="007B2C98" w:rsidRPr="009772A3">
        <w:rPr>
          <w:rFonts w:asciiTheme="majorHAnsi" w:hAnsiTheme="majorHAnsi" w:cstheme="majorHAnsi"/>
          <w:sz w:val="24"/>
          <w:szCs w:val="24"/>
          <w:lang w:val="ro-MD"/>
        </w:rPr>
        <w:t xml:space="preserve">Guvernului </w:t>
      </w:r>
      <w:r w:rsidRPr="009772A3">
        <w:rPr>
          <w:rFonts w:asciiTheme="majorHAnsi" w:hAnsiTheme="majorHAnsi" w:cstheme="majorHAnsi"/>
          <w:sz w:val="24"/>
          <w:szCs w:val="24"/>
          <w:lang w:val="ro-MD"/>
        </w:rPr>
        <w:t>RM în capitalul social al SA Moldovagaz trebuia majorat</w:t>
      </w:r>
      <w:r w:rsidR="007B2C98"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cu 3</w:t>
      </w:r>
      <w:r w:rsidR="00A0576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364</w:t>
      </w:r>
      <w:r w:rsidR="00A05764" w:rsidRPr="009772A3">
        <w:rPr>
          <w:rFonts w:asciiTheme="majorHAnsi" w:hAnsiTheme="majorHAnsi" w:cstheme="majorHAnsi"/>
          <w:sz w:val="24"/>
          <w:szCs w:val="24"/>
          <w:lang w:val="ro-MD"/>
        </w:rPr>
        <w:t>.435,4</w:t>
      </w:r>
      <w:r w:rsidRPr="009772A3">
        <w:rPr>
          <w:rFonts w:asciiTheme="majorHAnsi" w:hAnsiTheme="majorHAnsi" w:cstheme="majorHAnsi"/>
          <w:sz w:val="24"/>
          <w:szCs w:val="24"/>
          <w:lang w:val="ro-MD"/>
        </w:rPr>
        <w:t xml:space="preserve"> mii lei (324</w:t>
      </w:r>
      <w:r w:rsidR="00917AF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809,</w:t>
      </w:r>
      <w:r w:rsidR="00917AFA" w:rsidRPr="009772A3">
        <w:rPr>
          <w:rFonts w:asciiTheme="majorHAnsi" w:hAnsiTheme="majorHAnsi" w:cstheme="majorHAnsi"/>
          <w:sz w:val="24"/>
          <w:szCs w:val="24"/>
          <w:lang w:val="ro-MD"/>
        </w:rPr>
        <w:t>2</w:t>
      </w:r>
      <w:r w:rsidRPr="009772A3">
        <w:rPr>
          <w:rFonts w:asciiTheme="majorHAnsi" w:hAnsiTheme="majorHAnsi" w:cstheme="majorHAnsi"/>
          <w:sz w:val="24"/>
          <w:szCs w:val="24"/>
          <w:lang w:val="ro-MD"/>
        </w:rPr>
        <w:t xml:space="preserve"> mii dolari </w:t>
      </w:r>
      <w:r w:rsidRPr="00ED3D9B">
        <w:rPr>
          <w:rFonts w:asciiTheme="majorHAnsi" w:hAnsiTheme="majorHAnsi" w:cstheme="majorHAnsi"/>
          <w:sz w:val="24"/>
          <w:szCs w:val="24"/>
          <w:lang w:val="ro-MD"/>
        </w:rPr>
        <w:t xml:space="preserve">SUA), </w:t>
      </w:r>
      <w:r w:rsidR="007B2C98" w:rsidRPr="00ED3D9B">
        <w:rPr>
          <w:rFonts w:asciiTheme="majorHAnsi" w:hAnsiTheme="majorHAnsi" w:cstheme="majorHAnsi"/>
          <w:sz w:val="24"/>
          <w:szCs w:val="24"/>
          <w:lang w:val="ro-MD"/>
        </w:rPr>
        <w:t xml:space="preserve">fiind necesară reflectarea acesteia la contul „datorii față de fondatori”, </w:t>
      </w:r>
      <w:r w:rsidRPr="00ED3D9B">
        <w:rPr>
          <w:rFonts w:asciiTheme="majorHAnsi" w:hAnsiTheme="majorHAnsi" w:cstheme="majorHAnsi"/>
          <w:sz w:val="24"/>
          <w:szCs w:val="24"/>
          <w:lang w:val="ro-MD"/>
        </w:rPr>
        <w:t xml:space="preserve">însă </w:t>
      </w:r>
      <w:r w:rsidR="007B2C98" w:rsidRPr="00ED3D9B">
        <w:rPr>
          <w:rFonts w:asciiTheme="majorHAnsi" w:hAnsiTheme="majorHAnsi" w:cstheme="majorHAnsi"/>
          <w:sz w:val="24"/>
          <w:szCs w:val="24"/>
          <w:lang w:val="ro-MD"/>
        </w:rPr>
        <w:t xml:space="preserve">această sumă a fost </w:t>
      </w:r>
      <w:r w:rsidRPr="00CF3AD4">
        <w:rPr>
          <w:rFonts w:asciiTheme="majorHAnsi" w:hAnsiTheme="majorHAnsi" w:cstheme="majorHAnsi"/>
          <w:sz w:val="24"/>
          <w:szCs w:val="24"/>
          <w:lang w:val="ro-MD"/>
        </w:rPr>
        <w:t>reflectat</w:t>
      </w:r>
      <w:r w:rsidR="007B2C98" w:rsidRPr="00CF3AD4">
        <w:rPr>
          <w:rFonts w:asciiTheme="majorHAnsi" w:hAnsiTheme="majorHAnsi" w:cstheme="majorHAnsi"/>
          <w:sz w:val="24"/>
          <w:szCs w:val="24"/>
          <w:lang w:val="ro-MD"/>
        </w:rPr>
        <w:t>ă</w:t>
      </w:r>
      <w:r w:rsidRPr="00CF3AD4">
        <w:rPr>
          <w:rFonts w:asciiTheme="majorHAnsi" w:hAnsiTheme="majorHAnsi" w:cstheme="majorHAnsi"/>
          <w:sz w:val="24"/>
          <w:szCs w:val="24"/>
          <w:lang w:val="ro-MD"/>
        </w:rPr>
        <w:t xml:space="preserve"> </w:t>
      </w:r>
      <w:r w:rsidR="007B2C98" w:rsidRPr="00CF3AD4">
        <w:rPr>
          <w:rFonts w:asciiTheme="majorHAnsi" w:hAnsiTheme="majorHAnsi" w:cstheme="majorHAnsi"/>
          <w:sz w:val="24"/>
          <w:szCs w:val="24"/>
          <w:lang w:val="ro-MD"/>
        </w:rPr>
        <w:t xml:space="preserve">în componența </w:t>
      </w:r>
      <w:r w:rsidRPr="00CF3AD4">
        <w:rPr>
          <w:rFonts w:asciiTheme="majorHAnsi" w:hAnsiTheme="majorHAnsi" w:cstheme="majorHAnsi"/>
          <w:sz w:val="24"/>
          <w:szCs w:val="24"/>
          <w:lang w:val="ro-MD"/>
        </w:rPr>
        <w:t>capital</w:t>
      </w:r>
      <w:r w:rsidR="007B2C98" w:rsidRPr="00ED3D9B">
        <w:rPr>
          <w:rFonts w:asciiTheme="majorHAnsi" w:hAnsiTheme="majorHAnsi" w:cstheme="majorHAnsi"/>
          <w:sz w:val="24"/>
          <w:szCs w:val="24"/>
          <w:lang w:val="ro-MD"/>
        </w:rPr>
        <w:t>ului</w:t>
      </w:r>
      <w:r w:rsidRPr="00ED3D9B">
        <w:rPr>
          <w:rFonts w:asciiTheme="majorHAnsi" w:hAnsiTheme="majorHAnsi" w:cstheme="majorHAnsi"/>
          <w:sz w:val="24"/>
          <w:szCs w:val="24"/>
          <w:lang w:val="ro-MD"/>
        </w:rPr>
        <w:t xml:space="preserve"> propriu. Ulterior, în anul 2014</w:t>
      </w:r>
      <w:r w:rsidR="007114A8" w:rsidRPr="00ED3D9B">
        <w:rPr>
          <w:rFonts w:asciiTheme="majorHAnsi" w:hAnsiTheme="majorHAnsi" w:cstheme="majorHAnsi"/>
          <w:sz w:val="24"/>
          <w:szCs w:val="24"/>
          <w:lang w:val="ro-MD"/>
        </w:rPr>
        <w:t>,</w:t>
      </w:r>
      <w:r w:rsidRPr="00ED3D9B">
        <w:rPr>
          <w:rFonts w:asciiTheme="majorHAnsi" w:hAnsiTheme="majorHAnsi" w:cstheme="majorHAnsi"/>
          <w:sz w:val="24"/>
          <w:szCs w:val="24"/>
          <w:lang w:val="ro-MD"/>
        </w:rPr>
        <w:t xml:space="preserve"> în baza prevederilor noilor Standarde Naționale de Contabilitate</w:t>
      </w:r>
      <w:r w:rsidR="007114A8" w:rsidRPr="00ED3D9B">
        <w:rPr>
          <w:rFonts w:asciiTheme="majorHAnsi" w:hAnsiTheme="majorHAnsi" w:cstheme="majorHAnsi"/>
          <w:sz w:val="24"/>
          <w:szCs w:val="24"/>
          <w:lang w:val="ro-MD"/>
        </w:rPr>
        <w:t xml:space="preserve">, </w:t>
      </w:r>
      <w:r w:rsidR="007114A8" w:rsidRPr="00CF3AD4">
        <w:rPr>
          <w:rFonts w:asciiTheme="majorHAnsi" w:hAnsiTheme="majorHAnsi" w:cstheme="majorHAnsi"/>
          <w:sz w:val="24"/>
          <w:szCs w:val="24"/>
          <w:lang w:val="ro-MD"/>
        </w:rPr>
        <w:t>această reevaluare</w:t>
      </w:r>
      <w:r w:rsidRPr="00ED3D9B">
        <w:rPr>
          <w:rFonts w:asciiTheme="majorHAnsi" w:hAnsiTheme="majorHAnsi" w:cstheme="majorHAnsi"/>
          <w:sz w:val="24"/>
          <w:szCs w:val="24"/>
          <w:lang w:val="ro-MD"/>
        </w:rPr>
        <w:t xml:space="preserve"> </w:t>
      </w:r>
      <w:r w:rsidR="007B2C98" w:rsidRPr="00ED3D9B">
        <w:rPr>
          <w:rFonts w:asciiTheme="majorHAnsi" w:hAnsiTheme="majorHAnsi" w:cstheme="majorHAnsi"/>
          <w:sz w:val="24"/>
          <w:szCs w:val="24"/>
          <w:lang w:val="ro-MD"/>
        </w:rPr>
        <w:t xml:space="preserve">de 3.364.435,4 mii lei, </w:t>
      </w:r>
      <w:r w:rsidRPr="00ED3D9B">
        <w:rPr>
          <w:rFonts w:asciiTheme="majorHAnsi" w:hAnsiTheme="majorHAnsi" w:cstheme="majorHAnsi"/>
          <w:sz w:val="24"/>
          <w:szCs w:val="24"/>
          <w:lang w:val="ro-MD"/>
        </w:rPr>
        <w:t>a fost reflec</w:t>
      </w:r>
      <w:r w:rsidRPr="009772A3">
        <w:rPr>
          <w:rFonts w:asciiTheme="majorHAnsi" w:hAnsiTheme="majorHAnsi" w:cstheme="majorHAnsi"/>
          <w:sz w:val="24"/>
          <w:szCs w:val="24"/>
          <w:lang w:val="ro-MD"/>
        </w:rPr>
        <w:t xml:space="preserve">tată la rezultatele financiare ale SA Moldovagaz. </w:t>
      </w:r>
    </w:p>
    <w:p w14:paraId="24FA3F07" w14:textId="6DCCED23" w:rsidR="00B84F30" w:rsidRPr="009772A3" w:rsidRDefault="00B84F30" w:rsidP="00803294">
      <w:pPr>
        <w:pStyle w:val="Heading1"/>
        <w:numPr>
          <w:ilvl w:val="2"/>
          <w:numId w:val="2"/>
        </w:numPr>
        <w:spacing w:line="276" w:lineRule="auto"/>
        <w:ind w:left="0" w:firstLine="0"/>
        <w:jc w:val="both"/>
        <w:rPr>
          <w:color w:val="auto"/>
          <w:lang w:val="ro-MD"/>
        </w:rPr>
      </w:pPr>
      <w:r w:rsidRPr="009772A3">
        <w:rPr>
          <w:color w:val="auto"/>
          <w:lang w:val="ro-MD"/>
        </w:rPr>
        <w:t xml:space="preserve"> </w:t>
      </w:r>
      <w:bookmarkStart w:id="34" w:name="_Toc119496388"/>
      <w:r w:rsidRPr="009772A3">
        <w:rPr>
          <w:color w:val="auto"/>
          <w:lang w:val="ro-MD"/>
        </w:rPr>
        <w:t>Valoarea patrimoniului depus de acționari în capitalul social al SA Moldovagaz (anul 1999), din contul căr</w:t>
      </w:r>
      <w:r w:rsidR="007114A8" w:rsidRPr="009772A3">
        <w:rPr>
          <w:color w:val="auto"/>
          <w:lang w:val="ro-MD"/>
        </w:rPr>
        <w:t>eia</w:t>
      </w:r>
      <w:r w:rsidRPr="009772A3">
        <w:rPr>
          <w:color w:val="auto"/>
          <w:lang w:val="ro-MD"/>
        </w:rPr>
        <w:t xml:space="preserve"> urmau a fi diminuate datoriile pentru gazele naturale livrate de </w:t>
      </w:r>
      <w:r w:rsidR="00D428D4" w:rsidRPr="009772A3">
        <w:rPr>
          <w:color w:val="auto"/>
          <w:lang w:val="ro-MD"/>
        </w:rPr>
        <w:t>S</w:t>
      </w:r>
      <w:r w:rsidRPr="009772A3">
        <w:rPr>
          <w:color w:val="auto"/>
          <w:lang w:val="ro-MD"/>
        </w:rPr>
        <w:t>A Gazprom</w:t>
      </w:r>
      <w:r w:rsidR="007114A8" w:rsidRPr="009772A3">
        <w:rPr>
          <w:color w:val="auto"/>
          <w:lang w:val="ro-MD"/>
        </w:rPr>
        <w:t>,</w:t>
      </w:r>
      <w:r w:rsidRPr="009772A3">
        <w:rPr>
          <w:color w:val="auto"/>
          <w:lang w:val="ro-MD"/>
        </w:rPr>
        <w:t xml:space="preserve"> este dificil de determinat, fiind supus</w:t>
      </w:r>
      <w:r w:rsidR="007114A8" w:rsidRPr="009772A3">
        <w:rPr>
          <w:color w:val="auto"/>
          <w:lang w:val="ro-MD"/>
        </w:rPr>
        <w:t>ă</w:t>
      </w:r>
      <w:r w:rsidRPr="009772A3">
        <w:rPr>
          <w:color w:val="auto"/>
          <w:lang w:val="ro-MD"/>
        </w:rPr>
        <w:t xml:space="preserve"> unui risc înalt de diminuare.</w:t>
      </w:r>
      <w:bookmarkEnd w:id="34"/>
    </w:p>
    <w:p w14:paraId="2F50BCB8" w14:textId="5BC80B44" w:rsidR="00B84F30" w:rsidRPr="009772A3" w:rsidRDefault="00B84F30" w:rsidP="00625528">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în conformitate cu Acordul de societate în </w:t>
      </w:r>
      <w:r w:rsidR="007114A8"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 xml:space="preserve">apitalul </w:t>
      </w:r>
      <w:r w:rsidR="007114A8" w:rsidRPr="009772A3">
        <w:rPr>
          <w:rFonts w:asciiTheme="majorHAnsi" w:hAnsiTheme="majorHAnsi" w:cstheme="majorHAnsi"/>
          <w:sz w:val="24"/>
          <w:szCs w:val="24"/>
          <w:lang w:val="ro-MD"/>
        </w:rPr>
        <w:t>s</w:t>
      </w:r>
      <w:r w:rsidRPr="009772A3">
        <w:rPr>
          <w:rFonts w:asciiTheme="majorHAnsi" w:hAnsiTheme="majorHAnsi" w:cstheme="majorHAnsi"/>
          <w:sz w:val="24"/>
          <w:szCs w:val="24"/>
          <w:lang w:val="ro-MD"/>
        </w:rPr>
        <w:t>ocial al SA Moldovagaz trebuia depus patrimoniu (active nete) în valoare de 1</w:t>
      </w:r>
      <w:r w:rsidR="007C476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332</w:t>
      </w:r>
      <w:r w:rsidR="007C476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908,0 mii lei, la momentul fondării </w:t>
      </w:r>
      <w:r w:rsidR="007114A8" w:rsidRPr="009772A3">
        <w:rPr>
          <w:rFonts w:asciiTheme="majorHAnsi" w:hAnsiTheme="majorHAnsi" w:cstheme="majorHAnsi"/>
          <w:sz w:val="24"/>
          <w:szCs w:val="24"/>
          <w:lang w:val="ro-MD"/>
        </w:rPr>
        <w:t xml:space="preserve">întreprinderii </w:t>
      </w:r>
      <w:r w:rsidRPr="009772A3">
        <w:rPr>
          <w:rFonts w:asciiTheme="majorHAnsi" w:hAnsiTheme="majorHAnsi" w:cstheme="majorHAnsi"/>
          <w:sz w:val="24"/>
          <w:szCs w:val="24"/>
          <w:lang w:val="ro-MD"/>
        </w:rPr>
        <w:t>(01.07.1999) activele nete depuse de entitățile fondatoare constituia</w:t>
      </w:r>
      <w:r w:rsidR="007114A8"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doar 713</w:t>
      </w:r>
      <w:r w:rsidR="00D0259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817,</w:t>
      </w:r>
      <w:r w:rsidR="00920F0A" w:rsidRPr="009772A3">
        <w:rPr>
          <w:rFonts w:asciiTheme="majorHAnsi" w:hAnsiTheme="majorHAnsi" w:cstheme="majorHAnsi"/>
          <w:sz w:val="24"/>
          <w:szCs w:val="24"/>
          <w:lang w:val="ro-MD"/>
        </w:rPr>
        <w:t>3</w:t>
      </w:r>
      <w:r w:rsidRPr="009772A3">
        <w:rPr>
          <w:rFonts w:asciiTheme="majorHAnsi" w:hAnsiTheme="majorHAnsi" w:cstheme="majorHAnsi"/>
          <w:sz w:val="24"/>
          <w:szCs w:val="24"/>
          <w:lang w:val="ro-MD"/>
        </w:rPr>
        <w:t xml:space="preserve"> mii lei</w:t>
      </w:r>
      <w:r w:rsidR="007114A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cu 619</w:t>
      </w:r>
      <w:r w:rsidR="00D0259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090,</w:t>
      </w:r>
      <w:r w:rsidR="00920F0A" w:rsidRPr="009772A3">
        <w:rPr>
          <w:rFonts w:asciiTheme="majorHAnsi" w:hAnsiTheme="majorHAnsi" w:cstheme="majorHAnsi"/>
          <w:sz w:val="24"/>
          <w:szCs w:val="24"/>
          <w:lang w:val="ro-MD"/>
        </w:rPr>
        <w:t>9</w:t>
      </w:r>
      <w:r w:rsidRPr="009772A3">
        <w:rPr>
          <w:rFonts w:asciiTheme="majorHAnsi" w:hAnsiTheme="majorHAnsi" w:cstheme="majorHAnsi"/>
          <w:sz w:val="24"/>
          <w:szCs w:val="24"/>
          <w:lang w:val="ro-MD"/>
        </w:rPr>
        <w:t xml:space="preserve"> mii lei mai puțin, </w:t>
      </w:r>
      <w:r w:rsidR="007114A8" w:rsidRPr="009772A3">
        <w:rPr>
          <w:rFonts w:asciiTheme="majorHAnsi" w:hAnsiTheme="majorHAnsi" w:cstheme="majorHAnsi"/>
          <w:sz w:val="24"/>
          <w:szCs w:val="24"/>
          <w:lang w:val="ro-MD"/>
        </w:rPr>
        <w:t>fiind</w:t>
      </w:r>
      <w:r w:rsidRPr="009772A3">
        <w:rPr>
          <w:rFonts w:asciiTheme="majorHAnsi" w:hAnsiTheme="majorHAnsi" w:cstheme="majorHAnsi"/>
          <w:sz w:val="24"/>
          <w:szCs w:val="24"/>
          <w:lang w:val="ro-MD"/>
        </w:rPr>
        <w:t xml:space="preserve"> reflectate </w:t>
      </w:r>
      <w:r w:rsidR="00E67DE6" w:rsidRPr="009772A3">
        <w:rPr>
          <w:rFonts w:asciiTheme="majorHAnsi" w:hAnsiTheme="majorHAnsi" w:cstheme="majorHAnsi"/>
          <w:sz w:val="24"/>
          <w:szCs w:val="24"/>
          <w:lang w:val="ro-MD"/>
        </w:rPr>
        <w:t>la contul bilanțier „Capital nevărsat”.</w:t>
      </w:r>
    </w:p>
    <w:p w14:paraId="4764BC21" w14:textId="77777777" w:rsidR="00B84F30" w:rsidRPr="009772A3" w:rsidRDefault="00B84F30" w:rsidP="00625528">
      <w:pPr>
        <w:spacing w:after="0" w:line="276" w:lineRule="auto"/>
        <w:ind w:firstLine="709"/>
        <w:jc w:val="both"/>
        <w:rPr>
          <w:rFonts w:asciiTheme="majorHAnsi" w:hAnsiTheme="majorHAnsi" w:cstheme="majorHAnsi"/>
          <w:b/>
          <w:sz w:val="24"/>
          <w:szCs w:val="24"/>
          <w:lang w:val="ro-MD"/>
        </w:rPr>
      </w:pPr>
      <w:r w:rsidRPr="009772A3">
        <w:rPr>
          <w:rFonts w:asciiTheme="majorHAnsi" w:hAnsiTheme="majorHAnsi" w:cstheme="majorHAnsi"/>
          <w:b/>
          <w:sz w:val="24"/>
          <w:szCs w:val="24"/>
          <w:lang w:val="ro-MD"/>
        </w:rPr>
        <w:t>Determinarea valorii activelor nete (patrimoniului) ce au fost depuse în capitalul statutar al SA Moldovagaz, precum și a creanțelor și datoriilor față de fondatori s-a efectuat cu multiple deficiențe de evidență, delimitare și identificare.</w:t>
      </w:r>
    </w:p>
    <w:p w14:paraId="7E921D4B" w14:textId="6FF5A534" w:rsidR="00B84F30" w:rsidRPr="009772A3" w:rsidRDefault="00B84F30" w:rsidP="00557237">
      <w:pPr>
        <w:pStyle w:val="ListParagraph"/>
        <w:numPr>
          <w:ilvl w:val="0"/>
          <w:numId w:val="21"/>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Un aspect important care nu a fost luat în considerare la identificarea patrimoniului depus, a reprezentat faptul că ace</w:t>
      </w:r>
      <w:r w:rsidR="00D428D4"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ași entitate </w:t>
      </w:r>
      <w:r w:rsidR="00557237" w:rsidRPr="009772A3">
        <w:rPr>
          <w:rFonts w:asciiTheme="majorHAnsi" w:hAnsiTheme="majorHAnsi" w:cstheme="majorHAnsi"/>
          <w:sz w:val="24"/>
          <w:szCs w:val="24"/>
          <w:lang w:val="ro-MD"/>
        </w:rPr>
        <w:t>(SA Moldovatransgaz)</w:t>
      </w:r>
      <w:r w:rsidR="00557237">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înregistra în evidență at</w:t>
      </w:r>
      <w:r w:rsidR="00D428D4"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 patrimoniul fondatorilor</w:t>
      </w:r>
      <w:r w:rsidR="00D428D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w:t>
      </w:r>
      <w:r w:rsidR="00D428D4"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t și datoriile față de SA Gazprom, ca urmare nu au fost corect identificate veniturile și pierderile fondatorilor la depunerea patrimoniului în capitalul social. De exemplu, </w:t>
      </w:r>
      <w:r w:rsidR="00D428D4"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onform contractului de societate</w:t>
      </w:r>
      <w:r w:rsidR="00D428D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depunerea patrimoniului și stingerea datoriilor urma</w:t>
      </w:r>
      <w:r w:rsidR="00D428D4"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a fi efectuat</w:t>
      </w:r>
      <w:r w:rsidR="00D428D4"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conform situației la 01.07.1997 (cursul de schimb al 1 </w:t>
      </w:r>
      <w:r w:rsidR="00D428D4" w:rsidRPr="009772A3">
        <w:rPr>
          <w:rFonts w:asciiTheme="majorHAnsi" w:hAnsiTheme="majorHAnsi" w:cstheme="majorHAnsi"/>
          <w:sz w:val="24"/>
          <w:szCs w:val="24"/>
          <w:lang w:val="ro-MD"/>
        </w:rPr>
        <w:t>dolar SUA</w:t>
      </w:r>
      <w:r w:rsidRPr="009772A3">
        <w:rPr>
          <w:rFonts w:asciiTheme="majorHAnsi" w:hAnsiTheme="majorHAnsi" w:cstheme="majorHAnsi"/>
          <w:sz w:val="24"/>
          <w:szCs w:val="24"/>
          <w:lang w:val="ro-MD"/>
        </w:rPr>
        <w:t xml:space="preserve"> constituia 4,5875 lei)</w:t>
      </w:r>
      <w:r w:rsidR="00D428D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timp ce </w:t>
      </w:r>
      <w:r w:rsidR="00D428D4" w:rsidRPr="009772A3">
        <w:rPr>
          <w:rFonts w:asciiTheme="majorHAnsi" w:hAnsiTheme="majorHAnsi" w:cstheme="majorHAnsi"/>
          <w:sz w:val="24"/>
          <w:szCs w:val="24"/>
          <w:lang w:val="ro-MD"/>
        </w:rPr>
        <w:t>de facto</w:t>
      </w:r>
      <w:r w:rsidRPr="009772A3">
        <w:rPr>
          <w:rFonts w:asciiTheme="majorHAnsi" w:hAnsiTheme="majorHAnsi" w:cstheme="majorHAnsi"/>
          <w:sz w:val="24"/>
          <w:szCs w:val="24"/>
          <w:lang w:val="ro-MD"/>
        </w:rPr>
        <w:t xml:space="preserve"> patrimoniul a fost depus la 01.07.1999 (cursul de schimb al 1 </w:t>
      </w:r>
      <w:r w:rsidR="00D428D4" w:rsidRPr="009772A3">
        <w:rPr>
          <w:rFonts w:asciiTheme="majorHAnsi" w:hAnsiTheme="majorHAnsi" w:cstheme="majorHAnsi"/>
          <w:sz w:val="24"/>
          <w:szCs w:val="24"/>
          <w:lang w:val="ro-MD"/>
        </w:rPr>
        <w:t>dolar SUA</w:t>
      </w:r>
      <w:r w:rsidRPr="009772A3">
        <w:rPr>
          <w:rFonts w:asciiTheme="majorHAnsi" w:hAnsiTheme="majorHAnsi" w:cstheme="majorHAnsi"/>
          <w:sz w:val="24"/>
          <w:szCs w:val="24"/>
          <w:lang w:val="ro-MD"/>
        </w:rPr>
        <w:t xml:space="preserve"> constituia 11,3444 lei). </w:t>
      </w:r>
      <w:r w:rsidR="00A86349">
        <w:rPr>
          <w:rFonts w:asciiTheme="majorHAnsi" w:hAnsiTheme="majorHAnsi" w:cstheme="majorHAnsi"/>
          <w:sz w:val="24"/>
          <w:szCs w:val="24"/>
          <w:lang w:val="ro-MD"/>
        </w:rPr>
        <w:t>Astfel</w:t>
      </w:r>
      <w:r w:rsidRPr="009772A3">
        <w:rPr>
          <w:rFonts w:asciiTheme="majorHAnsi" w:hAnsiTheme="majorHAnsi" w:cstheme="majorHAnsi"/>
          <w:sz w:val="24"/>
          <w:szCs w:val="24"/>
          <w:lang w:val="ro-MD"/>
        </w:rPr>
        <w:t>, diferența negativă de curs valutar aferentă datoriei față de SA Gazprom</w:t>
      </w:r>
      <w:r w:rsidR="001F602F">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trebuia stinsă prin depunerea patrimoniului de către ceilalți acționari (Guvernul RM și partea Transnistreană)</w:t>
      </w:r>
      <w:r w:rsidR="001F602F">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reprezenta pierderea SA Gazprom și veniturile celorlalți acționari</w:t>
      </w:r>
      <w:r w:rsidRPr="001F602F">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Deși SA Moldovatransgaz a înregistrat la cheltuieli și la majorarea datoriei diferența respectivă de curs valutar cu valoarea acesteia</w:t>
      </w:r>
      <w:r w:rsidR="00D428D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activele nete ale SA Moldovatransgaz depuse în capitalul social al SA Moldovagaz</w:t>
      </w:r>
      <w:r w:rsidR="00D428D4" w:rsidRPr="009772A3">
        <w:rPr>
          <w:rFonts w:asciiTheme="majorHAnsi" w:hAnsiTheme="majorHAnsi" w:cstheme="majorHAnsi"/>
          <w:sz w:val="24"/>
          <w:szCs w:val="24"/>
          <w:lang w:val="ro-MD"/>
        </w:rPr>
        <w:t xml:space="preserve"> nu au fost ajustate (majorate)</w:t>
      </w:r>
      <w:r w:rsidRPr="009772A3">
        <w:rPr>
          <w:rFonts w:asciiTheme="majorHAnsi" w:hAnsiTheme="majorHAnsi" w:cstheme="majorHAnsi"/>
          <w:sz w:val="24"/>
          <w:szCs w:val="24"/>
          <w:lang w:val="ro-MD"/>
        </w:rPr>
        <w:t>. De menționat că</w:t>
      </w:r>
      <w:r w:rsidR="009C7A9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9C7A9E" w:rsidRPr="009772A3">
        <w:rPr>
          <w:rFonts w:asciiTheme="majorHAnsi" w:hAnsiTheme="majorHAnsi" w:cstheme="majorHAnsi"/>
          <w:sz w:val="24"/>
          <w:szCs w:val="24"/>
          <w:lang w:val="ro-MD"/>
        </w:rPr>
        <w:t xml:space="preserve">în septembrie 2009, </w:t>
      </w:r>
      <w:r w:rsidRPr="009772A3">
        <w:rPr>
          <w:rFonts w:asciiTheme="majorHAnsi" w:hAnsiTheme="majorHAnsi" w:cstheme="majorHAnsi"/>
          <w:sz w:val="24"/>
          <w:szCs w:val="24"/>
          <w:lang w:val="ro-MD"/>
        </w:rPr>
        <w:t xml:space="preserve">SA Moldovagaz a reflectat la </w:t>
      </w:r>
      <w:r w:rsidR="004D7E13" w:rsidRPr="009772A3">
        <w:rPr>
          <w:rFonts w:asciiTheme="majorHAnsi" w:hAnsiTheme="majorHAnsi" w:cstheme="majorHAnsi"/>
          <w:sz w:val="24"/>
          <w:szCs w:val="24"/>
          <w:lang w:val="ro-MD"/>
        </w:rPr>
        <w:t>corectarea rezultatelor (</w:t>
      </w:r>
      <w:r w:rsidRPr="009772A3">
        <w:rPr>
          <w:rFonts w:asciiTheme="majorHAnsi" w:hAnsiTheme="majorHAnsi" w:cstheme="majorHAnsi"/>
          <w:sz w:val="24"/>
          <w:szCs w:val="24"/>
          <w:lang w:val="ro-MD"/>
        </w:rPr>
        <w:t>venituril</w:t>
      </w:r>
      <w:r w:rsidR="009C7A9E" w:rsidRPr="009772A3">
        <w:rPr>
          <w:rFonts w:asciiTheme="majorHAnsi" w:hAnsiTheme="majorHAnsi" w:cstheme="majorHAnsi"/>
          <w:sz w:val="24"/>
          <w:szCs w:val="24"/>
          <w:lang w:val="ro-MD"/>
        </w:rPr>
        <w:t>or</w:t>
      </w:r>
      <w:r w:rsidR="004D7E1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perioadelor precedente (</w:t>
      </w:r>
      <w:r w:rsidR="00557237">
        <w:rPr>
          <w:rFonts w:asciiTheme="majorHAnsi" w:hAnsiTheme="majorHAnsi" w:cstheme="majorHAnsi"/>
          <w:sz w:val="24"/>
          <w:szCs w:val="24"/>
          <w:lang w:val="ro-MD"/>
        </w:rPr>
        <w:t>CT</w:t>
      </w:r>
      <w:r w:rsidR="00557237"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331) diferența de curs </w:t>
      </w:r>
      <w:r w:rsidR="00557237">
        <w:rPr>
          <w:rFonts w:asciiTheme="majorHAnsi" w:hAnsiTheme="majorHAnsi" w:cstheme="majorHAnsi"/>
          <w:sz w:val="24"/>
          <w:szCs w:val="24"/>
          <w:lang w:val="ro-MD"/>
        </w:rPr>
        <w:t xml:space="preserve">valutar </w:t>
      </w:r>
      <w:r w:rsidRPr="009772A3">
        <w:rPr>
          <w:rFonts w:asciiTheme="majorHAnsi" w:hAnsiTheme="majorHAnsi" w:cstheme="majorHAnsi"/>
          <w:sz w:val="24"/>
          <w:szCs w:val="24"/>
          <w:lang w:val="ro-MD"/>
        </w:rPr>
        <w:t>existen</w:t>
      </w:r>
      <w:r w:rsidR="007C476A" w:rsidRPr="009772A3">
        <w:rPr>
          <w:rFonts w:asciiTheme="majorHAnsi" w:hAnsiTheme="majorHAnsi" w:cstheme="majorHAnsi"/>
          <w:sz w:val="24"/>
          <w:szCs w:val="24"/>
          <w:lang w:val="ro-MD"/>
        </w:rPr>
        <w:t>tă în decembrie 2001 (495.317,3</w:t>
      </w:r>
      <w:r w:rsidRPr="009772A3">
        <w:rPr>
          <w:rFonts w:asciiTheme="majorHAnsi" w:hAnsiTheme="majorHAnsi" w:cstheme="majorHAnsi"/>
          <w:sz w:val="24"/>
          <w:szCs w:val="24"/>
          <w:lang w:val="ro-MD"/>
        </w:rPr>
        <w:t xml:space="preserve"> mii lei)</w:t>
      </w:r>
      <w:r w:rsidR="009C7A9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comparativ cu cursul existent la data de 01.07.1997, fără a ține cont că veniturile respective </w:t>
      </w:r>
      <w:r w:rsidR="00760A07" w:rsidRPr="009772A3">
        <w:rPr>
          <w:rFonts w:asciiTheme="majorHAnsi" w:hAnsiTheme="majorHAnsi" w:cstheme="majorHAnsi"/>
          <w:sz w:val="24"/>
          <w:szCs w:val="24"/>
          <w:lang w:val="ro-MD"/>
        </w:rPr>
        <w:t>aparțin</w:t>
      </w:r>
      <w:r w:rsidRPr="009772A3">
        <w:rPr>
          <w:rFonts w:asciiTheme="majorHAnsi" w:hAnsiTheme="majorHAnsi" w:cstheme="majorHAnsi"/>
          <w:sz w:val="24"/>
          <w:szCs w:val="24"/>
          <w:lang w:val="ro-MD"/>
        </w:rPr>
        <w:t xml:space="preserve"> SA Moldovagaz doar pentru perioada 01.07.1999 - decembrie 2001. Ca urmare, valoarea activelor nete ale Moldovatransgaz și ale Tiraspoltransgaz depuse în capitalul social al SA Moldovagaz urmau a fi majorate cu 319,6 mil.lei și</w:t>
      </w:r>
      <w:r w:rsidR="009C7A9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respectiv</w:t>
      </w:r>
      <w:r w:rsidR="009C7A9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85,6 mil.lei.   </w:t>
      </w:r>
    </w:p>
    <w:p w14:paraId="5436131F" w14:textId="444462E2" w:rsidR="00760A07" w:rsidRPr="009772A3" w:rsidRDefault="00760A07" w:rsidP="00760A07">
      <w:pPr>
        <w:shd w:val="clear" w:color="auto" w:fill="FFFFFF"/>
        <w:spacing w:after="0" w:line="240" w:lineRule="auto"/>
        <w:jc w:val="right"/>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Tabelul nr.4.1.</w:t>
      </w:r>
      <w:r w:rsidR="00803294">
        <w:rPr>
          <w:rFonts w:asciiTheme="majorHAnsi" w:eastAsia="Times New Roman" w:hAnsiTheme="majorHAnsi" w:cstheme="majorHAnsi"/>
          <w:b/>
          <w:sz w:val="24"/>
          <w:szCs w:val="24"/>
          <w:lang w:val="ro-MD" w:eastAsia="ru-RU"/>
        </w:rPr>
        <w:t>2</w:t>
      </w:r>
      <w:r w:rsidR="00557237">
        <w:rPr>
          <w:rFonts w:asciiTheme="majorHAnsi" w:eastAsia="Times New Roman" w:hAnsiTheme="majorHAnsi" w:cstheme="majorHAnsi"/>
          <w:b/>
          <w:sz w:val="24"/>
          <w:szCs w:val="24"/>
          <w:lang w:val="ro-MD" w:eastAsia="ru-RU"/>
        </w:rPr>
        <w:t>.</w:t>
      </w:r>
      <w:r w:rsidR="00803294">
        <w:rPr>
          <w:rFonts w:asciiTheme="majorHAnsi" w:eastAsia="Times New Roman" w:hAnsiTheme="majorHAnsi" w:cstheme="majorHAnsi"/>
          <w:b/>
          <w:sz w:val="24"/>
          <w:szCs w:val="24"/>
          <w:lang w:val="ro-MD" w:eastAsia="ru-RU"/>
        </w:rPr>
        <w:t>1</w:t>
      </w:r>
      <w:r w:rsidRPr="009772A3">
        <w:rPr>
          <w:rFonts w:asciiTheme="majorHAnsi" w:eastAsia="Times New Roman" w:hAnsiTheme="majorHAnsi" w:cstheme="majorHAnsi"/>
          <w:b/>
          <w:sz w:val="24"/>
          <w:szCs w:val="24"/>
          <w:lang w:val="ro-MD" w:eastAsia="ru-RU"/>
        </w:rPr>
        <w:t xml:space="preserve"> </w:t>
      </w:r>
    </w:p>
    <w:p w14:paraId="398860B5" w14:textId="0E925637" w:rsidR="00760A07" w:rsidRPr="009772A3" w:rsidRDefault="00557237" w:rsidP="00760A07">
      <w:pPr>
        <w:shd w:val="clear" w:color="auto" w:fill="FFFFFF"/>
        <w:spacing w:after="0" w:line="240" w:lineRule="auto"/>
        <w:jc w:val="center"/>
        <w:rPr>
          <w:rFonts w:asciiTheme="majorHAnsi" w:eastAsia="Times New Roman" w:hAnsiTheme="majorHAnsi" w:cstheme="majorHAnsi"/>
          <w:b/>
          <w:sz w:val="24"/>
          <w:szCs w:val="24"/>
          <w:lang w:val="ro-MD" w:eastAsia="ru-RU"/>
        </w:rPr>
      </w:pPr>
      <w:r>
        <w:rPr>
          <w:rFonts w:asciiTheme="majorHAnsi" w:eastAsia="Times New Roman" w:hAnsiTheme="majorHAnsi" w:cstheme="majorHAnsi"/>
          <w:b/>
          <w:sz w:val="24"/>
          <w:szCs w:val="24"/>
          <w:lang w:val="ro-MD" w:eastAsia="ru-RU"/>
        </w:rPr>
        <w:t xml:space="preserve">Calculul veniturilor din diferența de curs valutar cu care trebuiau majorate activele nete ale </w:t>
      </w:r>
      <w:r w:rsidRPr="00557237">
        <w:rPr>
          <w:rFonts w:asciiTheme="majorHAnsi" w:eastAsia="Times New Roman" w:hAnsiTheme="majorHAnsi" w:cstheme="majorHAnsi"/>
          <w:b/>
          <w:sz w:val="24"/>
          <w:szCs w:val="24"/>
          <w:lang w:val="ro-MD" w:eastAsia="ru-RU"/>
        </w:rPr>
        <w:t>Moldovatransgaz și ale Tiraspoltransgaz</w:t>
      </w:r>
    </w:p>
    <w:tbl>
      <w:tblPr>
        <w:tblW w:w="838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217"/>
        <w:gridCol w:w="1609"/>
        <w:gridCol w:w="1700"/>
        <w:gridCol w:w="1640"/>
      </w:tblGrid>
      <w:tr w:rsidR="00B84F30" w:rsidRPr="009772A3" w14:paraId="08B2F240" w14:textId="77777777" w:rsidTr="004439DA">
        <w:trPr>
          <w:trHeight w:val="170"/>
        </w:trPr>
        <w:tc>
          <w:tcPr>
            <w:tcW w:w="2220" w:type="dxa"/>
            <w:shd w:val="clear" w:color="auto" w:fill="auto"/>
            <w:noWrap/>
            <w:vAlign w:val="bottom"/>
            <w:hideMark/>
          </w:tcPr>
          <w:p w14:paraId="467AC83F" w14:textId="26787AF4" w:rsidR="00B84F30" w:rsidRPr="009772A3" w:rsidRDefault="00B84F30" w:rsidP="00957170">
            <w:pPr>
              <w:spacing w:after="0" w:line="240" w:lineRule="auto"/>
              <w:rPr>
                <w:rFonts w:asciiTheme="majorHAnsi" w:eastAsia="Times New Roman" w:hAnsiTheme="majorHAnsi" w:cstheme="majorHAnsi"/>
                <w:b/>
                <w:sz w:val="16"/>
                <w:szCs w:val="16"/>
                <w:lang w:val="ro-MD"/>
              </w:rPr>
            </w:pPr>
          </w:p>
        </w:tc>
        <w:tc>
          <w:tcPr>
            <w:tcW w:w="1217" w:type="dxa"/>
            <w:vAlign w:val="bottom"/>
          </w:tcPr>
          <w:p w14:paraId="6F60F86B" w14:textId="77777777" w:rsidR="00B84F30" w:rsidRPr="009772A3" w:rsidRDefault="00B84F30" w:rsidP="00957170">
            <w:pPr>
              <w:spacing w:after="0" w:line="240" w:lineRule="auto"/>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Valuta</w:t>
            </w:r>
          </w:p>
        </w:tc>
        <w:tc>
          <w:tcPr>
            <w:tcW w:w="1609" w:type="dxa"/>
            <w:shd w:val="clear" w:color="auto" w:fill="auto"/>
            <w:noWrap/>
            <w:vAlign w:val="bottom"/>
            <w:hideMark/>
          </w:tcPr>
          <w:p w14:paraId="76271169" w14:textId="49A30BB5" w:rsidR="00B84F30" w:rsidRPr="009772A3" w:rsidRDefault="00760A07" w:rsidP="00957170">
            <w:pPr>
              <w:spacing w:after="0" w:line="240" w:lineRule="auto"/>
              <w:jc w:val="right"/>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 xml:space="preserve"> La </w:t>
            </w:r>
            <w:r w:rsidR="00B84F30" w:rsidRPr="009772A3">
              <w:rPr>
                <w:rFonts w:asciiTheme="majorHAnsi" w:eastAsia="Times New Roman" w:hAnsiTheme="majorHAnsi" w:cstheme="majorHAnsi"/>
                <w:b/>
                <w:sz w:val="16"/>
                <w:szCs w:val="16"/>
                <w:lang w:val="ro-MD"/>
              </w:rPr>
              <w:t>01.07.1997</w:t>
            </w:r>
          </w:p>
        </w:tc>
        <w:tc>
          <w:tcPr>
            <w:tcW w:w="1700" w:type="dxa"/>
            <w:shd w:val="clear" w:color="auto" w:fill="auto"/>
            <w:noWrap/>
            <w:vAlign w:val="bottom"/>
            <w:hideMark/>
          </w:tcPr>
          <w:p w14:paraId="53D3E2C1" w14:textId="2E812672" w:rsidR="00B84F30" w:rsidRPr="009772A3" w:rsidRDefault="00760A07" w:rsidP="00957170">
            <w:pPr>
              <w:spacing w:after="0" w:line="240" w:lineRule="auto"/>
              <w:jc w:val="right"/>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 xml:space="preserve">La </w:t>
            </w:r>
            <w:r w:rsidR="00B84F30" w:rsidRPr="009772A3">
              <w:rPr>
                <w:rFonts w:asciiTheme="majorHAnsi" w:eastAsia="Times New Roman" w:hAnsiTheme="majorHAnsi" w:cstheme="majorHAnsi"/>
                <w:b/>
                <w:sz w:val="16"/>
                <w:szCs w:val="16"/>
                <w:lang w:val="ro-MD"/>
              </w:rPr>
              <w:t>01.07.1999</w:t>
            </w:r>
          </w:p>
        </w:tc>
        <w:tc>
          <w:tcPr>
            <w:tcW w:w="1640" w:type="dxa"/>
            <w:shd w:val="clear" w:color="auto" w:fill="auto"/>
            <w:noWrap/>
            <w:vAlign w:val="bottom"/>
            <w:hideMark/>
          </w:tcPr>
          <w:p w14:paraId="02AED877" w14:textId="77777777" w:rsidR="00B84F30" w:rsidRPr="009772A3" w:rsidRDefault="00B84F30" w:rsidP="00957170">
            <w:pPr>
              <w:spacing w:after="0" w:line="240" w:lineRule="auto"/>
              <w:jc w:val="right"/>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Diferența</w:t>
            </w:r>
          </w:p>
        </w:tc>
      </w:tr>
      <w:tr w:rsidR="00B84F30" w:rsidRPr="009772A3" w14:paraId="6619B944" w14:textId="77777777" w:rsidTr="004439DA">
        <w:trPr>
          <w:trHeight w:val="170"/>
        </w:trPr>
        <w:tc>
          <w:tcPr>
            <w:tcW w:w="2220" w:type="dxa"/>
            <w:shd w:val="clear" w:color="auto" w:fill="auto"/>
            <w:noWrap/>
            <w:vAlign w:val="bottom"/>
            <w:hideMark/>
          </w:tcPr>
          <w:p w14:paraId="54042A63"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Curs dolar SUA</w:t>
            </w:r>
          </w:p>
        </w:tc>
        <w:tc>
          <w:tcPr>
            <w:tcW w:w="1217" w:type="dxa"/>
            <w:vAlign w:val="bottom"/>
          </w:tcPr>
          <w:p w14:paraId="3EDAFE15"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lei</w:t>
            </w:r>
          </w:p>
        </w:tc>
        <w:tc>
          <w:tcPr>
            <w:tcW w:w="1609" w:type="dxa"/>
            <w:shd w:val="clear" w:color="auto" w:fill="auto"/>
            <w:noWrap/>
            <w:vAlign w:val="bottom"/>
            <w:hideMark/>
          </w:tcPr>
          <w:p w14:paraId="72524C49"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4,5875</w:t>
            </w:r>
          </w:p>
        </w:tc>
        <w:tc>
          <w:tcPr>
            <w:tcW w:w="1700" w:type="dxa"/>
            <w:shd w:val="clear" w:color="auto" w:fill="auto"/>
            <w:noWrap/>
            <w:vAlign w:val="bottom"/>
            <w:hideMark/>
          </w:tcPr>
          <w:p w14:paraId="5A45727F"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11,3444</w:t>
            </w:r>
          </w:p>
        </w:tc>
        <w:tc>
          <w:tcPr>
            <w:tcW w:w="1640" w:type="dxa"/>
            <w:shd w:val="clear" w:color="auto" w:fill="auto"/>
            <w:noWrap/>
            <w:vAlign w:val="bottom"/>
            <w:hideMark/>
          </w:tcPr>
          <w:p w14:paraId="35465438"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p>
        </w:tc>
      </w:tr>
      <w:tr w:rsidR="00B84F30" w:rsidRPr="009772A3" w14:paraId="31E2DC75" w14:textId="77777777" w:rsidTr="004439DA">
        <w:trPr>
          <w:trHeight w:val="170"/>
        </w:trPr>
        <w:tc>
          <w:tcPr>
            <w:tcW w:w="2220" w:type="dxa"/>
            <w:shd w:val="clear" w:color="auto" w:fill="auto"/>
            <w:noWrap/>
            <w:vAlign w:val="bottom"/>
            <w:hideMark/>
          </w:tcPr>
          <w:p w14:paraId="03E54624" w14:textId="77119C42" w:rsidR="00B84F30" w:rsidRPr="009772A3" w:rsidRDefault="00B84F30" w:rsidP="00760A07">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Datoria</w:t>
            </w:r>
            <w:r w:rsidR="00760A07" w:rsidRPr="009772A3">
              <w:rPr>
                <w:rFonts w:asciiTheme="majorHAnsi" w:eastAsia="Times New Roman" w:hAnsiTheme="majorHAnsi" w:cstheme="majorHAnsi"/>
                <w:sz w:val="16"/>
                <w:szCs w:val="16"/>
                <w:lang w:val="ro-MD"/>
              </w:rPr>
              <w:t xml:space="preserve"> RM</w:t>
            </w:r>
          </w:p>
        </w:tc>
        <w:tc>
          <w:tcPr>
            <w:tcW w:w="1217" w:type="dxa"/>
            <w:vAlign w:val="bottom"/>
          </w:tcPr>
          <w:p w14:paraId="0DC07DCA" w14:textId="79A483F6" w:rsidR="00B84F30" w:rsidRPr="009772A3" w:rsidRDefault="00760A07"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dolar SUA</w:t>
            </w:r>
          </w:p>
        </w:tc>
        <w:tc>
          <w:tcPr>
            <w:tcW w:w="1609" w:type="dxa"/>
            <w:shd w:val="clear" w:color="auto" w:fill="auto"/>
            <w:noWrap/>
            <w:vAlign w:val="bottom"/>
            <w:hideMark/>
          </w:tcPr>
          <w:p w14:paraId="2CA67664"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47.299.796,00</w:t>
            </w:r>
          </w:p>
        </w:tc>
        <w:tc>
          <w:tcPr>
            <w:tcW w:w="1700" w:type="dxa"/>
            <w:shd w:val="clear" w:color="auto" w:fill="auto"/>
            <w:noWrap/>
            <w:vAlign w:val="bottom"/>
            <w:hideMark/>
          </w:tcPr>
          <w:p w14:paraId="0918A329"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47.299.796,00</w:t>
            </w:r>
          </w:p>
        </w:tc>
        <w:tc>
          <w:tcPr>
            <w:tcW w:w="1640" w:type="dxa"/>
            <w:shd w:val="clear" w:color="auto" w:fill="auto"/>
            <w:noWrap/>
            <w:vAlign w:val="bottom"/>
            <w:hideMark/>
          </w:tcPr>
          <w:p w14:paraId="113824A7"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0,00</w:t>
            </w:r>
          </w:p>
        </w:tc>
      </w:tr>
      <w:tr w:rsidR="00B84F30" w:rsidRPr="009772A3" w14:paraId="3C2B975C" w14:textId="77777777" w:rsidTr="004439DA">
        <w:trPr>
          <w:trHeight w:val="170"/>
        </w:trPr>
        <w:tc>
          <w:tcPr>
            <w:tcW w:w="2220" w:type="dxa"/>
            <w:shd w:val="clear" w:color="auto" w:fill="auto"/>
            <w:noWrap/>
            <w:vAlign w:val="bottom"/>
            <w:hideMark/>
          </w:tcPr>
          <w:p w14:paraId="67303A69"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Datoria Transnistriei</w:t>
            </w:r>
          </w:p>
        </w:tc>
        <w:tc>
          <w:tcPr>
            <w:tcW w:w="1217" w:type="dxa"/>
            <w:vAlign w:val="bottom"/>
          </w:tcPr>
          <w:p w14:paraId="403DBA0B" w14:textId="37677B77" w:rsidR="00B84F30" w:rsidRPr="009772A3" w:rsidRDefault="00760A07"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dolar SUA</w:t>
            </w:r>
          </w:p>
        </w:tc>
        <w:tc>
          <w:tcPr>
            <w:tcW w:w="1609" w:type="dxa"/>
            <w:shd w:val="clear" w:color="auto" w:fill="auto"/>
            <w:noWrap/>
            <w:vAlign w:val="bottom"/>
            <w:hideMark/>
          </w:tcPr>
          <w:p w14:paraId="1B17010E"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12.662.350,00</w:t>
            </w:r>
          </w:p>
        </w:tc>
        <w:tc>
          <w:tcPr>
            <w:tcW w:w="1700" w:type="dxa"/>
            <w:shd w:val="clear" w:color="auto" w:fill="auto"/>
            <w:noWrap/>
            <w:vAlign w:val="bottom"/>
            <w:hideMark/>
          </w:tcPr>
          <w:p w14:paraId="5C902D62"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12.662.350,00</w:t>
            </w:r>
          </w:p>
        </w:tc>
        <w:tc>
          <w:tcPr>
            <w:tcW w:w="1640" w:type="dxa"/>
            <w:shd w:val="clear" w:color="auto" w:fill="auto"/>
            <w:noWrap/>
            <w:vAlign w:val="bottom"/>
            <w:hideMark/>
          </w:tcPr>
          <w:p w14:paraId="2229E464"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0,00</w:t>
            </w:r>
          </w:p>
        </w:tc>
      </w:tr>
      <w:tr w:rsidR="00B84F30" w:rsidRPr="009772A3" w14:paraId="7A3739F8" w14:textId="77777777" w:rsidTr="004439DA">
        <w:trPr>
          <w:trHeight w:val="170"/>
        </w:trPr>
        <w:tc>
          <w:tcPr>
            <w:tcW w:w="2220" w:type="dxa"/>
            <w:shd w:val="clear" w:color="auto" w:fill="auto"/>
            <w:noWrap/>
            <w:vAlign w:val="bottom"/>
            <w:hideMark/>
          </w:tcPr>
          <w:p w14:paraId="6F5A85C0"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Total datoria</w:t>
            </w:r>
          </w:p>
        </w:tc>
        <w:tc>
          <w:tcPr>
            <w:tcW w:w="1217" w:type="dxa"/>
            <w:vAlign w:val="bottom"/>
          </w:tcPr>
          <w:p w14:paraId="7ECA1513" w14:textId="17F84AE4" w:rsidR="00B84F30" w:rsidRPr="009772A3" w:rsidRDefault="00760A07"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dolar SUA</w:t>
            </w:r>
          </w:p>
        </w:tc>
        <w:tc>
          <w:tcPr>
            <w:tcW w:w="1609" w:type="dxa"/>
            <w:shd w:val="clear" w:color="auto" w:fill="auto"/>
            <w:noWrap/>
            <w:vAlign w:val="bottom"/>
            <w:hideMark/>
          </w:tcPr>
          <w:p w14:paraId="299783B2"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59.962.146,00</w:t>
            </w:r>
          </w:p>
        </w:tc>
        <w:tc>
          <w:tcPr>
            <w:tcW w:w="1700" w:type="dxa"/>
            <w:shd w:val="clear" w:color="auto" w:fill="auto"/>
            <w:noWrap/>
            <w:vAlign w:val="bottom"/>
            <w:hideMark/>
          </w:tcPr>
          <w:p w14:paraId="34A41F01"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59.962.146,00</w:t>
            </w:r>
          </w:p>
        </w:tc>
        <w:tc>
          <w:tcPr>
            <w:tcW w:w="1640" w:type="dxa"/>
            <w:shd w:val="clear" w:color="auto" w:fill="auto"/>
            <w:noWrap/>
            <w:vAlign w:val="bottom"/>
            <w:hideMark/>
          </w:tcPr>
          <w:p w14:paraId="17462CF4"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0,00</w:t>
            </w:r>
          </w:p>
        </w:tc>
      </w:tr>
      <w:tr w:rsidR="00B84F30" w:rsidRPr="009772A3" w14:paraId="4A411E82" w14:textId="77777777" w:rsidTr="004439DA">
        <w:trPr>
          <w:trHeight w:val="170"/>
        </w:trPr>
        <w:tc>
          <w:tcPr>
            <w:tcW w:w="2220" w:type="dxa"/>
            <w:shd w:val="clear" w:color="auto" w:fill="auto"/>
            <w:noWrap/>
            <w:vAlign w:val="bottom"/>
            <w:hideMark/>
          </w:tcPr>
          <w:p w14:paraId="33B7DB2D" w14:textId="2B5DCB52" w:rsidR="00B84F30" w:rsidRPr="009772A3" w:rsidRDefault="00B84F30" w:rsidP="00760A07">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xml:space="preserve">Datoria </w:t>
            </w:r>
            <w:r w:rsidR="00760A07" w:rsidRPr="009772A3">
              <w:rPr>
                <w:rFonts w:asciiTheme="majorHAnsi" w:eastAsia="Times New Roman" w:hAnsiTheme="majorHAnsi" w:cstheme="majorHAnsi"/>
                <w:sz w:val="16"/>
                <w:szCs w:val="16"/>
                <w:lang w:val="ro-MD"/>
              </w:rPr>
              <w:t>R</w:t>
            </w:r>
            <w:r w:rsidRPr="009772A3">
              <w:rPr>
                <w:rFonts w:asciiTheme="majorHAnsi" w:eastAsia="Times New Roman" w:hAnsiTheme="majorHAnsi" w:cstheme="majorHAnsi"/>
                <w:sz w:val="16"/>
                <w:szCs w:val="16"/>
                <w:lang w:val="ro-MD"/>
              </w:rPr>
              <w:t>M</w:t>
            </w:r>
          </w:p>
        </w:tc>
        <w:tc>
          <w:tcPr>
            <w:tcW w:w="1217" w:type="dxa"/>
            <w:vAlign w:val="bottom"/>
          </w:tcPr>
          <w:p w14:paraId="2F601F65"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lei</w:t>
            </w:r>
          </w:p>
        </w:tc>
        <w:tc>
          <w:tcPr>
            <w:tcW w:w="1609" w:type="dxa"/>
            <w:shd w:val="clear" w:color="auto" w:fill="auto"/>
            <w:noWrap/>
            <w:vAlign w:val="bottom"/>
            <w:hideMark/>
          </w:tcPr>
          <w:p w14:paraId="15A13B90"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216.987.814,15</w:t>
            </w:r>
          </w:p>
        </w:tc>
        <w:tc>
          <w:tcPr>
            <w:tcW w:w="1700" w:type="dxa"/>
            <w:shd w:val="clear" w:color="auto" w:fill="auto"/>
            <w:noWrap/>
            <w:vAlign w:val="bottom"/>
            <w:hideMark/>
          </w:tcPr>
          <w:p w14:paraId="6576BCEE"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536.587.805,74</w:t>
            </w:r>
          </w:p>
        </w:tc>
        <w:tc>
          <w:tcPr>
            <w:tcW w:w="1640" w:type="dxa"/>
            <w:shd w:val="clear" w:color="auto" w:fill="auto"/>
            <w:noWrap/>
            <w:vAlign w:val="bottom"/>
            <w:hideMark/>
          </w:tcPr>
          <w:p w14:paraId="173AEA74"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319.599.991,59</w:t>
            </w:r>
          </w:p>
        </w:tc>
      </w:tr>
      <w:tr w:rsidR="00B84F30" w:rsidRPr="009772A3" w14:paraId="37E9C4E3" w14:textId="77777777" w:rsidTr="004439DA">
        <w:trPr>
          <w:trHeight w:val="170"/>
        </w:trPr>
        <w:tc>
          <w:tcPr>
            <w:tcW w:w="2220" w:type="dxa"/>
            <w:shd w:val="clear" w:color="auto" w:fill="auto"/>
            <w:noWrap/>
            <w:vAlign w:val="bottom"/>
            <w:hideMark/>
          </w:tcPr>
          <w:p w14:paraId="3F3C4E2C"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Datoria Transnistriei</w:t>
            </w:r>
          </w:p>
        </w:tc>
        <w:tc>
          <w:tcPr>
            <w:tcW w:w="1217" w:type="dxa"/>
            <w:vAlign w:val="bottom"/>
          </w:tcPr>
          <w:p w14:paraId="078FCBE0"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lei</w:t>
            </w:r>
          </w:p>
        </w:tc>
        <w:tc>
          <w:tcPr>
            <w:tcW w:w="1609" w:type="dxa"/>
            <w:shd w:val="clear" w:color="auto" w:fill="auto"/>
            <w:noWrap/>
            <w:vAlign w:val="bottom"/>
            <w:hideMark/>
          </w:tcPr>
          <w:p w14:paraId="328CF457"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58.088.530,63</w:t>
            </w:r>
          </w:p>
        </w:tc>
        <w:tc>
          <w:tcPr>
            <w:tcW w:w="1700" w:type="dxa"/>
            <w:shd w:val="clear" w:color="auto" w:fill="auto"/>
            <w:noWrap/>
            <w:vAlign w:val="bottom"/>
            <w:hideMark/>
          </w:tcPr>
          <w:p w14:paraId="64868EA3"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143.646.763,34</w:t>
            </w:r>
          </w:p>
        </w:tc>
        <w:tc>
          <w:tcPr>
            <w:tcW w:w="1640" w:type="dxa"/>
            <w:shd w:val="clear" w:color="auto" w:fill="auto"/>
            <w:noWrap/>
            <w:vAlign w:val="bottom"/>
            <w:hideMark/>
          </w:tcPr>
          <w:p w14:paraId="191AE5AC"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85.558.232,72</w:t>
            </w:r>
          </w:p>
        </w:tc>
      </w:tr>
      <w:tr w:rsidR="00B84F30" w:rsidRPr="009772A3" w14:paraId="30664FB6" w14:textId="77777777" w:rsidTr="004439DA">
        <w:trPr>
          <w:trHeight w:val="170"/>
        </w:trPr>
        <w:tc>
          <w:tcPr>
            <w:tcW w:w="2220" w:type="dxa"/>
            <w:shd w:val="clear" w:color="auto" w:fill="auto"/>
            <w:noWrap/>
            <w:vAlign w:val="bottom"/>
            <w:hideMark/>
          </w:tcPr>
          <w:p w14:paraId="1E33044B"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Total datoria</w:t>
            </w:r>
          </w:p>
        </w:tc>
        <w:tc>
          <w:tcPr>
            <w:tcW w:w="1217" w:type="dxa"/>
            <w:vAlign w:val="bottom"/>
          </w:tcPr>
          <w:p w14:paraId="26388432" w14:textId="77777777" w:rsidR="00B84F30" w:rsidRPr="009772A3" w:rsidRDefault="00B84F30" w:rsidP="0095717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lei</w:t>
            </w:r>
          </w:p>
        </w:tc>
        <w:tc>
          <w:tcPr>
            <w:tcW w:w="1609" w:type="dxa"/>
            <w:shd w:val="clear" w:color="auto" w:fill="auto"/>
            <w:noWrap/>
            <w:vAlign w:val="bottom"/>
            <w:hideMark/>
          </w:tcPr>
          <w:p w14:paraId="6134288F"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275.076.344,78</w:t>
            </w:r>
          </w:p>
        </w:tc>
        <w:tc>
          <w:tcPr>
            <w:tcW w:w="1700" w:type="dxa"/>
            <w:shd w:val="clear" w:color="auto" w:fill="auto"/>
            <w:noWrap/>
            <w:vAlign w:val="bottom"/>
            <w:hideMark/>
          </w:tcPr>
          <w:p w14:paraId="2904F135"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680.234.569,08</w:t>
            </w:r>
          </w:p>
        </w:tc>
        <w:tc>
          <w:tcPr>
            <w:tcW w:w="1640" w:type="dxa"/>
            <w:shd w:val="clear" w:color="auto" w:fill="auto"/>
            <w:noWrap/>
            <w:vAlign w:val="bottom"/>
            <w:hideMark/>
          </w:tcPr>
          <w:p w14:paraId="3DA65060" w14:textId="77777777" w:rsidR="00B84F30" w:rsidRPr="009772A3" w:rsidRDefault="00B84F30" w:rsidP="00957170">
            <w:pPr>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405.158.224,31</w:t>
            </w:r>
          </w:p>
        </w:tc>
      </w:tr>
    </w:tbl>
    <w:p w14:paraId="600CD4FA" w14:textId="77777777" w:rsidR="00B84F30" w:rsidRPr="00CF3AD4" w:rsidRDefault="00B84F30" w:rsidP="00B84F30">
      <w:pPr>
        <w:spacing w:after="0"/>
        <w:jc w:val="both"/>
        <w:rPr>
          <w:rFonts w:asciiTheme="majorHAnsi" w:hAnsiTheme="majorHAnsi" w:cstheme="majorHAnsi"/>
          <w:sz w:val="16"/>
          <w:szCs w:val="16"/>
          <w:lang w:val="ro-MD"/>
        </w:rPr>
      </w:pPr>
    </w:p>
    <w:p w14:paraId="67536F2F" w14:textId="00ADF8DE" w:rsidR="00B84F30" w:rsidRPr="009772A3" w:rsidRDefault="002051D5" w:rsidP="00AE017A">
      <w:pPr>
        <w:pStyle w:val="ListParagraph"/>
        <w:numPr>
          <w:ilvl w:val="0"/>
          <w:numId w:val="21"/>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 u</w:t>
      </w:r>
      <w:r w:rsidR="00B84F30" w:rsidRPr="009772A3">
        <w:rPr>
          <w:rFonts w:asciiTheme="majorHAnsi" w:hAnsiTheme="majorHAnsi" w:cstheme="majorHAnsi"/>
          <w:sz w:val="24"/>
          <w:szCs w:val="24"/>
          <w:lang w:val="ro-MD"/>
        </w:rPr>
        <w:t>rmare a analizei efectuate de audit</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se constată că valoarea patrimoniului evaluat pentru depunere în capitalul social al SA Moldovagaz este mai mică dec</w:t>
      </w:r>
      <w:r w:rsidRPr="009772A3">
        <w:rPr>
          <w:rFonts w:asciiTheme="majorHAnsi" w:hAnsiTheme="majorHAnsi" w:cstheme="majorHAnsi"/>
          <w:sz w:val="24"/>
          <w:szCs w:val="24"/>
          <w:lang w:val="ro-MD"/>
        </w:rPr>
        <w:t>â</w:t>
      </w:r>
      <w:r w:rsidR="00B84F30" w:rsidRPr="009772A3">
        <w:rPr>
          <w:rFonts w:asciiTheme="majorHAnsi" w:hAnsiTheme="majorHAnsi" w:cstheme="majorHAnsi"/>
          <w:sz w:val="24"/>
          <w:szCs w:val="24"/>
          <w:lang w:val="ro-MD"/>
        </w:rPr>
        <w:t xml:space="preserve">t valoarea patrimoniului SA Gazsnabtranzit ce trebuia depus în capitalul social al SA Moldovagaz (cu 39.052,04 mii lei) și </w:t>
      </w:r>
      <w:r w:rsidRPr="009772A3">
        <w:rPr>
          <w:rFonts w:asciiTheme="majorHAnsi" w:hAnsiTheme="majorHAnsi" w:cstheme="majorHAnsi"/>
          <w:sz w:val="24"/>
          <w:szCs w:val="24"/>
          <w:lang w:val="ro-MD"/>
        </w:rPr>
        <w:t xml:space="preserve">a </w:t>
      </w:r>
      <w:r w:rsidR="00B84F30" w:rsidRPr="009772A3">
        <w:rPr>
          <w:rFonts w:asciiTheme="majorHAnsi" w:hAnsiTheme="majorHAnsi" w:cstheme="majorHAnsi"/>
          <w:sz w:val="24"/>
          <w:szCs w:val="24"/>
          <w:lang w:val="ro-MD"/>
        </w:rPr>
        <w:t>cel</w:t>
      </w:r>
      <w:r w:rsidRPr="009772A3">
        <w:rPr>
          <w:rFonts w:asciiTheme="majorHAnsi" w:hAnsiTheme="majorHAnsi" w:cstheme="majorHAnsi"/>
          <w:sz w:val="24"/>
          <w:szCs w:val="24"/>
          <w:lang w:val="ro-MD"/>
        </w:rPr>
        <w:t>ui</w:t>
      </w:r>
      <w:r w:rsidR="00B84F30" w:rsidRPr="009772A3">
        <w:rPr>
          <w:rFonts w:asciiTheme="majorHAnsi" w:hAnsiTheme="majorHAnsi" w:cstheme="majorHAnsi"/>
          <w:sz w:val="24"/>
          <w:szCs w:val="24"/>
          <w:lang w:val="ro-MD"/>
        </w:rPr>
        <w:t xml:space="preserve"> ce a fost depus </w:t>
      </w:r>
      <w:r w:rsidRPr="009772A3">
        <w:rPr>
          <w:rFonts w:asciiTheme="majorHAnsi" w:hAnsiTheme="majorHAnsi" w:cstheme="majorHAnsi"/>
          <w:sz w:val="24"/>
          <w:szCs w:val="24"/>
          <w:lang w:val="ro-MD"/>
        </w:rPr>
        <w:t xml:space="preserve">efectiv </w:t>
      </w:r>
      <w:r w:rsidR="00B84F30" w:rsidRPr="009772A3">
        <w:rPr>
          <w:rFonts w:asciiTheme="majorHAnsi" w:hAnsiTheme="majorHAnsi" w:cstheme="majorHAnsi"/>
          <w:sz w:val="24"/>
          <w:szCs w:val="24"/>
          <w:lang w:val="ro-MD"/>
        </w:rPr>
        <w:t>(cu 225</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346,0 mii lei). O cauză a acestei situații poate fi evaluarea și depunerea gazoductelor magistrale de pe </w:t>
      </w:r>
      <w:r w:rsidR="00965F1D">
        <w:rPr>
          <w:rFonts w:asciiTheme="majorHAnsi" w:hAnsiTheme="majorHAnsi" w:cstheme="majorHAnsi"/>
          <w:sz w:val="24"/>
          <w:szCs w:val="24"/>
          <w:lang w:val="ro-MD"/>
        </w:rPr>
        <w:t>malul drept</w:t>
      </w:r>
      <w:r w:rsidR="00F36D95">
        <w:rPr>
          <w:rFonts w:asciiTheme="majorHAnsi" w:hAnsiTheme="majorHAnsi" w:cstheme="majorHAnsi"/>
          <w:sz w:val="24"/>
          <w:szCs w:val="24"/>
          <w:lang w:val="ro-MD"/>
        </w:rPr>
        <w:t>/stâng</w:t>
      </w:r>
      <w:r w:rsidR="00965F1D">
        <w:rPr>
          <w:rFonts w:asciiTheme="majorHAnsi" w:hAnsiTheme="majorHAnsi" w:cstheme="majorHAnsi"/>
          <w:sz w:val="24"/>
          <w:szCs w:val="24"/>
          <w:lang w:val="ro-MD"/>
        </w:rPr>
        <w:t xml:space="preserve"> al râului Nistru</w:t>
      </w:r>
      <w:r w:rsidR="00B84F30" w:rsidRPr="009772A3">
        <w:rPr>
          <w:rFonts w:asciiTheme="majorHAnsi" w:hAnsiTheme="majorHAnsi" w:cstheme="majorHAnsi"/>
          <w:sz w:val="24"/>
          <w:szCs w:val="24"/>
          <w:lang w:val="ro-MD"/>
        </w:rPr>
        <w:t xml:space="preserve"> care nu au participat la formarea capitalului social al SA Gazsnabtranzit. Totodată</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aceste depuneri suplimentare de patrimoniu în capitalul social al SA Moldovagaz (circa 49</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121,75 mii </w:t>
      </w:r>
      <w:r w:rsidRPr="009772A3">
        <w:rPr>
          <w:rFonts w:asciiTheme="majorHAnsi" w:hAnsiTheme="majorHAnsi" w:cstheme="majorHAnsi"/>
          <w:sz w:val="24"/>
          <w:szCs w:val="24"/>
          <w:lang w:val="ro-MD"/>
        </w:rPr>
        <w:t>dolari SUA</w:t>
      </w:r>
      <w:r w:rsidR="00B84F30" w:rsidRPr="009772A3">
        <w:rPr>
          <w:rFonts w:asciiTheme="majorHAnsi" w:hAnsiTheme="majorHAnsi" w:cstheme="majorHAnsi"/>
          <w:sz w:val="24"/>
          <w:szCs w:val="24"/>
          <w:lang w:val="ro-MD"/>
        </w:rPr>
        <w:t>) nu au participat la diminuarea datoriilor față de SA Gazprom. Ca urmare, valoarea patrimoniului depus</w:t>
      </w:r>
      <w:r w:rsidRPr="009772A3">
        <w:rPr>
          <w:rFonts w:asciiTheme="majorHAnsi" w:hAnsiTheme="majorHAnsi" w:cstheme="majorHAnsi"/>
          <w:sz w:val="24"/>
          <w:szCs w:val="24"/>
          <w:lang w:val="ro-MD"/>
        </w:rPr>
        <w:t xml:space="preserve"> de facto</w:t>
      </w:r>
      <w:r w:rsidR="00B84F30" w:rsidRPr="009772A3">
        <w:rPr>
          <w:rFonts w:asciiTheme="majorHAnsi" w:hAnsiTheme="majorHAnsi" w:cstheme="majorHAnsi"/>
          <w:sz w:val="24"/>
          <w:szCs w:val="24"/>
          <w:lang w:val="ro-MD"/>
        </w:rPr>
        <w:t xml:space="preserve"> cu care a </w:t>
      </w:r>
      <w:r w:rsidRPr="009772A3">
        <w:rPr>
          <w:rFonts w:asciiTheme="majorHAnsi" w:hAnsiTheme="majorHAnsi" w:cstheme="majorHAnsi"/>
          <w:sz w:val="24"/>
          <w:szCs w:val="24"/>
          <w:lang w:val="ro-MD"/>
        </w:rPr>
        <w:t xml:space="preserve">fost </w:t>
      </w:r>
      <w:r w:rsidR="00B84F30" w:rsidRPr="009772A3">
        <w:rPr>
          <w:rFonts w:asciiTheme="majorHAnsi" w:hAnsiTheme="majorHAnsi" w:cstheme="majorHAnsi"/>
          <w:sz w:val="24"/>
          <w:szCs w:val="24"/>
          <w:lang w:val="ro-MD"/>
        </w:rPr>
        <w:t>depășit</w:t>
      </w:r>
      <w:r w:rsidR="00AD46BB" w:rsidRPr="009772A3">
        <w:rPr>
          <w:rFonts w:asciiTheme="majorHAnsi" w:hAnsiTheme="majorHAnsi" w:cstheme="majorHAnsi"/>
          <w:sz w:val="24"/>
          <w:szCs w:val="24"/>
          <w:lang w:val="ro-MD"/>
        </w:rPr>
        <w:t>ă valoarea</w:t>
      </w:r>
      <w:r w:rsidR="00B84F30" w:rsidRPr="009772A3">
        <w:rPr>
          <w:rFonts w:asciiTheme="majorHAnsi" w:hAnsiTheme="majorHAnsi" w:cstheme="majorHAnsi"/>
          <w:sz w:val="24"/>
          <w:szCs w:val="24"/>
          <w:lang w:val="ro-MD"/>
        </w:rPr>
        <w:t xml:space="preserve"> patrimoniul</w:t>
      </w:r>
      <w:r w:rsidR="00AD46BB" w:rsidRPr="009772A3">
        <w:rPr>
          <w:rFonts w:asciiTheme="majorHAnsi" w:hAnsiTheme="majorHAnsi" w:cstheme="majorHAnsi"/>
          <w:sz w:val="24"/>
          <w:szCs w:val="24"/>
          <w:lang w:val="ro-MD"/>
        </w:rPr>
        <w:t>ui</w:t>
      </w:r>
      <w:r w:rsidR="00B84F30" w:rsidRPr="009772A3">
        <w:rPr>
          <w:rFonts w:asciiTheme="majorHAnsi" w:hAnsiTheme="majorHAnsi" w:cstheme="majorHAnsi"/>
          <w:sz w:val="24"/>
          <w:szCs w:val="24"/>
          <w:lang w:val="ro-MD"/>
        </w:rPr>
        <w:t xml:space="preserve"> depus </w:t>
      </w:r>
      <w:r w:rsidR="00F36D95">
        <w:rPr>
          <w:rFonts w:asciiTheme="majorHAnsi" w:hAnsiTheme="majorHAnsi" w:cstheme="majorHAnsi"/>
          <w:sz w:val="24"/>
          <w:szCs w:val="24"/>
          <w:lang w:val="ro-MD"/>
        </w:rPr>
        <w:t xml:space="preserve">anterior </w:t>
      </w:r>
      <w:r w:rsidR="00B84F30" w:rsidRPr="009772A3">
        <w:rPr>
          <w:rFonts w:asciiTheme="majorHAnsi" w:hAnsiTheme="majorHAnsi" w:cstheme="majorHAnsi"/>
          <w:sz w:val="24"/>
          <w:szCs w:val="24"/>
          <w:lang w:val="ro-MD"/>
        </w:rPr>
        <w:t>(225</w:t>
      </w:r>
      <w:r w:rsidR="00AD46BB"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346,0 mii lei), urma a fi reflectat</w:t>
      </w:r>
      <w:r w:rsidR="00AD46BB" w:rsidRPr="009772A3">
        <w:rPr>
          <w:rFonts w:asciiTheme="majorHAnsi" w:hAnsiTheme="majorHAnsi" w:cstheme="majorHAnsi"/>
          <w:sz w:val="24"/>
          <w:szCs w:val="24"/>
          <w:lang w:val="ro-MD"/>
        </w:rPr>
        <w:t>ă</w:t>
      </w:r>
      <w:r w:rsidR="00B84F30" w:rsidRPr="009772A3">
        <w:rPr>
          <w:rFonts w:asciiTheme="majorHAnsi" w:hAnsiTheme="majorHAnsi" w:cstheme="majorHAnsi"/>
          <w:sz w:val="24"/>
          <w:szCs w:val="24"/>
          <w:lang w:val="ro-MD"/>
        </w:rPr>
        <w:t xml:space="preserve"> ca datori</w:t>
      </w:r>
      <w:r w:rsidR="00AD46BB" w:rsidRPr="009772A3">
        <w:rPr>
          <w:rFonts w:asciiTheme="majorHAnsi" w:hAnsiTheme="majorHAnsi" w:cstheme="majorHAnsi"/>
          <w:sz w:val="24"/>
          <w:szCs w:val="24"/>
          <w:lang w:val="ro-MD"/>
        </w:rPr>
        <w:t>e</w:t>
      </w:r>
      <w:r w:rsidR="00B84F30" w:rsidRPr="009772A3">
        <w:rPr>
          <w:rFonts w:asciiTheme="majorHAnsi" w:hAnsiTheme="majorHAnsi" w:cstheme="majorHAnsi"/>
          <w:sz w:val="24"/>
          <w:szCs w:val="24"/>
          <w:lang w:val="ro-MD"/>
        </w:rPr>
        <w:t xml:space="preserve"> față de fondatori, urmând a fi identificată cauza acestei depășiri și delimitată datoria </w:t>
      </w:r>
      <w:r w:rsidR="00AD46BB" w:rsidRPr="009772A3">
        <w:rPr>
          <w:rFonts w:asciiTheme="majorHAnsi" w:hAnsiTheme="majorHAnsi" w:cstheme="majorHAnsi"/>
          <w:sz w:val="24"/>
          <w:szCs w:val="24"/>
          <w:lang w:val="ro-MD"/>
        </w:rPr>
        <w:t>pentru</w:t>
      </w:r>
      <w:r w:rsidR="00B84F30" w:rsidRPr="009772A3">
        <w:rPr>
          <w:rFonts w:asciiTheme="majorHAnsi" w:hAnsiTheme="majorHAnsi" w:cstheme="majorHAnsi"/>
          <w:sz w:val="24"/>
          <w:szCs w:val="24"/>
          <w:lang w:val="ro-MD"/>
        </w:rPr>
        <w:t xml:space="preserve"> fiecare din</w:t>
      </w:r>
      <w:r w:rsidR="00AD46BB" w:rsidRPr="009772A3">
        <w:rPr>
          <w:rFonts w:asciiTheme="majorHAnsi" w:hAnsiTheme="majorHAnsi" w:cstheme="majorHAnsi"/>
          <w:sz w:val="24"/>
          <w:szCs w:val="24"/>
          <w:lang w:val="ro-MD"/>
        </w:rPr>
        <w:t>tre</w:t>
      </w:r>
      <w:r w:rsidR="00B84F30" w:rsidRPr="009772A3">
        <w:rPr>
          <w:rFonts w:asciiTheme="majorHAnsi" w:hAnsiTheme="majorHAnsi" w:cstheme="majorHAnsi"/>
          <w:sz w:val="24"/>
          <w:szCs w:val="24"/>
          <w:lang w:val="ro-MD"/>
        </w:rPr>
        <w:t xml:space="preserve"> fondatori, din care</w:t>
      </w:r>
      <w:r w:rsidR="004439DA"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i) aferentă majorării/diminuării activelor nete pe perioada activității SA Gazsnabtranzit, cu reflectarea ulterioară la capital</w:t>
      </w:r>
      <w:r w:rsidR="00AD46BB" w:rsidRPr="009772A3">
        <w:rPr>
          <w:rFonts w:asciiTheme="majorHAnsi" w:hAnsiTheme="majorHAnsi" w:cstheme="majorHAnsi"/>
          <w:sz w:val="24"/>
          <w:szCs w:val="24"/>
          <w:lang w:val="ro-MD"/>
        </w:rPr>
        <w:t>ul</w:t>
      </w:r>
      <w:r w:rsidR="00B84F30" w:rsidRPr="009772A3">
        <w:rPr>
          <w:rFonts w:asciiTheme="majorHAnsi" w:hAnsiTheme="majorHAnsi" w:cstheme="majorHAnsi"/>
          <w:sz w:val="24"/>
          <w:szCs w:val="24"/>
          <w:lang w:val="ro-MD"/>
        </w:rPr>
        <w:t xml:space="preserve"> suplimentar sau </w:t>
      </w:r>
      <w:r w:rsidR="00AD46BB" w:rsidRPr="009772A3">
        <w:rPr>
          <w:rFonts w:asciiTheme="majorHAnsi" w:hAnsiTheme="majorHAnsi" w:cstheme="majorHAnsi"/>
          <w:sz w:val="24"/>
          <w:szCs w:val="24"/>
          <w:lang w:val="ro-MD"/>
        </w:rPr>
        <w:t xml:space="preserve">la </w:t>
      </w:r>
      <w:r w:rsidR="00B84F30" w:rsidRPr="009772A3">
        <w:rPr>
          <w:rFonts w:asciiTheme="majorHAnsi" w:hAnsiTheme="majorHAnsi" w:cstheme="majorHAnsi"/>
          <w:sz w:val="24"/>
          <w:szCs w:val="24"/>
          <w:lang w:val="ro-MD"/>
        </w:rPr>
        <w:t>capital</w:t>
      </w:r>
      <w:r w:rsidR="00AD46BB" w:rsidRPr="009772A3">
        <w:rPr>
          <w:rFonts w:asciiTheme="majorHAnsi" w:hAnsiTheme="majorHAnsi" w:cstheme="majorHAnsi"/>
          <w:sz w:val="24"/>
          <w:szCs w:val="24"/>
          <w:lang w:val="ro-MD"/>
        </w:rPr>
        <w:t>ul</w:t>
      </w:r>
      <w:r w:rsidR="00B84F30" w:rsidRPr="009772A3">
        <w:rPr>
          <w:rFonts w:asciiTheme="majorHAnsi" w:hAnsiTheme="majorHAnsi" w:cstheme="majorHAnsi"/>
          <w:sz w:val="24"/>
          <w:szCs w:val="24"/>
          <w:lang w:val="ro-MD"/>
        </w:rPr>
        <w:t xml:space="preserve"> nevărsat</w:t>
      </w:r>
      <w:r w:rsidR="00AD46BB"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și ii) aferentă patrimoniului nedepus la momentul fondării SA Gazsnabtranzit și care nu a participat la stingerea datoriilor față de SA Gazprom.</w:t>
      </w:r>
    </w:p>
    <w:p w14:paraId="0BE86AD6" w14:textId="2D311F7C" w:rsidR="00AD46BB" w:rsidRPr="009772A3" w:rsidRDefault="00AD46BB" w:rsidP="00715944">
      <w:pPr>
        <w:pStyle w:val="ListParagraph"/>
        <w:shd w:val="clear" w:color="auto" w:fill="FFFFFF"/>
        <w:spacing w:after="0" w:line="240" w:lineRule="auto"/>
        <w:ind w:left="1429"/>
        <w:jc w:val="right"/>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Tabelul nr.4.1.</w:t>
      </w:r>
      <w:r w:rsidR="00803294">
        <w:rPr>
          <w:rFonts w:asciiTheme="majorHAnsi" w:eastAsia="Times New Roman" w:hAnsiTheme="majorHAnsi" w:cstheme="majorHAnsi"/>
          <w:b/>
          <w:sz w:val="24"/>
          <w:szCs w:val="24"/>
          <w:lang w:val="ro-MD" w:eastAsia="ru-RU"/>
        </w:rPr>
        <w:t>2</w:t>
      </w:r>
      <w:r w:rsidR="00965F1D">
        <w:rPr>
          <w:rFonts w:asciiTheme="majorHAnsi" w:eastAsia="Times New Roman" w:hAnsiTheme="majorHAnsi" w:cstheme="majorHAnsi"/>
          <w:b/>
          <w:sz w:val="24"/>
          <w:szCs w:val="24"/>
          <w:lang w:val="ro-MD" w:eastAsia="ru-RU"/>
        </w:rPr>
        <w:t>.</w:t>
      </w:r>
      <w:r w:rsidR="00803294">
        <w:rPr>
          <w:rFonts w:asciiTheme="majorHAnsi" w:eastAsia="Times New Roman" w:hAnsiTheme="majorHAnsi" w:cstheme="majorHAnsi"/>
          <w:b/>
          <w:sz w:val="24"/>
          <w:szCs w:val="24"/>
          <w:lang w:val="ro-MD" w:eastAsia="ru-RU"/>
        </w:rPr>
        <w:t>2</w:t>
      </w:r>
      <w:r w:rsidRPr="009772A3">
        <w:rPr>
          <w:rFonts w:asciiTheme="majorHAnsi" w:eastAsia="Times New Roman" w:hAnsiTheme="majorHAnsi" w:cstheme="majorHAnsi"/>
          <w:b/>
          <w:sz w:val="24"/>
          <w:szCs w:val="24"/>
          <w:lang w:val="ro-MD" w:eastAsia="ru-RU"/>
        </w:rPr>
        <w:t xml:space="preserve"> </w:t>
      </w:r>
    </w:p>
    <w:p w14:paraId="6E575B85" w14:textId="5091B2C9" w:rsidR="00AD46BB" w:rsidRPr="009772A3" w:rsidRDefault="00965F1D" w:rsidP="00CF3AD4">
      <w:pPr>
        <w:pStyle w:val="ListParagraph"/>
        <w:shd w:val="clear" w:color="auto" w:fill="FFFFFF"/>
        <w:spacing w:after="0" w:line="240" w:lineRule="auto"/>
        <w:ind w:left="0"/>
        <w:jc w:val="center"/>
        <w:rPr>
          <w:rFonts w:asciiTheme="majorHAnsi" w:eastAsia="Times New Roman" w:hAnsiTheme="majorHAnsi" w:cstheme="majorHAnsi"/>
          <w:b/>
          <w:sz w:val="24"/>
          <w:szCs w:val="24"/>
          <w:lang w:val="ro-MD" w:eastAsia="ru-RU"/>
        </w:rPr>
      </w:pPr>
      <w:r>
        <w:rPr>
          <w:rFonts w:asciiTheme="majorHAnsi" w:eastAsia="Times New Roman" w:hAnsiTheme="majorHAnsi" w:cstheme="majorHAnsi"/>
          <w:b/>
          <w:sz w:val="24"/>
          <w:szCs w:val="24"/>
          <w:lang w:val="ro-MD" w:eastAsia="ru-RU"/>
        </w:rPr>
        <w:t>Valoarea patrimonului SA Gazsnabtranzit depus în capitalul social al SA Moldovagaz</w:t>
      </w:r>
    </w:p>
    <w:tbl>
      <w:tblPr>
        <w:tblW w:w="92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2"/>
        <w:gridCol w:w="851"/>
        <w:gridCol w:w="567"/>
        <w:gridCol w:w="708"/>
        <w:gridCol w:w="709"/>
        <w:gridCol w:w="567"/>
        <w:gridCol w:w="851"/>
        <w:gridCol w:w="852"/>
        <w:gridCol w:w="851"/>
        <w:gridCol w:w="850"/>
      </w:tblGrid>
      <w:tr w:rsidR="00B84F30" w:rsidRPr="009772A3" w14:paraId="2ECB275C" w14:textId="77777777" w:rsidTr="00CF3AD4">
        <w:trPr>
          <w:trHeight w:val="20"/>
        </w:trPr>
        <w:tc>
          <w:tcPr>
            <w:tcW w:w="1559" w:type="dxa"/>
            <w:shd w:val="clear" w:color="auto" w:fill="auto"/>
            <w:vAlign w:val="center"/>
            <w:hideMark/>
          </w:tcPr>
          <w:p w14:paraId="06DD3B4A" w14:textId="627A2AF6" w:rsidR="00B84F30" w:rsidRPr="009772A3" w:rsidRDefault="00B84F30" w:rsidP="00AD46BB">
            <w:pPr>
              <w:spacing w:after="0" w:line="240" w:lineRule="auto"/>
              <w:ind w:left="-116" w:right="-107"/>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Fondatorii</w:t>
            </w:r>
          </w:p>
        </w:tc>
        <w:tc>
          <w:tcPr>
            <w:tcW w:w="2270" w:type="dxa"/>
            <w:gridSpan w:val="3"/>
            <w:shd w:val="clear" w:color="auto" w:fill="auto"/>
            <w:vAlign w:val="center"/>
            <w:hideMark/>
          </w:tcPr>
          <w:p w14:paraId="703837DB" w14:textId="77777777" w:rsidR="00B84F30" w:rsidRPr="009772A3" w:rsidRDefault="00B84F30" w:rsidP="00957170">
            <w:pPr>
              <w:spacing w:after="0" w:line="240" w:lineRule="auto"/>
              <w:ind w:left="-116" w:right="-107"/>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Patrimoniu statutar Gazsnabtranzit</w:t>
            </w:r>
          </w:p>
        </w:tc>
        <w:tc>
          <w:tcPr>
            <w:tcW w:w="1984" w:type="dxa"/>
            <w:gridSpan w:val="3"/>
            <w:shd w:val="clear" w:color="auto" w:fill="auto"/>
            <w:vAlign w:val="bottom"/>
            <w:hideMark/>
          </w:tcPr>
          <w:p w14:paraId="37C3D2AE" w14:textId="77777777" w:rsidR="00B84F30" w:rsidRPr="009772A3" w:rsidRDefault="00B84F30" w:rsidP="00957170">
            <w:pPr>
              <w:spacing w:after="0" w:line="240" w:lineRule="auto"/>
              <w:ind w:left="-116" w:right="-107"/>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Cota reală în capitalul social al SA Gazsnabtranzit</w:t>
            </w:r>
          </w:p>
        </w:tc>
        <w:tc>
          <w:tcPr>
            <w:tcW w:w="1703" w:type="dxa"/>
            <w:gridSpan w:val="2"/>
            <w:shd w:val="clear" w:color="auto" w:fill="auto"/>
            <w:vAlign w:val="bottom"/>
            <w:hideMark/>
          </w:tcPr>
          <w:p w14:paraId="6E763C71" w14:textId="276D4226" w:rsidR="00B84F30" w:rsidRPr="009772A3" w:rsidRDefault="00B84F30" w:rsidP="00957170">
            <w:pPr>
              <w:spacing w:after="0" w:line="240" w:lineRule="auto"/>
              <w:ind w:left="-116" w:right="-107"/>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Patrimoniu</w:t>
            </w:r>
            <w:r w:rsidR="00AD46BB" w:rsidRPr="009772A3">
              <w:rPr>
                <w:rFonts w:asciiTheme="majorHAnsi" w:eastAsia="Times New Roman" w:hAnsiTheme="majorHAnsi" w:cstheme="majorHAnsi"/>
                <w:b/>
                <w:sz w:val="16"/>
                <w:szCs w:val="16"/>
                <w:lang w:val="ro-MD"/>
              </w:rPr>
              <w:t>l</w:t>
            </w:r>
            <w:r w:rsidRPr="009772A3">
              <w:rPr>
                <w:rFonts w:asciiTheme="majorHAnsi" w:eastAsia="Times New Roman" w:hAnsiTheme="majorHAnsi" w:cstheme="majorHAnsi"/>
                <w:b/>
                <w:sz w:val="16"/>
                <w:szCs w:val="16"/>
                <w:lang w:val="ro-MD"/>
              </w:rPr>
              <w:t xml:space="preserve"> ce trebuia depus de Gazsnabtranzit</w:t>
            </w:r>
          </w:p>
        </w:tc>
        <w:tc>
          <w:tcPr>
            <w:tcW w:w="1701" w:type="dxa"/>
            <w:gridSpan w:val="2"/>
            <w:shd w:val="clear" w:color="auto" w:fill="auto"/>
            <w:vAlign w:val="bottom"/>
            <w:hideMark/>
          </w:tcPr>
          <w:p w14:paraId="48F9B615" w14:textId="7DFE5332" w:rsidR="00B84F30" w:rsidRPr="009772A3" w:rsidRDefault="00B84F30" w:rsidP="00957170">
            <w:pPr>
              <w:spacing w:after="0" w:line="240" w:lineRule="auto"/>
              <w:ind w:left="-116" w:right="-107"/>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Patrimoniu</w:t>
            </w:r>
            <w:r w:rsidR="00AD46BB" w:rsidRPr="009772A3">
              <w:rPr>
                <w:rFonts w:asciiTheme="majorHAnsi" w:eastAsia="Times New Roman" w:hAnsiTheme="majorHAnsi" w:cstheme="majorHAnsi"/>
                <w:b/>
                <w:sz w:val="16"/>
                <w:szCs w:val="16"/>
                <w:lang w:val="ro-MD"/>
              </w:rPr>
              <w:t>l</w:t>
            </w:r>
            <w:r w:rsidRPr="009772A3">
              <w:rPr>
                <w:rFonts w:asciiTheme="majorHAnsi" w:eastAsia="Times New Roman" w:hAnsiTheme="majorHAnsi" w:cstheme="majorHAnsi"/>
                <w:b/>
                <w:sz w:val="16"/>
                <w:szCs w:val="16"/>
                <w:lang w:val="ro-MD"/>
              </w:rPr>
              <w:t xml:space="preserve"> depus de Gazsnabtranzit</w:t>
            </w:r>
          </w:p>
        </w:tc>
      </w:tr>
      <w:tr w:rsidR="00B84F30" w:rsidRPr="009772A3" w14:paraId="7074BCA4" w14:textId="77777777" w:rsidTr="00CF3AD4">
        <w:trPr>
          <w:trHeight w:val="20"/>
        </w:trPr>
        <w:tc>
          <w:tcPr>
            <w:tcW w:w="1559" w:type="dxa"/>
            <w:shd w:val="clear" w:color="auto" w:fill="auto"/>
            <w:vAlign w:val="center"/>
            <w:hideMark/>
          </w:tcPr>
          <w:p w14:paraId="42B1C532"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p>
        </w:tc>
        <w:tc>
          <w:tcPr>
            <w:tcW w:w="852" w:type="dxa"/>
            <w:shd w:val="clear" w:color="auto" w:fill="auto"/>
            <w:vAlign w:val="center"/>
            <w:hideMark/>
          </w:tcPr>
          <w:p w14:paraId="38E6E1A9" w14:textId="30C4C0EC" w:rsidR="00B84F30" w:rsidRPr="009772A3" w:rsidRDefault="00AD46BB"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ii lei</w:t>
            </w:r>
          </w:p>
        </w:tc>
        <w:tc>
          <w:tcPr>
            <w:tcW w:w="851" w:type="dxa"/>
            <w:shd w:val="clear" w:color="auto" w:fill="auto"/>
            <w:vAlign w:val="center"/>
            <w:hideMark/>
          </w:tcPr>
          <w:p w14:paraId="0C6BE9B6" w14:textId="6D933086" w:rsidR="00B84F30" w:rsidRPr="009772A3" w:rsidRDefault="00AD46BB" w:rsidP="00AD46BB">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 xml:space="preserve">ii </w:t>
            </w:r>
            <w:r w:rsidRPr="009772A3">
              <w:rPr>
                <w:rFonts w:asciiTheme="majorHAnsi" w:eastAsia="Times New Roman" w:hAnsiTheme="majorHAnsi" w:cstheme="majorHAnsi"/>
                <w:sz w:val="16"/>
                <w:szCs w:val="16"/>
                <w:lang w:val="ro-MD"/>
              </w:rPr>
              <w:t>dolari SUA</w:t>
            </w:r>
          </w:p>
        </w:tc>
        <w:tc>
          <w:tcPr>
            <w:tcW w:w="567" w:type="dxa"/>
            <w:shd w:val="clear" w:color="auto" w:fill="auto"/>
            <w:vAlign w:val="center"/>
            <w:hideMark/>
          </w:tcPr>
          <w:p w14:paraId="22F1B260"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w:t>
            </w:r>
          </w:p>
        </w:tc>
        <w:tc>
          <w:tcPr>
            <w:tcW w:w="708" w:type="dxa"/>
            <w:shd w:val="clear" w:color="auto" w:fill="auto"/>
            <w:noWrap/>
            <w:vAlign w:val="bottom"/>
            <w:hideMark/>
          </w:tcPr>
          <w:p w14:paraId="2D54DCC0"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mii lei</w:t>
            </w:r>
          </w:p>
        </w:tc>
        <w:tc>
          <w:tcPr>
            <w:tcW w:w="709" w:type="dxa"/>
            <w:shd w:val="clear" w:color="auto" w:fill="auto"/>
            <w:noWrap/>
            <w:vAlign w:val="bottom"/>
            <w:hideMark/>
          </w:tcPr>
          <w:p w14:paraId="2BA57D5B" w14:textId="5FFDFCF0" w:rsidR="00B84F30" w:rsidRPr="009772A3" w:rsidRDefault="00AD46BB" w:rsidP="00AD46BB">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 xml:space="preserve">ii </w:t>
            </w:r>
            <w:r w:rsidRPr="009772A3">
              <w:rPr>
                <w:rFonts w:asciiTheme="majorHAnsi" w:eastAsia="Times New Roman" w:hAnsiTheme="majorHAnsi" w:cstheme="majorHAnsi"/>
                <w:sz w:val="16"/>
                <w:szCs w:val="16"/>
                <w:lang w:val="ro-MD"/>
              </w:rPr>
              <w:t>dolari SUA</w:t>
            </w:r>
          </w:p>
        </w:tc>
        <w:tc>
          <w:tcPr>
            <w:tcW w:w="567" w:type="dxa"/>
            <w:shd w:val="clear" w:color="auto" w:fill="auto"/>
            <w:noWrap/>
            <w:vAlign w:val="bottom"/>
            <w:hideMark/>
          </w:tcPr>
          <w:p w14:paraId="06C6CA1A"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w:t>
            </w:r>
          </w:p>
        </w:tc>
        <w:tc>
          <w:tcPr>
            <w:tcW w:w="851" w:type="dxa"/>
            <w:shd w:val="clear" w:color="auto" w:fill="auto"/>
            <w:noWrap/>
            <w:vAlign w:val="bottom"/>
            <w:hideMark/>
          </w:tcPr>
          <w:p w14:paraId="13440A36"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mii lei</w:t>
            </w:r>
          </w:p>
        </w:tc>
        <w:tc>
          <w:tcPr>
            <w:tcW w:w="852" w:type="dxa"/>
            <w:shd w:val="clear" w:color="auto" w:fill="auto"/>
            <w:noWrap/>
            <w:vAlign w:val="bottom"/>
            <w:hideMark/>
          </w:tcPr>
          <w:p w14:paraId="34486706" w14:textId="20550692" w:rsidR="00B84F30" w:rsidRPr="009772A3" w:rsidRDefault="00AD46BB" w:rsidP="00AD46BB">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 xml:space="preserve">ii </w:t>
            </w:r>
            <w:r w:rsidRPr="009772A3">
              <w:rPr>
                <w:rFonts w:asciiTheme="majorHAnsi" w:eastAsia="Times New Roman" w:hAnsiTheme="majorHAnsi" w:cstheme="majorHAnsi"/>
                <w:sz w:val="16"/>
                <w:szCs w:val="16"/>
                <w:lang w:val="ro-MD"/>
              </w:rPr>
              <w:t>dolari SUA</w:t>
            </w:r>
          </w:p>
        </w:tc>
        <w:tc>
          <w:tcPr>
            <w:tcW w:w="851" w:type="dxa"/>
            <w:shd w:val="clear" w:color="auto" w:fill="auto"/>
            <w:noWrap/>
            <w:vAlign w:val="bottom"/>
            <w:hideMark/>
          </w:tcPr>
          <w:p w14:paraId="58A52DDD"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mii lei</w:t>
            </w:r>
          </w:p>
        </w:tc>
        <w:tc>
          <w:tcPr>
            <w:tcW w:w="850" w:type="dxa"/>
            <w:shd w:val="clear" w:color="auto" w:fill="auto"/>
            <w:noWrap/>
            <w:vAlign w:val="bottom"/>
            <w:hideMark/>
          </w:tcPr>
          <w:p w14:paraId="53DD6B93" w14:textId="3D7015C0" w:rsidR="00B84F30" w:rsidRPr="009772A3" w:rsidRDefault="00AD46BB" w:rsidP="00AD46BB">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 xml:space="preserve">ii </w:t>
            </w:r>
            <w:r w:rsidRPr="009772A3">
              <w:rPr>
                <w:rFonts w:asciiTheme="majorHAnsi" w:eastAsia="Times New Roman" w:hAnsiTheme="majorHAnsi" w:cstheme="majorHAnsi"/>
                <w:sz w:val="16"/>
                <w:szCs w:val="16"/>
                <w:lang w:val="ro-MD"/>
              </w:rPr>
              <w:t>dolari SUA</w:t>
            </w:r>
          </w:p>
        </w:tc>
      </w:tr>
      <w:tr w:rsidR="00F36D95" w:rsidRPr="009772A3" w14:paraId="0F098074" w14:textId="77777777" w:rsidTr="00CF3AD4">
        <w:trPr>
          <w:trHeight w:val="20"/>
        </w:trPr>
        <w:tc>
          <w:tcPr>
            <w:tcW w:w="1559" w:type="dxa"/>
            <w:shd w:val="clear" w:color="auto" w:fill="auto"/>
            <w:vAlign w:val="center"/>
            <w:hideMark/>
          </w:tcPr>
          <w:p w14:paraId="4975E267" w14:textId="0084AD17" w:rsidR="00F36D95" w:rsidRPr="00F36D95" w:rsidRDefault="00F36D95" w:rsidP="00F36D95">
            <w:pPr>
              <w:spacing w:after="0" w:line="240" w:lineRule="auto"/>
              <w:ind w:left="-116" w:right="-107"/>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Guvernul RM</w:t>
            </w:r>
          </w:p>
        </w:tc>
        <w:tc>
          <w:tcPr>
            <w:tcW w:w="852" w:type="dxa"/>
            <w:shd w:val="clear" w:color="auto" w:fill="auto"/>
            <w:noWrap/>
            <w:vAlign w:val="bottom"/>
            <w:hideMark/>
          </w:tcPr>
          <w:p w14:paraId="4A7B68F4"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270335,592</w:t>
            </w:r>
          </w:p>
        </w:tc>
        <w:tc>
          <w:tcPr>
            <w:tcW w:w="851" w:type="dxa"/>
            <w:shd w:val="clear" w:color="auto" w:fill="auto"/>
            <w:noWrap/>
            <w:vAlign w:val="bottom"/>
            <w:hideMark/>
          </w:tcPr>
          <w:p w14:paraId="7B7622D1"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58928,739</w:t>
            </w:r>
          </w:p>
        </w:tc>
        <w:tc>
          <w:tcPr>
            <w:tcW w:w="567" w:type="dxa"/>
            <w:shd w:val="clear" w:color="auto" w:fill="auto"/>
            <w:noWrap/>
            <w:vAlign w:val="bottom"/>
            <w:hideMark/>
          </w:tcPr>
          <w:p w14:paraId="7E22A562"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34,54</w:t>
            </w:r>
          </w:p>
        </w:tc>
        <w:tc>
          <w:tcPr>
            <w:tcW w:w="708" w:type="dxa"/>
            <w:shd w:val="clear" w:color="auto" w:fill="auto"/>
            <w:noWrap/>
            <w:vAlign w:val="bottom"/>
            <w:hideMark/>
          </w:tcPr>
          <w:p w14:paraId="122F8B61"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360322,2</w:t>
            </w:r>
          </w:p>
        </w:tc>
        <w:tc>
          <w:tcPr>
            <w:tcW w:w="709" w:type="dxa"/>
            <w:shd w:val="clear" w:color="auto" w:fill="auto"/>
            <w:noWrap/>
            <w:vAlign w:val="bottom"/>
            <w:hideMark/>
          </w:tcPr>
          <w:p w14:paraId="4502B592"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78544,34</w:t>
            </w:r>
          </w:p>
        </w:tc>
        <w:tc>
          <w:tcPr>
            <w:tcW w:w="567" w:type="dxa"/>
            <w:shd w:val="clear" w:color="auto" w:fill="auto"/>
            <w:noWrap/>
            <w:vAlign w:val="bottom"/>
            <w:hideMark/>
          </w:tcPr>
          <w:p w14:paraId="13FC77C3"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46,03</w:t>
            </w:r>
          </w:p>
        </w:tc>
        <w:tc>
          <w:tcPr>
            <w:tcW w:w="851" w:type="dxa"/>
            <w:shd w:val="clear" w:color="auto" w:fill="auto"/>
            <w:noWrap/>
            <w:vAlign w:val="bottom"/>
            <w:hideMark/>
          </w:tcPr>
          <w:p w14:paraId="578B1F86"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574008,18</w:t>
            </w:r>
          </w:p>
        </w:tc>
        <w:tc>
          <w:tcPr>
            <w:tcW w:w="852" w:type="dxa"/>
            <w:shd w:val="clear" w:color="auto" w:fill="auto"/>
            <w:noWrap/>
            <w:vAlign w:val="bottom"/>
            <w:hideMark/>
          </w:tcPr>
          <w:p w14:paraId="0F452D8D"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125124,40</w:t>
            </w:r>
          </w:p>
        </w:tc>
        <w:tc>
          <w:tcPr>
            <w:tcW w:w="851" w:type="dxa"/>
            <w:shd w:val="clear" w:color="auto" w:fill="auto"/>
            <w:noWrap/>
            <w:vAlign w:val="bottom"/>
            <w:hideMark/>
          </w:tcPr>
          <w:p w14:paraId="6BF133D7" w14:textId="77777777" w:rsidR="00F36D95" w:rsidRPr="009772A3" w:rsidRDefault="00F36D95" w:rsidP="00F36D95">
            <w:pPr>
              <w:spacing w:after="0" w:line="240" w:lineRule="auto"/>
              <w:ind w:left="-116" w:right="-107"/>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xml:space="preserve"> 685109,66   </w:t>
            </w:r>
          </w:p>
        </w:tc>
        <w:tc>
          <w:tcPr>
            <w:tcW w:w="850" w:type="dxa"/>
            <w:shd w:val="clear" w:color="auto" w:fill="auto"/>
            <w:noWrap/>
            <w:vAlign w:val="bottom"/>
            <w:hideMark/>
          </w:tcPr>
          <w:p w14:paraId="1F5EB319"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149342,71</w:t>
            </w:r>
          </w:p>
        </w:tc>
      </w:tr>
      <w:tr w:rsidR="00F36D95" w:rsidRPr="009772A3" w14:paraId="06C699B9" w14:textId="77777777" w:rsidTr="00CF3AD4">
        <w:trPr>
          <w:trHeight w:val="20"/>
        </w:trPr>
        <w:tc>
          <w:tcPr>
            <w:tcW w:w="1559" w:type="dxa"/>
            <w:shd w:val="clear" w:color="auto" w:fill="auto"/>
            <w:vAlign w:val="center"/>
            <w:hideMark/>
          </w:tcPr>
          <w:p w14:paraId="7A91A8B8" w14:textId="7CF101E6" w:rsidR="00F36D95" w:rsidRPr="00F36D95" w:rsidRDefault="00F36D95" w:rsidP="00F36D95">
            <w:pPr>
              <w:spacing w:after="0" w:line="240" w:lineRule="auto"/>
              <w:ind w:left="-116" w:right="-107"/>
              <w:jc w:val="center"/>
              <w:rPr>
                <w:rFonts w:asciiTheme="majorHAnsi" w:eastAsia="Times New Roman" w:hAnsiTheme="majorHAnsi" w:cstheme="majorHAnsi"/>
                <w:sz w:val="16"/>
                <w:szCs w:val="16"/>
                <w:lang w:val="ro-MD"/>
              </w:rPr>
            </w:pPr>
            <w:r w:rsidRPr="00CF3AD4">
              <w:rPr>
                <w:rFonts w:asciiTheme="majorHAnsi" w:eastAsia="Times New Roman" w:hAnsiTheme="majorHAnsi" w:cstheme="majorHAnsi"/>
                <w:sz w:val="16"/>
                <w:szCs w:val="16"/>
                <w:lang w:val="ro-MD"/>
              </w:rPr>
              <w:t>Partea transnistreană</w:t>
            </w:r>
          </w:p>
        </w:tc>
        <w:tc>
          <w:tcPr>
            <w:tcW w:w="852" w:type="dxa"/>
            <w:shd w:val="clear" w:color="auto" w:fill="auto"/>
            <w:noWrap/>
            <w:vAlign w:val="bottom"/>
            <w:hideMark/>
          </w:tcPr>
          <w:p w14:paraId="41029F18"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121042,144</w:t>
            </w:r>
          </w:p>
        </w:tc>
        <w:tc>
          <w:tcPr>
            <w:tcW w:w="851" w:type="dxa"/>
            <w:shd w:val="clear" w:color="auto" w:fill="auto"/>
            <w:noWrap/>
            <w:vAlign w:val="bottom"/>
            <w:hideMark/>
          </w:tcPr>
          <w:p w14:paraId="1C9E2620"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26385,208</w:t>
            </w:r>
          </w:p>
        </w:tc>
        <w:tc>
          <w:tcPr>
            <w:tcW w:w="567" w:type="dxa"/>
            <w:shd w:val="clear" w:color="auto" w:fill="auto"/>
            <w:noWrap/>
            <w:vAlign w:val="bottom"/>
            <w:hideMark/>
          </w:tcPr>
          <w:p w14:paraId="7A295B42"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15,46</w:t>
            </w:r>
          </w:p>
        </w:tc>
        <w:tc>
          <w:tcPr>
            <w:tcW w:w="708" w:type="dxa"/>
            <w:shd w:val="clear" w:color="auto" w:fill="auto"/>
            <w:noWrap/>
            <w:vAlign w:val="bottom"/>
            <w:hideMark/>
          </w:tcPr>
          <w:p w14:paraId="1F9EF7AD"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31055,6</w:t>
            </w:r>
          </w:p>
        </w:tc>
        <w:tc>
          <w:tcPr>
            <w:tcW w:w="709" w:type="dxa"/>
            <w:shd w:val="clear" w:color="auto" w:fill="auto"/>
            <w:noWrap/>
            <w:vAlign w:val="bottom"/>
            <w:hideMark/>
          </w:tcPr>
          <w:p w14:paraId="309075B3"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6769,61</w:t>
            </w:r>
          </w:p>
        </w:tc>
        <w:tc>
          <w:tcPr>
            <w:tcW w:w="567" w:type="dxa"/>
            <w:shd w:val="clear" w:color="auto" w:fill="auto"/>
            <w:noWrap/>
            <w:vAlign w:val="bottom"/>
            <w:hideMark/>
          </w:tcPr>
          <w:p w14:paraId="3100234D"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3,97</w:t>
            </w:r>
          </w:p>
        </w:tc>
        <w:tc>
          <w:tcPr>
            <w:tcW w:w="851" w:type="dxa"/>
            <w:shd w:val="clear" w:color="auto" w:fill="auto"/>
            <w:noWrap/>
            <w:vAlign w:val="bottom"/>
            <w:hideMark/>
          </w:tcPr>
          <w:p w14:paraId="6D57218E"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247799,36</w:t>
            </w:r>
          </w:p>
        </w:tc>
        <w:tc>
          <w:tcPr>
            <w:tcW w:w="852" w:type="dxa"/>
            <w:shd w:val="clear" w:color="auto" w:fill="auto"/>
            <w:noWrap/>
            <w:vAlign w:val="bottom"/>
            <w:hideMark/>
          </w:tcPr>
          <w:p w14:paraId="42AF2398"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54016,21</w:t>
            </w:r>
          </w:p>
        </w:tc>
        <w:tc>
          <w:tcPr>
            <w:tcW w:w="851" w:type="dxa"/>
            <w:shd w:val="clear" w:color="auto" w:fill="auto"/>
            <w:noWrap/>
            <w:vAlign w:val="bottom"/>
            <w:hideMark/>
          </w:tcPr>
          <w:p w14:paraId="53F56458" w14:textId="77777777" w:rsidR="00F36D95" w:rsidRPr="009772A3" w:rsidRDefault="00F36D95" w:rsidP="00F36D95">
            <w:pPr>
              <w:spacing w:after="0" w:line="240" w:lineRule="auto"/>
              <w:ind w:left="-116" w:right="-107"/>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xml:space="preserve"> 322991,83</w:t>
            </w:r>
            <w:r w:rsidRPr="009772A3">
              <w:rPr>
                <w:rStyle w:val="FootnoteReference"/>
                <w:rFonts w:asciiTheme="majorHAnsi" w:eastAsia="Times New Roman" w:hAnsiTheme="majorHAnsi" w:cstheme="majorHAnsi"/>
                <w:sz w:val="16"/>
                <w:szCs w:val="16"/>
                <w:lang w:val="ro-MD"/>
              </w:rPr>
              <w:footnoteReference w:id="29"/>
            </w:r>
          </w:p>
        </w:tc>
        <w:tc>
          <w:tcPr>
            <w:tcW w:w="850" w:type="dxa"/>
            <w:shd w:val="clear" w:color="auto" w:fill="auto"/>
            <w:noWrap/>
            <w:vAlign w:val="bottom"/>
            <w:hideMark/>
          </w:tcPr>
          <w:p w14:paraId="081773EA" w14:textId="77777777" w:rsidR="00F36D95" w:rsidRPr="009772A3" w:rsidRDefault="00F36D95" w:rsidP="00F36D95">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70406,94</w:t>
            </w:r>
          </w:p>
        </w:tc>
      </w:tr>
      <w:tr w:rsidR="00B84F30" w:rsidRPr="009772A3" w14:paraId="7D2CDB7F" w14:textId="77777777" w:rsidTr="00CF3AD4">
        <w:trPr>
          <w:trHeight w:val="20"/>
        </w:trPr>
        <w:tc>
          <w:tcPr>
            <w:tcW w:w="1559" w:type="dxa"/>
            <w:shd w:val="clear" w:color="auto" w:fill="auto"/>
            <w:vAlign w:val="center"/>
            <w:hideMark/>
          </w:tcPr>
          <w:p w14:paraId="0C040D26"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SA Gazprom</w:t>
            </w:r>
          </w:p>
        </w:tc>
        <w:tc>
          <w:tcPr>
            <w:tcW w:w="852" w:type="dxa"/>
            <w:shd w:val="clear" w:color="auto" w:fill="auto"/>
            <w:noWrap/>
            <w:vAlign w:val="bottom"/>
            <w:hideMark/>
          </w:tcPr>
          <w:p w14:paraId="12793476"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391377,736</w:t>
            </w:r>
          </w:p>
        </w:tc>
        <w:tc>
          <w:tcPr>
            <w:tcW w:w="851" w:type="dxa"/>
            <w:shd w:val="clear" w:color="auto" w:fill="auto"/>
            <w:noWrap/>
            <w:vAlign w:val="bottom"/>
            <w:hideMark/>
          </w:tcPr>
          <w:p w14:paraId="4EDE5B8C"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85313,948</w:t>
            </w:r>
          </w:p>
        </w:tc>
        <w:tc>
          <w:tcPr>
            <w:tcW w:w="567" w:type="dxa"/>
            <w:shd w:val="clear" w:color="auto" w:fill="auto"/>
            <w:noWrap/>
            <w:vAlign w:val="bottom"/>
            <w:hideMark/>
          </w:tcPr>
          <w:p w14:paraId="436AEB0B"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50,00</w:t>
            </w:r>
          </w:p>
        </w:tc>
        <w:tc>
          <w:tcPr>
            <w:tcW w:w="708" w:type="dxa"/>
            <w:shd w:val="clear" w:color="auto" w:fill="auto"/>
            <w:noWrap/>
            <w:vAlign w:val="bottom"/>
            <w:hideMark/>
          </w:tcPr>
          <w:p w14:paraId="77C7CF06"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391377,7</w:t>
            </w:r>
          </w:p>
        </w:tc>
        <w:tc>
          <w:tcPr>
            <w:tcW w:w="709" w:type="dxa"/>
            <w:shd w:val="clear" w:color="auto" w:fill="auto"/>
            <w:noWrap/>
            <w:vAlign w:val="bottom"/>
            <w:hideMark/>
          </w:tcPr>
          <w:p w14:paraId="475E04B4"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85313,95</w:t>
            </w:r>
          </w:p>
        </w:tc>
        <w:tc>
          <w:tcPr>
            <w:tcW w:w="567" w:type="dxa"/>
            <w:shd w:val="clear" w:color="auto" w:fill="auto"/>
            <w:noWrap/>
            <w:vAlign w:val="bottom"/>
            <w:hideMark/>
          </w:tcPr>
          <w:p w14:paraId="7CE73A0A"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50,00</w:t>
            </w:r>
          </w:p>
        </w:tc>
        <w:tc>
          <w:tcPr>
            <w:tcW w:w="851" w:type="dxa"/>
            <w:shd w:val="clear" w:color="auto" w:fill="auto"/>
            <w:noWrap/>
            <w:vAlign w:val="bottom"/>
            <w:hideMark/>
          </w:tcPr>
          <w:p w14:paraId="4DAA8ADE" w14:textId="77777777" w:rsidR="00B84F30" w:rsidRPr="009772A3" w:rsidRDefault="00B84F30" w:rsidP="00957170">
            <w:pPr>
              <w:spacing w:after="0" w:line="240" w:lineRule="auto"/>
              <w:ind w:left="-116" w:right="-107"/>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w:t>
            </w:r>
          </w:p>
        </w:tc>
        <w:tc>
          <w:tcPr>
            <w:tcW w:w="852" w:type="dxa"/>
            <w:shd w:val="clear" w:color="auto" w:fill="auto"/>
            <w:noWrap/>
            <w:vAlign w:val="bottom"/>
            <w:hideMark/>
          </w:tcPr>
          <w:p w14:paraId="229E3C98"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0,00</w:t>
            </w:r>
          </w:p>
        </w:tc>
        <w:tc>
          <w:tcPr>
            <w:tcW w:w="851" w:type="dxa"/>
            <w:shd w:val="clear" w:color="auto" w:fill="auto"/>
            <w:noWrap/>
            <w:vAlign w:val="bottom"/>
            <w:hideMark/>
          </w:tcPr>
          <w:p w14:paraId="2B8753CF" w14:textId="77777777" w:rsidR="00B84F30" w:rsidRPr="009772A3" w:rsidRDefault="00B84F30" w:rsidP="00957170">
            <w:pPr>
              <w:spacing w:after="0" w:line="240" w:lineRule="auto"/>
              <w:ind w:left="-116" w:right="-107"/>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w:t>
            </w:r>
          </w:p>
        </w:tc>
        <w:tc>
          <w:tcPr>
            <w:tcW w:w="850" w:type="dxa"/>
            <w:shd w:val="clear" w:color="auto" w:fill="auto"/>
            <w:noWrap/>
            <w:vAlign w:val="bottom"/>
            <w:hideMark/>
          </w:tcPr>
          <w:p w14:paraId="01A6F5B5"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0,00</w:t>
            </w:r>
          </w:p>
        </w:tc>
      </w:tr>
      <w:tr w:rsidR="00B84F30" w:rsidRPr="009772A3" w14:paraId="0A99EB29" w14:textId="77777777" w:rsidTr="00CF3AD4">
        <w:trPr>
          <w:trHeight w:val="20"/>
        </w:trPr>
        <w:tc>
          <w:tcPr>
            <w:tcW w:w="1559" w:type="dxa"/>
            <w:shd w:val="clear" w:color="auto" w:fill="auto"/>
            <w:vAlign w:val="center"/>
            <w:hideMark/>
          </w:tcPr>
          <w:p w14:paraId="32933D0D" w14:textId="77777777" w:rsidR="00B84F30" w:rsidRPr="009772A3" w:rsidRDefault="00B84F30" w:rsidP="00957170">
            <w:pPr>
              <w:spacing w:after="0" w:line="240" w:lineRule="auto"/>
              <w:ind w:left="-116" w:right="-107"/>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Total</w:t>
            </w:r>
          </w:p>
        </w:tc>
        <w:tc>
          <w:tcPr>
            <w:tcW w:w="852" w:type="dxa"/>
            <w:shd w:val="clear" w:color="auto" w:fill="auto"/>
            <w:vAlign w:val="center"/>
            <w:hideMark/>
          </w:tcPr>
          <w:p w14:paraId="5599D74A"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782755,472</w:t>
            </w:r>
          </w:p>
        </w:tc>
        <w:tc>
          <w:tcPr>
            <w:tcW w:w="851" w:type="dxa"/>
            <w:shd w:val="clear" w:color="auto" w:fill="auto"/>
            <w:vAlign w:val="center"/>
            <w:hideMark/>
          </w:tcPr>
          <w:p w14:paraId="09E51B3C"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170627,90</w:t>
            </w:r>
          </w:p>
        </w:tc>
        <w:tc>
          <w:tcPr>
            <w:tcW w:w="567" w:type="dxa"/>
            <w:shd w:val="clear" w:color="auto" w:fill="auto"/>
            <w:noWrap/>
            <w:vAlign w:val="bottom"/>
            <w:hideMark/>
          </w:tcPr>
          <w:p w14:paraId="35528F1C"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100,00</w:t>
            </w:r>
          </w:p>
        </w:tc>
        <w:tc>
          <w:tcPr>
            <w:tcW w:w="708" w:type="dxa"/>
            <w:shd w:val="clear" w:color="auto" w:fill="auto"/>
            <w:noWrap/>
            <w:vAlign w:val="bottom"/>
            <w:hideMark/>
          </w:tcPr>
          <w:p w14:paraId="3B48F57F"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782755,5</w:t>
            </w:r>
          </w:p>
        </w:tc>
        <w:tc>
          <w:tcPr>
            <w:tcW w:w="709" w:type="dxa"/>
            <w:shd w:val="clear" w:color="auto" w:fill="auto"/>
            <w:noWrap/>
            <w:vAlign w:val="bottom"/>
            <w:hideMark/>
          </w:tcPr>
          <w:p w14:paraId="78FED82F"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170627,9</w:t>
            </w:r>
          </w:p>
        </w:tc>
        <w:tc>
          <w:tcPr>
            <w:tcW w:w="567" w:type="dxa"/>
            <w:shd w:val="clear" w:color="auto" w:fill="auto"/>
            <w:noWrap/>
            <w:vAlign w:val="bottom"/>
            <w:hideMark/>
          </w:tcPr>
          <w:p w14:paraId="63B8751D"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100,00</w:t>
            </w:r>
          </w:p>
        </w:tc>
        <w:tc>
          <w:tcPr>
            <w:tcW w:w="851" w:type="dxa"/>
            <w:shd w:val="clear" w:color="auto" w:fill="auto"/>
            <w:noWrap/>
            <w:vAlign w:val="bottom"/>
            <w:hideMark/>
          </w:tcPr>
          <w:p w14:paraId="3671C50F"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821807,54</w:t>
            </w:r>
          </w:p>
        </w:tc>
        <w:tc>
          <w:tcPr>
            <w:tcW w:w="852" w:type="dxa"/>
            <w:shd w:val="clear" w:color="auto" w:fill="auto"/>
            <w:noWrap/>
            <w:vAlign w:val="bottom"/>
            <w:hideMark/>
          </w:tcPr>
          <w:p w14:paraId="45A19D07"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179140,61</w:t>
            </w:r>
          </w:p>
        </w:tc>
        <w:tc>
          <w:tcPr>
            <w:tcW w:w="851" w:type="dxa"/>
            <w:shd w:val="clear" w:color="auto" w:fill="auto"/>
            <w:noWrap/>
            <w:vAlign w:val="bottom"/>
            <w:hideMark/>
          </w:tcPr>
          <w:p w14:paraId="6411E172" w14:textId="77777777" w:rsidR="00B84F30" w:rsidRPr="009772A3" w:rsidRDefault="00B84F30" w:rsidP="00957170">
            <w:pPr>
              <w:spacing w:after="0" w:line="240" w:lineRule="auto"/>
              <w:ind w:left="-116" w:right="-107"/>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1008101,49</w:t>
            </w:r>
          </w:p>
        </w:tc>
        <w:tc>
          <w:tcPr>
            <w:tcW w:w="850" w:type="dxa"/>
            <w:shd w:val="clear" w:color="auto" w:fill="auto"/>
            <w:noWrap/>
            <w:vAlign w:val="bottom"/>
            <w:hideMark/>
          </w:tcPr>
          <w:p w14:paraId="1D02AC55" w14:textId="77777777" w:rsidR="00B84F30" w:rsidRPr="009772A3" w:rsidRDefault="00B84F30" w:rsidP="00957170">
            <w:pPr>
              <w:spacing w:after="0" w:line="240" w:lineRule="auto"/>
              <w:ind w:left="-116" w:right="-107"/>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219749,64</w:t>
            </w:r>
          </w:p>
        </w:tc>
      </w:tr>
    </w:tbl>
    <w:p w14:paraId="23411226" w14:textId="34175A07" w:rsidR="00EF2EA3" w:rsidRPr="009772A3" w:rsidRDefault="00B84F30" w:rsidP="00386D48">
      <w:pPr>
        <w:pStyle w:val="Heading1"/>
        <w:numPr>
          <w:ilvl w:val="2"/>
          <w:numId w:val="2"/>
        </w:numPr>
        <w:spacing w:line="276" w:lineRule="auto"/>
        <w:ind w:left="0" w:firstLine="0"/>
        <w:jc w:val="both"/>
        <w:rPr>
          <w:color w:val="auto"/>
          <w:lang w:val="ro-MD"/>
        </w:rPr>
      </w:pPr>
      <w:bookmarkStart w:id="35" w:name="_Toc119496389"/>
      <w:r w:rsidRPr="009772A3">
        <w:rPr>
          <w:color w:val="auto"/>
          <w:lang w:val="ro-MD"/>
        </w:rPr>
        <w:t>Evidența patrimoniului transmis de acționari la fondarea SA Moldovagaz, precum și a creanțelor și datoriilor aferente s-a efectuat cu multiple deficiențe</w:t>
      </w:r>
      <w:r w:rsidR="00EF2EA3" w:rsidRPr="009772A3">
        <w:rPr>
          <w:color w:val="auto"/>
          <w:lang w:val="ro-MD"/>
        </w:rPr>
        <w:t>.</w:t>
      </w:r>
      <w:bookmarkEnd w:id="35"/>
      <w:r w:rsidR="00EF2EA3" w:rsidRPr="009772A3">
        <w:rPr>
          <w:color w:val="auto"/>
          <w:lang w:val="ro-MD"/>
        </w:rPr>
        <w:t xml:space="preserve">                 </w:t>
      </w:r>
    </w:p>
    <w:p w14:paraId="5C603D89" w14:textId="2DA17E77" w:rsidR="0039264A" w:rsidRPr="009772A3" w:rsidRDefault="00EF2EA3" w:rsidP="00CF3AD4">
      <w:pPr>
        <w:spacing w:after="0"/>
        <w:ind w:firstLine="709"/>
        <w:jc w:val="both"/>
        <w:rPr>
          <w:rFonts w:asciiTheme="majorHAnsi" w:hAnsiTheme="majorHAnsi" w:cstheme="majorHAnsi"/>
          <w:b/>
          <w:sz w:val="24"/>
          <w:szCs w:val="24"/>
          <w:lang w:val="ro-MD"/>
        </w:rPr>
      </w:pPr>
      <w:r w:rsidRPr="009772A3">
        <w:rPr>
          <w:rFonts w:asciiTheme="majorHAnsi" w:hAnsiTheme="majorHAnsi" w:cstheme="majorHAnsi"/>
          <w:b/>
          <w:sz w:val="24"/>
          <w:szCs w:val="24"/>
          <w:lang w:val="ro-MD"/>
        </w:rPr>
        <w:t xml:space="preserve">Efectele </w:t>
      </w:r>
      <w:r w:rsidR="0039264A" w:rsidRPr="009772A3">
        <w:rPr>
          <w:rFonts w:asciiTheme="majorHAnsi" w:hAnsiTheme="majorHAnsi" w:cstheme="majorHAnsi"/>
          <w:b/>
          <w:sz w:val="24"/>
          <w:szCs w:val="24"/>
          <w:lang w:val="ro-MD"/>
        </w:rPr>
        <w:t>deficiențelor respective au produs denatura</w:t>
      </w:r>
      <w:r w:rsidR="00AD46BB" w:rsidRPr="009772A3">
        <w:rPr>
          <w:rFonts w:asciiTheme="majorHAnsi" w:hAnsiTheme="majorHAnsi" w:cstheme="majorHAnsi"/>
          <w:b/>
          <w:sz w:val="24"/>
          <w:szCs w:val="24"/>
          <w:lang w:val="ro-MD"/>
        </w:rPr>
        <w:t>r</w:t>
      </w:r>
      <w:r w:rsidR="0039264A" w:rsidRPr="009772A3">
        <w:rPr>
          <w:rFonts w:asciiTheme="majorHAnsi" w:hAnsiTheme="majorHAnsi" w:cstheme="majorHAnsi"/>
          <w:b/>
          <w:sz w:val="24"/>
          <w:szCs w:val="24"/>
          <w:lang w:val="ro-MD"/>
        </w:rPr>
        <w:t xml:space="preserve">ea conturilor capitalului retras și suplimentar, precum și a datoriilor și creanțelor față de fondatori, menținute și la momentul </w:t>
      </w:r>
      <w:r w:rsidR="007A7C26" w:rsidRPr="009772A3">
        <w:rPr>
          <w:rFonts w:asciiTheme="majorHAnsi" w:hAnsiTheme="majorHAnsi" w:cstheme="majorHAnsi"/>
          <w:b/>
          <w:sz w:val="24"/>
          <w:szCs w:val="24"/>
          <w:lang w:val="ro-MD"/>
        </w:rPr>
        <w:t xml:space="preserve">întocmirii prezentului </w:t>
      </w:r>
      <w:r w:rsidR="001537B0" w:rsidRPr="009772A3">
        <w:rPr>
          <w:rFonts w:asciiTheme="majorHAnsi" w:hAnsiTheme="majorHAnsi" w:cstheme="majorHAnsi"/>
          <w:b/>
          <w:sz w:val="24"/>
          <w:szCs w:val="24"/>
          <w:lang w:val="ro-MD"/>
        </w:rPr>
        <w:t>R</w:t>
      </w:r>
      <w:r w:rsidR="007A7C26" w:rsidRPr="009772A3">
        <w:rPr>
          <w:rFonts w:asciiTheme="majorHAnsi" w:hAnsiTheme="majorHAnsi" w:cstheme="majorHAnsi"/>
          <w:b/>
          <w:sz w:val="24"/>
          <w:szCs w:val="24"/>
          <w:lang w:val="ro-MD"/>
        </w:rPr>
        <w:t>aport</w:t>
      </w:r>
      <w:r w:rsidR="0039264A" w:rsidRPr="009772A3">
        <w:rPr>
          <w:rFonts w:asciiTheme="majorHAnsi" w:hAnsiTheme="majorHAnsi" w:cstheme="majorHAnsi"/>
          <w:b/>
          <w:sz w:val="24"/>
          <w:szCs w:val="24"/>
          <w:lang w:val="ro-MD"/>
        </w:rPr>
        <w:t>.</w:t>
      </w:r>
    </w:p>
    <w:p w14:paraId="0CE96C17" w14:textId="44E2DDC0" w:rsidR="00B84F30" w:rsidRPr="009772A3" w:rsidRDefault="00B84F30" w:rsidP="008000D7">
      <w:pPr>
        <w:pStyle w:val="ListParagraph"/>
        <w:numPr>
          <w:ilvl w:val="0"/>
          <w:numId w:val="21"/>
        </w:numPr>
        <w:shd w:val="clear" w:color="auto" w:fill="FFFFFF" w:themeFill="background1"/>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Conform actului de control al activității SA Moldovagaz pentru 11 luni </w:t>
      </w:r>
      <w:r w:rsidR="005B7146" w:rsidRPr="009772A3">
        <w:rPr>
          <w:rFonts w:asciiTheme="majorHAnsi" w:hAnsiTheme="majorHAnsi" w:cstheme="majorHAnsi"/>
          <w:sz w:val="24"/>
          <w:szCs w:val="24"/>
          <w:lang w:val="ro-MD"/>
        </w:rPr>
        <w:t xml:space="preserve">ale </w:t>
      </w:r>
      <w:r w:rsidRPr="009772A3">
        <w:rPr>
          <w:rFonts w:asciiTheme="majorHAnsi" w:hAnsiTheme="majorHAnsi" w:cstheme="majorHAnsi"/>
          <w:sz w:val="24"/>
          <w:szCs w:val="24"/>
          <w:lang w:val="ro-MD"/>
        </w:rPr>
        <w:t>a</w:t>
      </w:r>
      <w:r w:rsidR="005B7146" w:rsidRPr="009772A3">
        <w:rPr>
          <w:rFonts w:asciiTheme="majorHAnsi" w:hAnsiTheme="majorHAnsi" w:cstheme="majorHAnsi"/>
          <w:sz w:val="24"/>
          <w:szCs w:val="24"/>
          <w:lang w:val="ro-MD"/>
        </w:rPr>
        <w:t xml:space="preserve">nului </w:t>
      </w:r>
      <w:r w:rsidRPr="009772A3">
        <w:rPr>
          <w:rFonts w:asciiTheme="majorHAnsi" w:hAnsiTheme="majorHAnsi" w:cstheme="majorHAnsi"/>
          <w:sz w:val="24"/>
          <w:szCs w:val="24"/>
          <w:lang w:val="ro-MD"/>
        </w:rPr>
        <w:t>2004, întocmit de Comisia de cenzori la 21.02.2005</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constatat că</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determinarea activelor nete depuse în capitalul social al SA Moldovagaz</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nu s-a ținut cont de faptul că unele întreprinderi au reflectat </w:t>
      </w:r>
      <w:r w:rsidR="00200747" w:rsidRPr="009772A3">
        <w:rPr>
          <w:rFonts w:asciiTheme="majorHAnsi" w:hAnsiTheme="majorHAnsi" w:cstheme="majorHAnsi"/>
          <w:sz w:val="24"/>
          <w:szCs w:val="24"/>
          <w:lang w:val="ro-MD"/>
        </w:rPr>
        <w:t xml:space="preserve">incorect </w:t>
      </w:r>
      <w:r w:rsidRPr="009772A3">
        <w:rPr>
          <w:rFonts w:asciiTheme="majorHAnsi" w:hAnsiTheme="majorHAnsi" w:cstheme="majorHAnsi"/>
          <w:sz w:val="24"/>
          <w:szCs w:val="24"/>
          <w:lang w:val="ro-MD"/>
        </w:rPr>
        <w:t>reevaluarea mijloacelor fixe efectuat</w:t>
      </w:r>
      <w:r w:rsidR="00200747"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la situația din 01.07.1997</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loc să fie reflectată la contul din capitalul propriu</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reflectată la conturile de la capitolul datorii (423 „Finanțări cu destinație specială”)</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ceea ce a dus la diminuarea valorii patrimoniului depus în capitalul social cu suma de 442</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027,</w:t>
      </w:r>
      <w:r w:rsidR="00D64B6F">
        <w:rPr>
          <w:rFonts w:asciiTheme="majorHAnsi" w:hAnsiTheme="majorHAnsi" w:cstheme="majorHAnsi"/>
          <w:sz w:val="24"/>
          <w:szCs w:val="24"/>
          <w:lang w:val="ro-MD"/>
        </w:rPr>
        <w:t>7</w:t>
      </w:r>
      <w:r w:rsidR="00D64B6F"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mii lei și, respectiv</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diminuat valoarea investițiilor în entitățile fondate. Ca urmare</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24.02.2005</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acte de predare-primire</w:t>
      </w:r>
      <w:r w:rsidR="0020074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întreprinderile au transmis în </w:t>
      </w:r>
      <w:r w:rsidR="00200747"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 xml:space="preserve">apitalul </w:t>
      </w:r>
      <w:r w:rsidR="00200747" w:rsidRPr="009772A3">
        <w:rPr>
          <w:rFonts w:asciiTheme="majorHAnsi" w:hAnsiTheme="majorHAnsi" w:cstheme="majorHAnsi"/>
          <w:sz w:val="24"/>
          <w:szCs w:val="24"/>
          <w:lang w:val="ro-MD"/>
        </w:rPr>
        <w:t>s</w:t>
      </w:r>
      <w:r w:rsidRPr="009772A3">
        <w:rPr>
          <w:rFonts w:asciiTheme="majorHAnsi" w:hAnsiTheme="majorHAnsi" w:cstheme="majorHAnsi"/>
          <w:sz w:val="24"/>
          <w:szCs w:val="24"/>
          <w:lang w:val="ro-MD"/>
        </w:rPr>
        <w:t>ocial al SA Moldovagaz valoarea netransmisă</w:t>
      </w:r>
      <w:r w:rsidR="00200747" w:rsidRPr="009772A3">
        <w:rPr>
          <w:rFonts w:asciiTheme="majorHAnsi" w:hAnsiTheme="majorHAnsi" w:cstheme="majorHAnsi"/>
          <w:sz w:val="24"/>
          <w:szCs w:val="24"/>
          <w:lang w:val="ro-MD"/>
        </w:rPr>
        <w:t xml:space="preserve"> a patrimoniului</w:t>
      </w:r>
      <w:r w:rsidRPr="009772A3">
        <w:rPr>
          <w:rFonts w:asciiTheme="majorHAnsi" w:hAnsiTheme="majorHAnsi" w:cstheme="majorHAnsi"/>
          <w:sz w:val="24"/>
          <w:szCs w:val="24"/>
          <w:lang w:val="ro-MD"/>
        </w:rPr>
        <w:t xml:space="preserve">. Această tranzacție a fost reflectată în evidența </w:t>
      </w:r>
      <w:r w:rsidR="00200747" w:rsidRPr="009772A3">
        <w:rPr>
          <w:rFonts w:asciiTheme="majorHAnsi" w:hAnsiTheme="majorHAnsi" w:cstheme="majorHAnsi"/>
          <w:sz w:val="24"/>
          <w:szCs w:val="24"/>
          <w:lang w:val="ro-MD"/>
        </w:rPr>
        <w:t xml:space="preserve">contabilă a </w:t>
      </w:r>
      <w:r w:rsidRPr="009772A3">
        <w:rPr>
          <w:rFonts w:asciiTheme="majorHAnsi" w:hAnsiTheme="majorHAnsi" w:cstheme="majorHAnsi"/>
          <w:sz w:val="24"/>
          <w:szCs w:val="24"/>
          <w:lang w:val="ro-MD"/>
        </w:rPr>
        <w:t>SA Moldovagaz în decembrie 2004.</w:t>
      </w:r>
    </w:p>
    <w:p w14:paraId="31EB110C" w14:textId="4E61E43E" w:rsidR="00715944" w:rsidRPr="009772A3" w:rsidRDefault="00200747" w:rsidP="00D115DB">
      <w:pPr>
        <w:shd w:val="clear" w:color="auto" w:fill="FFFFFF"/>
        <w:spacing w:after="0" w:line="276" w:lineRule="auto"/>
        <w:ind w:firstLine="709"/>
        <w:jc w:val="both"/>
        <w:rPr>
          <w:rFonts w:asciiTheme="majorHAnsi" w:eastAsia="Times New Roman" w:hAnsiTheme="majorHAnsi" w:cstheme="majorHAnsi"/>
          <w:b/>
          <w:sz w:val="24"/>
          <w:szCs w:val="24"/>
          <w:lang w:val="ro-MD" w:eastAsia="ru-RU"/>
        </w:rPr>
      </w:pPr>
      <w:r w:rsidRPr="009772A3">
        <w:rPr>
          <w:rFonts w:asciiTheme="majorHAnsi" w:hAnsiTheme="majorHAnsi" w:cstheme="majorHAnsi"/>
          <w:sz w:val="24"/>
          <w:szCs w:val="24"/>
          <w:lang w:val="ro-MD"/>
        </w:rPr>
        <w:t>A</w:t>
      </w:r>
      <w:r w:rsidR="00B84F30" w:rsidRPr="009772A3">
        <w:rPr>
          <w:rFonts w:asciiTheme="majorHAnsi" w:hAnsiTheme="majorHAnsi" w:cstheme="majorHAnsi"/>
          <w:sz w:val="24"/>
          <w:szCs w:val="24"/>
          <w:lang w:val="ro-MD"/>
        </w:rPr>
        <w:t>udit</w:t>
      </w:r>
      <w:r w:rsidRPr="009772A3">
        <w:rPr>
          <w:rFonts w:asciiTheme="majorHAnsi" w:hAnsiTheme="majorHAnsi" w:cstheme="majorHAnsi"/>
          <w:sz w:val="24"/>
          <w:szCs w:val="24"/>
          <w:lang w:val="ro-MD"/>
        </w:rPr>
        <w:t>ul</w:t>
      </w:r>
      <w:r w:rsidR="00B84F30" w:rsidRPr="009772A3">
        <w:rPr>
          <w:rFonts w:asciiTheme="majorHAnsi" w:hAnsiTheme="majorHAnsi" w:cstheme="majorHAnsi"/>
          <w:sz w:val="24"/>
          <w:szCs w:val="24"/>
          <w:lang w:val="ro-MD"/>
        </w:rPr>
        <w:t xml:space="preserve"> constată că valoarea patrimoniului depus în capitalul social al SA Moldovagaz</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cu care trebuia stinsă datoria pentru gazele livrate de SA Gazprom</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nu a corespuns valorii patrimoniului evaluat pentru depunere în capitalul social al SA Moldovagaz. Astfel</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w:t>
      </w:r>
      <w:r w:rsidR="00D115DB" w:rsidRPr="009772A3">
        <w:rPr>
          <w:rFonts w:asciiTheme="majorHAnsi" w:hAnsiTheme="majorHAnsi" w:cstheme="majorHAnsi"/>
          <w:sz w:val="24"/>
          <w:szCs w:val="24"/>
          <w:lang w:val="ro-MD"/>
        </w:rPr>
        <w:t xml:space="preserve">Guvernul </w:t>
      </w:r>
      <w:r w:rsidR="00B84F30" w:rsidRPr="009772A3">
        <w:rPr>
          <w:rFonts w:asciiTheme="majorHAnsi" w:hAnsiTheme="majorHAnsi" w:cstheme="majorHAnsi"/>
          <w:sz w:val="24"/>
          <w:szCs w:val="24"/>
          <w:lang w:val="ro-MD"/>
        </w:rPr>
        <w:t>RM a depus un patrimoniu mai mare cu 15,5 mil.lei</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sau cu 3,38 mil.</w:t>
      </w:r>
      <w:r w:rsidRPr="009772A3">
        <w:rPr>
          <w:rFonts w:asciiTheme="majorHAnsi" w:hAnsiTheme="majorHAnsi" w:cstheme="majorHAnsi"/>
          <w:sz w:val="24"/>
          <w:szCs w:val="24"/>
          <w:lang w:val="ro-MD"/>
        </w:rPr>
        <w:t xml:space="preserve"> dolari SUA</w:t>
      </w:r>
      <w:r w:rsidR="00B84F30" w:rsidRPr="009772A3">
        <w:rPr>
          <w:rFonts w:asciiTheme="majorHAnsi" w:hAnsiTheme="majorHAnsi" w:cstheme="majorHAnsi"/>
          <w:sz w:val="24"/>
          <w:szCs w:val="24"/>
          <w:lang w:val="ro-MD"/>
        </w:rPr>
        <w:t xml:space="preserve">, iar </w:t>
      </w:r>
      <w:r w:rsidR="00D115DB" w:rsidRPr="009772A3">
        <w:rPr>
          <w:rFonts w:asciiTheme="majorHAnsi" w:hAnsiTheme="majorHAnsi" w:cstheme="majorHAnsi"/>
          <w:sz w:val="24"/>
          <w:szCs w:val="24"/>
          <w:lang w:val="ro-MD"/>
        </w:rPr>
        <w:t xml:space="preserve">partea Transnistreană </w:t>
      </w:r>
      <w:r w:rsidR="00B84F30" w:rsidRPr="009772A3">
        <w:rPr>
          <w:rFonts w:asciiTheme="majorHAnsi" w:hAnsiTheme="majorHAnsi" w:cstheme="majorHAnsi"/>
          <w:sz w:val="24"/>
          <w:szCs w:val="24"/>
          <w:lang w:val="ro-MD"/>
        </w:rPr>
        <w:t>nu a depus patrimoniu în sumă de 17,97 mil.lei</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sau de 3,92 mil.</w:t>
      </w:r>
      <w:r w:rsidRPr="009772A3">
        <w:rPr>
          <w:rFonts w:asciiTheme="majorHAnsi" w:hAnsiTheme="majorHAnsi" w:cstheme="majorHAnsi"/>
          <w:sz w:val="24"/>
          <w:szCs w:val="24"/>
          <w:lang w:val="ro-MD"/>
        </w:rPr>
        <w:t xml:space="preserve"> dolari SUA</w:t>
      </w:r>
      <w:r w:rsidR="00B84F30" w:rsidRPr="009772A3">
        <w:rPr>
          <w:rFonts w:asciiTheme="majorHAnsi" w:hAnsiTheme="majorHAnsi" w:cstheme="majorHAnsi"/>
          <w:sz w:val="24"/>
          <w:szCs w:val="24"/>
          <w:lang w:val="ro-MD"/>
        </w:rPr>
        <w:t>. Ca urmare</w:t>
      </w:r>
      <w:r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trebuia efectuat</w:t>
      </w:r>
      <w:r w:rsidRPr="009772A3">
        <w:rPr>
          <w:rFonts w:asciiTheme="majorHAnsi" w:hAnsiTheme="majorHAnsi" w:cstheme="majorHAnsi"/>
          <w:sz w:val="24"/>
          <w:szCs w:val="24"/>
          <w:lang w:val="ro-MD"/>
        </w:rPr>
        <w:t>ă</w:t>
      </w:r>
      <w:r w:rsidR="00B84F30" w:rsidRPr="009772A3">
        <w:rPr>
          <w:rFonts w:asciiTheme="majorHAnsi" w:hAnsiTheme="majorHAnsi" w:cstheme="majorHAnsi"/>
          <w:sz w:val="24"/>
          <w:szCs w:val="24"/>
          <w:lang w:val="ro-MD"/>
        </w:rPr>
        <w:t xml:space="preserve"> înregistrarea unei datorii față de APP în sumă de 15,5 mil. lei și ca capital nevărsat/creanță a părții </w:t>
      </w:r>
      <w:r w:rsidR="00F652E9" w:rsidRPr="009772A3">
        <w:rPr>
          <w:rFonts w:asciiTheme="majorHAnsi" w:hAnsiTheme="majorHAnsi" w:cstheme="majorHAnsi"/>
          <w:sz w:val="24"/>
          <w:szCs w:val="24"/>
          <w:lang w:val="ro-MD"/>
        </w:rPr>
        <w:t>t</w:t>
      </w:r>
      <w:r w:rsidR="00B84F30" w:rsidRPr="009772A3">
        <w:rPr>
          <w:rFonts w:asciiTheme="majorHAnsi" w:hAnsiTheme="majorHAnsi" w:cstheme="majorHAnsi"/>
          <w:sz w:val="24"/>
          <w:szCs w:val="24"/>
          <w:lang w:val="ro-MD"/>
        </w:rPr>
        <w:t>ransnistrene</w:t>
      </w:r>
      <w:r w:rsidR="00D115DB" w:rsidRPr="009772A3">
        <w:rPr>
          <w:rFonts w:asciiTheme="majorHAnsi" w:hAnsiTheme="majorHAnsi" w:cstheme="majorHAnsi"/>
          <w:sz w:val="24"/>
          <w:szCs w:val="24"/>
          <w:lang w:val="ro-MD"/>
        </w:rPr>
        <w:t xml:space="preserve"> </w:t>
      </w:r>
      <w:r w:rsidR="00B84F30" w:rsidRPr="009772A3">
        <w:rPr>
          <w:rFonts w:asciiTheme="majorHAnsi" w:hAnsiTheme="majorHAnsi" w:cstheme="majorHAnsi"/>
          <w:sz w:val="24"/>
          <w:szCs w:val="24"/>
          <w:lang w:val="ro-MD"/>
        </w:rPr>
        <w:t>în sumă de 17,97 mil.lei (3,92 mil.USD).</w:t>
      </w:r>
    </w:p>
    <w:p w14:paraId="1EEB9BA5" w14:textId="1C7E0208" w:rsidR="00220451" w:rsidRPr="009772A3" w:rsidRDefault="00220451" w:rsidP="00CF3AD4">
      <w:pPr>
        <w:pStyle w:val="ListParagraph"/>
        <w:shd w:val="clear" w:color="auto" w:fill="FFFFFF"/>
        <w:spacing w:after="0" w:line="240" w:lineRule="auto"/>
        <w:ind w:left="1429"/>
        <w:jc w:val="right"/>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Tabelul nr.4.1.</w:t>
      </w:r>
      <w:r w:rsidR="00803294">
        <w:rPr>
          <w:rFonts w:asciiTheme="majorHAnsi" w:eastAsia="Times New Roman" w:hAnsiTheme="majorHAnsi" w:cstheme="majorHAnsi"/>
          <w:b/>
          <w:sz w:val="24"/>
          <w:szCs w:val="24"/>
          <w:lang w:val="ro-MD" w:eastAsia="ru-RU"/>
        </w:rPr>
        <w:t>3.1</w:t>
      </w:r>
      <w:r w:rsidRPr="009772A3">
        <w:rPr>
          <w:rFonts w:asciiTheme="majorHAnsi" w:eastAsia="Times New Roman" w:hAnsiTheme="majorHAnsi" w:cstheme="majorHAnsi"/>
          <w:b/>
          <w:sz w:val="24"/>
          <w:szCs w:val="24"/>
          <w:lang w:val="ro-MD" w:eastAsia="ru-RU"/>
        </w:rPr>
        <w:t xml:space="preserve"> </w:t>
      </w:r>
    </w:p>
    <w:p w14:paraId="4FBEC050" w14:textId="2920A8C7" w:rsidR="00220451" w:rsidRPr="009772A3" w:rsidRDefault="00D64B6F" w:rsidP="00CF3AD4">
      <w:pPr>
        <w:pStyle w:val="ListParagraph"/>
        <w:shd w:val="clear" w:color="auto" w:fill="FFFFFF"/>
        <w:spacing w:after="0" w:line="240" w:lineRule="auto"/>
        <w:ind w:left="0"/>
        <w:jc w:val="center"/>
        <w:rPr>
          <w:rFonts w:asciiTheme="majorHAnsi" w:eastAsia="Times New Roman" w:hAnsiTheme="majorHAnsi" w:cstheme="majorHAnsi"/>
          <w:b/>
          <w:sz w:val="24"/>
          <w:szCs w:val="24"/>
          <w:lang w:val="ro-MD" w:eastAsia="ru-RU"/>
        </w:rPr>
      </w:pPr>
      <w:r>
        <w:rPr>
          <w:rFonts w:asciiTheme="majorHAnsi" w:eastAsia="Times New Roman" w:hAnsiTheme="majorHAnsi" w:cstheme="majorHAnsi"/>
          <w:b/>
          <w:sz w:val="24"/>
          <w:szCs w:val="24"/>
          <w:lang w:val="ro-MD" w:eastAsia="ru-RU"/>
        </w:rPr>
        <w:t xml:space="preserve">Valoarea patrimoniului depus în capitalul social al SA Moldovagaz care a participat la stingerea datoriilor față de SA Gazprom </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846"/>
        <w:gridCol w:w="846"/>
        <w:gridCol w:w="580"/>
        <w:gridCol w:w="852"/>
        <w:gridCol w:w="851"/>
        <w:gridCol w:w="567"/>
        <w:gridCol w:w="889"/>
        <w:gridCol w:w="850"/>
      </w:tblGrid>
      <w:tr w:rsidR="00B84F30" w:rsidRPr="009772A3" w14:paraId="443E5D44" w14:textId="77777777" w:rsidTr="00CF3AD4">
        <w:trPr>
          <w:trHeight w:val="20"/>
          <w:jc w:val="center"/>
        </w:trPr>
        <w:tc>
          <w:tcPr>
            <w:tcW w:w="2972" w:type="dxa"/>
            <w:shd w:val="clear" w:color="auto" w:fill="auto"/>
            <w:vAlign w:val="center"/>
            <w:hideMark/>
          </w:tcPr>
          <w:p w14:paraId="62E00AA9" w14:textId="375198B1" w:rsidR="00B84F30" w:rsidRPr="009772A3" w:rsidRDefault="00B84F30" w:rsidP="00BA7349">
            <w:pPr>
              <w:shd w:val="clear" w:color="auto" w:fill="FFFFFF" w:themeFill="background1"/>
              <w:spacing w:after="0" w:line="240" w:lineRule="auto"/>
              <w:jc w:val="center"/>
              <w:rPr>
                <w:rFonts w:asciiTheme="majorHAnsi" w:eastAsia="Times New Roman" w:hAnsiTheme="majorHAnsi" w:cstheme="majorHAnsi"/>
                <w:b/>
                <w:sz w:val="18"/>
                <w:szCs w:val="16"/>
                <w:lang w:val="ro-MD"/>
              </w:rPr>
            </w:pPr>
            <w:r w:rsidRPr="009772A3">
              <w:rPr>
                <w:rFonts w:asciiTheme="majorHAnsi" w:eastAsia="Times New Roman" w:hAnsiTheme="majorHAnsi" w:cstheme="majorHAnsi"/>
                <w:b/>
                <w:sz w:val="18"/>
                <w:szCs w:val="16"/>
                <w:lang w:val="ro-MD"/>
              </w:rPr>
              <w:t>Fondatorii</w:t>
            </w:r>
          </w:p>
        </w:tc>
        <w:tc>
          <w:tcPr>
            <w:tcW w:w="2272" w:type="dxa"/>
            <w:gridSpan w:val="3"/>
            <w:shd w:val="clear" w:color="auto" w:fill="auto"/>
            <w:vAlign w:val="center"/>
            <w:hideMark/>
          </w:tcPr>
          <w:p w14:paraId="4805D72D" w14:textId="4C644145" w:rsidR="00B84F30" w:rsidRPr="009772A3" w:rsidRDefault="00B84F30" w:rsidP="00392E85">
            <w:pPr>
              <w:shd w:val="clear" w:color="auto" w:fill="FFFFFF" w:themeFill="background1"/>
              <w:spacing w:after="0" w:line="240" w:lineRule="auto"/>
              <w:jc w:val="center"/>
              <w:rPr>
                <w:rFonts w:asciiTheme="majorHAnsi" w:eastAsia="Times New Roman" w:hAnsiTheme="majorHAnsi" w:cstheme="majorHAnsi"/>
                <w:b/>
                <w:sz w:val="18"/>
                <w:szCs w:val="16"/>
                <w:lang w:val="ro-MD"/>
              </w:rPr>
            </w:pPr>
            <w:r w:rsidRPr="009772A3">
              <w:rPr>
                <w:rFonts w:asciiTheme="majorHAnsi" w:eastAsia="Times New Roman" w:hAnsiTheme="majorHAnsi" w:cstheme="majorHAnsi"/>
                <w:b/>
                <w:sz w:val="18"/>
                <w:szCs w:val="16"/>
                <w:lang w:val="ro-MD"/>
              </w:rPr>
              <w:t>Patrimoniu</w:t>
            </w:r>
            <w:r w:rsidR="00BA7349" w:rsidRPr="009772A3">
              <w:rPr>
                <w:rFonts w:asciiTheme="majorHAnsi" w:eastAsia="Times New Roman" w:hAnsiTheme="majorHAnsi" w:cstheme="majorHAnsi"/>
                <w:b/>
                <w:sz w:val="18"/>
                <w:szCs w:val="16"/>
                <w:lang w:val="ro-MD"/>
              </w:rPr>
              <w:t>l</w:t>
            </w:r>
            <w:r w:rsidRPr="009772A3">
              <w:rPr>
                <w:rFonts w:asciiTheme="majorHAnsi" w:eastAsia="Times New Roman" w:hAnsiTheme="majorHAnsi" w:cstheme="majorHAnsi"/>
                <w:b/>
                <w:sz w:val="18"/>
                <w:szCs w:val="16"/>
                <w:lang w:val="ro-MD"/>
              </w:rPr>
              <w:t xml:space="preserve"> ce trebuia depus suplimentar</w:t>
            </w:r>
          </w:p>
        </w:tc>
        <w:tc>
          <w:tcPr>
            <w:tcW w:w="2270" w:type="dxa"/>
            <w:gridSpan w:val="3"/>
            <w:shd w:val="clear" w:color="auto" w:fill="auto"/>
            <w:vAlign w:val="center"/>
            <w:hideMark/>
          </w:tcPr>
          <w:p w14:paraId="231CB4C3" w14:textId="3A7783AE" w:rsidR="00B84F30" w:rsidRPr="009772A3" w:rsidRDefault="00B84F30" w:rsidP="00BA7349">
            <w:pPr>
              <w:shd w:val="clear" w:color="auto" w:fill="FFFFFF" w:themeFill="background1"/>
              <w:spacing w:after="0" w:line="240" w:lineRule="auto"/>
              <w:jc w:val="center"/>
              <w:rPr>
                <w:rFonts w:asciiTheme="majorHAnsi" w:eastAsia="Times New Roman" w:hAnsiTheme="majorHAnsi" w:cstheme="majorHAnsi"/>
                <w:b/>
                <w:sz w:val="18"/>
                <w:szCs w:val="16"/>
                <w:lang w:val="ro-MD"/>
              </w:rPr>
            </w:pPr>
            <w:r w:rsidRPr="009772A3">
              <w:rPr>
                <w:rFonts w:asciiTheme="majorHAnsi" w:eastAsia="Times New Roman" w:hAnsiTheme="majorHAnsi" w:cstheme="majorHAnsi"/>
                <w:b/>
                <w:sz w:val="18"/>
                <w:szCs w:val="16"/>
                <w:lang w:val="ro-MD"/>
              </w:rPr>
              <w:t>Patrimoniu</w:t>
            </w:r>
            <w:r w:rsidR="00BA7349" w:rsidRPr="009772A3">
              <w:rPr>
                <w:rFonts w:asciiTheme="majorHAnsi" w:eastAsia="Times New Roman" w:hAnsiTheme="majorHAnsi" w:cstheme="majorHAnsi"/>
                <w:b/>
                <w:sz w:val="18"/>
                <w:szCs w:val="16"/>
                <w:lang w:val="ro-MD"/>
              </w:rPr>
              <w:t>l</w:t>
            </w:r>
            <w:r w:rsidRPr="009772A3">
              <w:rPr>
                <w:rFonts w:asciiTheme="majorHAnsi" w:eastAsia="Times New Roman" w:hAnsiTheme="majorHAnsi" w:cstheme="majorHAnsi"/>
                <w:b/>
                <w:sz w:val="18"/>
                <w:szCs w:val="16"/>
                <w:lang w:val="ro-MD"/>
              </w:rPr>
              <w:t xml:space="preserve"> </w:t>
            </w:r>
            <w:r w:rsidR="00BA7349" w:rsidRPr="009772A3">
              <w:rPr>
                <w:rFonts w:asciiTheme="majorHAnsi" w:eastAsia="Times New Roman" w:hAnsiTheme="majorHAnsi" w:cstheme="majorHAnsi"/>
                <w:b/>
                <w:sz w:val="18"/>
                <w:szCs w:val="16"/>
                <w:lang w:val="ro-MD"/>
              </w:rPr>
              <w:t>suplimentar efectiv</w:t>
            </w:r>
            <w:r w:rsidRPr="009772A3">
              <w:rPr>
                <w:rFonts w:asciiTheme="majorHAnsi" w:eastAsia="Times New Roman" w:hAnsiTheme="majorHAnsi" w:cstheme="majorHAnsi"/>
                <w:b/>
                <w:sz w:val="18"/>
                <w:szCs w:val="16"/>
                <w:lang w:val="ro-MD"/>
              </w:rPr>
              <w:t xml:space="preserve"> depus </w:t>
            </w:r>
          </w:p>
        </w:tc>
        <w:tc>
          <w:tcPr>
            <w:tcW w:w="1739" w:type="dxa"/>
            <w:gridSpan w:val="2"/>
            <w:shd w:val="clear" w:color="auto" w:fill="auto"/>
            <w:vAlign w:val="center"/>
            <w:hideMark/>
          </w:tcPr>
          <w:p w14:paraId="1F4F6765" w14:textId="77777777" w:rsidR="00B84F30" w:rsidRPr="009772A3" w:rsidRDefault="00B84F30" w:rsidP="00392E85">
            <w:pPr>
              <w:shd w:val="clear" w:color="auto" w:fill="FFFFFF" w:themeFill="background1"/>
              <w:spacing w:after="0" w:line="240" w:lineRule="auto"/>
              <w:jc w:val="center"/>
              <w:rPr>
                <w:rFonts w:asciiTheme="majorHAnsi" w:eastAsia="Times New Roman" w:hAnsiTheme="majorHAnsi" w:cstheme="majorHAnsi"/>
                <w:b/>
                <w:sz w:val="18"/>
                <w:szCs w:val="16"/>
                <w:lang w:val="ro-MD"/>
              </w:rPr>
            </w:pPr>
            <w:r w:rsidRPr="009772A3">
              <w:rPr>
                <w:rFonts w:asciiTheme="majorHAnsi" w:eastAsia="Times New Roman" w:hAnsiTheme="majorHAnsi" w:cstheme="majorHAnsi"/>
                <w:b/>
                <w:sz w:val="18"/>
                <w:szCs w:val="16"/>
                <w:lang w:val="ro-MD"/>
              </w:rPr>
              <w:t>Datorii (+) sau creanțe (-) față de fondatori</w:t>
            </w:r>
          </w:p>
        </w:tc>
      </w:tr>
      <w:tr w:rsidR="00B84F30" w:rsidRPr="009772A3" w14:paraId="4CC737DA" w14:textId="77777777" w:rsidTr="00CF3AD4">
        <w:trPr>
          <w:trHeight w:val="20"/>
          <w:jc w:val="center"/>
        </w:trPr>
        <w:tc>
          <w:tcPr>
            <w:tcW w:w="2972" w:type="dxa"/>
            <w:shd w:val="clear" w:color="auto" w:fill="auto"/>
            <w:vAlign w:val="center"/>
            <w:hideMark/>
          </w:tcPr>
          <w:p w14:paraId="278CCFCC" w14:textId="5AE47ADF" w:rsidR="00B84F30" w:rsidRPr="009772A3" w:rsidRDefault="00B84F30" w:rsidP="006137D0">
            <w:pPr>
              <w:shd w:val="clear" w:color="auto" w:fill="FFFFFF" w:themeFill="background1"/>
              <w:spacing w:after="0" w:line="240" w:lineRule="auto"/>
              <w:jc w:val="center"/>
              <w:rPr>
                <w:rFonts w:asciiTheme="majorHAnsi" w:eastAsia="Times New Roman" w:hAnsiTheme="majorHAnsi" w:cstheme="majorHAnsi"/>
                <w:sz w:val="16"/>
                <w:szCs w:val="16"/>
                <w:lang w:val="ro-MD"/>
              </w:rPr>
            </w:pPr>
          </w:p>
        </w:tc>
        <w:tc>
          <w:tcPr>
            <w:tcW w:w="846" w:type="dxa"/>
            <w:shd w:val="clear" w:color="auto" w:fill="auto"/>
            <w:vAlign w:val="center"/>
            <w:hideMark/>
          </w:tcPr>
          <w:p w14:paraId="600C93A2" w14:textId="160380C2" w:rsidR="00B84F30" w:rsidRPr="009772A3" w:rsidRDefault="00562642" w:rsidP="006137D0">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ii lei</w:t>
            </w:r>
          </w:p>
        </w:tc>
        <w:tc>
          <w:tcPr>
            <w:tcW w:w="846" w:type="dxa"/>
            <w:shd w:val="clear" w:color="auto" w:fill="auto"/>
            <w:vAlign w:val="center"/>
            <w:hideMark/>
          </w:tcPr>
          <w:p w14:paraId="5D88957A" w14:textId="09ADA0E5" w:rsidR="00B84F30" w:rsidRPr="009772A3" w:rsidRDefault="00562642" w:rsidP="00562642">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 xml:space="preserve">ii </w:t>
            </w:r>
            <w:r w:rsidRPr="009772A3">
              <w:rPr>
                <w:rFonts w:asciiTheme="majorHAnsi" w:eastAsia="Times New Roman" w:hAnsiTheme="majorHAnsi" w:cstheme="majorHAnsi"/>
                <w:sz w:val="16"/>
                <w:szCs w:val="16"/>
                <w:lang w:val="ro-MD"/>
              </w:rPr>
              <w:t>dolari SUA</w:t>
            </w:r>
          </w:p>
        </w:tc>
        <w:tc>
          <w:tcPr>
            <w:tcW w:w="580" w:type="dxa"/>
            <w:shd w:val="clear" w:color="auto" w:fill="auto"/>
            <w:vAlign w:val="center"/>
            <w:hideMark/>
          </w:tcPr>
          <w:p w14:paraId="5BDB4B2D" w14:textId="77777777" w:rsidR="00B84F30" w:rsidRPr="009772A3" w:rsidRDefault="00B84F30" w:rsidP="006137D0">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w:t>
            </w:r>
          </w:p>
        </w:tc>
        <w:tc>
          <w:tcPr>
            <w:tcW w:w="852" w:type="dxa"/>
            <w:shd w:val="clear" w:color="auto" w:fill="auto"/>
            <w:vAlign w:val="center"/>
            <w:hideMark/>
          </w:tcPr>
          <w:p w14:paraId="06DFDFBB" w14:textId="65022EEE" w:rsidR="00B84F30" w:rsidRPr="009772A3" w:rsidRDefault="00562642" w:rsidP="006137D0">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ii lei</w:t>
            </w:r>
          </w:p>
        </w:tc>
        <w:tc>
          <w:tcPr>
            <w:tcW w:w="851" w:type="dxa"/>
            <w:shd w:val="clear" w:color="auto" w:fill="auto"/>
            <w:vAlign w:val="center"/>
            <w:hideMark/>
          </w:tcPr>
          <w:p w14:paraId="5596CF5D" w14:textId="7CA576B7" w:rsidR="00B84F30" w:rsidRPr="009772A3" w:rsidRDefault="00562642" w:rsidP="00562642">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 xml:space="preserve">ii </w:t>
            </w:r>
            <w:r w:rsidRPr="009772A3">
              <w:rPr>
                <w:rFonts w:asciiTheme="majorHAnsi" w:eastAsia="Times New Roman" w:hAnsiTheme="majorHAnsi" w:cstheme="majorHAnsi"/>
                <w:sz w:val="16"/>
                <w:szCs w:val="16"/>
                <w:lang w:val="ro-MD"/>
              </w:rPr>
              <w:t>dolari SUA</w:t>
            </w:r>
          </w:p>
        </w:tc>
        <w:tc>
          <w:tcPr>
            <w:tcW w:w="567" w:type="dxa"/>
            <w:shd w:val="clear" w:color="auto" w:fill="auto"/>
            <w:vAlign w:val="center"/>
            <w:hideMark/>
          </w:tcPr>
          <w:p w14:paraId="159E191A" w14:textId="77777777" w:rsidR="00B84F30" w:rsidRPr="009772A3" w:rsidRDefault="00B84F30" w:rsidP="006137D0">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w:t>
            </w:r>
          </w:p>
        </w:tc>
        <w:tc>
          <w:tcPr>
            <w:tcW w:w="889" w:type="dxa"/>
            <w:shd w:val="clear" w:color="auto" w:fill="auto"/>
            <w:vAlign w:val="center"/>
            <w:hideMark/>
          </w:tcPr>
          <w:p w14:paraId="6D35A6A7" w14:textId="72C84CEE" w:rsidR="00B84F30" w:rsidRPr="009772A3" w:rsidRDefault="00562642" w:rsidP="006137D0">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ii lei</w:t>
            </w:r>
          </w:p>
        </w:tc>
        <w:tc>
          <w:tcPr>
            <w:tcW w:w="850" w:type="dxa"/>
            <w:shd w:val="clear" w:color="auto" w:fill="auto"/>
            <w:vAlign w:val="center"/>
            <w:hideMark/>
          </w:tcPr>
          <w:p w14:paraId="3E4734F4" w14:textId="640EABF1" w:rsidR="00B84F30" w:rsidRPr="009772A3" w:rsidRDefault="00562642" w:rsidP="00562642">
            <w:pPr>
              <w:shd w:val="clear" w:color="auto" w:fill="FFFFFF" w:themeFill="background1"/>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m</w:t>
            </w:r>
            <w:r w:rsidR="00B84F30" w:rsidRPr="009772A3">
              <w:rPr>
                <w:rFonts w:asciiTheme="majorHAnsi" w:eastAsia="Times New Roman" w:hAnsiTheme="majorHAnsi" w:cstheme="majorHAnsi"/>
                <w:sz w:val="16"/>
                <w:szCs w:val="16"/>
                <w:lang w:val="ro-MD"/>
              </w:rPr>
              <w:t xml:space="preserve">ii </w:t>
            </w:r>
            <w:r w:rsidRPr="009772A3">
              <w:rPr>
                <w:rFonts w:asciiTheme="majorHAnsi" w:eastAsia="Times New Roman" w:hAnsiTheme="majorHAnsi" w:cstheme="majorHAnsi"/>
                <w:sz w:val="16"/>
                <w:szCs w:val="16"/>
                <w:lang w:val="ro-MD"/>
              </w:rPr>
              <w:t>dolari SUA</w:t>
            </w:r>
          </w:p>
        </w:tc>
      </w:tr>
      <w:tr w:rsidR="00B84F30" w:rsidRPr="009772A3" w14:paraId="54A28CA2" w14:textId="77777777" w:rsidTr="00CF3AD4">
        <w:trPr>
          <w:trHeight w:val="20"/>
          <w:jc w:val="center"/>
        </w:trPr>
        <w:tc>
          <w:tcPr>
            <w:tcW w:w="2972" w:type="dxa"/>
            <w:shd w:val="clear" w:color="auto" w:fill="auto"/>
            <w:vAlign w:val="center"/>
            <w:hideMark/>
          </w:tcPr>
          <w:p w14:paraId="11B67D6A" w14:textId="64F792C9" w:rsidR="00B84F30" w:rsidRPr="009772A3" w:rsidRDefault="00D64B6F" w:rsidP="00DD349B">
            <w:pPr>
              <w:shd w:val="clear" w:color="auto" w:fill="FFFFFF" w:themeFill="background1"/>
              <w:spacing w:after="0" w:line="240" w:lineRule="auto"/>
              <w:jc w:val="both"/>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Guvernul RM</w:t>
            </w:r>
          </w:p>
        </w:tc>
        <w:tc>
          <w:tcPr>
            <w:tcW w:w="846" w:type="dxa"/>
            <w:shd w:val="clear" w:color="auto" w:fill="auto"/>
            <w:vAlign w:val="center"/>
            <w:hideMark/>
          </w:tcPr>
          <w:p w14:paraId="20F60F78"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216987,8</w:t>
            </w:r>
          </w:p>
        </w:tc>
        <w:tc>
          <w:tcPr>
            <w:tcW w:w="846" w:type="dxa"/>
            <w:shd w:val="clear" w:color="auto" w:fill="auto"/>
            <w:vAlign w:val="center"/>
            <w:hideMark/>
          </w:tcPr>
          <w:p w14:paraId="1ABC3EC5"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47299,8</w:t>
            </w:r>
          </w:p>
        </w:tc>
        <w:tc>
          <w:tcPr>
            <w:tcW w:w="580" w:type="dxa"/>
            <w:shd w:val="clear" w:color="auto" w:fill="auto"/>
            <w:vAlign w:val="center"/>
            <w:hideMark/>
          </w:tcPr>
          <w:p w14:paraId="42C0CCAE"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39,4</w:t>
            </w:r>
          </w:p>
        </w:tc>
        <w:tc>
          <w:tcPr>
            <w:tcW w:w="852" w:type="dxa"/>
            <w:shd w:val="clear" w:color="auto" w:fill="auto"/>
            <w:vAlign w:val="center"/>
            <w:hideMark/>
          </w:tcPr>
          <w:p w14:paraId="79790321"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232503,9</w:t>
            </w:r>
          </w:p>
        </w:tc>
        <w:tc>
          <w:tcPr>
            <w:tcW w:w="851" w:type="dxa"/>
            <w:shd w:val="clear" w:color="auto" w:fill="auto"/>
            <w:vAlign w:val="center"/>
            <w:hideMark/>
          </w:tcPr>
          <w:p w14:paraId="3279F39D"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50682,1</w:t>
            </w:r>
          </w:p>
        </w:tc>
        <w:tc>
          <w:tcPr>
            <w:tcW w:w="567" w:type="dxa"/>
            <w:shd w:val="clear" w:color="auto" w:fill="auto"/>
            <w:vAlign w:val="center"/>
            <w:hideMark/>
          </w:tcPr>
          <w:p w14:paraId="0B8393CC"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42,3</w:t>
            </w:r>
          </w:p>
        </w:tc>
        <w:tc>
          <w:tcPr>
            <w:tcW w:w="889" w:type="dxa"/>
            <w:shd w:val="clear" w:color="auto" w:fill="auto"/>
            <w:noWrap/>
            <w:vAlign w:val="center"/>
            <w:hideMark/>
          </w:tcPr>
          <w:p w14:paraId="51C9B0B5" w14:textId="77777777" w:rsidR="00B84F30" w:rsidRPr="009772A3" w:rsidRDefault="00B84F30" w:rsidP="00DD349B">
            <w:pPr>
              <w:shd w:val="clear" w:color="auto" w:fill="FFFFFF" w:themeFill="background1"/>
              <w:spacing w:after="0" w:line="240" w:lineRule="auto"/>
              <w:ind w:left="-355" w:firstLine="355"/>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15516,1</w:t>
            </w:r>
          </w:p>
        </w:tc>
        <w:tc>
          <w:tcPr>
            <w:tcW w:w="850" w:type="dxa"/>
            <w:shd w:val="clear" w:color="auto" w:fill="auto"/>
            <w:vAlign w:val="center"/>
            <w:hideMark/>
          </w:tcPr>
          <w:p w14:paraId="418CE10D"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3382,3</w:t>
            </w:r>
          </w:p>
        </w:tc>
      </w:tr>
      <w:tr w:rsidR="00B84F30" w:rsidRPr="009772A3" w14:paraId="45006BE3" w14:textId="77777777" w:rsidTr="00CF3AD4">
        <w:trPr>
          <w:trHeight w:val="20"/>
          <w:jc w:val="center"/>
        </w:trPr>
        <w:tc>
          <w:tcPr>
            <w:tcW w:w="2972" w:type="dxa"/>
            <w:shd w:val="clear" w:color="auto" w:fill="auto"/>
            <w:vAlign w:val="center"/>
            <w:hideMark/>
          </w:tcPr>
          <w:p w14:paraId="7AFA05AE" w14:textId="59F1A358" w:rsidR="00B84F30" w:rsidRPr="009772A3" w:rsidRDefault="00D64B6F" w:rsidP="00562642">
            <w:pPr>
              <w:shd w:val="clear" w:color="auto" w:fill="FFFFFF" w:themeFill="background1"/>
              <w:spacing w:after="0" w:line="240" w:lineRule="auto"/>
              <w:jc w:val="both"/>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 xml:space="preserve">Guvernul </w:t>
            </w:r>
            <w:r w:rsidR="00B84F30" w:rsidRPr="009772A3">
              <w:rPr>
                <w:rFonts w:asciiTheme="majorHAnsi" w:eastAsia="Times New Roman" w:hAnsiTheme="majorHAnsi" w:cstheme="majorHAnsi"/>
                <w:sz w:val="16"/>
                <w:szCs w:val="16"/>
                <w:lang w:val="ro-MD"/>
              </w:rPr>
              <w:t xml:space="preserve">RM pentru </w:t>
            </w:r>
            <w:r w:rsidR="00562642" w:rsidRPr="009772A3">
              <w:rPr>
                <w:rFonts w:asciiTheme="majorHAnsi" w:eastAsia="Times New Roman" w:hAnsiTheme="majorHAnsi" w:cstheme="majorHAnsi"/>
                <w:sz w:val="16"/>
                <w:szCs w:val="16"/>
                <w:lang w:val="ro-MD"/>
              </w:rPr>
              <w:t>G</w:t>
            </w:r>
            <w:r w:rsidR="00B84F30" w:rsidRPr="009772A3">
              <w:rPr>
                <w:rFonts w:asciiTheme="majorHAnsi" w:eastAsia="Times New Roman" w:hAnsiTheme="majorHAnsi" w:cstheme="majorHAnsi"/>
                <w:sz w:val="16"/>
                <w:szCs w:val="16"/>
                <w:lang w:val="ro-MD"/>
              </w:rPr>
              <w:t>azprom</w:t>
            </w:r>
          </w:p>
        </w:tc>
        <w:tc>
          <w:tcPr>
            <w:tcW w:w="846" w:type="dxa"/>
            <w:shd w:val="clear" w:color="auto" w:fill="auto"/>
            <w:vAlign w:val="center"/>
            <w:hideMark/>
          </w:tcPr>
          <w:p w14:paraId="64B8D474"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216987,8</w:t>
            </w:r>
          </w:p>
        </w:tc>
        <w:tc>
          <w:tcPr>
            <w:tcW w:w="846" w:type="dxa"/>
            <w:shd w:val="clear" w:color="auto" w:fill="auto"/>
            <w:vAlign w:val="center"/>
            <w:hideMark/>
          </w:tcPr>
          <w:p w14:paraId="21BB43E1"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47299,8</w:t>
            </w:r>
          </w:p>
        </w:tc>
        <w:tc>
          <w:tcPr>
            <w:tcW w:w="580" w:type="dxa"/>
            <w:shd w:val="clear" w:color="auto" w:fill="auto"/>
            <w:vAlign w:val="center"/>
            <w:hideMark/>
          </w:tcPr>
          <w:p w14:paraId="2827CB22"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39,4</w:t>
            </w:r>
          </w:p>
        </w:tc>
        <w:tc>
          <w:tcPr>
            <w:tcW w:w="852" w:type="dxa"/>
            <w:shd w:val="clear" w:color="auto" w:fill="auto"/>
            <w:vAlign w:val="center"/>
            <w:hideMark/>
          </w:tcPr>
          <w:p w14:paraId="19A89A44"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216987,8</w:t>
            </w:r>
          </w:p>
        </w:tc>
        <w:tc>
          <w:tcPr>
            <w:tcW w:w="851" w:type="dxa"/>
            <w:shd w:val="clear" w:color="auto" w:fill="auto"/>
            <w:vAlign w:val="center"/>
            <w:hideMark/>
          </w:tcPr>
          <w:p w14:paraId="7432DE0B"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47299,8</w:t>
            </w:r>
          </w:p>
        </w:tc>
        <w:tc>
          <w:tcPr>
            <w:tcW w:w="567" w:type="dxa"/>
            <w:shd w:val="clear" w:color="auto" w:fill="auto"/>
            <w:vAlign w:val="center"/>
            <w:hideMark/>
          </w:tcPr>
          <w:p w14:paraId="5E7D46CD"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39,4</w:t>
            </w:r>
          </w:p>
        </w:tc>
        <w:tc>
          <w:tcPr>
            <w:tcW w:w="889" w:type="dxa"/>
            <w:shd w:val="clear" w:color="auto" w:fill="auto"/>
            <w:noWrap/>
            <w:vAlign w:val="center"/>
            <w:hideMark/>
          </w:tcPr>
          <w:p w14:paraId="07121B97"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c>
          <w:tcPr>
            <w:tcW w:w="850" w:type="dxa"/>
            <w:shd w:val="clear" w:color="auto" w:fill="auto"/>
            <w:vAlign w:val="center"/>
            <w:hideMark/>
          </w:tcPr>
          <w:p w14:paraId="5CB91FA9"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r>
      <w:tr w:rsidR="00B84F30" w:rsidRPr="009772A3" w14:paraId="3C0FE961" w14:textId="77777777" w:rsidTr="00CF3AD4">
        <w:trPr>
          <w:trHeight w:val="20"/>
          <w:jc w:val="center"/>
        </w:trPr>
        <w:tc>
          <w:tcPr>
            <w:tcW w:w="2972" w:type="dxa"/>
            <w:shd w:val="clear" w:color="auto" w:fill="auto"/>
            <w:vAlign w:val="center"/>
            <w:hideMark/>
          </w:tcPr>
          <w:p w14:paraId="3C37C6F8" w14:textId="5B460439" w:rsidR="00B84F30" w:rsidRPr="009772A3" w:rsidRDefault="00D64B6F">
            <w:pPr>
              <w:shd w:val="clear" w:color="auto" w:fill="FFFFFF" w:themeFill="background1"/>
              <w:spacing w:after="0" w:line="240" w:lineRule="auto"/>
              <w:jc w:val="both"/>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Partea t</w:t>
            </w:r>
            <w:r w:rsidR="00B84F30" w:rsidRPr="009772A3">
              <w:rPr>
                <w:rFonts w:asciiTheme="majorHAnsi" w:eastAsia="Times New Roman" w:hAnsiTheme="majorHAnsi" w:cstheme="majorHAnsi"/>
                <w:sz w:val="16"/>
                <w:szCs w:val="16"/>
                <w:lang w:val="ro-MD"/>
              </w:rPr>
              <w:t>ransnistr</w:t>
            </w:r>
            <w:r>
              <w:rPr>
                <w:rFonts w:asciiTheme="majorHAnsi" w:eastAsia="Times New Roman" w:hAnsiTheme="majorHAnsi" w:cstheme="majorHAnsi"/>
                <w:sz w:val="16"/>
                <w:szCs w:val="16"/>
                <w:lang w:val="ro-MD"/>
              </w:rPr>
              <w:t>eană</w:t>
            </w:r>
          </w:p>
        </w:tc>
        <w:tc>
          <w:tcPr>
            <w:tcW w:w="846" w:type="dxa"/>
            <w:shd w:val="clear" w:color="auto" w:fill="auto"/>
            <w:vAlign w:val="center"/>
            <w:hideMark/>
          </w:tcPr>
          <w:p w14:paraId="42D8FA53"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58088,5</w:t>
            </w:r>
          </w:p>
        </w:tc>
        <w:tc>
          <w:tcPr>
            <w:tcW w:w="846" w:type="dxa"/>
            <w:shd w:val="clear" w:color="auto" w:fill="auto"/>
            <w:vAlign w:val="center"/>
            <w:hideMark/>
          </w:tcPr>
          <w:p w14:paraId="19082104"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12662,4</w:t>
            </w:r>
          </w:p>
        </w:tc>
        <w:tc>
          <w:tcPr>
            <w:tcW w:w="580" w:type="dxa"/>
            <w:shd w:val="clear" w:color="auto" w:fill="auto"/>
            <w:vAlign w:val="center"/>
            <w:hideMark/>
          </w:tcPr>
          <w:p w14:paraId="67E74847"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10,6</w:t>
            </w:r>
          </w:p>
        </w:tc>
        <w:tc>
          <w:tcPr>
            <w:tcW w:w="852" w:type="dxa"/>
            <w:shd w:val="clear" w:color="auto" w:fill="auto"/>
            <w:vAlign w:val="center"/>
            <w:hideMark/>
          </w:tcPr>
          <w:p w14:paraId="2ECCC3FB"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40111,7</w:t>
            </w:r>
          </w:p>
        </w:tc>
        <w:tc>
          <w:tcPr>
            <w:tcW w:w="851" w:type="dxa"/>
            <w:shd w:val="clear" w:color="auto" w:fill="auto"/>
            <w:vAlign w:val="center"/>
            <w:hideMark/>
          </w:tcPr>
          <w:p w14:paraId="00873527"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8743,7</w:t>
            </w:r>
          </w:p>
        </w:tc>
        <w:tc>
          <w:tcPr>
            <w:tcW w:w="567" w:type="dxa"/>
            <w:shd w:val="clear" w:color="auto" w:fill="auto"/>
            <w:vAlign w:val="center"/>
            <w:hideMark/>
          </w:tcPr>
          <w:p w14:paraId="5E0EB8C9"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7,3</w:t>
            </w:r>
          </w:p>
        </w:tc>
        <w:tc>
          <w:tcPr>
            <w:tcW w:w="889" w:type="dxa"/>
            <w:shd w:val="clear" w:color="auto" w:fill="auto"/>
            <w:noWrap/>
            <w:vAlign w:val="center"/>
            <w:hideMark/>
          </w:tcPr>
          <w:p w14:paraId="75D3E9E2"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-17976,9</w:t>
            </w:r>
          </w:p>
        </w:tc>
        <w:tc>
          <w:tcPr>
            <w:tcW w:w="850" w:type="dxa"/>
            <w:shd w:val="clear" w:color="auto" w:fill="auto"/>
            <w:vAlign w:val="center"/>
            <w:hideMark/>
          </w:tcPr>
          <w:p w14:paraId="5DC079DD"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-3918,7</w:t>
            </w:r>
          </w:p>
        </w:tc>
      </w:tr>
      <w:tr w:rsidR="00B84F30" w:rsidRPr="009772A3" w14:paraId="20398AA8" w14:textId="77777777" w:rsidTr="00CF3AD4">
        <w:trPr>
          <w:trHeight w:val="20"/>
          <w:jc w:val="center"/>
        </w:trPr>
        <w:tc>
          <w:tcPr>
            <w:tcW w:w="2972" w:type="dxa"/>
            <w:shd w:val="clear" w:color="auto" w:fill="auto"/>
            <w:vAlign w:val="center"/>
            <w:hideMark/>
          </w:tcPr>
          <w:p w14:paraId="4978FCC3" w14:textId="77B1AD40" w:rsidR="00B84F30" w:rsidRPr="009772A3" w:rsidRDefault="00D64B6F">
            <w:pPr>
              <w:shd w:val="clear" w:color="auto" w:fill="FFFFFF" w:themeFill="background1"/>
              <w:spacing w:after="0" w:line="240" w:lineRule="auto"/>
              <w:jc w:val="both"/>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Partea t</w:t>
            </w:r>
            <w:r w:rsidR="00B84F30" w:rsidRPr="009772A3">
              <w:rPr>
                <w:rFonts w:asciiTheme="majorHAnsi" w:eastAsia="Times New Roman" w:hAnsiTheme="majorHAnsi" w:cstheme="majorHAnsi"/>
                <w:sz w:val="16"/>
                <w:szCs w:val="16"/>
                <w:lang w:val="ro-MD"/>
              </w:rPr>
              <w:t>ransnistr</w:t>
            </w:r>
            <w:r>
              <w:rPr>
                <w:rFonts w:asciiTheme="majorHAnsi" w:eastAsia="Times New Roman" w:hAnsiTheme="majorHAnsi" w:cstheme="majorHAnsi"/>
                <w:sz w:val="16"/>
                <w:szCs w:val="16"/>
                <w:lang w:val="ro-MD"/>
              </w:rPr>
              <w:t xml:space="preserve">eană </w:t>
            </w:r>
            <w:r w:rsidR="00B84F30" w:rsidRPr="009772A3">
              <w:rPr>
                <w:rFonts w:asciiTheme="majorHAnsi" w:eastAsia="Times New Roman" w:hAnsiTheme="majorHAnsi" w:cstheme="majorHAnsi"/>
                <w:sz w:val="16"/>
                <w:szCs w:val="16"/>
                <w:lang w:val="ro-MD"/>
              </w:rPr>
              <w:t>pentru Gazprom</w:t>
            </w:r>
          </w:p>
        </w:tc>
        <w:tc>
          <w:tcPr>
            <w:tcW w:w="846" w:type="dxa"/>
            <w:shd w:val="clear" w:color="auto" w:fill="auto"/>
            <w:vAlign w:val="center"/>
            <w:hideMark/>
          </w:tcPr>
          <w:p w14:paraId="4185AC77"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58088,5</w:t>
            </w:r>
          </w:p>
        </w:tc>
        <w:tc>
          <w:tcPr>
            <w:tcW w:w="846" w:type="dxa"/>
            <w:shd w:val="clear" w:color="auto" w:fill="auto"/>
            <w:vAlign w:val="center"/>
            <w:hideMark/>
          </w:tcPr>
          <w:p w14:paraId="40363316"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12662,4</w:t>
            </w:r>
          </w:p>
        </w:tc>
        <w:tc>
          <w:tcPr>
            <w:tcW w:w="580" w:type="dxa"/>
            <w:shd w:val="clear" w:color="auto" w:fill="auto"/>
            <w:vAlign w:val="center"/>
            <w:hideMark/>
          </w:tcPr>
          <w:p w14:paraId="7A52B55F"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10,6</w:t>
            </w:r>
          </w:p>
        </w:tc>
        <w:tc>
          <w:tcPr>
            <w:tcW w:w="852" w:type="dxa"/>
            <w:shd w:val="clear" w:color="auto" w:fill="auto"/>
            <w:vAlign w:val="center"/>
            <w:hideMark/>
          </w:tcPr>
          <w:p w14:paraId="5204EA4F"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58088,5</w:t>
            </w:r>
          </w:p>
        </w:tc>
        <w:tc>
          <w:tcPr>
            <w:tcW w:w="851" w:type="dxa"/>
            <w:shd w:val="clear" w:color="auto" w:fill="auto"/>
            <w:vAlign w:val="center"/>
            <w:hideMark/>
          </w:tcPr>
          <w:p w14:paraId="219DA8A6"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12662,4</w:t>
            </w:r>
          </w:p>
        </w:tc>
        <w:tc>
          <w:tcPr>
            <w:tcW w:w="567" w:type="dxa"/>
            <w:shd w:val="clear" w:color="auto" w:fill="auto"/>
            <w:vAlign w:val="center"/>
            <w:hideMark/>
          </w:tcPr>
          <w:p w14:paraId="385BBAE0"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10,6</w:t>
            </w:r>
          </w:p>
        </w:tc>
        <w:tc>
          <w:tcPr>
            <w:tcW w:w="889" w:type="dxa"/>
            <w:shd w:val="clear" w:color="auto" w:fill="auto"/>
            <w:noWrap/>
            <w:vAlign w:val="center"/>
            <w:hideMark/>
          </w:tcPr>
          <w:p w14:paraId="321D03A9"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c>
          <w:tcPr>
            <w:tcW w:w="850" w:type="dxa"/>
            <w:shd w:val="clear" w:color="auto" w:fill="auto"/>
            <w:vAlign w:val="center"/>
            <w:hideMark/>
          </w:tcPr>
          <w:p w14:paraId="1E222D88"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r>
      <w:tr w:rsidR="00B84F30" w:rsidRPr="009772A3" w14:paraId="791AA7CB" w14:textId="77777777" w:rsidTr="00CF3AD4">
        <w:trPr>
          <w:trHeight w:val="20"/>
          <w:jc w:val="center"/>
        </w:trPr>
        <w:tc>
          <w:tcPr>
            <w:tcW w:w="2972" w:type="dxa"/>
            <w:shd w:val="clear" w:color="auto" w:fill="auto"/>
            <w:vAlign w:val="center"/>
            <w:hideMark/>
          </w:tcPr>
          <w:p w14:paraId="5A89171C" w14:textId="77777777" w:rsidR="00B84F30" w:rsidRPr="009772A3" w:rsidRDefault="00B84F30" w:rsidP="00DD349B">
            <w:pPr>
              <w:shd w:val="clear" w:color="auto" w:fill="FFFFFF" w:themeFill="background1"/>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SA Gazprom</w:t>
            </w:r>
          </w:p>
        </w:tc>
        <w:tc>
          <w:tcPr>
            <w:tcW w:w="846" w:type="dxa"/>
            <w:shd w:val="clear" w:color="auto" w:fill="auto"/>
            <w:vAlign w:val="center"/>
            <w:hideMark/>
          </w:tcPr>
          <w:p w14:paraId="58488355"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w:t>
            </w:r>
          </w:p>
        </w:tc>
        <w:tc>
          <w:tcPr>
            <w:tcW w:w="846" w:type="dxa"/>
            <w:shd w:val="clear" w:color="auto" w:fill="auto"/>
            <w:vAlign w:val="center"/>
            <w:hideMark/>
          </w:tcPr>
          <w:p w14:paraId="70E33EE0"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w:t>
            </w:r>
          </w:p>
        </w:tc>
        <w:tc>
          <w:tcPr>
            <w:tcW w:w="580" w:type="dxa"/>
            <w:shd w:val="clear" w:color="auto" w:fill="auto"/>
            <w:vAlign w:val="center"/>
            <w:hideMark/>
          </w:tcPr>
          <w:p w14:paraId="58EFFFE6"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c>
          <w:tcPr>
            <w:tcW w:w="852" w:type="dxa"/>
            <w:shd w:val="clear" w:color="auto" w:fill="auto"/>
            <w:vAlign w:val="center"/>
            <w:hideMark/>
          </w:tcPr>
          <w:p w14:paraId="0A390362"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w:t>
            </w:r>
          </w:p>
        </w:tc>
        <w:tc>
          <w:tcPr>
            <w:tcW w:w="851" w:type="dxa"/>
            <w:shd w:val="clear" w:color="auto" w:fill="auto"/>
            <w:vAlign w:val="center"/>
            <w:hideMark/>
          </w:tcPr>
          <w:p w14:paraId="48437E7F"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 </w:t>
            </w:r>
          </w:p>
        </w:tc>
        <w:tc>
          <w:tcPr>
            <w:tcW w:w="567" w:type="dxa"/>
            <w:shd w:val="clear" w:color="auto" w:fill="auto"/>
            <w:vAlign w:val="center"/>
            <w:hideMark/>
          </w:tcPr>
          <w:p w14:paraId="6058BB4E"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c>
          <w:tcPr>
            <w:tcW w:w="889" w:type="dxa"/>
            <w:shd w:val="clear" w:color="auto" w:fill="auto"/>
            <w:noWrap/>
            <w:vAlign w:val="center"/>
            <w:hideMark/>
          </w:tcPr>
          <w:p w14:paraId="47169220"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c>
          <w:tcPr>
            <w:tcW w:w="850" w:type="dxa"/>
            <w:shd w:val="clear" w:color="auto" w:fill="auto"/>
            <w:vAlign w:val="center"/>
            <w:hideMark/>
          </w:tcPr>
          <w:p w14:paraId="47F0B9F4"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0,0</w:t>
            </w:r>
          </w:p>
        </w:tc>
      </w:tr>
      <w:tr w:rsidR="00B84F30" w:rsidRPr="009772A3" w14:paraId="0398F2EB" w14:textId="77777777" w:rsidTr="00CF3AD4">
        <w:trPr>
          <w:trHeight w:val="20"/>
          <w:jc w:val="center"/>
        </w:trPr>
        <w:tc>
          <w:tcPr>
            <w:tcW w:w="2972" w:type="dxa"/>
            <w:shd w:val="clear" w:color="auto" w:fill="auto"/>
            <w:vAlign w:val="center"/>
            <w:hideMark/>
          </w:tcPr>
          <w:p w14:paraId="0EA41501" w14:textId="77777777" w:rsidR="00B84F30" w:rsidRPr="009772A3" w:rsidRDefault="00B84F30" w:rsidP="00DD349B">
            <w:pPr>
              <w:shd w:val="clear" w:color="auto" w:fill="FFFFFF" w:themeFill="background1"/>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Total</w:t>
            </w:r>
          </w:p>
        </w:tc>
        <w:tc>
          <w:tcPr>
            <w:tcW w:w="846" w:type="dxa"/>
            <w:shd w:val="clear" w:color="auto" w:fill="auto"/>
            <w:vAlign w:val="center"/>
            <w:hideMark/>
          </w:tcPr>
          <w:p w14:paraId="47C67D63"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550152,7</w:t>
            </w:r>
          </w:p>
        </w:tc>
        <w:tc>
          <w:tcPr>
            <w:tcW w:w="846" w:type="dxa"/>
            <w:shd w:val="clear" w:color="auto" w:fill="auto"/>
            <w:vAlign w:val="center"/>
            <w:hideMark/>
          </w:tcPr>
          <w:p w14:paraId="24C51762"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119924,3</w:t>
            </w:r>
          </w:p>
        </w:tc>
        <w:tc>
          <w:tcPr>
            <w:tcW w:w="580" w:type="dxa"/>
            <w:shd w:val="clear" w:color="auto" w:fill="auto"/>
            <w:vAlign w:val="center"/>
            <w:hideMark/>
          </w:tcPr>
          <w:p w14:paraId="381ECAF7"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100,0</w:t>
            </w:r>
          </w:p>
        </w:tc>
        <w:tc>
          <w:tcPr>
            <w:tcW w:w="852" w:type="dxa"/>
            <w:shd w:val="clear" w:color="auto" w:fill="auto"/>
            <w:vAlign w:val="center"/>
            <w:hideMark/>
          </w:tcPr>
          <w:p w14:paraId="105D40B2"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547691,9</w:t>
            </w:r>
          </w:p>
        </w:tc>
        <w:tc>
          <w:tcPr>
            <w:tcW w:w="851" w:type="dxa"/>
            <w:shd w:val="clear" w:color="auto" w:fill="auto"/>
            <w:vAlign w:val="center"/>
            <w:hideMark/>
          </w:tcPr>
          <w:p w14:paraId="6487B3C5"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119387,9</w:t>
            </w:r>
          </w:p>
        </w:tc>
        <w:tc>
          <w:tcPr>
            <w:tcW w:w="567" w:type="dxa"/>
            <w:shd w:val="clear" w:color="auto" w:fill="auto"/>
            <w:vAlign w:val="center"/>
            <w:hideMark/>
          </w:tcPr>
          <w:p w14:paraId="450874DE"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99,6</w:t>
            </w:r>
          </w:p>
        </w:tc>
        <w:tc>
          <w:tcPr>
            <w:tcW w:w="889" w:type="dxa"/>
            <w:shd w:val="clear" w:color="auto" w:fill="auto"/>
            <w:vAlign w:val="center"/>
            <w:hideMark/>
          </w:tcPr>
          <w:p w14:paraId="70783C7E"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-2460,7</w:t>
            </w:r>
          </w:p>
        </w:tc>
        <w:tc>
          <w:tcPr>
            <w:tcW w:w="850" w:type="dxa"/>
            <w:shd w:val="clear" w:color="auto" w:fill="auto"/>
            <w:vAlign w:val="center"/>
            <w:hideMark/>
          </w:tcPr>
          <w:p w14:paraId="4FB5916D" w14:textId="77777777" w:rsidR="00B84F30" w:rsidRPr="009772A3" w:rsidRDefault="00B84F30" w:rsidP="00DD349B">
            <w:pPr>
              <w:shd w:val="clear" w:color="auto" w:fill="FFFFFF" w:themeFill="background1"/>
              <w:spacing w:after="0" w:line="240" w:lineRule="auto"/>
              <w:jc w:val="right"/>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-536,4</w:t>
            </w:r>
          </w:p>
        </w:tc>
      </w:tr>
    </w:tbl>
    <w:p w14:paraId="65AC6802" w14:textId="406F9389" w:rsidR="00B84F30" w:rsidRPr="009772A3" w:rsidRDefault="00B84F30" w:rsidP="00DD349B">
      <w:pPr>
        <w:shd w:val="clear" w:color="auto" w:fill="FFFFFF" w:themeFill="background1"/>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SA Moldovagaz incorect a </w:t>
      </w:r>
      <w:r w:rsidR="00562642" w:rsidRPr="009772A3">
        <w:rPr>
          <w:rFonts w:asciiTheme="majorHAnsi" w:hAnsiTheme="majorHAnsi" w:cstheme="majorHAnsi"/>
          <w:sz w:val="24"/>
          <w:szCs w:val="24"/>
          <w:lang w:val="ro-MD"/>
        </w:rPr>
        <w:t xml:space="preserve">evaluat </w:t>
      </w:r>
      <w:r w:rsidRPr="009772A3">
        <w:rPr>
          <w:rFonts w:asciiTheme="majorHAnsi" w:hAnsiTheme="majorHAnsi" w:cstheme="majorHAnsi"/>
          <w:sz w:val="24"/>
          <w:szCs w:val="24"/>
          <w:lang w:val="ro-MD"/>
        </w:rPr>
        <w:t xml:space="preserve">corectitudinea depunerii patrimoniului respectiv. Astfel, conform </w:t>
      </w:r>
      <w:r w:rsidR="00543DCE"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ctului de revizie a</w:t>
      </w:r>
      <w:r w:rsidR="00543DCE"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comisiei de cenzori din 21.02.2005</w:t>
      </w:r>
      <w:r w:rsidR="00543DC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w:t>
      </w:r>
      <w:r w:rsidR="00543DCE" w:rsidRPr="009772A3">
        <w:rPr>
          <w:rFonts w:asciiTheme="majorHAnsi" w:hAnsiTheme="majorHAnsi" w:cstheme="majorHAnsi"/>
          <w:sz w:val="24"/>
          <w:szCs w:val="24"/>
          <w:lang w:val="ro-MD"/>
        </w:rPr>
        <w:t xml:space="preserve">fost </w:t>
      </w:r>
      <w:r w:rsidRPr="009772A3">
        <w:rPr>
          <w:rFonts w:asciiTheme="majorHAnsi" w:hAnsiTheme="majorHAnsi" w:cstheme="majorHAnsi"/>
          <w:sz w:val="24"/>
          <w:szCs w:val="24"/>
          <w:lang w:val="ro-MD"/>
        </w:rPr>
        <w:t xml:space="preserve">indicat că valoarea patrimoniului depus suplimentar de </w:t>
      </w:r>
      <w:r w:rsidR="001C26F9">
        <w:rPr>
          <w:rFonts w:asciiTheme="majorHAnsi" w:hAnsiTheme="majorHAnsi" w:cstheme="majorHAnsi"/>
          <w:sz w:val="24"/>
          <w:szCs w:val="24"/>
          <w:lang w:val="ro-MD"/>
        </w:rPr>
        <w:t xml:space="preserve">Guvernul </w:t>
      </w:r>
      <w:r w:rsidRPr="009772A3">
        <w:rPr>
          <w:rFonts w:asciiTheme="majorHAnsi" w:hAnsiTheme="majorHAnsi" w:cstheme="majorHAnsi"/>
          <w:sz w:val="24"/>
          <w:szCs w:val="24"/>
          <w:lang w:val="ro-MD"/>
        </w:rPr>
        <w:t xml:space="preserve">RM și </w:t>
      </w:r>
      <w:r w:rsidR="001C26F9">
        <w:rPr>
          <w:rFonts w:asciiTheme="majorHAnsi" w:hAnsiTheme="majorHAnsi" w:cstheme="majorHAnsi"/>
          <w:sz w:val="24"/>
          <w:szCs w:val="24"/>
          <w:lang w:val="ro-MD"/>
        </w:rPr>
        <w:t>partea t</w:t>
      </w:r>
      <w:r w:rsidRPr="009772A3">
        <w:rPr>
          <w:rFonts w:asciiTheme="majorHAnsi" w:hAnsiTheme="majorHAnsi" w:cstheme="majorHAnsi"/>
          <w:sz w:val="24"/>
          <w:szCs w:val="24"/>
          <w:lang w:val="ro-MD"/>
        </w:rPr>
        <w:t>ransnistr</w:t>
      </w:r>
      <w:r w:rsidR="001C26F9">
        <w:rPr>
          <w:rFonts w:asciiTheme="majorHAnsi" w:hAnsiTheme="majorHAnsi" w:cstheme="majorHAnsi"/>
          <w:sz w:val="24"/>
          <w:szCs w:val="24"/>
          <w:lang w:val="ro-MD"/>
        </w:rPr>
        <w:t>eană</w:t>
      </w:r>
      <w:r w:rsidRPr="009772A3">
        <w:rPr>
          <w:rFonts w:asciiTheme="majorHAnsi" w:hAnsiTheme="majorHAnsi" w:cstheme="majorHAnsi"/>
          <w:sz w:val="24"/>
          <w:szCs w:val="24"/>
          <w:lang w:val="ro-MD"/>
        </w:rPr>
        <w:t xml:space="preserve"> a constituit 25</w:t>
      </w:r>
      <w:r w:rsidR="00543DC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106,1 mii lei și, respectiv, 72</w:t>
      </w:r>
      <w:r w:rsidR="00543DC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907,</w:t>
      </w:r>
      <w:r w:rsidR="001C26F9">
        <w:rPr>
          <w:rFonts w:asciiTheme="majorHAnsi" w:hAnsiTheme="majorHAnsi" w:cstheme="majorHAnsi"/>
          <w:sz w:val="24"/>
          <w:szCs w:val="24"/>
          <w:lang w:val="ro-MD"/>
        </w:rPr>
        <w:t>2</w:t>
      </w:r>
      <w:r w:rsidR="001C26F9"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mii lei. Ca urmare</w:t>
      </w:r>
      <w:r w:rsidR="00543DC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decembrie 2004 a fost majorat </w:t>
      </w:r>
      <w:r w:rsidR="00543DCE" w:rsidRPr="009772A3">
        <w:rPr>
          <w:rFonts w:asciiTheme="majorHAnsi" w:hAnsiTheme="majorHAnsi" w:cstheme="majorHAnsi"/>
          <w:sz w:val="24"/>
          <w:szCs w:val="24"/>
          <w:lang w:val="ro-MD"/>
        </w:rPr>
        <w:t xml:space="preserve">nejustificat </w:t>
      </w:r>
      <w:r w:rsidRPr="009772A3">
        <w:rPr>
          <w:rFonts w:asciiTheme="majorHAnsi" w:hAnsiTheme="majorHAnsi" w:cstheme="majorHAnsi"/>
          <w:sz w:val="24"/>
          <w:szCs w:val="24"/>
          <w:lang w:val="ro-MD"/>
        </w:rPr>
        <w:t>capitalul suplimentar a</w:t>
      </w:r>
      <w:r w:rsidR="00543DCE"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SA Moldovagaz</w:t>
      </w:r>
      <w:r w:rsidR="00543DCE" w:rsidRPr="009772A3">
        <w:rPr>
          <w:rFonts w:asciiTheme="majorHAnsi" w:hAnsiTheme="majorHAnsi" w:cstheme="majorHAnsi"/>
          <w:sz w:val="24"/>
          <w:szCs w:val="24"/>
          <w:lang w:val="ro-MD"/>
        </w:rPr>
        <w:t xml:space="preserve"> cu aceste sume</w:t>
      </w:r>
      <w:r w:rsidRPr="009772A3">
        <w:rPr>
          <w:rFonts w:asciiTheme="majorHAnsi" w:hAnsiTheme="majorHAnsi" w:cstheme="majorHAnsi"/>
          <w:sz w:val="24"/>
          <w:szCs w:val="24"/>
          <w:lang w:val="ro-MD"/>
        </w:rPr>
        <w:t xml:space="preserve">. </w:t>
      </w:r>
    </w:p>
    <w:p w14:paraId="221F069F" w14:textId="2B2A1B79" w:rsidR="00B84F30" w:rsidRPr="009772A3" w:rsidRDefault="001C26F9" w:rsidP="00DD349B">
      <w:pPr>
        <w:shd w:val="clear" w:color="auto" w:fill="FFFFFF" w:themeFill="background1"/>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Reieșind din cele indicate, m</w:t>
      </w:r>
      <w:r w:rsidR="00543DCE" w:rsidRPr="009772A3">
        <w:rPr>
          <w:rFonts w:asciiTheme="majorHAnsi" w:hAnsiTheme="majorHAnsi" w:cstheme="majorHAnsi"/>
          <w:sz w:val="24"/>
          <w:szCs w:val="24"/>
          <w:lang w:val="ro-MD"/>
        </w:rPr>
        <w:t>isiunea de audit</w:t>
      </w:r>
      <w:r w:rsidR="00B84F30" w:rsidRPr="009772A3">
        <w:rPr>
          <w:rFonts w:asciiTheme="majorHAnsi" w:hAnsiTheme="majorHAnsi" w:cstheme="majorHAnsi"/>
          <w:sz w:val="24"/>
          <w:szCs w:val="24"/>
          <w:lang w:val="ro-MD"/>
        </w:rPr>
        <w:t xml:space="preserve"> relevă că cotele de participare în capitalul statutar al SA Moldovagaz au fost distribuite neconform, conform </w:t>
      </w:r>
      <w:r w:rsidR="00543DCE" w:rsidRPr="009772A3">
        <w:rPr>
          <w:rFonts w:asciiTheme="majorHAnsi" w:hAnsiTheme="majorHAnsi" w:cstheme="majorHAnsi"/>
          <w:sz w:val="24"/>
          <w:szCs w:val="24"/>
          <w:lang w:val="ro-MD"/>
        </w:rPr>
        <w:t>estim</w:t>
      </w:r>
      <w:r>
        <w:rPr>
          <w:rFonts w:asciiTheme="majorHAnsi" w:hAnsiTheme="majorHAnsi" w:cstheme="majorHAnsi"/>
          <w:sz w:val="24"/>
          <w:szCs w:val="24"/>
          <w:lang w:val="ro-MD"/>
        </w:rPr>
        <w:t>ărilor efectuate de audit</w:t>
      </w:r>
      <w:r w:rsidR="00543DCE" w:rsidRPr="009772A3">
        <w:rPr>
          <w:rFonts w:asciiTheme="majorHAnsi" w:hAnsiTheme="majorHAnsi" w:cstheme="majorHAnsi"/>
          <w:sz w:val="24"/>
          <w:szCs w:val="24"/>
          <w:lang w:val="ro-MD"/>
        </w:rPr>
        <w:t>,</w:t>
      </w:r>
      <w:r>
        <w:rPr>
          <w:rFonts w:asciiTheme="majorHAnsi" w:hAnsiTheme="majorHAnsi" w:cstheme="majorHAnsi"/>
          <w:sz w:val="24"/>
          <w:szCs w:val="24"/>
          <w:lang w:val="ro-MD"/>
        </w:rPr>
        <w:t xml:space="preserve"> acestea urmau să </w:t>
      </w:r>
      <w:r w:rsidRPr="009772A3">
        <w:rPr>
          <w:rFonts w:asciiTheme="majorHAnsi" w:hAnsiTheme="majorHAnsi" w:cstheme="majorHAnsi"/>
          <w:sz w:val="24"/>
          <w:szCs w:val="24"/>
          <w:lang w:val="ro-MD"/>
        </w:rPr>
        <w:t>dețin</w:t>
      </w:r>
      <w:r>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w:t>
      </w:r>
      <w:r w:rsidR="00B84F30" w:rsidRPr="009772A3">
        <w:rPr>
          <w:rFonts w:asciiTheme="majorHAnsi" w:hAnsiTheme="majorHAnsi" w:cstheme="majorHAnsi"/>
          <w:sz w:val="24"/>
          <w:szCs w:val="24"/>
          <w:lang w:val="ro-MD"/>
        </w:rPr>
        <w:t xml:space="preserve">SA Gazprom </w:t>
      </w:r>
      <w:r>
        <w:rPr>
          <w:rFonts w:asciiTheme="majorHAnsi" w:hAnsiTheme="majorHAnsi" w:cstheme="majorHAnsi"/>
          <w:sz w:val="24"/>
          <w:szCs w:val="24"/>
          <w:lang w:val="ro-MD"/>
        </w:rPr>
        <w:t xml:space="preserve">– </w:t>
      </w:r>
      <w:r w:rsidR="00B84F30" w:rsidRPr="009772A3">
        <w:rPr>
          <w:rFonts w:asciiTheme="majorHAnsi" w:hAnsiTheme="majorHAnsi" w:cstheme="majorHAnsi"/>
          <w:sz w:val="24"/>
          <w:szCs w:val="24"/>
          <w:lang w:val="ro-MD"/>
        </w:rPr>
        <w:t xml:space="preserve">50%, </w:t>
      </w:r>
      <w:r w:rsidR="00D115DB" w:rsidRPr="009772A3">
        <w:rPr>
          <w:rFonts w:asciiTheme="majorHAnsi" w:hAnsiTheme="majorHAnsi" w:cstheme="majorHAnsi"/>
          <w:sz w:val="24"/>
          <w:szCs w:val="24"/>
          <w:lang w:val="ro-MD"/>
        </w:rPr>
        <w:t xml:space="preserve">Guvernul </w:t>
      </w:r>
      <w:r w:rsidR="00B84F30" w:rsidRPr="009772A3">
        <w:rPr>
          <w:rFonts w:asciiTheme="majorHAnsi" w:hAnsiTheme="majorHAnsi" w:cstheme="majorHAnsi"/>
          <w:sz w:val="24"/>
          <w:szCs w:val="24"/>
          <w:lang w:val="ro-MD"/>
        </w:rPr>
        <w:t>RM – 43,3%</w:t>
      </w:r>
      <w:r w:rsidR="00543DCE"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și </w:t>
      </w:r>
      <w:r w:rsidR="00D115DB" w:rsidRPr="009772A3">
        <w:rPr>
          <w:rFonts w:asciiTheme="majorHAnsi" w:hAnsiTheme="majorHAnsi" w:cstheme="majorHAnsi"/>
          <w:sz w:val="24"/>
          <w:szCs w:val="24"/>
          <w:lang w:val="ro-MD"/>
        </w:rPr>
        <w:t xml:space="preserve">partea </w:t>
      </w:r>
      <w:r w:rsidR="00B84F30" w:rsidRPr="009772A3">
        <w:rPr>
          <w:rFonts w:asciiTheme="majorHAnsi" w:hAnsiTheme="majorHAnsi" w:cstheme="majorHAnsi"/>
          <w:sz w:val="24"/>
          <w:szCs w:val="24"/>
          <w:lang w:val="ro-MD"/>
        </w:rPr>
        <w:t>Transnistr</w:t>
      </w:r>
      <w:r w:rsidR="00D115DB" w:rsidRPr="009772A3">
        <w:rPr>
          <w:rFonts w:asciiTheme="majorHAnsi" w:hAnsiTheme="majorHAnsi" w:cstheme="majorHAnsi"/>
          <w:sz w:val="24"/>
          <w:szCs w:val="24"/>
          <w:lang w:val="ro-MD"/>
        </w:rPr>
        <w:t>eană</w:t>
      </w:r>
      <w:r w:rsidR="00543DCE" w:rsidRPr="009772A3">
        <w:rPr>
          <w:rFonts w:asciiTheme="majorHAnsi" w:hAnsiTheme="majorHAnsi" w:cstheme="majorHAnsi"/>
          <w:sz w:val="24"/>
          <w:szCs w:val="24"/>
          <w:lang w:val="ro-MD"/>
        </w:rPr>
        <w:t xml:space="preserve"> – </w:t>
      </w:r>
      <w:r w:rsidR="00B84F30" w:rsidRPr="009772A3">
        <w:rPr>
          <w:rFonts w:asciiTheme="majorHAnsi" w:hAnsiTheme="majorHAnsi" w:cstheme="majorHAnsi"/>
          <w:sz w:val="24"/>
          <w:szCs w:val="24"/>
          <w:lang w:val="ro-MD"/>
        </w:rPr>
        <w:t>5,3%.</w:t>
      </w:r>
    </w:p>
    <w:p w14:paraId="6D759385" w14:textId="096CCA6D" w:rsidR="002F5555" w:rsidRPr="009772A3" w:rsidRDefault="002F5555" w:rsidP="002F5555">
      <w:pPr>
        <w:pStyle w:val="ListParagraph"/>
        <w:shd w:val="clear" w:color="auto" w:fill="FFFFFF"/>
        <w:spacing w:after="0" w:line="240" w:lineRule="auto"/>
        <w:ind w:left="1429"/>
        <w:jc w:val="right"/>
        <w:rPr>
          <w:rFonts w:asciiTheme="majorHAnsi" w:eastAsia="Times New Roman" w:hAnsiTheme="majorHAnsi" w:cstheme="majorHAnsi"/>
          <w:b/>
          <w:sz w:val="24"/>
          <w:szCs w:val="24"/>
          <w:lang w:val="ro-MD" w:eastAsia="ru-RU"/>
        </w:rPr>
      </w:pPr>
      <w:r w:rsidRPr="009772A3">
        <w:rPr>
          <w:rFonts w:asciiTheme="majorHAnsi" w:eastAsia="Times New Roman" w:hAnsiTheme="majorHAnsi" w:cstheme="majorHAnsi"/>
          <w:b/>
          <w:sz w:val="24"/>
          <w:szCs w:val="24"/>
          <w:lang w:val="ro-MD" w:eastAsia="ru-RU"/>
        </w:rPr>
        <w:t>Tabelul nr.4.1.</w:t>
      </w:r>
      <w:r w:rsidR="001C26F9">
        <w:rPr>
          <w:rFonts w:asciiTheme="majorHAnsi" w:eastAsia="Times New Roman" w:hAnsiTheme="majorHAnsi" w:cstheme="majorHAnsi"/>
          <w:b/>
          <w:sz w:val="24"/>
          <w:szCs w:val="24"/>
          <w:lang w:val="ro-MD" w:eastAsia="ru-RU"/>
        </w:rPr>
        <w:t>3.2</w:t>
      </w:r>
      <w:r w:rsidR="001C26F9" w:rsidRPr="009772A3">
        <w:rPr>
          <w:rFonts w:asciiTheme="majorHAnsi" w:eastAsia="Times New Roman" w:hAnsiTheme="majorHAnsi" w:cstheme="majorHAnsi"/>
          <w:b/>
          <w:sz w:val="24"/>
          <w:szCs w:val="24"/>
          <w:lang w:val="ro-MD" w:eastAsia="ru-RU"/>
        </w:rPr>
        <w:t xml:space="preserve"> </w:t>
      </w:r>
    </w:p>
    <w:p w14:paraId="52A940D6" w14:textId="2D9E666E" w:rsidR="002F5555" w:rsidRPr="009772A3" w:rsidRDefault="001C26F9" w:rsidP="002F5555">
      <w:pPr>
        <w:pStyle w:val="ListParagraph"/>
        <w:shd w:val="clear" w:color="auto" w:fill="FFFFFF"/>
        <w:spacing w:after="0" w:line="240" w:lineRule="auto"/>
        <w:ind w:left="1429"/>
        <w:rPr>
          <w:rFonts w:asciiTheme="majorHAnsi" w:eastAsia="Times New Roman" w:hAnsiTheme="majorHAnsi" w:cstheme="majorHAnsi"/>
          <w:b/>
          <w:sz w:val="24"/>
          <w:szCs w:val="24"/>
          <w:lang w:val="ro-MD" w:eastAsia="ru-RU"/>
        </w:rPr>
      </w:pPr>
      <w:r>
        <w:rPr>
          <w:rFonts w:asciiTheme="majorHAnsi" w:eastAsia="Times New Roman" w:hAnsiTheme="majorHAnsi" w:cstheme="majorHAnsi"/>
          <w:b/>
          <w:sz w:val="24"/>
          <w:szCs w:val="24"/>
          <w:lang w:val="ro-MD" w:eastAsia="ru-RU"/>
        </w:rPr>
        <w:t>Calculul cotelor de participare în capitalul social al SA Moldovagaz</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77"/>
        <w:gridCol w:w="712"/>
        <w:gridCol w:w="495"/>
        <w:gridCol w:w="786"/>
        <w:gridCol w:w="733"/>
        <w:gridCol w:w="527"/>
        <w:gridCol w:w="46"/>
        <w:gridCol w:w="680"/>
        <w:gridCol w:w="712"/>
        <w:gridCol w:w="485"/>
        <w:gridCol w:w="756"/>
        <w:gridCol w:w="712"/>
        <w:gridCol w:w="530"/>
      </w:tblGrid>
      <w:tr w:rsidR="00B84F30" w:rsidRPr="009772A3" w14:paraId="52433290" w14:textId="77777777" w:rsidTr="00CF3AD4">
        <w:trPr>
          <w:trHeight w:val="20"/>
        </w:trPr>
        <w:tc>
          <w:tcPr>
            <w:tcW w:w="1413" w:type="dxa"/>
            <w:shd w:val="clear" w:color="auto" w:fill="auto"/>
            <w:vAlign w:val="center"/>
            <w:hideMark/>
          </w:tcPr>
          <w:p w14:paraId="0FB8B0A1" w14:textId="4B6D9914" w:rsidR="00B84F30" w:rsidRPr="00D93D05" w:rsidRDefault="00B84F30" w:rsidP="00CF3AD4">
            <w:pPr>
              <w:shd w:val="clear" w:color="auto" w:fill="FFFFFF" w:themeFill="background1"/>
              <w:spacing w:after="0" w:line="240" w:lineRule="auto"/>
              <w:ind w:right="-130"/>
              <w:jc w:val="center"/>
              <w:rPr>
                <w:rFonts w:asciiTheme="majorHAnsi" w:eastAsia="Times New Roman" w:hAnsiTheme="majorHAnsi" w:cstheme="majorHAnsi"/>
                <w:b/>
                <w:sz w:val="14"/>
                <w:szCs w:val="14"/>
                <w:lang w:val="ro-MD"/>
              </w:rPr>
            </w:pPr>
            <w:r w:rsidRPr="0016625B">
              <w:rPr>
                <w:rFonts w:asciiTheme="majorHAnsi" w:eastAsia="Times New Roman" w:hAnsiTheme="majorHAnsi" w:cstheme="majorHAnsi"/>
                <w:b/>
                <w:sz w:val="14"/>
                <w:szCs w:val="14"/>
                <w:lang w:val="ro-MD"/>
              </w:rPr>
              <w:t>Fondatorii</w:t>
            </w:r>
          </w:p>
        </w:tc>
        <w:tc>
          <w:tcPr>
            <w:tcW w:w="1984" w:type="dxa"/>
            <w:gridSpan w:val="3"/>
            <w:shd w:val="clear" w:color="auto" w:fill="auto"/>
            <w:vAlign w:val="center"/>
            <w:hideMark/>
          </w:tcPr>
          <w:p w14:paraId="3B5CBD85" w14:textId="79715F1A" w:rsidR="00B84F30" w:rsidRPr="009772A3" w:rsidRDefault="00B84F30" w:rsidP="00F27F19">
            <w:pPr>
              <w:shd w:val="clear" w:color="auto" w:fill="FFFFFF" w:themeFill="background1"/>
              <w:spacing w:after="0" w:line="240" w:lineRule="auto"/>
              <w:jc w:val="center"/>
              <w:rPr>
                <w:rFonts w:asciiTheme="majorHAnsi" w:eastAsia="Times New Roman" w:hAnsiTheme="majorHAnsi" w:cstheme="majorHAnsi"/>
                <w:b/>
                <w:sz w:val="14"/>
                <w:szCs w:val="16"/>
                <w:lang w:val="ro-MD"/>
              </w:rPr>
            </w:pPr>
            <w:r w:rsidRPr="009772A3">
              <w:rPr>
                <w:rFonts w:asciiTheme="majorHAnsi" w:eastAsia="Times New Roman" w:hAnsiTheme="majorHAnsi" w:cstheme="majorHAnsi"/>
                <w:b/>
                <w:sz w:val="14"/>
                <w:szCs w:val="16"/>
                <w:lang w:val="ro-MD"/>
              </w:rPr>
              <w:t xml:space="preserve">Total capital statutar </w:t>
            </w:r>
            <w:r w:rsidR="00D6081D" w:rsidRPr="009772A3">
              <w:rPr>
                <w:rFonts w:asciiTheme="majorHAnsi" w:eastAsia="Times New Roman" w:hAnsiTheme="majorHAnsi" w:cstheme="majorHAnsi"/>
                <w:b/>
                <w:sz w:val="14"/>
                <w:szCs w:val="16"/>
                <w:lang w:val="ro-MD"/>
              </w:rPr>
              <w:t xml:space="preserve">al </w:t>
            </w:r>
            <w:r w:rsidRPr="009772A3">
              <w:rPr>
                <w:rFonts w:asciiTheme="majorHAnsi" w:eastAsia="Times New Roman" w:hAnsiTheme="majorHAnsi" w:cstheme="majorHAnsi"/>
                <w:b/>
                <w:sz w:val="14"/>
                <w:szCs w:val="16"/>
                <w:lang w:val="ro-MD"/>
              </w:rPr>
              <w:t>SA Moldovagaz</w:t>
            </w:r>
          </w:p>
        </w:tc>
        <w:tc>
          <w:tcPr>
            <w:tcW w:w="2092" w:type="dxa"/>
            <w:gridSpan w:val="4"/>
            <w:shd w:val="clear" w:color="auto" w:fill="auto"/>
            <w:vAlign w:val="center"/>
            <w:hideMark/>
          </w:tcPr>
          <w:p w14:paraId="6FDF7786" w14:textId="4223FB11" w:rsidR="00B84F30" w:rsidRPr="009772A3" w:rsidRDefault="00B84F30" w:rsidP="00D6081D">
            <w:pPr>
              <w:shd w:val="clear" w:color="auto" w:fill="FFFFFF" w:themeFill="background1"/>
              <w:spacing w:after="0" w:line="240" w:lineRule="auto"/>
              <w:jc w:val="center"/>
              <w:rPr>
                <w:rFonts w:asciiTheme="majorHAnsi" w:eastAsia="Times New Roman" w:hAnsiTheme="majorHAnsi" w:cstheme="majorHAnsi"/>
                <w:b/>
                <w:sz w:val="14"/>
                <w:szCs w:val="16"/>
                <w:lang w:val="ro-MD"/>
              </w:rPr>
            </w:pPr>
            <w:r w:rsidRPr="009772A3">
              <w:rPr>
                <w:rFonts w:asciiTheme="majorHAnsi" w:eastAsia="Times New Roman" w:hAnsiTheme="majorHAnsi" w:cstheme="majorHAnsi"/>
                <w:b/>
                <w:sz w:val="14"/>
                <w:szCs w:val="16"/>
                <w:lang w:val="ro-MD"/>
              </w:rPr>
              <w:t xml:space="preserve">Cota </w:t>
            </w:r>
            <w:r w:rsidR="00D6081D" w:rsidRPr="009772A3">
              <w:rPr>
                <w:rFonts w:asciiTheme="majorHAnsi" w:eastAsia="Times New Roman" w:hAnsiTheme="majorHAnsi" w:cstheme="majorHAnsi"/>
                <w:b/>
                <w:sz w:val="14"/>
                <w:szCs w:val="16"/>
                <w:lang w:val="ro-MD"/>
              </w:rPr>
              <w:t>efectivă</w:t>
            </w:r>
            <w:r w:rsidRPr="009772A3">
              <w:rPr>
                <w:rFonts w:asciiTheme="majorHAnsi" w:eastAsia="Times New Roman" w:hAnsiTheme="majorHAnsi" w:cstheme="majorHAnsi"/>
                <w:b/>
                <w:sz w:val="14"/>
                <w:szCs w:val="16"/>
                <w:lang w:val="ro-MD"/>
              </w:rPr>
              <w:t xml:space="preserve"> în capitalul social al SA Gazsnabtranzit</w:t>
            </w:r>
          </w:p>
        </w:tc>
        <w:tc>
          <w:tcPr>
            <w:tcW w:w="1877" w:type="dxa"/>
            <w:gridSpan w:val="3"/>
            <w:shd w:val="clear" w:color="auto" w:fill="auto"/>
            <w:vAlign w:val="center"/>
            <w:hideMark/>
          </w:tcPr>
          <w:p w14:paraId="6AF93235" w14:textId="7989EC74" w:rsidR="00B84F30" w:rsidRPr="009772A3" w:rsidRDefault="00B84F30" w:rsidP="00D6081D">
            <w:pPr>
              <w:shd w:val="clear" w:color="auto" w:fill="FFFFFF" w:themeFill="background1"/>
              <w:spacing w:after="0" w:line="240" w:lineRule="auto"/>
              <w:jc w:val="center"/>
              <w:rPr>
                <w:rFonts w:asciiTheme="majorHAnsi" w:eastAsia="Times New Roman" w:hAnsiTheme="majorHAnsi" w:cstheme="majorHAnsi"/>
                <w:b/>
                <w:sz w:val="14"/>
                <w:szCs w:val="16"/>
                <w:lang w:val="ro-MD"/>
              </w:rPr>
            </w:pPr>
            <w:r w:rsidRPr="009772A3">
              <w:rPr>
                <w:rFonts w:asciiTheme="majorHAnsi" w:eastAsia="Times New Roman" w:hAnsiTheme="majorHAnsi" w:cstheme="majorHAnsi"/>
                <w:b/>
                <w:sz w:val="14"/>
                <w:szCs w:val="16"/>
                <w:lang w:val="ro-MD"/>
              </w:rPr>
              <w:t>Patrimoniu</w:t>
            </w:r>
            <w:r w:rsidR="00D6081D" w:rsidRPr="009772A3">
              <w:rPr>
                <w:rFonts w:asciiTheme="majorHAnsi" w:eastAsia="Times New Roman" w:hAnsiTheme="majorHAnsi" w:cstheme="majorHAnsi"/>
                <w:b/>
                <w:sz w:val="14"/>
                <w:szCs w:val="16"/>
                <w:lang w:val="ro-MD"/>
              </w:rPr>
              <w:t>l</w:t>
            </w:r>
            <w:r w:rsidRPr="009772A3">
              <w:rPr>
                <w:rFonts w:asciiTheme="majorHAnsi" w:eastAsia="Times New Roman" w:hAnsiTheme="majorHAnsi" w:cstheme="majorHAnsi"/>
                <w:b/>
                <w:sz w:val="14"/>
                <w:szCs w:val="16"/>
                <w:lang w:val="ro-MD"/>
              </w:rPr>
              <w:t xml:space="preserve">  suplimentar</w:t>
            </w:r>
            <w:r w:rsidR="00D6081D" w:rsidRPr="009772A3">
              <w:rPr>
                <w:rFonts w:asciiTheme="majorHAnsi" w:eastAsia="Times New Roman" w:hAnsiTheme="majorHAnsi" w:cstheme="majorHAnsi"/>
                <w:b/>
                <w:sz w:val="14"/>
                <w:szCs w:val="16"/>
                <w:lang w:val="ro-MD"/>
              </w:rPr>
              <w:t xml:space="preserve"> efectiv depus</w:t>
            </w:r>
          </w:p>
        </w:tc>
        <w:tc>
          <w:tcPr>
            <w:tcW w:w="1998" w:type="dxa"/>
            <w:gridSpan w:val="3"/>
            <w:shd w:val="clear" w:color="auto" w:fill="auto"/>
            <w:vAlign w:val="center"/>
            <w:hideMark/>
          </w:tcPr>
          <w:p w14:paraId="7508160F" w14:textId="1DE940CE" w:rsidR="00B84F30" w:rsidRPr="009772A3" w:rsidRDefault="00B84F30" w:rsidP="00F27F19">
            <w:pPr>
              <w:shd w:val="clear" w:color="auto" w:fill="FFFFFF" w:themeFill="background1"/>
              <w:spacing w:after="0" w:line="240" w:lineRule="auto"/>
              <w:jc w:val="center"/>
              <w:rPr>
                <w:rFonts w:asciiTheme="majorHAnsi" w:eastAsia="Times New Roman" w:hAnsiTheme="majorHAnsi" w:cstheme="majorHAnsi"/>
                <w:b/>
                <w:sz w:val="14"/>
                <w:szCs w:val="16"/>
                <w:lang w:val="ro-MD"/>
              </w:rPr>
            </w:pPr>
            <w:r w:rsidRPr="009772A3">
              <w:rPr>
                <w:rFonts w:asciiTheme="majorHAnsi" w:eastAsia="Times New Roman" w:hAnsiTheme="majorHAnsi" w:cstheme="majorHAnsi"/>
                <w:b/>
                <w:sz w:val="14"/>
                <w:szCs w:val="16"/>
                <w:lang w:val="ro-MD"/>
              </w:rPr>
              <w:t xml:space="preserve">Valorea </w:t>
            </w:r>
            <w:r w:rsidR="00D6081D" w:rsidRPr="009772A3">
              <w:rPr>
                <w:rFonts w:asciiTheme="majorHAnsi" w:eastAsia="Times New Roman" w:hAnsiTheme="majorHAnsi" w:cstheme="majorHAnsi"/>
                <w:b/>
                <w:sz w:val="14"/>
                <w:szCs w:val="16"/>
                <w:lang w:val="ro-MD"/>
              </w:rPr>
              <w:t>efectivă</w:t>
            </w:r>
            <w:r w:rsidRPr="009772A3">
              <w:rPr>
                <w:rFonts w:asciiTheme="majorHAnsi" w:eastAsia="Times New Roman" w:hAnsiTheme="majorHAnsi" w:cstheme="majorHAnsi"/>
                <w:b/>
                <w:sz w:val="14"/>
                <w:szCs w:val="16"/>
                <w:lang w:val="ro-MD"/>
              </w:rPr>
              <w:t xml:space="preserve">reală a cotelor de participare în capitalul </w:t>
            </w:r>
            <w:r w:rsidR="00D6081D" w:rsidRPr="009772A3">
              <w:rPr>
                <w:rFonts w:asciiTheme="majorHAnsi" w:eastAsia="Times New Roman" w:hAnsiTheme="majorHAnsi" w:cstheme="majorHAnsi"/>
                <w:b/>
                <w:sz w:val="14"/>
                <w:szCs w:val="16"/>
                <w:lang w:val="ro-MD"/>
              </w:rPr>
              <w:t xml:space="preserve">social al </w:t>
            </w:r>
            <w:r w:rsidRPr="009772A3">
              <w:rPr>
                <w:rFonts w:asciiTheme="majorHAnsi" w:eastAsia="Times New Roman" w:hAnsiTheme="majorHAnsi" w:cstheme="majorHAnsi"/>
                <w:b/>
                <w:sz w:val="14"/>
                <w:szCs w:val="16"/>
                <w:lang w:val="ro-MD"/>
              </w:rPr>
              <w:t>SA Moldovagaz</w:t>
            </w:r>
          </w:p>
        </w:tc>
      </w:tr>
      <w:tr w:rsidR="001C26F9" w:rsidRPr="009772A3" w14:paraId="14AF67BA" w14:textId="77777777" w:rsidTr="00CF3AD4">
        <w:trPr>
          <w:trHeight w:val="20"/>
        </w:trPr>
        <w:tc>
          <w:tcPr>
            <w:tcW w:w="1413" w:type="dxa"/>
            <w:shd w:val="clear" w:color="auto" w:fill="auto"/>
            <w:vAlign w:val="center"/>
            <w:hideMark/>
          </w:tcPr>
          <w:p w14:paraId="76F7948D" w14:textId="037C4108" w:rsidR="00B84F30" w:rsidRPr="0016625B" w:rsidRDefault="00B84F30" w:rsidP="00CF3AD4">
            <w:pPr>
              <w:shd w:val="clear" w:color="auto" w:fill="FFFFFF" w:themeFill="background1"/>
              <w:spacing w:after="0" w:line="240" w:lineRule="auto"/>
              <w:ind w:right="-130"/>
              <w:jc w:val="center"/>
              <w:rPr>
                <w:rFonts w:asciiTheme="majorHAnsi" w:eastAsia="Times New Roman" w:hAnsiTheme="majorHAnsi" w:cstheme="majorHAnsi"/>
                <w:sz w:val="14"/>
                <w:szCs w:val="14"/>
                <w:lang w:val="ro-MD"/>
              </w:rPr>
            </w:pPr>
          </w:p>
        </w:tc>
        <w:tc>
          <w:tcPr>
            <w:tcW w:w="777" w:type="dxa"/>
            <w:shd w:val="clear" w:color="auto" w:fill="auto"/>
            <w:vAlign w:val="center"/>
            <w:hideMark/>
          </w:tcPr>
          <w:p w14:paraId="130AE80D" w14:textId="3B411859" w:rsidR="00B84F30" w:rsidRPr="009772A3" w:rsidRDefault="00D6081D" w:rsidP="00CF3AD4">
            <w:pPr>
              <w:shd w:val="clear" w:color="auto" w:fill="FFFFFF" w:themeFill="background1"/>
              <w:spacing w:after="0" w:line="240" w:lineRule="auto"/>
              <w:ind w:left="-111"/>
              <w:jc w:val="both"/>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m</w:t>
            </w:r>
            <w:r w:rsidR="00B84F30" w:rsidRPr="009772A3">
              <w:rPr>
                <w:rFonts w:asciiTheme="majorHAnsi" w:eastAsia="Times New Roman" w:hAnsiTheme="majorHAnsi" w:cstheme="majorHAnsi"/>
                <w:sz w:val="14"/>
                <w:szCs w:val="16"/>
                <w:lang w:val="ro-MD"/>
              </w:rPr>
              <w:t>ii lei</w:t>
            </w:r>
          </w:p>
        </w:tc>
        <w:tc>
          <w:tcPr>
            <w:tcW w:w="712" w:type="dxa"/>
            <w:shd w:val="clear" w:color="auto" w:fill="auto"/>
            <w:vAlign w:val="center"/>
            <w:hideMark/>
          </w:tcPr>
          <w:p w14:paraId="2474F3E5" w14:textId="55062096" w:rsidR="00B84F30" w:rsidRPr="009772A3" w:rsidRDefault="00D6081D" w:rsidP="00CF3AD4">
            <w:pPr>
              <w:shd w:val="clear" w:color="auto" w:fill="FFFFFF" w:themeFill="background1"/>
              <w:spacing w:after="0" w:line="240" w:lineRule="auto"/>
              <w:ind w:left="-111"/>
              <w:jc w:val="both"/>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m</w:t>
            </w:r>
            <w:r w:rsidR="00B84F30" w:rsidRPr="009772A3">
              <w:rPr>
                <w:rFonts w:asciiTheme="majorHAnsi" w:eastAsia="Times New Roman" w:hAnsiTheme="majorHAnsi" w:cstheme="majorHAnsi"/>
                <w:sz w:val="14"/>
                <w:szCs w:val="16"/>
                <w:lang w:val="ro-MD"/>
              </w:rPr>
              <w:t xml:space="preserve">ii </w:t>
            </w:r>
            <w:r w:rsidRPr="009772A3">
              <w:rPr>
                <w:rFonts w:asciiTheme="majorHAnsi" w:eastAsia="Times New Roman" w:hAnsiTheme="majorHAnsi" w:cstheme="majorHAnsi"/>
                <w:sz w:val="14"/>
                <w:szCs w:val="16"/>
                <w:lang w:val="ro-MD"/>
              </w:rPr>
              <w:t>dolari SUA</w:t>
            </w:r>
          </w:p>
        </w:tc>
        <w:tc>
          <w:tcPr>
            <w:tcW w:w="495" w:type="dxa"/>
            <w:shd w:val="clear" w:color="auto" w:fill="auto"/>
            <w:vAlign w:val="center"/>
            <w:hideMark/>
          </w:tcPr>
          <w:p w14:paraId="35BD625F" w14:textId="77777777" w:rsidR="00B84F30" w:rsidRPr="009772A3" w:rsidRDefault="00B84F30" w:rsidP="00CF3AD4">
            <w:pPr>
              <w:shd w:val="clear" w:color="auto" w:fill="FFFFFF" w:themeFill="background1"/>
              <w:spacing w:after="0" w:line="240" w:lineRule="auto"/>
              <w:ind w:left="-111"/>
              <w:jc w:val="both"/>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w:t>
            </w:r>
          </w:p>
        </w:tc>
        <w:tc>
          <w:tcPr>
            <w:tcW w:w="786" w:type="dxa"/>
            <w:shd w:val="clear" w:color="auto" w:fill="auto"/>
            <w:noWrap/>
            <w:vAlign w:val="center"/>
            <w:hideMark/>
          </w:tcPr>
          <w:p w14:paraId="3D73A99C" w14:textId="77777777" w:rsidR="00B84F30" w:rsidRPr="009772A3" w:rsidRDefault="00B84F30" w:rsidP="00CF3AD4">
            <w:pPr>
              <w:shd w:val="clear" w:color="auto" w:fill="FFFFFF" w:themeFill="background1"/>
              <w:spacing w:after="0" w:line="240" w:lineRule="auto"/>
              <w:ind w:left="-111"/>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mii lei</w:t>
            </w:r>
          </w:p>
        </w:tc>
        <w:tc>
          <w:tcPr>
            <w:tcW w:w="733" w:type="dxa"/>
            <w:shd w:val="clear" w:color="auto" w:fill="auto"/>
            <w:noWrap/>
            <w:vAlign w:val="center"/>
            <w:hideMark/>
          </w:tcPr>
          <w:p w14:paraId="193E8A02" w14:textId="5BBC7F39" w:rsidR="00B84F30" w:rsidRPr="009772A3" w:rsidRDefault="00D6081D" w:rsidP="00CF3AD4">
            <w:pPr>
              <w:shd w:val="clear" w:color="auto" w:fill="FFFFFF" w:themeFill="background1"/>
              <w:spacing w:after="0" w:line="240" w:lineRule="auto"/>
              <w:ind w:left="-111"/>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m</w:t>
            </w:r>
            <w:r w:rsidR="00B84F30" w:rsidRPr="009772A3">
              <w:rPr>
                <w:rFonts w:asciiTheme="majorHAnsi" w:eastAsia="Times New Roman" w:hAnsiTheme="majorHAnsi" w:cstheme="majorHAnsi"/>
                <w:sz w:val="14"/>
                <w:szCs w:val="16"/>
                <w:lang w:val="ro-MD"/>
              </w:rPr>
              <w:t xml:space="preserve">ii </w:t>
            </w:r>
            <w:r w:rsidRPr="009772A3">
              <w:rPr>
                <w:rFonts w:asciiTheme="majorHAnsi" w:eastAsia="Times New Roman" w:hAnsiTheme="majorHAnsi" w:cstheme="majorHAnsi"/>
                <w:sz w:val="14"/>
                <w:szCs w:val="16"/>
                <w:lang w:val="ro-MD"/>
              </w:rPr>
              <w:t>dolari SUA</w:t>
            </w:r>
          </w:p>
        </w:tc>
        <w:tc>
          <w:tcPr>
            <w:tcW w:w="527" w:type="dxa"/>
            <w:shd w:val="clear" w:color="auto" w:fill="auto"/>
            <w:noWrap/>
            <w:vAlign w:val="center"/>
            <w:hideMark/>
          </w:tcPr>
          <w:p w14:paraId="0F413B62" w14:textId="77777777" w:rsidR="00B84F30" w:rsidRPr="009772A3" w:rsidRDefault="00B84F30" w:rsidP="00CF3AD4">
            <w:pPr>
              <w:shd w:val="clear" w:color="auto" w:fill="FFFFFF" w:themeFill="background1"/>
              <w:spacing w:after="0" w:line="240" w:lineRule="auto"/>
              <w:ind w:left="-111"/>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w:t>
            </w:r>
          </w:p>
        </w:tc>
        <w:tc>
          <w:tcPr>
            <w:tcW w:w="726" w:type="dxa"/>
            <w:gridSpan w:val="2"/>
            <w:shd w:val="clear" w:color="auto" w:fill="auto"/>
            <w:vAlign w:val="center"/>
            <w:hideMark/>
          </w:tcPr>
          <w:p w14:paraId="548FCB1C" w14:textId="69699B53" w:rsidR="00B84F30" w:rsidRPr="009772A3" w:rsidRDefault="00D6081D" w:rsidP="00CF3AD4">
            <w:pPr>
              <w:shd w:val="clear" w:color="auto" w:fill="FFFFFF" w:themeFill="background1"/>
              <w:spacing w:after="0" w:line="240" w:lineRule="auto"/>
              <w:ind w:left="-111"/>
              <w:jc w:val="both"/>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m</w:t>
            </w:r>
            <w:r w:rsidR="00B84F30" w:rsidRPr="009772A3">
              <w:rPr>
                <w:rFonts w:asciiTheme="majorHAnsi" w:eastAsia="Times New Roman" w:hAnsiTheme="majorHAnsi" w:cstheme="majorHAnsi"/>
                <w:sz w:val="14"/>
                <w:szCs w:val="16"/>
                <w:lang w:val="ro-MD"/>
              </w:rPr>
              <w:t>ii lei</w:t>
            </w:r>
          </w:p>
        </w:tc>
        <w:tc>
          <w:tcPr>
            <w:tcW w:w="712" w:type="dxa"/>
            <w:shd w:val="clear" w:color="auto" w:fill="auto"/>
            <w:vAlign w:val="center"/>
            <w:hideMark/>
          </w:tcPr>
          <w:p w14:paraId="2B6FC6F7" w14:textId="18D388EF" w:rsidR="00B84F30" w:rsidRPr="009772A3" w:rsidRDefault="00D6081D" w:rsidP="00CF3AD4">
            <w:pPr>
              <w:shd w:val="clear" w:color="auto" w:fill="FFFFFF" w:themeFill="background1"/>
              <w:spacing w:after="0" w:line="240" w:lineRule="auto"/>
              <w:ind w:left="-111"/>
              <w:jc w:val="both"/>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m</w:t>
            </w:r>
            <w:r w:rsidR="00B84F30" w:rsidRPr="009772A3">
              <w:rPr>
                <w:rFonts w:asciiTheme="majorHAnsi" w:eastAsia="Times New Roman" w:hAnsiTheme="majorHAnsi" w:cstheme="majorHAnsi"/>
                <w:sz w:val="14"/>
                <w:szCs w:val="16"/>
                <w:lang w:val="ro-MD"/>
              </w:rPr>
              <w:t xml:space="preserve">ii </w:t>
            </w:r>
            <w:r w:rsidRPr="009772A3">
              <w:rPr>
                <w:rFonts w:asciiTheme="majorHAnsi" w:eastAsia="Times New Roman" w:hAnsiTheme="majorHAnsi" w:cstheme="majorHAnsi"/>
                <w:sz w:val="14"/>
                <w:szCs w:val="16"/>
                <w:lang w:val="ro-MD"/>
              </w:rPr>
              <w:t>dolari SUA</w:t>
            </w:r>
          </w:p>
        </w:tc>
        <w:tc>
          <w:tcPr>
            <w:tcW w:w="485" w:type="dxa"/>
            <w:shd w:val="clear" w:color="auto" w:fill="auto"/>
            <w:vAlign w:val="center"/>
            <w:hideMark/>
          </w:tcPr>
          <w:p w14:paraId="7A30CABE" w14:textId="77777777" w:rsidR="00B84F30" w:rsidRPr="009772A3" w:rsidRDefault="00B84F30" w:rsidP="00CF3AD4">
            <w:pPr>
              <w:shd w:val="clear" w:color="auto" w:fill="FFFFFF" w:themeFill="background1"/>
              <w:spacing w:after="0" w:line="240" w:lineRule="auto"/>
              <w:ind w:left="-111"/>
              <w:jc w:val="both"/>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w:t>
            </w:r>
          </w:p>
        </w:tc>
        <w:tc>
          <w:tcPr>
            <w:tcW w:w="756" w:type="dxa"/>
            <w:shd w:val="clear" w:color="auto" w:fill="auto"/>
            <w:noWrap/>
            <w:vAlign w:val="center"/>
            <w:hideMark/>
          </w:tcPr>
          <w:p w14:paraId="3CDED322" w14:textId="77777777" w:rsidR="00B84F30" w:rsidRPr="009772A3" w:rsidRDefault="00B84F30" w:rsidP="00CF3AD4">
            <w:pPr>
              <w:shd w:val="clear" w:color="auto" w:fill="FFFFFF" w:themeFill="background1"/>
              <w:spacing w:after="0" w:line="240" w:lineRule="auto"/>
              <w:ind w:left="-111"/>
              <w:jc w:val="both"/>
              <w:rPr>
                <w:rFonts w:asciiTheme="majorHAnsi" w:eastAsia="Times New Roman" w:hAnsiTheme="majorHAnsi" w:cstheme="majorHAnsi"/>
                <w:sz w:val="14"/>
                <w:szCs w:val="16"/>
                <w:lang w:val="ro-MD"/>
              </w:rPr>
            </w:pPr>
          </w:p>
        </w:tc>
        <w:tc>
          <w:tcPr>
            <w:tcW w:w="712" w:type="dxa"/>
            <w:shd w:val="clear" w:color="auto" w:fill="auto"/>
            <w:noWrap/>
            <w:vAlign w:val="center"/>
            <w:hideMark/>
          </w:tcPr>
          <w:p w14:paraId="4B569FC9" w14:textId="77777777" w:rsidR="00B84F30" w:rsidRPr="009772A3" w:rsidRDefault="00B84F30" w:rsidP="00CF3AD4">
            <w:pPr>
              <w:shd w:val="clear" w:color="auto" w:fill="FFFFFF" w:themeFill="background1"/>
              <w:spacing w:after="0" w:line="240" w:lineRule="auto"/>
              <w:ind w:left="-111"/>
              <w:rPr>
                <w:rFonts w:asciiTheme="majorHAnsi" w:eastAsia="Times New Roman" w:hAnsiTheme="majorHAnsi" w:cstheme="majorHAnsi"/>
                <w:sz w:val="14"/>
                <w:szCs w:val="16"/>
                <w:lang w:val="ro-MD"/>
              </w:rPr>
            </w:pPr>
          </w:p>
        </w:tc>
        <w:tc>
          <w:tcPr>
            <w:tcW w:w="530" w:type="dxa"/>
            <w:shd w:val="clear" w:color="auto" w:fill="auto"/>
            <w:noWrap/>
            <w:vAlign w:val="center"/>
            <w:hideMark/>
          </w:tcPr>
          <w:p w14:paraId="553CB317" w14:textId="77777777" w:rsidR="00B84F30" w:rsidRPr="009772A3" w:rsidRDefault="00B84F30" w:rsidP="00CF3AD4">
            <w:pPr>
              <w:shd w:val="clear" w:color="auto" w:fill="FFFFFF" w:themeFill="background1"/>
              <w:spacing w:after="0" w:line="240" w:lineRule="auto"/>
              <w:ind w:left="-111"/>
              <w:rPr>
                <w:rFonts w:asciiTheme="majorHAnsi" w:eastAsia="Times New Roman" w:hAnsiTheme="majorHAnsi" w:cstheme="majorHAnsi"/>
                <w:sz w:val="14"/>
                <w:szCs w:val="16"/>
                <w:lang w:val="ro-MD"/>
              </w:rPr>
            </w:pPr>
          </w:p>
        </w:tc>
      </w:tr>
      <w:tr w:rsidR="001C26F9" w:rsidRPr="009772A3" w14:paraId="3534F81A" w14:textId="77777777" w:rsidTr="00CF3AD4">
        <w:trPr>
          <w:trHeight w:val="20"/>
        </w:trPr>
        <w:tc>
          <w:tcPr>
            <w:tcW w:w="1413" w:type="dxa"/>
            <w:shd w:val="clear" w:color="auto" w:fill="auto"/>
            <w:vAlign w:val="center"/>
            <w:hideMark/>
          </w:tcPr>
          <w:p w14:paraId="282B1367" w14:textId="30CC5198" w:rsidR="001C26F9" w:rsidRPr="00D93D05" w:rsidRDefault="001C26F9" w:rsidP="00CF3AD4">
            <w:pPr>
              <w:shd w:val="clear" w:color="auto" w:fill="FFFFFF" w:themeFill="background1"/>
              <w:spacing w:after="0" w:line="240" w:lineRule="auto"/>
              <w:ind w:right="-130"/>
              <w:jc w:val="center"/>
              <w:rPr>
                <w:rFonts w:asciiTheme="majorHAnsi" w:eastAsia="Times New Roman" w:hAnsiTheme="majorHAnsi" w:cstheme="majorHAnsi"/>
                <w:sz w:val="14"/>
                <w:szCs w:val="14"/>
                <w:lang w:val="ro-MD"/>
              </w:rPr>
            </w:pPr>
            <w:r w:rsidRPr="00CF3AD4">
              <w:rPr>
                <w:rFonts w:asciiTheme="majorHAnsi" w:eastAsia="Times New Roman" w:hAnsiTheme="majorHAnsi" w:cstheme="majorHAnsi"/>
                <w:sz w:val="14"/>
                <w:szCs w:val="14"/>
                <w:lang w:val="ro-MD"/>
              </w:rPr>
              <w:t>Guvernul RM</w:t>
            </w:r>
          </w:p>
        </w:tc>
        <w:tc>
          <w:tcPr>
            <w:tcW w:w="777" w:type="dxa"/>
            <w:shd w:val="clear" w:color="auto" w:fill="auto"/>
            <w:noWrap/>
            <w:vAlign w:val="center"/>
            <w:hideMark/>
          </w:tcPr>
          <w:p w14:paraId="17941F2D"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487323,4</w:t>
            </w:r>
          </w:p>
        </w:tc>
        <w:tc>
          <w:tcPr>
            <w:tcW w:w="712" w:type="dxa"/>
            <w:shd w:val="clear" w:color="auto" w:fill="auto"/>
            <w:noWrap/>
            <w:vAlign w:val="center"/>
            <w:hideMark/>
          </w:tcPr>
          <w:p w14:paraId="287CC323"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106228,5</w:t>
            </w:r>
          </w:p>
        </w:tc>
        <w:tc>
          <w:tcPr>
            <w:tcW w:w="495" w:type="dxa"/>
            <w:shd w:val="clear" w:color="auto" w:fill="auto"/>
            <w:vAlign w:val="center"/>
            <w:hideMark/>
          </w:tcPr>
          <w:p w14:paraId="5556DB9F"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36,6</w:t>
            </w:r>
          </w:p>
        </w:tc>
        <w:tc>
          <w:tcPr>
            <w:tcW w:w="786" w:type="dxa"/>
            <w:shd w:val="clear" w:color="auto" w:fill="auto"/>
            <w:noWrap/>
            <w:vAlign w:val="center"/>
            <w:hideMark/>
          </w:tcPr>
          <w:p w14:paraId="00344EAA"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360322,2</w:t>
            </w:r>
          </w:p>
        </w:tc>
        <w:tc>
          <w:tcPr>
            <w:tcW w:w="733" w:type="dxa"/>
            <w:shd w:val="clear" w:color="auto" w:fill="auto"/>
            <w:noWrap/>
            <w:vAlign w:val="center"/>
            <w:hideMark/>
          </w:tcPr>
          <w:p w14:paraId="71BA7272"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78544,3</w:t>
            </w:r>
          </w:p>
        </w:tc>
        <w:tc>
          <w:tcPr>
            <w:tcW w:w="527" w:type="dxa"/>
            <w:shd w:val="clear" w:color="auto" w:fill="auto"/>
            <w:noWrap/>
            <w:vAlign w:val="center"/>
            <w:hideMark/>
          </w:tcPr>
          <w:p w14:paraId="18C58371"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46,0</w:t>
            </w:r>
          </w:p>
        </w:tc>
        <w:tc>
          <w:tcPr>
            <w:tcW w:w="726" w:type="dxa"/>
            <w:gridSpan w:val="2"/>
            <w:shd w:val="clear" w:color="auto" w:fill="auto"/>
            <w:vAlign w:val="center"/>
            <w:hideMark/>
          </w:tcPr>
          <w:p w14:paraId="6C5049DC"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232503,9</w:t>
            </w:r>
          </w:p>
        </w:tc>
        <w:tc>
          <w:tcPr>
            <w:tcW w:w="712" w:type="dxa"/>
            <w:shd w:val="clear" w:color="auto" w:fill="auto"/>
            <w:vAlign w:val="center"/>
            <w:hideMark/>
          </w:tcPr>
          <w:p w14:paraId="5F2E6585"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50682,1</w:t>
            </w:r>
          </w:p>
        </w:tc>
        <w:tc>
          <w:tcPr>
            <w:tcW w:w="485" w:type="dxa"/>
            <w:shd w:val="clear" w:color="auto" w:fill="auto"/>
            <w:vAlign w:val="center"/>
            <w:hideMark/>
          </w:tcPr>
          <w:p w14:paraId="11F98F0A"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42,3</w:t>
            </w:r>
          </w:p>
        </w:tc>
        <w:tc>
          <w:tcPr>
            <w:tcW w:w="756" w:type="dxa"/>
            <w:shd w:val="clear" w:color="auto" w:fill="auto"/>
            <w:noWrap/>
            <w:vAlign w:val="center"/>
            <w:hideMark/>
          </w:tcPr>
          <w:p w14:paraId="2DF11F71"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577310,0</w:t>
            </w:r>
          </w:p>
        </w:tc>
        <w:tc>
          <w:tcPr>
            <w:tcW w:w="712" w:type="dxa"/>
            <w:shd w:val="clear" w:color="auto" w:fill="auto"/>
            <w:noWrap/>
            <w:vAlign w:val="center"/>
            <w:hideMark/>
          </w:tcPr>
          <w:p w14:paraId="164FFD5B"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125844,1</w:t>
            </w:r>
          </w:p>
        </w:tc>
        <w:tc>
          <w:tcPr>
            <w:tcW w:w="530" w:type="dxa"/>
            <w:shd w:val="clear" w:color="auto" w:fill="auto"/>
            <w:noWrap/>
            <w:vAlign w:val="center"/>
            <w:hideMark/>
          </w:tcPr>
          <w:p w14:paraId="15B75498"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43,31</w:t>
            </w:r>
          </w:p>
        </w:tc>
      </w:tr>
      <w:tr w:rsidR="001C26F9" w:rsidRPr="009772A3" w14:paraId="531A180B" w14:textId="77777777" w:rsidTr="00CF3AD4">
        <w:trPr>
          <w:trHeight w:val="20"/>
        </w:trPr>
        <w:tc>
          <w:tcPr>
            <w:tcW w:w="1413" w:type="dxa"/>
            <w:shd w:val="clear" w:color="auto" w:fill="auto"/>
            <w:vAlign w:val="center"/>
            <w:hideMark/>
          </w:tcPr>
          <w:p w14:paraId="4C1ECFB7" w14:textId="29630093" w:rsidR="001C26F9" w:rsidRPr="00D93D05" w:rsidRDefault="001C26F9" w:rsidP="00CF3AD4">
            <w:pPr>
              <w:shd w:val="clear" w:color="auto" w:fill="FFFFFF" w:themeFill="background1"/>
              <w:spacing w:after="0" w:line="240" w:lineRule="auto"/>
              <w:ind w:right="-130"/>
              <w:jc w:val="center"/>
              <w:rPr>
                <w:rFonts w:asciiTheme="majorHAnsi" w:eastAsia="Times New Roman" w:hAnsiTheme="majorHAnsi" w:cstheme="majorHAnsi"/>
                <w:sz w:val="14"/>
                <w:szCs w:val="14"/>
                <w:lang w:val="ro-MD"/>
              </w:rPr>
            </w:pPr>
            <w:r w:rsidRPr="00CF3AD4">
              <w:rPr>
                <w:rFonts w:asciiTheme="majorHAnsi" w:eastAsia="Times New Roman" w:hAnsiTheme="majorHAnsi" w:cstheme="majorHAnsi"/>
                <w:sz w:val="14"/>
                <w:szCs w:val="14"/>
                <w:lang w:val="ro-MD"/>
              </w:rPr>
              <w:t>Guvernul RM pentru Gazprom</w:t>
            </w:r>
          </w:p>
        </w:tc>
        <w:tc>
          <w:tcPr>
            <w:tcW w:w="777" w:type="dxa"/>
            <w:shd w:val="clear" w:color="auto" w:fill="auto"/>
            <w:noWrap/>
            <w:vAlign w:val="center"/>
            <w:hideMark/>
          </w:tcPr>
          <w:p w14:paraId="55138A41"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12" w:type="dxa"/>
            <w:shd w:val="clear" w:color="auto" w:fill="auto"/>
            <w:noWrap/>
            <w:vAlign w:val="center"/>
            <w:hideMark/>
          </w:tcPr>
          <w:p w14:paraId="69ABB33B"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495" w:type="dxa"/>
            <w:shd w:val="clear" w:color="auto" w:fill="auto"/>
            <w:vAlign w:val="center"/>
            <w:hideMark/>
          </w:tcPr>
          <w:p w14:paraId="7B07D38B"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86" w:type="dxa"/>
            <w:shd w:val="clear" w:color="auto" w:fill="auto"/>
            <w:noWrap/>
            <w:vAlign w:val="center"/>
            <w:hideMark/>
          </w:tcPr>
          <w:p w14:paraId="764B7806"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33" w:type="dxa"/>
            <w:shd w:val="clear" w:color="auto" w:fill="auto"/>
            <w:noWrap/>
            <w:vAlign w:val="center"/>
            <w:hideMark/>
          </w:tcPr>
          <w:p w14:paraId="48487A30"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527" w:type="dxa"/>
            <w:shd w:val="clear" w:color="auto" w:fill="auto"/>
            <w:noWrap/>
            <w:vAlign w:val="center"/>
            <w:hideMark/>
          </w:tcPr>
          <w:p w14:paraId="1F844E98"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26" w:type="dxa"/>
            <w:gridSpan w:val="2"/>
            <w:shd w:val="clear" w:color="auto" w:fill="auto"/>
            <w:vAlign w:val="center"/>
            <w:hideMark/>
          </w:tcPr>
          <w:p w14:paraId="31C7D7D0"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216987,8</w:t>
            </w:r>
          </w:p>
        </w:tc>
        <w:tc>
          <w:tcPr>
            <w:tcW w:w="712" w:type="dxa"/>
            <w:shd w:val="clear" w:color="auto" w:fill="auto"/>
            <w:vAlign w:val="center"/>
            <w:hideMark/>
          </w:tcPr>
          <w:p w14:paraId="5AAF220C"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47299,8</w:t>
            </w:r>
          </w:p>
        </w:tc>
        <w:tc>
          <w:tcPr>
            <w:tcW w:w="485" w:type="dxa"/>
            <w:shd w:val="clear" w:color="auto" w:fill="auto"/>
            <w:vAlign w:val="center"/>
            <w:hideMark/>
          </w:tcPr>
          <w:p w14:paraId="0BBA1E40"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39,4</w:t>
            </w:r>
          </w:p>
        </w:tc>
        <w:tc>
          <w:tcPr>
            <w:tcW w:w="756" w:type="dxa"/>
            <w:shd w:val="clear" w:color="auto" w:fill="auto"/>
            <w:noWrap/>
            <w:vAlign w:val="center"/>
            <w:hideMark/>
          </w:tcPr>
          <w:p w14:paraId="7E272256"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p>
        </w:tc>
        <w:tc>
          <w:tcPr>
            <w:tcW w:w="712" w:type="dxa"/>
            <w:shd w:val="clear" w:color="auto" w:fill="auto"/>
            <w:noWrap/>
            <w:vAlign w:val="center"/>
            <w:hideMark/>
          </w:tcPr>
          <w:p w14:paraId="3E5D3A13" w14:textId="77777777" w:rsidR="001C26F9" w:rsidRPr="009772A3" w:rsidRDefault="001C26F9" w:rsidP="00CF3AD4">
            <w:pPr>
              <w:shd w:val="clear" w:color="auto" w:fill="FFFFFF" w:themeFill="background1"/>
              <w:spacing w:after="0" w:line="240" w:lineRule="auto"/>
              <w:ind w:left="-111"/>
              <w:rPr>
                <w:rFonts w:asciiTheme="majorHAnsi" w:eastAsia="Times New Roman" w:hAnsiTheme="majorHAnsi" w:cstheme="majorHAnsi"/>
                <w:sz w:val="14"/>
                <w:szCs w:val="16"/>
                <w:lang w:val="ro-MD"/>
              </w:rPr>
            </w:pPr>
          </w:p>
        </w:tc>
        <w:tc>
          <w:tcPr>
            <w:tcW w:w="530" w:type="dxa"/>
            <w:shd w:val="clear" w:color="auto" w:fill="auto"/>
            <w:noWrap/>
            <w:vAlign w:val="center"/>
            <w:hideMark/>
          </w:tcPr>
          <w:p w14:paraId="1989B60F"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0,00</w:t>
            </w:r>
          </w:p>
        </w:tc>
      </w:tr>
      <w:tr w:rsidR="001C26F9" w:rsidRPr="009772A3" w14:paraId="5A0C49D4" w14:textId="77777777" w:rsidTr="00CF3AD4">
        <w:trPr>
          <w:trHeight w:val="20"/>
        </w:trPr>
        <w:tc>
          <w:tcPr>
            <w:tcW w:w="1413" w:type="dxa"/>
            <w:shd w:val="clear" w:color="auto" w:fill="auto"/>
            <w:vAlign w:val="center"/>
            <w:hideMark/>
          </w:tcPr>
          <w:p w14:paraId="2B19397C" w14:textId="5619BE66" w:rsidR="001C26F9" w:rsidRPr="00D93D05" w:rsidRDefault="001C26F9" w:rsidP="00CF3AD4">
            <w:pPr>
              <w:shd w:val="clear" w:color="auto" w:fill="FFFFFF" w:themeFill="background1"/>
              <w:spacing w:after="0" w:line="240" w:lineRule="auto"/>
              <w:ind w:right="-130"/>
              <w:jc w:val="center"/>
              <w:rPr>
                <w:rFonts w:asciiTheme="majorHAnsi" w:eastAsia="Times New Roman" w:hAnsiTheme="majorHAnsi" w:cstheme="majorHAnsi"/>
                <w:sz w:val="14"/>
                <w:szCs w:val="14"/>
                <w:lang w:val="ro-MD"/>
              </w:rPr>
            </w:pPr>
            <w:r w:rsidRPr="00CF3AD4">
              <w:rPr>
                <w:rFonts w:asciiTheme="majorHAnsi" w:eastAsia="Times New Roman" w:hAnsiTheme="majorHAnsi" w:cstheme="majorHAnsi"/>
                <w:sz w:val="14"/>
                <w:szCs w:val="14"/>
                <w:lang w:val="ro-MD"/>
              </w:rPr>
              <w:t>Partea transnistreană</w:t>
            </w:r>
          </w:p>
        </w:tc>
        <w:tc>
          <w:tcPr>
            <w:tcW w:w="777" w:type="dxa"/>
            <w:shd w:val="clear" w:color="auto" w:fill="auto"/>
            <w:noWrap/>
            <w:vAlign w:val="center"/>
            <w:hideMark/>
          </w:tcPr>
          <w:p w14:paraId="01BF1B93"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179130,7</w:t>
            </w:r>
          </w:p>
        </w:tc>
        <w:tc>
          <w:tcPr>
            <w:tcW w:w="712" w:type="dxa"/>
            <w:shd w:val="clear" w:color="auto" w:fill="auto"/>
            <w:noWrap/>
            <w:vAlign w:val="center"/>
            <w:hideMark/>
          </w:tcPr>
          <w:p w14:paraId="1B917B7F"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39047,6</w:t>
            </w:r>
          </w:p>
        </w:tc>
        <w:tc>
          <w:tcPr>
            <w:tcW w:w="495" w:type="dxa"/>
            <w:shd w:val="clear" w:color="auto" w:fill="auto"/>
            <w:vAlign w:val="center"/>
            <w:hideMark/>
          </w:tcPr>
          <w:p w14:paraId="373B673E"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13,4</w:t>
            </w:r>
          </w:p>
        </w:tc>
        <w:tc>
          <w:tcPr>
            <w:tcW w:w="786" w:type="dxa"/>
            <w:shd w:val="clear" w:color="auto" w:fill="auto"/>
            <w:noWrap/>
            <w:vAlign w:val="center"/>
            <w:hideMark/>
          </w:tcPr>
          <w:p w14:paraId="7CF49787"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31055,6</w:t>
            </w:r>
          </w:p>
        </w:tc>
        <w:tc>
          <w:tcPr>
            <w:tcW w:w="733" w:type="dxa"/>
            <w:shd w:val="clear" w:color="auto" w:fill="auto"/>
            <w:noWrap/>
            <w:vAlign w:val="center"/>
            <w:hideMark/>
          </w:tcPr>
          <w:p w14:paraId="4E66065C"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6769,6</w:t>
            </w:r>
          </w:p>
        </w:tc>
        <w:tc>
          <w:tcPr>
            <w:tcW w:w="527" w:type="dxa"/>
            <w:shd w:val="clear" w:color="auto" w:fill="auto"/>
            <w:noWrap/>
            <w:vAlign w:val="center"/>
            <w:hideMark/>
          </w:tcPr>
          <w:p w14:paraId="3B0EDC0D"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4,0</w:t>
            </w:r>
          </w:p>
        </w:tc>
        <w:tc>
          <w:tcPr>
            <w:tcW w:w="726" w:type="dxa"/>
            <w:gridSpan w:val="2"/>
            <w:shd w:val="clear" w:color="auto" w:fill="auto"/>
            <w:vAlign w:val="center"/>
            <w:hideMark/>
          </w:tcPr>
          <w:p w14:paraId="441CB664"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40111,7</w:t>
            </w:r>
          </w:p>
        </w:tc>
        <w:tc>
          <w:tcPr>
            <w:tcW w:w="712" w:type="dxa"/>
            <w:shd w:val="clear" w:color="auto" w:fill="auto"/>
            <w:vAlign w:val="center"/>
            <w:hideMark/>
          </w:tcPr>
          <w:p w14:paraId="1C8DE1BD"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8743,7</w:t>
            </w:r>
          </w:p>
        </w:tc>
        <w:tc>
          <w:tcPr>
            <w:tcW w:w="485" w:type="dxa"/>
            <w:shd w:val="clear" w:color="auto" w:fill="auto"/>
            <w:vAlign w:val="center"/>
            <w:hideMark/>
          </w:tcPr>
          <w:p w14:paraId="0A19C71C"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7,3</w:t>
            </w:r>
          </w:p>
        </w:tc>
        <w:tc>
          <w:tcPr>
            <w:tcW w:w="756" w:type="dxa"/>
            <w:shd w:val="clear" w:color="auto" w:fill="auto"/>
            <w:noWrap/>
            <w:vAlign w:val="center"/>
            <w:hideMark/>
          </w:tcPr>
          <w:p w14:paraId="19F84089"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71167,2</w:t>
            </w:r>
          </w:p>
        </w:tc>
        <w:tc>
          <w:tcPr>
            <w:tcW w:w="712" w:type="dxa"/>
            <w:shd w:val="clear" w:color="auto" w:fill="auto"/>
            <w:noWrap/>
            <w:vAlign w:val="center"/>
            <w:hideMark/>
          </w:tcPr>
          <w:p w14:paraId="63D0868F"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15513,3</w:t>
            </w:r>
          </w:p>
        </w:tc>
        <w:tc>
          <w:tcPr>
            <w:tcW w:w="530" w:type="dxa"/>
            <w:shd w:val="clear" w:color="auto" w:fill="auto"/>
            <w:noWrap/>
            <w:vAlign w:val="center"/>
            <w:hideMark/>
          </w:tcPr>
          <w:p w14:paraId="51C6FE08"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5,34</w:t>
            </w:r>
          </w:p>
        </w:tc>
      </w:tr>
      <w:tr w:rsidR="001C26F9" w:rsidRPr="009772A3" w14:paraId="4E408D80" w14:textId="77777777" w:rsidTr="00CF3AD4">
        <w:trPr>
          <w:trHeight w:val="20"/>
        </w:trPr>
        <w:tc>
          <w:tcPr>
            <w:tcW w:w="1413" w:type="dxa"/>
            <w:shd w:val="clear" w:color="auto" w:fill="auto"/>
            <w:vAlign w:val="center"/>
            <w:hideMark/>
          </w:tcPr>
          <w:p w14:paraId="24792A73" w14:textId="34AA3555" w:rsidR="001C26F9" w:rsidRPr="00D93D05" w:rsidRDefault="001C26F9" w:rsidP="00CF3AD4">
            <w:pPr>
              <w:shd w:val="clear" w:color="auto" w:fill="FFFFFF" w:themeFill="background1"/>
              <w:spacing w:after="0" w:line="240" w:lineRule="auto"/>
              <w:ind w:right="-130"/>
              <w:jc w:val="center"/>
              <w:rPr>
                <w:rFonts w:asciiTheme="majorHAnsi" w:eastAsia="Times New Roman" w:hAnsiTheme="majorHAnsi" w:cstheme="majorHAnsi"/>
                <w:sz w:val="14"/>
                <w:szCs w:val="14"/>
                <w:lang w:val="ro-MD"/>
              </w:rPr>
            </w:pPr>
            <w:r w:rsidRPr="00CF3AD4">
              <w:rPr>
                <w:rFonts w:asciiTheme="majorHAnsi" w:eastAsia="Times New Roman" w:hAnsiTheme="majorHAnsi" w:cstheme="majorHAnsi"/>
                <w:sz w:val="14"/>
                <w:szCs w:val="14"/>
                <w:lang w:val="ro-MD"/>
              </w:rPr>
              <w:t>Partea transnistreană pentru Gazprom</w:t>
            </w:r>
          </w:p>
        </w:tc>
        <w:tc>
          <w:tcPr>
            <w:tcW w:w="777" w:type="dxa"/>
            <w:shd w:val="clear" w:color="auto" w:fill="auto"/>
            <w:noWrap/>
            <w:vAlign w:val="center"/>
            <w:hideMark/>
          </w:tcPr>
          <w:p w14:paraId="575E4ED9"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12" w:type="dxa"/>
            <w:shd w:val="clear" w:color="auto" w:fill="auto"/>
            <w:noWrap/>
            <w:vAlign w:val="center"/>
            <w:hideMark/>
          </w:tcPr>
          <w:p w14:paraId="5803C933"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495" w:type="dxa"/>
            <w:shd w:val="clear" w:color="auto" w:fill="auto"/>
            <w:vAlign w:val="center"/>
            <w:hideMark/>
          </w:tcPr>
          <w:p w14:paraId="244A98B9"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86" w:type="dxa"/>
            <w:shd w:val="clear" w:color="auto" w:fill="auto"/>
            <w:noWrap/>
            <w:vAlign w:val="center"/>
            <w:hideMark/>
          </w:tcPr>
          <w:p w14:paraId="5CD1B9F6"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33" w:type="dxa"/>
            <w:shd w:val="clear" w:color="auto" w:fill="auto"/>
            <w:noWrap/>
            <w:vAlign w:val="center"/>
            <w:hideMark/>
          </w:tcPr>
          <w:p w14:paraId="74D7FA84"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527" w:type="dxa"/>
            <w:shd w:val="clear" w:color="auto" w:fill="auto"/>
            <w:noWrap/>
            <w:vAlign w:val="center"/>
            <w:hideMark/>
          </w:tcPr>
          <w:p w14:paraId="1CB2863A"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26" w:type="dxa"/>
            <w:gridSpan w:val="2"/>
            <w:shd w:val="clear" w:color="auto" w:fill="auto"/>
            <w:vAlign w:val="center"/>
            <w:hideMark/>
          </w:tcPr>
          <w:p w14:paraId="07D424AF"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58088,5</w:t>
            </w:r>
          </w:p>
        </w:tc>
        <w:tc>
          <w:tcPr>
            <w:tcW w:w="712" w:type="dxa"/>
            <w:shd w:val="clear" w:color="auto" w:fill="auto"/>
            <w:vAlign w:val="center"/>
            <w:hideMark/>
          </w:tcPr>
          <w:p w14:paraId="708FF73B"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12662,4</w:t>
            </w:r>
          </w:p>
        </w:tc>
        <w:tc>
          <w:tcPr>
            <w:tcW w:w="485" w:type="dxa"/>
            <w:shd w:val="clear" w:color="auto" w:fill="auto"/>
            <w:vAlign w:val="center"/>
            <w:hideMark/>
          </w:tcPr>
          <w:p w14:paraId="5E0C9256"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10,6</w:t>
            </w:r>
          </w:p>
        </w:tc>
        <w:tc>
          <w:tcPr>
            <w:tcW w:w="756" w:type="dxa"/>
            <w:shd w:val="clear" w:color="auto" w:fill="auto"/>
            <w:noWrap/>
            <w:vAlign w:val="center"/>
            <w:hideMark/>
          </w:tcPr>
          <w:p w14:paraId="2356C97B"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p>
        </w:tc>
        <w:tc>
          <w:tcPr>
            <w:tcW w:w="712" w:type="dxa"/>
            <w:shd w:val="clear" w:color="auto" w:fill="auto"/>
            <w:noWrap/>
            <w:vAlign w:val="center"/>
            <w:hideMark/>
          </w:tcPr>
          <w:p w14:paraId="537C3E29" w14:textId="77777777" w:rsidR="001C26F9" w:rsidRPr="009772A3" w:rsidRDefault="001C26F9" w:rsidP="00CF3AD4">
            <w:pPr>
              <w:shd w:val="clear" w:color="auto" w:fill="FFFFFF" w:themeFill="background1"/>
              <w:spacing w:after="0" w:line="240" w:lineRule="auto"/>
              <w:ind w:left="-111"/>
              <w:rPr>
                <w:rFonts w:asciiTheme="majorHAnsi" w:eastAsia="Times New Roman" w:hAnsiTheme="majorHAnsi" w:cstheme="majorHAnsi"/>
                <w:sz w:val="14"/>
                <w:szCs w:val="16"/>
                <w:lang w:val="ro-MD"/>
              </w:rPr>
            </w:pPr>
          </w:p>
        </w:tc>
        <w:tc>
          <w:tcPr>
            <w:tcW w:w="530" w:type="dxa"/>
            <w:shd w:val="clear" w:color="auto" w:fill="auto"/>
            <w:noWrap/>
            <w:vAlign w:val="center"/>
            <w:hideMark/>
          </w:tcPr>
          <w:p w14:paraId="606999DD" w14:textId="77777777" w:rsidR="001C26F9" w:rsidRPr="009772A3" w:rsidRDefault="001C26F9"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0,00</w:t>
            </w:r>
          </w:p>
        </w:tc>
      </w:tr>
      <w:tr w:rsidR="001C26F9" w:rsidRPr="009772A3" w14:paraId="5D7658B0" w14:textId="77777777" w:rsidTr="00CF3AD4">
        <w:trPr>
          <w:trHeight w:val="20"/>
        </w:trPr>
        <w:tc>
          <w:tcPr>
            <w:tcW w:w="1413" w:type="dxa"/>
            <w:shd w:val="clear" w:color="auto" w:fill="auto"/>
            <w:vAlign w:val="center"/>
            <w:hideMark/>
          </w:tcPr>
          <w:p w14:paraId="1D8135A7" w14:textId="77777777" w:rsidR="00B84F30" w:rsidRPr="00D93D05" w:rsidRDefault="00B84F30" w:rsidP="00CF3AD4">
            <w:pPr>
              <w:shd w:val="clear" w:color="auto" w:fill="FFFFFF" w:themeFill="background1"/>
              <w:spacing w:after="0" w:line="240" w:lineRule="auto"/>
              <w:ind w:right="-130"/>
              <w:jc w:val="center"/>
              <w:rPr>
                <w:rFonts w:asciiTheme="majorHAnsi" w:eastAsia="Times New Roman" w:hAnsiTheme="majorHAnsi" w:cstheme="majorHAnsi"/>
                <w:sz w:val="14"/>
                <w:szCs w:val="14"/>
                <w:lang w:val="ro-MD"/>
              </w:rPr>
            </w:pPr>
            <w:r w:rsidRPr="0016625B">
              <w:rPr>
                <w:rFonts w:asciiTheme="majorHAnsi" w:eastAsia="Times New Roman" w:hAnsiTheme="majorHAnsi" w:cstheme="majorHAnsi"/>
                <w:sz w:val="14"/>
                <w:szCs w:val="14"/>
                <w:lang w:val="ro-MD"/>
              </w:rPr>
              <w:t>SA Gazprom</w:t>
            </w:r>
          </w:p>
        </w:tc>
        <w:tc>
          <w:tcPr>
            <w:tcW w:w="777" w:type="dxa"/>
            <w:shd w:val="clear" w:color="auto" w:fill="auto"/>
            <w:noWrap/>
            <w:vAlign w:val="center"/>
            <w:hideMark/>
          </w:tcPr>
          <w:p w14:paraId="00F40C75"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666454,1</w:t>
            </w:r>
          </w:p>
        </w:tc>
        <w:tc>
          <w:tcPr>
            <w:tcW w:w="712" w:type="dxa"/>
            <w:shd w:val="clear" w:color="auto" w:fill="auto"/>
            <w:noWrap/>
            <w:vAlign w:val="center"/>
            <w:hideMark/>
          </w:tcPr>
          <w:p w14:paraId="2D8E8E3E"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145276,1</w:t>
            </w:r>
          </w:p>
        </w:tc>
        <w:tc>
          <w:tcPr>
            <w:tcW w:w="495" w:type="dxa"/>
            <w:shd w:val="clear" w:color="auto" w:fill="auto"/>
            <w:vAlign w:val="center"/>
            <w:hideMark/>
          </w:tcPr>
          <w:p w14:paraId="50F39AAB"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50,0</w:t>
            </w:r>
          </w:p>
        </w:tc>
        <w:tc>
          <w:tcPr>
            <w:tcW w:w="786" w:type="dxa"/>
            <w:shd w:val="clear" w:color="auto" w:fill="auto"/>
            <w:noWrap/>
            <w:vAlign w:val="center"/>
            <w:hideMark/>
          </w:tcPr>
          <w:p w14:paraId="2C8175AA"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391377,7</w:t>
            </w:r>
          </w:p>
        </w:tc>
        <w:tc>
          <w:tcPr>
            <w:tcW w:w="733" w:type="dxa"/>
            <w:shd w:val="clear" w:color="auto" w:fill="auto"/>
            <w:noWrap/>
            <w:vAlign w:val="center"/>
            <w:hideMark/>
          </w:tcPr>
          <w:p w14:paraId="7D8BCD53"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85313,9</w:t>
            </w:r>
          </w:p>
        </w:tc>
        <w:tc>
          <w:tcPr>
            <w:tcW w:w="527" w:type="dxa"/>
            <w:shd w:val="clear" w:color="auto" w:fill="auto"/>
            <w:noWrap/>
            <w:vAlign w:val="center"/>
            <w:hideMark/>
          </w:tcPr>
          <w:p w14:paraId="7750EFCC"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50,0</w:t>
            </w:r>
          </w:p>
        </w:tc>
        <w:tc>
          <w:tcPr>
            <w:tcW w:w="726" w:type="dxa"/>
            <w:gridSpan w:val="2"/>
            <w:shd w:val="clear" w:color="auto" w:fill="auto"/>
            <w:vAlign w:val="center"/>
            <w:hideMark/>
          </w:tcPr>
          <w:p w14:paraId="770C4EAE"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712" w:type="dxa"/>
            <w:shd w:val="clear" w:color="auto" w:fill="auto"/>
            <w:vAlign w:val="center"/>
            <w:hideMark/>
          </w:tcPr>
          <w:p w14:paraId="2E3366DE"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 </w:t>
            </w:r>
          </w:p>
        </w:tc>
        <w:tc>
          <w:tcPr>
            <w:tcW w:w="485" w:type="dxa"/>
            <w:shd w:val="clear" w:color="auto" w:fill="auto"/>
            <w:vAlign w:val="center"/>
            <w:hideMark/>
          </w:tcPr>
          <w:p w14:paraId="04FE1DA8"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0,0</w:t>
            </w:r>
          </w:p>
        </w:tc>
        <w:tc>
          <w:tcPr>
            <w:tcW w:w="756" w:type="dxa"/>
            <w:shd w:val="clear" w:color="auto" w:fill="auto"/>
            <w:noWrap/>
            <w:vAlign w:val="center"/>
            <w:hideMark/>
          </w:tcPr>
          <w:p w14:paraId="23C462B1"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666454,1</w:t>
            </w:r>
          </w:p>
        </w:tc>
        <w:tc>
          <w:tcPr>
            <w:tcW w:w="712" w:type="dxa"/>
            <w:shd w:val="clear" w:color="auto" w:fill="auto"/>
            <w:noWrap/>
            <w:vAlign w:val="center"/>
            <w:hideMark/>
          </w:tcPr>
          <w:p w14:paraId="400ADDAB"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145276,1</w:t>
            </w:r>
          </w:p>
        </w:tc>
        <w:tc>
          <w:tcPr>
            <w:tcW w:w="530" w:type="dxa"/>
            <w:shd w:val="clear" w:color="auto" w:fill="auto"/>
            <w:noWrap/>
            <w:vAlign w:val="center"/>
            <w:hideMark/>
          </w:tcPr>
          <w:p w14:paraId="7BE6B9E4"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50,00</w:t>
            </w:r>
          </w:p>
        </w:tc>
      </w:tr>
      <w:tr w:rsidR="001C26F9" w:rsidRPr="009772A3" w14:paraId="63D04BB3" w14:textId="77777777" w:rsidTr="00CF3AD4">
        <w:trPr>
          <w:trHeight w:val="20"/>
        </w:trPr>
        <w:tc>
          <w:tcPr>
            <w:tcW w:w="1413" w:type="dxa"/>
            <w:shd w:val="clear" w:color="auto" w:fill="auto"/>
            <w:vAlign w:val="center"/>
            <w:hideMark/>
          </w:tcPr>
          <w:p w14:paraId="098A318A" w14:textId="77777777" w:rsidR="00B84F30" w:rsidRPr="00D93D05" w:rsidRDefault="00B84F30" w:rsidP="00CF3AD4">
            <w:pPr>
              <w:shd w:val="clear" w:color="auto" w:fill="FFFFFF" w:themeFill="background1"/>
              <w:spacing w:after="0" w:line="240" w:lineRule="auto"/>
              <w:ind w:right="-130"/>
              <w:jc w:val="center"/>
              <w:rPr>
                <w:rFonts w:asciiTheme="majorHAnsi" w:eastAsia="Times New Roman" w:hAnsiTheme="majorHAnsi" w:cstheme="majorHAnsi"/>
                <w:sz w:val="14"/>
                <w:szCs w:val="14"/>
                <w:lang w:val="ro-MD"/>
              </w:rPr>
            </w:pPr>
            <w:r w:rsidRPr="0016625B">
              <w:rPr>
                <w:rFonts w:asciiTheme="majorHAnsi" w:eastAsia="Times New Roman" w:hAnsiTheme="majorHAnsi" w:cstheme="majorHAnsi"/>
                <w:sz w:val="14"/>
                <w:szCs w:val="14"/>
                <w:lang w:val="ro-MD"/>
              </w:rPr>
              <w:t>Total</w:t>
            </w:r>
          </w:p>
        </w:tc>
        <w:tc>
          <w:tcPr>
            <w:tcW w:w="777" w:type="dxa"/>
            <w:shd w:val="clear" w:color="auto" w:fill="auto"/>
            <w:noWrap/>
            <w:vAlign w:val="center"/>
            <w:hideMark/>
          </w:tcPr>
          <w:p w14:paraId="159B252C"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1332908,2</w:t>
            </w:r>
          </w:p>
        </w:tc>
        <w:tc>
          <w:tcPr>
            <w:tcW w:w="712" w:type="dxa"/>
            <w:shd w:val="clear" w:color="auto" w:fill="auto"/>
            <w:noWrap/>
            <w:vAlign w:val="center"/>
            <w:hideMark/>
          </w:tcPr>
          <w:p w14:paraId="7BEDB8A3"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290552,2</w:t>
            </w:r>
          </w:p>
        </w:tc>
        <w:tc>
          <w:tcPr>
            <w:tcW w:w="495" w:type="dxa"/>
            <w:shd w:val="clear" w:color="auto" w:fill="auto"/>
            <w:vAlign w:val="center"/>
            <w:hideMark/>
          </w:tcPr>
          <w:p w14:paraId="69D13322"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100,0</w:t>
            </w:r>
          </w:p>
        </w:tc>
        <w:tc>
          <w:tcPr>
            <w:tcW w:w="786" w:type="dxa"/>
            <w:shd w:val="clear" w:color="auto" w:fill="auto"/>
            <w:noWrap/>
            <w:vAlign w:val="center"/>
            <w:hideMark/>
          </w:tcPr>
          <w:p w14:paraId="19A38B2D"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782755,5</w:t>
            </w:r>
          </w:p>
        </w:tc>
        <w:tc>
          <w:tcPr>
            <w:tcW w:w="733" w:type="dxa"/>
            <w:shd w:val="clear" w:color="auto" w:fill="auto"/>
            <w:noWrap/>
            <w:vAlign w:val="center"/>
            <w:hideMark/>
          </w:tcPr>
          <w:p w14:paraId="321EFF70"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170627,9</w:t>
            </w:r>
          </w:p>
        </w:tc>
        <w:tc>
          <w:tcPr>
            <w:tcW w:w="527" w:type="dxa"/>
            <w:shd w:val="clear" w:color="auto" w:fill="auto"/>
            <w:noWrap/>
            <w:vAlign w:val="center"/>
            <w:hideMark/>
          </w:tcPr>
          <w:p w14:paraId="6A3A271A"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100,0</w:t>
            </w:r>
          </w:p>
        </w:tc>
        <w:tc>
          <w:tcPr>
            <w:tcW w:w="726" w:type="dxa"/>
            <w:gridSpan w:val="2"/>
            <w:shd w:val="clear" w:color="auto" w:fill="auto"/>
            <w:vAlign w:val="center"/>
            <w:hideMark/>
          </w:tcPr>
          <w:p w14:paraId="53FB1238"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547691,9</w:t>
            </w:r>
          </w:p>
        </w:tc>
        <w:tc>
          <w:tcPr>
            <w:tcW w:w="712" w:type="dxa"/>
            <w:shd w:val="clear" w:color="auto" w:fill="auto"/>
            <w:vAlign w:val="center"/>
            <w:hideMark/>
          </w:tcPr>
          <w:p w14:paraId="61F6DF42"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119387,9</w:t>
            </w:r>
          </w:p>
        </w:tc>
        <w:tc>
          <w:tcPr>
            <w:tcW w:w="485" w:type="dxa"/>
            <w:shd w:val="clear" w:color="auto" w:fill="auto"/>
            <w:vAlign w:val="center"/>
            <w:hideMark/>
          </w:tcPr>
          <w:p w14:paraId="56DFDCEA"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99,6</w:t>
            </w:r>
          </w:p>
        </w:tc>
        <w:tc>
          <w:tcPr>
            <w:tcW w:w="756" w:type="dxa"/>
            <w:shd w:val="clear" w:color="auto" w:fill="auto"/>
            <w:vAlign w:val="center"/>
            <w:hideMark/>
          </w:tcPr>
          <w:p w14:paraId="652AD319"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1314931,3</w:t>
            </w:r>
          </w:p>
        </w:tc>
        <w:tc>
          <w:tcPr>
            <w:tcW w:w="712" w:type="dxa"/>
            <w:shd w:val="clear" w:color="auto" w:fill="auto"/>
            <w:vAlign w:val="center"/>
            <w:hideMark/>
          </w:tcPr>
          <w:p w14:paraId="36F15AF9"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286633,5</w:t>
            </w:r>
          </w:p>
        </w:tc>
        <w:tc>
          <w:tcPr>
            <w:tcW w:w="530" w:type="dxa"/>
            <w:shd w:val="clear" w:color="auto" w:fill="auto"/>
            <w:vAlign w:val="center"/>
            <w:hideMark/>
          </w:tcPr>
          <w:p w14:paraId="643BC3B8" w14:textId="77777777" w:rsidR="00B84F30" w:rsidRPr="009772A3" w:rsidRDefault="00B84F30" w:rsidP="00CF3AD4">
            <w:pPr>
              <w:shd w:val="clear" w:color="auto" w:fill="FFFFFF" w:themeFill="background1"/>
              <w:spacing w:after="0" w:line="240" w:lineRule="auto"/>
              <w:ind w:left="-111"/>
              <w:jc w:val="right"/>
              <w:rPr>
                <w:rFonts w:asciiTheme="majorHAnsi" w:eastAsia="Times New Roman" w:hAnsiTheme="majorHAnsi" w:cstheme="majorHAnsi"/>
                <w:sz w:val="14"/>
                <w:szCs w:val="16"/>
                <w:lang w:val="ro-MD"/>
              </w:rPr>
            </w:pPr>
            <w:r w:rsidRPr="009772A3">
              <w:rPr>
                <w:rFonts w:asciiTheme="majorHAnsi" w:eastAsia="Times New Roman" w:hAnsiTheme="majorHAnsi" w:cstheme="majorHAnsi"/>
                <w:sz w:val="14"/>
                <w:szCs w:val="16"/>
                <w:lang w:val="ro-MD"/>
              </w:rPr>
              <w:t>98,7</w:t>
            </w:r>
          </w:p>
        </w:tc>
      </w:tr>
    </w:tbl>
    <w:p w14:paraId="6AADE2B8" w14:textId="26E5C0F6" w:rsidR="00E0174F" w:rsidRPr="009772A3" w:rsidRDefault="001063A6" w:rsidP="00C635F8">
      <w:pPr>
        <w:pStyle w:val="Heading1"/>
        <w:numPr>
          <w:ilvl w:val="2"/>
          <w:numId w:val="2"/>
        </w:numPr>
        <w:spacing w:line="276" w:lineRule="auto"/>
        <w:ind w:left="0" w:firstLine="0"/>
        <w:jc w:val="both"/>
        <w:rPr>
          <w:color w:val="auto"/>
          <w:lang w:val="ro-MD"/>
        </w:rPr>
      </w:pPr>
      <w:bookmarkStart w:id="36" w:name="_Toc119496390"/>
      <w:r w:rsidRPr="009772A3">
        <w:rPr>
          <w:color w:val="auto"/>
          <w:lang w:val="ro-MD"/>
        </w:rPr>
        <w:t xml:space="preserve">Deși </w:t>
      </w:r>
      <w:r w:rsidR="00E0174F" w:rsidRPr="009772A3">
        <w:rPr>
          <w:color w:val="auto"/>
          <w:lang w:val="ro-MD"/>
        </w:rPr>
        <w:t xml:space="preserve">în anul 2005 </w:t>
      </w:r>
      <w:r w:rsidRPr="009772A3">
        <w:rPr>
          <w:color w:val="auto"/>
          <w:lang w:val="ro-MD"/>
        </w:rPr>
        <w:t xml:space="preserve">patrimoniul depus de </w:t>
      </w:r>
      <w:r w:rsidR="00E0174F" w:rsidRPr="009772A3">
        <w:rPr>
          <w:color w:val="auto"/>
          <w:lang w:val="ro-MD"/>
        </w:rPr>
        <w:t>regiun</w:t>
      </w:r>
      <w:r w:rsidRPr="009772A3">
        <w:rPr>
          <w:color w:val="auto"/>
          <w:lang w:val="ro-MD"/>
        </w:rPr>
        <w:t>ea</w:t>
      </w:r>
      <w:r w:rsidR="00E0174F" w:rsidRPr="009772A3">
        <w:rPr>
          <w:color w:val="auto"/>
          <w:lang w:val="ro-MD"/>
        </w:rPr>
        <w:t xml:space="preserve"> </w:t>
      </w:r>
      <w:r w:rsidR="007F493C" w:rsidRPr="009772A3">
        <w:rPr>
          <w:color w:val="auto"/>
          <w:lang w:val="ro-MD"/>
        </w:rPr>
        <w:t>t</w:t>
      </w:r>
      <w:r w:rsidR="00E0174F" w:rsidRPr="009772A3">
        <w:rPr>
          <w:color w:val="auto"/>
          <w:lang w:val="ro-MD"/>
        </w:rPr>
        <w:t>ransnistrean</w:t>
      </w:r>
      <w:r w:rsidRPr="009772A3">
        <w:rPr>
          <w:color w:val="auto"/>
          <w:lang w:val="ro-MD"/>
        </w:rPr>
        <w:t>ă</w:t>
      </w:r>
      <w:r w:rsidR="00E0174F" w:rsidRPr="009772A3">
        <w:rPr>
          <w:color w:val="auto"/>
          <w:lang w:val="ro-MD"/>
        </w:rPr>
        <w:t xml:space="preserve"> </w:t>
      </w:r>
      <w:r w:rsidRPr="009772A3">
        <w:rPr>
          <w:color w:val="auto"/>
          <w:lang w:val="ro-MD"/>
        </w:rPr>
        <w:t xml:space="preserve">în capitalul social al </w:t>
      </w:r>
      <w:r w:rsidR="00E0174F" w:rsidRPr="009772A3">
        <w:rPr>
          <w:color w:val="auto"/>
          <w:lang w:val="ro-MD"/>
        </w:rPr>
        <w:t xml:space="preserve">SA Moldovagaz </w:t>
      </w:r>
      <w:r w:rsidR="00C635F8" w:rsidRPr="009772A3">
        <w:rPr>
          <w:color w:val="auto"/>
          <w:lang w:val="ro-MD"/>
        </w:rPr>
        <w:t xml:space="preserve">de facto </w:t>
      </w:r>
      <w:r w:rsidRPr="009772A3">
        <w:rPr>
          <w:color w:val="auto"/>
          <w:lang w:val="ro-MD"/>
        </w:rPr>
        <w:t xml:space="preserve">a fost </w:t>
      </w:r>
      <w:r w:rsidR="00C635F8" w:rsidRPr="009772A3">
        <w:rPr>
          <w:color w:val="auto"/>
          <w:lang w:val="ro-MD"/>
        </w:rPr>
        <w:t>retra</w:t>
      </w:r>
      <w:r w:rsidRPr="009772A3">
        <w:rPr>
          <w:color w:val="auto"/>
          <w:lang w:val="ro-MD"/>
        </w:rPr>
        <w:t>s</w:t>
      </w:r>
      <w:r w:rsidR="00C635F8" w:rsidRPr="009772A3">
        <w:rPr>
          <w:color w:val="auto"/>
          <w:lang w:val="ro-MD"/>
        </w:rPr>
        <w:t xml:space="preserve">, </w:t>
      </w:r>
      <w:r w:rsidRPr="009772A3">
        <w:rPr>
          <w:color w:val="auto"/>
          <w:lang w:val="ro-MD"/>
        </w:rPr>
        <w:t xml:space="preserve">calitatea de acționar </w:t>
      </w:r>
      <w:r w:rsidR="00936523" w:rsidRPr="009772A3">
        <w:rPr>
          <w:color w:val="auto"/>
          <w:lang w:val="ro-MD"/>
        </w:rPr>
        <w:t>și-o</w:t>
      </w:r>
      <w:r w:rsidRPr="009772A3">
        <w:rPr>
          <w:color w:val="auto"/>
          <w:lang w:val="ro-MD"/>
        </w:rPr>
        <w:t xml:space="preserve"> mențin</w:t>
      </w:r>
      <w:r w:rsidR="00936523" w:rsidRPr="009772A3">
        <w:rPr>
          <w:color w:val="auto"/>
          <w:lang w:val="ro-MD"/>
        </w:rPr>
        <w:t>e de jure</w:t>
      </w:r>
      <w:r w:rsidRPr="009772A3">
        <w:rPr>
          <w:color w:val="auto"/>
          <w:lang w:val="ro-MD"/>
        </w:rPr>
        <w:t xml:space="preserve"> p</w:t>
      </w:r>
      <w:r w:rsidR="007F493C" w:rsidRPr="009772A3">
        <w:rPr>
          <w:color w:val="auto"/>
          <w:lang w:val="ro-MD"/>
        </w:rPr>
        <w:t>â</w:t>
      </w:r>
      <w:r w:rsidRPr="009772A3">
        <w:rPr>
          <w:color w:val="auto"/>
          <w:lang w:val="ro-MD"/>
        </w:rPr>
        <w:t>nă în prezent.</w:t>
      </w:r>
      <w:bookmarkEnd w:id="36"/>
    </w:p>
    <w:p w14:paraId="717D3FB9" w14:textId="7CBEC6B8" w:rsidR="00E0174F" w:rsidRPr="009772A3" w:rsidRDefault="00E0174F" w:rsidP="00DD349B">
      <w:pPr>
        <w:shd w:val="clear" w:color="auto" w:fill="FFFFFF" w:themeFill="background1"/>
        <w:spacing w:after="0" w:line="276" w:lineRule="auto"/>
        <w:ind w:firstLine="709"/>
        <w:jc w:val="both"/>
        <w:rPr>
          <w:rFonts w:asciiTheme="majorHAnsi" w:hAnsiTheme="majorHAnsi" w:cstheme="majorHAnsi"/>
          <w:b/>
          <w:sz w:val="24"/>
          <w:szCs w:val="24"/>
          <w:lang w:val="ro-MD"/>
        </w:rPr>
      </w:pPr>
      <w:r w:rsidRPr="009772A3">
        <w:rPr>
          <w:rFonts w:asciiTheme="majorHAnsi" w:hAnsiTheme="majorHAnsi" w:cstheme="majorHAnsi"/>
          <w:b/>
          <w:sz w:val="24"/>
          <w:szCs w:val="24"/>
          <w:lang w:val="ro-MD"/>
        </w:rPr>
        <w:t xml:space="preserve">Deși </w:t>
      </w:r>
      <w:r w:rsidR="008D0CCC" w:rsidRPr="009772A3">
        <w:rPr>
          <w:rFonts w:asciiTheme="majorHAnsi" w:hAnsiTheme="majorHAnsi" w:cstheme="majorHAnsi"/>
          <w:b/>
          <w:sz w:val="24"/>
          <w:szCs w:val="24"/>
          <w:lang w:val="ro-MD"/>
        </w:rPr>
        <w:t>Legea privind societățile pe acțiuni nr.1134/1997 nu acordă acționarilor dreptul de a</w:t>
      </w:r>
      <w:r w:rsidR="00B552AC" w:rsidRPr="009772A3">
        <w:rPr>
          <w:rFonts w:asciiTheme="majorHAnsi" w:hAnsiTheme="majorHAnsi" w:cstheme="majorHAnsi"/>
          <w:b/>
          <w:sz w:val="24"/>
          <w:szCs w:val="24"/>
          <w:lang w:val="ro-MD"/>
        </w:rPr>
        <w:t>-și</w:t>
      </w:r>
      <w:r w:rsidR="008D0CCC" w:rsidRPr="009772A3">
        <w:rPr>
          <w:rFonts w:asciiTheme="majorHAnsi" w:hAnsiTheme="majorHAnsi" w:cstheme="majorHAnsi"/>
          <w:b/>
          <w:sz w:val="24"/>
          <w:szCs w:val="24"/>
          <w:lang w:val="ro-MD"/>
        </w:rPr>
        <w:t xml:space="preserve"> retrage aportul </w:t>
      </w:r>
      <w:r w:rsidR="00B552AC" w:rsidRPr="009772A3">
        <w:rPr>
          <w:rFonts w:asciiTheme="majorHAnsi" w:hAnsiTheme="majorHAnsi" w:cstheme="majorHAnsi"/>
          <w:b/>
          <w:sz w:val="24"/>
          <w:szCs w:val="24"/>
          <w:lang w:val="ro-MD"/>
        </w:rPr>
        <w:t>în</w:t>
      </w:r>
      <w:r w:rsidR="008D0CCC" w:rsidRPr="009772A3">
        <w:rPr>
          <w:rFonts w:asciiTheme="majorHAnsi" w:hAnsiTheme="majorHAnsi" w:cstheme="majorHAnsi"/>
          <w:b/>
          <w:sz w:val="24"/>
          <w:szCs w:val="24"/>
          <w:lang w:val="ro-MD"/>
        </w:rPr>
        <w:t xml:space="preserve"> capitalul social, inclusiv patrimoniul depus la fondarea societății, </w:t>
      </w:r>
      <w:r w:rsidRPr="009772A3">
        <w:rPr>
          <w:rFonts w:asciiTheme="majorHAnsi" w:hAnsiTheme="majorHAnsi" w:cstheme="majorHAnsi"/>
          <w:b/>
          <w:sz w:val="24"/>
          <w:szCs w:val="24"/>
          <w:lang w:val="ro-MD"/>
        </w:rPr>
        <w:t xml:space="preserve">în anul 2005 regiunea </w:t>
      </w:r>
      <w:r w:rsidR="00B552AC" w:rsidRPr="009772A3">
        <w:rPr>
          <w:rFonts w:asciiTheme="majorHAnsi" w:hAnsiTheme="majorHAnsi" w:cstheme="majorHAnsi"/>
          <w:b/>
          <w:sz w:val="24"/>
          <w:szCs w:val="24"/>
          <w:lang w:val="ro-MD"/>
        </w:rPr>
        <w:t>t</w:t>
      </w:r>
      <w:r w:rsidRPr="009772A3">
        <w:rPr>
          <w:rFonts w:asciiTheme="majorHAnsi" w:hAnsiTheme="majorHAnsi" w:cstheme="majorHAnsi"/>
          <w:b/>
          <w:sz w:val="24"/>
          <w:szCs w:val="24"/>
          <w:lang w:val="ro-MD"/>
        </w:rPr>
        <w:t xml:space="preserve">ransnistreană </w:t>
      </w:r>
      <w:r w:rsidR="00295599" w:rsidRPr="009772A3">
        <w:rPr>
          <w:rFonts w:asciiTheme="majorHAnsi" w:hAnsiTheme="majorHAnsi" w:cstheme="majorHAnsi"/>
          <w:b/>
          <w:sz w:val="24"/>
          <w:szCs w:val="24"/>
          <w:lang w:val="ro-MD"/>
        </w:rPr>
        <w:t>și-</w:t>
      </w:r>
      <w:r w:rsidR="008D0CCC" w:rsidRPr="009772A3">
        <w:rPr>
          <w:rFonts w:asciiTheme="majorHAnsi" w:hAnsiTheme="majorHAnsi" w:cstheme="majorHAnsi"/>
          <w:b/>
          <w:sz w:val="24"/>
          <w:szCs w:val="24"/>
          <w:lang w:val="ro-MD"/>
        </w:rPr>
        <w:t>a retras patrimoniul depus la fondarea SA Moldovagaz</w:t>
      </w:r>
      <w:r w:rsidR="00295599" w:rsidRPr="009772A3">
        <w:rPr>
          <w:rFonts w:asciiTheme="majorHAnsi" w:hAnsiTheme="majorHAnsi" w:cstheme="majorHAnsi"/>
          <w:b/>
          <w:sz w:val="24"/>
          <w:szCs w:val="24"/>
          <w:lang w:val="ro-MD"/>
        </w:rPr>
        <w:t>, inclusiv</w:t>
      </w:r>
      <w:r w:rsidRPr="009772A3">
        <w:rPr>
          <w:rFonts w:asciiTheme="majorHAnsi" w:hAnsiTheme="majorHAnsi" w:cstheme="majorHAnsi"/>
          <w:b/>
          <w:sz w:val="24"/>
          <w:szCs w:val="24"/>
          <w:lang w:val="ro-MD"/>
        </w:rPr>
        <w:t xml:space="preserve"> </w:t>
      </w:r>
      <w:r w:rsidR="00D86C30" w:rsidRPr="009772A3">
        <w:rPr>
          <w:rFonts w:asciiTheme="majorHAnsi" w:hAnsiTheme="majorHAnsi" w:cstheme="majorHAnsi"/>
          <w:b/>
          <w:sz w:val="24"/>
          <w:szCs w:val="24"/>
          <w:lang w:val="ro-MD"/>
        </w:rPr>
        <w:t xml:space="preserve">calitatea </w:t>
      </w:r>
      <w:r w:rsidRPr="009772A3">
        <w:rPr>
          <w:rFonts w:asciiTheme="majorHAnsi" w:hAnsiTheme="majorHAnsi" w:cstheme="majorHAnsi"/>
          <w:b/>
          <w:sz w:val="24"/>
          <w:szCs w:val="24"/>
          <w:lang w:val="ro-MD"/>
        </w:rPr>
        <w:t>d</w:t>
      </w:r>
      <w:r w:rsidR="00D86C30" w:rsidRPr="009772A3">
        <w:rPr>
          <w:rFonts w:asciiTheme="majorHAnsi" w:hAnsiTheme="majorHAnsi" w:cstheme="majorHAnsi"/>
          <w:b/>
          <w:sz w:val="24"/>
          <w:szCs w:val="24"/>
          <w:lang w:val="ro-MD"/>
        </w:rPr>
        <w:t>e</w:t>
      </w:r>
      <w:r w:rsidRPr="009772A3">
        <w:rPr>
          <w:rFonts w:asciiTheme="majorHAnsi" w:hAnsiTheme="majorHAnsi" w:cstheme="majorHAnsi"/>
          <w:b/>
          <w:sz w:val="24"/>
          <w:szCs w:val="24"/>
          <w:lang w:val="ro-MD"/>
        </w:rPr>
        <w:t xml:space="preserve"> acționar </w:t>
      </w:r>
      <w:r w:rsidR="00FD098F" w:rsidRPr="009772A3">
        <w:rPr>
          <w:rFonts w:asciiTheme="majorHAnsi" w:hAnsiTheme="majorHAnsi" w:cstheme="majorHAnsi"/>
          <w:b/>
          <w:sz w:val="24"/>
          <w:szCs w:val="24"/>
          <w:lang w:val="ro-MD"/>
        </w:rPr>
        <w:t xml:space="preserve">la </w:t>
      </w:r>
      <w:r w:rsidRPr="009772A3">
        <w:rPr>
          <w:rFonts w:asciiTheme="majorHAnsi" w:hAnsiTheme="majorHAnsi" w:cstheme="majorHAnsi"/>
          <w:b/>
          <w:sz w:val="24"/>
          <w:szCs w:val="24"/>
          <w:lang w:val="ro-MD"/>
        </w:rPr>
        <w:t>SA Moldovagaz</w:t>
      </w:r>
      <w:r w:rsidRPr="009772A3">
        <w:rPr>
          <w:rFonts w:asciiTheme="majorHAnsi" w:hAnsiTheme="majorHAnsi" w:cstheme="majorHAnsi"/>
          <w:b/>
          <w:sz w:val="24"/>
          <w:szCs w:val="24"/>
          <w:vertAlign w:val="superscript"/>
          <w:lang w:val="ro-MD"/>
        </w:rPr>
        <w:footnoteReference w:id="30"/>
      </w:r>
      <w:r w:rsidRPr="009772A3">
        <w:rPr>
          <w:rFonts w:asciiTheme="majorHAnsi" w:hAnsiTheme="majorHAnsi" w:cstheme="majorHAnsi"/>
          <w:b/>
          <w:sz w:val="24"/>
          <w:szCs w:val="24"/>
          <w:lang w:val="ro-MD"/>
        </w:rPr>
        <w:t xml:space="preserve">, </w:t>
      </w:r>
      <w:r w:rsidR="00944041" w:rsidRPr="009772A3">
        <w:rPr>
          <w:rFonts w:asciiTheme="majorHAnsi" w:hAnsiTheme="majorHAnsi" w:cstheme="majorHAnsi"/>
          <w:b/>
          <w:sz w:val="24"/>
          <w:szCs w:val="24"/>
          <w:lang w:val="ro-MD"/>
        </w:rPr>
        <w:t xml:space="preserve">cu toate </w:t>
      </w:r>
      <w:r w:rsidR="008D0CCC" w:rsidRPr="009772A3">
        <w:rPr>
          <w:rFonts w:asciiTheme="majorHAnsi" w:hAnsiTheme="majorHAnsi" w:cstheme="majorHAnsi"/>
          <w:b/>
          <w:sz w:val="24"/>
          <w:szCs w:val="24"/>
          <w:lang w:val="ro-MD"/>
        </w:rPr>
        <w:t>acest</w:t>
      </w:r>
      <w:r w:rsidR="00944041" w:rsidRPr="009772A3">
        <w:rPr>
          <w:rFonts w:asciiTheme="majorHAnsi" w:hAnsiTheme="majorHAnsi" w:cstheme="majorHAnsi"/>
          <w:b/>
          <w:sz w:val="24"/>
          <w:szCs w:val="24"/>
          <w:lang w:val="ro-MD"/>
        </w:rPr>
        <w:t>ea</w:t>
      </w:r>
      <w:r w:rsidR="008D0CCC" w:rsidRPr="009772A3">
        <w:rPr>
          <w:rFonts w:asciiTheme="majorHAnsi" w:hAnsiTheme="majorHAnsi" w:cstheme="majorHAnsi"/>
          <w:b/>
          <w:sz w:val="24"/>
          <w:szCs w:val="24"/>
          <w:lang w:val="ro-MD"/>
        </w:rPr>
        <w:t xml:space="preserve"> continu</w:t>
      </w:r>
      <w:r w:rsidR="00B552AC" w:rsidRPr="009772A3">
        <w:rPr>
          <w:rFonts w:asciiTheme="majorHAnsi" w:hAnsiTheme="majorHAnsi" w:cstheme="majorHAnsi"/>
          <w:b/>
          <w:sz w:val="24"/>
          <w:szCs w:val="24"/>
          <w:lang w:val="ro-MD"/>
        </w:rPr>
        <w:t>ă</w:t>
      </w:r>
      <w:r w:rsidRPr="009772A3">
        <w:rPr>
          <w:rFonts w:asciiTheme="majorHAnsi" w:hAnsiTheme="majorHAnsi" w:cstheme="majorHAnsi"/>
          <w:b/>
          <w:sz w:val="24"/>
          <w:szCs w:val="24"/>
          <w:lang w:val="ro-MD"/>
        </w:rPr>
        <w:t>, prin intermediul SA Gazprom</w:t>
      </w:r>
      <w:r w:rsidR="00B552AC"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 xml:space="preserve"> </w:t>
      </w:r>
      <w:r w:rsidR="00B552AC" w:rsidRPr="009772A3">
        <w:rPr>
          <w:rFonts w:asciiTheme="majorHAnsi" w:hAnsiTheme="majorHAnsi" w:cstheme="majorHAnsi"/>
          <w:b/>
          <w:sz w:val="24"/>
          <w:szCs w:val="24"/>
          <w:lang w:val="ro-MD"/>
        </w:rPr>
        <w:t xml:space="preserve">să </w:t>
      </w:r>
      <w:r w:rsidRPr="009772A3">
        <w:rPr>
          <w:rFonts w:asciiTheme="majorHAnsi" w:hAnsiTheme="majorHAnsi" w:cstheme="majorHAnsi"/>
          <w:b/>
          <w:sz w:val="24"/>
          <w:szCs w:val="24"/>
          <w:lang w:val="ro-MD"/>
        </w:rPr>
        <w:t>particip</w:t>
      </w:r>
      <w:r w:rsidR="00B552AC" w:rsidRPr="009772A3">
        <w:rPr>
          <w:rFonts w:asciiTheme="majorHAnsi" w:hAnsiTheme="majorHAnsi" w:cstheme="majorHAnsi"/>
          <w:b/>
          <w:sz w:val="24"/>
          <w:szCs w:val="24"/>
          <w:lang w:val="ro-MD"/>
        </w:rPr>
        <w:t>e</w:t>
      </w:r>
      <w:r w:rsidRPr="009772A3">
        <w:rPr>
          <w:rFonts w:asciiTheme="majorHAnsi" w:hAnsiTheme="majorHAnsi" w:cstheme="majorHAnsi"/>
          <w:b/>
          <w:sz w:val="24"/>
          <w:szCs w:val="24"/>
          <w:lang w:val="ro-MD"/>
        </w:rPr>
        <w:t xml:space="preserve"> la gestionarea SA Moldovagaz.</w:t>
      </w:r>
    </w:p>
    <w:p w14:paraId="5C41CBB6" w14:textId="31DD8E80" w:rsidR="00B84F30" w:rsidRPr="009772A3" w:rsidRDefault="00FD098F" w:rsidP="00DD349B">
      <w:pPr>
        <w:shd w:val="clear" w:color="auto" w:fill="FFFFFF" w:themeFill="background1"/>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Astfel, l</w:t>
      </w:r>
      <w:r w:rsidR="00B84F30" w:rsidRPr="009772A3">
        <w:rPr>
          <w:rFonts w:asciiTheme="majorHAnsi" w:hAnsiTheme="majorHAnsi" w:cstheme="majorHAnsi"/>
          <w:sz w:val="24"/>
          <w:szCs w:val="24"/>
          <w:lang w:val="ro-MD"/>
        </w:rPr>
        <w:t>a 04.03.2005</w:t>
      </w:r>
      <w:r w:rsidR="009C44EA"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w:t>
      </w:r>
      <w:r w:rsidR="00120029" w:rsidRPr="009772A3">
        <w:rPr>
          <w:rFonts w:asciiTheme="majorHAnsi" w:hAnsiTheme="majorHAnsi" w:cstheme="majorHAnsi"/>
          <w:sz w:val="24"/>
          <w:szCs w:val="24"/>
          <w:lang w:val="ro-MD"/>
        </w:rPr>
        <w:t>în baza unui act al nerecunoscutei RMT</w:t>
      </w:r>
      <w:r w:rsidR="00120029" w:rsidRPr="009772A3">
        <w:rPr>
          <w:rStyle w:val="FootnoteReference"/>
          <w:rFonts w:asciiTheme="majorHAnsi" w:hAnsiTheme="majorHAnsi" w:cstheme="majorHAnsi"/>
          <w:sz w:val="24"/>
          <w:szCs w:val="24"/>
          <w:lang w:val="ro-MD"/>
        </w:rPr>
        <w:footnoteReference w:id="31"/>
      </w:r>
      <w:r w:rsidR="00120029" w:rsidRPr="009772A3">
        <w:rPr>
          <w:rFonts w:asciiTheme="majorHAnsi" w:hAnsiTheme="majorHAnsi" w:cstheme="majorHAnsi"/>
          <w:sz w:val="24"/>
          <w:szCs w:val="24"/>
          <w:lang w:val="ro-MD"/>
        </w:rPr>
        <w:t xml:space="preserve">, </w:t>
      </w:r>
      <w:r w:rsidR="0055610C" w:rsidRPr="009772A3">
        <w:rPr>
          <w:rFonts w:asciiTheme="majorHAnsi" w:hAnsiTheme="majorHAnsi" w:cstheme="majorHAnsi"/>
          <w:sz w:val="24"/>
          <w:szCs w:val="24"/>
          <w:lang w:val="ro-MD"/>
        </w:rPr>
        <w:t>la 25.03.2005</w:t>
      </w:r>
      <w:r w:rsidR="00B84F30" w:rsidRPr="009772A3">
        <w:rPr>
          <w:rFonts w:asciiTheme="majorHAnsi" w:hAnsiTheme="majorHAnsi" w:cstheme="majorHAnsi"/>
          <w:sz w:val="24"/>
          <w:szCs w:val="24"/>
          <w:lang w:val="ro-MD"/>
        </w:rPr>
        <w:t xml:space="preserve"> </w:t>
      </w:r>
      <w:r w:rsidR="0055610C" w:rsidRPr="009772A3">
        <w:rPr>
          <w:rFonts w:asciiTheme="majorHAnsi" w:hAnsiTheme="majorHAnsi" w:cstheme="majorHAnsi"/>
          <w:sz w:val="24"/>
          <w:szCs w:val="24"/>
          <w:lang w:val="ro-MD"/>
        </w:rPr>
        <w:t>organul decizional respectiv al regiunii Transnistrene</w:t>
      </w:r>
      <w:r w:rsidR="0055610C" w:rsidRPr="009772A3">
        <w:rPr>
          <w:rStyle w:val="FootnoteReference"/>
          <w:rFonts w:asciiTheme="majorHAnsi" w:hAnsiTheme="majorHAnsi" w:cstheme="majorHAnsi"/>
          <w:sz w:val="24"/>
          <w:szCs w:val="24"/>
          <w:lang w:val="ro-MD"/>
        </w:rPr>
        <w:footnoteReference w:id="32"/>
      </w:r>
      <w:r w:rsidR="0055610C" w:rsidRPr="009772A3">
        <w:rPr>
          <w:rFonts w:asciiTheme="majorHAnsi" w:hAnsiTheme="majorHAnsi" w:cstheme="majorHAnsi"/>
          <w:sz w:val="24"/>
          <w:szCs w:val="24"/>
          <w:lang w:val="ro-MD"/>
        </w:rPr>
        <w:t xml:space="preserve"> </w:t>
      </w:r>
      <w:r w:rsidR="00B84F30" w:rsidRPr="009772A3">
        <w:rPr>
          <w:rFonts w:asciiTheme="majorHAnsi" w:hAnsiTheme="majorHAnsi" w:cstheme="majorHAnsi"/>
          <w:sz w:val="24"/>
          <w:szCs w:val="24"/>
          <w:lang w:val="ro-MD"/>
        </w:rPr>
        <w:t>a înființa</w:t>
      </w:r>
      <w:r w:rsidR="0055610C" w:rsidRPr="009772A3">
        <w:rPr>
          <w:rFonts w:asciiTheme="majorHAnsi" w:hAnsiTheme="majorHAnsi" w:cstheme="majorHAnsi"/>
          <w:sz w:val="24"/>
          <w:szCs w:val="24"/>
          <w:lang w:val="ro-MD"/>
        </w:rPr>
        <w:t>t</w:t>
      </w:r>
      <w:r w:rsidR="00B84F30" w:rsidRPr="009772A3">
        <w:rPr>
          <w:rFonts w:asciiTheme="majorHAnsi" w:hAnsiTheme="majorHAnsi" w:cstheme="majorHAnsi"/>
          <w:sz w:val="24"/>
          <w:szCs w:val="24"/>
          <w:lang w:val="ro-MD"/>
        </w:rPr>
        <w:t xml:space="preserve"> SRL Tiraspoltransgaz-Pridnestrovie</w:t>
      </w:r>
      <w:r w:rsidR="00B84F30" w:rsidRPr="009772A3">
        <w:rPr>
          <w:rFonts w:asciiTheme="majorHAnsi" w:hAnsiTheme="majorHAnsi" w:cstheme="majorHAnsi"/>
          <w:sz w:val="24"/>
          <w:szCs w:val="24"/>
          <w:vertAlign w:val="superscript"/>
          <w:lang w:val="ro-MD"/>
        </w:rPr>
        <w:footnoteReference w:id="33"/>
      </w:r>
      <w:r w:rsidR="00B84F30" w:rsidRPr="009772A3">
        <w:rPr>
          <w:rFonts w:asciiTheme="majorHAnsi" w:hAnsiTheme="majorHAnsi" w:cstheme="majorHAnsi"/>
          <w:sz w:val="24"/>
          <w:szCs w:val="24"/>
          <w:lang w:val="ro-MD"/>
        </w:rPr>
        <w:t xml:space="preserve">, </w:t>
      </w:r>
      <w:r w:rsidR="0055610C" w:rsidRPr="009772A3">
        <w:rPr>
          <w:rFonts w:asciiTheme="majorHAnsi" w:hAnsiTheme="majorHAnsi" w:cstheme="majorHAnsi"/>
          <w:sz w:val="24"/>
          <w:szCs w:val="24"/>
          <w:lang w:val="ro-MD"/>
        </w:rPr>
        <w:t>căreia i-a fost transmis în gestiune patrimoniul din regiunea Transnistreană a</w:t>
      </w:r>
      <w:r w:rsidR="00080C0A" w:rsidRPr="009772A3">
        <w:rPr>
          <w:rFonts w:asciiTheme="majorHAnsi" w:hAnsiTheme="majorHAnsi" w:cstheme="majorHAnsi"/>
          <w:sz w:val="24"/>
          <w:szCs w:val="24"/>
          <w:lang w:val="ro-MD"/>
        </w:rPr>
        <w:t>l</w:t>
      </w:r>
      <w:r w:rsidR="0055610C" w:rsidRPr="009772A3">
        <w:rPr>
          <w:rFonts w:asciiTheme="majorHAnsi" w:hAnsiTheme="majorHAnsi" w:cstheme="majorHAnsi"/>
          <w:sz w:val="24"/>
          <w:szCs w:val="24"/>
          <w:lang w:val="ro-MD"/>
        </w:rPr>
        <w:t xml:space="preserve"> SA Moldovagaz</w:t>
      </w:r>
      <w:r w:rsidR="00B84F30" w:rsidRPr="009772A3">
        <w:rPr>
          <w:rFonts w:asciiTheme="majorHAnsi" w:hAnsiTheme="majorHAnsi" w:cstheme="majorHAnsi"/>
          <w:sz w:val="24"/>
          <w:szCs w:val="24"/>
          <w:lang w:val="ro-MD"/>
        </w:rPr>
        <w:t>.</w:t>
      </w:r>
      <w:r w:rsidR="008D0CCC" w:rsidRPr="009772A3">
        <w:rPr>
          <w:rFonts w:asciiTheme="majorHAnsi" w:hAnsiTheme="majorHAnsi" w:cstheme="majorHAnsi"/>
          <w:sz w:val="24"/>
          <w:szCs w:val="24"/>
          <w:lang w:val="ro-MD"/>
        </w:rPr>
        <w:t xml:space="preserve"> </w:t>
      </w:r>
    </w:p>
    <w:p w14:paraId="6330FE20" w14:textId="54A057E8" w:rsidR="00B84F30" w:rsidRPr="009772A3" w:rsidRDefault="00080C0A" w:rsidP="00DD349B">
      <w:pPr>
        <w:shd w:val="clear" w:color="auto" w:fill="FFFFFF" w:themeFill="background1"/>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Drept u</w:t>
      </w:r>
      <w:r w:rsidR="00B84F30" w:rsidRPr="009772A3">
        <w:rPr>
          <w:rFonts w:asciiTheme="majorHAnsi" w:hAnsiTheme="majorHAnsi" w:cstheme="majorHAnsi"/>
          <w:sz w:val="24"/>
          <w:szCs w:val="24"/>
          <w:lang w:val="ro-MD"/>
        </w:rPr>
        <w:t xml:space="preserve">rmare a deciziei </w:t>
      </w:r>
      <w:r w:rsidR="00963EF4" w:rsidRPr="009772A3">
        <w:rPr>
          <w:rFonts w:asciiTheme="majorHAnsi" w:hAnsiTheme="majorHAnsi" w:cstheme="majorHAnsi"/>
          <w:sz w:val="24"/>
          <w:szCs w:val="24"/>
          <w:lang w:val="ro-MD"/>
        </w:rPr>
        <w:t>regiunii</w:t>
      </w:r>
      <w:r w:rsidR="00B84F3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t</w:t>
      </w:r>
      <w:r w:rsidR="00B84F30" w:rsidRPr="009772A3">
        <w:rPr>
          <w:rFonts w:asciiTheme="majorHAnsi" w:hAnsiTheme="majorHAnsi" w:cstheme="majorHAnsi"/>
          <w:sz w:val="24"/>
          <w:szCs w:val="24"/>
          <w:lang w:val="ro-MD"/>
        </w:rPr>
        <w:t xml:space="preserve">ransnistrene din anul 2005 de a retrage patrimoniul depus la fondarea SA Gazsnabtranzit și SA Moldovagaz (inclusiv patrimoniul transmis SA Gazprom în contul datoriilor la gaze), </w:t>
      </w:r>
      <w:r w:rsidR="00FD098F" w:rsidRPr="009772A3">
        <w:rPr>
          <w:rFonts w:asciiTheme="majorHAnsi" w:hAnsiTheme="majorHAnsi" w:cstheme="majorHAnsi"/>
          <w:sz w:val="24"/>
          <w:szCs w:val="24"/>
          <w:lang w:val="ro-MD"/>
        </w:rPr>
        <w:t>SA Moldovagaz</w:t>
      </w:r>
      <w:r w:rsidR="00B84F30" w:rsidRPr="009772A3">
        <w:rPr>
          <w:rFonts w:asciiTheme="majorHAnsi" w:hAnsiTheme="majorHAnsi" w:cstheme="majorHAnsi"/>
          <w:sz w:val="24"/>
          <w:szCs w:val="24"/>
          <w:lang w:val="ro-MD"/>
        </w:rPr>
        <w:t xml:space="preserve"> nu </w:t>
      </w:r>
      <w:r w:rsidRPr="009772A3">
        <w:rPr>
          <w:rFonts w:asciiTheme="majorHAnsi" w:hAnsiTheme="majorHAnsi" w:cstheme="majorHAnsi"/>
          <w:sz w:val="24"/>
          <w:szCs w:val="24"/>
          <w:lang w:val="ro-MD"/>
        </w:rPr>
        <w:t xml:space="preserve">mai </w:t>
      </w:r>
      <w:r w:rsidR="00B84F30" w:rsidRPr="009772A3">
        <w:rPr>
          <w:rFonts w:asciiTheme="majorHAnsi" w:hAnsiTheme="majorHAnsi" w:cstheme="majorHAnsi"/>
          <w:sz w:val="24"/>
          <w:szCs w:val="24"/>
          <w:lang w:val="ro-MD"/>
        </w:rPr>
        <w:t>controlează o parte din patrimoniul său. Deși retragerea patrimoniului s-a efectuat de fapt, cotele de participare ale acționarilor rămași nu au fost revizu</w:t>
      </w:r>
      <w:r w:rsidR="00E13045" w:rsidRPr="009772A3">
        <w:rPr>
          <w:rFonts w:asciiTheme="majorHAnsi" w:hAnsiTheme="majorHAnsi" w:cstheme="majorHAnsi"/>
          <w:sz w:val="24"/>
          <w:szCs w:val="24"/>
          <w:lang w:val="ro-MD"/>
        </w:rPr>
        <w:t>ite</w:t>
      </w:r>
      <w:r w:rsidR="00B84F30" w:rsidRPr="009772A3">
        <w:rPr>
          <w:rFonts w:asciiTheme="majorHAnsi" w:hAnsiTheme="majorHAnsi" w:cstheme="majorHAnsi"/>
          <w:sz w:val="24"/>
          <w:szCs w:val="24"/>
          <w:lang w:val="ro-MD"/>
        </w:rPr>
        <w:t xml:space="preserve">. </w:t>
      </w:r>
    </w:p>
    <w:p w14:paraId="6991F8E0" w14:textId="212B0EE9" w:rsidR="00B84F30" w:rsidRPr="009772A3" w:rsidRDefault="00B84F30" w:rsidP="008F206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Mai mult </w:t>
      </w:r>
      <w:r w:rsidR="00080C0A" w:rsidRPr="009772A3">
        <w:rPr>
          <w:rFonts w:asciiTheme="majorHAnsi" w:hAnsiTheme="majorHAnsi" w:cstheme="majorHAnsi"/>
          <w:sz w:val="24"/>
          <w:szCs w:val="24"/>
          <w:lang w:val="ro-MD"/>
        </w:rPr>
        <w:t>decât</w:t>
      </w:r>
      <w:r w:rsidRPr="009772A3">
        <w:rPr>
          <w:rFonts w:asciiTheme="majorHAnsi" w:hAnsiTheme="majorHAnsi" w:cstheme="majorHAnsi"/>
          <w:sz w:val="24"/>
          <w:szCs w:val="24"/>
          <w:lang w:val="ro-MD"/>
        </w:rPr>
        <w:t xml:space="preserve"> at</w:t>
      </w:r>
      <w:r w:rsidR="00080C0A"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 SA Gazprom, în baza contract</w:t>
      </w:r>
      <w:r w:rsidR="00EE4F78" w:rsidRPr="009772A3">
        <w:rPr>
          <w:rFonts w:asciiTheme="majorHAnsi" w:hAnsiTheme="majorHAnsi" w:cstheme="majorHAnsi"/>
          <w:sz w:val="24"/>
          <w:szCs w:val="24"/>
          <w:lang w:val="ro-MD"/>
        </w:rPr>
        <w:t>ului</w:t>
      </w:r>
      <w:r w:rsidRPr="009772A3">
        <w:rPr>
          <w:rFonts w:asciiTheme="majorHAnsi" w:hAnsiTheme="majorHAnsi" w:cstheme="majorHAnsi"/>
          <w:sz w:val="24"/>
          <w:szCs w:val="24"/>
          <w:lang w:val="ro-MD"/>
        </w:rPr>
        <w:t xml:space="preserve"> de gestiune fiduciară a patrimoniului care datează din 31.05.2005 (modificat la 29.12.2015), </w:t>
      </w:r>
      <w:r w:rsidR="00EE4F78" w:rsidRPr="009772A3">
        <w:rPr>
          <w:rFonts w:asciiTheme="majorHAnsi" w:hAnsiTheme="majorHAnsi" w:cstheme="majorHAnsi"/>
          <w:sz w:val="24"/>
          <w:szCs w:val="24"/>
          <w:lang w:val="ro-MD"/>
        </w:rPr>
        <w:t xml:space="preserve">a continuat </w:t>
      </w:r>
      <w:r w:rsidR="006B54DD" w:rsidRPr="009772A3">
        <w:rPr>
          <w:rFonts w:asciiTheme="majorHAnsi" w:hAnsiTheme="majorHAnsi" w:cstheme="majorHAnsi"/>
          <w:sz w:val="24"/>
          <w:szCs w:val="24"/>
          <w:lang w:val="ro-MD"/>
        </w:rPr>
        <w:t>să</w:t>
      </w:r>
      <w:r w:rsidR="00EE4F7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reprezint</w:t>
      </w:r>
      <w:r w:rsidR="006B54DD" w:rsidRPr="009772A3">
        <w:rPr>
          <w:rFonts w:asciiTheme="majorHAnsi" w:hAnsiTheme="majorHAnsi" w:cstheme="majorHAnsi"/>
          <w:sz w:val="24"/>
          <w:szCs w:val="24"/>
          <w:lang w:val="ro-MD"/>
        </w:rPr>
        <w:t>e</w:t>
      </w:r>
      <w:r w:rsidR="00EE4F7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interesele părții </w:t>
      </w:r>
      <w:r w:rsidR="00080C0A"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ransnistrene în organele de conducere a</w:t>
      </w:r>
      <w:r w:rsidR="00080C0A"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SA Moldovagaz</w:t>
      </w:r>
      <w:r w:rsidR="006B54DD" w:rsidRPr="009772A3">
        <w:rPr>
          <w:rFonts w:asciiTheme="majorHAnsi" w:hAnsiTheme="majorHAnsi" w:cstheme="majorHAnsi"/>
          <w:sz w:val="24"/>
          <w:szCs w:val="24"/>
          <w:lang w:val="ro-MD"/>
        </w:rPr>
        <w:t xml:space="preserve"> și să ia decizii în numele acesteia</w:t>
      </w:r>
      <w:r w:rsidRPr="009772A3">
        <w:rPr>
          <w:rFonts w:asciiTheme="majorHAnsi" w:hAnsiTheme="majorHAnsi" w:cstheme="majorHAnsi"/>
          <w:sz w:val="24"/>
          <w:szCs w:val="24"/>
          <w:lang w:val="ro-MD"/>
        </w:rPr>
        <w:t xml:space="preserve">, ca urmare partea </w:t>
      </w:r>
      <w:r w:rsidR="00A4799D"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ransnistreană</w:t>
      </w:r>
      <w:r w:rsidR="00EE4F7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EE4F78" w:rsidRPr="009772A3">
        <w:rPr>
          <w:rFonts w:asciiTheme="majorHAnsi" w:hAnsiTheme="majorHAnsi" w:cstheme="majorHAnsi"/>
          <w:sz w:val="24"/>
          <w:szCs w:val="24"/>
          <w:lang w:val="ro-MD"/>
        </w:rPr>
        <w:t>prin intermediul SA Gazprom</w:t>
      </w:r>
      <w:r w:rsidR="00A4799D" w:rsidRPr="009772A3">
        <w:rPr>
          <w:rFonts w:asciiTheme="majorHAnsi" w:hAnsiTheme="majorHAnsi" w:cstheme="majorHAnsi"/>
          <w:sz w:val="24"/>
          <w:szCs w:val="24"/>
          <w:lang w:val="ro-MD"/>
        </w:rPr>
        <w:t>,</w:t>
      </w:r>
      <w:r w:rsidR="00EE4F78" w:rsidRPr="009772A3">
        <w:rPr>
          <w:rFonts w:asciiTheme="majorHAnsi" w:hAnsiTheme="majorHAnsi" w:cstheme="majorHAnsi"/>
          <w:sz w:val="24"/>
          <w:szCs w:val="24"/>
          <w:lang w:val="ro-MD"/>
        </w:rPr>
        <w:t xml:space="preserve"> participă la gestionarea SA Moldovagaz.</w:t>
      </w:r>
    </w:p>
    <w:p w14:paraId="54B34846" w14:textId="38A23C6F" w:rsidR="00C936C1" w:rsidRPr="009772A3" w:rsidRDefault="00C936C1" w:rsidP="00C936C1">
      <w:pPr>
        <w:shd w:val="clear" w:color="auto" w:fill="FFFFFF" w:themeFill="background1"/>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SA Moldovagaz nu recunoaște aceste acțiuni care s-au efectuat în afara cadrului legal al RM și</w:t>
      </w:r>
      <w:r w:rsidR="00A4799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urmare</w:t>
      </w:r>
      <w:r w:rsidR="00A4799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sunt nule de drept, </w:t>
      </w:r>
      <w:r w:rsidR="003D6051" w:rsidRPr="009772A3">
        <w:rPr>
          <w:rFonts w:asciiTheme="majorHAnsi" w:hAnsiTheme="majorHAnsi" w:cstheme="majorHAnsi"/>
          <w:sz w:val="24"/>
          <w:szCs w:val="24"/>
          <w:lang w:val="ro-MD"/>
        </w:rPr>
        <w:t>aceasta</w:t>
      </w:r>
      <w:r w:rsidRPr="009772A3">
        <w:rPr>
          <w:rFonts w:asciiTheme="majorHAnsi" w:hAnsiTheme="majorHAnsi" w:cstheme="majorHAnsi"/>
          <w:sz w:val="24"/>
          <w:szCs w:val="24"/>
          <w:lang w:val="ro-MD"/>
        </w:rPr>
        <w:t xml:space="preserve"> nu s-a adresat în instanțele naționale pentru recuperarea prejudiciului cauzat prin lipsa posibilității de gestiune a patrimoniului său, nu a cerut suspendarea dreptului de vot al regiunii </w:t>
      </w:r>
      <w:r w:rsidR="00A4799D"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 xml:space="preserve">ransnistrene în cadrul </w:t>
      </w:r>
      <w:r w:rsidR="00A4799D"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dunării generale a acționarilor, precum și nici nu a inițiat divizarea societății</w:t>
      </w:r>
      <w:r w:rsidR="00FD098F" w:rsidRPr="009772A3">
        <w:rPr>
          <w:rFonts w:asciiTheme="majorHAnsi" w:hAnsiTheme="majorHAnsi" w:cstheme="majorHAnsi"/>
          <w:sz w:val="24"/>
          <w:szCs w:val="24"/>
          <w:lang w:val="ro-MD"/>
        </w:rPr>
        <w:t xml:space="preserve"> pentru excluderea regiunii </w:t>
      </w:r>
      <w:r w:rsidR="00A4799D" w:rsidRPr="009772A3">
        <w:rPr>
          <w:rFonts w:asciiTheme="majorHAnsi" w:hAnsiTheme="majorHAnsi" w:cstheme="majorHAnsi"/>
          <w:sz w:val="24"/>
          <w:szCs w:val="24"/>
          <w:lang w:val="ro-MD"/>
        </w:rPr>
        <w:t>t</w:t>
      </w:r>
      <w:r w:rsidR="00FD098F" w:rsidRPr="009772A3">
        <w:rPr>
          <w:rFonts w:asciiTheme="majorHAnsi" w:hAnsiTheme="majorHAnsi" w:cstheme="majorHAnsi"/>
          <w:sz w:val="24"/>
          <w:szCs w:val="24"/>
          <w:lang w:val="ro-MD"/>
        </w:rPr>
        <w:t>ransnistrene din acționarii săi</w:t>
      </w:r>
      <w:r w:rsidRPr="009772A3">
        <w:rPr>
          <w:rFonts w:asciiTheme="majorHAnsi" w:hAnsiTheme="majorHAnsi" w:cstheme="majorHAnsi"/>
          <w:sz w:val="24"/>
          <w:szCs w:val="24"/>
          <w:lang w:val="ro-MD"/>
        </w:rPr>
        <w:t xml:space="preserve">, pentru a conforma stuația </w:t>
      </w:r>
      <w:r w:rsidR="00C635F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de fa</w:t>
      </w:r>
      <w:r w:rsidR="00C635F8" w:rsidRPr="009772A3">
        <w:rPr>
          <w:rFonts w:asciiTheme="majorHAnsi" w:hAnsiTheme="majorHAnsi" w:cstheme="majorHAnsi"/>
          <w:sz w:val="24"/>
          <w:szCs w:val="24"/>
          <w:lang w:val="ro-MD"/>
        </w:rPr>
        <w:t>cto”</w:t>
      </w:r>
      <w:r w:rsidRPr="009772A3">
        <w:rPr>
          <w:rFonts w:asciiTheme="majorHAnsi" w:hAnsiTheme="majorHAnsi" w:cstheme="majorHAnsi"/>
          <w:sz w:val="24"/>
          <w:szCs w:val="24"/>
          <w:lang w:val="ro-MD"/>
        </w:rPr>
        <w:t xml:space="preserve"> cu cea </w:t>
      </w:r>
      <w:r w:rsidR="00C635F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de </w:t>
      </w:r>
      <w:r w:rsidR="00C635F8" w:rsidRPr="009772A3">
        <w:rPr>
          <w:rFonts w:asciiTheme="majorHAnsi" w:hAnsiTheme="majorHAnsi" w:cstheme="majorHAnsi"/>
          <w:sz w:val="24"/>
          <w:szCs w:val="24"/>
          <w:lang w:val="ro-MD"/>
        </w:rPr>
        <w:t>jure”</w:t>
      </w:r>
      <w:r w:rsidRPr="009772A3">
        <w:rPr>
          <w:rFonts w:asciiTheme="majorHAnsi" w:hAnsiTheme="majorHAnsi" w:cstheme="majorHAnsi"/>
          <w:sz w:val="24"/>
          <w:szCs w:val="24"/>
          <w:lang w:val="ro-MD"/>
        </w:rPr>
        <w:t>.</w:t>
      </w:r>
    </w:p>
    <w:p w14:paraId="20058EC1" w14:textId="1A1F03AF" w:rsidR="00B84F30" w:rsidRPr="009772A3" w:rsidRDefault="00B84F30" w:rsidP="008F206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3D605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3D6051" w:rsidRPr="009772A3">
        <w:rPr>
          <w:rFonts w:asciiTheme="majorHAnsi" w:hAnsiTheme="majorHAnsi" w:cstheme="majorHAnsi"/>
          <w:sz w:val="24"/>
          <w:szCs w:val="24"/>
          <w:lang w:val="ro-MD"/>
        </w:rPr>
        <w:t xml:space="preserve">potrivit </w:t>
      </w:r>
      <w:r w:rsidRPr="009772A3">
        <w:rPr>
          <w:rFonts w:asciiTheme="majorHAnsi" w:hAnsiTheme="majorHAnsi" w:cstheme="majorHAnsi"/>
          <w:sz w:val="24"/>
          <w:szCs w:val="24"/>
          <w:lang w:val="ro-MD"/>
        </w:rPr>
        <w:t>pct.2.1. lit.c) din HANRE nr.106/2020 din 10.04.2020</w:t>
      </w:r>
      <w:r w:rsidR="003D605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Moldovagaz a fost obligată să reflecte deprecierea investițiilor în entitățile fondate în </w:t>
      </w:r>
      <w:r w:rsidR="00C936C1" w:rsidRPr="009772A3">
        <w:rPr>
          <w:rFonts w:asciiTheme="majorHAnsi" w:hAnsiTheme="majorHAnsi" w:cstheme="majorHAnsi"/>
          <w:sz w:val="24"/>
          <w:szCs w:val="24"/>
          <w:lang w:val="ro-MD"/>
        </w:rPr>
        <w:t xml:space="preserve">regiunea </w:t>
      </w:r>
      <w:r w:rsidR="001913D3"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ransnistr</w:t>
      </w:r>
      <w:r w:rsidR="001913D3"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a</w:t>
      </w:r>
      <w:r w:rsidR="001913D3" w:rsidRPr="009772A3">
        <w:rPr>
          <w:rFonts w:asciiTheme="majorHAnsi" w:hAnsiTheme="majorHAnsi" w:cstheme="majorHAnsi"/>
          <w:sz w:val="24"/>
          <w:szCs w:val="24"/>
          <w:lang w:val="ro-MD"/>
        </w:rPr>
        <w:t>nă</w:t>
      </w:r>
      <w:r w:rsidRPr="009772A3">
        <w:rPr>
          <w:rFonts w:asciiTheme="majorHAnsi" w:hAnsiTheme="majorHAnsi" w:cstheme="majorHAnsi"/>
          <w:sz w:val="24"/>
          <w:szCs w:val="24"/>
          <w:lang w:val="ro-MD"/>
        </w:rPr>
        <w:t xml:space="preserve"> în sumă de 338</w:t>
      </w:r>
      <w:r w:rsidR="009068A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140,93 mii lei</w:t>
      </w:r>
      <w:r w:rsidR="0050580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conformitate cu prevederile pct.41 lit.c) al IAS 28 „Investițiile în entitățile asociate și asocierile în participație”. </w:t>
      </w:r>
    </w:p>
    <w:p w14:paraId="104252BD" w14:textId="471BCC51" w:rsidR="00B84F30" w:rsidRPr="009772A3" w:rsidRDefault="00B84F30" w:rsidP="008F206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Mai mult </w:t>
      </w:r>
      <w:r w:rsidR="00505809" w:rsidRPr="009772A3">
        <w:rPr>
          <w:rFonts w:asciiTheme="majorHAnsi" w:hAnsiTheme="majorHAnsi" w:cstheme="majorHAnsi"/>
          <w:sz w:val="24"/>
          <w:szCs w:val="24"/>
          <w:lang w:val="ro-MD"/>
        </w:rPr>
        <w:t>decât</w:t>
      </w:r>
      <w:r w:rsidRPr="009772A3">
        <w:rPr>
          <w:rFonts w:asciiTheme="majorHAnsi" w:hAnsiTheme="majorHAnsi" w:cstheme="majorHAnsi"/>
          <w:sz w:val="24"/>
          <w:szCs w:val="24"/>
          <w:lang w:val="ro-MD"/>
        </w:rPr>
        <w:t xml:space="preserve"> at</w:t>
      </w:r>
      <w:r w:rsidR="00505809"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 SA Moldovagaz nu deține situațiile financiare ale entitățil</w:t>
      </w:r>
      <w:r w:rsidR="00505809" w:rsidRPr="009772A3">
        <w:rPr>
          <w:rFonts w:asciiTheme="majorHAnsi" w:hAnsiTheme="majorHAnsi" w:cstheme="majorHAnsi"/>
          <w:sz w:val="24"/>
          <w:szCs w:val="24"/>
          <w:lang w:val="ro-MD"/>
        </w:rPr>
        <w:t>or</w:t>
      </w:r>
      <w:r w:rsidRPr="009772A3">
        <w:rPr>
          <w:rFonts w:asciiTheme="majorHAnsi" w:hAnsiTheme="majorHAnsi" w:cstheme="majorHAnsi"/>
          <w:sz w:val="24"/>
          <w:szCs w:val="24"/>
          <w:lang w:val="ro-MD"/>
        </w:rPr>
        <w:t xml:space="preserve"> fondate în </w:t>
      </w:r>
      <w:r w:rsidR="00505809" w:rsidRPr="009772A3">
        <w:rPr>
          <w:rFonts w:asciiTheme="majorHAnsi" w:hAnsiTheme="majorHAnsi" w:cstheme="majorHAnsi"/>
          <w:sz w:val="24"/>
          <w:szCs w:val="24"/>
          <w:lang w:val="ro-MD"/>
        </w:rPr>
        <w:t>raioanele de est ale RM</w:t>
      </w:r>
      <w:r w:rsidRPr="009772A3">
        <w:rPr>
          <w:rFonts w:asciiTheme="majorHAnsi" w:hAnsiTheme="majorHAnsi" w:cstheme="majorHAnsi"/>
          <w:sz w:val="24"/>
          <w:szCs w:val="24"/>
          <w:lang w:val="ro-MD"/>
        </w:rPr>
        <w:t xml:space="preserve">, acestea nefiind </w:t>
      </w:r>
      <w:r w:rsidR="00C635F8" w:rsidRPr="009772A3">
        <w:rPr>
          <w:rFonts w:asciiTheme="majorHAnsi" w:hAnsiTheme="majorHAnsi" w:cstheme="majorHAnsi"/>
          <w:sz w:val="24"/>
          <w:szCs w:val="24"/>
          <w:lang w:val="ro-MD"/>
        </w:rPr>
        <w:t xml:space="preserve">incluse </w:t>
      </w:r>
      <w:r w:rsidRPr="009772A3">
        <w:rPr>
          <w:rFonts w:asciiTheme="majorHAnsi" w:hAnsiTheme="majorHAnsi" w:cstheme="majorHAnsi"/>
          <w:sz w:val="24"/>
          <w:szCs w:val="24"/>
          <w:lang w:val="ro-MD"/>
        </w:rPr>
        <w:t xml:space="preserve">în </w:t>
      </w:r>
      <w:r w:rsidR="00505809" w:rsidRPr="009772A3">
        <w:rPr>
          <w:rFonts w:asciiTheme="majorHAnsi" w:hAnsiTheme="majorHAnsi" w:cstheme="majorHAnsi"/>
          <w:sz w:val="24"/>
          <w:szCs w:val="24"/>
          <w:lang w:val="ro-MD"/>
        </w:rPr>
        <w:t>s</w:t>
      </w:r>
      <w:r w:rsidRPr="009772A3">
        <w:rPr>
          <w:rFonts w:asciiTheme="majorHAnsi" w:hAnsiTheme="majorHAnsi" w:cstheme="majorHAnsi"/>
          <w:sz w:val="24"/>
          <w:szCs w:val="24"/>
          <w:lang w:val="ro-MD"/>
        </w:rPr>
        <w:t>ituațiile financiare consolidate ala SA Moldovagaz</w:t>
      </w:r>
      <w:r w:rsidR="0050580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întocmite în perioada 2017-2021. </w:t>
      </w:r>
    </w:p>
    <w:p w14:paraId="7B0902E6" w14:textId="627BB867" w:rsidR="00B84F30" w:rsidRPr="009772A3" w:rsidRDefault="00B84F30" w:rsidP="00107A96">
      <w:pPr>
        <w:pStyle w:val="Heading1"/>
        <w:numPr>
          <w:ilvl w:val="2"/>
          <w:numId w:val="2"/>
        </w:numPr>
        <w:spacing w:line="276" w:lineRule="auto"/>
        <w:ind w:left="0" w:firstLine="0"/>
        <w:jc w:val="both"/>
        <w:rPr>
          <w:color w:val="auto"/>
          <w:lang w:val="ro-MD"/>
        </w:rPr>
      </w:pPr>
      <w:bookmarkStart w:id="37" w:name="_Toc119496391"/>
      <w:r w:rsidRPr="009772A3">
        <w:rPr>
          <w:color w:val="auto"/>
          <w:lang w:val="ro-MD"/>
        </w:rPr>
        <w:t>SA Moldovagaz nu a înregistrat corect stingerea datoriei față de SA Gazprom în sumă de 59</w:t>
      </w:r>
      <w:r w:rsidR="004A5E56" w:rsidRPr="009772A3">
        <w:rPr>
          <w:color w:val="auto"/>
          <w:lang w:val="ro-MD"/>
        </w:rPr>
        <w:t>.</w:t>
      </w:r>
      <w:r w:rsidRPr="009772A3">
        <w:rPr>
          <w:color w:val="auto"/>
          <w:lang w:val="ro-MD"/>
        </w:rPr>
        <w:t xml:space="preserve">962,146 mii </w:t>
      </w:r>
      <w:r w:rsidR="00226093" w:rsidRPr="009772A3">
        <w:rPr>
          <w:color w:val="auto"/>
          <w:lang w:val="ro-MD"/>
        </w:rPr>
        <w:t xml:space="preserve">dolari SUA </w:t>
      </w:r>
      <w:r w:rsidRPr="009772A3">
        <w:rPr>
          <w:color w:val="auto"/>
          <w:lang w:val="ro-MD"/>
        </w:rPr>
        <w:t xml:space="preserve">cu depunerile de patrimoniu în capitalul statutar de către </w:t>
      </w:r>
      <w:r w:rsidR="00107A96">
        <w:rPr>
          <w:color w:val="auto"/>
          <w:lang w:val="ro-MD"/>
        </w:rPr>
        <w:t xml:space="preserve">Guvernul </w:t>
      </w:r>
      <w:r w:rsidRPr="009772A3">
        <w:rPr>
          <w:color w:val="auto"/>
          <w:lang w:val="ro-MD"/>
        </w:rPr>
        <w:t xml:space="preserve">RM și </w:t>
      </w:r>
      <w:r w:rsidR="00107A96">
        <w:rPr>
          <w:color w:val="auto"/>
          <w:lang w:val="ro-MD"/>
        </w:rPr>
        <w:t xml:space="preserve">partea </w:t>
      </w:r>
      <w:r w:rsidR="00A86349">
        <w:rPr>
          <w:color w:val="auto"/>
          <w:lang w:val="ro-MD"/>
        </w:rPr>
        <w:t>t</w:t>
      </w:r>
      <w:r w:rsidR="00A86349" w:rsidRPr="009772A3">
        <w:rPr>
          <w:color w:val="auto"/>
          <w:lang w:val="ro-MD"/>
        </w:rPr>
        <w:t>ransnistr</w:t>
      </w:r>
      <w:r w:rsidR="00A86349">
        <w:rPr>
          <w:color w:val="auto"/>
          <w:lang w:val="ro-MD"/>
        </w:rPr>
        <w:t>eană</w:t>
      </w:r>
      <w:r w:rsidRPr="009772A3">
        <w:rPr>
          <w:color w:val="auto"/>
          <w:lang w:val="ro-MD"/>
        </w:rPr>
        <w:t>.</w:t>
      </w:r>
      <w:bookmarkEnd w:id="37"/>
      <w:r w:rsidRPr="009772A3">
        <w:rPr>
          <w:color w:val="auto"/>
          <w:lang w:val="ro-MD"/>
        </w:rPr>
        <w:t xml:space="preserve"> </w:t>
      </w:r>
    </w:p>
    <w:p w14:paraId="04014BE4" w14:textId="113AD521" w:rsidR="00E67DE6" w:rsidRPr="009772A3" w:rsidRDefault="0074112E"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 u</w:t>
      </w:r>
      <w:r w:rsidR="00E67DE6" w:rsidRPr="009772A3">
        <w:rPr>
          <w:rFonts w:asciiTheme="majorHAnsi" w:hAnsiTheme="majorHAnsi" w:cstheme="majorHAnsi"/>
          <w:sz w:val="24"/>
          <w:szCs w:val="24"/>
          <w:lang w:val="ro-MD"/>
        </w:rPr>
        <w:t xml:space="preserve">rmare a mai multor înregistrări contabile eronate </w:t>
      </w:r>
      <w:r w:rsidR="00107A96">
        <w:rPr>
          <w:rFonts w:asciiTheme="majorHAnsi" w:hAnsiTheme="majorHAnsi" w:cstheme="majorHAnsi"/>
          <w:sz w:val="24"/>
          <w:szCs w:val="24"/>
          <w:lang w:val="ro-MD"/>
        </w:rPr>
        <w:t>la</w:t>
      </w:r>
      <w:r w:rsidR="00107A96" w:rsidRPr="009772A3">
        <w:rPr>
          <w:rFonts w:asciiTheme="majorHAnsi" w:hAnsiTheme="majorHAnsi" w:cstheme="majorHAnsi"/>
          <w:sz w:val="24"/>
          <w:szCs w:val="24"/>
          <w:lang w:val="ro-MD"/>
        </w:rPr>
        <w:t xml:space="preserve"> </w:t>
      </w:r>
      <w:r w:rsidR="00E67DE6" w:rsidRPr="009772A3">
        <w:rPr>
          <w:rFonts w:asciiTheme="majorHAnsi" w:hAnsiTheme="majorHAnsi" w:cstheme="majorHAnsi"/>
          <w:sz w:val="24"/>
          <w:szCs w:val="24"/>
          <w:lang w:val="ro-MD"/>
        </w:rPr>
        <w:t>31.12.2021</w:t>
      </w:r>
      <w:r w:rsidR="00EA332A" w:rsidRPr="009772A3">
        <w:rPr>
          <w:rFonts w:asciiTheme="majorHAnsi" w:hAnsiTheme="majorHAnsi" w:cstheme="majorHAnsi"/>
          <w:sz w:val="24"/>
          <w:szCs w:val="24"/>
          <w:lang w:val="ro-MD"/>
        </w:rPr>
        <w:t>,</w:t>
      </w:r>
      <w:r w:rsidR="00E67DE6" w:rsidRPr="009772A3">
        <w:rPr>
          <w:rFonts w:asciiTheme="majorHAnsi" w:hAnsiTheme="majorHAnsi" w:cstheme="majorHAnsi"/>
          <w:sz w:val="24"/>
          <w:szCs w:val="24"/>
          <w:lang w:val="ro-MD"/>
        </w:rPr>
        <w:t xml:space="preserve"> SA Moldovagaz înregistr</w:t>
      </w:r>
      <w:r w:rsidR="00EA332A" w:rsidRPr="009772A3">
        <w:rPr>
          <w:rFonts w:asciiTheme="majorHAnsi" w:hAnsiTheme="majorHAnsi" w:cstheme="majorHAnsi"/>
          <w:sz w:val="24"/>
          <w:szCs w:val="24"/>
          <w:lang w:val="ro-MD"/>
        </w:rPr>
        <w:t>a</w:t>
      </w:r>
      <w:r w:rsidR="00E67DE6" w:rsidRPr="009772A3">
        <w:rPr>
          <w:rFonts w:asciiTheme="majorHAnsi" w:hAnsiTheme="majorHAnsi" w:cstheme="majorHAnsi"/>
          <w:sz w:val="24"/>
          <w:szCs w:val="24"/>
          <w:lang w:val="ro-MD"/>
        </w:rPr>
        <w:t xml:space="preserve"> o creanță a SRL Tiraspoltransgaz în sumă de 12</w:t>
      </w:r>
      <w:r w:rsidR="00EA332A" w:rsidRPr="009772A3">
        <w:rPr>
          <w:rFonts w:asciiTheme="majorHAnsi" w:hAnsiTheme="majorHAnsi" w:cstheme="majorHAnsi"/>
          <w:sz w:val="24"/>
          <w:szCs w:val="24"/>
          <w:lang w:val="ro-MD"/>
        </w:rPr>
        <w:t>.</w:t>
      </w:r>
      <w:r w:rsidR="00E67DE6" w:rsidRPr="009772A3">
        <w:rPr>
          <w:rFonts w:asciiTheme="majorHAnsi" w:hAnsiTheme="majorHAnsi" w:cstheme="majorHAnsi"/>
          <w:sz w:val="24"/>
          <w:szCs w:val="24"/>
          <w:lang w:val="ro-MD"/>
        </w:rPr>
        <w:t xml:space="preserve">662,4 mii </w:t>
      </w:r>
      <w:r w:rsidR="00EA332A" w:rsidRPr="009772A3">
        <w:rPr>
          <w:rFonts w:asciiTheme="majorHAnsi" w:hAnsiTheme="majorHAnsi" w:cstheme="majorHAnsi"/>
          <w:sz w:val="24"/>
          <w:szCs w:val="24"/>
          <w:lang w:val="ro-MD"/>
        </w:rPr>
        <w:t>dolari SUA</w:t>
      </w:r>
      <w:r w:rsidR="00E67DE6" w:rsidRPr="009772A3">
        <w:rPr>
          <w:rFonts w:asciiTheme="majorHAnsi" w:hAnsiTheme="majorHAnsi" w:cstheme="majorHAnsi"/>
          <w:sz w:val="24"/>
          <w:szCs w:val="24"/>
          <w:lang w:val="ro-MD"/>
        </w:rPr>
        <w:t>, apărută la fondarea SA Moldovagaz, care nu este recunoscută de SRL Tiraspoltransgaz</w:t>
      </w:r>
      <w:r w:rsidR="00A86349">
        <w:rPr>
          <w:rFonts w:asciiTheme="majorHAnsi" w:hAnsiTheme="majorHAnsi" w:cstheme="majorHAnsi"/>
          <w:sz w:val="24"/>
          <w:szCs w:val="24"/>
          <w:lang w:val="ro-MD"/>
        </w:rPr>
        <w:t xml:space="preserve"> și </w:t>
      </w:r>
      <w:r w:rsidR="007535A1" w:rsidRPr="009772A3">
        <w:rPr>
          <w:rFonts w:asciiTheme="majorHAnsi" w:hAnsiTheme="majorHAnsi" w:cstheme="majorHAnsi"/>
          <w:sz w:val="24"/>
          <w:szCs w:val="24"/>
          <w:lang w:val="ro-MD"/>
        </w:rPr>
        <w:t xml:space="preserve">pentru care în perioada 2017-2021 SA Moldovagaz a înregistrat cheltuieli de </w:t>
      </w:r>
      <w:r w:rsidR="00435D2A" w:rsidRPr="009772A3">
        <w:rPr>
          <w:rFonts w:asciiTheme="majorHAnsi" w:hAnsiTheme="majorHAnsi" w:cstheme="majorHAnsi"/>
          <w:sz w:val="24"/>
          <w:szCs w:val="24"/>
          <w:lang w:val="ro-MD"/>
        </w:rPr>
        <w:t xml:space="preserve">36.482,8 </w:t>
      </w:r>
      <w:r w:rsidR="007535A1" w:rsidRPr="009772A3">
        <w:rPr>
          <w:rFonts w:asciiTheme="majorHAnsi" w:hAnsiTheme="majorHAnsi" w:cstheme="majorHAnsi"/>
          <w:sz w:val="24"/>
          <w:szCs w:val="24"/>
          <w:lang w:val="ro-MD"/>
        </w:rPr>
        <w:t xml:space="preserve">mii lei și venituri de </w:t>
      </w:r>
      <w:r w:rsidR="00435D2A" w:rsidRPr="009772A3">
        <w:rPr>
          <w:rFonts w:asciiTheme="majorHAnsi" w:hAnsiTheme="majorHAnsi" w:cstheme="majorHAnsi"/>
          <w:sz w:val="24"/>
          <w:szCs w:val="24"/>
          <w:lang w:val="ro-MD"/>
        </w:rPr>
        <w:t xml:space="preserve">8.167,2 </w:t>
      </w:r>
      <w:r w:rsidR="007535A1" w:rsidRPr="009772A3">
        <w:rPr>
          <w:rFonts w:asciiTheme="majorHAnsi" w:hAnsiTheme="majorHAnsi" w:cstheme="majorHAnsi"/>
          <w:sz w:val="24"/>
          <w:szCs w:val="24"/>
          <w:lang w:val="ro-MD"/>
        </w:rPr>
        <w:t>mii lei, aferente diferențelor de curs valutar.</w:t>
      </w:r>
    </w:p>
    <w:p w14:paraId="23C11E6D" w14:textId="491F1CBC" w:rsidR="00B84F30" w:rsidRPr="009772A3" w:rsidRDefault="00E67DE6"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w:t>
      </w:r>
      <w:r w:rsidR="00B84F30" w:rsidRPr="009772A3">
        <w:rPr>
          <w:rFonts w:asciiTheme="majorHAnsi" w:hAnsiTheme="majorHAnsi" w:cstheme="majorHAnsi"/>
          <w:sz w:val="24"/>
          <w:szCs w:val="24"/>
          <w:lang w:val="ro-MD"/>
        </w:rPr>
        <w:t xml:space="preserve">tingerea datoriei </w:t>
      </w:r>
      <w:r w:rsidR="007A6BE2" w:rsidRPr="009772A3">
        <w:rPr>
          <w:rFonts w:asciiTheme="majorHAnsi" w:hAnsiTheme="majorHAnsi" w:cstheme="majorHAnsi"/>
          <w:sz w:val="24"/>
          <w:szCs w:val="24"/>
          <w:lang w:val="ro-MD"/>
        </w:rPr>
        <w:t xml:space="preserve">de 12.662,4 mii dolari SUA </w:t>
      </w:r>
      <w:r w:rsidR="00B84F30" w:rsidRPr="009772A3">
        <w:rPr>
          <w:rFonts w:asciiTheme="majorHAnsi" w:hAnsiTheme="majorHAnsi" w:cstheme="majorHAnsi"/>
          <w:sz w:val="24"/>
          <w:szCs w:val="24"/>
          <w:lang w:val="ro-MD"/>
        </w:rPr>
        <w:t xml:space="preserve">aferente </w:t>
      </w:r>
      <w:r w:rsidR="00107A96" w:rsidRPr="009772A3">
        <w:rPr>
          <w:rFonts w:asciiTheme="majorHAnsi" w:hAnsiTheme="majorHAnsi" w:cstheme="majorHAnsi"/>
          <w:sz w:val="24"/>
          <w:szCs w:val="24"/>
          <w:lang w:val="ro-MD"/>
        </w:rPr>
        <w:t xml:space="preserve">părții </w:t>
      </w:r>
      <w:r w:rsidR="00107A96">
        <w:rPr>
          <w:rFonts w:asciiTheme="majorHAnsi" w:hAnsiTheme="majorHAnsi" w:cstheme="majorHAnsi"/>
          <w:sz w:val="24"/>
          <w:szCs w:val="24"/>
          <w:lang w:val="ro-MD"/>
        </w:rPr>
        <w:t>stângi</w:t>
      </w:r>
      <w:r w:rsidR="00107A96" w:rsidRPr="009772A3">
        <w:rPr>
          <w:rFonts w:asciiTheme="majorHAnsi" w:hAnsiTheme="majorHAnsi" w:cstheme="majorHAnsi"/>
          <w:sz w:val="24"/>
          <w:szCs w:val="24"/>
          <w:lang w:val="ro-MD"/>
        </w:rPr>
        <w:t xml:space="preserve"> a Nistrului </w:t>
      </w:r>
      <w:r w:rsidR="00B84F30" w:rsidRPr="009772A3">
        <w:rPr>
          <w:rFonts w:asciiTheme="majorHAnsi" w:hAnsiTheme="majorHAnsi" w:cstheme="majorHAnsi"/>
          <w:sz w:val="24"/>
          <w:szCs w:val="24"/>
          <w:lang w:val="ro-MD"/>
        </w:rPr>
        <w:t>trebuia efectuată prin diminuarea creanței SRL Tiraspoltransgaz înregistrată în contabilitatea SA Moldovagaz. La r</w:t>
      </w:r>
      <w:r w:rsidR="00C16642" w:rsidRPr="009772A3">
        <w:rPr>
          <w:rFonts w:asciiTheme="majorHAnsi" w:hAnsiTheme="majorHAnsi" w:cstheme="majorHAnsi"/>
          <w:sz w:val="24"/>
          <w:szCs w:val="24"/>
          <w:lang w:val="ro-MD"/>
        </w:rPr>
        <w:t>â</w:t>
      </w:r>
      <w:r w:rsidR="00B84F30" w:rsidRPr="009772A3">
        <w:rPr>
          <w:rFonts w:asciiTheme="majorHAnsi" w:hAnsiTheme="majorHAnsi" w:cstheme="majorHAnsi"/>
          <w:sz w:val="24"/>
          <w:szCs w:val="24"/>
          <w:lang w:val="ro-MD"/>
        </w:rPr>
        <w:t xml:space="preserve">ndul său, SRL Tiraspoltransgaz urma să diminueze datoria față de SA Moldovagaz prin înregistrarea unei datorii față de </w:t>
      </w:r>
      <w:r w:rsidRPr="009772A3">
        <w:rPr>
          <w:rFonts w:asciiTheme="majorHAnsi" w:hAnsiTheme="majorHAnsi" w:cstheme="majorHAnsi"/>
          <w:sz w:val="24"/>
          <w:szCs w:val="24"/>
          <w:lang w:val="ro-MD"/>
        </w:rPr>
        <w:t xml:space="preserve">regiunea </w:t>
      </w:r>
      <w:r w:rsidR="007A6BE2" w:rsidRPr="009772A3">
        <w:rPr>
          <w:rFonts w:asciiTheme="majorHAnsi" w:hAnsiTheme="majorHAnsi" w:cstheme="majorHAnsi"/>
          <w:sz w:val="24"/>
          <w:szCs w:val="24"/>
          <w:lang w:val="ro-MD"/>
        </w:rPr>
        <w:t>t</w:t>
      </w:r>
      <w:r w:rsidR="00B84F30" w:rsidRPr="009772A3">
        <w:rPr>
          <w:rFonts w:asciiTheme="majorHAnsi" w:hAnsiTheme="majorHAnsi" w:cstheme="majorHAnsi"/>
          <w:sz w:val="24"/>
          <w:szCs w:val="24"/>
          <w:lang w:val="ro-MD"/>
        </w:rPr>
        <w:t>ransnistreană (</w:t>
      </w:r>
      <w:r w:rsidRPr="009772A3">
        <w:rPr>
          <w:rFonts w:asciiTheme="majorHAnsi" w:hAnsiTheme="majorHAnsi" w:cstheme="majorHAnsi"/>
          <w:sz w:val="24"/>
          <w:szCs w:val="24"/>
          <w:lang w:val="ro-MD"/>
        </w:rPr>
        <w:t xml:space="preserve">ca </w:t>
      </w:r>
      <w:r w:rsidR="00B84F30" w:rsidRPr="009772A3">
        <w:rPr>
          <w:rFonts w:asciiTheme="majorHAnsi" w:hAnsiTheme="majorHAnsi" w:cstheme="majorHAnsi"/>
          <w:sz w:val="24"/>
          <w:szCs w:val="24"/>
          <w:lang w:val="ro-MD"/>
        </w:rPr>
        <w:t>fondator</w:t>
      </w:r>
      <w:r w:rsidRPr="009772A3">
        <w:rPr>
          <w:rFonts w:asciiTheme="majorHAnsi" w:hAnsiTheme="majorHAnsi" w:cstheme="majorHAnsi"/>
          <w:sz w:val="24"/>
          <w:szCs w:val="24"/>
          <w:lang w:val="ro-MD"/>
        </w:rPr>
        <w:t xml:space="preserve"> al</w:t>
      </w:r>
      <w:r w:rsidR="00B84F30" w:rsidRPr="009772A3">
        <w:rPr>
          <w:rFonts w:asciiTheme="majorHAnsi" w:hAnsiTheme="majorHAnsi" w:cstheme="majorHAnsi"/>
          <w:sz w:val="24"/>
          <w:szCs w:val="24"/>
          <w:lang w:val="ro-MD"/>
        </w:rPr>
        <w:t xml:space="preserve"> SA Moldovagaz). </w:t>
      </w:r>
    </w:p>
    <w:p w14:paraId="5B5438F1" w14:textId="1DF85898" w:rsidR="009A460E" w:rsidRPr="009772A3" w:rsidRDefault="00B84F30"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Totodată, stingerea datoriei </w:t>
      </w:r>
      <w:r w:rsidR="007A6BE2" w:rsidRPr="009772A3">
        <w:rPr>
          <w:rFonts w:asciiTheme="majorHAnsi" w:hAnsiTheme="majorHAnsi" w:cstheme="majorHAnsi"/>
          <w:sz w:val="24"/>
          <w:szCs w:val="24"/>
          <w:lang w:val="ro-MD"/>
        </w:rPr>
        <w:t xml:space="preserve">de 47.299,8 mii dolari SUA </w:t>
      </w:r>
      <w:r w:rsidRPr="009772A3">
        <w:rPr>
          <w:rFonts w:asciiTheme="majorHAnsi" w:hAnsiTheme="majorHAnsi" w:cstheme="majorHAnsi"/>
          <w:sz w:val="24"/>
          <w:szCs w:val="24"/>
          <w:lang w:val="ro-MD"/>
        </w:rPr>
        <w:t xml:space="preserve">aferente </w:t>
      </w:r>
      <w:r w:rsidR="000A38D6" w:rsidRPr="009772A3">
        <w:rPr>
          <w:rFonts w:asciiTheme="majorHAnsi" w:hAnsiTheme="majorHAnsi" w:cstheme="majorHAnsi"/>
          <w:sz w:val="24"/>
          <w:szCs w:val="24"/>
          <w:lang w:val="ro-MD"/>
        </w:rPr>
        <w:t xml:space="preserve">părții drepte a Nistrului </w:t>
      </w:r>
      <w:r w:rsidRPr="009772A3">
        <w:rPr>
          <w:rFonts w:asciiTheme="majorHAnsi" w:hAnsiTheme="majorHAnsi" w:cstheme="majorHAnsi"/>
          <w:sz w:val="24"/>
          <w:szCs w:val="24"/>
          <w:lang w:val="ro-MD"/>
        </w:rPr>
        <w:t xml:space="preserve">trebuia diminuată </w:t>
      </w:r>
      <w:r w:rsidR="002E25D7" w:rsidRPr="009772A3">
        <w:rPr>
          <w:rFonts w:asciiTheme="majorHAnsi" w:hAnsiTheme="majorHAnsi" w:cstheme="majorHAnsi"/>
          <w:sz w:val="24"/>
          <w:szCs w:val="24"/>
          <w:lang w:val="ro-MD"/>
        </w:rPr>
        <w:t xml:space="preserve">ca urmare a </w:t>
      </w:r>
      <w:r w:rsidRPr="009772A3">
        <w:rPr>
          <w:rFonts w:asciiTheme="majorHAnsi" w:hAnsiTheme="majorHAnsi" w:cstheme="majorHAnsi"/>
          <w:sz w:val="24"/>
          <w:szCs w:val="24"/>
          <w:lang w:val="ro-MD"/>
        </w:rPr>
        <w:t>apariți</w:t>
      </w:r>
      <w:r w:rsidR="002E25D7" w:rsidRPr="009772A3">
        <w:rPr>
          <w:rFonts w:asciiTheme="majorHAnsi" w:hAnsiTheme="majorHAnsi" w:cstheme="majorHAnsi"/>
          <w:sz w:val="24"/>
          <w:szCs w:val="24"/>
          <w:lang w:val="ro-MD"/>
        </w:rPr>
        <w:t>ei</w:t>
      </w:r>
      <w:r w:rsidRPr="009772A3">
        <w:rPr>
          <w:rFonts w:asciiTheme="majorHAnsi" w:hAnsiTheme="majorHAnsi" w:cstheme="majorHAnsi"/>
          <w:sz w:val="24"/>
          <w:szCs w:val="24"/>
          <w:lang w:val="ro-MD"/>
        </w:rPr>
        <w:t xml:space="preserve"> unei datorii față de APP în sumă de 216</w:t>
      </w:r>
      <w:r w:rsidR="007A6BE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987,8 mii lei</w:t>
      </w:r>
      <w:r w:rsidR="00FC5E7D">
        <w:rPr>
          <w:rFonts w:asciiTheme="majorHAnsi" w:hAnsiTheme="majorHAnsi" w:cstheme="majorHAnsi"/>
          <w:sz w:val="24"/>
          <w:szCs w:val="24"/>
          <w:lang w:val="ro-MD"/>
        </w:rPr>
        <w:t xml:space="preserve"> (conform cursului </w:t>
      </w:r>
      <w:r w:rsidR="00A86349">
        <w:rPr>
          <w:rFonts w:asciiTheme="majorHAnsi" w:hAnsiTheme="majorHAnsi" w:cstheme="majorHAnsi"/>
          <w:sz w:val="24"/>
          <w:szCs w:val="24"/>
          <w:lang w:val="ro-MD"/>
        </w:rPr>
        <w:t xml:space="preserve">valutar </w:t>
      </w:r>
      <w:r w:rsidR="00FC5E7D">
        <w:rPr>
          <w:rFonts w:asciiTheme="majorHAnsi" w:hAnsiTheme="majorHAnsi" w:cstheme="majorHAnsi"/>
          <w:sz w:val="24"/>
          <w:szCs w:val="24"/>
          <w:lang w:val="ro-MD"/>
        </w:rPr>
        <w:t>la 01.07.1997)</w:t>
      </w:r>
      <w:r w:rsidRPr="009772A3">
        <w:rPr>
          <w:rFonts w:asciiTheme="majorHAnsi" w:hAnsiTheme="majorHAnsi" w:cstheme="majorHAnsi"/>
          <w:sz w:val="24"/>
          <w:szCs w:val="24"/>
          <w:lang w:val="ro-MD"/>
        </w:rPr>
        <w:t xml:space="preserve">, </w:t>
      </w:r>
      <w:r w:rsidR="002E25D7" w:rsidRPr="009772A3">
        <w:rPr>
          <w:rFonts w:asciiTheme="majorHAnsi" w:hAnsiTheme="majorHAnsi" w:cstheme="majorHAnsi"/>
          <w:sz w:val="24"/>
          <w:szCs w:val="24"/>
          <w:lang w:val="ro-MD"/>
        </w:rPr>
        <w:t xml:space="preserve">aferente valorii patrimoniului public transmis SA Gazprom în contul depunerilor în capitalul social al SA Moldovagaz, </w:t>
      </w:r>
      <w:r w:rsidRPr="009772A3">
        <w:rPr>
          <w:rFonts w:asciiTheme="majorHAnsi" w:hAnsiTheme="majorHAnsi" w:cstheme="majorHAnsi"/>
          <w:sz w:val="24"/>
          <w:szCs w:val="24"/>
          <w:lang w:val="ro-MD"/>
        </w:rPr>
        <w:t>care</w:t>
      </w:r>
      <w:r w:rsidR="00C01A8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r</w:t>
      </w:r>
      <w:r w:rsidR="007A6BE2"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ndul ei</w:t>
      </w:r>
      <w:r w:rsidR="00C01A8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putea fi stinsă doar în baza unei prevederi legale. </w:t>
      </w:r>
    </w:p>
    <w:p w14:paraId="510B0046" w14:textId="4F19FAE2" w:rsidR="00B84F30" w:rsidRPr="009772A3" w:rsidRDefault="00B84F30"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9A460E"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datorii</w:t>
      </w:r>
      <w:r w:rsidR="009A460E"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w:t>
      </w:r>
      <w:r w:rsidR="00AB2AFD" w:rsidRPr="009772A3">
        <w:rPr>
          <w:rFonts w:asciiTheme="majorHAnsi" w:hAnsiTheme="majorHAnsi" w:cstheme="majorHAnsi"/>
          <w:sz w:val="24"/>
          <w:szCs w:val="24"/>
          <w:lang w:val="ro-MD"/>
        </w:rPr>
        <w:t>SA Gazsnabtranzit/</w:t>
      </w:r>
      <w:r w:rsidRPr="009772A3">
        <w:rPr>
          <w:rFonts w:asciiTheme="majorHAnsi" w:hAnsiTheme="majorHAnsi" w:cstheme="majorHAnsi"/>
          <w:sz w:val="24"/>
          <w:szCs w:val="24"/>
          <w:lang w:val="ro-MD"/>
        </w:rPr>
        <w:t xml:space="preserve">SA Moldovagaz </w:t>
      </w:r>
      <w:r w:rsidR="009A460E" w:rsidRPr="009772A3">
        <w:rPr>
          <w:rFonts w:asciiTheme="majorHAnsi" w:hAnsiTheme="majorHAnsi" w:cstheme="majorHAnsi"/>
          <w:sz w:val="24"/>
          <w:szCs w:val="24"/>
          <w:lang w:val="ro-MD"/>
        </w:rPr>
        <w:t>față de SA Gazprom au mai fost stinse prin emiterea de către Guvernul RM (</w:t>
      </w:r>
      <w:r w:rsidR="00C01A83" w:rsidRPr="009772A3">
        <w:rPr>
          <w:rFonts w:asciiTheme="majorHAnsi" w:hAnsiTheme="majorHAnsi" w:cstheme="majorHAnsi"/>
          <w:sz w:val="24"/>
          <w:szCs w:val="24"/>
          <w:lang w:val="ro-MD"/>
        </w:rPr>
        <w:t xml:space="preserve">în </w:t>
      </w:r>
      <w:r w:rsidR="009A460E" w:rsidRPr="009772A3">
        <w:rPr>
          <w:rFonts w:asciiTheme="majorHAnsi" w:hAnsiTheme="majorHAnsi" w:cstheme="majorHAnsi"/>
          <w:sz w:val="24"/>
          <w:szCs w:val="24"/>
          <w:lang w:val="ro-MD"/>
        </w:rPr>
        <w:t>an</w:t>
      </w:r>
      <w:r w:rsidR="00C01A83" w:rsidRPr="009772A3">
        <w:rPr>
          <w:rFonts w:asciiTheme="majorHAnsi" w:hAnsiTheme="majorHAnsi" w:cstheme="majorHAnsi"/>
          <w:sz w:val="24"/>
          <w:szCs w:val="24"/>
          <w:lang w:val="ro-MD"/>
        </w:rPr>
        <w:t>ii</w:t>
      </w:r>
      <w:r w:rsidR="009A460E" w:rsidRPr="009772A3">
        <w:rPr>
          <w:rFonts w:asciiTheme="majorHAnsi" w:hAnsiTheme="majorHAnsi" w:cstheme="majorHAnsi"/>
          <w:sz w:val="24"/>
          <w:szCs w:val="24"/>
          <w:lang w:val="ro-MD"/>
        </w:rPr>
        <w:t xml:space="preserve"> 1997 și 2000) a </w:t>
      </w:r>
      <w:r w:rsidRPr="009772A3">
        <w:rPr>
          <w:rFonts w:asciiTheme="majorHAnsi" w:hAnsiTheme="majorHAnsi" w:cstheme="majorHAnsi"/>
          <w:sz w:val="24"/>
          <w:szCs w:val="24"/>
          <w:lang w:val="ro-MD"/>
        </w:rPr>
        <w:t>cambiil</w:t>
      </w:r>
      <w:r w:rsidR="009A460E" w:rsidRPr="009772A3">
        <w:rPr>
          <w:rFonts w:asciiTheme="majorHAnsi" w:hAnsiTheme="majorHAnsi" w:cstheme="majorHAnsi"/>
          <w:sz w:val="24"/>
          <w:szCs w:val="24"/>
          <w:lang w:val="ro-MD"/>
        </w:rPr>
        <w:t>or</w:t>
      </w:r>
      <w:r w:rsidR="00C01A8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scopul achitării datorilor față de SA Gazprom</w:t>
      </w:r>
      <w:r w:rsidR="009077C8" w:rsidRPr="009772A3">
        <w:rPr>
          <w:rStyle w:val="FootnoteReference"/>
          <w:rFonts w:asciiTheme="majorHAnsi" w:hAnsiTheme="majorHAnsi" w:cstheme="majorHAnsi"/>
          <w:sz w:val="24"/>
          <w:szCs w:val="24"/>
          <w:lang w:val="ro-MD"/>
        </w:rPr>
        <w:footnoteReference w:id="34"/>
      </w:r>
      <w:r w:rsidR="009A460E" w:rsidRPr="009772A3">
        <w:rPr>
          <w:rFonts w:asciiTheme="majorHAnsi" w:hAnsiTheme="majorHAnsi" w:cstheme="majorHAnsi"/>
          <w:sz w:val="24"/>
          <w:szCs w:val="24"/>
          <w:lang w:val="ro-MD"/>
        </w:rPr>
        <w:t>. Ulterior</w:t>
      </w:r>
      <w:r w:rsidR="00C01A83" w:rsidRPr="009772A3">
        <w:rPr>
          <w:rFonts w:asciiTheme="majorHAnsi" w:hAnsiTheme="majorHAnsi" w:cstheme="majorHAnsi"/>
          <w:sz w:val="24"/>
          <w:szCs w:val="24"/>
          <w:lang w:val="ro-MD"/>
        </w:rPr>
        <w:t>,</w:t>
      </w:r>
      <w:r w:rsidR="009A460E" w:rsidRPr="009772A3">
        <w:rPr>
          <w:rFonts w:asciiTheme="majorHAnsi" w:hAnsiTheme="majorHAnsi" w:cstheme="majorHAnsi"/>
          <w:sz w:val="24"/>
          <w:szCs w:val="24"/>
          <w:lang w:val="ro-MD"/>
        </w:rPr>
        <w:t xml:space="preserve"> aceste datorii față de Guvernul RM au fost achitate prin</w:t>
      </w:r>
      <w:r w:rsidRPr="009772A3">
        <w:rPr>
          <w:rFonts w:asciiTheme="majorHAnsi" w:hAnsiTheme="majorHAnsi" w:cstheme="majorHAnsi"/>
          <w:sz w:val="24"/>
          <w:szCs w:val="24"/>
          <w:lang w:val="ro-MD"/>
        </w:rPr>
        <w:t xml:space="preserve"> includerea în </w:t>
      </w:r>
      <w:r w:rsidR="009A460E" w:rsidRPr="009772A3">
        <w:rPr>
          <w:rFonts w:asciiTheme="majorHAnsi" w:hAnsiTheme="majorHAnsi" w:cstheme="majorHAnsi"/>
          <w:sz w:val="24"/>
          <w:szCs w:val="24"/>
          <w:lang w:val="ro-MD"/>
        </w:rPr>
        <w:t xml:space="preserve">valoarea </w:t>
      </w:r>
      <w:r w:rsidRPr="009772A3">
        <w:rPr>
          <w:rFonts w:asciiTheme="majorHAnsi" w:hAnsiTheme="majorHAnsi" w:cstheme="majorHAnsi"/>
          <w:sz w:val="24"/>
          <w:szCs w:val="24"/>
          <w:lang w:val="ro-MD"/>
        </w:rPr>
        <w:t>tariful</w:t>
      </w:r>
      <w:r w:rsidR="009A460E"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de furnizare a gazelor naturale a 4 </w:t>
      </w:r>
      <w:r w:rsidR="00C01A83" w:rsidRPr="009772A3">
        <w:rPr>
          <w:rFonts w:asciiTheme="majorHAnsi" w:hAnsiTheme="majorHAnsi" w:cstheme="majorHAnsi"/>
          <w:sz w:val="24"/>
          <w:szCs w:val="24"/>
          <w:lang w:val="ro-MD"/>
        </w:rPr>
        <w:t xml:space="preserve">dolari SUA </w:t>
      </w:r>
      <w:r w:rsidRPr="009772A3">
        <w:rPr>
          <w:rFonts w:asciiTheme="majorHAnsi" w:hAnsiTheme="majorHAnsi" w:cstheme="majorHAnsi"/>
          <w:sz w:val="24"/>
          <w:szCs w:val="24"/>
          <w:lang w:val="ro-MD"/>
        </w:rPr>
        <w:t>pentru 1</w:t>
      </w:r>
      <w:r w:rsidR="00C01A83"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000</w:t>
      </w:r>
      <w:r w:rsidR="00E67DE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m</w:t>
      </w:r>
      <w:r w:rsidRPr="009772A3">
        <w:rPr>
          <w:rFonts w:asciiTheme="majorHAnsi" w:hAnsiTheme="majorHAnsi" w:cstheme="majorHAnsi"/>
          <w:sz w:val="24"/>
          <w:szCs w:val="24"/>
          <w:vertAlign w:val="superscript"/>
          <w:lang w:val="ro-MD"/>
        </w:rPr>
        <w:t>3</w:t>
      </w:r>
      <w:r w:rsidRPr="009772A3">
        <w:rPr>
          <w:rFonts w:asciiTheme="majorHAnsi" w:hAnsiTheme="majorHAnsi" w:cstheme="majorHAnsi"/>
          <w:sz w:val="24"/>
          <w:szCs w:val="24"/>
          <w:lang w:val="ro-MD"/>
        </w:rPr>
        <w:t xml:space="preserve"> de gaze.   </w:t>
      </w:r>
    </w:p>
    <w:p w14:paraId="2A863F16" w14:textId="0F2C83EC" w:rsidR="00B84F30" w:rsidRPr="009772A3" w:rsidRDefault="00B84F30" w:rsidP="00FC5E7D">
      <w:pPr>
        <w:pStyle w:val="Heading1"/>
        <w:numPr>
          <w:ilvl w:val="2"/>
          <w:numId w:val="2"/>
        </w:numPr>
        <w:spacing w:line="276" w:lineRule="auto"/>
        <w:ind w:left="0" w:firstLine="0"/>
        <w:jc w:val="both"/>
        <w:rPr>
          <w:color w:val="auto"/>
          <w:lang w:val="ro-MD"/>
        </w:rPr>
      </w:pPr>
      <w:bookmarkStart w:id="38" w:name="_Toc119496392"/>
      <w:r w:rsidRPr="009772A3">
        <w:rPr>
          <w:color w:val="auto"/>
          <w:lang w:val="ro-MD"/>
        </w:rPr>
        <w:t>Unele tranzacții aferente investițiilor în entitățile fondate nu au fost justificate corespunzător, prin ce a fost diminuat</w:t>
      </w:r>
      <w:r w:rsidR="00C01A83" w:rsidRPr="009772A3">
        <w:rPr>
          <w:color w:val="auto"/>
          <w:lang w:val="ro-MD"/>
        </w:rPr>
        <w:t>ă</w:t>
      </w:r>
      <w:r w:rsidRPr="009772A3">
        <w:rPr>
          <w:color w:val="auto"/>
          <w:lang w:val="ro-MD"/>
        </w:rPr>
        <w:t xml:space="preserve"> valoarea investițiilor respective.</w:t>
      </w:r>
      <w:bookmarkEnd w:id="38"/>
      <w:r w:rsidRPr="009772A3">
        <w:rPr>
          <w:color w:val="auto"/>
          <w:lang w:val="ro-MD"/>
        </w:rPr>
        <w:t xml:space="preserve"> </w:t>
      </w:r>
    </w:p>
    <w:p w14:paraId="7B2EE71C" w14:textId="6BE26287" w:rsidR="00B84F30" w:rsidRPr="009772A3" w:rsidRDefault="00B84F30"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29.09.2006 SA Moldovagaz a diminuat nejustificat valoarea investițiilor în SRL Bălți-gaz cu 83,</w:t>
      </w:r>
      <w:r w:rsidR="004726E5" w:rsidRPr="009772A3">
        <w:rPr>
          <w:rFonts w:asciiTheme="majorHAnsi" w:hAnsiTheme="majorHAnsi" w:cstheme="majorHAnsi"/>
          <w:sz w:val="24"/>
          <w:szCs w:val="24"/>
          <w:lang w:val="ro-MD"/>
        </w:rPr>
        <w:t xml:space="preserve">9 </w:t>
      </w:r>
      <w:r w:rsidRPr="009772A3">
        <w:rPr>
          <w:rFonts w:asciiTheme="majorHAnsi" w:hAnsiTheme="majorHAnsi" w:cstheme="majorHAnsi"/>
          <w:sz w:val="24"/>
          <w:szCs w:val="24"/>
          <w:lang w:val="ro-MD"/>
        </w:rPr>
        <w:t xml:space="preserve">mii lei, în SRL Florești-gaz </w:t>
      </w:r>
      <w:r w:rsidR="00830173"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cu 40,6 mii lei</w:t>
      </w:r>
      <w:r w:rsidR="0083017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în SRL Orhei-gaz </w:t>
      </w:r>
      <w:r w:rsidR="00830173"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cu 36,6 mii lei, </w:t>
      </w:r>
      <w:r w:rsidR="00830173" w:rsidRPr="009772A3">
        <w:rPr>
          <w:rFonts w:asciiTheme="majorHAnsi" w:hAnsiTheme="majorHAnsi" w:cstheme="majorHAnsi"/>
          <w:sz w:val="24"/>
          <w:szCs w:val="24"/>
          <w:lang w:val="ro-MD"/>
        </w:rPr>
        <w:t xml:space="preserve">ca </w:t>
      </w:r>
      <w:r w:rsidRPr="009772A3">
        <w:rPr>
          <w:rFonts w:asciiTheme="majorHAnsi" w:hAnsiTheme="majorHAnsi" w:cstheme="majorHAnsi"/>
          <w:sz w:val="24"/>
          <w:szCs w:val="24"/>
          <w:lang w:val="ro-MD"/>
        </w:rPr>
        <w:t>urmare a reflectării incorecte în evidența lor contabilă a capitalului suplimentar transmis de SA Moldovagaz la 24.05.2005. Astfel, deși în pct.2 și pct.3 din Nota de serviciu din 17.01.2006 s-a indicat că doar aceste întreprinderi urmau să efectueze înregistrări contabile de corectare, SA Moldovagaz a efectuat înregistrări contabile de corectare și în evidența sa.</w:t>
      </w:r>
    </w:p>
    <w:p w14:paraId="2F6C9A51" w14:textId="570DEA09" w:rsidR="00B84F30" w:rsidRPr="009772A3" w:rsidRDefault="00B84F30"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asemenea</w:t>
      </w:r>
      <w:r w:rsidR="0083017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Nota de serviciu din 17.01.2006 s-a indicat că la 01.07.1999 s-a format o creanță a SRL Moldovatransgaz în sumă de 201</w:t>
      </w:r>
      <w:r w:rsidR="004726E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211,</w:t>
      </w:r>
      <w:r w:rsidR="004726E5" w:rsidRPr="009772A3">
        <w:rPr>
          <w:rFonts w:asciiTheme="majorHAnsi" w:hAnsiTheme="majorHAnsi" w:cstheme="majorHAnsi"/>
          <w:sz w:val="24"/>
          <w:szCs w:val="24"/>
          <w:lang w:val="ro-MD"/>
        </w:rPr>
        <w:t xml:space="preserve">5 </w:t>
      </w:r>
      <w:r w:rsidRPr="009772A3">
        <w:rPr>
          <w:rFonts w:asciiTheme="majorHAnsi" w:hAnsiTheme="majorHAnsi" w:cstheme="majorHAnsi"/>
          <w:sz w:val="24"/>
          <w:szCs w:val="24"/>
          <w:lang w:val="ro-MD"/>
        </w:rPr>
        <w:t xml:space="preserve">mii lei, care reprezintă devierile negative de curs valutar aferente datoriilor debitoare și creditoare (inclusiv față de SA Gazprom) transmise la balanța SA Moldovagaz la 01.07.1999. Astfel, la 16.07.2007, prin </w:t>
      </w:r>
      <w:r w:rsidR="00830173" w:rsidRPr="009772A3">
        <w:rPr>
          <w:rFonts w:asciiTheme="majorHAnsi" w:hAnsiTheme="majorHAnsi" w:cstheme="majorHAnsi"/>
          <w:sz w:val="24"/>
          <w:szCs w:val="24"/>
          <w:lang w:val="ro-MD"/>
        </w:rPr>
        <w:t>D</w:t>
      </w:r>
      <w:r w:rsidRPr="009772A3">
        <w:rPr>
          <w:rFonts w:asciiTheme="majorHAnsi" w:hAnsiTheme="majorHAnsi" w:cstheme="majorHAnsi"/>
          <w:sz w:val="24"/>
          <w:szCs w:val="24"/>
          <w:lang w:val="ro-MD"/>
        </w:rPr>
        <w:t xml:space="preserve">ecizia nr.42 a Consiliului de </w:t>
      </w:r>
      <w:r w:rsidR="00830173"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dministrație a</w:t>
      </w:r>
      <w:r w:rsidR="00830173"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SA Moldovagaz</w:t>
      </w:r>
      <w:r w:rsidR="0083017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acceptat soluția </w:t>
      </w:r>
      <w:r w:rsidR="00830173" w:rsidRPr="009772A3">
        <w:rPr>
          <w:rFonts w:asciiTheme="majorHAnsi" w:hAnsiTheme="majorHAnsi" w:cstheme="majorHAnsi"/>
          <w:sz w:val="24"/>
          <w:szCs w:val="24"/>
          <w:lang w:val="ro-MD"/>
        </w:rPr>
        <w:t>D</w:t>
      </w:r>
      <w:r w:rsidRPr="009772A3">
        <w:rPr>
          <w:rFonts w:asciiTheme="majorHAnsi" w:hAnsiTheme="majorHAnsi" w:cstheme="majorHAnsi"/>
          <w:sz w:val="24"/>
          <w:szCs w:val="24"/>
          <w:lang w:val="ro-MD"/>
        </w:rPr>
        <w:t xml:space="preserve">irecției finanțe a SA Moldovagaz, confirmată de compania SRL Ecofin-Audit-Service privind modalitatea de reglementare a acestei creanțe, prin reflectarea acesteia ca capital suplimentar depus la SRL Moldovatransgaz. Înregistrările contabile respective </w:t>
      </w:r>
      <w:r w:rsidR="00830173" w:rsidRPr="009772A3">
        <w:rPr>
          <w:rFonts w:asciiTheme="majorHAnsi" w:hAnsiTheme="majorHAnsi" w:cstheme="majorHAnsi"/>
          <w:sz w:val="24"/>
          <w:szCs w:val="24"/>
          <w:lang w:val="ro-MD"/>
        </w:rPr>
        <w:t xml:space="preserve">au fost </w:t>
      </w:r>
      <w:r w:rsidRPr="009772A3">
        <w:rPr>
          <w:rFonts w:asciiTheme="majorHAnsi" w:hAnsiTheme="majorHAnsi" w:cstheme="majorHAnsi"/>
          <w:sz w:val="24"/>
          <w:szCs w:val="24"/>
          <w:lang w:val="ro-MD"/>
        </w:rPr>
        <w:t>efectuate la 29.12.2007.</w:t>
      </w:r>
    </w:p>
    <w:p w14:paraId="7468D483" w14:textId="5EA7852A" w:rsidR="00B84F30" w:rsidRPr="009772A3" w:rsidRDefault="00B84F30"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27.05.2011 SRL Cimișlia</w:t>
      </w:r>
      <w:r w:rsidR="00DD61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gaz a restituit SA Moldovagaz clădirea administrativă din s.Cărpineni cu valoarea de bilanț </w:t>
      </w:r>
      <w:r w:rsidR="001E1362"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p</w:t>
      </w:r>
      <w:r w:rsidR="00830173"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nă la reevaluare</w:t>
      </w:r>
      <w:r w:rsidR="001E13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1E1362" w:rsidRPr="009772A3">
        <w:rPr>
          <w:rFonts w:asciiTheme="majorHAnsi" w:hAnsiTheme="majorHAnsi" w:cstheme="majorHAnsi"/>
          <w:sz w:val="24"/>
          <w:szCs w:val="24"/>
          <w:lang w:val="ro-MD"/>
        </w:rPr>
        <w:t xml:space="preserve">în sumă </w:t>
      </w:r>
      <w:r w:rsidRPr="009772A3">
        <w:rPr>
          <w:rFonts w:asciiTheme="majorHAnsi" w:hAnsiTheme="majorHAnsi" w:cstheme="majorHAnsi"/>
          <w:sz w:val="24"/>
          <w:szCs w:val="24"/>
          <w:lang w:val="ro-MD"/>
        </w:rPr>
        <w:t>de 255,806 mii lei</w:t>
      </w:r>
      <w:r w:rsidR="001E13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după reevaluare</w:t>
      </w:r>
      <w:r w:rsidR="001E1362" w:rsidRPr="009772A3">
        <w:rPr>
          <w:rFonts w:asciiTheme="majorHAnsi" w:hAnsiTheme="majorHAnsi" w:cstheme="majorHAnsi"/>
          <w:sz w:val="24"/>
          <w:szCs w:val="24"/>
          <w:lang w:val="ro-MD"/>
        </w:rPr>
        <w:t xml:space="preserve">, </w:t>
      </w:r>
      <w:r w:rsidR="002C022C" w:rsidRPr="009772A3">
        <w:rPr>
          <w:rFonts w:asciiTheme="majorHAnsi" w:hAnsiTheme="majorHAnsi" w:cstheme="majorHAnsi"/>
          <w:sz w:val="24"/>
          <w:szCs w:val="24"/>
          <w:lang w:val="ro-MD"/>
        </w:rPr>
        <w:t>î</w:t>
      </w:r>
      <w:r w:rsidR="001E1362" w:rsidRPr="009772A3">
        <w:rPr>
          <w:rFonts w:asciiTheme="majorHAnsi" w:hAnsiTheme="majorHAnsi" w:cstheme="majorHAnsi"/>
          <w:sz w:val="24"/>
          <w:szCs w:val="24"/>
          <w:lang w:val="ro-MD"/>
        </w:rPr>
        <w:t>n sumă de</w:t>
      </w:r>
      <w:r w:rsidRPr="009772A3">
        <w:rPr>
          <w:rFonts w:asciiTheme="majorHAnsi" w:hAnsiTheme="majorHAnsi" w:cstheme="majorHAnsi"/>
          <w:sz w:val="24"/>
          <w:szCs w:val="24"/>
          <w:lang w:val="ro-MD"/>
        </w:rPr>
        <w:t xml:space="preserve"> 317,712 mii lei (primită în capitalul social cu valoarea de bilanț de 265,359 mii lei). Ca urmare</w:t>
      </w:r>
      <w:r w:rsidR="001E13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Moldovagaz a diminuat valoarea investițiilor în capitalul social cu 265,359 mii lei și valoarea capitalului suplimentar cu 61,906 mii lei. Clădirea respectivă a fost v</w:t>
      </w:r>
      <w:r w:rsidR="002C022C"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ndută de SA Moldovagaz cu suma de 148,170 mii lei (inclusiv TVA). </w:t>
      </w:r>
    </w:p>
    <w:p w14:paraId="74ADA38B" w14:textId="7224C817" w:rsidR="00B84F30" w:rsidRPr="009772A3" w:rsidRDefault="00B84F30" w:rsidP="00D6469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18.11.2011</w:t>
      </w:r>
      <w:r w:rsidR="002C02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conform unei </w:t>
      </w:r>
      <w:r w:rsidR="002C022C" w:rsidRPr="009772A3">
        <w:rPr>
          <w:rFonts w:asciiTheme="majorHAnsi" w:hAnsiTheme="majorHAnsi" w:cstheme="majorHAnsi"/>
          <w:sz w:val="24"/>
          <w:szCs w:val="24"/>
          <w:lang w:val="ro-MD"/>
        </w:rPr>
        <w:t>n</w:t>
      </w:r>
      <w:r w:rsidRPr="009772A3">
        <w:rPr>
          <w:rFonts w:asciiTheme="majorHAnsi" w:hAnsiTheme="majorHAnsi" w:cstheme="majorHAnsi"/>
          <w:sz w:val="24"/>
          <w:szCs w:val="24"/>
          <w:lang w:val="ro-MD"/>
        </w:rPr>
        <w:t>ote contabile</w:t>
      </w:r>
      <w:r w:rsidR="002C02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restabilit</w:t>
      </w:r>
      <w:r w:rsidR="002C022C"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la investiții în SRL Cimișliagaz </w:t>
      </w:r>
      <w:r w:rsidR="002C022C" w:rsidRPr="009772A3">
        <w:rPr>
          <w:rFonts w:asciiTheme="majorHAnsi" w:hAnsiTheme="majorHAnsi" w:cstheme="majorHAnsi"/>
          <w:sz w:val="24"/>
          <w:szCs w:val="24"/>
          <w:lang w:val="ro-MD"/>
        </w:rPr>
        <w:t xml:space="preserve">suma de </w:t>
      </w:r>
      <w:r w:rsidRPr="009772A3">
        <w:rPr>
          <w:rFonts w:asciiTheme="majorHAnsi" w:hAnsiTheme="majorHAnsi" w:cstheme="majorHAnsi"/>
          <w:sz w:val="24"/>
          <w:szCs w:val="24"/>
          <w:lang w:val="ro-MD"/>
        </w:rPr>
        <w:t>9,553 mii lei, aferent</w:t>
      </w:r>
      <w:r w:rsidR="002C022C"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diferenței între valoarea de bilanț a clădirii transmise și primite (265,4-255,8). Deci</w:t>
      </w:r>
      <w:r w:rsidR="002C02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pierderile </w:t>
      </w:r>
      <w:r w:rsidR="002C022C" w:rsidRPr="009772A3">
        <w:rPr>
          <w:rFonts w:asciiTheme="majorHAnsi" w:hAnsiTheme="majorHAnsi" w:cstheme="majorHAnsi"/>
          <w:sz w:val="24"/>
          <w:szCs w:val="24"/>
          <w:lang w:val="ro-MD"/>
        </w:rPr>
        <w:t>din vânzarea</w:t>
      </w:r>
      <w:r w:rsidRPr="009772A3">
        <w:rPr>
          <w:rFonts w:asciiTheme="majorHAnsi" w:hAnsiTheme="majorHAnsi" w:cstheme="majorHAnsi"/>
          <w:sz w:val="24"/>
          <w:szCs w:val="24"/>
          <w:lang w:val="ro-MD"/>
        </w:rPr>
        <w:t xml:space="preserve"> acestei clădiri au constituit 194,2 mii lei (255,8+61,9-148,2/1,2).</w:t>
      </w:r>
    </w:p>
    <w:p w14:paraId="2811B2AC" w14:textId="2F7D9436" w:rsidR="00AB6052" w:rsidRPr="009772A3" w:rsidRDefault="00B84F30" w:rsidP="00660B06">
      <w:pPr>
        <w:pStyle w:val="Heading1"/>
        <w:numPr>
          <w:ilvl w:val="2"/>
          <w:numId w:val="2"/>
        </w:numPr>
        <w:spacing w:line="276" w:lineRule="auto"/>
        <w:ind w:left="0" w:firstLine="0"/>
        <w:jc w:val="both"/>
        <w:rPr>
          <w:color w:val="auto"/>
          <w:lang w:val="ro-MD"/>
        </w:rPr>
      </w:pPr>
      <w:bookmarkStart w:id="39" w:name="_Toc119496393"/>
      <w:r w:rsidRPr="009772A3">
        <w:rPr>
          <w:color w:val="auto"/>
          <w:lang w:val="ro-MD"/>
        </w:rPr>
        <w:t>Patrimoniul investit de SA Moldovagaz în întreprinderile</w:t>
      </w:r>
      <w:r w:rsidR="00836E25" w:rsidRPr="009772A3">
        <w:rPr>
          <w:color w:val="auto"/>
          <w:lang w:val="ro-MD"/>
        </w:rPr>
        <w:t>-</w:t>
      </w:r>
      <w:r w:rsidRPr="009772A3">
        <w:rPr>
          <w:color w:val="auto"/>
          <w:lang w:val="ro-MD"/>
        </w:rPr>
        <w:t>fiice are un statut juridic incert, deoarece unele prevederi a</w:t>
      </w:r>
      <w:r w:rsidR="00836E25" w:rsidRPr="009772A3">
        <w:rPr>
          <w:color w:val="auto"/>
          <w:lang w:val="ro-MD"/>
        </w:rPr>
        <w:t>le</w:t>
      </w:r>
      <w:r w:rsidRPr="009772A3">
        <w:rPr>
          <w:color w:val="auto"/>
          <w:lang w:val="ro-MD"/>
        </w:rPr>
        <w:t xml:space="preserve"> documentelor de fondare au un conținut </w:t>
      </w:r>
      <w:r w:rsidR="00836E25" w:rsidRPr="009772A3">
        <w:rPr>
          <w:color w:val="auto"/>
          <w:lang w:val="ro-MD"/>
        </w:rPr>
        <w:t>ambiguu</w:t>
      </w:r>
      <w:r w:rsidRPr="009772A3">
        <w:rPr>
          <w:color w:val="auto"/>
          <w:lang w:val="ro-MD"/>
        </w:rPr>
        <w:t>.</w:t>
      </w:r>
      <w:bookmarkEnd w:id="39"/>
      <w:r w:rsidRPr="009772A3">
        <w:rPr>
          <w:color w:val="auto"/>
          <w:lang w:val="ro-MD"/>
        </w:rPr>
        <w:t xml:space="preserve"> </w:t>
      </w:r>
    </w:p>
    <w:p w14:paraId="30CAD665" w14:textId="4BE399C6" w:rsidR="00B84F30" w:rsidRPr="009772A3" w:rsidRDefault="00B84F30" w:rsidP="004F4116">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 xml:space="preserve">Unele </w:t>
      </w:r>
      <w:r w:rsidR="00AB6052" w:rsidRPr="009772A3">
        <w:rPr>
          <w:rFonts w:asciiTheme="majorHAnsi" w:hAnsiTheme="majorHAnsi" w:cstheme="majorHAnsi"/>
          <w:i/>
          <w:sz w:val="24"/>
          <w:szCs w:val="24"/>
          <w:lang w:val="ro-MD"/>
        </w:rPr>
        <w:t xml:space="preserve">documente </w:t>
      </w:r>
      <w:r w:rsidRPr="009772A3">
        <w:rPr>
          <w:rFonts w:asciiTheme="majorHAnsi" w:hAnsiTheme="majorHAnsi" w:cstheme="majorHAnsi"/>
          <w:i/>
          <w:sz w:val="24"/>
          <w:szCs w:val="24"/>
          <w:lang w:val="ro-MD"/>
        </w:rPr>
        <w:t>prevăd transmiterea patrimoniului în folosință, iar altele – în capitalul social. Ca urmare</w:t>
      </w:r>
      <w:r w:rsidR="00836E25" w:rsidRPr="009772A3">
        <w:rPr>
          <w:rFonts w:asciiTheme="majorHAnsi" w:hAnsiTheme="majorHAnsi" w:cstheme="majorHAnsi"/>
          <w:i/>
          <w:sz w:val="24"/>
          <w:szCs w:val="24"/>
          <w:lang w:val="ro-MD"/>
        </w:rPr>
        <w:t>,</w:t>
      </w:r>
      <w:r w:rsidRPr="009772A3">
        <w:rPr>
          <w:rFonts w:asciiTheme="majorHAnsi" w:hAnsiTheme="majorHAnsi" w:cstheme="majorHAnsi"/>
          <w:i/>
          <w:sz w:val="24"/>
          <w:szCs w:val="24"/>
          <w:lang w:val="ro-MD"/>
        </w:rPr>
        <w:t xml:space="preserve"> evidența patrimoniului investit în întreprinderile</w:t>
      </w:r>
      <w:r w:rsidR="00836E25" w:rsidRPr="009772A3">
        <w:rPr>
          <w:rFonts w:asciiTheme="majorHAnsi" w:hAnsiTheme="majorHAnsi" w:cstheme="majorHAnsi"/>
          <w:i/>
          <w:sz w:val="24"/>
          <w:szCs w:val="24"/>
          <w:lang w:val="ro-MD"/>
        </w:rPr>
        <w:t>-</w:t>
      </w:r>
      <w:r w:rsidRPr="009772A3">
        <w:rPr>
          <w:rFonts w:asciiTheme="majorHAnsi" w:hAnsiTheme="majorHAnsi" w:cstheme="majorHAnsi"/>
          <w:i/>
          <w:sz w:val="24"/>
          <w:szCs w:val="24"/>
          <w:lang w:val="ro-MD"/>
        </w:rPr>
        <w:t xml:space="preserve">fiice </w:t>
      </w:r>
      <w:r w:rsidR="00836E25" w:rsidRPr="009772A3">
        <w:rPr>
          <w:rFonts w:asciiTheme="majorHAnsi" w:hAnsiTheme="majorHAnsi" w:cstheme="majorHAnsi"/>
          <w:i/>
          <w:sz w:val="24"/>
          <w:szCs w:val="24"/>
          <w:lang w:val="ro-MD"/>
        </w:rPr>
        <w:t xml:space="preserve">ale SA Moldovagaz </w:t>
      </w:r>
      <w:r w:rsidRPr="009772A3">
        <w:rPr>
          <w:rFonts w:asciiTheme="majorHAnsi" w:hAnsiTheme="majorHAnsi" w:cstheme="majorHAnsi"/>
          <w:i/>
          <w:sz w:val="24"/>
          <w:szCs w:val="24"/>
          <w:lang w:val="ro-MD"/>
        </w:rPr>
        <w:t xml:space="preserve">s-a efectuat neuniform, prin ce a fost denaturată valoarea contabilă a acestuia. </w:t>
      </w:r>
    </w:p>
    <w:p w14:paraId="708F9E94" w14:textId="0DC47D91" w:rsidR="00B84F30" w:rsidRPr="009772A3" w:rsidRDefault="00B84F30" w:rsidP="00B55D58">
      <w:pPr>
        <w:spacing w:after="0" w:line="276" w:lineRule="auto"/>
        <w:ind w:firstLine="709"/>
        <w:jc w:val="both"/>
        <w:rPr>
          <w:rFonts w:asciiTheme="majorHAnsi" w:hAnsiTheme="majorHAnsi" w:cstheme="majorHAnsi"/>
          <w:sz w:val="24"/>
          <w:szCs w:val="24"/>
          <w:lang w:val="ro-MD"/>
        </w:rPr>
      </w:pPr>
      <w:r w:rsidRPr="009772A3">
        <w:rPr>
          <w:rFonts w:cstheme="majorHAnsi"/>
          <w:sz w:val="24"/>
          <w:szCs w:val="24"/>
          <w:lang w:val="ro-MD"/>
        </w:rPr>
        <w:tab/>
      </w:r>
      <w:r w:rsidRPr="009772A3">
        <w:rPr>
          <w:rFonts w:asciiTheme="majorHAnsi" w:hAnsiTheme="majorHAnsi" w:cstheme="majorHAnsi"/>
          <w:sz w:val="24"/>
          <w:szCs w:val="24"/>
          <w:lang w:val="ro-MD"/>
        </w:rPr>
        <w:t>Astfel, conform pct. 9 din HG nr. 1068 din 21.10.1998</w:t>
      </w:r>
      <w:r w:rsidR="00836E2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„Departamentul privatizării şi administrării proprietății de stat pe lîngă Ministerul Economiei şi Reformelor:  va reorganiza, în conformitate cu legislația în vigoare, societățile pe acțiuni ale complexului de gaze </w:t>
      </w:r>
      <w:r w:rsidR="00E9548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includerea lor în componența societății nou-înființate cu statut de întreprinderi afiliate, care vor funcționa în baza patrimoniului transmis în gestiune cu drept de folosință de către societate în calitatea sa de proprietar şi fondator al acestor întreprinderi”. Ca urmare</w:t>
      </w:r>
      <w:r w:rsidR="00E9548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actelor de predare-primire a patrimoniului</w:t>
      </w:r>
      <w:r w:rsidR="00E9548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Moldovagaz a transmis în folosință temporară societăților reorganizate activele nete depuse în capitalul social al SA Moldovagaz. Totodată</w:t>
      </w:r>
      <w:r w:rsidR="00E9548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Declarațiile privind constituirea întreprinderilor-fiice și în lista bunurilor transmise în capitalul social al acestora nu se indica </w:t>
      </w:r>
      <w:r w:rsidR="00E95480" w:rsidRPr="009772A3">
        <w:rPr>
          <w:rFonts w:asciiTheme="majorHAnsi" w:hAnsiTheme="majorHAnsi" w:cstheme="majorHAnsi"/>
          <w:sz w:val="24"/>
          <w:szCs w:val="24"/>
          <w:lang w:val="ro-MD"/>
        </w:rPr>
        <w:t xml:space="preserve">faptul </w:t>
      </w:r>
      <w:r w:rsidRPr="009772A3">
        <w:rPr>
          <w:rFonts w:asciiTheme="majorHAnsi" w:hAnsiTheme="majorHAnsi" w:cstheme="majorHAnsi"/>
          <w:sz w:val="24"/>
          <w:szCs w:val="24"/>
          <w:lang w:val="ro-MD"/>
        </w:rPr>
        <w:t xml:space="preserve">că patrimoniul se transmitea în folosință. A fost transmis în folosință doar patrimoniul care a rămas proprietate de stat și nu a participat la formarea capitalului social al SA Moldovagaz. Mai mult </w:t>
      </w:r>
      <w:r w:rsidR="00E95480" w:rsidRPr="009772A3">
        <w:rPr>
          <w:rFonts w:asciiTheme="majorHAnsi" w:hAnsiTheme="majorHAnsi" w:cstheme="majorHAnsi"/>
          <w:sz w:val="24"/>
          <w:szCs w:val="24"/>
          <w:lang w:val="ro-MD"/>
        </w:rPr>
        <w:t>decât</w:t>
      </w:r>
      <w:r w:rsidRPr="009772A3">
        <w:rPr>
          <w:rFonts w:asciiTheme="majorHAnsi" w:hAnsiTheme="majorHAnsi" w:cstheme="majorHAnsi"/>
          <w:sz w:val="24"/>
          <w:szCs w:val="24"/>
          <w:lang w:val="ro-MD"/>
        </w:rPr>
        <w:t xml:space="preserve"> at</w:t>
      </w:r>
      <w:r w:rsidR="00E95480"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w:t>
      </w:r>
      <w:r w:rsidR="00E9548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toate actele de predare-primire menționate, mijloacele fixe depuse au fost evaluate la valoarea de bilanț (reieșind din dreptul de proprietate asupra acestora), nefiind evaluat ca </w:t>
      </w:r>
      <w:r w:rsidR="00E95480" w:rsidRPr="009772A3">
        <w:rPr>
          <w:rFonts w:asciiTheme="majorHAnsi" w:hAnsiTheme="majorHAnsi" w:cstheme="majorHAnsi"/>
          <w:sz w:val="24"/>
          <w:szCs w:val="24"/>
          <w:lang w:val="ro-MD"/>
        </w:rPr>
        <w:t xml:space="preserve">având </w:t>
      </w:r>
      <w:r w:rsidRPr="009772A3">
        <w:rPr>
          <w:rFonts w:asciiTheme="majorHAnsi" w:hAnsiTheme="majorHAnsi" w:cstheme="majorHAnsi"/>
          <w:sz w:val="24"/>
          <w:szCs w:val="24"/>
          <w:lang w:val="ro-MD"/>
        </w:rPr>
        <w:t>drept</w:t>
      </w:r>
      <w:r w:rsidR="00E95480" w:rsidRPr="009772A3">
        <w:rPr>
          <w:rFonts w:asciiTheme="majorHAnsi" w:hAnsiTheme="majorHAnsi" w:cstheme="majorHAnsi"/>
          <w:sz w:val="24"/>
          <w:szCs w:val="24"/>
          <w:lang w:val="ro-MD"/>
        </w:rPr>
        <w:t>ul</w:t>
      </w:r>
      <w:r w:rsidRPr="009772A3">
        <w:rPr>
          <w:rFonts w:asciiTheme="majorHAnsi" w:hAnsiTheme="majorHAnsi" w:cstheme="majorHAnsi"/>
          <w:sz w:val="24"/>
          <w:szCs w:val="24"/>
          <w:lang w:val="ro-MD"/>
        </w:rPr>
        <w:t xml:space="preserve"> de folosință.     </w:t>
      </w:r>
    </w:p>
    <w:p w14:paraId="50C39551" w14:textId="44E779DB" w:rsidR="00B84F30" w:rsidRPr="009772A3" w:rsidRDefault="00BC2616" w:rsidP="00B55D58">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w:t>
      </w:r>
      <w:r w:rsidR="00B84F30" w:rsidRPr="009772A3">
        <w:rPr>
          <w:rFonts w:asciiTheme="majorHAnsi" w:hAnsiTheme="majorHAnsi" w:cstheme="majorHAnsi"/>
          <w:sz w:val="24"/>
          <w:szCs w:val="24"/>
          <w:lang w:val="ro-MD"/>
        </w:rPr>
        <w:t>e parcursul anilor, SA Moldovagaz a retras unele mijloace fixe depuse în capitalul social al întreprinderilor</w:t>
      </w:r>
      <w:r w:rsidR="00E95480"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fiice, unele fiind înregistrate în evidența SA Moldovagaz ca diminuare a investițiilor (în perioada 1999-2011), iar altele au fost înregistrate ca primite cu titlul gratuit (în perioada 2017-2021), fără a diminua investițiile, dar major</w:t>
      </w:r>
      <w:r w:rsidR="00E95480" w:rsidRPr="009772A3">
        <w:rPr>
          <w:rFonts w:asciiTheme="majorHAnsi" w:hAnsiTheme="majorHAnsi" w:cstheme="majorHAnsi"/>
          <w:sz w:val="24"/>
          <w:szCs w:val="24"/>
          <w:lang w:val="ro-MD"/>
        </w:rPr>
        <w:t>â</w:t>
      </w:r>
      <w:r w:rsidR="00B84F30" w:rsidRPr="009772A3">
        <w:rPr>
          <w:rFonts w:asciiTheme="majorHAnsi" w:hAnsiTheme="majorHAnsi" w:cstheme="majorHAnsi"/>
          <w:sz w:val="24"/>
          <w:szCs w:val="24"/>
          <w:lang w:val="ro-MD"/>
        </w:rPr>
        <w:t>nd veniturile SA Moldovagaz și cheltuielile întreprinderilor-fiice. Astfel, în anul 2020 SA Moldovagaz a retras clădirea oficiului în sumă de 577,6 mii lei de la SRL Cimișlia-gaz și în anul 2021 – patrimoniul stațiilor de aprovizionare  cu gaze comprimate AГНКС-1 și AГНКС-2 de la SRL Moldovatransgaz</w:t>
      </w:r>
      <w:r w:rsidR="00E95480"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 în sumă de 5</w:t>
      </w:r>
      <w:r w:rsidR="00E95480" w:rsidRPr="009772A3">
        <w:rPr>
          <w:rFonts w:asciiTheme="majorHAnsi" w:hAnsiTheme="majorHAnsi" w:cstheme="majorHAnsi"/>
          <w:sz w:val="24"/>
          <w:szCs w:val="24"/>
          <w:lang w:val="ro-MD"/>
        </w:rPr>
        <w:t>.</w:t>
      </w:r>
      <w:r w:rsidR="00B84F30" w:rsidRPr="009772A3">
        <w:rPr>
          <w:rFonts w:asciiTheme="majorHAnsi" w:hAnsiTheme="majorHAnsi" w:cstheme="majorHAnsi"/>
          <w:sz w:val="24"/>
          <w:szCs w:val="24"/>
          <w:lang w:val="ro-MD"/>
        </w:rPr>
        <w:t xml:space="preserve">861,0 mii lei. </w:t>
      </w:r>
    </w:p>
    <w:p w14:paraId="7A442082" w14:textId="37EC8293" w:rsidR="00B84F30" w:rsidRDefault="00B84F30" w:rsidP="00B55D58">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 întreprinderile-fiice fondate în partea st</w:t>
      </w:r>
      <w:r w:rsidR="00E95480"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ng</w:t>
      </w:r>
      <w:r w:rsidR="00E95480"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a </w:t>
      </w:r>
      <w:r w:rsidR="00E95480" w:rsidRPr="009772A3">
        <w:rPr>
          <w:rFonts w:asciiTheme="majorHAnsi" w:hAnsiTheme="majorHAnsi" w:cstheme="majorHAnsi"/>
          <w:sz w:val="24"/>
          <w:szCs w:val="24"/>
          <w:lang w:val="ro-MD"/>
        </w:rPr>
        <w:t xml:space="preserve">râului </w:t>
      </w:r>
      <w:r w:rsidRPr="009772A3">
        <w:rPr>
          <w:rFonts w:asciiTheme="majorHAnsi" w:hAnsiTheme="majorHAnsi" w:cstheme="majorHAnsi"/>
          <w:sz w:val="24"/>
          <w:szCs w:val="24"/>
          <w:lang w:val="ro-MD"/>
        </w:rPr>
        <w:t>Nistrul, conform informației prezentate de ASP din 01.06.2022</w:t>
      </w:r>
      <w:r w:rsidR="00E9548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nu au fost legal înregistrate în RM. Din 7 întreprinderi, </w:t>
      </w:r>
      <w:r w:rsidR="00E95480" w:rsidRPr="009772A3">
        <w:rPr>
          <w:rFonts w:asciiTheme="majorHAnsi" w:hAnsiTheme="majorHAnsi" w:cstheme="majorHAnsi"/>
          <w:sz w:val="24"/>
          <w:szCs w:val="24"/>
          <w:lang w:val="ro-MD"/>
        </w:rPr>
        <w:t xml:space="preserve">numai </w:t>
      </w:r>
      <w:r w:rsidRPr="009772A3">
        <w:rPr>
          <w:rFonts w:asciiTheme="majorHAnsi" w:hAnsiTheme="majorHAnsi" w:cstheme="majorHAnsi"/>
          <w:sz w:val="24"/>
          <w:szCs w:val="24"/>
          <w:lang w:val="ro-MD"/>
        </w:rPr>
        <w:t xml:space="preserve">SRL Tiraspoltransgaz și SRL Bender-gaz au fost luate </w:t>
      </w:r>
      <w:r w:rsidR="00E95480" w:rsidRPr="009772A3">
        <w:rPr>
          <w:rFonts w:asciiTheme="majorHAnsi" w:hAnsiTheme="majorHAnsi" w:cstheme="majorHAnsi"/>
          <w:sz w:val="24"/>
          <w:szCs w:val="24"/>
          <w:lang w:val="ro-MD"/>
        </w:rPr>
        <w:t>în</w:t>
      </w:r>
      <w:r w:rsidRPr="009772A3">
        <w:rPr>
          <w:rFonts w:asciiTheme="majorHAnsi" w:hAnsiTheme="majorHAnsi" w:cstheme="majorHAnsi"/>
          <w:sz w:val="24"/>
          <w:szCs w:val="24"/>
          <w:lang w:val="ro-MD"/>
        </w:rPr>
        <w:t xml:space="preserve"> evidență</w:t>
      </w:r>
      <w:r w:rsidR="00DD612C" w:rsidRPr="009772A3">
        <w:rPr>
          <w:rFonts w:asciiTheme="majorHAnsi" w:hAnsiTheme="majorHAnsi" w:cstheme="majorHAnsi"/>
          <w:sz w:val="24"/>
          <w:szCs w:val="24"/>
          <w:lang w:val="ro-MD"/>
        </w:rPr>
        <w:t>,</w:t>
      </w:r>
      <w:r w:rsidR="00E95480" w:rsidRPr="009772A3">
        <w:rPr>
          <w:rFonts w:asciiTheme="majorHAnsi" w:hAnsiTheme="majorHAnsi" w:cstheme="majorHAnsi"/>
          <w:sz w:val="24"/>
          <w:szCs w:val="24"/>
          <w:lang w:val="ro-MD"/>
        </w:rPr>
        <w:t xml:space="preserve"> și doar</w:t>
      </w:r>
      <w:r w:rsidRPr="009772A3">
        <w:rPr>
          <w:rFonts w:asciiTheme="majorHAnsi" w:hAnsiTheme="majorHAnsi" w:cstheme="majorHAnsi"/>
          <w:sz w:val="24"/>
          <w:szCs w:val="24"/>
          <w:lang w:val="ro-MD"/>
        </w:rPr>
        <w:t xml:space="preserve"> provizori</w:t>
      </w:r>
      <w:r w:rsidR="00E95480"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Ca urmare</w:t>
      </w:r>
      <w:r w:rsidR="00DD612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nu există o bază legală pentru înregistrarea în evidența contabilă a investițiilor în aceste întreprinderi. </w:t>
      </w:r>
    </w:p>
    <w:p w14:paraId="075A0B10" w14:textId="77777777" w:rsidR="00F5500A" w:rsidRPr="00F5500A" w:rsidRDefault="00F5500A" w:rsidP="00B55D58">
      <w:pPr>
        <w:spacing w:after="0" w:line="276" w:lineRule="auto"/>
        <w:ind w:firstLine="709"/>
        <w:jc w:val="both"/>
        <w:rPr>
          <w:rFonts w:asciiTheme="majorHAnsi" w:hAnsiTheme="majorHAnsi" w:cstheme="majorHAnsi"/>
          <w:sz w:val="16"/>
          <w:szCs w:val="16"/>
          <w:lang w:val="ro-MD"/>
        </w:rPr>
      </w:pPr>
    </w:p>
    <w:p w14:paraId="14F7BE07" w14:textId="3E2214D7" w:rsidR="00CA6AE6" w:rsidRPr="009772A3" w:rsidRDefault="00106B87" w:rsidP="00CF3AD4">
      <w:pPr>
        <w:pStyle w:val="Heading1"/>
        <w:numPr>
          <w:ilvl w:val="3"/>
          <w:numId w:val="2"/>
        </w:numPr>
        <w:tabs>
          <w:tab w:val="left" w:pos="851"/>
        </w:tabs>
        <w:spacing w:before="0" w:line="276" w:lineRule="auto"/>
        <w:ind w:left="0" w:firstLine="0"/>
        <w:jc w:val="both"/>
        <w:rPr>
          <w:color w:val="auto"/>
          <w:lang w:val="ro-MD"/>
        </w:rPr>
      </w:pPr>
      <w:bookmarkStart w:id="40" w:name="_Toc119245383"/>
      <w:bookmarkStart w:id="41" w:name="_Toc119496394"/>
      <w:bookmarkEnd w:id="40"/>
      <w:r w:rsidRPr="009772A3">
        <w:rPr>
          <w:color w:val="auto"/>
          <w:lang w:val="ro-MD"/>
        </w:rPr>
        <w:t>T</w:t>
      </w:r>
      <w:r w:rsidR="00CA6AE6" w:rsidRPr="009772A3">
        <w:rPr>
          <w:color w:val="auto"/>
          <w:lang w:val="ro-MD"/>
        </w:rPr>
        <w:t xml:space="preserve">ransmiterea intragrup a clădirii administrative și </w:t>
      </w:r>
      <w:r w:rsidR="00DD612C" w:rsidRPr="009772A3">
        <w:rPr>
          <w:color w:val="auto"/>
          <w:lang w:val="ro-MD"/>
        </w:rPr>
        <w:t xml:space="preserve">a </w:t>
      </w:r>
      <w:r w:rsidR="00CA6AE6" w:rsidRPr="009772A3">
        <w:rPr>
          <w:color w:val="auto"/>
          <w:lang w:val="ro-MD"/>
        </w:rPr>
        <w:t>terenului aferent aflate în gestiunea SRL Cimișlia</w:t>
      </w:r>
      <w:r w:rsidR="00DD612C" w:rsidRPr="009772A3">
        <w:rPr>
          <w:color w:val="auto"/>
          <w:lang w:val="ro-MD"/>
        </w:rPr>
        <w:t>-</w:t>
      </w:r>
      <w:r w:rsidR="00CA6AE6" w:rsidRPr="009772A3">
        <w:rPr>
          <w:color w:val="auto"/>
          <w:lang w:val="ro-MD"/>
        </w:rPr>
        <w:t xml:space="preserve">gaz a generat înregistrarea </w:t>
      </w:r>
      <w:r w:rsidR="00DD612C" w:rsidRPr="009772A3">
        <w:rPr>
          <w:color w:val="auto"/>
          <w:lang w:val="ro-MD"/>
        </w:rPr>
        <w:t xml:space="preserve">nejustificată a </w:t>
      </w:r>
      <w:r w:rsidR="00CA6AE6" w:rsidRPr="009772A3">
        <w:rPr>
          <w:color w:val="auto"/>
          <w:lang w:val="ro-MD"/>
        </w:rPr>
        <w:t>unor venituri și cheltuieli.</w:t>
      </w:r>
      <w:bookmarkEnd w:id="41"/>
    </w:p>
    <w:p w14:paraId="7F41CE68" w14:textId="14249E22" w:rsidR="00CA6AE6" w:rsidRPr="009772A3" w:rsidRDefault="00DD612C" w:rsidP="00CA6AE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 urma</w:t>
      </w:r>
      <w:r w:rsidR="00CA6AE6" w:rsidRPr="009772A3">
        <w:rPr>
          <w:rFonts w:asciiTheme="majorHAnsi" w:hAnsiTheme="majorHAnsi" w:cstheme="majorHAnsi"/>
          <w:sz w:val="24"/>
          <w:szCs w:val="24"/>
          <w:vertAlign w:val="baseline"/>
          <w:lang w:val="ro-MD"/>
        </w:rPr>
        <w:t xml:space="preserve"> unei analize efectuate de către Direcția investiți capitale din cadrul SA Moldovagaz, rezultate din inventarierea în anul 2020 a activelor neutilizate în procesele tehnologice ale SA Moldovagaz, dar aflate la balanța întreprinderilor afiliate de transport și distribuție a gazelor naturale, Societatea a decis retragerea din gestiunea economică a SRL Cimișlia</w:t>
      </w:r>
      <w:r w:rsidRPr="009772A3">
        <w:rPr>
          <w:rFonts w:asciiTheme="majorHAnsi" w:hAnsiTheme="majorHAnsi" w:cstheme="majorHAnsi"/>
          <w:sz w:val="24"/>
          <w:szCs w:val="24"/>
          <w:vertAlign w:val="baseline"/>
          <w:lang w:val="ro-MD"/>
        </w:rPr>
        <w:t>-</w:t>
      </w:r>
      <w:r w:rsidR="00CA6AE6" w:rsidRPr="009772A3">
        <w:rPr>
          <w:rFonts w:asciiTheme="majorHAnsi" w:hAnsiTheme="majorHAnsi" w:cstheme="majorHAnsi"/>
          <w:sz w:val="24"/>
          <w:szCs w:val="24"/>
          <w:vertAlign w:val="baseline"/>
          <w:lang w:val="ro-MD"/>
        </w:rPr>
        <w:t xml:space="preserve">gaz a unei clădiri administrative și vânzarea ulterioară a acesteia. </w:t>
      </w:r>
    </w:p>
    <w:p w14:paraId="1A987102" w14:textId="25CE525C" w:rsidR="00CA6AE6" w:rsidRPr="009772A3" w:rsidRDefault="00CA6AE6" w:rsidP="00CA6AE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Probele colectate de audit denotă că, deși Direcția investiți capitale din cadrul SA Moldovagaz a identificat o listă de active neutilizate în procesele administrative și tehnologice ale întreprinderilor de distribuție a gazelor, aceasta a propus spre retragere și vânzare ulterioară doar o clădire, aflată în administrarea SRL Cimișlia</w:t>
      </w:r>
      <w:r w:rsidR="003134B4"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gaz. Prin urmare, neabordarea în complex a tuturor activelor neutilizate în procesele tehnologice ale întreprinderilor de distribuție a gazelor naturale, relevă un interes </w:t>
      </w:r>
      <w:r w:rsidR="003A33D0" w:rsidRPr="009772A3">
        <w:rPr>
          <w:rFonts w:asciiTheme="majorHAnsi" w:hAnsiTheme="majorHAnsi" w:cstheme="majorHAnsi"/>
          <w:sz w:val="24"/>
          <w:szCs w:val="24"/>
          <w:vertAlign w:val="baseline"/>
          <w:lang w:val="ro-MD"/>
        </w:rPr>
        <w:t>sp</w:t>
      </w:r>
      <w:r w:rsidR="003A33D0">
        <w:rPr>
          <w:rFonts w:asciiTheme="majorHAnsi" w:hAnsiTheme="majorHAnsi" w:cstheme="majorHAnsi"/>
          <w:sz w:val="24"/>
          <w:szCs w:val="24"/>
          <w:vertAlign w:val="baseline"/>
          <w:lang w:val="ro-MD"/>
        </w:rPr>
        <w:t>ecial</w:t>
      </w:r>
      <w:r w:rsidR="003A33D0"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cu privire la activul menționat.</w:t>
      </w:r>
    </w:p>
    <w:p w14:paraId="65340BB4" w14:textId="2B62C7E5" w:rsidR="00CA6AE6" w:rsidRPr="009772A3" w:rsidRDefault="00CA6AE6" w:rsidP="00CA6AE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Totodată, examinarea procesului de retragere din gestiunea SRL Cimișlia</w:t>
      </w:r>
      <w:r w:rsidR="003134B4"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gaz a clădirii și</w:t>
      </w:r>
      <w:r w:rsidR="003134B4" w:rsidRPr="009772A3">
        <w:rPr>
          <w:rFonts w:asciiTheme="majorHAnsi" w:hAnsiTheme="majorHAnsi" w:cstheme="majorHAnsi"/>
          <w:sz w:val="24"/>
          <w:szCs w:val="24"/>
          <w:vertAlign w:val="baseline"/>
          <w:lang w:val="ro-MD"/>
        </w:rPr>
        <w:t xml:space="preserve"> a</w:t>
      </w:r>
      <w:r w:rsidRPr="009772A3">
        <w:rPr>
          <w:rFonts w:asciiTheme="majorHAnsi" w:hAnsiTheme="majorHAnsi" w:cstheme="majorHAnsi"/>
          <w:sz w:val="24"/>
          <w:szCs w:val="24"/>
          <w:vertAlign w:val="baseline"/>
          <w:lang w:val="ro-MD"/>
        </w:rPr>
        <w:t xml:space="preserve"> terenului aferent, precum și a procesului de revânzare ulterioară a acestora, a relevat următoarele:</w:t>
      </w:r>
    </w:p>
    <w:p w14:paraId="18B1D827" w14:textId="773A477E" w:rsidR="00CA6AE6" w:rsidRPr="009772A3" w:rsidRDefault="00CA6AE6" w:rsidP="003A33D0">
      <w:pPr>
        <w:pStyle w:val="FootnoteText"/>
        <w:numPr>
          <w:ilvl w:val="0"/>
          <w:numId w:val="18"/>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deși procedura de retragere a clădirii administrative și a terenului aferent din gestiunea SRL Cimișlia</w:t>
      </w:r>
      <w:r w:rsidR="003134B4"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gaz s-a efectuat în baza unui acord adițional la contractul privind transmiterea în gestiune a activelor din anul 1999, potrivit căruia întreprinderea afiliată a introdus eronat mijloacele fixe în capitalul social al întreprinderii, procesul nu s-a soldat și cu diminuarea corespunzătoare a capitalul</w:t>
      </w:r>
      <w:r w:rsidR="003134B4" w:rsidRPr="009772A3">
        <w:rPr>
          <w:rFonts w:asciiTheme="majorHAnsi" w:hAnsiTheme="majorHAnsi" w:cstheme="majorHAnsi"/>
          <w:sz w:val="24"/>
          <w:szCs w:val="24"/>
          <w:vertAlign w:val="baseline"/>
          <w:lang w:val="ro-MD"/>
        </w:rPr>
        <w:t>ui</w:t>
      </w:r>
      <w:r w:rsidRPr="009772A3">
        <w:rPr>
          <w:rFonts w:asciiTheme="majorHAnsi" w:hAnsiTheme="majorHAnsi" w:cstheme="majorHAnsi"/>
          <w:sz w:val="24"/>
          <w:szCs w:val="24"/>
          <w:vertAlign w:val="baseline"/>
          <w:lang w:val="ro-MD"/>
        </w:rPr>
        <w:t xml:space="preserve"> social menționat. Potrivit evidenței contabile și actului de primire</w:t>
      </w:r>
      <w:r w:rsidR="003134B4"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predare</w:t>
      </w:r>
      <w:r w:rsidRPr="009772A3">
        <w:rPr>
          <w:rStyle w:val="FootnoteReference"/>
          <w:rFonts w:asciiTheme="majorHAnsi" w:hAnsiTheme="majorHAnsi" w:cstheme="majorHAnsi"/>
          <w:sz w:val="24"/>
          <w:szCs w:val="24"/>
          <w:lang w:val="ro-MD"/>
        </w:rPr>
        <w:footnoteReference w:id="35"/>
      </w:r>
      <w:r w:rsidRPr="009772A3">
        <w:rPr>
          <w:rFonts w:asciiTheme="majorHAnsi" w:hAnsiTheme="majorHAnsi" w:cstheme="majorHAnsi"/>
          <w:sz w:val="24"/>
          <w:szCs w:val="24"/>
          <w:vertAlign w:val="baseline"/>
          <w:lang w:val="ro-MD"/>
        </w:rPr>
        <w:t xml:space="preserve">, valoarea inițială a clădirii constituia 830,1 mii lei, iar cea a terenului aferent </w:t>
      </w:r>
      <w:r w:rsidR="003134B4"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 xml:space="preserve">12,0 mii lei, </w:t>
      </w:r>
      <w:r w:rsidR="00E5088C" w:rsidRPr="009772A3">
        <w:rPr>
          <w:rFonts w:asciiTheme="majorHAnsi" w:hAnsiTheme="majorHAnsi" w:cstheme="majorHAnsi"/>
          <w:sz w:val="24"/>
          <w:szCs w:val="24"/>
          <w:vertAlign w:val="baseline"/>
          <w:lang w:val="ro-MD"/>
        </w:rPr>
        <w:t xml:space="preserve">pe când </w:t>
      </w:r>
      <w:r w:rsidRPr="009772A3">
        <w:rPr>
          <w:rFonts w:asciiTheme="majorHAnsi" w:hAnsiTheme="majorHAnsi" w:cstheme="majorHAnsi"/>
          <w:sz w:val="24"/>
          <w:szCs w:val="24"/>
          <w:vertAlign w:val="baseline"/>
          <w:lang w:val="ro-MD"/>
        </w:rPr>
        <w:t>la momentul retragerii valoarea de bilanț a clădirii a constituit 577,6 mii lei</w:t>
      </w:r>
      <w:r w:rsidR="003A33D0" w:rsidRPr="003A33D0">
        <w:rPr>
          <w:rFonts w:asciiTheme="majorHAnsi" w:hAnsiTheme="majorHAnsi" w:cstheme="majorHAnsi"/>
          <w:sz w:val="24"/>
          <w:szCs w:val="24"/>
          <w:vertAlign w:val="baseline"/>
          <w:lang w:val="ro-MD"/>
        </w:rPr>
        <w:t xml:space="preserve"> </w:t>
      </w:r>
      <w:r w:rsidR="003A33D0">
        <w:rPr>
          <w:rFonts w:asciiTheme="majorHAnsi" w:hAnsiTheme="majorHAnsi" w:cstheme="majorHAnsi"/>
          <w:sz w:val="24"/>
          <w:szCs w:val="24"/>
          <w:vertAlign w:val="baseline"/>
          <w:lang w:val="ro-MD"/>
        </w:rPr>
        <w:t>(</w:t>
      </w:r>
      <w:r w:rsidR="003A33D0" w:rsidRPr="009772A3">
        <w:rPr>
          <w:rFonts w:asciiTheme="majorHAnsi" w:hAnsiTheme="majorHAnsi" w:cstheme="majorHAnsi"/>
          <w:sz w:val="24"/>
          <w:szCs w:val="24"/>
          <w:vertAlign w:val="baseline"/>
          <w:lang w:val="ro-MD"/>
        </w:rPr>
        <w:t>amortizarea acumulată fiind de 252,4 mii lei</w:t>
      </w:r>
      <w:r w:rsidR="003A33D0">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iar a terenului </w:t>
      </w:r>
      <w:r w:rsidR="00E5088C"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12,0 mii lei;</w:t>
      </w:r>
    </w:p>
    <w:p w14:paraId="79BE08E3" w14:textId="6C7A3F7A" w:rsidR="00CA6AE6" w:rsidRPr="009772A3" w:rsidRDefault="00CA6AE6" w:rsidP="003A33D0">
      <w:pPr>
        <w:pStyle w:val="FootnoteText"/>
        <w:numPr>
          <w:ilvl w:val="0"/>
          <w:numId w:val="18"/>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dat fiind statutul incert al activelor transmise în gestiune întreprinderilor de distribuție și transport al gazelor naturale</w:t>
      </w:r>
      <w:r w:rsidR="00E5088C"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se denotă neadoptarea unor hotărâri cu privire la diminuarea capitalului social al SRL Cimișlia</w:t>
      </w:r>
      <w:r w:rsidR="00E5088C"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gaz, fapt care a condiționat înregistrarea de către întreprindere a unor cheltuieli cu activele imobilizate în sumă totală de 589,6 mii lei;</w:t>
      </w:r>
    </w:p>
    <w:p w14:paraId="0A67D990" w14:textId="06B8307F" w:rsidR="00CA6AE6" w:rsidRPr="009772A3" w:rsidRDefault="00CA6AE6" w:rsidP="003A33D0">
      <w:pPr>
        <w:pStyle w:val="FootnoteText"/>
        <w:numPr>
          <w:ilvl w:val="0"/>
          <w:numId w:val="18"/>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neînregistrarea de către SA Moldovagaz a clădirii administrative și </w:t>
      </w:r>
      <w:r w:rsidR="00E5088C" w:rsidRPr="009772A3">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terenului aferent ca investiții în entitățile fondate, a generat</w:t>
      </w:r>
      <w:r w:rsidR="00E5088C"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r w:rsidR="00E5088C" w:rsidRPr="009772A3">
        <w:rPr>
          <w:rFonts w:asciiTheme="majorHAnsi" w:hAnsiTheme="majorHAnsi" w:cstheme="majorHAnsi"/>
          <w:sz w:val="24"/>
          <w:szCs w:val="24"/>
          <w:vertAlign w:val="baseline"/>
          <w:lang w:val="ro-MD"/>
        </w:rPr>
        <w:t xml:space="preserve">ca </w:t>
      </w:r>
      <w:r w:rsidRPr="009772A3">
        <w:rPr>
          <w:rFonts w:asciiTheme="majorHAnsi" w:hAnsiTheme="majorHAnsi" w:cstheme="majorHAnsi"/>
          <w:sz w:val="24"/>
          <w:szCs w:val="24"/>
          <w:vertAlign w:val="baseline"/>
          <w:lang w:val="ro-MD"/>
        </w:rPr>
        <w:t xml:space="preserve">urmare </w:t>
      </w:r>
      <w:r w:rsidR="00E5088C" w:rsidRPr="009772A3">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retragerii acestor active, la momentul retragerii, înregistrarea unor venituri în ace</w:t>
      </w:r>
      <w:r w:rsidR="00E5088C" w:rsidRPr="009772A3">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ași sumă </w:t>
      </w:r>
      <w:r w:rsidR="00E5088C"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de 589,6 mii lei</w:t>
      </w:r>
      <w:r w:rsidR="00E5088C"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w:t>
      </w:r>
    </w:p>
    <w:p w14:paraId="4D122EC5" w14:textId="04CCE105" w:rsidR="00CA6AE6" w:rsidRPr="009772A3" w:rsidRDefault="00E5088C" w:rsidP="003A33D0">
      <w:pPr>
        <w:pStyle w:val="FootnoteText"/>
        <w:numPr>
          <w:ilvl w:val="0"/>
          <w:numId w:val="18"/>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ca </w:t>
      </w:r>
      <w:r w:rsidR="00CA6AE6" w:rsidRPr="009772A3">
        <w:rPr>
          <w:rFonts w:asciiTheme="majorHAnsi" w:hAnsiTheme="majorHAnsi" w:cstheme="majorHAnsi"/>
          <w:sz w:val="24"/>
          <w:szCs w:val="24"/>
          <w:vertAlign w:val="baseline"/>
          <w:lang w:val="ro-MD"/>
        </w:rPr>
        <w:t>urmare</w:t>
      </w:r>
      <w:r w:rsidRPr="009772A3">
        <w:rPr>
          <w:rFonts w:asciiTheme="majorHAnsi" w:hAnsiTheme="majorHAnsi" w:cstheme="majorHAnsi"/>
          <w:sz w:val="24"/>
          <w:szCs w:val="24"/>
          <w:vertAlign w:val="baseline"/>
          <w:lang w:val="ro-MD"/>
        </w:rPr>
        <w:t xml:space="preserve"> a</w:t>
      </w:r>
      <w:r w:rsidR="00CA6AE6" w:rsidRPr="009772A3">
        <w:rPr>
          <w:rFonts w:asciiTheme="majorHAnsi" w:hAnsiTheme="majorHAnsi" w:cstheme="majorHAnsi"/>
          <w:sz w:val="24"/>
          <w:szCs w:val="24"/>
          <w:vertAlign w:val="baseline"/>
          <w:lang w:val="ro-MD"/>
        </w:rPr>
        <w:t xml:space="preserve"> unei cereri de oferte organizate de SA Moldovagaz, pentru care s-au alocat doar 10 zile, clădirea administrativă și terenul aferent au fost vândute unui agent economic la un preț de 577,6 mii lei </w:t>
      </w:r>
      <w:r w:rsidRPr="009772A3">
        <w:rPr>
          <w:rFonts w:asciiTheme="majorHAnsi" w:hAnsiTheme="majorHAnsi" w:cstheme="majorHAnsi"/>
          <w:sz w:val="24"/>
          <w:szCs w:val="24"/>
          <w:vertAlign w:val="baseline"/>
          <w:lang w:val="ro-MD"/>
        </w:rPr>
        <w:t>(</w:t>
      </w:r>
      <w:r w:rsidR="00CA6AE6" w:rsidRPr="009772A3">
        <w:rPr>
          <w:rFonts w:asciiTheme="majorHAnsi" w:hAnsiTheme="majorHAnsi" w:cstheme="majorHAnsi"/>
          <w:sz w:val="24"/>
          <w:szCs w:val="24"/>
          <w:vertAlign w:val="baseline"/>
          <w:lang w:val="ro-MD"/>
        </w:rPr>
        <w:t xml:space="preserve">imobilul </w:t>
      </w:r>
      <w:r w:rsidR="00FF3A09" w:rsidRPr="009772A3">
        <w:rPr>
          <w:rFonts w:asciiTheme="majorHAnsi" w:hAnsiTheme="majorHAnsi" w:cstheme="majorHAnsi"/>
          <w:sz w:val="24"/>
          <w:szCs w:val="24"/>
          <w:vertAlign w:val="baseline"/>
          <w:lang w:val="ro-MD"/>
        </w:rPr>
        <w:t xml:space="preserve">– </w:t>
      </w:r>
      <w:r w:rsidR="00CA6AE6" w:rsidRPr="009772A3">
        <w:rPr>
          <w:rFonts w:asciiTheme="majorHAnsi" w:hAnsiTheme="majorHAnsi" w:cstheme="majorHAnsi"/>
          <w:sz w:val="24"/>
          <w:szCs w:val="24"/>
          <w:vertAlign w:val="baseline"/>
          <w:lang w:val="ro-MD"/>
        </w:rPr>
        <w:t>la preț</w:t>
      </w:r>
      <w:r w:rsidRPr="009772A3">
        <w:rPr>
          <w:rFonts w:asciiTheme="majorHAnsi" w:hAnsiTheme="majorHAnsi" w:cstheme="majorHAnsi"/>
          <w:sz w:val="24"/>
          <w:szCs w:val="24"/>
          <w:vertAlign w:val="baseline"/>
          <w:lang w:val="ro-MD"/>
        </w:rPr>
        <w:t>ul</w:t>
      </w:r>
      <w:r w:rsidR="00CA6AE6" w:rsidRPr="009772A3">
        <w:rPr>
          <w:rFonts w:asciiTheme="majorHAnsi" w:hAnsiTheme="majorHAnsi" w:cstheme="majorHAnsi"/>
          <w:sz w:val="24"/>
          <w:szCs w:val="24"/>
          <w:vertAlign w:val="baseline"/>
          <w:lang w:val="ro-MD"/>
        </w:rPr>
        <w:t xml:space="preserve"> de bilanț, și </w:t>
      </w:r>
      <w:r w:rsidR="00FF3A09" w:rsidRPr="009772A3">
        <w:rPr>
          <w:rFonts w:asciiTheme="majorHAnsi" w:hAnsiTheme="majorHAnsi" w:cstheme="majorHAnsi"/>
          <w:sz w:val="24"/>
          <w:szCs w:val="24"/>
          <w:vertAlign w:val="baseline"/>
          <w:lang w:val="ro-MD"/>
        </w:rPr>
        <w:t xml:space="preserve">terenul – cu  </w:t>
      </w:r>
      <w:r w:rsidR="00CA6AE6" w:rsidRPr="009772A3">
        <w:rPr>
          <w:rFonts w:asciiTheme="majorHAnsi" w:hAnsiTheme="majorHAnsi" w:cstheme="majorHAnsi"/>
          <w:sz w:val="24"/>
          <w:szCs w:val="24"/>
          <w:vertAlign w:val="baseline"/>
          <w:lang w:val="ro-MD"/>
        </w:rPr>
        <w:t>748,5 mii lei</w:t>
      </w:r>
      <w:r w:rsidRPr="009772A3">
        <w:rPr>
          <w:rFonts w:asciiTheme="majorHAnsi" w:hAnsiTheme="majorHAnsi" w:cstheme="majorHAnsi"/>
          <w:sz w:val="24"/>
          <w:szCs w:val="24"/>
          <w:vertAlign w:val="baseline"/>
          <w:lang w:val="ro-MD"/>
        </w:rPr>
        <w:t>)</w:t>
      </w:r>
      <w:r w:rsidR="00CA6AE6" w:rsidRPr="009772A3">
        <w:rPr>
          <w:rFonts w:asciiTheme="majorHAnsi" w:hAnsiTheme="majorHAnsi" w:cstheme="majorHAnsi"/>
          <w:sz w:val="24"/>
          <w:szCs w:val="24"/>
          <w:vertAlign w:val="baseline"/>
          <w:lang w:val="ro-MD"/>
        </w:rPr>
        <w:t>, ceea ce în total reprezintă cu 45% mai mult decât prețul lor conform evaluării efectuate de o companie specializată contractată;</w:t>
      </w:r>
    </w:p>
    <w:p w14:paraId="4D992404" w14:textId="53E40078" w:rsidR="00CA6AE6" w:rsidRPr="009772A3" w:rsidRDefault="00CA6AE6" w:rsidP="003A33D0">
      <w:pPr>
        <w:pStyle w:val="FootnoteText"/>
        <w:numPr>
          <w:ilvl w:val="0"/>
          <w:numId w:val="18"/>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 la data publicării anunțului de v</w:t>
      </w:r>
      <w:r w:rsidR="00FF3A09"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nzare a clădirii (14.09.2021) și până la data încheierii contractului de vânzare</w:t>
      </w:r>
      <w:r w:rsidR="00FF3A09"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cumpărare (30.09.2021) a trecut un termen relativ scurt de doar 16 zile, ceea ce diminuează din transparența acestei tranzacții.</w:t>
      </w:r>
    </w:p>
    <w:p w14:paraId="07078F3D" w14:textId="7FD35D5E" w:rsidR="00CA6AE6" w:rsidRDefault="00CA6AE6" w:rsidP="00CA6AE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De menționat că, </w:t>
      </w:r>
      <w:r w:rsidR="009C6F1C" w:rsidRPr="009772A3">
        <w:rPr>
          <w:rFonts w:asciiTheme="majorHAnsi" w:hAnsiTheme="majorHAnsi" w:cstheme="majorHAnsi"/>
          <w:sz w:val="24"/>
          <w:szCs w:val="24"/>
          <w:vertAlign w:val="baseline"/>
          <w:lang w:val="ro-MD"/>
        </w:rPr>
        <w:t>actele</w:t>
      </w:r>
      <w:r w:rsidRPr="009772A3">
        <w:rPr>
          <w:rFonts w:asciiTheme="majorHAnsi" w:hAnsiTheme="majorHAnsi" w:cstheme="majorHAnsi"/>
          <w:sz w:val="24"/>
          <w:szCs w:val="24"/>
          <w:vertAlign w:val="baseline"/>
          <w:lang w:val="ro-MD"/>
        </w:rPr>
        <w:t xml:space="preserve"> normativ</w:t>
      </w:r>
      <w:r w:rsidR="009C6F1C" w:rsidRPr="009772A3">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 intern</w:t>
      </w:r>
      <w:r w:rsidR="009C6F1C" w:rsidRPr="009772A3">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 al</w:t>
      </w:r>
      <w:r w:rsidR="009C6F1C" w:rsidRPr="009772A3">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 SA Moldovagaz care reglementează modul de cumpărare, casare și vânzare, transmitere în locațiune și transmitere de la bilanț la bilanț a activelor SA Moldovagaz</w:t>
      </w:r>
      <w:r w:rsidRPr="009772A3">
        <w:rPr>
          <w:rStyle w:val="FootnoteReference"/>
          <w:rFonts w:asciiTheme="majorHAnsi" w:hAnsiTheme="majorHAnsi" w:cstheme="majorHAnsi"/>
          <w:sz w:val="24"/>
          <w:szCs w:val="24"/>
          <w:lang w:val="ro-MD"/>
        </w:rPr>
        <w:footnoteReference w:id="36"/>
      </w:r>
      <w:r w:rsidRPr="009772A3">
        <w:rPr>
          <w:rFonts w:asciiTheme="majorHAnsi" w:hAnsiTheme="majorHAnsi" w:cstheme="majorHAnsi"/>
          <w:sz w:val="24"/>
          <w:szCs w:val="24"/>
          <w:vertAlign w:val="baseline"/>
          <w:lang w:val="ro-MD"/>
        </w:rPr>
        <w:t xml:space="preserve"> nu este explicit și exhaustiv, referindu-se doar la patrimoniul deținut de întreprinderile fondate, dar nu și la cel deținut de SA Moldovagaz. Astfel, potrivit cadrului de reglementare al SA Moldovagaz, decizia de vânzare a activelor deținute de companiile-fi</w:t>
      </w:r>
      <w:r w:rsidR="009C6F1C" w:rsidRPr="009772A3">
        <w:rPr>
          <w:rFonts w:asciiTheme="majorHAnsi" w:hAnsiTheme="majorHAnsi" w:cstheme="majorHAnsi"/>
          <w:sz w:val="24"/>
          <w:szCs w:val="24"/>
          <w:vertAlign w:val="baseline"/>
          <w:lang w:val="ro-MD"/>
        </w:rPr>
        <w:t>i</w:t>
      </w:r>
      <w:r w:rsidRPr="009772A3">
        <w:rPr>
          <w:rFonts w:asciiTheme="majorHAnsi" w:hAnsiTheme="majorHAnsi" w:cstheme="majorHAnsi"/>
          <w:sz w:val="24"/>
          <w:szCs w:val="24"/>
          <w:vertAlign w:val="baseline"/>
          <w:lang w:val="ro-MD"/>
        </w:rPr>
        <w:t>ce a căror valoare de bilanț este mai mare de 500,0 mii lei, urmează a fi adoptată de Consiliul de observatori, însă prevederi similare pentru patrimoniul deținut de SA Moldovagaz nu au fost aprobate.</w:t>
      </w:r>
    </w:p>
    <w:p w14:paraId="6AB1CF2A" w14:textId="77777777" w:rsidR="00BA60B5" w:rsidRPr="00CF3AD4" w:rsidRDefault="00BA60B5" w:rsidP="00CA6AE6">
      <w:pPr>
        <w:pStyle w:val="FootnoteText"/>
        <w:spacing w:line="276" w:lineRule="auto"/>
        <w:ind w:firstLine="720"/>
        <w:jc w:val="both"/>
        <w:rPr>
          <w:rFonts w:asciiTheme="majorHAnsi" w:hAnsiTheme="majorHAnsi" w:cstheme="majorHAnsi"/>
          <w:sz w:val="16"/>
          <w:szCs w:val="16"/>
          <w:vertAlign w:val="baseline"/>
          <w:lang w:val="ro-MD"/>
        </w:rPr>
      </w:pPr>
    </w:p>
    <w:p w14:paraId="6EE4749A" w14:textId="5E84BDEC" w:rsidR="00F26F37" w:rsidRPr="009772A3" w:rsidRDefault="00F26F37" w:rsidP="00CF3AD4">
      <w:pPr>
        <w:pStyle w:val="Heading1"/>
        <w:numPr>
          <w:ilvl w:val="3"/>
          <w:numId w:val="2"/>
        </w:numPr>
        <w:tabs>
          <w:tab w:val="left" w:pos="851"/>
        </w:tabs>
        <w:spacing w:before="0" w:line="276" w:lineRule="auto"/>
        <w:ind w:left="0" w:firstLine="0"/>
        <w:jc w:val="both"/>
        <w:rPr>
          <w:color w:val="auto"/>
          <w:lang w:val="ro-MD"/>
        </w:rPr>
      </w:pPr>
      <w:bookmarkStart w:id="42" w:name="_Toc119245385"/>
      <w:bookmarkStart w:id="43" w:name="_Toc119496395"/>
      <w:bookmarkEnd w:id="42"/>
      <w:r w:rsidRPr="009772A3">
        <w:rPr>
          <w:color w:val="auto"/>
          <w:lang w:val="ro-MD"/>
        </w:rPr>
        <w:t>Efectele modificării de către SRL Moldovatransgaz, fără acordul scris al fondatorului, a clauzelor contractuale aferente bunurilor exploatate de SRL Transautogaz</w:t>
      </w:r>
      <w:bookmarkEnd w:id="43"/>
      <w:r w:rsidRPr="009772A3">
        <w:rPr>
          <w:color w:val="auto"/>
          <w:lang w:val="ro-MD"/>
        </w:rPr>
        <w:t xml:space="preserve">  </w:t>
      </w:r>
    </w:p>
    <w:p w14:paraId="4D5A3886" w14:textId="1B7208EC" w:rsidR="00F26F37" w:rsidRPr="009772A3" w:rsidRDefault="00F26F37" w:rsidP="00F26F37">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 xml:space="preserve">În scopul identificării unor surse de acoperire a cheltuielilor care nu </w:t>
      </w:r>
      <w:r w:rsidR="005A6736" w:rsidRPr="009772A3">
        <w:rPr>
          <w:rFonts w:asciiTheme="majorHAnsi" w:hAnsiTheme="majorHAnsi" w:cstheme="majorHAnsi"/>
          <w:i/>
          <w:sz w:val="24"/>
          <w:szCs w:val="24"/>
          <w:lang w:val="ro-MD"/>
        </w:rPr>
        <w:t xml:space="preserve">erau </w:t>
      </w:r>
      <w:r w:rsidRPr="009772A3">
        <w:rPr>
          <w:rFonts w:asciiTheme="majorHAnsi" w:hAnsiTheme="majorHAnsi" w:cstheme="majorHAnsi"/>
          <w:i/>
          <w:sz w:val="24"/>
          <w:szCs w:val="24"/>
          <w:lang w:val="ro-MD"/>
        </w:rPr>
        <w:t>recuperate prin tarif, SRL Moldovatransgaz, fără acordul scris al fondatorului, a modificat clauzele contractuale aferente bunurilor exploatate de SRL Transautogaz, astfel încas</w:t>
      </w:r>
      <w:r w:rsidR="005A6736" w:rsidRPr="009772A3">
        <w:rPr>
          <w:rFonts w:asciiTheme="majorHAnsi" w:hAnsiTheme="majorHAnsi" w:cstheme="majorHAnsi"/>
          <w:i/>
          <w:sz w:val="24"/>
          <w:szCs w:val="24"/>
          <w:lang w:val="ro-MD"/>
        </w:rPr>
        <w:t>ând</w:t>
      </w:r>
      <w:r w:rsidRPr="009772A3">
        <w:rPr>
          <w:rFonts w:asciiTheme="majorHAnsi" w:hAnsiTheme="majorHAnsi" w:cstheme="majorHAnsi"/>
          <w:i/>
          <w:sz w:val="24"/>
          <w:szCs w:val="24"/>
          <w:lang w:val="ro-MD"/>
        </w:rPr>
        <w:t xml:space="preserve"> venituri suplimentare în sumă totală de 22.753,87 mii lei.</w:t>
      </w:r>
    </w:p>
    <w:p w14:paraId="19373AD5" w14:textId="00CD1756" w:rsidR="00F26F37" w:rsidRPr="009772A3" w:rsidRDefault="00F26F37" w:rsidP="00F26F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conformitate cu clauzele contractului încheiat la data de 30.09.1999, Fondatorul a transmis către SRL Moldovatransgaz bunuri cu titlu de folosință</w:t>
      </w:r>
      <w:r w:rsidR="005A673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scopul desfășurării activității de antreprenoriat, ținând cont de obiectivele și Statutul societății. Ulterior, în anul 2011, prin decizia unicului asociat, SRL Moldovatransgaz urma să transmită gratuit în folosință către SRL Transautogaz bunuri în valoare de circa 42.436,46 mii lei, cu recuperarea cheltuielilor de amortizare a acestora.</w:t>
      </w:r>
    </w:p>
    <w:p w14:paraId="76D8C229" w14:textId="11D5B632" w:rsidR="00F26F37" w:rsidRPr="009772A3" w:rsidRDefault="00F26F37" w:rsidP="00F26F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În urma testelor de audit efectuate, se denotă că, începând cu anul 2019, SRL Moldovatransgaz a încasat de la SRL Transautogaz suma de 22.753,87 mii lei din darea în locațiune a bunurilor specificate. De menționat că, deși vânzarea, gajarea, schimbul, casarea sau darea în arendă a bunurilor menționate se poate realiza doar cu acordul Fondatorului, se </w:t>
      </w:r>
      <w:r w:rsidR="00BA60B5">
        <w:rPr>
          <w:rFonts w:asciiTheme="majorHAnsi" w:hAnsiTheme="majorHAnsi" w:cstheme="majorHAnsi"/>
          <w:sz w:val="24"/>
          <w:szCs w:val="24"/>
          <w:lang w:val="ro-MD"/>
        </w:rPr>
        <w:t>relev</w:t>
      </w:r>
      <w:r w:rsidR="00BA60B5" w:rsidRPr="009772A3">
        <w:rPr>
          <w:rFonts w:asciiTheme="majorHAnsi" w:hAnsiTheme="majorHAnsi" w:cstheme="majorHAnsi"/>
          <w:sz w:val="24"/>
          <w:szCs w:val="24"/>
          <w:lang w:val="ro-MD"/>
        </w:rPr>
        <w:t xml:space="preserve">ă </w:t>
      </w:r>
      <w:r w:rsidRPr="009772A3">
        <w:rPr>
          <w:rFonts w:asciiTheme="majorHAnsi" w:hAnsiTheme="majorHAnsi" w:cstheme="majorHAnsi"/>
          <w:sz w:val="24"/>
          <w:szCs w:val="24"/>
          <w:lang w:val="ro-MD"/>
        </w:rPr>
        <w:t xml:space="preserve">lipsa documentelor de rigoare în acest sens. Totodată, conform explicațiilor persoanelor responsabile din cadrul SRL Moldovatransgaz, </w:t>
      </w:r>
      <w:r w:rsidR="00E9024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permisiunea de dare în </w:t>
      </w:r>
      <w:r w:rsidR="00E90240" w:rsidRPr="009772A3">
        <w:rPr>
          <w:rFonts w:asciiTheme="majorHAnsi" w:hAnsiTheme="majorHAnsi" w:cstheme="majorHAnsi"/>
          <w:sz w:val="24"/>
          <w:szCs w:val="24"/>
          <w:lang w:val="ro-MD"/>
        </w:rPr>
        <w:t>locațiune</w:t>
      </w:r>
      <w:r w:rsidRPr="009772A3">
        <w:rPr>
          <w:rFonts w:asciiTheme="majorHAnsi" w:hAnsiTheme="majorHAnsi" w:cstheme="majorHAnsi"/>
          <w:sz w:val="24"/>
          <w:szCs w:val="24"/>
          <w:lang w:val="ro-MD"/>
        </w:rPr>
        <w:t xml:space="preserve"> este tacit coordonată de către Fondator prin prisma aprobării dărilor de seamă, devizelor de cheltuieli trimestriale/anuale, iar resursele financiare respective fiind utilizate pentru a acoperi unele cheltuieli care nu sunt recunoscute în scopuri tarifare</w:t>
      </w:r>
      <w:r w:rsidR="00E9024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749D955A" w14:textId="4EBB54BC" w:rsidR="00F26F37" w:rsidRDefault="00F26F37" w:rsidP="00F26F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Prin urmare, </w:t>
      </w:r>
      <w:r w:rsidR="00FE47B4" w:rsidRPr="009772A3">
        <w:rPr>
          <w:rFonts w:asciiTheme="majorHAnsi" w:hAnsiTheme="majorHAnsi" w:cstheme="majorHAnsi"/>
          <w:sz w:val="24"/>
          <w:szCs w:val="24"/>
          <w:lang w:val="ro-MD"/>
        </w:rPr>
        <w:t xml:space="preserve">SRL Moldovatransgaz </w:t>
      </w:r>
      <w:r w:rsidRPr="009772A3">
        <w:rPr>
          <w:rFonts w:asciiTheme="majorHAnsi" w:hAnsiTheme="majorHAnsi" w:cstheme="majorHAnsi"/>
          <w:sz w:val="24"/>
          <w:szCs w:val="24"/>
          <w:lang w:val="ro-MD"/>
        </w:rPr>
        <w:t>a încasa</w:t>
      </w:r>
      <w:r w:rsidR="00FE47B4"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 xml:space="preserve"> beneficii din darea în </w:t>
      </w:r>
      <w:r w:rsidR="00FE47B4" w:rsidRPr="009772A3">
        <w:rPr>
          <w:rFonts w:asciiTheme="majorHAnsi" w:hAnsiTheme="majorHAnsi" w:cstheme="majorHAnsi"/>
          <w:sz w:val="24"/>
          <w:szCs w:val="24"/>
          <w:lang w:val="ro-MD"/>
        </w:rPr>
        <w:t>locațiune</w:t>
      </w:r>
      <w:r w:rsidRPr="009772A3">
        <w:rPr>
          <w:rFonts w:asciiTheme="majorHAnsi" w:hAnsiTheme="majorHAnsi" w:cstheme="majorHAnsi"/>
          <w:sz w:val="24"/>
          <w:szCs w:val="24"/>
          <w:lang w:val="ro-MD"/>
        </w:rPr>
        <w:t xml:space="preserve"> a bunurilor în valoare de 42.436,46 mii lei, ceea ce a permis în anii 2017-2021 acumularea resurselor financiare suplimentare în sumă totală de 22.753,87 mii lei și a dat posibilitate entității să efectueze unele cheltuieli suplimentare care nu au fost acceptate de ANRE pentru recuperare prin tariful de transport al gazelor naturale. </w:t>
      </w:r>
      <w:r w:rsidR="002B3D9D" w:rsidRPr="009772A3">
        <w:rPr>
          <w:rFonts w:asciiTheme="majorHAnsi" w:hAnsiTheme="majorHAnsi" w:cstheme="majorHAnsi"/>
          <w:sz w:val="24"/>
          <w:szCs w:val="24"/>
          <w:lang w:val="ro-MD"/>
        </w:rPr>
        <w:t>Totodată, SA Moldovagaz a fost lipsită de surse de venituri suplimentare pentru achitarea datoriilor față de SA Gazprom.</w:t>
      </w:r>
      <w:r w:rsidRPr="009772A3">
        <w:rPr>
          <w:rFonts w:asciiTheme="majorHAnsi" w:hAnsiTheme="majorHAnsi" w:cstheme="majorHAnsi"/>
          <w:sz w:val="24"/>
          <w:szCs w:val="24"/>
          <w:lang w:val="ro-MD"/>
        </w:rPr>
        <w:t>​</w:t>
      </w:r>
    </w:p>
    <w:p w14:paraId="0D0C5E6F" w14:textId="77777777" w:rsidR="00BA60B5" w:rsidRPr="00CF3AD4" w:rsidRDefault="00BA60B5" w:rsidP="00F26F37">
      <w:pPr>
        <w:spacing w:after="0" w:line="276" w:lineRule="auto"/>
        <w:ind w:firstLine="709"/>
        <w:jc w:val="both"/>
        <w:rPr>
          <w:rFonts w:asciiTheme="majorHAnsi" w:hAnsiTheme="majorHAnsi" w:cstheme="majorHAnsi"/>
          <w:sz w:val="16"/>
          <w:szCs w:val="16"/>
          <w:lang w:val="ro-MD"/>
        </w:rPr>
      </w:pPr>
    </w:p>
    <w:p w14:paraId="5C77A4A4" w14:textId="73013E21" w:rsidR="00F26F37" w:rsidRPr="009772A3" w:rsidRDefault="00F26F37" w:rsidP="00CF3AD4">
      <w:pPr>
        <w:pStyle w:val="Heading1"/>
        <w:numPr>
          <w:ilvl w:val="3"/>
          <w:numId w:val="2"/>
        </w:numPr>
        <w:tabs>
          <w:tab w:val="left" w:pos="851"/>
        </w:tabs>
        <w:spacing w:before="0" w:line="276" w:lineRule="auto"/>
        <w:ind w:left="0" w:firstLine="0"/>
        <w:jc w:val="both"/>
        <w:rPr>
          <w:color w:val="auto"/>
          <w:lang w:val="ro-MD"/>
        </w:rPr>
      </w:pPr>
      <w:bookmarkStart w:id="44" w:name="_Toc119496396"/>
      <w:r w:rsidRPr="009772A3">
        <w:rPr>
          <w:color w:val="auto"/>
          <w:lang w:val="ro-MD"/>
        </w:rPr>
        <w:t xml:space="preserve">Retragerea unor active din gestiunea economică a SRL Moldovatransgaz, în valoare totală de 5.861,0 mii lei, </w:t>
      </w:r>
      <w:r w:rsidR="00587C83" w:rsidRPr="009772A3">
        <w:rPr>
          <w:color w:val="auto"/>
          <w:lang w:val="ro-MD"/>
        </w:rPr>
        <w:t xml:space="preserve">în lipsa stabilirii exhaustive a statutului juridic al acestuia a generat </w:t>
      </w:r>
      <w:r w:rsidR="00587C83" w:rsidRPr="009772A3">
        <w:rPr>
          <w:rFonts w:cstheme="majorHAnsi"/>
          <w:color w:val="auto"/>
          <w:szCs w:val="24"/>
          <w:lang w:val="ro-MD"/>
        </w:rPr>
        <w:t xml:space="preserve">înregistrarea </w:t>
      </w:r>
      <w:r w:rsidR="005A6736" w:rsidRPr="009772A3">
        <w:rPr>
          <w:rFonts w:cstheme="majorHAnsi"/>
          <w:color w:val="auto"/>
          <w:szCs w:val="24"/>
          <w:lang w:val="ro-MD"/>
        </w:rPr>
        <w:t xml:space="preserve">nejustificată a </w:t>
      </w:r>
      <w:r w:rsidR="00587C83" w:rsidRPr="009772A3">
        <w:rPr>
          <w:rFonts w:cstheme="majorHAnsi"/>
          <w:color w:val="auto"/>
          <w:szCs w:val="24"/>
          <w:lang w:val="ro-MD"/>
        </w:rPr>
        <w:t>unor venituri și cheltuieli.</w:t>
      </w:r>
      <w:bookmarkEnd w:id="44"/>
      <w:r w:rsidR="00587C83" w:rsidRPr="009772A3">
        <w:rPr>
          <w:rFonts w:cstheme="majorHAnsi"/>
          <w:color w:val="auto"/>
          <w:szCs w:val="24"/>
          <w:lang w:val="ro-MD"/>
        </w:rPr>
        <w:t xml:space="preserve"> </w:t>
      </w:r>
    </w:p>
    <w:p w14:paraId="74F406A9" w14:textId="26B37B73" w:rsidR="00F26F37" w:rsidRPr="009772A3" w:rsidRDefault="00F26F37" w:rsidP="00F26F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Conform acordului adițional din data de 30.04.2021 la contractul de transmitere în folosință SRL Moldovatransgaz a patrimoniului SA Moldovagaz din data de 30.09.1999 și actului de predare</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primire din 02.08.2021, au fost retrase unele active aferente stațiilor de alimentare cu gaze naturale comprimate, transmise anterior în gestiune  operatorului de transport. Scopul de bază al acestei tranzacții economice a constat inițial în returnarea activelor aferente stațiilor de alimentare cu gaze naturale comprimate și retransmiterea acestora în locațiune noii companii afiliate create în speță, pentru practicarea acestui gen de activitate</w:t>
      </w:r>
      <w:r w:rsidRPr="009772A3">
        <w:rPr>
          <w:rStyle w:val="FootnoteReference"/>
          <w:rFonts w:asciiTheme="majorHAnsi" w:hAnsiTheme="majorHAnsi" w:cstheme="majorHAnsi"/>
          <w:sz w:val="24"/>
          <w:szCs w:val="24"/>
          <w:lang w:val="ro-MD"/>
        </w:rPr>
        <w:footnoteReference w:id="37"/>
      </w:r>
      <w:r w:rsidRPr="009772A3">
        <w:rPr>
          <w:rFonts w:asciiTheme="majorHAnsi" w:hAnsiTheme="majorHAnsi" w:cstheme="majorHAnsi"/>
          <w:sz w:val="24"/>
          <w:szCs w:val="24"/>
          <w:lang w:val="ro-MD"/>
        </w:rPr>
        <w:t>.</w:t>
      </w:r>
    </w:p>
    <w:p w14:paraId="50B06E7D" w14:textId="1700723D" w:rsidR="00F26F37" w:rsidRPr="009772A3" w:rsidRDefault="00F26F37" w:rsidP="00F26F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Cu toate că, potrivit ordinului menționat supra</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pus în sarcina unei Comisiei speciale asigurarea primirii activelor de la SRL Moldovatransgaz, cu ulterioara acordare în locațiune a acestora companiei</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fiice SRL Transautogaz, tranzacția de transmitere, totuși, a avut loc diferit, prin contract de vânzare</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cumpărare</w:t>
      </w:r>
      <w:r w:rsidRPr="009772A3">
        <w:rPr>
          <w:rStyle w:val="FootnoteReference"/>
          <w:rFonts w:asciiTheme="majorHAnsi" w:hAnsiTheme="majorHAnsi" w:cstheme="majorHAnsi"/>
          <w:sz w:val="24"/>
          <w:szCs w:val="24"/>
          <w:lang w:val="ro-MD"/>
        </w:rPr>
        <w:footnoteReference w:id="38"/>
      </w:r>
      <w:r w:rsidRPr="009772A3">
        <w:rPr>
          <w:rFonts w:asciiTheme="majorHAnsi" w:hAnsiTheme="majorHAnsi" w:cstheme="majorHAnsi"/>
          <w:sz w:val="24"/>
          <w:szCs w:val="24"/>
          <w:lang w:val="ro-MD"/>
        </w:rPr>
        <w:t>. În consecință, vânz</w:t>
      </w:r>
      <w:r w:rsidR="00D02704" w:rsidRPr="009772A3">
        <w:rPr>
          <w:rFonts w:asciiTheme="majorHAnsi" w:hAnsiTheme="majorHAnsi" w:cstheme="majorHAnsi"/>
          <w:sz w:val="24"/>
          <w:szCs w:val="24"/>
          <w:lang w:val="ro-MD"/>
        </w:rPr>
        <w:t>area</w:t>
      </w:r>
      <w:r w:rsidRPr="009772A3">
        <w:rPr>
          <w:rFonts w:asciiTheme="majorHAnsi" w:hAnsiTheme="majorHAnsi" w:cstheme="majorHAnsi"/>
          <w:sz w:val="24"/>
          <w:szCs w:val="24"/>
          <w:lang w:val="ro-MD"/>
        </w:rPr>
        <w:t xml:space="preserve"> activelor aferente stațiilor de alimentare cu gaze naturale comprimate, </w:t>
      </w:r>
      <w:r w:rsidR="00D02704" w:rsidRPr="009772A3">
        <w:rPr>
          <w:rFonts w:asciiTheme="majorHAnsi" w:hAnsiTheme="majorHAnsi" w:cstheme="majorHAnsi"/>
          <w:sz w:val="24"/>
          <w:szCs w:val="24"/>
          <w:lang w:val="ro-MD"/>
        </w:rPr>
        <w:t>de rând</w:t>
      </w:r>
      <w:r w:rsidRPr="009772A3">
        <w:rPr>
          <w:rFonts w:asciiTheme="majorHAnsi" w:hAnsiTheme="majorHAnsi" w:cstheme="majorHAnsi"/>
          <w:sz w:val="24"/>
          <w:szCs w:val="24"/>
          <w:lang w:val="ro-MD"/>
        </w:rPr>
        <w:t xml:space="preserve"> cu înregistrarea neconformă a acestora în capitalul social al SRL Moldovatransgaz</w:t>
      </w:r>
      <w:r w:rsidRPr="009772A3">
        <w:rPr>
          <w:rStyle w:val="FootnoteReference"/>
          <w:rFonts w:asciiTheme="majorHAnsi" w:hAnsiTheme="majorHAnsi" w:cstheme="majorHAnsi"/>
          <w:sz w:val="24"/>
          <w:szCs w:val="24"/>
          <w:lang w:val="ro-MD"/>
        </w:rPr>
        <w:footnoteReference w:id="39"/>
      </w:r>
      <w:r w:rsidRPr="009772A3">
        <w:rPr>
          <w:rFonts w:asciiTheme="majorHAnsi" w:hAnsiTheme="majorHAnsi" w:cstheme="majorHAnsi"/>
          <w:sz w:val="24"/>
          <w:szCs w:val="24"/>
          <w:lang w:val="ro-MD"/>
        </w:rPr>
        <w:t>, a generat recunoașterea de către SA Moldovagaz a unor cheltuieli operaționale de 5.861,0 mii lei și</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respectiv, a unor venituri din activitatea operațională de 6.895,3 mii lei</w:t>
      </w:r>
      <w:r w:rsidRPr="009772A3">
        <w:rPr>
          <w:rStyle w:val="FootnoteReference"/>
          <w:rFonts w:asciiTheme="majorHAnsi" w:hAnsiTheme="majorHAnsi" w:cstheme="majorHAnsi"/>
          <w:sz w:val="24"/>
          <w:szCs w:val="24"/>
          <w:lang w:val="ro-MD"/>
        </w:rPr>
        <w:footnoteReference w:id="40"/>
      </w:r>
      <w:r w:rsidRPr="009772A3">
        <w:rPr>
          <w:rFonts w:asciiTheme="majorHAnsi" w:hAnsiTheme="majorHAnsi" w:cstheme="majorHAnsi"/>
          <w:sz w:val="24"/>
          <w:szCs w:val="24"/>
          <w:lang w:val="ro-MD"/>
        </w:rPr>
        <w:t>, care urm</w:t>
      </w:r>
      <w:r w:rsidR="00D02704" w:rsidRPr="009772A3">
        <w:rPr>
          <w:rFonts w:asciiTheme="majorHAnsi" w:hAnsiTheme="majorHAnsi" w:cstheme="majorHAnsi"/>
          <w:sz w:val="24"/>
          <w:szCs w:val="24"/>
          <w:lang w:val="ro-MD"/>
        </w:rPr>
        <w:t>au</w:t>
      </w:r>
      <w:r w:rsidRPr="009772A3">
        <w:rPr>
          <w:rFonts w:asciiTheme="majorHAnsi" w:hAnsiTheme="majorHAnsi" w:cstheme="majorHAnsi"/>
          <w:sz w:val="24"/>
          <w:szCs w:val="24"/>
          <w:lang w:val="ro-MD"/>
        </w:rPr>
        <w:t xml:space="preserve"> a fi încasate de facto pe parcursul a 24 </w:t>
      </w:r>
      <w:r w:rsidR="00D02704"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luni din data înregistrării notariale a contractului de vânzare</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cumpărare.</w:t>
      </w:r>
    </w:p>
    <w:p w14:paraId="0A01631D" w14:textId="03AE8F76" w:rsidR="00CA6AE6" w:rsidRDefault="00F26F37" w:rsidP="00B55D58">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Mai mult de</w:t>
      </w:r>
      <w:r w:rsidR="00D02704" w:rsidRPr="009772A3">
        <w:rPr>
          <w:rFonts w:asciiTheme="majorHAnsi" w:hAnsiTheme="majorHAnsi" w:cstheme="majorHAnsi"/>
          <w:sz w:val="24"/>
          <w:szCs w:val="24"/>
          <w:lang w:val="ro-MD"/>
        </w:rPr>
        <w:t>cât</w:t>
      </w:r>
      <w:r w:rsidRPr="009772A3">
        <w:rPr>
          <w:rFonts w:asciiTheme="majorHAnsi" w:hAnsiTheme="majorHAnsi" w:cstheme="majorHAnsi"/>
          <w:sz w:val="24"/>
          <w:szCs w:val="24"/>
          <w:lang w:val="ro-MD"/>
        </w:rPr>
        <w:t xml:space="preserve"> atât, probele colectate de audit denotă că retrager</w:t>
      </w:r>
      <w:r w:rsidR="00D02704" w:rsidRPr="009772A3">
        <w:rPr>
          <w:rFonts w:asciiTheme="majorHAnsi" w:hAnsiTheme="majorHAnsi" w:cstheme="majorHAnsi"/>
          <w:sz w:val="24"/>
          <w:szCs w:val="24"/>
          <w:lang w:val="ro-MD"/>
        </w:rPr>
        <w:t>ea</w:t>
      </w:r>
      <w:r w:rsidRPr="009772A3">
        <w:rPr>
          <w:rFonts w:asciiTheme="majorHAnsi" w:hAnsiTheme="majorHAnsi" w:cstheme="majorHAnsi"/>
          <w:sz w:val="24"/>
          <w:szCs w:val="24"/>
          <w:lang w:val="ro-MD"/>
        </w:rPr>
        <w:t xml:space="preserve"> de către SA Moldovagaz a activelor aferente stațiilor de alimentare cu gaze naturale comprimate din gestiunea SRL Moldovatransgaz</w:t>
      </w:r>
      <w:r w:rsidRPr="009772A3">
        <w:rPr>
          <w:rStyle w:val="FootnoteReference"/>
          <w:rFonts w:asciiTheme="majorHAnsi" w:hAnsiTheme="majorHAnsi" w:cstheme="majorHAnsi"/>
          <w:sz w:val="24"/>
          <w:szCs w:val="24"/>
          <w:lang w:val="ro-MD"/>
        </w:rPr>
        <w:footnoteReference w:id="41"/>
      </w:r>
      <w:r w:rsidRPr="009772A3">
        <w:rPr>
          <w:rFonts w:asciiTheme="majorHAnsi" w:hAnsiTheme="majorHAnsi" w:cstheme="majorHAnsi"/>
          <w:sz w:val="24"/>
          <w:szCs w:val="24"/>
          <w:lang w:val="ro-MD"/>
        </w:rPr>
        <w:t xml:space="preserve"> nu a generat modificarea corespunzătoare, prin diminuare, a capitalului social </w:t>
      </w:r>
      <w:r w:rsidR="00282F73">
        <w:rPr>
          <w:rFonts w:asciiTheme="majorHAnsi" w:hAnsiTheme="majorHAnsi" w:cstheme="majorHAnsi"/>
          <w:sz w:val="24"/>
          <w:szCs w:val="24"/>
          <w:lang w:val="ro-MD"/>
        </w:rPr>
        <w:t xml:space="preserve">și suplimentar </w:t>
      </w:r>
      <w:r w:rsidRPr="009772A3">
        <w:rPr>
          <w:rFonts w:asciiTheme="majorHAnsi" w:hAnsiTheme="majorHAnsi" w:cstheme="majorHAnsi"/>
          <w:sz w:val="24"/>
          <w:szCs w:val="24"/>
          <w:lang w:val="ro-MD"/>
        </w:rPr>
        <w:t>al acesteia din urmă, cauza fiind statutul juridic incert și interpretabil al activelor transmise în gestiune economică gratuită întreprinderilor</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fiice. De menționat că SA Moldovagaz nu a recunoscut în evidența sa contabilă mijloacele fixe transmise în gestiune economică, iar SRL Moldovatransgaz a tratat prevederile contractului de transmitere în folosință a activelor aferente stațiilor de alimentare cu gaze naturale comprimate, ca bunuri transmise în capitalul social.</w:t>
      </w:r>
    </w:p>
    <w:p w14:paraId="18A49577" w14:textId="77777777" w:rsidR="00282F73" w:rsidRPr="00CF3AD4" w:rsidRDefault="00282F73" w:rsidP="00B55D58">
      <w:pPr>
        <w:spacing w:after="0" w:line="276" w:lineRule="auto"/>
        <w:ind w:firstLine="709"/>
        <w:jc w:val="both"/>
        <w:rPr>
          <w:rFonts w:asciiTheme="majorHAnsi" w:hAnsiTheme="majorHAnsi" w:cstheme="majorHAnsi"/>
          <w:sz w:val="16"/>
          <w:szCs w:val="16"/>
          <w:lang w:val="ro-MD"/>
        </w:rPr>
      </w:pPr>
    </w:p>
    <w:p w14:paraId="6D7F3906" w14:textId="0AD89065" w:rsidR="00F36722" w:rsidRPr="009772A3" w:rsidRDefault="00F36722" w:rsidP="00CF3AD4">
      <w:pPr>
        <w:pStyle w:val="Heading1"/>
        <w:numPr>
          <w:ilvl w:val="2"/>
          <w:numId w:val="2"/>
        </w:numPr>
        <w:spacing w:before="0" w:line="276" w:lineRule="auto"/>
        <w:ind w:left="0" w:firstLine="0"/>
        <w:jc w:val="both"/>
        <w:rPr>
          <w:color w:val="auto"/>
          <w:lang w:val="ro-MD"/>
        </w:rPr>
      </w:pPr>
      <w:bookmarkStart w:id="45" w:name="_Toc119496397"/>
      <w:r w:rsidRPr="009772A3">
        <w:rPr>
          <w:color w:val="auto"/>
          <w:lang w:val="ro-MD"/>
        </w:rPr>
        <w:t>Datoria SA Moldovagaz față de SA Gazprom este supusă unui risc de neveridicitate.</w:t>
      </w:r>
      <w:bookmarkEnd w:id="45"/>
      <w:r w:rsidRPr="009772A3">
        <w:rPr>
          <w:color w:val="auto"/>
          <w:lang w:val="ro-MD"/>
        </w:rPr>
        <w:t xml:space="preserve"> </w:t>
      </w:r>
    </w:p>
    <w:p w14:paraId="001BC1CC" w14:textId="6ACDBB85" w:rsidR="007F147E" w:rsidRPr="009772A3" w:rsidRDefault="007F147E" w:rsidP="00D7273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Conform analizelor efectuate de audit</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constatat că SA Moldovagaz a înregistrat în perioada 2011-2021 pierderi din diferențele de curs valutar în sumă de circa 3.148.271,0 mii lei, aferente datoriilor pentru gazele procurate. De exemplu, în perioada 2014-2021 SA Moldovagaz a înregistrat de la diferențele de curs valutar al datoriilor față de SA Gazprom și SRL Factoring Finance cheltuieli de 8</w:t>
      </w:r>
      <w:r w:rsidR="008876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725</w:t>
      </w:r>
      <w:r w:rsidR="008876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486,3 mii lei și venituri de 6</w:t>
      </w:r>
      <w:r w:rsidR="008876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183</w:t>
      </w:r>
      <w:r w:rsidR="008876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007,9 mii lei, rezultatul financiar fiind pierder</w:t>
      </w:r>
      <w:r w:rsidR="00D02704"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de 2</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542</w:t>
      </w:r>
      <w:r w:rsidR="00D02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334,5 mii lei.</w:t>
      </w:r>
      <w:r w:rsidR="00AF1FDB" w:rsidRPr="009772A3">
        <w:rPr>
          <w:rFonts w:asciiTheme="majorHAnsi" w:hAnsiTheme="majorHAnsi" w:cstheme="majorHAnsi"/>
          <w:sz w:val="24"/>
          <w:szCs w:val="24"/>
          <w:lang w:val="ro-MD"/>
        </w:rPr>
        <w:t xml:space="preserve"> De menționat că pierderile finaciare respective sunt direct dependente de corectitudinea determinării valorii datoriilor </w:t>
      </w:r>
      <w:r w:rsidR="003537AB" w:rsidRPr="009772A3">
        <w:rPr>
          <w:rFonts w:asciiTheme="majorHAnsi" w:hAnsiTheme="majorHAnsi" w:cstheme="majorHAnsi"/>
          <w:sz w:val="24"/>
          <w:szCs w:val="24"/>
          <w:lang w:val="ro-MD"/>
        </w:rPr>
        <w:t>pentru gazele procurate.</w:t>
      </w:r>
      <w:r w:rsidR="00AF1FDB" w:rsidRPr="009772A3">
        <w:rPr>
          <w:rFonts w:asciiTheme="majorHAnsi" w:hAnsiTheme="majorHAnsi" w:cstheme="majorHAnsi"/>
          <w:sz w:val="24"/>
          <w:szCs w:val="24"/>
          <w:lang w:val="ro-MD"/>
        </w:rPr>
        <w:t xml:space="preserve"> </w:t>
      </w:r>
      <w:r w:rsidR="00B97501" w:rsidRPr="009772A3">
        <w:rPr>
          <w:rFonts w:asciiTheme="majorHAnsi" w:hAnsiTheme="majorHAnsi" w:cstheme="majorHAnsi"/>
          <w:sz w:val="24"/>
          <w:szCs w:val="24"/>
          <w:lang w:val="ro-MD"/>
        </w:rPr>
        <w:t>În același timp</w:t>
      </w:r>
      <w:r w:rsidR="00D02704" w:rsidRPr="009772A3">
        <w:rPr>
          <w:rFonts w:asciiTheme="majorHAnsi" w:hAnsiTheme="majorHAnsi" w:cstheme="majorHAnsi"/>
          <w:sz w:val="24"/>
          <w:szCs w:val="24"/>
          <w:lang w:val="ro-MD"/>
        </w:rPr>
        <w:t>,</w:t>
      </w:r>
      <w:r w:rsidR="00B97501" w:rsidRPr="009772A3">
        <w:rPr>
          <w:rFonts w:asciiTheme="majorHAnsi" w:hAnsiTheme="majorHAnsi" w:cstheme="majorHAnsi"/>
          <w:sz w:val="24"/>
          <w:szCs w:val="24"/>
          <w:lang w:val="ro-MD"/>
        </w:rPr>
        <w:t xml:space="preserve"> datoriile respective depind de corectitudinea fondării SA Gazsnabtranzit și SA Moldovagaz</w:t>
      </w:r>
      <w:r w:rsidR="009B535D" w:rsidRPr="009772A3">
        <w:rPr>
          <w:rFonts w:asciiTheme="majorHAnsi" w:hAnsiTheme="majorHAnsi" w:cstheme="majorHAnsi"/>
          <w:sz w:val="24"/>
          <w:szCs w:val="24"/>
          <w:lang w:val="ro-MD"/>
        </w:rPr>
        <w:t>,</w:t>
      </w:r>
      <w:r w:rsidR="00B97501" w:rsidRPr="009772A3">
        <w:rPr>
          <w:rFonts w:asciiTheme="majorHAnsi" w:hAnsiTheme="majorHAnsi" w:cstheme="majorHAnsi"/>
          <w:sz w:val="24"/>
          <w:szCs w:val="24"/>
          <w:lang w:val="ro-MD"/>
        </w:rPr>
        <w:t xml:space="preserve"> c</w:t>
      </w:r>
      <w:r w:rsidR="009B535D" w:rsidRPr="009772A3">
        <w:rPr>
          <w:rFonts w:asciiTheme="majorHAnsi" w:hAnsiTheme="majorHAnsi" w:cstheme="majorHAnsi"/>
          <w:sz w:val="24"/>
          <w:szCs w:val="24"/>
          <w:lang w:val="ro-MD"/>
        </w:rPr>
        <w:t>â</w:t>
      </w:r>
      <w:r w:rsidR="00B97501" w:rsidRPr="009772A3">
        <w:rPr>
          <w:rFonts w:asciiTheme="majorHAnsi" w:hAnsiTheme="majorHAnsi" w:cstheme="majorHAnsi"/>
          <w:sz w:val="24"/>
          <w:szCs w:val="24"/>
          <w:lang w:val="ro-MD"/>
        </w:rPr>
        <w:t>nd cu patrimoni</w:t>
      </w:r>
      <w:r w:rsidR="00B57D5C" w:rsidRPr="009772A3">
        <w:rPr>
          <w:rFonts w:asciiTheme="majorHAnsi" w:hAnsiTheme="majorHAnsi" w:cstheme="majorHAnsi"/>
          <w:sz w:val="24"/>
          <w:szCs w:val="24"/>
          <w:lang w:val="ro-MD"/>
        </w:rPr>
        <w:t>u</w:t>
      </w:r>
      <w:r w:rsidR="00B97501" w:rsidRPr="009772A3">
        <w:rPr>
          <w:rFonts w:asciiTheme="majorHAnsi" w:hAnsiTheme="majorHAnsi" w:cstheme="majorHAnsi"/>
          <w:sz w:val="24"/>
          <w:szCs w:val="24"/>
          <w:lang w:val="ro-MD"/>
        </w:rPr>
        <w:t>l depus în capitalul lor social a</w:t>
      </w:r>
      <w:r w:rsidR="00B57D5C" w:rsidRPr="009772A3">
        <w:rPr>
          <w:rFonts w:asciiTheme="majorHAnsi" w:hAnsiTheme="majorHAnsi" w:cstheme="majorHAnsi"/>
          <w:sz w:val="24"/>
          <w:szCs w:val="24"/>
          <w:lang w:val="ro-MD"/>
        </w:rPr>
        <w:t>u</w:t>
      </w:r>
      <w:r w:rsidR="00B97501" w:rsidRPr="009772A3">
        <w:rPr>
          <w:rFonts w:asciiTheme="majorHAnsi" w:hAnsiTheme="majorHAnsi" w:cstheme="majorHAnsi"/>
          <w:sz w:val="24"/>
          <w:szCs w:val="24"/>
          <w:lang w:val="ro-MD"/>
        </w:rPr>
        <w:t xml:space="preserve"> fost stinse aceste datorii.</w:t>
      </w:r>
    </w:p>
    <w:p w14:paraId="14EC4AF0" w14:textId="77777777" w:rsidR="00F71D80" w:rsidRDefault="006B37BD" w:rsidP="00F764E4">
      <w:p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             </w:t>
      </w:r>
      <w:r w:rsidR="00DC2298" w:rsidRPr="009772A3">
        <w:rPr>
          <w:rFonts w:asciiTheme="majorHAnsi" w:hAnsiTheme="majorHAnsi" w:cstheme="majorHAnsi"/>
          <w:sz w:val="24"/>
          <w:szCs w:val="24"/>
          <w:lang w:val="ro-MD"/>
        </w:rPr>
        <w:t xml:space="preserve">La situația din 31.12.2021, conform </w:t>
      </w:r>
      <w:r w:rsidR="00795A64" w:rsidRPr="009772A3">
        <w:rPr>
          <w:rFonts w:asciiTheme="majorHAnsi" w:hAnsiTheme="majorHAnsi" w:cstheme="majorHAnsi"/>
          <w:sz w:val="24"/>
          <w:szCs w:val="24"/>
          <w:lang w:val="ro-MD"/>
        </w:rPr>
        <w:t>informațiilor furnizate de</w:t>
      </w:r>
      <w:r w:rsidR="00DC2298" w:rsidRPr="009772A3">
        <w:rPr>
          <w:rFonts w:asciiTheme="majorHAnsi" w:hAnsiTheme="majorHAnsi" w:cstheme="majorHAnsi"/>
          <w:sz w:val="24"/>
          <w:szCs w:val="24"/>
          <w:lang w:val="ro-MD"/>
        </w:rPr>
        <w:t xml:space="preserve"> SA Moldovagaz</w:t>
      </w:r>
      <w:r w:rsidR="00795A64" w:rsidRPr="009772A3">
        <w:rPr>
          <w:rFonts w:asciiTheme="majorHAnsi" w:hAnsiTheme="majorHAnsi" w:cstheme="majorHAnsi"/>
          <w:sz w:val="24"/>
          <w:szCs w:val="24"/>
          <w:lang w:val="ro-MD"/>
        </w:rPr>
        <w:t>, datoriile</w:t>
      </w:r>
      <w:r w:rsidR="00DC2298" w:rsidRPr="009772A3">
        <w:rPr>
          <w:rFonts w:asciiTheme="majorHAnsi" w:hAnsiTheme="majorHAnsi" w:cstheme="majorHAnsi"/>
          <w:sz w:val="24"/>
          <w:szCs w:val="24"/>
          <w:lang w:val="ro-MD"/>
        </w:rPr>
        <w:t xml:space="preserve"> pentru gazele naturale livrate Republicii Moldova </w:t>
      </w:r>
      <w:r w:rsidR="00B97501" w:rsidRPr="009772A3">
        <w:rPr>
          <w:rFonts w:asciiTheme="majorHAnsi" w:hAnsiTheme="majorHAnsi" w:cstheme="majorHAnsi"/>
          <w:sz w:val="24"/>
          <w:szCs w:val="24"/>
          <w:lang w:val="ro-MD"/>
        </w:rPr>
        <w:t xml:space="preserve">și pentru </w:t>
      </w:r>
      <w:r w:rsidR="009B535D" w:rsidRPr="009772A3">
        <w:rPr>
          <w:rFonts w:asciiTheme="majorHAnsi" w:hAnsiTheme="majorHAnsi" w:cstheme="majorHAnsi"/>
          <w:sz w:val="24"/>
          <w:szCs w:val="24"/>
          <w:lang w:val="ro-MD"/>
        </w:rPr>
        <w:t>rez</w:t>
      </w:r>
      <w:r w:rsidR="00F764E4" w:rsidRPr="009772A3">
        <w:rPr>
          <w:rFonts w:asciiTheme="majorHAnsi" w:hAnsiTheme="majorHAnsi" w:cstheme="majorHAnsi"/>
          <w:sz w:val="24"/>
          <w:szCs w:val="24"/>
          <w:lang w:val="ro-MD"/>
        </w:rPr>
        <w:t>e</w:t>
      </w:r>
      <w:r w:rsidR="009B535D" w:rsidRPr="009772A3">
        <w:rPr>
          <w:rFonts w:asciiTheme="majorHAnsi" w:hAnsiTheme="majorHAnsi" w:cstheme="majorHAnsi"/>
          <w:sz w:val="24"/>
          <w:szCs w:val="24"/>
          <w:lang w:val="ro-MD"/>
        </w:rPr>
        <w:t xml:space="preserve">rvarea </w:t>
      </w:r>
      <w:r w:rsidR="00B97501" w:rsidRPr="009772A3">
        <w:rPr>
          <w:rFonts w:asciiTheme="majorHAnsi" w:hAnsiTheme="majorHAnsi" w:cstheme="majorHAnsi"/>
          <w:sz w:val="24"/>
          <w:szCs w:val="24"/>
          <w:lang w:val="ro-MD"/>
        </w:rPr>
        <w:t>capacităților suplimentare de transport al gazelor natural</w:t>
      </w:r>
      <w:r w:rsidR="009B535D" w:rsidRPr="009772A3">
        <w:rPr>
          <w:rFonts w:asciiTheme="majorHAnsi" w:hAnsiTheme="majorHAnsi" w:cstheme="majorHAnsi"/>
          <w:sz w:val="24"/>
          <w:szCs w:val="24"/>
          <w:lang w:val="ro-MD"/>
        </w:rPr>
        <w:t>e</w:t>
      </w:r>
      <w:r w:rsidR="00B97501" w:rsidRPr="009772A3">
        <w:rPr>
          <w:rFonts w:asciiTheme="majorHAnsi" w:hAnsiTheme="majorHAnsi" w:cstheme="majorHAnsi"/>
          <w:sz w:val="24"/>
          <w:szCs w:val="24"/>
          <w:lang w:val="ro-MD"/>
        </w:rPr>
        <w:t xml:space="preserve"> </w:t>
      </w:r>
      <w:r w:rsidR="00DC2298" w:rsidRPr="009772A3">
        <w:rPr>
          <w:rFonts w:asciiTheme="majorHAnsi" w:hAnsiTheme="majorHAnsi" w:cstheme="majorHAnsi"/>
          <w:sz w:val="24"/>
          <w:szCs w:val="24"/>
          <w:lang w:val="ro-MD"/>
        </w:rPr>
        <w:t>constituiau:</w:t>
      </w:r>
      <w:r w:rsidR="00206B9C" w:rsidRPr="009772A3">
        <w:rPr>
          <w:rFonts w:asciiTheme="majorHAnsi" w:hAnsiTheme="majorHAnsi" w:cstheme="majorHAnsi"/>
          <w:sz w:val="24"/>
          <w:szCs w:val="24"/>
          <w:lang w:val="ro-MD"/>
        </w:rPr>
        <w:t xml:space="preserve"> i) </w:t>
      </w:r>
      <w:r w:rsidR="00DC2298" w:rsidRPr="009772A3">
        <w:rPr>
          <w:rFonts w:asciiTheme="majorHAnsi" w:hAnsiTheme="majorHAnsi" w:cstheme="majorHAnsi"/>
          <w:sz w:val="24"/>
          <w:szCs w:val="24"/>
          <w:lang w:val="ro-MD"/>
        </w:rPr>
        <w:t xml:space="preserve">745.557,0 mii dolari SUA – partea dreaptă a </w:t>
      </w:r>
      <w:r w:rsidR="009B535D" w:rsidRPr="009772A3">
        <w:rPr>
          <w:rFonts w:asciiTheme="majorHAnsi" w:hAnsiTheme="majorHAnsi" w:cstheme="majorHAnsi"/>
          <w:sz w:val="24"/>
          <w:szCs w:val="24"/>
          <w:lang w:val="ro-MD"/>
        </w:rPr>
        <w:t xml:space="preserve">râului </w:t>
      </w:r>
      <w:r w:rsidR="00DC2298" w:rsidRPr="009772A3">
        <w:rPr>
          <w:rFonts w:asciiTheme="majorHAnsi" w:hAnsiTheme="majorHAnsi" w:cstheme="majorHAnsi"/>
          <w:sz w:val="24"/>
          <w:szCs w:val="24"/>
          <w:lang w:val="ro-MD"/>
        </w:rPr>
        <w:t xml:space="preserve">Nistru, și </w:t>
      </w:r>
      <w:r w:rsidR="00206B9C" w:rsidRPr="009772A3">
        <w:rPr>
          <w:rFonts w:asciiTheme="majorHAnsi" w:hAnsiTheme="majorHAnsi" w:cstheme="majorHAnsi"/>
          <w:sz w:val="24"/>
          <w:szCs w:val="24"/>
          <w:lang w:val="ro-MD"/>
        </w:rPr>
        <w:t>ii) 7.797.175,6 mii dolari SUA</w:t>
      </w:r>
      <w:r w:rsidR="00DC2298" w:rsidRPr="009772A3">
        <w:rPr>
          <w:rFonts w:asciiTheme="majorHAnsi" w:hAnsiTheme="majorHAnsi" w:cstheme="majorHAnsi"/>
          <w:sz w:val="24"/>
          <w:szCs w:val="24"/>
          <w:lang w:val="ro-MD"/>
        </w:rPr>
        <w:t xml:space="preserve"> </w:t>
      </w:r>
      <w:r w:rsidR="00206B9C" w:rsidRPr="009772A3">
        <w:rPr>
          <w:rFonts w:asciiTheme="majorHAnsi" w:hAnsiTheme="majorHAnsi" w:cstheme="majorHAnsi"/>
          <w:sz w:val="24"/>
          <w:szCs w:val="24"/>
          <w:lang w:val="ro-MD"/>
        </w:rPr>
        <w:t xml:space="preserve">– partea stângă a </w:t>
      </w:r>
      <w:r w:rsidR="009B535D" w:rsidRPr="009772A3">
        <w:rPr>
          <w:rFonts w:asciiTheme="majorHAnsi" w:hAnsiTheme="majorHAnsi" w:cstheme="majorHAnsi"/>
          <w:sz w:val="24"/>
          <w:szCs w:val="24"/>
          <w:lang w:val="ro-MD"/>
        </w:rPr>
        <w:t xml:space="preserve">râului </w:t>
      </w:r>
      <w:r w:rsidR="00206B9C" w:rsidRPr="009772A3">
        <w:rPr>
          <w:rFonts w:asciiTheme="majorHAnsi" w:hAnsiTheme="majorHAnsi" w:cstheme="majorHAnsi"/>
          <w:sz w:val="24"/>
          <w:szCs w:val="24"/>
          <w:lang w:val="ro-MD"/>
        </w:rPr>
        <w:t>Nistru.</w:t>
      </w:r>
      <w:r w:rsidR="00D72737"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                  </w:t>
      </w:r>
    </w:p>
    <w:p w14:paraId="65CBE720" w14:textId="6AE6021F" w:rsidR="00D72737" w:rsidRPr="009772A3" w:rsidRDefault="000F01B4" w:rsidP="00CF3AD4">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w:t>
      </w:r>
      <w:r w:rsidR="00D72737" w:rsidRPr="009772A3">
        <w:rPr>
          <w:rFonts w:asciiTheme="majorHAnsi" w:hAnsiTheme="majorHAnsi" w:cstheme="majorHAnsi"/>
          <w:sz w:val="24"/>
          <w:szCs w:val="24"/>
          <w:lang w:val="ro-MD"/>
        </w:rPr>
        <w:t>onform actelor de verificare semnate la 31.12.2021</w:t>
      </w:r>
      <w:r w:rsidR="00E67DE6" w:rsidRPr="009772A3">
        <w:rPr>
          <w:rFonts w:asciiTheme="majorHAnsi" w:hAnsiTheme="majorHAnsi" w:cstheme="majorHAnsi"/>
          <w:sz w:val="24"/>
          <w:szCs w:val="24"/>
          <w:lang w:val="ro-MD"/>
        </w:rPr>
        <w:t xml:space="preserve"> de către SA Moldovagaz cu SA Gazprom și SRL Factoring Finance</w:t>
      </w:r>
      <w:r w:rsidR="007B01F3" w:rsidRPr="009772A3">
        <w:rPr>
          <w:rFonts w:asciiTheme="majorHAnsi" w:hAnsiTheme="majorHAnsi" w:cstheme="majorHAnsi"/>
          <w:sz w:val="24"/>
          <w:szCs w:val="24"/>
          <w:lang w:val="ro-MD"/>
        </w:rPr>
        <w:t>,</w:t>
      </w:r>
      <w:r w:rsidR="00D72737" w:rsidRPr="009772A3">
        <w:rPr>
          <w:rFonts w:asciiTheme="majorHAnsi" w:hAnsiTheme="majorHAnsi" w:cstheme="majorHAnsi"/>
          <w:sz w:val="24"/>
          <w:szCs w:val="24"/>
          <w:lang w:val="ro-MD"/>
        </w:rPr>
        <w:t xml:space="preserve"> datoria SA Moldovagaz constituia:</w:t>
      </w:r>
    </w:p>
    <w:p w14:paraId="5A6EB241" w14:textId="1B9CFFAD" w:rsidR="00D72737" w:rsidRPr="009772A3" w:rsidRDefault="00D72737" w:rsidP="00282F73">
      <w:pPr>
        <w:pStyle w:val="ListParagraph"/>
        <w:numPr>
          <w:ilvl w:val="0"/>
          <w:numId w:val="28"/>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față de SA Gazprom: i) 469.642,8 mii dolari SUA – partea dreaptă a </w:t>
      </w:r>
      <w:r w:rsidR="006B37BD" w:rsidRPr="009772A3">
        <w:rPr>
          <w:rFonts w:asciiTheme="majorHAnsi" w:hAnsiTheme="majorHAnsi" w:cstheme="majorHAnsi"/>
          <w:sz w:val="24"/>
          <w:szCs w:val="24"/>
          <w:lang w:val="ro-MD"/>
        </w:rPr>
        <w:t xml:space="preserve">râului </w:t>
      </w:r>
      <w:r w:rsidRPr="009772A3">
        <w:rPr>
          <w:rFonts w:asciiTheme="majorHAnsi" w:hAnsiTheme="majorHAnsi" w:cstheme="majorHAnsi"/>
          <w:sz w:val="24"/>
          <w:szCs w:val="24"/>
          <w:lang w:val="ro-MD"/>
        </w:rPr>
        <w:t xml:space="preserve">Nistru, și ii) 6.871.935,2 mii dolari SUA – partea stângă a </w:t>
      </w:r>
      <w:r w:rsidR="006B37BD" w:rsidRPr="009772A3">
        <w:rPr>
          <w:rFonts w:asciiTheme="majorHAnsi" w:hAnsiTheme="majorHAnsi" w:cstheme="majorHAnsi"/>
          <w:sz w:val="24"/>
          <w:szCs w:val="24"/>
          <w:lang w:val="ro-MD"/>
        </w:rPr>
        <w:t xml:space="preserve">râului </w:t>
      </w:r>
      <w:r w:rsidRPr="009772A3">
        <w:rPr>
          <w:rFonts w:asciiTheme="majorHAnsi" w:hAnsiTheme="majorHAnsi" w:cstheme="majorHAnsi"/>
          <w:sz w:val="24"/>
          <w:szCs w:val="24"/>
          <w:lang w:val="ro-MD"/>
        </w:rPr>
        <w:t>Nistru, iar</w:t>
      </w:r>
    </w:p>
    <w:p w14:paraId="63B95C93" w14:textId="3A2A5D63" w:rsidR="00D72737" w:rsidRPr="009772A3" w:rsidRDefault="00D72737" w:rsidP="00282F73">
      <w:pPr>
        <w:pStyle w:val="ListParagraph"/>
        <w:numPr>
          <w:ilvl w:val="0"/>
          <w:numId w:val="28"/>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față de SRL Factoring Finance</w:t>
      </w:r>
      <w:r w:rsidR="000E531E" w:rsidRPr="009772A3">
        <w:rPr>
          <w:rFonts w:asciiTheme="majorHAnsi" w:hAnsiTheme="majorHAnsi" w:cstheme="majorHAnsi"/>
          <w:sz w:val="24"/>
          <w:szCs w:val="24"/>
          <w:lang w:val="ro-MD"/>
        </w:rPr>
        <w:t xml:space="preserve">: i) 275.914,2 mii dolari SUA (dintre care 120.117,2 mii dolari SUA </w:t>
      </w:r>
      <w:r w:rsidR="006B37BD" w:rsidRPr="009772A3">
        <w:rPr>
          <w:rFonts w:asciiTheme="majorHAnsi" w:hAnsiTheme="majorHAnsi" w:cstheme="majorHAnsi"/>
          <w:sz w:val="24"/>
          <w:szCs w:val="24"/>
          <w:lang w:val="ro-MD"/>
        </w:rPr>
        <w:t xml:space="preserve">– </w:t>
      </w:r>
      <w:r w:rsidR="000E531E" w:rsidRPr="009772A3">
        <w:rPr>
          <w:rFonts w:asciiTheme="majorHAnsi" w:hAnsiTheme="majorHAnsi" w:cstheme="majorHAnsi"/>
          <w:sz w:val="24"/>
          <w:szCs w:val="24"/>
          <w:lang w:val="ro-MD"/>
        </w:rPr>
        <w:t>plăți de bază</w:t>
      </w:r>
      <w:r w:rsidR="006B37BD" w:rsidRPr="009772A3">
        <w:rPr>
          <w:rFonts w:asciiTheme="majorHAnsi" w:hAnsiTheme="majorHAnsi" w:cstheme="majorHAnsi"/>
          <w:sz w:val="24"/>
          <w:szCs w:val="24"/>
          <w:lang w:val="ro-MD"/>
        </w:rPr>
        <w:t>,</w:t>
      </w:r>
      <w:r w:rsidR="000E531E" w:rsidRPr="009772A3">
        <w:rPr>
          <w:rFonts w:asciiTheme="majorHAnsi" w:hAnsiTheme="majorHAnsi" w:cstheme="majorHAnsi"/>
          <w:sz w:val="24"/>
          <w:szCs w:val="24"/>
          <w:lang w:val="ro-MD"/>
        </w:rPr>
        <w:t xml:space="preserve"> și 155.797,0 mii dolari SUA </w:t>
      </w:r>
      <w:r w:rsidR="006B37BD" w:rsidRPr="009772A3">
        <w:rPr>
          <w:rFonts w:asciiTheme="majorHAnsi" w:hAnsiTheme="majorHAnsi" w:cstheme="majorHAnsi"/>
          <w:sz w:val="24"/>
          <w:szCs w:val="24"/>
          <w:lang w:val="ro-MD"/>
        </w:rPr>
        <w:t xml:space="preserve">– </w:t>
      </w:r>
      <w:r w:rsidR="000E531E" w:rsidRPr="009772A3">
        <w:rPr>
          <w:rFonts w:asciiTheme="majorHAnsi" w:hAnsiTheme="majorHAnsi" w:cstheme="majorHAnsi"/>
          <w:sz w:val="24"/>
          <w:szCs w:val="24"/>
          <w:lang w:val="ro-MD"/>
        </w:rPr>
        <w:t xml:space="preserve">penalități) </w:t>
      </w:r>
      <w:r w:rsidR="006B37BD" w:rsidRPr="009772A3">
        <w:rPr>
          <w:rFonts w:asciiTheme="majorHAnsi" w:hAnsiTheme="majorHAnsi" w:cstheme="majorHAnsi"/>
          <w:sz w:val="24"/>
          <w:szCs w:val="24"/>
          <w:lang w:val="ro-MD"/>
        </w:rPr>
        <w:t>–</w:t>
      </w:r>
      <w:r w:rsidR="000E531E" w:rsidRPr="009772A3">
        <w:rPr>
          <w:rFonts w:asciiTheme="majorHAnsi" w:hAnsiTheme="majorHAnsi" w:cstheme="majorHAnsi"/>
          <w:sz w:val="24"/>
          <w:szCs w:val="24"/>
          <w:lang w:val="ro-MD"/>
        </w:rPr>
        <w:t xml:space="preserve"> partea dreaptă a </w:t>
      </w:r>
      <w:r w:rsidR="006B37BD" w:rsidRPr="009772A3">
        <w:rPr>
          <w:rFonts w:asciiTheme="majorHAnsi" w:hAnsiTheme="majorHAnsi" w:cstheme="majorHAnsi"/>
          <w:sz w:val="24"/>
          <w:szCs w:val="24"/>
          <w:lang w:val="ro-MD"/>
        </w:rPr>
        <w:t xml:space="preserve">râului </w:t>
      </w:r>
      <w:r w:rsidR="000E531E" w:rsidRPr="009772A3">
        <w:rPr>
          <w:rFonts w:asciiTheme="majorHAnsi" w:hAnsiTheme="majorHAnsi" w:cstheme="majorHAnsi"/>
          <w:sz w:val="24"/>
          <w:szCs w:val="24"/>
          <w:lang w:val="ro-MD"/>
        </w:rPr>
        <w:t>Nistru, și ii) 925.240,4 mii dolari SUA (dintre care</w:t>
      </w:r>
      <w:r w:rsidRPr="009772A3">
        <w:rPr>
          <w:rFonts w:asciiTheme="majorHAnsi" w:hAnsiTheme="majorHAnsi" w:cstheme="majorHAnsi"/>
          <w:sz w:val="24"/>
          <w:szCs w:val="24"/>
          <w:lang w:val="ro-MD"/>
        </w:rPr>
        <w:t xml:space="preserve"> 541.966,5 mii dolari SUA</w:t>
      </w:r>
      <w:r w:rsidR="006B37BD" w:rsidRPr="009772A3">
        <w:rPr>
          <w:rFonts w:asciiTheme="majorHAnsi" w:hAnsiTheme="majorHAnsi" w:cstheme="majorHAnsi"/>
          <w:sz w:val="24"/>
          <w:szCs w:val="24"/>
          <w:lang w:val="ro-MD"/>
        </w:rPr>
        <w:t xml:space="preserve"> –</w:t>
      </w:r>
      <w:r w:rsidR="000E531E" w:rsidRPr="009772A3">
        <w:rPr>
          <w:rFonts w:asciiTheme="majorHAnsi" w:hAnsiTheme="majorHAnsi" w:cstheme="majorHAnsi"/>
          <w:sz w:val="24"/>
          <w:szCs w:val="24"/>
          <w:lang w:val="ro-MD"/>
        </w:rPr>
        <w:t xml:space="preserve"> plăți de bază</w:t>
      </w:r>
      <w:r w:rsidR="006B37B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w:t>
      </w:r>
      <w:r w:rsidR="000E531E" w:rsidRPr="009772A3">
        <w:rPr>
          <w:rFonts w:asciiTheme="majorHAnsi" w:hAnsiTheme="majorHAnsi" w:cstheme="majorHAnsi"/>
          <w:sz w:val="24"/>
          <w:szCs w:val="24"/>
          <w:lang w:val="ro-MD"/>
        </w:rPr>
        <w:t xml:space="preserve">383.273,9 mii dolari SUA </w:t>
      </w:r>
      <w:r w:rsidR="006B37BD" w:rsidRPr="009772A3">
        <w:rPr>
          <w:rFonts w:asciiTheme="majorHAnsi" w:hAnsiTheme="majorHAnsi" w:cstheme="majorHAnsi"/>
          <w:sz w:val="24"/>
          <w:szCs w:val="24"/>
          <w:lang w:val="ro-MD"/>
        </w:rPr>
        <w:t xml:space="preserve">– </w:t>
      </w:r>
      <w:r w:rsidR="000E531E" w:rsidRPr="009772A3">
        <w:rPr>
          <w:rFonts w:asciiTheme="majorHAnsi" w:hAnsiTheme="majorHAnsi" w:cstheme="majorHAnsi"/>
          <w:sz w:val="24"/>
          <w:szCs w:val="24"/>
          <w:lang w:val="ro-MD"/>
        </w:rPr>
        <w:t xml:space="preserve">penalități) </w:t>
      </w:r>
      <w:r w:rsidR="006B37BD" w:rsidRPr="009772A3">
        <w:rPr>
          <w:rFonts w:asciiTheme="majorHAnsi" w:hAnsiTheme="majorHAnsi" w:cstheme="majorHAnsi"/>
          <w:sz w:val="24"/>
          <w:szCs w:val="24"/>
          <w:lang w:val="ro-MD"/>
        </w:rPr>
        <w:t>–</w:t>
      </w:r>
      <w:r w:rsidR="000E531E" w:rsidRPr="009772A3">
        <w:rPr>
          <w:rFonts w:asciiTheme="majorHAnsi" w:hAnsiTheme="majorHAnsi" w:cstheme="majorHAnsi"/>
          <w:sz w:val="24"/>
          <w:szCs w:val="24"/>
          <w:lang w:val="ro-MD"/>
        </w:rPr>
        <w:t xml:space="preserve"> partea stângă a </w:t>
      </w:r>
      <w:r w:rsidR="006B37BD" w:rsidRPr="009772A3">
        <w:rPr>
          <w:rFonts w:asciiTheme="majorHAnsi" w:hAnsiTheme="majorHAnsi" w:cstheme="majorHAnsi"/>
          <w:sz w:val="24"/>
          <w:szCs w:val="24"/>
          <w:lang w:val="ro-MD"/>
        </w:rPr>
        <w:t xml:space="preserve">râului </w:t>
      </w:r>
      <w:r w:rsidR="000E531E" w:rsidRPr="009772A3">
        <w:rPr>
          <w:rFonts w:asciiTheme="majorHAnsi" w:hAnsiTheme="majorHAnsi" w:cstheme="majorHAnsi"/>
          <w:sz w:val="24"/>
          <w:szCs w:val="24"/>
          <w:lang w:val="ro-MD"/>
        </w:rPr>
        <w:t>Nistru</w:t>
      </w:r>
      <w:r w:rsidRPr="009772A3">
        <w:rPr>
          <w:rFonts w:asciiTheme="majorHAnsi" w:hAnsiTheme="majorHAnsi" w:cstheme="majorHAnsi"/>
          <w:sz w:val="24"/>
          <w:szCs w:val="24"/>
          <w:lang w:val="ro-MD"/>
        </w:rPr>
        <w:t>.</w:t>
      </w:r>
    </w:p>
    <w:p w14:paraId="50DC75FC" w14:textId="083AD0F2" w:rsidR="00206B9C" w:rsidRPr="009772A3" w:rsidRDefault="00332F2D" w:rsidP="00CF3AD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E</w:t>
      </w:r>
      <w:r w:rsidR="00206B9C" w:rsidRPr="009772A3">
        <w:rPr>
          <w:rFonts w:asciiTheme="majorHAnsi" w:hAnsiTheme="majorHAnsi" w:cstheme="majorHAnsi"/>
          <w:sz w:val="24"/>
          <w:szCs w:val="24"/>
          <w:lang w:val="ro-MD"/>
        </w:rPr>
        <w:t>xaminările de audit au relevat următoarele:</w:t>
      </w:r>
    </w:p>
    <w:p w14:paraId="57E45076" w14:textId="5AC24934" w:rsidR="00795A64" w:rsidRPr="009772A3" w:rsidRDefault="00795A64" w:rsidP="00EC25E2">
      <w:pPr>
        <w:pStyle w:val="ListParagraph"/>
        <w:numPr>
          <w:ilvl w:val="0"/>
          <w:numId w:val="12"/>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la situația din 31.12.2021, conform datelor evidenței contabile a SA Moldovagaz, datoriile pentru gazele naturale livrate </w:t>
      </w:r>
      <w:r w:rsidR="00352ED2" w:rsidRPr="009772A3">
        <w:rPr>
          <w:rFonts w:asciiTheme="majorHAnsi" w:hAnsiTheme="majorHAnsi" w:cstheme="majorHAnsi"/>
          <w:sz w:val="24"/>
          <w:szCs w:val="24"/>
          <w:lang w:val="ro-MD"/>
        </w:rPr>
        <w:t xml:space="preserve">localităților de pe </w:t>
      </w:r>
      <w:r w:rsidRPr="009772A3">
        <w:rPr>
          <w:rFonts w:asciiTheme="majorHAnsi" w:hAnsiTheme="majorHAnsi" w:cstheme="majorHAnsi"/>
          <w:sz w:val="24"/>
          <w:szCs w:val="24"/>
          <w:lang w:val="ro-MD"/>
        </w:rPr>
        <w:t xml:space="preserve">malul drept al </w:t>
      </w:r>
      <w:r w:rsidR="006B37BD" w:rsidRPr="009772A3">
        <w:rPr>
          <w:rFonts w:asciiTheme="majorHAnsi" w:hAnsiTheme="majorHAnsi" w:cstheme="majorHAnsi"/>
          <w:sz w:val="24"/>
          <w:szCs w:val="24"/>
          <w:lang w:val="ro-MD"/>
        </w:rPr>
        <w:t xml:space="preserve">râului </w:t>
      </w:r>
      <w:r w:rsidRPr="009772A3">
        <w:rPr>
          <w:rFonts w:asciiTheme="majorHAnsi" w:hAnsiTheme="majorHAnsi" w:cstheme="majorHAnsi"/>
          <w:sz w:val="24"/>
          <w:szCs w:val="24"/>
          <w:lang w:val="ro-MD"/>
        </w:rPr>
        <w:t>Nistru constituiau 590.835,1 mii dolari SUA, dintre care: i) 470.717,9 mii dolari SUA</w:t>
      </w:r>
      <w:r w:rsidR="00EC25E2" w:rsidRPr="007836DB">
        <w:rPr>
          <w:rStyle w:val="FootnoteReference"/>
          <w:rFonts w:asciiTheme="majorHAnsi" w:hAnsiTheme="majorHAnsi" w:cstheme="majorHAnsi"/>
          <w:sz w:val="24"/>
          <w:szCs w:val="24"/>
          <w:lang w:val="ro-MD"/>
        </w:rPr>
        <w:footnoteReference w:id="42"/>
      </w:r>
      <w:r w:rsidRPr="009772A3">
        <w:rPr>
          <w:rFonts w:asciiTheme="majorHAnsi" w:hAnsiTheme="majorHAnsi" w:cstheme="majorHAnsi"/>
          <w:sz w:val="24"/>
          <w:szCs w:val="24"/>
          <w:lang w:val="ro-MD"/>
        </w:rPr>
        <w:t xml:space="preserve"> către SA Gazprom (formată în anii 2006, 2007, 2011-2015</w:t>
      </w:r>
      <w:r w:rsidR="00352ED2" w:rsidRPr="009772A3">
        <w:rPr>
          <w:rFonts w:asciiTheme="majorHAnsi" w:hAnsiTheme="majorHAnsi" w:cstheme="majorHAnsi"/>
          <w:sz w:val="24"/>
          <w:szCs w:val="24"/>
          <w:lang w:val="ro-MD"/>
        </w:rPr>
        <w:t xml:space="preserve"> și</w:t>
      </w:r>
      <w:r w:rsidRPr="009772A3">
        <w:rPr>
          <w:rFonts w:asciiTheme="majorHAnsi" w:hAnsiTheme="majorHAnsi" w:cstheme="majorHAnsi"/>
          <w:sz w:val="24"/>
          <w:szCs w:val="24"/>
          <w:lang w:val="ro-MD"/>
        </w:rPr>
        <w:t xml:space="preserve"> 2021), și ii) 120.117,2 mii dolari SUA </w:t>
      </w:r>
      <w:r w:rsidR="00352ED2"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către SRL Factoring Finance (formată în anii 1999-2003). </w:t>
      </w:r>
      <w:r w:rsidR="00D72737" w:rsidRPr="009772A3">
        <w:rPr>
          <w:rFonts w:asciiTheme="majorHAnsi" w:hAnsiTheme="majorHAnsi" w:cstheme="majorHAnsi"/>
          <w:sz w:val="24"/>
          <w:szCs w:val="24"/>
          <w:lang w:val="ro-MD"/>
        </w:rPr>
        <w:t>D</w:t>
      </w:r>
      <w:r w:rsidRPr="009772A3">
        <w:rPr>
          <w:rFonts w:asciiTheme="majorHAnsi" w:hAnsiTheme="majorHAnsi" w:cstheme="majorHAnsi"/>
          <w:sz w:val="24"/>
          <w:szCs w:val="24"/>
          <w:lang w:val="ro-MD"/>
        </w:rPr>
        <w:t xml:space="preserve">eși au fost semnate acte de verificare cu SRL Factoring Finance privind recunoașterea datoriilor aferente penalităților calculate în anii 1993-2002, în sumă totală de 155.797,0 mii </w:t>
      </w:r>
      <w:r w:rsidR="00352ED2" w:rsidRPr="009772A3">
        <w:rPr>
          <w:rFonts w:asciiTheme="majorHAnsi" w:hAnsiTheme="majorHAnsi" w:cstheme="majorHAnsi"/>
          <w:sz w:val="24"/>
          <w:szCs w:val="24"/>
          <w:lang w:val="ro-MD"/>
        </w:rPr>
        <w:t>dolari SUA</w:t>
      </w:r>
      <w:r w:rsidRPr="009772A3">
        <w:rPr>
          <w:rFonts w:asciiTheme="majorHAnsi" w:hAnsiTheme="majorHAnsi" w:cstheme="majorHAnsi"/>
          <w:sz w:val="24"/>
          <w:szCs w:val="24"/>
          <w:lang w:val="ro-MD"/>
        </w:rPr>
        <w:t>, acestea nu au fost înregistrate în evidența contabilă a SA Moldovagaz;</w:t>
      </w:r>
    </w:p>
    <w:p w14:paraId="76619E88" w14:textId="304510C3" w:rsidR="00795A64" w:rsidRPr="009772A3" w:rsidRDefault="00795A64" w:rsidP="00EC25E2">
      <w:pPr>
        <w:pStyle w:val="ListParagraph"/>
        <w:numPr>
          <w:ilvl w:val="0"/>
          <w:numId w:val="12"/>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datoria SA Moldovagaz față de SA Gazprom, pentru gazele naturale livrate regiunii </w:t>
      </w:r>
      <w:r w:rsidR="00352ED2"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 xml:space="preserve">ransnistrene, precum și creanța regiunii </w:t>
      </w:r>
      <w:r w:rsidR="00352ED2"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ransnistrene față de SA Moldovagaz încep</w:t>
      </w:r>
      <w:r w:rsidR="00E90450"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nd cu anul 2002 este raportată la conturile extrabilanțere ale </w:t>
      </w:r>
      <w:r w:rsidR="00445959" w:rsidRPr="009772A3">
        <w:rPr>
          <w:rFonts w:asciiTheme="majorHAnsi" w:hAnsiTheme="majorHAnsi" w:cstheme="majorHAnsi"/>
          <w:sz w:val="24"/>
          <w:szCs w:val="24"/>
          <w:lang w:val="ro-MD"/>
        </w:rPr>
        <w:t xml:space="preserve">evidenței </w:t>
      </w:r>
      <w:r w:rsidRPr="009772A3">
        <w:rPr>
          <w:rFonts w:asciiTheme="majorHAnsi" w:hAnsiTheme="majorHAnsi" w:cstheme="majorHAnsi"/>
          <w:sz w:val="24"/>
          <w:szCs w:val="24"/>
          <w:lang w:val="ro-MD"/>
        </w:rPr>
        <w:t>contabil</w:t>
      </w:r>
      <w:r w:rsidR="00445959" w:rsidRPr="009772A3">
        <w:rPr>
          <w:rFonts w:asciiTheme="majorHAnsi" w:hAnsiTheme="majorHAnsi" w:cstheme="majorHAnsi"/>
          <w:sz w:val="24"/>
          <w:szCs w:val="24"/>
          <w:lang w:val="ro-MD"/>
        </w:rPr>
        <w:t>e</w:t>
      </w:r>
      <w:r w:rsidR="007061D5" w:rsidRPr="009772A3">
        <w:rPr>
          <w:rFonts w:asciiTheme="majorHAnsi" w:hAnsiTheme="majorHAnsi" w:cstheme="majorHAnsi"/>
          <w:sz w:val="24"/>
          <w:szCs w:val="24"/>
          <w:lang w:val="ro-MD"/>
        </w:rPr>
        <w:t xml:space="preserve"> a SA Moldovagaz</w:t>
      </w:r>
      <w:r w:rsidRPr="009772A3">
        <w:rPr>
          <w:rFonts w:asciiTheme="majorHAnsi" w:hAnsiTheme="majorHAnsi" w:cstheme="majorHAnsi"/>
          <w:sz w:val="24"/>
          <w:szCs w:val="24"/>
          <w:lang w:val="ro-MD"/>
        </w:rPr>
        <w:t xml:space="preserve">. De menționat că anume acest mecanism de evidență a datoriilor și creanțelor regiunii </w:t>
      </w:r>
      <w:r w:rsidR="00352ED2"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ransnistrene a servit drept una din</w:t>
      </w:r>
      <w:r w:rsidR="00E90450" w:rsidRPr="009772A3">
        <w:rPr>
          <w:rFonts w:asciiTheme="majorHAnsi" w:hAnsiTheme="majorHAnsi" w:cstheme="majorHAnsi"/>
          <w:sz w:val="24"/>
          <w:szCs w:val="24"/>
          <w:lang w:val="ro-MD"/>
        </w:rPr>
        <w:t>tre</w:t>
      </w:r>
      <w:r w:rsidRPr="009772A3">
        <w:rPr>
          <w:rFonts w:asciiTheme="majorHAnsi" w:hAnsiTheme="majorHAnsi" w:cstheme="majorHAnsi"/>
          <w:sz w:val="24"/>
          <w:szCs w:val="24"/>
          <w:lang w:val="ro-MD"/>
        </w:rPr>
        <w:t xml:space="preserve"> cauze</w:t>
      </w:r>
      <w:r w:rsidR="00C5404E"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pentru ca</w:t>
      </w:r>
      <w:r w:rsidR="00D84AF5" w:rsidRPr="009772A3">
        <w:rPr>
          <w:rFonts w:asciiTheme="majorHAnsi" w:hAnsiTheme="majorHAnsi" w:cstheme="majorHAnsi"/>
          <w:sz w:val="24"/>
          <w:szCs w:val="24"/>
          <w:lang w:val="ro-MD"/>
        </w:rPr>
        <w:t>re</w:t>
      </w:r>
      <w:r w:rsidRPr="009772A3">
        <w:rPr>
          <w:rFonts w:asciiTheme="majorHAnsi" w:hAnsiTheme="majorHAnsi" w:cstheme="majorHAnsi"/>
          <w:sz w:val="24"/>
          <w:szCs w:val="24"/>
          <w:lang w:val="ro-MD"/>
        </w:rPr>
        <w:t xml:space="preserve"> auditurile externe </w:t>
      </w:r>
      <w:r w:rsidR="00D84AF5" w:rsidRPr="009772A3">
        <w:rPr>
          <w:rFonts w:asciiTheme="majorHAnsi" w:hAnsiTheme="majorHAnsi" w:cstheme="majorHAnsi"/>
          <w:sz w:val="24"/>
          <w:szCs w:val="24"/>
          <w:lang w:val="ro-MD"/>
        </w:rPr>
        <w:t>au refuzat</w:t>
      </w:r>
      <w:r w:rsidRPr="009772A3">
        <w:rPr>
          <w:rFonts w:asciiTheme="majorHAnsi" w:hAnsiTheme="majorHAnsi" w:cstheme="majorHAnsi"/>
          <w:sz w:val="24"/>
          <w:szCs w:val="24"/>
          <w:lang w:val="ro-MD"/>
        </w:rPr>
        <w:t xml:space="preserve"> emiterea unei opinii asupra situațiilor financiare ale SA Moldovagaz</w:t>
      </w:r>
      <w:r w:rsidR="00D84AF5" w:rsidRPr="009772A3">
        <w:rPr>
          <w:rFonts w:asciiTheme="majorHAnsi" w:hAnsiTheme="majorHAnsi" w:cstheme="majorHAnsi"/>
          <w:sz w:val="24"/>
          <w:szCs w:val="24"/>
          <w:lang w:val="ro-MD"/>
        </w:rPr>
        <w:t>, întocmite la sfârșitul anilor</w:t>
      </w:r>
      <w:r w:rsidR="00D5750E"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2017-2021.</w:t>
      </w:r>
    </w:p>
    <w:p w14:paraId="45128549" w14:textId="0B391DFB" w:rsidR="00F36722" w:rsidRPr="009772A3" w:rsidRDefault="00051AAF" w:rsidP="00F3672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același timp, e</w:t>
      </w:r>
      <w:r w:rsidR="00F36722" w:rsidRPr="009772A3">
        <w:rPr>
          <w:rFonts w:asciiTheme="majorHAnsi" w:hAnsiTheme="majorHAnsi" w:cstheme="majorHAnsi"/>
          <w:sz w:val="24"/>
          <w:szCs w:val="24"/>
          <w:lang w:val="ro-MD"/>
        </w:rPr>
        <w:t>xamin</w:t>
      </w:r>
      <w:r w:rsidR="00E90450" w:rsidRPr="009772A3">
        <w:rPr>
          <w:rFonts w:asciiTheme="majorHAnsi" w:hAnsiTheme="majorHAnsi" w:cstheme="majorHAnsi"/>
          <w:sz w:val="24"/>
          <w:szCs w:val="24"/>
          <w:lang w:val="ro-MD"/>
        </w:rPr>
        <w:t>â</w:t>
      </w:r>
      <w:r w:rsidR="00F36722" w:rsidRPr="009772A3">
        <w:rPr>
          <w:rFonts w:asciiTheme="majorHAnsi" w:hAnsiTheme="majorHAnsi" w:cstheme="majorHAnsi"/>
          <w:sz w:val="24"/>
          <w:szCs w:val="24"/>
          <w:lang w:val="ro-MD"/>
        </w:rPr>
        <w:t>nd actele de verificare a datoriilor întocmite pe parcursul anilor care s-au păstrat</w:t>
      </w:r>
      <w:r w:rsidR="007014CE" w:rsidRPr="009772A3">
        <w:rPr>
          <w:rFonts w:asciiTheme="majorHAnsi" w:hAnsiTheme="majorHAnsi" w:cstheme="majorHAnsi"/>
          <w:sz w:val="24"/>
          <w:szCs w:val="24"/>
          <w:lang w:val="ro-MD"/>
        </w:rPr>
        <w:t xml:space="preserve"> la SA Moldovagaz</w:t>
      </w:r>
      <w:r w:rsidR="00F36722" w:rsidRPr="009772A3">
        <w:rPr>
          <w:rFonts w:asciiTheme="majorHAnsi" w:hAnsiTheme="majorHAnsi" w:cstheme="majorHAnsi"/>
          <w:sz w:val="24"/>
          <w:szCs w:val="24"/>
          <w:lang w:val="ro-MD"/>
        </w:rPr>
        <w:t>, auditul relevă că:</w:t>
      </w:r>
    </w:p>
    <w:p w14:paraId="7290161C" w14:textId="4E8A19C4" w:rsidR="00F36722" w:rsidRPr="009772A3" w:rsidRDefault="00F36722" w:rsidP="002A22A6">
      <w:pPr>
        <w:pStyle w:val="ListParagraph"/>
        <w:numPr>
          <w:ilvl w:val="1"/>
          <w:numId w:val="29"/>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responsabili de semnarea actelor de verificare a datoriilor aferente livrărilor de către SA Gazprom a gazelor naturale către </w:t>
      </w:r>
      <w:r w:rsidR="00AB0ECB" w:rsidRPr="009772A3">
        <w:rPr>
          <w:rFonts w:asciiTheme="majorHAnsi" w:hAnsiTheme="majorHAnsi" w:cstheme="majorHAnsi"/>
          <w:sz w:val="24"/>
          <w:szCs w:val="24"/>
          <w:lang w:val="ro-MD"/>
        </w:rPr>
        <w:t>Republica Moldova</w:t>
      </w:r>
      <w:r w:rsidRPr="009772A3">
        <w:rPr>
          <w:rFonts w:asciiTheme="majorHAnsi" w:hAnsiTheme="majorHAnsi" w:cstheme="majorHAnsi"/>
          <w:sz w:val="24"/>
          <w:szCs w:val="24"/>
          <w:lang w:val="ro-MD"/>
        </w:rPr>
        <w:t xml:space="preserve"> au fost diferiți agenți economici. Pentru perioada 1994-1995</w:t>
      </w:r>
      <w:r w:rsidR="00E9045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responsabil </w:t>
      </w:r>
      <w:r w:rsidR="00E90450" w:rsidRPr="009772A3">
        <w:rPr>
          <w:rFonts w:asciiTheme="majorHAnsi" w:hAnsiTheme="majorHAnsi" w:cstheme="majorHAnsi"/>
          <w:sz w:val="24"/>
          <w:szCs w:val="24"/>
          <w:lang w:val="ro-MD"/>
        </w:rPr>
        <w:t>a fost</w:t>
      </w:r>
      <w:r w:rsidRPr="009772A3">
        <w:rPr>
          <w:rFonts w:asciiTheme="majorHAnsi" w:hAnsiTheme="majorHAnsi" w:cstheme="majorHAnsi"/>
          <w:sz w:val="24"/>
          <w:szCs w:val="24"/>
          <w:lang w:val="ro-MD"/>
        </w:rPr>
        <w:t xml:space="preserve"> SA Concernul Moldovagaz, pentru perioada 1996-01.07.1999 </w:t>
      </w:r>
      <w:r w:rsidR="00E9045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Gazsnabtranzit, iar pentru perioada 01.07.1999-31.12.2021 – SA Moldovagaz</w:t>
      </w:r>
      <w:r w:rsidR="00930238" w:rsidRPr="009772A3">
        <w:rPr>
          <w:rFonts w:asciiTheme="majorHAnsi" w:hAnsiTheme="majorHAnsi" w:cstheme="majorHAnsi"/>
          <w:sz w:val="24"/>
          <w:szCs w:val="24"/>
          <w:lang w:val="ro-MD"/>
        </w:rPr>
        <w:t>. Concomitent</w:t>
      </w:r>
      <w:r w:rsidR="00E90450" w:rsidRPr="009772A3">
        <w:rPr>
          <w:rFonts w:asciiTheme="majorHAnsi" w:hAnsiTheme="majorHAnsi" w:cstheme="majorHAnsi"/>
          <w:sz w:val="24"/>
          <w:szCs w:val="24"/>
          <w:lang w:val="ro-MD"/>
        </w:rPr>
        <w:t>,</w:t>
      </w:r>
      <w:r w:rsidR="00930238" w:rsidRPr="009772A3">
        <w:rPr>
          <w:rFonts w:asciiTheme="majorHAnsi" w:hAnsiTheme="majorHAnsi" w:cstheme="majorHAnsi"/>
          <w:sz w:val="24"/>
          <w:szCs w:val="24"/>
          <w:lang w:val="ro-MD"/>
        </w:rPr>
        <w:t xml:space="preserve"> aceste entități urmau să semneze acte</w:t>
      </w:r>
      <w:r w:rsidR="00E90450" w:rsidRPr="009772A3">
        <w:rPr>
          <w:rFonts w:asciiTheme="majorHAnsi" w:hAnsiTheme="majorHAnsi" w:cstheme="majorHAnsi"/>
          <w:sz w:val="24"/>
          <w:szCs w:val="24"/>
          <w:lang w:val="ro-MD"/>
        </w:rPr>
        <w:t>le</w:t>
      </w:r>
      <w:r w:rsidR="00930238" w:rsidRPr="009772A3">
        <w:rPr>
          <w:rFonts w:asciiTheme="majorHAnsi" w:hAnsiTheme="majorHAnsi" w:cstheme="majorHAnsi"/>
          <w:sz w:val="24"/>
          <w:szCs w:val="24"/>
          <w:lang w:val="ro-MD"/>
        </w:rPr>
        <w:t xml:space="preserve"> de verificare cu </w:t>
      </w:r>
      <w:r w:rsidR="00E90450" w:rsidRPr="009772A3">
        <w:rPr>
          <w:rFonts w:asciiTheme="majorHAnsi" w:hAnsiTheme="majorHAnsi" w:cstheme="majorHAnsi"/>
          <w:sz w:val="24"/>
          <w:szCs w:val="24"/>
          <w:lang w:val="ro-MD"/>
        </w:rPr>
        <w:t xml:space="preserve">SRL </w:t>
      </w:r>
      <w:r w:rsidR="00930238" w:rsidRPr="009772A3">
        <w:rPr>
          <w:rFonts w:asciiTheme="majorHAnsi" w:hAnsiTheme="majorHAnsi" w:cstheme="majorHAnsi"/>
          <w:sz w:val="24"/>
          <w:szCs w:val="24"/>
          <w:lang w:val="ro-MD"/>
        </w:rPr>
        <w:t>Tiraspoltransgaz</w:t>
      </w:r>
      <w:r w:rsidRPr="009772A3">
        <w:rPr>
          <w:rFonts w:asciiTheme="majorHAnsi" w:hAnsiTheme="majorHAnsi" w:cstheme="majorHAnsi"/>
          <w:sz w:val="24"/>
          <w:szCs w:val="24"/>
          <w:lang w:val="ro-MD"/>
        </w:rPr>
        <w:t>;</w:t>
      </w:r>
    </w:p>
    <w:p w14:paraId="1CAD3326" w14:textId="1916D465" w:rsidR="00F36722" w:rsidRPr="009772A3" w:rsidRDefault="00F36722" w:rsidP="002A22A6">
      <w:pPr>
        <w:pStyle w:val="ListParagraph"/>
        <w:numPr>
          <w:ilvl w:val="1"/>
          <w:numId w:val="29"/>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livrările de gaze naturale, efectuate în anii 1994</w:t>
      </w:r>
      <w:r w:rsidR="00E9045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1995, actele de verificare se semnau pentru fiecare contract </w:t>
      </w:r>
      <w:r w:rsidR="007C12AF" w:rsidRPr="009772A3">
        <w:rPr>
          <w:rFonts w:asciiTheme="majorHAnsi" w:hAnsiTheme="majorHAnsi" w:cstheme="majorHAnsi"/>
          <w:sz w:val="24"/>
          <w:szCs w:val="24"/>
          <w:lang w:val="ro-MD"/>
        </w:rPr>
        <w:t xml:space="preserve">anual </w:t>
      </w:r>
      <w:r w:rsidRPr="009772A3">
        <w:rPr>
          <w:rFonts w:asciiTheme="majorHAnsi" w:hAnsiTheme="majorHAnsi" w:cstheme="majorHAnsi"/>
          <w:sz w:val="24"/>
          <w:szCs w:val="24"/>
          <w:lang w:val="ro-MD"/>
        </w:rPr>
        <w:t xml:space="preserve">de </w:t>
      </w:r>
      <w:r w:rsidR="007C12AF" w:rsidRPr="009772A3">
        <w:rPr>
          <w:rFonts w:asciiTheme="majorHAnsi" w:hAnsiTheme="majorHAnsi" w:cstheme="majorHAnsi"/>
          <w:sz w:val="24"/>
          <w:szCs w:val="24"/>
          <w:lang w:val="ro-MD"/>
        </w:rPr>
        <w:t>procurare</w:t>
      </w:r>
      <w:r w:rsidR="00204451" w:rsidRPr="009772A3">
        <w:rPr>
          <w:rFonts w:asciiTheme="majorHAnsi" w:hAnsiTheme="majorHAnsi" w:cstheme="majorHAnsi"/>
          <w:sz w:val="24"/>
          <w:szCs w:val="24"/>
          <w:lang w:val="ro-MD"/>
        </w:rPr>
        <w:t>, care conțineau informaț</w:t>
      </w:r>
      <w:r w:rsidR="00E90450" w:rsidRPr="009772A3">
        <w:rPr>
          <w:rFonts w:asciiTheme="majorHAnsi" w:hAnsiTheme="majorHAnsi" w:cstheme="majorHAnsi"/>
          <w:sz w:val="24"/>
          <w:szCs w:val="24"/>
          <w:lang w:val="ro-MD"/>
        </w:rPr>
        <w:t>i</w:t>
      </w:r>
      <w:r w:rsidR="00204451" w:rsidRPr="009772A3">
        <w:rPr>
          <w:rFonts w:asciiTheme="majorHAnsi" w:hAnsiTheme="majorHAnsi" w:cstheme="majorHAnsi"/>
          <w:sz w:val="24"/>
          <w:szCs w:val="24"/>
          <w:lang w:val="ro-MD"/>
        </w:rPr>
        <w:t>i cu referire la livrările și achitările efectuate</w:t>
      </w:r>
      <w:r w:rsidR="007C12AF" w:rsidRPr="009772A3">
        <w:rPr>
          <w:rFonts w:asciiTheme="majorHAnsi" w:hAnsiTheme="majorHAnsi" w:cstheme="majorHAnsi"/>
          <w:sz w:val="24"/>
          <w:szCs w:val="24"/>
          <w:lang w:val="ro-MD"/>
        </w:rPr>
        <w:t>. Pentru aceste livrări</w:t>
      </w:r>
      <w:r w:rsidR="00AB0ECB" w:rsidRPr="009772A3">
        <w:rPr>
          <w:rFonts w:asciiTheme="majorHAnsi" w:hAnsiTheme="majorHAnsi" w:cstheme="majorHAnsi"/>
          <w:sz w:val="24"/>
          <w:szCs w:val="24"/>
          <w:lang w:val="ro-MD"/>
        </w:rPr>
        <w:t xml:space="preserve"> care nu au fost</w:t>
      </w:r>
      <w:r w:rsidR="00204451" w:rsidRPr="009772A3">
        <w:rPr>
          <w:rFonts w:asciiTheme="majorHAnsi" w:hAnsiTheme="majorHAnsi" w:cstheme="majorHAnsi"/>
          <w:sz w:val="24"/>
          <w:szCs w:val="24"/>
          <w:lang w:val="ro-MD"/>
        </w:rPr>
        <w:t xml:space="preserve"> achitate</w:t>
      </w:r>
      <w:r w:rsidR="007C12AF" w:rsidRPr="009772A3">
        <w:rPr>
          <w:rFonts w:asciiTheme="majorHAnsi" w:hAnsiTheme="majorHAnsi" w:cstheme="majorHAnsi"/>
          <w:sz w:val="24"/>
          <w:szCs w:val="24"/>
          <w:lang w:val="ro-MD"/>
        </w:rPr>
        <w:t>, în anii ulterior</w:t>
      </w:r>
      <w:r w:rsidR="00204451" w:rsidRPr="009772A3">
        <w:rPr>
          <w:rFonts w:asciiTheme="majorHAnsi" w:hAnsiTheme="majorHAnsi" w:cstheme="majorHAnsi"/>
          <w:sz w:val="24"/>
          <w:szCs w:val="24"/>
          <w:lang w:val="ro-MD"/>
        </w:rPr>
        <w:t xml:space="preserve">i </w:t>
      </w:r>
      <w:r w:rsidR="007C12AF" w:rsidRPr="009772A3">
        <w:rPr>
          <w:rFonts w:asciiTheme="majorHAnsi" w:hAnsiTheme="majorHAnsi" w:cstheme="majorHAnsi"/>
          <w:sz w:val="24"/>
          <w:szCs w:val="24"/>
          <w:lang w:val="ro-MD"/>
        </w:rPr>
        <w:t>1995</w:t>
      </w:r>
      <w:r w:rsidR="00E90450" w:rsidRPr="009772A3">
        <w:rPr>
          <w:rFonts w:asciiTheme="majorHAnsi" w:hAnsiTheme="majorHAnsi" w:cstheme="majorHAnsi"/>
          <w:sz w:val="24"/>
          <w:szCs w:val="24"/>
          <w:lang w:val="ro-MD"/>
        </w:rPr>
        <w:t>-</w:t>
      </w:r>
      <w:r w:rsidR="00204451" w:rsidRPr="009772A3">
        <w:rPr>
          <w:rFonts w:asciiTheme="majorHAnsi" w:hAnsiTheme="majorHAnsi" w:cstheme="majorHAnsi"/>
          <w:sz w:val="24"/>
          <w:szCs w:val="24"/>
          <w:lang w:val="ro-MD"/>
        </w:rPr>
        <w:t xml:space="preserve"> </w:t>
      </w:r>
      <w:r w:rsidR="007C12AF" w:rsidRPr="009772A3">
        <w:rPr>
          <w:rFonts w:asciiTheme="majorHAnsi" w:hAnsiTheme="majorHAnsi" w:cstheme="majorHAnsi"/>
          <w:sz w:val="24"/>
          <w:szCs w:val="24"/>
          <w:lang w:val="ro-MD"/>
        </w:rPr>
        <w:t>1998</w:t>
      </w:r>
      <w:r w:rsidR="00204451" w:rsidRPr="009772A3">
        <w:rPr>
          <w:rFonts w:asciiTheme="majorHAnsi" w:hAnsiTheme="majorHAnsi" w:cstheme="majorHAnsi"/>
          <w:sz w:val="24"/>
          <w:szCs w:val="24"/>
          <w:lang w:val="ro-MD"/>
        </w:rPr>
        <w:t xml:space="preserve">, </w:t>
      </w:r>
      <w:r w:rsidR="007C12AF" w:rsidRPr="009772A3">
        <w:rPr>
          <w:rFonts w:asciiTheme="majorHAnsi" w:hAnsiTheme="majorHAnsi" w:cstheme="majorHAnsi"/>
          <w:sz w:val="24"/>
          <w:szCs w:val="24"/>
          <w:lang w:val="ro-MD"/>
        </w:rPr>
        <w:t>actele de verificare conțineau doar achitările efectuate</w:t>
      </w:r>
      <w:r w:rsidR="00AB0ECB" w:rsidRPr="009772A3">
        <w:rPr>
          <w:rFonts w:asciiTheme="majorHAnsi" w:hAnsiTheme="majorHAnsi" w:cstheme="majorHAnsi"/>
          <w:sz w:val="24"/>
          <w:szCs w:val="24"/>
          <w:lang w:val="ro-MD"/>
        </w:rPr>
        <w:t xml:space="preserve">, fără a include în ele </w:t>
      </w:r>
      <w:r w:rsidR="00A00AED" w:rsidRPr="009772A3">
        <w:rPr>
          <w:rFonts w:asciiTheme="majorHAnsi" w:hAnsiTheme="majorHAnsi" w:cstheme="majorHAnsi"/>
          <w:sz w:val="24"/>
          <w:szCs w:val="24"/>
          <w:lang w:val="ro-MD"/>
        </w:rPr>
        <w:t>valoarea</w:t>
      </w:r>
      <w:r w:rsidR="00AB0ECB" w:rsidRPr="009772A3">
        <w:rPr>
          <w:rFonts w:asciiTheme="majorHAnsi" w:hAnsiTheme="majorHAnsi" w:cstheme="majorHAnsi"/>
          <w:sz w:val="24"/>
          <w:szCs w:val="24"/>
          <w:lang w:val="ro-MD"/>
        </w:rPr>
        <w:t xml:space="preserve"> livrărilor</w:t>
      </w:r>
      <w:r w:rsidRPr="009772A3">
        <w:rPr>
          <w:rFonts w:asciiTheme="majorHAnsi" w:hAnsiTheme="majorHAnsi" w:cstheme="majorHAnsi"/>
          <w:sz w:val="24"/>
          <w:szCs w:val="24"/>
          <w:lang w:val="ro-MD"/>
        </w:rPr>
        <w:t>;</w:t>
      </w:r>
    </w:p>
    <w:p w14:paraId="3B8FFFC3" w14:textId="568E9D38" w:rsidR="00F36722" w:rsidRPr="009772A3" w:rsidRDefault="00F36722" w:rsidP="002A22A6">
      <w:pPr>
        <w:pStyle w:val="ListParagraph"/>
        <w:numPr>
          <w:ilvl w:val="1"/>
          <w:numId w:val="29"/>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perioad</w:t>
      </w:r>
      <w:r w:rsidR="00AA5D54" w:rsidRPr="009772A3">
        <w:rPr>
          <w:rFonts w:asciiTheme="majorHAnsi" w:hAnsiTheme="majorHAnsi" w:cstheme="majorHAnsi"/>
          <w:sz w:val="24"/>
          <w:szCs w:val="24"/>
          <w:lang w:val="ro-MD"/>
        </w:rPr>
        <w:t>ele</w:t>
      </w:r>
      <w:r w:rsidRPr="009772A3">
        <w:rPr>
          <w:rFonts w:asciiTheme="majorHAnsi" w:hAnsiTheme="majorHAnsi" w:cstheme="majorHAnsi"/>
          <w:sz w:val="24"/>
          <w:szCs w:val="24"/>
          <w:lang w:val="ro-MD"/>
        </w:rPr>
        <w:t xml:space="preserve"> 1994-1997 </w:t>
      </w:r>
      <w:r w:rsidR="00930238" w:rsidRPr="009772A3">
        <w:rPr>
          <w:rFonts w:asciiTheme="majorHAnsi" w:hAnsiTheme="majorHAnsi" w:cstheme="majorHAnsi"/>
          <w:sz w:val="24"/>
          <w:szCs w:val="24"/>
          <w:lang w:val="ro-MD"/>
        </w:rPr>
        <w:t>și 2005-2016</w:t>
      </w:r>
      <w:r w:rsidR="00AA5D54"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acte</w:t>
      </w:r>
      <w:r w:rsidR="00AA5D54"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de verificare semnate</w:t>
      </w:r>
      <w:r w:rsidR="009B69A6" w:rsidRPr="009772A3">
        <w:rPr>
          <w:rFonts w:asciiTheme="majorHAnsi" w:hAnsiTheme="majorHAnsi" w:cstheme="majorHAnsi"/>
          <w:sz w:val="24"/>
          <w:szCs w:val="24"/>
          <w:lang w:val="ro-MD"/>
        </w:rPr>
        <w:t xml:space="preserve"> de SA Concernul Moldovagaz/SA Gazsnabtranzit</w:t>
      </w:r>
      <w:r w:rsidR="00930238" w:rsidRPr="009772A3">
        <w:rPr>
          <w:rFonts w:asciiTheme="majorHAnsi" w:hAnsiTheme="majorHAnsi" w:cstheme="majorHAnsi"/>
          <w:sz w:val="24"/>
          <w:szCs w:val="24"/>
          <w:lang w:val="ro-MD"/>
        </w:rPr>
        <w:t>/SA Moldovagaz cu Tiraspoltransgaz</w:t>
      </w:r>
      <w:r w:rsidR="00AA5D54" w:rsidRPr="009772A3">
        <w:rPr>
          <w:rFonts w:asciiTheme="majorHAnsi" w:hAnsiTheme="majorHAnsi" w:cstheme="majorHAnsi"/>
          <w:sz w:val="24"/>
          <w:szCs w:val="24"/>
          <w:lang w:val="ro-MD"/>
        </w:rPr>
        <w:t xml:space="preserve"> cu privire la datoriile acesteia au lipsit în mare parte</w:t>
      </w:r>
      <w:r w:rsidR="001073BD" w:rsidRPr="009772A3">
        <w:rPr>
          <w:rFonts w:asciiTheme="majorHAnsi" w:hAnsiTheme="majorHAnsi" w:cstheme="majorHAnsi"/>
          <w:sz w:val="24"/>
          <w:szCs w:val="24"/>
          <w:lang w:val="ro-MD"/>
        </w:rPr>
        <w:t>. Concomitent, în perioad</w:t>
      </w:r>
      <w:r w:rsidR="00930238" w:rsidRPr="009772A3">
        <w:rPr>
          <w:rFonts w:asciiTheme="majorHAnsi" w:hAnsiTheme="majorHAnsi" w:cstheme="majorHAnsi"/>
          <w:sz w:val="24"/>
          <w:szCs w:val="24"/>
          <w:lang w:val="ro-MD"/>
        </w:rPr>
        <w:t>ele</w:t>
      </w:r>
      <w:r w:rsidR="001073BD" w:rsidRPr="009772A3">
        <w:rPr>
          <w:rFonts w:asciiTheme="majorHAnsi" w:hAnsiTheme="majorHAnsi" w:cstheme="majorHAnsi"/>
          <w:sz w:val="24"/>
          <w:szCs w:val="24"/>
          <w:lang w:val="ro-MD"/>
        </w:rPr>
        <w:t xml:space="preserve"> menționat</w:t>
      </w:r>
      <w:r w:rsidR="00930238" w:rsidRPr="009772A3">
        <w:rPr>
          <w:rFonts w:asciiTheme="majorHAnsi" w:hAnsiTheme="majorHAnsi" w:cstheme="majorHAnsi"/>
          <w:sz w:val="24"/>
          <w:szCs w:val="24"/>
          <w:lang w:val="ro-MD"/>
        </w:rPr>
        <w:t>e</w:t>
      </w:r>
      <w:r w:rsidR="001073BD" w:rsidRPr="009772A3">
        <w:rPr>
          <w:rFonts w:asciiTheme="majorHAnsi" w:hAnsiTheme="majorHAnsi" w:cstheme="majorHAnsi"/>
          <w:sz w:val="24"/>
          <w:szCs w:val="24"/>
          <w:lang w:val="ro-MD"/>
        </w:rPr>
        <w:t xml:space="preserve">, în actele de verificare </w:t>
      </w:r>
      <w:r w:rsidR="002A22A6" w:rsidRPr="009772A3">
        <w:rPr>
          <w:rFonts w:asciiTheme="majorHAnsi" w:hAnsiTheme="majorHAnsi" w:cstheme="majorHAnsi"/>
          <w:sz w:val="24"/>
          <w:szCs w:val="24"/>
          <w:lang w:val="ro-MD"/>
        </w:rPr>
        <w:t xml:space="preserve">semnate </w:t>
      </w:r>
      <w:r w:rsidR="00930238" w:rsidRPr="009772A3">
        <w:rPr>
          <w:rFonts w:asciiTheme="majorHAnsi" w:hAnsiTheme="majorHAnsi" w:cstheme="majorHAnsi"/>
          <w:sz w:val="24"/>
          <w:szCs w:val="24"/>
          <w:lang w:val="ro-MD"/>
        </w:rPr>
        <w:t xml:space="preserve">de </w:t>
      </w:r>
      <w:r w:rsidR="003E7717" w:rsidRPr="009772A3">
        <w:rPr>
          <w:rFonts w:asciiTheme="majorHAnsi" w:hAnsiTheme="majorHAnsi" w:cstheme="majorHAnsi"/>
          <w:sz w:val="24"/>
          <w:szCs w:val="24"/>
          <w:lang w:val="ro-MD"/>
        </w:rPr>
        <w:t>către</w:t>
      </w:r>
      <w:r w:rsidR="00930238" w:rsidRPr="009772A3">
        <w:rPr>
          <w:rFonts w:asciiTheme="majorHAnsi" w:hAnsiTheme="majorHAnsi" w:cstheme="majorHAnsi"/>
          <w:sz w:val="24"/>
          <w:szCs w:val="24"/>
          <w:lang w:val="ro-MD"/>
        </w:rPr>
        <w:t xml:space="preserve"> SA Concernul Moldovagaz/SA Gazsnabtranzit/SA Moldovagaz</w:t>
      </w:r>
      <w:r w:rsidR="002A22A6">
        <w:rPr>
          <w:rFonts w:asciiTheme="majorHAnsi" w:hAnsiTheme="majorHAnsi" w:cstheme="majorHAnsi"/>
          <w:sz w:val="24"/>
          <w:szCs w:val="24"/>
          <w:lang w:val="ro-MD"/>
        </w:rPr>
        <w:t xml:space="preserve"> </w:t>
      </w:r>
      <w:r w:rsidR="00930238" w:rsidRPr="009772A3">
        <w:rPr>
          <w:rFonts w:asciiTheme="majorHAnsi" w:hAnsiTheme="majorHAnsi" w:cstheme="majorHAnsi"/>
          <w:sz w:val="24"/>
          <w:szCs w:val="24"/>
          <w:lang w:val="ro-MD"/>
        </w:rPr>
        <w:t xml:space="preserve"> </w:t>
      </w:r>
      <w:r w:rsidR="001073BD" w:rsidRPr="009772A3">
        <w:rPr>
          <w:rFonts w:asciiTheme="majorHAnsi" w:hAnsiTheme="majorHAnsi" w:cstheme="majorHAnsi"/>
          <w:sz w:val="24"/>
          <w:szCs w:val="24"/>
          <w:lang w:val="ro-MD"/>
        </w:rPr>
        <w:t xml:space="preserve">cu SA Gazprom, au </w:t>
      </w:r>
      <w:r w:rsidRPr="009772A3">
        <w:rPr>
          <w:rFonts w:asciiTheme="majorHAnsi" w:hAnsiTheme="majorHAnsi" w:cstheme="majorHAnsi"/>
          <w:sz w:val="24"/>
          <w:szCs w:val="24"/>
          <w:lang w:val="ro-MD"/>
        </w:rPr>
        <w:t>lipsit date</w:t>
      </w:r>
      <w:r w:rsidR="003E7717" w:rsidRPr="009772A3">
        <w:rPr>
          <w:rFonts w:asciiTheme="majorHAnsi" w:hAnsiTheme="majorHAnsi" w:cstheme="majorHAnsi"/>
          <w:sz w:val="24"/>
          <w:szCs w:val="24"/>
          <w:lang w:val="ro-MD"/>
        </w:rPr>
        <w:t>le</w:t>
      </w:r>
      <w:r w:rsidR="001073BD" w:rsidRPr="009772A3">
        <w:rPr>
          <w:rFonts w:asciiTheme="majorHAnsi" w:hAnsiTheme="majorHAnsi" w:cstheme="majorHAnsi"/>
          <w:sz w:val="24"/>
          <w:szCs w:val="24"/>
          <w:lang w:val="ro-MD"/>
        </w:rPr>
        <w:t xml:space="preserve"> cu privire la datorii, livrări și achitări</w:t>
      </w:r>
      <w:r w:rsidR="00930238" w:rsidRPr="009772A3">
        <w:rPr>
          <w:rFonts w:asciiTheme="majorHAnsi" w:hAnsiTheme="majorHAnsi" w:cstheme="majorHAnsi"/>
          <w:sz w:val="24"/>
          <w:szCs w:val="24"/>
          <w:lang w:val="ro-MD"/>
        </w:rPr>
        <w:t xml:space="preserve"> sepratat pentru partea dreaptă și partea st</w:t>
      </w:r>
      <w:r w:rsidR="003E7717" w:rsidRPr="009772A3">
        <w:rPr>
          <w:rFonts w:asciiTheme="majorHAnsi" w:hAnsiTheme="majorHAnsi" w:cstheme="majorHAnsi"/>
          <w:sz w:val="24"/>
          <w:szCs w:val="24"/>
          <w:lang w:val="ro-MD"/>
        </w:rPr>
        <w:t>â</w:t>
      </w:r>
      <w:r w:rsidR="00930238" w:rsidRPr="009772A3">
        <w:rPr>
          <w:rFonts w:asciiTheme="majorHAnsi" w:hAnsiTheme="majorHAnsi" w:cstheme="majorHAnsi"/>
          <w:sz w:val="24"/>
          <w:szCs w:val="24"/>
          <w:lang w:val="ro-MD"/>
        </w:rPr>
        <w:t xml:space="preserve">ngă a </w:t>
      </w:r>
      <w:r w:rsidR="003E7717" w:rsidRPr="009772A3">
        <w:rPr>
          <w:rFonts w:asciiTheme="majorHAnsi" w:hAnsiTheme="majorHAnsi" w:cstheme="majorHAnsi"/>
          <w:sz w:val="24"/>
          <w:szCs w:val="24"/>
          <w:lang w:val="ro-MD"/>
        </w:rPr>
        <w:t xml:space="preserve">râului </w:t>
      </w:r>
      <w:r w:rsidR="00930238" w:rsidRPr="009772A3">
        <w:rPr>
          <w:rFonts w:asciiTheme="majorHAnsi" w:hAnsiTheme="majorHAnsi" w:cstheme="majorHAnsi"/>
          <w:sz w:val="24"/>
          <w:szCs w:val="24"/>
          <w:lang w:val="ro-MD"/>
        </w:rPr>
        <w:t>Nistru</w:t>
      </w:r>
      <w:r w:rsidRPr="009772A3">
        <w:rPr>
          <w:rFonts w:asciiTheme="majorHAnsi" w:hAnsiTheme="majorHAnsi" w:cstheme="majorHAnsi"/>
          <w:sz w:val="24"/>
          <w:szCs w:val="24"/>
          <w:lang w:val="ro-MD"/>
        </w:rPr>
        <w:t>;</w:t>
      </w:r>
    </w:p>
    <w:p w14:paraId="2AAD20A3" w14:textId="0EF7F10F" w:rsidR="004711BB" w:rsidRPr="009772A3" w:rsidRDefault="00F36722" w:rsidP="002A22A6">
      <w:pPr>
        <w:pStyle w:val="ListParagraph"/>
        <w:numPr>
          <w:ilvl w:val="1"/>
          <w:numId w:val="29"/>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unele perioade lipsesc acte</w:t>
      </w:r>
      <w:r w:rsidR="003E7717"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de verificare semnate de întreprinderile </w:t>
      </w:r>
      <w:r w:rsidR="003E7717" w:rsidRPr="009772A3">
        <w:rPr>
          <w:rFonts w:asciiTheme="majorHAnsi" w:hAnsiTheme="majorHAnsi" w:cstheme="majorHAnsi"/>
          <w:sz w:val="24"/>
          <w:szCs w:val="24"/>
          <w:lang w:val="ro-MD"/>
        </w:rPr>
        <w:t>de pe</w:t>
      </w:r>
      <w:r w:rsidRPr="009772A3">
        <w:rPr>
          <w:rFonts w:asciiTheme="majorHAnsi" w:hAnsiTheme="majorHAnsi" w:cstheme="majorHAnsi"/>
          <w:sz w:val="24"/>
          <w:szCs w:val="24"/>
          <w:lang w:val="ro-MD"/>
        </w:rPr>
        <w:t xml:space="preserve"> malul drept al</w:t>
      </w:r>
      <w:r w:rsidR="003E7717" w:rsidRPr="009772A3">
        <w:rPr>
          <w:rFonts w:asciiTheme="majorHAnsi" w:hAnsiTheme="majorHAnsi" w:cstheme="majorHAnsi"/>
          <w:sz w:val="24"/>
          <w:szCs w:val="24"/>
          <w:lang w:val="ro-MD"/>
        </w:rPr>
        <w:t xml:space="preserve"> râului</w:t>
      </w:r>
      <w:r w:rsidRPr="009772A3">
        <w:rPr>
          <w:rFonts w:asciiTheme="majorHAnsi" w:hAnsiTheme="majorHAnsi" w:cstheme="majorHAnsi"/>
          <w:sz w:val="24"/>
          <w:szCs w:val="24"/>
          <w:lang w:val="ro-MD"/>
        </w:rPr>
        <w:t xml:space="preserve"> Nistru cu SA Gazprom (pentru livrările efectuate în anul 1995 – </w:t>
      </w:r>
      <w:r w:rsidR="004711BB" w:rsidRPr="009772A3">
        <w:rPr>
          <w:rFonts w:asciiTheme="majorHAnsi" w:hAnsiTheme="majorHAnsi" w:cstheme="majorHAnsi"/>
          <w:sz w:val="24"/>
          <w:szCs w:val="24"/>
          <w:lang w:val="ro-MD"/>
        </w:rPr>
        <w:t xml:space="preserve">actele întocmite în </w:t>
      </w:r>
      <w:r w:rsidRPr="009772A3">
        <w:rPr>
          <w:rFonts w:asciiTheme="majorHAnsi" w:hAnsiTheme="majorHAnsi" w:cstheme="majorHAnsi"/>
          <w:sz w:val="24"/>
          <w:szCs w:val="24"/>
          <w:lang w:val="ro-MD"/>
        </w:rPr>
        <w:t>anii 1995</w:t>
      </w:r>
      <w:r w:rsidR="003E7717" w:rsidRPr="009772A3">
        <w:rPr>
          <w:rFonts w:asciiTheme="majorHAnsi" w:hAnsiTheme="majorHAnsi" w:cstheme="majorHAnsi"/>
          <w:sz w:val="24"/>
          <w:szCs w:val="24"/>
          <w:lang w:val="ro-MD"/>
        </w:rPr>
        <w:t xml:space="preserve"> și</w:t>
      </w:r>
      <w:r w:rsidRPr="009772A3">
        <w:rPr>
          <w:rFonts w:asciiTheme="majorHAnsi" w:hAnsiTheme="majorHAnsi" w:cstheme="majorHAnsi"/>
          <w:sz w:val="24"/>
          <w:szCs w:val="24"/>
          <w:lang w:val="ro-MD"/>
        </w:rPr>
        <w:t xml:space="preserve"> 1996; pentru livrările efectuate încep</w:t>
      </w:r>
      <w:r w:rsidR="003E771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nd cu anul 1996 – </w:t>
      </w:r>
      <w:r w:rsidR="004711BB" w:rsidRPr="009772A3">
        <w:rPr>
          <w:rFonts w:asciiTheme="majorHAnsi" w:hAnsiTheme="majorHAnsi" w:cstheme="majorHAnsi"/>
          <w:sz w:val="24"/>
          <w:szCs w:val="24"/>
          <w:lang w:val="ro-MD"/>
        </w:rPr>
        <w:t xml:space="preserve">actele întocmite în </w:t>
      </w:r>
      <w:r w:rsidRPr="009772A3">
        <w:rPr>
          <w:rFonts w:asciiTheme="majorHAnsi" w:hAnsiTheme="majorHAnsi" w:cstheme="majorHAnsi"/>
          <w:sz w:val="24"/>
          <w:szCs w:val="24"/>
          <w:lang w:val="ro-MD"/>
        </w:rPr>
        <w:t>anii 2004-2013)</w:t>
      </w:r>
      <w:r w:rsidR="004711BB" w:rsidRPr="009772A3">
        <w:rPr>
          <w:rFonts w:asciiTheme="majorHAnsi" w:hAnsiTheme="majorHAnsi" w:cstheme="majorHAnsi"/>
          <w:sz w:val="24"/>
          <w:szCs w:val="24"/>
          <w:lang w:val="ro-MD"/>
        </w:rPr>
        <w:t>;</w:t>
      </w:r>
    </w:p>
    <w:p w14:paraId="1E53B635" w14:textId="7E430C53" w:rsidR="00F36722" w:rsidRPr="009772A3" w:rsidRDefault="004711BB" w:rsidP="002A22A6">
      <w:pPr>
        <w:pStyle w:val="ListParagraph"/>
        <w:numPr>
          <w:ilvl w:val="1"/>
          <w:numId w:val="29"/>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w:t>
      </w:r>
      <w:r w:rsidR="00F36722" w:rsidRPr="009772A3">
        <w:rPr>
          <w:rFonts w:asciiTheme="majorHAnsi" w:hAnsiTheme="majorHAnsi" w:cstheme="majorHAnsi"/>
          <w:sz w:val="24"/>
          <w:szCs w:val="24"/>
          <w:lang w:val="ro-MD"/>
        </w:rPr>
        <w:t>entru perioada 1994-2002</w:t>
      </w:r>
      <w:r w:rsidR="003E7717" w:rsidRPr="009772A3">
        <w:rPr>
          <w:rFonts w:asciiTheme="majorHAnsi" w:hAnsiTheme="majorHAnsi" w:cstheme="majorHAnsi"/>
          <w:sz w:val="24"/>
          <w:szCs w:val="24"/>
          <w:lang w:val="ro-MD"/>
        </w:rPr>
        <w:t>,</w:t>
      </w:r>
      <w:r w:rsidR="00F36722"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în actele de veri</w:t>
      </w:r>
      <w:r w:rsidR="003B6422" w:rsidRPr="009772A3">
        <w:rPr>
          <w:rFonts w:asciiTheme="majorHAnsi" w:hAnsiTheme="majorHAnsi" w:cstheme="majorHAnsi"/>
          <w:sz w:val="24"/>
          <w:szCs w:val="24"/>
          <w:lang w:val="ro-MD"/>
        </w:rPr>
        <w:t>f</w:t>
      </w:r>
      <w:r w:rsidRPr="009772A3">
        <w:rPr>
          <w:rFonts w:asciiTheme="majorHAnsi" w:hAnsiTheme="majorHAnsi" w:cstheme="majorHAnsi"/>
          <w:sz w:val="24"/>
          <w:szCs w:val="24"/>
          <w:lang w:val="ro-MD"/>
        </w:rPr>
        <w:t xml:space="preserve">icare </w:t>
      </w:r>
      <w:r w:rsidR="003B6422" w:rsidRPr="009772A3">
        <w:rPr>
          <w:rFonts w:asciiTheme="majorHAnsi" w:hAnsiTheme="majorHAnsi" w:cstheme="majorHAnsi"/>
          <w:sz w:val="24"/>
          <w:szCs w:val="24"/>
          <w:lang w:val="ro-MD"/>
        </w:rPr>
        <w:t xml:space="preserve">semnate de întreprinderile </w:t>
      </w:r>
      <w:r w:rsidR="003E7717" w:rsidRPr="009772A3">
        <w:rPr>
          <w:rFonts w:asciiTheme="majorHAnsi" w:hAnsiTheme="majorHAnsi" w:cstheme="majorHAnsi"/>
          <w:sz w:val="24"/>
          <w:szCs w:val="24"/>
          <w:lang w:val="ro-MD"/>
        </w:rPr>
        <w:t xml:space="preserve">de pe </w:t>
      </w:r>
      <w:r w:rsidR="003B6422" w:rsidRPr="009772A3">
        <w:rPr>
          <w:rFonts w:asciiTheme="majorHAnsi" w:hAnsiTheme="majorHAnsi" w:cstheme="majorHAnsi"/>
          <w:sz w:val="24"/>
          <w:szCs w:val="24"/>
          <w:lang w:val="ro-MD"/>
        </w:rPr>
        <w:t xml:space="preserve">malul drept al </w:t>
      </w:r>
      <w:r w:rsidR="003E7717" w:rsidRPr="009772A3">
        <w:rPr>
          <w:rFonts w:asciiTheme="majorHAnsi" w:hAnsiTheme="majorHAnsi" w:cstheme="majorHAnsi"/>
          <w:sz w:val="24"/>
          <w:szCs w:val="24"/>
          <w:lang w:val="ro-MD"/>
        </w:rPr>
        <w:t xml:space="preserve">râului </w:t>
      </w:r>
      <w:r w:rsidR="003B6422" w:rsidRPr="009772A3">
        <w:rPr>
          <w:rFonts w:asciiTheme="majorHAnsi" w:hAnsiTheme="majorHAnsi" w:cstheme="majorHAnsi"/>
          <w:sz w:val="24"/>
          <w:szCs w:val="24"/>
          <w:lang w:val="ro-MD"/>
        </w:rPr>
        <w:t xml:space="preserve">Nistru cu SA Gazprom </w:t>
      </w:r>
      <w:r w:rsidR="00F36722" w:rsidRPr="009772A3">
        <w:rPr>
          <w:rFonts w:asciiTheme="majorHAnsi" w:hAnsiTheme="majorHAnsi" w:cstheme="majorHAnsi"/>
          <w:sz w:val="24"/>
          <w:szCs w:val="24"/>
          <w:lang w:val="ro-MD"/>
        </w:rPr>
        <w:t xml:space="preserve">nu sunt indicate </w:t>
      </w:r>
      <w:r w:rsidR="003B6422" w:rsidRPr="009772A3">
        <w:rPr>
          <w:rFonts w:asciiTheme="majorHAnsi" w:hAnsiTheme="majorHAnsi" w:cstheme="majorHAnsi"/>
          <w:sz w:val="24"/>
          <w:szCs w:val="24"/>
          <w:lang w:val="ro-MD"/>
        </w:rPr>
        <w:t>procurările</w:t>
      </w:r>
      <w:r w:rsidR="00F36722" w:rsidRPr="009772A3">
        <w:rPr>
          <w:rFonts w:asciiTheme="majorHAnsi" w:hAnsiTheme="majorHAnsi" w:cstheme="majorHAnsi"/>
          <w:sz w:val="24"/>
          <w:szCs w:val="24"/>
          <w:lang w:val="ro-MD"/>
        </w:rPr>
        <w:t xml:space="preserve"> și achitările aferente localităților </w:t>
      </w:r>
      <w:r w:rsidR="008C0B2A" w:rsidRPr="009772A3">
        <w:rPr>
          <w:rFonts w:asciiTheme="majorHAnsi" w:hAnsiTheme="majorHAnsi" w:cstheme="majorHAnsi"/>
          <w:sz w:val="24"/>
          <w:szCs w:val="24"/>
          <w:lang w:val="ro-MD"/>
        </w:rPr>
        <w:t xml:space="preserve">de pe </w:t>
      </w:r>
      <w:r w:rsidR="00F36722" w:rsidRPr="009772A3">
        <w:rPr>
          <w:rFonts w:asciiTheme="majorHAnsi" w:hAnsiTheme="majorHAnsi" w:cstheme="majorHAnsi"/>
          <w:sz w:val="24"/>
          <w:szCs w:val="24"/>
          <w:lang w:val="ro-MD"/>
        </w:rPr>
        <w:t>malul st</w:t>
      </w:r>
      <w:r w:rsidR="008C0B2A" w:rsidRPr="009772A3">
        <w:rPr>
          <w:rFonts w:asciiTheme="majorHAnsi" w:hAnsiTheme="majorHAnsi" w:cstheme="majorHAnsi"/>
          <w:sz w:val="24"/>
          <w:szCs w:val="24"/>
          <w:lang w:val="ro-MD"/>
        </w:rPr>
        <w:t>â</w:t>
      </w:r>
      <w:r w:rsidR="00F36722" w:rsidRPr="009772A3">
        <w:rPr>
          <w:rFonts w:asciiTheme="majorHAnsi" w:hAnsiTheme="majorHAnsi" w:cstheme="majorHAnsi"/>
          <w:sz w:val="24"/>
          <w:szCs w:val="24"/>
          <w:lang w:val="ro-MD"/>
        </w:rPr>
        <w:t xml:space="preserve">ng și </w:t>
      </w:r>
      <w:r w:rsidR="008C0B2A" w:rsidRPr="009772A3">
        <w:rPr>
          <w:rFonts w:asciiTheme="majorHAnsi" w:hAnsiTheme="majorHAnsi" w:cstheme="majorHAnsi"/>
          <w:sz w:val="24"/>
          <w:szCs w:val="24"/>
          <w:lang w:val="ro-MD"/>
        </w:rPr>
        <w:t>cel</w:t>
      </w:r>
      <w:r w:rsidR="00F36722" w:rsidRPr="009772A3">
        <w:rPr>
          <w:rFonts w:asciiTheme="majorHAnsi" w:hAnsiTheme="majorHAnsi" w:cstheme="majorHAnsi"/>
          <w:sz w:val="24"/>
          <w:szCs w:val="24"/>
          <w:lang w:val="ro-MD"/>
        </w:rPr>
        <w:t xml:space="preserve"> drept al Nistrului;</w:t>
      </w:r>
    </w:p>
    <w:p w14:paraId="0C81C4FB" w14:textId="2A34798D" w:rsidR="00F36722" w:rsidRPr="009772A3" w:rsidRDefault="00F36722" w:rsidP="002A22A6">
      <w:pPr>
        <w:pStyle w:val="ListParagraph"/>
        <w:numPr>
          <w:ilvl w:val="1"/>
          <w:numId w:val="29"/>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pentru livrările efectuate în anul 1994, soldurile datoriilor </w:t>
      </w:r>
      <w:r w:rsidR="004711BB" w:rsidRPr="009772A3">
        <w:rPr>
          <w:rFonts w:asciiTheme="majorHAnsi" w:hAnsiTheme="majorHAnsi" w:cstheme="majorHAnsi"/>
          <w:sz w:val="24"/>
          <w:szCs w:val="24"/>
          <w:lang w:val="ro-MD"/>
        </w:rPr>
        <w:t xml:space="preserve">finale </w:t>
      </w:r>
      <w:r w:rsidRPr="009772A3">
        <w:rPr>
          <w:rFonts w:asciiTheme="majorHAnsi" w:hAnsiTheme="majorHAnsi" w:cstheme="majorHAnsi"/>
          <w:sz w:val="24"/>
          <w:szCs w:val="24"/>
          <w:lang w:val="ro-MD"/>
        </w:rPr>
        <w:t xml:space="preserve">indicate </w:t>
      </w:r>
      <w:r w:rsidR="004711BB" w:rsidRPr="009772A3">
        <w:rPr>
          <w:rFonts w:asciiTheme="majorHAnsi" w:hAnsiTheme="majorHAnsi" w:cstheme="majorHAnsi"/>
          <w:sz w:val="24"/>
          <w:szCs w:val="24"/>
          <w:lang w:val="ro-MD"/>
        </w:rPr>
        <w:t xml:space="preserve">în actele de verificare întocmite </w:t>
      </w:r>
      <w:r w:rsidRPr="009772A3">
        <w:rPr>
          <w:rFonts w:asciiTheme="majorHAnsi" w:hAnsiTheme="majorHAnsi" w:cstheme="majorHAnsi"/>
          <w:sz w:val="24"/>
          <w:szCs w:val="24"/>
          <w:lang w:val="ro-MD"/>
        </w:rPr>
        <w:t xml:space="preserve">în anii 1996-1998 nu coincid cu soldul datoriilor </w:t>
      </w:r>
      <w:r w:rsidR="004711BB" w:rsidRPr="009772A3">
        <w:rPr>
          <w:rFonts w:asciiTheme="majorHAnsi" w:hAnsiTheme="majorHAnsi" w:cstheme="majorHAnsi"/>
          <w:sz w:val="24"/>
          <w:szCs w:val="24"/>
          <w:lang w:val="ro-MD"/>
        </w:rPr>
        <w:t xml:space="preserve">inițiale </w:t>
      </w:r>
      <w:r w:rsidRPr="009772A3">
        <w:rPr>
          <w:rFonts w:asciiTheme="majorHAnsi" w:hAnsiTheme="majorHAnsi" w:cstheme="majorHAnsi"/>
          <w:sz w:val="24"/>
          <w:szCs w:val="24"/>
          <w:lang w:val="ro-MD"/>
        </w:rPr>
        <w:t xml:space="preserve">indicate în actele de verificare </w:t>
      </w:r>
      <w:r w:rsidR="004711BB" w:rsidRPr="009772A3">
        <w:rPr>
          <w:rFonts w:asciiTheme="majorHAnsi" w:hAnsiTheme="majorHAnsi" w:cstheme="majorHAnsi"/>
          <w:sz w:val="24"/>
          <w:szCs w:val="24"/>
          <w:lang w:val="ro-MD"/>
        </w:rPr>
        <w:t>di</w:t>
      </w:r>
      <w:r w:rsidRPr="009772A3">
        <w:rPr>
          <w:rFonts w:asciiTheme="majorHAnsi" w:hAnsiTheme="majorHAnsi" w:cstheme="majorHAnsi"/>
          <w:sz w:val="24"/>
          <w:szCs w:val="24"/>
          <w:lang w:val="ro-MD"/>
        </w:rPr>
        <w:t xml:space="preserve">n anul </w:t>
      </w:r>
      <w:r w:rsidR="004711BB" w:rsidRPr="009772A3">
        <w:rPr>
          <w:rFonts w:asciiTheme="majorHAnsi" w:hAnsiTheme="majorHAnsi" w:cstheme="majorHAnsi"/>
          <w:sz w:val="24"/>
          <w:szCs w:val="24"/>
          <w:lang w:val="ro-MD"/>
        </w:rPr>
        <w:t>următor</w:t>
      </w:r>
      <w:r w:rsidRPr="009772A3">
        <w:rPr>
          <w:rFonts w:asciiTheme="majorHAnsi" w:hAnsiTheme="majorHAnsi" w:cstheme="majorHAnsi"/>
          <w:sz w:val="24"/>
          <w:szCs w:val="24"/>
          <w:lang w:val="ro-MD"/>
        </w:rPr>
        <w:t>.</w:t>
      </w:r>
    </w:p>
    <w:p w14:paraId="5C0A4120" w14:textId="51B4C294" w:rsidR="00B2236E" w:rsidRPr="009772A3" w:rsidRDefault="007B01F3" w:rsidP="00051AAF">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w:t>
      </w:r>
      <w:r w:rsidR="00BD68B8" w:rsidRPr="009772A3">
        <w:rPr>
          <w:rFonts w:asciiTheme="majorHAnsi" w:hAnsiTheme="majorHAnsi" w:cstheme="majorHAnsi"/>
          <w:sz w:val="24"/>
          <w:szCs w:val="24"/>
          <w:vertAlign w:val="baseline"/>
          <w:lang w:val="ro-MD"/>
        </w:rPr>
        <w:t>vând în vedere cele consta</w:t>
      </w:r>
      <w:r w:rsidR="002C041E" w:rsidRPr="009772A3">
        <w:rPr>
          <w:rFonts w:asciiTheme="majorHAnsi" w:hAnsiTheme="majorHAnsi" w:cstheme="majorHAnsi"/>
          <w:sz w:val="24"/>
          <w:szCs w:val="24"/>
          <w:vertAlign w:val="baseline"/>
          <w:lang w:val="ro-MD"/>
        </w:rPr>
        <w:t>ta</w:t>
      </w:r>
      <w:r w:rsidR="00BD68B8" w:rsidRPr="009772A3">
        <w:rPr>
          <w:rFonts w:asciiTheme="majorHAnsi" w:hAnsiTheme="majorHAnsi" w:cstheme="majorHAnsi"/>
          <w:sz w:val="24"/>
          <w:szCs w:val="24"/>
          <w:vertAlign w:val="baseline"/>
          <w:lang w:val="ro-MD"/>
        </w:rPr>
        <w:t>te și expuse</w:t>
      </w:r>
      <w:r w:rsidRPr="009772A3">
        <w:rPr>
          <w:rFonts w:asciiTheme="majorHAnsi" w:hAnsiTheme="majorHAnsi" w:cstheme="majorHAnsi"/>
          <w:sz w:val="24"/>
          <w:szCs w:val="24"/>
          <w:vertAlign w:val="baseline"/>
          <w:lang w:val="ro-MD"/>
        </w:rPr>
        <w:t xml:space="preserve"> supra</w:t>
      </w:r>
      <w:r w:rsidR="00BD68B8" w:rsidRPr="009772A3">
        <w:rPr>
          <w:rFonts w:asciiTheme="majorHAnsi" w:hAnsiTheme="majorHAnsi" w:cstheme="majorHAnsi"/>
          <w:sz w:val="24"/>
          <w:szCs w:val="24"/>
          <w:vertAlign w:val="baseline"/>
          <w:lang w:val="ro-MD"/>
        </w:rPr>
        <w:t>, se conchide că d</w:t>
      </w:r>
      <w:r w:rsidR="00B2236E" w:rsidRPr="009772A3">
        <w:rPr>
          <w:rFonts w:asciiTheme="majorHAnsi" w:hAnsiTheme="majorHAnsi" w:cstheme="majorHAnsi"/>
          <w:sz w:val="24"/>
          <w:szCs w:val="24"/>
          <w:vertAlign w:val="baseline"/>
          <w:lang w:val="ro-MD"/>
        </w:rPr>
        <w:t>atoria SA Moldovagaz față de SA Gazprom, la situația din 31.12.2021,</w:t>
      </w:r>
      <w:r w:rsidRPr="009772A3">
        <w:rPr>
          <w:rFonts w:asciiTheme="majorHAnsi" w:hAnsiTheme="majorHAnsi" w:cstheme="majorHAnsi"/>
          <w:sz w:val="24"/>
          <w:szCs w:val="24"/>
          <w:vertAlign w:val="baseline"/>
          <w:lang w:val="ro-MD"/>
        </w:rPr>
        <w:t xml:space="preserve"> în sumă totală de 745.557,0 mii dolari SUA – partea dreaptă a Nistrului</w:t>
      </w:r>
      <w:r w:rsidR="008C0B2A"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și în sumă totală de 7.797.175,6 mii dolari SUA – partea stângă a Nistrului</w:t>
      </w:r>
      <w:r w:rsidR="002C041E"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r w:rsidR="00B2236E" w:rsidRPr="009772A3">
        <w:rPr>
          <w:rFonts w:asciiTheme="majorHAnsi" w:hAnsiTheme="majorHAnsi" w:cstheme="majorHAnsi"/>
          <w:sz w:val="24"/>
          <w:szCs w:val="24"/>
          <w:vertAlign w:val="baseline"/>
          <w:lang w:val="ro-MD"/>
        </w:rPr>
        <w:t xml:space="preserve">este supusă unui risc semnificativ de neveridicitate, dat fiind nedelimitarea clară a datoriilor dintre malul drept și malul stâng al </w:t>
      </w:r>
      <w:r w:rsidR="008C0B2A" w:rsidRPr="009772A3">
        <w:rPr>
          <w:rFonts w:asciiTheme="majorHAnsi" w:hAnsiTheme="majorHAnsi" w:cstheme="majorHAnsi"/>
          <w:sz w:val="24"/>
          <w:szCs w:val="24"/>
          <w:vertAlign w:val="baseline"/>
          <w:lang w:val="ro-MD"/>
        </w:rPr>
        <w:t xml:space="preserve">râului </w:t>
      </w:r>
      <w:r w:rsidR="00B2236E" w:rsidRPr="009772A3">
        <w:rPr>
          <w:rFonts w:asciiTheme="majorHAnsi" w:hAnsiTheme="majorHAnsi" w:cstheme="majorHAnsi"/>
          <w:sz w:val="24"/>
          <w:szCs w:val="24"/>
          <w:vertAlign w:val="baseline"/>
          <w:lang w:val="ro-MD"/>
        </w:rPr>
        <w:t xml:space="preserve">Nistru în actele de verificare semnate de </w:t>
      </w:r>
      <w:r w:rsidR="003A2738" w:rsidRPr="009772A3">
        <w:rPr>
          <w:rFonts w:asciiTheme="majorHAnsi" w:hAnsiTheme="majorHAnsi" w:cstheme="majorHAnsi"/>
          <w:sz w:val="24"/>
          <w:szCs w:val="24"/>
          <w:vertAlign w:val="baseline"/>
          <w:lang w:val="ro-MD"/>
        </w:rPr>
        <w:t xml:space="preserve">către </w:t>
      </w:r>
      <w:r w:rsidR="00B2236E" w:rsidRPr="009772A3">
        <w:rPr>
          <w:rFonts w:asciiTheme="majorHAnsi" w:hAnsiTheme="majorHAnsi" w:cstheme="majorHAnsi"/>
          <w:sz w:val="24"/>
          <w:szCs w:val="24"/>
          <w:vertAlign w:val="baseline"/>
          <w:lang w:val="ro-MD"/>
        </w:rPr>
        <w:t xml:space="preserve">părți. </w:t>
      </w:r>
    </w:p>
    <w:p w14:paraId="0A3A407C" w14:textId="664B8C7F" w:rsidR="00DA7D89" w:rsidRPr="009772A3" w:rsidRDefault="00DA7D89" w:rsidP="00051AAF">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Informații detaliate din actele de verificare a decontărilor reciproce dintre SA Gazprom, SA Moldovagaz și SRL Tiraspoltransgaz se prezintă în </w:t>
      </w:r>
      <w:r w:rsidR="002C041E" w:rsidRPr="009772A3">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nexa nr.5 la prezentul Raport de audit.</w:t>
      </w:r>
    </w:p>
    <w:p w14:paraId="6000F893" w14:textId="2AD10F0C" w:rsidR="00FD1AA6" w:rsidRPr="009772A3" w:rsidRDefault="00291E83" w:rsidP="006738D1">
      <w:pPr>
        <w:pStyle w:val="Heading1"/>
        <w:numPr>
          <w:ilvl w:val="1"/>
          <w:numId w:val="2"/>
        </w:numPr>
        <w:spacing w:line="276" w:lineRule="auto"/>
        <w:ind w:left="0" w:firstLine="0"/>
        <w:jc w:val="left"/>
        <w:rPr>
          <w:rFonts w:cstheme="majorHAnsi"/>
          <w:color w:val="auto"/>
          <w:szCs w:val="24"/>
          <w:lang w:val="ro-MD"/>
        </w:rPr>
      </w:pPr>
      <w:bookmarkStart w:id="46" w:name="_Toc119496398"/>
      <w:r w:rsidRPr="009772A3">
        <w:rPr>
          <w:rFonts w:cstheme="majorHAnsi"/>
          <w:color w:val="auto"/>
          <w:szCs w:val="24"/>
          <w:lang w:val="ro-MD"/>
        </w:rPr>
        <w:t>Planificarea, fundamentarea și realizarea investițiilor capitale la întreprinderile de gaze naturale s-a efectuat în conformitate cu reglementările aplicabile în vigoare?</w:t>
      </w:r>
      <w:bookmarkEnd w:id="46"/>
    </w:p>
    <w:p w14:paraId="23D202D8" w14:textId="04191172" w:rsidR="00DE381A" w:rsidRPr="009772A3" w:rsidRDefault="00DE381A" w:rsidP="00DE381A">
      <w:pPr>
        <w:pStyle w:val="FootnoteText"/>
        <w:spacing w:line="276" w:lineRule="auto"/>
        <w:ind w:firstLine="709"/>
        <w:jc w:val="both"/>
        <w:rPr>
          <w:rFonts w:asciiTheme="majorHAnsi" w:hAnsiTheme="majorHAnsi" w:cstheme="majorHAnsi"/>
          <w:i/>
          <w:sz w:val="24"/>
          <w:szCs w:val="24"/>
          <w:vertAlign w:val="baseline"/>
          <w:lang w:val="ro-MD"/>
        </w:rPr>
      </w:pPr>
      <w:r w:rsidRPr="009772A3">
        <w:rPr>
          <w:rFonts w:asciiTheme="majorHAnsi" w:hAnsiTheme="majorHAnsi" w:cstheme="majorHAnsi"/>
          <w:i/>
          <w:sz w:val="24"/>
          <w:szCs w:val="24"/>
          <w:vertAlign w:val="baseline"/>
          <w:lang w:val="ro-MD"/>
        </w:rPr>
        <w:t xml:space="preserve">Unele investiții în infrastructura de transport, distribuție și furnizare a gazelor naturale au fost realizate cu abateri de la condițiile și principiile în vigoare, ceea ce a generat neaprobarea de către ANRE, spre recuperare prin tarif a acestora, precum și suportarea </w:t>
      </w:r>
      <w:r w:rsidR="00272FFA">
        <w:rPr>
          <w:rFonts w:asciiTheme="majorHAnsi" w:hAnsiTheme="majorHAnsi" w:cstheme="majorHAnsi"/>
          <w:i/>
          <w:sz w:val="24"/>
          <w:szCs w:val="24"/>
          <w:vertAlign w:val="baseline"/>
          <w:lang w:val="ro-MD"/>
        </w:rPr>
        <w:t>acestora</w:t>
      </w:r>
      <w:r w:rsidR="00272FFA" w:rsidRPr="009772A3">
        <w:rPr>
          <w:rFonts w:asciiTheme="majorHAnsi" w:hAnsiTheme="majorHAnsi" w:cstheme="majorHAnsi"/>
          <w:i/>
          <w:sz w:val="24"/>
          <w:szCs w:val="24"/>
          <w:vertAlign w:val="baseline"/>
          <w:lang w:val="ro-MD"/>
        </w:rPr>
        <w:t xml:space="preserve"> </w:t>
      </w:r>
      <w:r w:rsidRPr="009772A3">
        <w:rPr>
          <w:rFonts w:asciiTheme="majorHAnsi" w:hAnsiTheme="majorHAnsi" w:cstheme="majorHAnsi"/>
          <w:i/>
          <w:sz w:val="24"/>
          <w:szCs w:val="24"/>
          <w:vertAlign w:val="baseline"/>
          <w:lang w:val="ro-MD"/>
        </w:rPr>
        <w:t xml:space="preserve">din contul </w:t>
      </w:r>
      <w:r w:rsidR="003232F9" w:rsidRPr="009772A3">
        <w:rPr>
          <w:rFonts w:asciiTheme="majorHAnsi" w:hAnsiTheme="majorHAnsi" w:cstheme="majorHAnsi"/>
          <w:i/>
          <w:sz w:val="24"/>
          <w:szCs w:val="24"/>
          <w:vertAlign w:val="baseline"/>
          <w:lang w:val="ro-MD"/>
        </w:rPr>
        <w:t>altor surse dec</w:t>
      </w:r>
      <w:r w:rsidR="002C041E" w:rsidRPr="009772A3">
        <w:rPr>
          <w:rFonts w:asciiTheme="majorHAnsi" w:hAnsiTheme="majorHAnsi" w:cstheme="majorHAnsi"/>
          <w:i/>
          <w:sz w:val="24"/>
          <w:szCs w:val="24"/>
          <w:vertAlign w:val="baseline"/>
          <w:lang w:val="ro-MD"/>
        </w:rPr>
        <w:t>â</w:t>
      </w:r>
      <w:r w:rsidR="003232F9" w:rsidRPr="009772A3">
        <w:rPr>
          <w:rFonts w:asciiTheme="majorHAnsi" w:hAnsiTheme="majorHAnsi" w:cstheme="majorHAnsi"/>
          <w:i/>
          <w:sz w:val="24"/>
          <w:szCs w:val="24"/>
          <w:vertAlign w:val="baseline"/>
          <w:lang w:val="ro-MD"/>
        </w:rPr>
        <w:t>t veniturile din activitatea reglementată</w:t>
      </w:r>
      <w:r w:rsidRPr="009772A3">
        <w:rPr>
          <w:rFonts w:asciiTheme="majorHAnsi" w:hAnsiTheme="majorHAnsi" w:cstheme="majorHAnsi"/>
          <w:i/>
          <w:sz w:val="24"/>
          <w:szCs w:val="24"/>
          <w:vertAlign w:val="baseline"/>
          <w:lang w:val="ro-MD"/>
        </w:rPr>
        <w:t>. Totodată, neplanificarea, nefundamentarea și nerealizarea corespunzătoare</w:t>
      </w:r>
      <w:r w:rsidR="002C041E" w:rsidRPr="009772A3">
        <w:rPr>
          <w:rFonts w:asciiTheme="majorHAnsi" w:hAnsiTheme="majorHAnsi" w:cstheme="majorHAnsi"/>
          <w:i/>
          <w:sz w:val="24"/>
          <w:szCs w:val="24"/>
          <w:vertAlign w:val="baseline"/>
          <w:lang w:val="ro-MD"/>
        </w:rPr>
        <w:t xml:space="preserve"> a investițiilor</w:t>
      </w:r>
      <w:r w:rsidRPr="009772A3">
        <w:rPr>
          <w:rFonts w:asciiTheme="majorHAnsi" w:hAnsiTheme="majorHAnsi" w:cstheme="majorHAnsi"/>
          <w:i/>
          <w:sz w:val="24"/>
          <w:szCs w:val="24"/>
          <w:vertAlign w:val="baseline"/>
          <w:lang w:val="ro-MD"/>
        </w:rPr>
        <w:t xml:space="preserve">, nu a contribuit </w:t>
      </w:r>
      <w:r w:rsidR="003232F9" w:rsidRPr="009772A3">
        <w:rPr>
          <w:rFonts w:asciiTheme="majorHAnsi" w:hAnsiTheme="majorHAnsi" w:cstheme="majorHAnsi"/>
          <w:i/>
          <w:sz w:val="24"/>
          <w:szCs w:val="24"/>
          <w:vertAlign w:val="baseline"/>
          <w:lang w:val="ro-MD"/>
        </w:rPr>
        <w:t xml:space="preserve">la </w:t>
      </w:r>
      <w:r w:rsidRPr="009772A3">
        <w:rPr>
          <w:rFonts w:asciiTheme="majorHAnsi" w:hAnsiTheme="majorHAnsi" w:cstheme="majorHAnsi"/>
          <w:i/>
          <w:sz w:val="24"/>
          <w:szCs w:val="24"/>
          <w:vertAlign w:val="baseline"/>
          <w:lang w:val="ro-MD"/>
        </w:rPr>
        <w:t>eficien</w:t>
      </w:r>
      <w:r w:rsidR="003232F9" w:rsidRPr="009772A3">
        <w:rPr>
          <w:rFonts w:asciiTheme="majorHAnsi" w:hAnsiTheme="majorHAnsi" w:cstheme="majorHAnsi"/>
          <w:i/>
          <w:sz w:val="24"/>
          <w:szCs w:val="24"/>
          <w:vertAlign w:val="baseline"/>
          <w:lang w:val="ro-MD"/>
        </w:rPr>
        <w:t>tizarea costurilor</w:t>
      </w:r>
      <w:r w:rsidRPr="009772A3">
        <w:rPr>
          <w:rFonts w:asciiTheme="majorHAnsi" w:hAnsiTheme="majorHAnsi" w:cstheme="majorHAnsi"/>
          <w:i/>
          <w:sz w:val="24"/>
          <w:szCs w:val="24"/>
          <w:vertAlign w:val="baseline"/>
          <w:lang w:val="ro-MD"/>
        </w:rPr>
        <w:t xml:space="preserve"> investițiilor și</w:t>
      </w:r>
      <w:r w:rsidR="003232F9" w:rsidRPr="009772A3">
        <w:rPr>
          <w:rFonts w:asciiTheme="majorHAnsi" w:hAnsiTheme="majorHAnsi" w:cstheme="majorHAnsi"/>
          <w:i/>
          <w:sz w:val="24"/>
          <w:szCs w:val="24"/>
          <w:vertAlign w:val="baseline"/>
          <w:lang w:val="ro-MD"/>
        </w:rPr>
        <w:t>, respectiv, la</w:t>
      </w:r>
      <w:r w:rsidRPr="009772A3">
        <w:rPr>
          <w:rFonts w:asciiTheme="majorHAnsi" w:hAnsiTheme="majorHAnsi" w:cstheme="majorHAnsi"/>
          <w:i/>
          <w:sz w:val="24"/>
          <w:szCs w:val="24"/>
          <w:vertAlign w:val="baseline"/>
          <w:lang w:val="ro-MD"/>
        </w:rPr>
        <w:t xml:space="preserve"> reducerea costurilor de furnizare, transport și distribuție a gazelor naturale. </w:t>
      </w:r>
    </w:p>
    <w:p w14:paraId="5C16307D" w14:textId="3946C256" w:rsidR="00DE381A" w:rsidRPr="009772A3" w:rsidRDefault="00DE381A" w:rsidP="00DE381A">
      <w:pPr>
        <w:pStyle w:val="FootnoteText"/>
        <w:spacing w:line="276" w:lineRule="auto"/>
        <w:ind w:firstLine="709"/>
        <w:jc w:val="both"/>
        <w:rPr>
          <w:rFonts w:asciiTheme="majorHAnsi" w:hAnsiTheme="majorHAnsi" w:cstheme="majorHAnsi"/>
          <w:i/>
          <w:sz w:val="24"/>
          <w:szCs w:val="24"/>
          <w:vertAlign w:val="baseline"/>
          <w:lang w:val="ro-MD"/>
        </w:rPr>
      </w:pPr>
      <w:r w:rsidRPr="009772A3">
        <w:rPr>
          <w:rFonts w:asciiTheme="majorHAnsi" w:hAnsiTheme="majorHAnsi" w:cstheme="majorHAnsi"/>
          <w:i/>
          <w:sz w:val="24"/>
          <w:szCs w:val="24"/>
          <w:vertAlign w:val="baseline"/>
          <w:lang w:val="ro-MD"/>
        </w:rPr>
        <w:t>De menționat că</w:t>
      </w:r>
      <w:r w:rsidR="002C041E" w:rsidRPr="009772A3">
        <w:rPr>
          <w:rFonts w:asciiTheme="majorHAnsi" w:hAnsiTheme="majorHAnsi" w:cstheme="majorHAnsi"/>
          <w:i/>
          <w:sz w:val="24"/>
          <w:szCs w:val="24"/>
          <w:vertAlign w:val="baseline"/>
          <w:lang w:val="ro-MD"/>
        </w:rPr>
        <w:t>,</w:t>
      </w:r>
      <w:r w:rsidRPr="009772A3">
        <w:rPr>
          <w:rFonts w:asciiTheme="majorHAnsi" w:hAnsiTheme="majorHAnsi" w:cstheme="majorHAnsi"/>
          <w:i/>
          <w:sz w:val="24"/>
          <w:szCs w:val="24"/>
          <w:vertAlign w:val="baseline"/>
          <w:lang w:val="ro-MD"/>
        </w:rPr>
        <w:t xml:space="preserve"> în perioada 2011-2021</w:t>
      </w:r>
      <w:r w:rsidR="002C041E" w:rsidRPr="009772A3">
        <w:rPr>
          <w:rFonts w:asciiTheme="majorHAnsi" w:hAnsiTheme="majorHAnsi" w:cstheme="majorHAnsi"/>
          <w:i/>
          <w:sz w:val="24"/>
          <w:szCs w:val="24"/>
          <w:vertAlign w:val="baseline"/>
          <w:lang w:val="ro-MD"/>
        </w:rPr>
        <w:t>,</w:t>
      </w:r>
      <w:r w:rsidRPr="009772A3">
        <w:rPr>
          <w:rFonts w:asciiTheme="majorHAnsi" w:hAnsiTheme="majorHAnsi" w:cstheme="majorHAnsi"/>
          <w:i/>
          <w:sz w:val="24"/>
          <w:szCs w:val="24"/>
          <w:vertAlign w:val="baseline"/>
          <w:lang w:val="ro-MD"/>
        </w:rPr>
        <w:t xml:space="preserve"> în sistemul gazelor naturale au fost realizate investiții capitale în valoare totală de cca 3.587.</w:t>
      </w:r>
      <w:r w:rsidR="00B46C75" w:rsidRPr="009772A3">
        <w:rPr>
          <w:rFonts w:asciiTheme="majorHAnsi" w:hAnsiTheme="majorHAnsi" w:cstheme="majorHAnsi"/>
          <w:i/>
          <w:sz w:val="24"/>
          <w:szCs w:val="24"/>
          <w:vertAlign w:val="baseline"/>
          <w:lang w:val="ro-MD"/>
        </w:rPr>
        <w:t>922</w:t>
      </w:r>
      <w:r w:rsidRPr="009772A3">
        <w:rPr>
          <w:rFonts w:asciiTheme="majorHAnsi" w:hAnsiTheme="majorHAnsi" w:cstheme="majorHAnsi"/>
          <w:i/>
          <w:sz w:val="24"/>
          <w:szCs w:val="24"/>
          <w:vertAlign w:val="baseline"/>
          <w:lang w:val="ro-MD"/>
        </w:rPr>
        <w:t>,</w:t>
      </w:r>
      <w:r w:rsidR="00B46C75" w:rsidRPr="009772A3">
        <w:rPr>
          <w:rFonts w:asciiTheme="majorHAnsi" w:hAnsiTheme="majorHAnsi" w:cstheme="majorHAnsi"/>
          <w:i/>
          <w:sz w:val="24"/>
          <w:szCs w:val="24"/>
          <w:vertAlign w:val="baseline"/>
          <w:lang w:val="ro-MD"/>
        </w:rPr>
        <w:t>9</w:t>
      </w:r>
      <w:r w:rsidRPr="009772A3">
        <w:rPr>
          <w:rFonts w:asciiTheme="majorHAnsi" w:hAnsiTheme="majorHAnsi" w:cstheme="majorHAnsi"/>
          <w:i/>
          <w:sz w:val="24"/>
          <w:szCs w:val="24"/>
          <w:vertAlign w:val="baseline"/>
          <w:lang w:val="ro-MD"/>
        </w:rPr>
        <w:t xml:space="preserve"> mii lei (fără TVA), inclusiv 524.699,1 mii lei realizate de SA Moldovagaz, restul de 3.063.</w:t>
      </w:r>
      <w:r w:rsidR="00B46C75" w:rsidRPr="009772A3">
        <w:rPr>
          <w:rFonts w:asciiTheme="majorHAnsi" w:hAnsiTheme="majorHAnsi" w:cstheme="majorHAnsi"/>
          <w:i/>
          <w:sz w:val="24"/>
          <w:szCs w:val="24"/>
          <w:vertAlign w:val="baseline"/>
          <w:lang w:val="ro-MD"/>
        </w:rPr>
        <w:t>223</w:t>
      </w:r>
      <w:r w:rsidRPr="009772A3">
        <w:rPr>
          <w:rFonts w:asciiTheme="majorHAnsi" w:hAnsiTheme="majorHAnsi" w:cstheme="majorHAnsi"/>
          <w:i/>
          <w:sz w:val="24"/>
          <w:szCs w:val="24"/>
          <w:vertAlign w:val="baseline"/>
          <w:lang w:val="ro-MD"/>
        </w:rPr>
        <w:t>,</w:t>
      </w:r>
      <w:r w:rsidR="00B46C75" w:rsidRPr="009772A3">
        <w:rPr>
          <w:rFonts w:asciiTheme="majorHAnsi" w:hAnsiTheme="majorHAnsi" w:cstheme="majorHAnsi"/>
          <w:i/>
          <w:sz w:val="24"/>
          <w:szCs w:val="24"/>
          <w:vertAlign w:val="baseline"/>
          <w:lang w:val="ro-MD"/>
        </w:rPr>
        <w:t>8</w:t>
      </w:r>
      <w:r w:rsidRPr="009772A3">
        <w:rPr>
          <w:rFonts w:asciiTheme="majorHAnsi" w:hAnsiTheme="majorHAnsi" w:cstheme="majorHAnsi"/>
          <w:i/>
          <w:sz w:val="24"/>
          <w:szCs w:val="24"/>
          <w:vertAlign w:val="baseline"/>
          <w:lang w:val="ro-MD"/>
        </w:rPr>
        <w:t xml:space="preserve"> mii lei au fost realizate de întreprinderile din sistemul de transport și distribuție a gazelor naturale. Din suma totală a investițiilor realizate, ANRE a acceptat în scopuri tarifare investiții în valoare de 2.772.125,8 mii lei. Concomitent, investițiile capitale în valoare totală de 815.</w:t>
      </w:r>
      <w:r w:rsidR="00B46C75" w:rsidRPr="009772A3">
        <w:rPr>
          <w:rFonts w:asciiTheme="majorHAnsi" w:hAnsiTheme="majorHAnsi" w:cstheme="majorHAnsi"/>
          <w:i/>
          <w:sz w:val="24"/>
          <w:szCs w:val="24"/>
          <w:vertAlign w:val="baseline"/>
          <w:lang w:val="ro-MD"/>
        </w:rPr>
        <w:t>796</w:t>
      </w:r>
      <w:r w:rsidRPr="009772A3">
        <w:rPr>
          <w:rFonts w:asciiTheme="majorHAnsi" w:hAnsiTheme="majorHAnsi" w:cstheme="majorHAnsi"/>
          <w:i/>
          <w:sz w:val="24"/>
          <w:szCs w:val="24"/>
          <w:vertAlign w:val="baseline"/>
          <w:lang w:val="ro-MD"/>
        </w:rPr>
        <w:t>,</w:t>
      </w:r>
      <w:r w:rsidR="00B46C75" w:rsidRPr="009772A3">
        <w:rPr>
          <w:rFonts w:asciiTheme="majorHAnsi" w:hAnsiTheme="majorHAnsi" w:cstheme="majorHAnsi"/>
          <w:i/>
          <w:sz w:val="24"/>
          <w:szCs w:val="24"/>
          <w:vertAlign w:val="baseline"/>
          <w:lang w:val="ro-MD"/>
        </w:rPr>
        <w:t>6</w:t>
      </w:r>
      <w:r w:rsidRPr="009772A3">
        <w:rPr>
          <w:rFonts w:asciiTheme="majorHAnsi" w:hAnsiTheme="majorHAnsi" w:cstheme="majorHAnsi"/>
          <w:i/>
          <w:sz w:val="24"/>
          <w:szCs w:val="24"/>
          <w:vertAlign w:val="baseline"/>
          <w:lang w:val="ro-MD"/>
        </w:rPr>
        <w:t xml:space="preserve"> mii lei, în lipsa unor decizii cu privire la sursa de acoperire a costurilor acestora, se prezumă că au fost realizate din contul rentabilității și </w:t>
      </w:r>
      <w:r w:rsidR="00B46C75" w:rsidRPr="009772A3">
        <w:rPr>
          <w:rFonts w:asciiTheme="majorHAnsi" w:hAnsiTheme="majorHAnsi" w:cstheme="majorHAnsi"/>
          <w:i/>
          <w:sz w:val="24"/>
          <w:szCs w:val="24"/>
          <w:vertAlign w:val="baseline"/>
          <w:lang w:val="ro-MD"/>
        </w:rPr>
        <w:t>altor surse dec</w:t>
      </w:r>
      <w:r w:rsidR="002C041E" w:rsidRPr="009772A3">
        <w:rPr>
          <w:rFonts w:asciiTheme="majorHAnsi" w:hAnsiTheme="majorHAnsi" w:cstheme="majorHAnsi"/>
          <w:i/>
          <w:sz w:val="24"/>
          <w:szCs w:val="24"/>
          <w:vertAlign w:val="baseline"/>
          <w:lang w:val="ro-MD"/>
        </w:rPr>
        <w:t>â</w:t>
      </w:r>
      <w:r w:rsidR="00B46C75" w:rsidRPr="009772A3">
        <w:rPr>
          <w:rFonts w:asciiTheme="majorHAnsi" w:hAnsiTheme="majorHAnsi" w:cstheme="majorHAnsi"/>
          <w:i/>
          <w:sz w:val="24"/>
          <w:szCs w:val="24"/>
          <w:vertAlign w:val="baseline"/>
          <w:lang w:val="ro-MD"/>
        </w:rPr>
        <w:t>t veniturile din activitatea reglementată</w:t>
      </w:r>
      <w:r w:rsidRPr="009772A3">
        <w:rPr>
          <w:rFonts w:asciiTheme="majorHAnsi" w:hAnsiTheme="majorHAnsi" w:cstheme="majorHAnsi"/>
          <w:i/>
          <w:sz w:val="24"/>
          <w:szCs w:val="24"/>
          <w:vertAlign w:val="baseline"/>
          <w:lang w:val="ro-MD"/>
        </w:rPr>
        <w:t xml:space="preserve">, </w:t>
      </w:r>
      <w:r w:rsidR="002C041E" w:rsidRPr="009772A3">
        <w:rPr>
          <w:rFonts w:asciiTheme="majorHAnsi" w:hAnsiTheme="majorHAnsi" w:cstheme="majorHAnsi"/>
          <w:i/>
          <w:sz w:val="24"/>
          <w:szCs w:val="24"/>
          <w:vertAlign w:val="baseline"/>
          <w:lang w:val="ro-MD"/>
        </w:rPr>
        <w:t xml:space="preserve">ceea ce </w:t>
      </w:r>
      <w:r w:rsidR="00B46C75" w:rsidRPr="009772A3">
        <w:rPr>
          <w:rFonts w:asciiTheme="majorHAnsi" w:hAnsiTheme="majorHAnsi" w:cstheme="majorHAnsi"/>
          <w:i/>
          <w:sz w:val="24"/>
          <w:szCs w:val="24"/>
          <w:vertAlign w:val="baseline"/>
          <w:lang w:val="ro-MD"/>
        </w:rPr>
        <w:t xml:space="preserve">a </w:t>
      </w:r>
      <w:r w:rsidRPr="009772A3">
        <w:rPr>
          <w:rFonts w:asciiTheme="majorHAnsi" w:hAnsiTheme="majorHAnsi" w:cstheme="majorHAnsi"/>
          <w:i/>
          <w:sz w:val="24"/>
          <w:szCs w:val="24"/>
          <w:vertAlign w:val="baseline"/>
          <w:lang w:val="ro-MD"/>
        </w:rPr>
        <w:t>diminu</w:t>
      </w:r>
      <w:r w:rsidR="00B46C75" w:rsidRPr="009772A3">
        <w:rPr>
          <w:rFonts w:asciiTheme="majorHAnsi" w:hAnsiTheme="majorHAnsi" w:cstheme="majorHAnsi"/>
          <w:i/>
          <w:sz w:val="24"/>
          <w:szCs w:val="24"/>
          <w:vertAlign w:val="baseline"/>
          <w:lang w:val="ro-MD"/>
        </w:rPr>
        <w:t>at în perioada 2011-2015</w:t>
      </w:r>
      <w:r w:rsidRPr="009772A3">
        <w:rPr>
          <w:rFonts w:asciiTheme="majorHAnsi" w:hAnsiTheme="majorHAnsi" w:cstheme="majorHAnsi"/>
          <w:i/>
          <w:sz w:val="24"/>
          <w:szCs w:val="24"/>
          <w:vertAlign w:val="baseline"/>
          <w:lang w:val="ro-MD"/>
        </w:rPr>
        <w:t xml:space="preserve"> capacitatea societății de a </w:t>
      </w:r>
      <w:r w:rsidR="00C3736E" w:rsidRPr="009772A3">
        <w:rPr>
          <w:rFonts w:asciiTheme="majorHAnsi" w:hAnsiTheme="majorHAnsi" w:cstheme="majorHAnsi"/>
          <w:i/>
          <w:sz w:val="24"/>
          <w:szCs w:val="24"/>
          <w:vertAlign w:val="baseline"/>
          <w:lang w:val="ro-MD"/>
        </w:rPr>
        <w:t>e</w:t>
      </w:r>
      <w:r w:rsidRPr="009772A3">
        <w:rPr>
          <w:rFonts w:asciiTheme="majorHAnsi" w:hAnsiTheme="majorHAnsi" w:cstheme="majorHAnsi"/>
          <w:i/>
          <w:sz w:val="24"/>
          <w:szCs w:val="24"/>
          <w:vertAlign w:val="baseline"/>
          <w:lang w:val="ro-MD"/>
        </w:rPr>
        <w:t xml:space="preserve">fectua în termen plățile pentru gazele naturale și neadmiterea datoriilor aferente livrărilor </w:t>
      </w:r>
      <w:r w:rsidR="002C041E" w:rsidRPr="009772A3">
        <w:rPr>
          <w:rFonts w:asciiTheme="majorHAnsi" w:hAnsiTheme="majorHAnsi" w:cstheme="majorHAnsi"/>
          <w:i/>
          <w:sz w:val="24"/>
          <w:szCs w:val="24"/>
          <w:vertAlign w:val="baseline"/>
          <w:lang w:val="ro-MD"/>
        </w:rPr>
        <w:t>respective</w:t>
      </w:r>
      <w:r w:rsidRPr="009772A3">
        <w:rPr>
          <w:rFonts w:asciiTheme="majorHAnsi" w:hAnsiTheme="majorHAnsi" w:cstheme="majorHAnsi"/>
          <w:i/>
          <w:sz w:val="24"/>
          <w:szCs w:val="24"/>
          <w:vertAlign w:val="baseline"/>
          <w:lang w:val="ro-MD"/>
        </w:rPr>
        <w:t xml:space="preserve">. </w:t>
      </w:r>
    </w:p>
    <w:p w14:paraId="4CAC4A01" w14:textId="61A3D542" w:rsidR="00862546" w:rsidRPr="009772A3" w:rsidRDefault="00862546" w:rsidP="00862546">
      <w:pPr>
        <w:spacing w:after="0"/>
        <w:ind w:firstLine="709"/>
        <w:jc w:val="right"/>
        <w:rPr>
          <w:rFonts w:asciiTheme="majorHAnsi" w:eastAsia="Times New Roman" w:hAnsiTheme="majorHAnsi" w:cstheme="majorHAnsi"/>
          <w:b/>
          <w:sz w:val="24"/>
          <w:szCs w:val="24"/>
          <w:lang w:val="ro-MD"/>
        </w:rPr>
      </w:pPr>
      <w:r w:rsidRPr="009772A3">
        <w:rPr>
          <w:rFonts w:asciiTheme="majorHAnsi" w:eastAsia="Times New Roman" w:hAnsiTheme="majorHAnsi" w:cstheme="majorHAnsi"/>
          <w:b/>
          <w:sz w:val="24"/>
          <w:szCs w:val="24"/>
          <w:lang w:val="ro-MD"/>
        </w:rPr>
        <w:t>Diagrama nr.4.2.1</w:t>
      </w:r>
    </w:p>
    <w:p w14:paraId="59517D0F" w14:textId="4393E81A" w:rsidR="006D4DA2" w:rsidRPr="009772A3" w:rsidRDefault="006D4DA2" w:rsidP="006D4DA2">
      <w:pPr>
        <w:pStyle w:val="FootnoteText"/>
        <w:spacing w:line="276" w:lineRule="auto"/>
        <w:ind w:firstLine="709"/>
        <w:jc w:val="center"/>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 xml:space="preserve">Structura </w:t>
      </w:r>
      <w:r w:rsidR="002A5975" w:rsidRPr="009772A3">
        <w:rPr>
          <w:rFonts w:asciiTheme="majorHAnsi" w:hAnsiTheme="majorHAnsi" w:cstheme="majorHAnsi"/>
          <w:b/>
          <w:sz w:val="24"/>
          <w:szCs w:val="24"/>
          <w:vertAlign w:val="baseline"/>
          <w:lang w:val="ro-MD"/>
        </w:rPr>
        <w:t xml:space="preserve">pe activități a </w:t>
      </w:r>
      <w:r w:rsidRPr="009772A3">
        <w:rPr>
          <w:rFonts w:asciiTheme="majorHAnsi" w:hAnsiTheme="majorHAnsi" w:cstheme="majorHAnsi"/>
          <w:b/>
          <w:sz w:val="24"/>
          <w:szCs w:val="24"/>
          <w:vertAlign w:val="baseline"/>
          <w:lang w:val="ro-MD"/>
        </w:rPr>
        <w:t>investițiilor realizate de SA Moldovagaz și întreprinderile sale afiliate</w:t>
      </w:r>
      <w:r w:rsidR="002A5975" w:rsidRPr="009772A3">
        <w:rPr>
          <w:rFonts w:asciiTheme="majorHAnsi" w:hAnsiTheme="majorHAnsi" w:cstheme="majorHAnsi"/>
          <w:b/>
          <w:sz w:val="24"/>
          <w:szCs w:val="24"/>
          <w:vertAlign w:val="baseline"/>
          <w:lang w:val="ro-MD"/>
        </w:rPr>
        <w:t xml:space="preserve"> </w:t>
      </w:r>
      <w:r w:rsidRPr="009772A3">
        <w:rPr>
          <w:rFonts w:asciiTheme="majorHAnsi" w:hAnsiTheme="majorHAnsi" w:cstheme="majorHAnsi"/>
          <w:b/>
          <w:sz w:val="24"/>
          <w:szCs w:val="24"/>
          <w:vertAlign w:val="baseline"/>
          <w:lang w:val="ro-MD"/>
        </w:rPr>
        <w:t>în perioada 2017</w:t>
      </w:r>
      <w:r w:rsidR="00862546" w:rsidRPr="009772A3">
        <w:rPr>
          <w:rFonts w:asciiTheme="majorHAnsi" w:hAnsiTheme="majorHAnsi" w:cstheme="majorHAnsi"/>
          <w:b/>
          <w:sz w:val="24"/>
          <w:szCs w:val="24"/>
          <w:vertAlign w:val="baseline"/>
          <w:lang w:val="ro-MD"/>
        </w:rPr>
        <w:t>-</w:t>
      </w:r>
      <w:r w:rsidRPr="009772A3">
        <w:rPr>
          <w:rFonts w:asciiTheme="majorHAnsi" w:hAnsiTheme="majorHAnsi" w:cstheme="majorHAnsi"/>
          <w:b/>
          <w:sz w:val="24"/>
          <w:szCs w:val="24"/>
          <w:vertAlign w:val="baseline"/>
          <w:lang w:val="ro-MD"/>
        </w:rPr>
        <w:t xml:space="preserve">2021 (mil. </w:t>
      </w:r>
      <w:r w:rsidRPr="00F5500A">
        <w:rPr>
          <w:rFonts w:asciiTheme="majorHAnsi" w:hAnsiTheme="majorHAnsi" w:cstheme="majorHAnsi"/>
          <w:b/>
          <w:sz w:val="24"/>
          <w:szCs w:val="24"/>
          <w:vertAlign w:val="baseline"/>
          <w:lang w:val="ro-MD"/>
        </w:rPr>
        <w:t>lei, cu TVA)</w:t>
      </w:r>
    </w:p>
    <w:p w14:paraId="618FAE55" w14:textId="018DAFB4" w:rsidR="00DE0118" w:rsidRPr="009772A3" w:rsidRDefault="00DE0118" w:rsidP="00DE0118">
      <w:pPr>
        <w:spacing w:after="0" w:line="276" w:lineRule="auto"/>
        <w:jc w:val="both"/>
        <w:rPr>
          <w:rFonts w:asciiTheme="majorHAnsi" w:hAnsiTheme="majorHAnsi" w:cstheme="majorHAnsi"/>
          <w:sz w:val="24"/>
          <w:szCs w:val="24"/>
          <w:lang w:val="ro-MD"/>
        </w:rPr>
      </w:pPr>
      <w:r w:rsidRPr="009772A3">
        <w:rPr>
          <w:noProof/>
        </w:rPr>
        <w:drawing>
          <wp:inline distT="0" distB="0" distL="0" distR="0" wp14:anchorId="339A2DBC" wp14:editId="7063BA53">
            <wp:extent cx="5939790" cy="2004646"/>
            <wp:effectExtent l="0" t="0" r="381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703B15" w14:textId="661AD9C3" w:rsidR="003C2C1B" w:rsidRPr="009772A3" w:rsidRDefault="003C2C1B" w:rsidP="003C2C1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86254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perioada 2017-2021 întreprinderile din sistemul gazelor naturale au realizat investiții capitale în valoare totală de 1.647.400,0 mii lei. În structura investițiilor capitale</w:t>
      </w:r>
      <w:r w:rsidR="00C534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ponderea majoră o dețin reparațiile capitale</w:t>
      </w:r>
      <w:r w:rsidR="00C534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au însumat 742.900,0 mii lei (sau 45,1%), fiind urmate de dezvoltarea rețelelor de gaze </w:t>
      </w:r>
      <w:r w:rsidR="00C53487"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de 254.200,0 mi</w:t>
      </w:r>
      <w:r w:rsidR="00A06EDE" w:rsidRPr="009772A3">
        <w:rPr>
          <w:rFonts w:asciiTheme="majorHAnsi" w:hAnsiTheme="majorHAnsi" w:cstheme="majorHAnsi"/>
          <w:sz w:val="24"/>
          <w:szCs w:val="24"/>
          <w:lang w:val="ro-MD"/>
        </w:rPr>
        <w:t xml:space="preserve">i </w:t>
      </w:r>
      <w:r w:rsidRPr="009772A3">
        <w:rPr>
          <w:rFonts w:asciiTheme="majorHAnsi" w:hAnsiTheme="majorHAnsi" w:cstheme="majorHAnsi"/>
          <w:sz w:val="24"/>
          <w:szCs w:val="24"/>
          <w:lang w:val="ro-MD"/>
        </w:rPr>
        <w:t>lei (</w:t>
      </w:r>
      <w:r w:rsidR="002F4DFF" w:rsidRPr="009772A3">
        <w:rPr>
          <w:rFonts w:asciiTheme="majorHAnsi" w:hAnsiTheme="majorHAnsi" w:cstheme="majorHAnsi"/>
          <w:sz w:val="24"/>
          <w:szCs w:val="24"/>
          <w:lang w:val="ro-MD"/>
        </w:rPr>
        <w:t xml:space="preserve">sau </w:t>
      </w:r>
      <w:r w:rsidRPr="009772A3">
        <w:rPr>
          <w:rFonts w:asciiTheme="majorHAnsi" w:hAnsiTheme="majorHAnsi" w:cstheme="majorHAnsi"/>
          <w:sz w:val="24"/>
          <w:szCs w:val="24"/>
          <w:lang w:val="ro-MD"/>
        </w:rPr>
        <w:t>1</w:t>
      </w:r>
      <w:r w:rsidR="00A06EDE" w:rsidRPr="009772A3">
        <w:rPr>
          <w:rFonts w:asciiTheme="majorHAnsi" w:hAnsiTheme="majorHAnsi" w:cstheme="majorHAnsi"/>
          <w:sz w:val="24"/>
          <w:szCs w:val="24"/>
          <w:lang w:val="ro-MD"/>
        </w:rPr>
        <w:t xml:space="preserve">5,4%), construcțiile noi </w:t>
      </w:r>
      <w:r w:rsidR="00C53487" w:rsidRPr="009772A3">
        <w:rPr>
          <w:rFonts w:asciiTheme="majorHAnsi" w:hAnsiTheme="majorHAnsi" w:cstheme="majorHAnsi"/>
          <w:sz w:val="24"/>
          <w:szCs w:val="24"/>
          <w:lang w:val="ro-MD"/>
        </w:rPr>
        <w:t xml:space="preserve">– </w:t>
      </w:r>
      <w:r w:rsidR="00A06EDE" w:rsidRPr="009772A3">
        <w:rPr>
          <w:rFonts w:asciiTheme="majorHAnsi" w:hAnsiTheme="majorHAnsi" w:cstheme="majorHAnsi"/>
          <w:sz w:val="24"/>
          <w:szCs w:val="24"/>
          <w:lang w:val="ro-MD"/>
        </w:rPr>
        <w:t>de 235.</w:t>
      </w:r>
      <w:r w:rsidRPr="009772A3">
        <w:rPr>
          <w:rFonts w:asciiTheme="majorHAnsi" w:hAnsiTheme="majorHAnsi" w:cstheme="majorHAnsi"/>
          <w:sz w:val="24"/>
          <w:szCs w:val="24"/>
          <w:lang w:val="ro-MD"/>
        </w:rPr>
        <w:t>7</w:t>
      </w:r>
      <w:r w:rsidR="00A06EDE"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A06EDE" w:rsidRPr="009772A3">
        <w:rPr>
          <w:rFonts w:asciiTheme="majorHAnsi" w:hAnsiTheme="majorHAnsi" w:cstheme="majorHAnsi"/>
          <w:sz w:val="24"/>
          <w:szCs w:val="24"/>
          <w:lang w:val="ro-MD"/>
        </w:rPr>
        <w:t xml:space="preserve">i </w:t>
      </w:r>
      <w:r w:rsidRPr="009772A3">
        <w:rPr>
          <w:rFonts w:asciiTheme="majorHAnsi" w:hAnsiTheme="majorHAnsi" w:cstheme="majorHAnsi"/>
          <w:sz w:val="24"/>
          <w:szCs w:val="24"/>
          <w:lang w:val="ro-MD"/>
        </w:rPr>
        <w:t>lei (</w:t>
      </w:r>
      <w:r w:rsidR="00A06EDE" w:rsidRPr="009772A3">
        <w:rPr>
          <w:rFonts w:asciiTheme="majorHAnsi" w:hAnsiTheme="majorHAnsi" w:cstheme="majorHAnsi"/>
          <w:sz w:val="24"/>
          <w:szCs w:val="24"/>
          <w:lang w:val="ro-MD"/>
        </w:rPr>
        <w:t xml:space="preserve">sau 14,3%), procurări </w:t>
      </w:r>
      <w:r w:rsidR="00C53487" w:rsidRPr="009772A3">
        <w:rPr>
          <w:rFonts w:asciiTheme="majorHAnsi" w:hAnsiTheme="majorHAnsi" w:cstheme="majorHAnsi"/>
          <w:sz w:val="24"/>
          <w:szCs w:val="24"/>
          <w:lang w:val="ro-MD"/>
        </w:rPr>
        <w:t xml:space="preserve">– </w:t>
      </w:r>
      <w:r w:rsidR="00A06EDE" w:rsidRPr="009772A3">
        <w:rPr>
          <w:rFonts w:asciiTheme="majorHAnsi" w:hAnsiTheme="majorHAnsi" w:cstheme="majorHAnsi"/>
          <w:sz w:val="24"/>
          <w:szCs w:val="24"/>
          <w:lang w:val="ro-MD"/>
        </w:rPr>
        <w:t>de 223.</w:t>
      </w:r>
      <w:r w:rsidRPr="009772A3">
        <w:rPr>
          <w:rFonts w:asciiTheme="majorHAnsi" w:hAnsiTheme="majorHAnsi" w:cstheme="majorHAnsi"/>
          <w:sz w:val="24"/>
          <w:szCs w:val="24"/>
          <w:lang w:val="ro-MD"/>
        </w:rPr>
        <w:t>7</w:t>
      </w:r>
      <w:r w:rsidR="00A06EDE"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A06EDE" w:rsidRPr="009772A3">
        <w:rPr>
          <w:rFonts w:asciiTheme="majorHAnsi" w:hAnsiTheme="majorHAnsi" w:cstheme="majorHAnsi"/>
          <w:sz w:val="24"/>
          <w:szCs w:val="24"/>
          <w:lang w:val="ro-MD"/>
        </w:rPr>
        <w:t xml:space="preserve">i </w:t>
      </w:r>
      <w:r w:rsidRPr="009772A3">
        <w:rPr>
          <w:rFonts w:asciiTheme="majorHAnsi" w:hAnsiTheme="majorHAnsi" w:cstheme="majorHAnsi"/>
          <w:sz w:val="24"/>
          <w:szCs w:val="24"/>
          <w:lang w:val="ro-MD"/>
        </w:rPr>
        <w:t>lei (</w:t>
      </w:r>
      <w:r w:rsidR="00A06EDE" w:rsidRPr="009772A3">
        <w:rPr>
          <w:rFonts w:asciiTheme="majorHAnsi" w:hAnsiTheme="majorHAnsi" w:cstheme="majorHAnsi"/>
          <w:sz w:val="24"/>
          <w:szCs w:val="24"/>
          <w:lang w:val="ro-MD"/>
        </w:rPr>
        <w:t xml:space="preserve">sau </w:t>
      </w:r>
      <w:r w:rsidRPr="009772A3">
        <w:rPr>
          <w:rFonts w:asciiTheme="majorHAnsi" w:hAnsiTheme="majorHAnsi" w:cstheme="majorHAnsi"/>
          <w:sz w:val="24"/>
          <w:szCs w:val="24"/>
          <w:lang w:val="ro-MD"/>
        </w:rPr>
        <w:t>13,6%), re</w:t>
      </w:r>
      <w:r w:rsidR="00A06EDE" w:rsidRPr="009772A3">
        <w:rPr>
          <w:rFonts w:asciiTheme="majorHAnsi" w:hAnsiTheme="majorHAnsi" w:cstheme="majorHAnsi"/>
          <w:sz w:val="24"/>
          <w:szCs w:val="24"/>
          <w:lang w:val="ro-MD"/>
        </w:rPr>
        <w:t>construcți</w:t>
      </w:r>
      <w:r w:rsidR="00C53487" w:rsidRPr="009772A3">
        <w:rPr>
          <w:rFonts w:asciiTheme="majorHAnsi" w:hAnsiTheme="majorHAnsi" w:cstheme="majorHAnsi"/>
          <w:sz w:val="24"/>
          <w:szCs w:val="24"/>
          <w:lang w:val="ro-MD"/>
        </w:rPr>
        <w:t>i</w:t>
      </w:r>
      <w:r w:rsidR="00A06EDE" w:rsidRPr="009772A3">
        <w:rPr>
          <w:rFonts w:asciiTheme="majorHAnsi" w:hAnsiTheme="majorHAnsi" w:cstheme="majorHAnsi"/>
          <w:sz w:val="24"/>
          <w:szCs w:val="24"/>
          <w:lang w:val="ro-MD"/>
        </w:rPr>
        <w:t>/</w:t>
      </w:r>
      <w:r w:rsidR="00272FFA">
        <w:rPr>
          <w:rFonts w:asciiTheme="majorHAnsi" w:hAnsiTheme="majorHAnsi" w:cstheme="majorHAnsi"/>
          <w:sz w:val="24"/>
          <w:szCs w:val="24"/>
          <w:lang w:val="ro-MD"/>
        </w:rPr>
        <w:t xml:space="preserve"> </w:t>
      </w:r>
      <w:r w:rsidR="00A06EDE" w:rsidRPr="009772A3">
        <w:rPr>
          <w:rFonts w:asciiTheme="majorHAnsi" w:hAnsiTheme="majorHAnsi" w:cstheme="majorHAnsi"/>
          <w:sz w:val="24"/>
          <w:szCs w:val="24"/>
          <w:lang w:val="ro-MD"/>
        </w:rPr>
        <w:t>moderniz</w:t>
      </w:r>
      <w:r w:rsidR="00C53487" w:rsidRPr="009772A3">
        <w:rPr>
          <w:rFonts w:asciiTheme="majorHAnsi" w:hAnsiTheme="majorHAnsi" w:cstheme="majorHAnsi"/>
          <w:sz w:val="24"/>
          <w:szCs w:val="24"/>
          <w:lang w:val="ro-MD"/>
        </w:rPr>
        <w:t>ări –</w:t>
      </w:r>
      <w:r w:rsidR="00A06EDE" w:rsidRPr="009772A3">
        <w:rPr>
          <w:rFonts w:asciiTheme="majorHAnsi" w:hAnsiTheme="majorHAnsi" w:cstheme="majorHAnsi"/>
          <w:sz w:val="24"/>
          <w:szCs w:val="24"/>
          <w:lang w:val="ro-MD"/>
        </w:rPr>
        <w:t xml:space="preserve"> de 125.</w:t>
      </w:r>
      <w:r w:rsidRPr="009772A3">
        <w:rPr>
          <w:rFonts w:asciiTheme="majorHAnsi" w:hAnsiTheme="majorHAnsi" w:cstheme="majorHAnsi"/>
          <w:sz w:val="24"/>
          <w:szCs w:val="24"/>
          <w:lang w:val="ro-MD"/>
        </w:rPr>
        <w:t>8</w:t>
      </w:r>
      <w:r w:rsidR="00A06EDE" w:rsidRPr="009772A3">
        <w:rPr>
          <w:rFonts w:asciiTheme="majorHAnsi" w:hAnsiTheme="majorHAnsi" w:cstheme="majorHAnsi"/>
          <w:sz w:val="24"/>
          <w:szCs w:val="24"/>
          <w:lang w:val="ro-MD"/>
        </w:rPr>
        <w:t xml:space="preserve">00,0 mii </w:t>
      </w:r>
      <w:r w:rsidRPr="009772A3">
        <w:rPr>
          <w:rFonts w:asciiTheme="majorHAnsi" w:hAnsiTheme="majorHAnsi" w:cstheme="majorHAnsi"/>
          <w:sz w:val="24"/>
          <w:szCs w:val="24"/>
          <w:lang w:val="ro-MD"/>
        </w:rPr>
        <w:t>lei (</w:t>
      </w:r>
      <w:r w:rsidR="00A06EDE" w:rsidRPr="009772A3">
        <w:rPr>
          <w:rFonts w:asciiTheme="majorHAnsi" w:hAnsiTheme="majorHAnsi" w:cstheme="majorHAnsi"/>
          <w:sz w:val="24"/>
          <w:szCs w:val="24"/>
          <w:lang w:val="ro-MD"/>
        </w:rPr>
        <w:t xml:space="preserve">sau </w:t>
      </w:r>
      <w:r w:rsidRPr="009772A3">
        <w:rPr>
          <w:rFonts w:asciiTheme="majorHAnsi" w:hAnsiTheme="majorHAnsi" w:cstheme="majorHAnsi"/>
          <w:sz w:val="24"/>
          <w:szCs w:val="24"/>
          <w:lang w:val="ro-MD"/>
        </w:rPr>
        <w:t>7,6%), active</w:t>
      </w:r>
      <w:r w:rsidR="00510E28"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nemateriale</w:t>
      </w:r>
      <w:r w:rsidR="00C53487"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 de 55</w:t>
      </w:r>
      <w:r w:rsidR="00A06ED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w:t>
      </w:r>
      <w:r w:rsidR="00A06EDE" w:rsidRPr="009772A3">
        <w:rPr>
          <w:rFonts w:asciiTheme="majorHAnsi" w:hAnsiTheme="majorHAnsi" w:cstheme="majorHAnsi"/>
          <w:sz w:val="24"/>
          <w:szCs w:val="24"/>
          <w:lang w:val="ro-MD"/>
        </w:rPr>
        <w:t xml:space="preserve">00,0 mii </w:t>
      </w:r>
      <w:r w:rsidRPr="009772A3">
        <w:rPr>
          <w:rFonts w:asciiTheme="majorHAnsi" w:hAnsiTheme="majorHAnsi" w:cstheme="majorHAnsi"/>
          <w:sz w:val="24"/>
          <w:szCs w:val="24"/>
          <w:lang w:val="ro-MD"/>
        </w:rPr>
        <w:t>lei (</w:t>
      </w:r>
      <w:r w:rsidR="00A06EDE" w:rsidRPr="009772A3">
        <w:rPr>
          <w:rFonts w:asciiTheme="majorHAnsi" w:hAnsiTheme="majorHAnsi" w:cstheme="majorHAnsi"/>
          <w:sz w:val="24"/>
          <w:szCs w:val="24"/>
          <w:lang w:val="ro-MD"/>
        </w:rPr>
        <w:t xml:space="preserve">sau </w:t>
      </w:r>
      <w:r w:rsidRPr="009772A3">
        <w:rPr>
          <w:rFonts w:asciiTheme="majorHAnsi" w:hAnsiTheme="majorHAnsi" w:cstheme="majorHAnsi"/>
          <w:sz w:val="24"/>
          <w:szCs w:val="24"/>
          <w:lang w:val="ro-MD"/>
        </w:rPr>
        <w:t>3</w:t>
      </w:r>
      <w:r w:rsidR="00A06EDE" w:rsidRPr="009772A3">
        <w:rPr>
          <w:rFonts w:asciiTheme="majorHAnsi" w:hAnsiTheme="majorHAnsi" w:cstheme="majorHAnsi"/>
          <w:sz w:val="24"/>
          <w:szCs w:val="24"/>
          <w:lang w:val="ro-MD"/>
        </w:rPr>
        <w:t>,4%)</w:t>
      </w:r>
      <w:r w:rsidR="00C53487" w:rsidRPr="009772A3">
        <w:rPr>
          <w:rFonts w:asciiTheme="majorHAnsi" w:hAnsiTheme="majorHAnsi" w:cstheme="majorHAnsi"/>
          <w:sz w:val="24"/>
          <w:szCs w:val="24"/>
          <w:lang w:val="ro-MD"/>
        </w:rPr>
        <w:t>,</w:t>
      </w:r>
      <w:r w:rsidR="00A06EDE" w:rsidRPr="009772A3">
        <w:rPr>
          <w:rFonts w:asciiTheme="majorHAnsi" w:hAnsiTheme="majorHAnsi" w:cstheme="majorHAnsi"/>
          <w:sz w:val="24"/>
          <w:szCs w:val="24"/>
          <w:lang w:val="ro-MD"/>
        </w:rPr>
        <w:t xml:space="preserve"> și proiect</w:t>
      </w:r>
      <w:r w:rsidR="00C53487" w:rsidRPr="009772A3">
        <w:rPr>
          <w:rFonts w:asciiTheme="majorHAnsi" w:hAnsiTheme="majorHAnsi" w:cstheme="majorHAnsi"/>
          <w:sz w:val="24"/>
          <w:szCs w:val="24"/>
          <w:lang w:val="ro-MD"/>
        </w:rPr>
        <w:t>ări –</w:t>
      </w:r>
      <w:r w:rsidR="00A06EDE" w:rsidRPr="009772A3">
        <w:rPr>
          <w:rFonts w:asciiTheme="majorHAnsi" w:hAnsiTheme="majorHAnsi" w:cstheme="majorHAnsi"/>
          <w:sz w:val="24"/>
          <w:szCs w:val="24"/>
          <w:lang w:val="ro-MD"/>
        </w:rPr>
        <w:t xml:space="preserve"> de 9.</w:t>
      </w:r>
      <w:r w:rsidRPr="009772A3">
        <w:rPr>
          <w:rFonts w:asciiTheme="majorHAnsi" w:hAnsiTheme="majorHAnsi" w:cstheme="majorHAnsi"/>
          <w:sz w:val="24"/>
          <w:szCs w:val="24"/>
          <w:lang w:val="ro-MD"/>
        </w:rPr>
        <w:t>8</w:t>
      </w:r>
      <w:r w:rsidR="00A06EDE" w:rsidRPr="009772A3">
        <w:rPr>
          <w:rFonts w:asciiTheme="majorHAnsi" w:hAnsiTheme="majorHAnsi" w:cstheme="majorHAnsi"/>
          <w:sz w:val="24"/>
          <w:szCs w:val="24"/>
          <w:lang w:val="ro-MD"/>
        </w:rPr>
        <w:t xml:space="preserve">00,0 mii </w:t>
      </w:r>
      <w:r w:rsidRPr="009772A3">
        <w:rPr>
          <w:rFonts w:asciiTheme="majorHAnsi" w:hAnsiTheme="majorHAnsi" w:cstheme="majorHAnsi"/>
          <w:sz w:val="24"/>
          <w:szCs w:val="24"/>
          <w:lang w:val="ro-MD"/>
        </w:rPr>
        <w:t>lei (</w:t>
      </w:r>
      <w:r w:rsidR="00A06EDE" w:rsidRPr="009772A3">
        <w:rPr>
          <w:rFonts w:asciiTheme="majorHAnsi" w:hAnsiTheme="majorHAnsi" w:cstheme="majorHAnsi"/>
          <w:sz w:val="24"/>
          <w:szCs w:val="24"/>
          <w:lang w:val="ro-MD"/>
        </w:rPr>
        <w:t xml:space="preserve">sau </w:t>
      </w:r>
      <w:r w:rsidRPr="009772A3">
        <w:rPr>
          <w:rFonts w:asciiTheme="majorHAnsi" w:hAnsiTheme="majorHAnsi" w:cstheme="majorHAnsi"/>
          <w:sz w:val="24"/>
          <w:szCs w:val="24"/>
          <w:lang w:val="ro-MD"/>
        </w:rPr>
        <w:t xml:space="preserve">0,6%). </w:t>
      </w:r>
    </w:p>
    <w:p w14:paraId="544C59C7" w14:textId="1E059867" w:rsidR="00CF4B25" w:rsidRPr="009772A3" w:rsidRDefault="00CF4B25" w:rsidP="00CF4B2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 în aspectul întreprinderilor din sistemul gazelor naturale, ponderea majoră o dețin investițiile capitale efectuate de SRL Moldovatransgaz</w:t>
      </w:r>
      <w:r w:rsidR="00510E2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771.600,0 mii lei (sau 46,8%), fiind urmată de SA Moldovagaz </w:t>
      </w:r>
      <w:r w:rsidR="00510E2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cu 209.700,0 mii lei (sau 12,7%), SRL Chișinău-gaz </w:t>
      </w:r>
      <w:r w:rsidR="00510E28" w:rsidRPr="009772A3">
        <w:rPr>
          <w:rFonts w:asciiTheme="majorHAnsi" w:hAnsiTheme="majorHAnsi" w:cstheme="majorHAnsi"/>
          <w:sz w:val="24"/>
          <w:szCs w:val="24"/>
          <w:lang w:val="ro-MD"/>
        </w:rPr>
        <w:t>– cu</w:t>
      </w:r>
      <w:r w:rsidRPr="009772A3">
        <w:rPr>
          <w:rFonts w:asciiTheme="majorHAnsi" w:hAnsiTheme="majorHAnsi" w:cstheme="majorHAnsi"/>
          <w:sz w:val="24"/>
          <w:szCs w:val="24"/>
          <w:lang w:val="ro-MD"/>
        </w:rPr>
        <w:t xml:space="preserve"> 199.900,0 mii lei (sau 12,1%), SRL Ialoveni</w:t>
      </w:r>
      <w:r w:rsidR="00510E2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gaz </w:t>
      </w:r>
      <w:r w:rsidR="00510E2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cu 99.800,0 mii lei (sau 6,1%), SRL Bălți-gaz </w:t>
      </w:r>
      <w:r w:rsidR="00510E2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cu 77.100,0 mii lei (sau 4,7%)</w:t>
      </w:r>
      <w:r w:rsidR="00510E2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alte întreprinderi. Informați</w:t>
      </w:r>
      <w:r w:rsidR="00510E28"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cu referire la ponderea investițiilor capitale în aspectul întreprinderilor din sistemul gazelor naturale în perioada 2017-2021 se prezintă în diagrama ce urmează. </w:t>
      </w:r>
    </w:p>
    <w:p w14:paraId="1709E923" w14:textId="0B4450D4" w:rsidR="00510E28" w:rsidRPr="009772A3" w:rsidRDefault="00510E28" w:rsidP="00510E28">
      <w:pPr>
        <w:spacing w:after="0"/>
        <w:ind w:firstLine="709"/>
        <w:jc w:val="right"/>
        <w:rPr>
          <w:rFonts w:asciiTheme="majorHAnsi" w:eastAsia="Times New Roman" w:hAnsiTheme="majorHAnsi" w:cstheme="majorHAnsi"/>
          <w:b/>
          <w:sz w:val="24"/>
          <w:szCs w:val="24"/>
          <w:lang w:val="ro-MD"/>
        </w:rPr>
      </w:pPr>
      <w:r w:rsidRPr="009772A3">
        <w:rPr>
          <w:rFonts w:asciiTheme="majorHAnsi" w:eastAsia="Times New Roman" w:hAnsiTheme="majorHAnsi" w:cstheme="majorHAnsi"/>
          <w:b/>
          <w:sz w:val="24"/>
          <w:szCs w:val="24"/>
          <w:lang w:val="ro-MD"/>
        </w:rPr>
        <w:t>Diagrama nr.4.2.2</w:t>
      </w:r>
    </w:p>
    <w:p w14:paraId="14F87A9F" w14:textId="14C2EAE6" w:rsidR="002A5975" w:rsidRPr="009772A3" w:rsidRDefault="002A5975" w:rsidP="002A5975">
      <w:pPr>
        <w:pStyle w:val="FootnoteText"/>
        <w:spacing w:line="276" w:lineRule="auto"/>
        <w:ind w:firstLine="709"/>
        <w:jc w:val="center"/>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Structura investițiilor realizate de SA Moldovagaz și întreprinderile sale afiliate</w:t>
      </w:r>
      <w:r w:rsidR="00E67DE6" w:rsidRPr="009772A3">
        <w:rPr>
          <w:rFonts w:asciiTheme="majorHAnsi" w:hAnsiTheme="majorHAnsi" w:cstheme="majorHAnsi"/>
          <w:b/>
          <w:sz w:val="24"/>
          <w:szCs w:val="24"/>
          <w:vertAlign w:val="baseline"/>
          <w:lang w:val="ro-MD"/>
        </w:rPr>
        <w:t xml:space="preserve"> </w:t>
      </w:r>
      <w:r w:rsidRPr="009772A3">
        <w:rPr>
          <w:rFonts w:asciiTheme="majorHAnsi" w:hAnsiTheme="majorHAnsi" w:cstheme="majorHAnsi"/>
          <w:b/>
          <w:sz w:val="24"/>
          <w:szCs w:val="24"/>
          <w:vertAlign w:val="baseline"/>
          <w:lang w:val="ro-MD"/>
        </w:rPr>
        <w:t>în perioada 2017</w:t>
      </w:r>
      <w:r w:rsidR="00510E28" w:rsidRPr="009772A3">
        <w:rPr>
          <w:rFonts w:asciiTheme="majorHAnsi" w:hAnsiTheme="majorHAnsi" w:cstheme="majorHAnsi"/>
          <w:b/>
          <w:sz w:val="24"/>
          <w:szCs w:val="24"/>
          <w:vertAlign w:val="baseline"/>
          <w:lang w:val="ro-MD"/>
        </w:rPr>
        <w:t>-</w:t>
      </w:r>
      <w:r w:rsidRPr="009772A3">
        <w:rPr>
          <w:rFonts w:asciiTheme="majorHAnsi" w:hAnsiTheme="majorHAnsi" w:cstheme="majorHAnsi"/>
          <w:b/>
          <w:sz w:val="24"/>
          <w:szCs w:val="24"/>
          <w:vertAlign w:val="baseline"/>
          <w:lang w:val="ro-MD"/>
        </w:rPr>
        <w:t>2021 (mil</w:t>
      </w:r>
      <w:r w:rsidRPr="00F5500A">
        <w:rPr>
          <w:rFonts w:asciiTheme="majorHAnsi" w:hAnsiTheme="majorHAnsi" w:cstheme="majorHAnsi"/>
          <w:b/>
          <w:sz w:val="24"/>
          <w:szCs w:val="24"/>
          <w:vertAlign w:val="baseline"/>
          <w:lang w:val="ro-MD"/>
        </w:rPr>
        <w:t>. lei, cu TVA)</w:t>
      </w:r>
    </w:p>
    <w:p w14:paraId="6C4E57EB" w14:textId="1E6E7446" w:rsidR="00CF4B25" w:rsidRPr="00CF3AD4" w:rsidRDefault="007F1F6F" w:rsidP="00C51121">
      <w:pPr>
        <w:spacing w:after="0" w:line="276" w:lineRule="auto"/>
        <w:jc w:val="center"/>
        <w:rPr>
          <w:rFonts w:asciiTheme="majorHAnsi" w:hAnsiTheme="majorHAnsi" w:cstheme="majorHAnsi"/>
          <w:sz w:val="24"/>
          <w:szCs w:val="24"/>
          <w:lang w:val="ro-MD"/>
        </w:rPr>
      </w:pPr>
      <w:r w:rsidRPr="009772A3">
        <w:rPr>
          <w:noProof/>
        </w:rPr>
        <w:drawing>
          <wp:inline distT="0" distB="0" distL="0" distR="0" wp14:anchorId="0E6F64B8" wp14:editId="7C2646A3">
            <wp:extent cx="5939790" cy="1957754"/>
            <wp:effectExtent l="0" t="0" r="381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B7232D" w14:textId="51F239F3" w:rsidR="007C76F8" w:rsidRPr="009772A3" w:rsidRDefault="007C0E8F" w:rsidP="00A13B38">
      <w:pPr>
        <w:pStyle w:val="Heading1"/>
        <w:numPr>
          <w:ilvl w:val="2"/>
          <w:numId w:val="2"/>
        </w:numPr>
        <w:spacing w:line="276" w:lineRule="auto"/>
        <w:ind w:left="0" w:firstLine="0"/>
        <w:jc w:val="both"/>
        <w:rPr>
          <w:color w:val="auto"/>
          <w:lang w:val="ro-MD"/>
        </w:rPr>
      </w:pPr>
      <w:bookmarkStart w:id="47" w:name="_Toc119496399"/>
      <w:r w:rsidRPr="009772A3">
        <w:rPr>
          <w:color w:val="auto"/>
          <w:lang w:val="ro-MD"/>
        </w:rPr>
        <w:t>Investițiile capitale în valoare totală de 815.</w:t>
      </w:r>
      <w:r w:rsidR="0051421F" w:rsidRPr="009772A3">
        <w:rPr>
          <w:color w:val="auto"/>
          <w:lang w:val="ro-MD"/>
        </w:rPr>
        <w:t xml:space="preserve">796,6 </w:t>
      </w:r>
      <w:r w:rsidRPr="009772A3">
        <w:rPr>
          <w:color w:val="auto"/>
          <w:lang w:val="ro-MD"/>
        </w:rPr>
        <w:t>mii lei</w:t>
      </w:r>
      <w:r w:rsidR="006F3462" w:rsidRPr="009772A3">
        <w:rPr>
          <w:color w:val="auto"/>
          <w:lang w:val="ro-MD"/>
        </w:rPr>
        <w:t xml:space="preserve">, fiind aprobate </w:t>
      </w:r>
      <w:r w:rsidR="00510E28" w:rsidRPr="009772A3">
        <w:rPr>
          <w:color w:val="auto"/>
          <w:lang w:val="ro-MD"/>
        </w:rPr>
        <w:t xml:space="preserve">spre realizare </w:t>
      </w:r>
      <w:r w:rsidR="006F3462" w:rsidRPr="009772A3">
        <w:rPr>
          <w:color w:val="auto"/>
          <w:lang w:val="ro-MD"/>
        </w:rPr>
        <w:t>de organele de conducere ale SA Moldovagaz,</w:t>
      </w:r>
      <w:r w:rsidRPr="009772A3">
        <w:rPr>
          <w:color w:val="auto"/>
          <w:lang w:val="ro-MD"/>
        </w:rPr>
        <w:t xml:space="preserve"> nu au fost aprobate de către ANRE în scopul recuperării prin tarif, </w:t>
      </w:r>
      <w:r w:rsidR="006F3462" w:rsidRPr="009772A3">
        <w:rPr>
          <w:color w:val="auto"/>
          <w:lang w:val="ro-MD"/>
        </w:rPr>
        <w:t>fiind considerate ca neconforme cu planurile aprobate de Agenție</w:t>
      </w:r>
      <w:r w:rsidR="007C76F8" w:rsidRPr="009772A3">
        <w:rPr>
          <w:color w:val="auto"/>
          <w:lang w:val="ro-MD"/>
        </w:rPr>
        <w:t>.</w:t>
      </w:r>
      <w:bookmarkEnd w:id="47"/>
      <w:r w:rsidR="007C76F8" w:rsidRPr="009772A3" w:rsidDel="007C76F8">
        <w:rPr>
          <w:color w:val="auto"/>
          <w:lang w:val="ro-MD"/>
        </w:rPr>
        <w:t xml:space="preserve"> </w:t>
      </w:r>
    </w:p>
    <w:p w14:paraId="7684E747" w14:textId="53E5ED48" w:rsidR="00026166" w:rsidRPr="009772A3" w:rsidRDefault="00DB5916" w:rsidP="0002616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Probele colectate de audit relevă </w:t>
      </w:r>
      <w:r w:rsidR="00926589" w:rsidRPr="009772A3">
        <w:rPr>
          <w:rFonts w:asciiTheme="majorHAnsi" w:hAnsiTheme="majorHAnsi" w:cstheme="majorHAnsi"/>
          <w:sz w:val="24"/>
          <w:szCs w:val="24"/>
          <w:lang w:val="ro-MD"/>
        </w:rPr>
        <w:t>că</w:t>
      </w:r>
      <w:r w:rsidR="00510E28" w:rsidRPr="009772A3">
        <w:rPr>
          <w:rFonts w:asciiTheme="majorHAnsi" w:hAnsiTheme="majorHAnsi" w:cstheme="majorHAnsi"/>
          <w:sz w:val="24"/>
          <w:szCs w:val="24"/>
          <w:lang w:val="ro-MD"/>
        </w:rPr>
        <w:t>,</w:t>
      </w:r>
      <w:r w:rsidR="00926589" w:rsidRPr="009772A3">
        <w:rPr>
          <w:rFonts w:asciiTheme="majorHAnsi" w:hAnsiTheme="majorHAnsi" w:cstheme="majorHAnsi"/>
          <w:sz w:val="24"/>
          <w:szCs w:val="24"/>
          <w:lang w:val="ro-MD"/>
        </w:rPr>
        <w:t xml:space="preserve"> din totalul investițiilor capitale realizate de întreprinderile din sistemul gazelor naturale, în perioada de referință doar </w:t>
      </w:r>
      <w:r w:rsidR="00026166" w:rsidRPr="009772A3">
        <w:rPr>
          <w:rFonts w:asciiTheme="majorHAnsi" w:hAnsiTheme="majorHAnsi" w:cstheme="majorHAnsi"/>
          <w:sz w:val="24"/>
          <w:szCs w:val="24"/>
          <w:lang w:val="ro-MD"/>
        </w:rPr>
        <w:t>investițiile</w:t>
      </w:r>
      <w:r w:rsidR="00926589" w:rsidRPr="009772A3">
        <w:rPr>
          <w:rFonts w:asciiTheme="majorHAnsi" w:hAnsiTheme="majorHAnsi" w:cstheme="majorHAnsi"/>
          <w:sz w:val="24"/>
          <w:szCs w:val="24"/>
          <w:lang w:val="ro-MD"/>
        </w:rPr>
        <w:t xml:space="preserve"> în valoare totală de 2.772.125,8 mii lei</w:t>
      </w:r>
      <w:r w:rsidR="00510E28" w:rsidRPr="009772A3">
        <w:rPr>
          <w:rFonts w:asciiTheme="majorHAnsi" w:hAnsiTheme="majorHAnsi" w:cstheme="majorHAnsi"/>
          <w:sz w:val="24"/>
          <w:szCs w:val="24"/>
          <w:lang w:val="ro-MD"/>
        </w:rPr>
        <w:t>,</w:t>
      </w:r>
      <w:r w:rsidR="00926589" w:rsidRPr="009772A3">
        <w:rPr>
          <w:rFonts w:asciiTheme="majorHAnsi" w:hAnsiTheme="majorHAnsi" w:cstheme="majorHAnsi"/>
          <w:sz w:val="24"/>
          <w:szCs w:val="24"/>
          <w:lang w:val="ro-MD"/>
        </w:rPr>
        <w:t xml:space="preserve"> sau 77,3%</w:t>
      </w:r>
      <w:r w:rsidR="00510E28" w:rsidRPr="009772A3">
        <w:rPr>
          <w:rFonts w:asciiTheme="majorHAnsi" w:hAnsiTheme="majorHAnsi" w:cstheme="majorHAnsi"/>
          <w:sz w:val="24"/>
          <w:szCs w:val="24"/>
          <w:lang w:val="ro-MD"/>
        </w:rPr>
        <w:t>,</w:t>
      </w:r>
      <w:r w:rsidR="00926589" w:rsidRPr="009772A3">
        <w:rPr>
          <w:rFonts w:asciiTheme="majorHAnsi" w:hAnsiTheme="majorHAnsi" w:cstheme="majorHAnsi"/>
          <w:sz w:val="24"/>
          <w:szCs w:val="24"/>
          <w:lang w:val="ro-MD"/>
        </w:rPr>
        <w:t xml:space="preserve"> au fost acceptate de către ANRE în scopul recuperării prin tarif, </w:t>
      </w:r>
      <w:r w:rsidR="00026166" w:rsidRPr="009772A3">
        <w:rPr>
          <w:rFonts w:asciiTheme="majorHAnsi" w:hAnsiTheme="majorHAnsi" w:cstheme="majorHAnsi"/>
          <w:sz w:val="24"/>
          <w:szCs w:val="24"/>
          <w:lang w:val="ro-MD"/>
        </w:rPr>
        <w:t xml:space="preserve">iar investițiile în valoare de 815.796,6 mii lei </w:t>
      </w:r>
      <w:r w:rsidR="00926589" w:rsidRPr="009772A3">
        <w:rPr>
          <w:rFonts w:asciiTheme="majorHAnsi" w:hAnsiTheme="majorHAnsi" w:cstheme="majorHAnsi"/>
          <w:sz w:val="24"/>
          <w:szCs w:val="24"/>
          <w:lang w:val="ro-MD"/>
        </w:rPr>
        <w:t xml:space="preserve">au fost considerate și </w:t>
      </w:r>
      <w:r w:rsidR="00510E28" w:rsidRPr="009772A3">
        <w:rPr>
          <w:rFonts w:asciiTheme="majorHAnsi" w:hAnsiTheme="majorHAnsi" w:cstheme="majorHAnsi"/>
          <w:sz w:val="24"/>
          <w:szCs w:val="24"/>
          <w:lang w:val="ro-MD"/>
        </w:rPr>
        <w:t>calificate drept</w:t>
      </w:r>
      <w:r w:rsidR="00926589"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neplanific</w:t>
      </w:r>
      <w:r w:rsidR="00926589" w:rsidRPr="009772A3">
        <w:rPr>
          <w:rFonts w:asciiTheme="majorHAnsi" w:hAnsiTheme="majorHAnsi" w:cstheme="majorHAnsi"/>
          <w:sz w:val="24"/>
          <w:szCs w:val="24"/>
          <w:lang w:val="ro-MD"/>
        </w:rPr>
        <w:t>ate</w:t>
      </w:r>
      <w:r w:rsidRPr="009772A3">
        <w:rPr>
          <w:rFonts w:asciiTheme="majorHAnsi" w:hAnsiTheme="majorHAnsi" w:cstheme="majorHAnsi"/>
          <w:sz w:val="24"/>
          <w:szCs w:val="24"/>
          <w:lang w:val="ro-MD"/>
        </w:rPr>
        <w:t>, nefundament</w:t>
      </w:r>
      <w:r w:rsidR="00926589" w:rsidRPr="009772A3">
        <w:rPr>
          <w:rFonts w:asciiTheme="majorHAnsi" w:hAnsiTheme="majorHAnsi" w:cstheme="majorHAnsi"/>
          <w:sz w:val="24"/>
          <w:szCs w:val="24"/>
          <w:lang w:val="ro-MD"/>
        </w:rPr>
        <w:t>ate</w:t>
      </w:r>
      <w:r w:rsidRPr="009772A3">
        <w:rPr>
          <w:rFonts w:asciiTheme="majorHAnsi" w:hAnsiTheme="majorHAnsi" w:cstheme="majorHAnsi"/>
          <w:sz w:val="24"/>
          <w:szCs w:val="24"/>
          <w:lang w:val="ro-MD"/>
        </w:rPr>
        <w:t xml:space="preserve"> și nejustific</w:t>
      </w:r>
      <w:r w:rsidR="00926589" w:rsidRPr="009772A3">
        <w:rPr>
          <w:rFonts w:asciiTheme="majorHAnsi" w:hAnsiTheme="majorHAnsi" w:cstheme="majorHAnsi"/>
          <w:sz w:val="24"/>
          <w:szCs w:val="24"/>
          <w:lang w:val="ro-MD"/>
        </w:rPr>
        <w:t>ate conform</w:t>
      </w:r>
      <w:r w:rsidRPr="009772A3">
        <w:rPr>
          <w:rFonts w:asciiTheme="majorHAnsi" w:hAnsiTheme="majorHAnsi" w:cstheme="majorHAnsi"/>
          <w:sz w:val="24"/>
          <w:szCs w:val="24"/>
          <w:lang w:val="ro-MD"/>
        </w:rPr>
        <w:t xml:space="preserve"> și </w:t>
      </w:r>
      <w:r w:rsidR="00926589" w:rsidRPr="009772A3">
        <w:rPr>
          <w:rFonts w:asciiTheme="majorHAnsi" w:hAnsiTheme="majorHAnsi" w:cstheme="majorHAnsi"/>
          <w:sz w:val="24"/>
          <w:szCs w:val="24"/>
          <w:lang w:val="ro-MD"/>
        </w:rPr>
        <w:t xml:space="preserve">pe </w:t>
      </w:r>
      <w:r w:rsidRPr="009772A3">
        <w:rPr>
          <w:rFonts w:asciiTheme="majorHAnsi" w:hAnsiTheme="majorHAnsi" w:cstheme="majorHAnsi"/>
          <w:sz w:val="24"/>
          <w:szCs w:val="24"/>
          <w:lang w:val="ro-MD"/>
        </w:rPr>
        <w:t>deplin</w:t>
      </w:r>
      <w:r w:rsidR="00B43D72" w:rsidRPr="009772A3">
        <w:rPr>
          <w:rFonts w:asciiTheme="majorHAnsi" w:hAnsiTheme="majorHAnsi" w:cstheme="majorHAnsi"/>
          <w:sz w:val="24"/>
          <w:szCs w:val="24"/>
          <w:lang w:val="ro-MD"/>
        </w:rPr>
        <w:t xml:space="preserve">, precum și </w:t>
      </w:r>
      <w:r w:rsidR="00026166" w:rsidRPr="009772A3">
        <w:rPr>
          <w:rFonts w:asciiTheme="majorHAnsi" w:hAnsiTheme="majorHAnsi" w:cstheme="majorHAnsi"/>
          <w:sz w:val="24"/>
          <w:szCs w:val="24"/>
          <w:lang w:val="ro-MD"/>
        </w:rPr>
        <w:t xml:space="preserve">cu </w:t>
      </w:r>
      <w:r w:rsidR="00B43D72" w:rsidRPr="009772A3">
        <w:rPr>
          <w:rFonts w:asciiTheme="majorHAnsi" w:hAnsiTheme="majorHAnsi" w:cstheme="majorHAnsi"/>
          <w:sz w:val="24"/>
          <w:szCs w:val="24"/>
          <w:lang w:val="ro-MD"/>
        </w:rPr>
        <w:t>aplic</w:t>
      </w:r>
      <w:r w:rsidR="00026166" w:rsidRPr="009772A3">
        <w:rPr>
          <w:rFonts w:asciiTheme="majorHAnsi" w:hAnsiTheme="majorHAnsi" w:cstheme="majorHAnsi"/>
          <w:sz w:val="24"/>
          <w:szCs w:val="24"/>
          <w:lang w:val="ro-MD"/>
        </w:rPr>
        <w:t xml:space="preserve">area </w:t>
      </w:r>
      <w:r w:rsidR="00B43D72" w:rsidRPr="009772A3">
        <w:rPr>
          <w:rFonts w:asciiTheme="majorHAnsi" w:hAnsiTheme="majorHAnsi" w:cstheme="majorHAnsi"/>
          <w:sz w:val="24"/>
          <w:szCs w:val="24"/>
          <w:lang w:val="ro-MD"/>
        </w:rPr>
        <w:t>neconform</w:t>
      </w:r>
      <w:r w:rsidR="00026166" w:rsidRPr="009772A3">
        <w:rPr>
          <w:rFonts w:asciiTheme="majorHAnsi" w:hAnsiTheme="majorHAnsi" w:cstheme="majorHAnsi"/>
          <w:sz w:val="24"/>
          <w:szCs w:val="24"/>
          <w:lang w:val="ro-MD"/>
        </w:rPr>
        <w:t>ă</w:t>
      </w:r>
      <w:r w:rsidR="00B43D72" w:rsidRPr="009772A3">
        <w:rPr>
          <w:rFonts w:asciiTheme="majorHAnsi" w:hAnsiTheme="majorHAnsi" w:cstheme="majorHAnsi"/>
          <w:sz w:val="24"/>
          <w:szCs w:val="24"/>
          <w:lang w:val="ro-MD"/>
        </w:rPr>
        <w:t xml:space="preserve"> a criteriilor de evaluare (de obligativitate, necesitate și eficiență)</w:t>
      </w:r>
      <w:r w:rsidR="00F7704B" w:rsidRPr="009772A3">
        <w:rPr>
          <w:rFonts w:asciiTheme="majorHAnsi" w:hAnsiTheme="majorHAnsi" w:cstheme="majorHAnsi"/>
          <w:sz w:val="24"/>
          <w:szCs w:val="24"/>
          <w:lang w:val="ro-MD"/>
        </w:rPr>
        <w:t>.</w:t>
      </w:r>
      <w:r w:rsidR="00BE5DB8" w:rsidRPr="009772A3">
        <w:rPr>
          <w:rFonts w:asciiTheme="majorHAnsi" w:hAnsiTheme="majorHAnsi" w:cstheme="majorHAnsi"/>
          <w:sz w:val="24"/>
          <w:szCs w:val="24"/>
          <w:lang w:val="ro-MD"/>
        </w:rPr>
        <w:t xml:space="preserve"> </w:t>
      </w:r>
      <w:r w:rsidR="004E32D9" w:rsidRPr="009772A3">
        <w:rPr>
          <w:rFonts w:asciiTheme="majorHAnsi" w:hAnsiTheme="majorHAnsi" w:cstheme="majorHAnsi"/>
          <w:sz w:val="24"/>
          <w:szCs w:val="24"/>
          <w:lang w:val="ro-MD"/>
        </w:rPr>
        <w:t>Se denotă că</w:t>
      </w:r>
      <w:r w:rsidR="00510E28" w:rsidRPr="009772A3">
        <w:rPr>
          <w:rFonts w:asciiTheme="majorHAnsi" w:hAnsiTheme="majorHAnsi" w:cstheme="majorHAnsi"/>
          <w:sz w:val="24"/>
          <w:szCs w:val="24"/>
          <w:lang w:val="ro-MD"/>
        </w:rPr>
        <w:t>,</w:t>
      </w:r>
      <w:r w:rsidR="004E32D9" w:rsidRPr="009772A3">
        <w:rPr>
          <w:rFonts w:asciiTheme="majorHAnsi" w:hAnsiTheme="majorHAnsi" w:cstheme="majorHAnsi"/>
          <w:sz w:val="24"/>
          <w:szCs w:val="24"/>
          <w:lang w:val="ro-MD"/>
        </w:rPr>
        <w:t xml:space="preserve"> deși pentru fiecare proiect de investiții neacceptat în planul anual de investiții ANRE urma să prezinte titularului de licență</w:t>
      </w:r>
      <w:r w:rsidR="00510E28" w:rsidRPr="009772A3">
        <w:rPr>
          <w:rFonts w:asciiTheme="majorHAnsi" w:hAnsiTheme="majorHAnsi" w:cstheme="majorHAnsi"/>
          <w:sz w:val="24"/>
          <w:szCs w:val="24"/>
          <w:lang w:val="ro-MD"/>
        </w:rPr>
        <w:t>,</w:t>
      </w:r>
      <w:r w:rsidR="004E32D9" w:rsidRPr="009772A3">
        <w:rPr>
          <w:rFonts w:asciiTheme="majorHAnsi" w:hAnsiTheme="majorHAnsi" w:cstheme="majorHAnsi"/>
          <w:sz w:val="24"/>
          <w:szCs w:val="24"/>
          <w:lang w:val="ro-MD"/>
        </w:rPr>
        <w:t xml:space="preserve"> prin scrisoare de însoțire</w:t>
      </w:r>
      <w:r w:rsidR="00510E28" w:rsidRPr="009772A3">
        <w:rPr>
          <w:rFonts w:asciiTheme="majorHAnsi" w:hAnsiTheme="majorHAnsi" w:cstheme="majorHAnsi"/>
          <w:sz w:val="24"/>
          <w:szCs w:val="24"/>
          <w:lang w:val="ro-MD"/>
        </w:rPr>
        <w:t>,</w:t>
      </w:r>
      <w:r w:rsidR="004E32D9" w:rsidRPr="009772A3">
        <w:rPr>
          <w:rFonts w:asciiTheme="majorHAnsi" w:hAnsiTheme="majorHAnsi" w:cstheme="majorHAnsi"/>
          <w:sz w:val="24"/>
          <w:szCs w:val="24"/>
          <w:lang w:val="ro-MD"/>
        </w:rPr>
        <w:t xml:space="preserve"> motivul neacceptări</w:t>
      </w:r>
      <w:r w:rsidR="00026166" w:rsidRPr="009772A3">
        <w:rPr>
          <w:rStyle w:val="FootnoteReference"/>
          <w:rFonts w:asciiTheme="majorHAnsi" w:hAnsiTheme="majorHAnsi" w:cstheme="majorHAnsi"/>
          <w:sz w:val="24"/>
          <w:szCs w:val="24"/>
          <w:lang w:val="ro-MD"/>
        </w:rPr>
        <w:footnoteReference w:id="43"/>
      </w:r>
      <w:r w:rsidR="004E32D9" w:rsidRPr="009772A3">
        <w:rPr>
          <w:rFonts w:asciiTheme="majorHAnsi" w:hAnsiTheme="majorHAnsi" w:cstheme="majorHAnsi"/>
          <w:sz w:val="24"/>
          <w:szCs w:val="24"/>
          <w:lang w:val="ro-MD"/>
        </w:rPr>
        <w:t xml:space="preserve">, </w:t>
      </w:r>
      <w:r w:rsidR="00026166" w:rsidRPr="009772A3">
        <w:rPr>
          <w:rFonts w:asciiTheme="majorHAnsi" w:hAnsiTheme="majorHAnsi" w:cstheme="majorHAnsi"/>
          <w:sz w:val="24"/>
          <w:szCs w:val="24"/>
          <w:lang w:val="ro-MD"/>
        </w:rPr>
        <w:t xml:space="preserve">conform explicațiilor prezentate de SA Moldovagaz </w:t>
      </w:r>
      <w:r w:rsidR="0051421F" w:rsidRPr="009772A3">
        <w:rPr>
          <w:rFonts w:asciiTheme="majorHAnsi" w:hAnsiTheme="majorHAnsi" w:cstheme="majorHAnsi"/>
          <w:sz w:val="24"/>
          <w:szCs w:val="24"/>
          <w:lang w:val="ro-MD"/>
        </w:rPr>
        <w:t>aceste motive nu au fost explicate pentru fiecare proiect</w:t>
      </w:r>
      <w:r w:rsidR="004E32D9" w:rsidRPr="009772A3">
        <w:rPr>
          <w:rFonts w:asciiTheme="majorHAnsi" w:hAnsiTheme="majorHAnsi" w:cstheme="majorHAnsi"/>
          <w:sz w:val="24"/>
          <w:szCs w:val="24"/>
          <w:lang w:val="ro-MD"/>
        </w:rPr>
        <w:t>.</w:t>
      </w:r>
      <w:r w:rsidR="00026166" w:rsidRPr="009772A3">
        <w:rPr>
          <w:rFonts w:asciiTheme="majorHAnsi" w:hAnsiTheme="majorHAnsi" w:cstheme="majorHAnsi"/>
          <w:sz w:val="24"/>
          <w:szCs w:val="24"/>
          <w:lang w:val="ro-MD"/>
        </w:rPr>
        <w:t xml:space="preserve"> De menționat că din anul 2011 </w:t>
      </w:r>
      <w:r w:rsidR="00510E28" w:rsidRPr="009772A3">
        <w:rPr>
          <w:rFonts w:asciiTheme="majorHAnsi" w:hAnsiTheme="majorHAnsi" w:cstheme="majorHAnsi"/>
          <w:sz w:val="24"/>
          <w:szCs w:val="24"/>
          <w:lang w:val="ro-MD"/>
        </w:rPr>
        <w:t xml:space="preserve">și </w:t>
      </w:r>
      <w:r w:rsidR="00026166" w:rsidRPr="009772A3">
        <w:rPr>
          <w:rFonts w:asciiTheme="majorHAnsi" w:hAnsiTheme="majorHAnsi" w:cstheme="majorHAnsi"/>
          <w:sz w:val="24"/>
          <w:szCs w:val="24"/>
          <w:lang w:val="ro-MD"/>
        </w:rPr>
        <w:t xml:space="preserve">până în anul 2017 nu a existat un cadru exhaustiv de reglementare privind planificarea, aprobarea și realizarea investițiilor la întreprinderile de gaze naturale. </w:t>
      </w:r>
    </w:p>
    <w:p w14:paraId="22A3AB59" w14:textId="57F768A3" w:rsidR="00F7704B" w:rsidRPr="009772A3" w:rsidRDefault="00F7704B" w:rsidP="00D5385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Informați</w:t>
      </w:r>
      <w:r w:rsidR="00510E28"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detaliat</w:t>
      </w:r>
      <w:r w:rsidR="00510E28"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privind investițiile realizate de către întreprinderile din sistemul gazelor naturale, investițiile realizate care au fost acceptate de ANRE în scopul recuperării </w:t>
      </w:r>
      <w:r w:rsidR="00510E28" w:rsidRPr="009772A3">
        <w:rPr>
          <w:rFonts w:asciiTheme="majorHAnsi" w:hAnsiTheme="majorHAnsi" w:cstheme="majorHAnsi"/>
          <w:sz w:val="24"/>
          <w:szCs w:val="24"/>
          <w:lang w:val="ro-MD"/>
        </w:rPr>
        <w:t>prin</w:t>
      </w:r>
      <w:r w:rsidRPr="009772A3">
        <w:rPr>
          <w:rFonts w:asciiTheme="majorHAnsi" w:hAnsiTheme="majorHAnsi" w:cstheme="majorHAnsi"/>
          <w:sz w:val="24"/>
          <w:szCs w:val="24"/>
          <w:lang w:val="ro-MD"/>
        </w:rPr>
        <w:t xml:space="preserve"> tarif și cele neacceptate în perioada 2011-2021 se prezintă în Anexa nr.</w:t>
      </w:r>
      <w:r w:rsidR="00A90008" w:rsidRPr="009772A3">
        <w:rPr>
          <w:rFonts w:asciiTheme="majorHAnsi" w:hAnsiTheme="majorHAnsi" w:cstheme="majorHAnsi"/>
          <w:sz w:val="24"/>
          <w:szCs w:val="24"/>
          <w:lang w:val="ro-MD"/>
        </w:rPr>
        <w:t>6</w:t>
      </w:r>
      <w:r w:rsidRPr="009772A3">
        <w:rPr>
          <w:rFonts w:asciiTheme="majorHAnsi" w:hAnsiTheme="majorHAnsi" w:cstheme="majorHAnsi"/>
          <w:sz w:val="24"/>
          <w:szCs w:val="24"/>
          <w:lang w:val="ro-MD"/>
        </w:rPr>
        <w:t xml:space="preserve"> </w:t>
      </w:r>
      <w:r w:rsidR="00FA53CA" w:rsidRPr="009772A3">
        <w:rPr>
          <w:rFonts w:asciiTheme="majorHAnsi" w:hAnsiTheme="majorHAnsi" w:cstheme="majorHAnsi"/>
          <w:sz w:val="24"/>
          <w:szCs w:val="24"/>
          <w:lang w:val="ro-MD"/>
        </w:rPr>
        <w:t>la pre</w:t>
      </w:r>
      <w:r w:rsidR="00510E28" w:rsidRPr="009772A3">
        <w:rPr>
          <w:rFonts w:asciiTheme="majorHAnsi" w:hAnsiTheme="majorHAnsi" w:cstheme="majorHAnsi"/>
          <w:sz w:val="24"/>
          <w:szCs w:val="24"/>
          <w:lang w:val="ro-MD"/>
        </w:rPr>
        <w:t>z</w:t>
      </w:r>
      <w:r w:rsidR="00FA53CA" w:rsidRPr="009772A3">
        <w:rPr>
          <w:rFonts w:asciiTheme="majorHAnsi" w:hAnsiTheme="majorHAnsi" w:cstheme="majorHAnsi"/>
          <w:sz w:val="24"/>
          <w:szCs w:val="24"/>
          <w:lang w:val="ro-MD"/>
        </w:rPr>
        <w:t>entul</w:t>
      </w:r>
      <w:r w:rsidRPr="009772A3">
        <w:rPr>
          <w:rFonts w:asciiTheme="majorHAnsi" w:hAnsiTheme="majorHAnsi" w:cstheme="majorHAnsi"/>
          <w:sz w:val="24"/>
          <w:szCs w:val="24"/>
          <w:lang w:val="ro-MD"/>
        </w:rPr>
        <w:t xml:space="preserve"> Raport</w:t>
      </w:r>
      <w:r w:rsidR="00FA53CA" w:rsidRPr="009772A3">
        <w:rPr>
          <w:rFonts w:asciiTheme="majorHAnsi" w:hAnsiTheme="majorHAnsi" w:cstheme="majorHAnsi"/>
          <w:sz w:val="24"/>
          <w:szCs w:val="24"/>
          <w:lang w:val="ro-MD"/>
        </w:rPr>
        <w:t xml:space="preserve"> de audit</w:t>
      </w:r>
      <w:r w:rsidR="00BF4F20" w:rsidRPr="009772A3">
        <w:rPr>
          <w:rFonts w:asciiTheme="majorHAnsi" w:hAnsiTheme="majorHAnsi" w:cstheme="majorHAnsi"/>
          <w:sz w:val="24"/>
          <w:szCs w:val="24"/>
          <w:lang w:val="ro-MD"/>
        </w:rPr>
        <w:t>.</w:t>
      </w:r>
    </w:p>
    <w:p w14:paraId="3171D139" w14:textId="398AE62A" w:rsidR="00324F30" w:rsidRPr="009772A3" w:rsidRDefault="00324F30" w:rsidP="00A13B38">
      <w:pPr>
        <w:pStyle w:val="Heading1"/>
        <w:numPr>
          <w:ilvl w:val="2"/>
          <w:numId w:val="2"/>
        </w:numPr>
        <w:spacing w:line="276" w:lineRule="auto"/>
        <w:ind w:left="0" w:firstLine="0"/>
        <w:jc w:val="both"/>
        <w:rPr>
          <w:color w:val="auto"/>
          <w:lang w:val="ro-MD"/>
        </w:rPr>
      </w:pPr>
      <w:bookmarkStart w:id="48" w:name="_Toc119496400"/>
      <w:r w:rsidRPr="009772A3">
        <w:rPr>
          <w:color w:val="auto"/>
          <w:lang w:val="ro-MD"/>
        </w:rPr>
        <w:t>Cheltuielile</w:t>
      </w:r>
      <w:r w:rsidR="0048263A" w:rsidRPr="009772A3">
        <w:rPr>
          <w:color w:val="auto"/>
          <w:lang w:val="ro-MD"/>
        </w:rPr>
        <w:t xml:space="preserve"> </w:t>
      </w:r>
      <w:r w:rsidRPr="009772A3">
        <w:rPr>
          <w:color w:val="auto"/>
          <w:lang w:val="ro-MD"/>
        </w:rPr>
        <w:t xml:space="preserve">investiționale </w:t>
      </w:r>
      <w:r w:rsidR="0048263A" w:rsidRPr="009772A3">
        <w:rPr>
          <w:color w:val="auto"/>
          <w:lang w:val="ro-MD"/>
        </w:rPr>
        <w:t>privind construcția și reparația capit</w:t>
      </w:r>
      <w:r w:rsidR="00026166" w:rsidRPr="009772A3">
        <w:rPr>
          <w:color w:val="auto"/>
          <w:lang w:val="ro-MD"/>
        </w:rPr>
        <w:t>a</w:t>
      </w:r>
      <w:r w:rsidR="0048263A" w:rsidRPr="009772A3">
        <w:rPr>
          <w:color w:val="auto"/>
          <w:lang w:val="ro-MD"/>
        </w:rPr>
        <w:t>lă a unor clădiri</w:t>
      </w:r>
      <w:r w:rsidRPr="009772A3">
        <w:rPr>
          <w:color w:val="auto"/>
          <w:lang w:val="ro-MD"/>
        </w:rPr>
        <w:t>,</w:t>
      </w:r>
      <w:r w:rsidR="0048263A" w:rsidRPr="009772A3">
        <w:rPr>
          <w:color w:val="auto"/>
          <w:lang w:val="ro-MD"/>
        </w:rPr>
        <w:t xml:space="preserve"> în valoare totală de </w:t>
      </w:r>
      <w:r w:rsidRPr="009772A3">
        <w:rPr>
          <w:color w:val="auto"/>
          <w:lang w:val="ro-MD"/>
        </w:rPr>
        <w:t>473.</w:t>
      </w:r>
      <w:r w:rsidR="005F50FE" w:rsidRPr="009772A3">
        <w:rPr>
          <w:color w:val="auto"/>
          <w:lang w:val="ro-MD"/>
        </w:rPr>
        <w:t>377</w:t>
      </w:r>
      <w:r w:rsidRPr="009772A3">
        <w:rPr>
          <w:color w:val="auto"/>
          <w:lang w:val="ro-MD"/>
        </w:rPr>
        <w:t>,</w:t>
      </w:r>
      <w:r w:rsidR="005F50FE" w:rsidRPr="009772A3">
        <w:rPr>
          <w:color w:val="auto"/>
          <w:lang w:val="ro-MD"/>
        </w:rPr>
        <w:t>1</w:t>
      </w:r>
      <w:r w:rsidR="0048263A" w:rsidRPr="009772A3">
        <w:rPr>
          <w:color w:val="auto"/>
          <w:lang w:val="ro-MD"/>
        </w:rPr>
        <w:t xml:space="preserve"> mii lei</w:t>
      </w:r>
      <w:r w:rsidRPr="009772A3">
        <w:rPr>
          <w:color w:val="auto"/>
          <w:lang w:val="ro-MD"/>
        </w:rPr>
        <w:t>, nu au fost confirmate documentar pe depli</w:t>
      </w:r>
      <w:r w:rsidR="00F412D0" w:rsidRPr="009772A3">
        <w:rPr>
          <w:color w:val="auto"/>
          <w:lang w:val="ro-MD"/>
        </w:rPr>
        <w:t>n</w:t>
      </w:r>
      <w:r w:rsidRPr="009772A3">
        <w:rPr>
          <w:color w:val="auto"/>
          <w:lang w:val="ro-MD"/>
        </w:rPr>
        <w:t xml:space="preserve"> sau finalizate și transmise corespunzător în exploatare.</w:t>
      </w:r>
      <w:bookmarkEnd w:id="48"/>
    </w:p>
    <w:p w14:paraId="1D52E4AE" w14:textId="1D98711E" w:rsidR="00A55735" w:rsidRPr="009772A3" w:rsidRDefault="002B2835" w:rsidP="00A13B38">
      <w:pPr>
        <w:pStyle w:val="Heading1"/>
        <w:numPr>
          <w:ilvl w:val="3"/>
          <w:numId w:val="2"/>
        </w:numPr>
        <w:tabs>
          <w:tab w:val="left" w:pos="851"/>
        </w:tabs>
        <w:spacing w:before="0" w:line="276" w:lineRule="auto"/>
        <w:ind w:left="0" w:firstLine="0"/>
        <w:jc w:val="both"/>
        <w:rPr>
          <w:i/>
          <w:color w:val="auto"/>
          <w:lang w:val="ro-MD"/>
        </w:rPr>
      </w:pPr>
      <w:bookmarkStart w:id="49" w:name="_Toc119496401"/>
      <w:r w:rsidRPr="009772A3">
        <w:rPr>
          <w:i/>
          <w:color w:val="auto"/>
          <w:lang w:val="ro-MD"/>
        </w:rPr>
        <w:t xml:space="preserve">Investițiile capitale pentru construcția clădirii de tip oficiu a S.A. Moldovagaz din str. </w:t>
      </w:r>
      <w:r w:rsidR="00763A60" w:rsidRPr="009772A3">
        <w:rPr>
          <w:i/>
          <w:color w:val="auto"/>
          <w:lang w:val="ro-MD"/>
        </w:rPr>
        <w:t xml:space="preserve">A. </w:t>
      </w:r>
      <w:r w:rsidRPr="009772A3">
        <w:rPr>
          <w:i/>
          <w:color w:val="auto"/>
          <w:lang w:val="ro-MD"/>
        </w:rPr>
        <w:t xml:space="preserve">Pușkin </w:t>
      </w:r>
      <w:r w:rsidR="00763A60" w:rsidRPr="009772A3">
        <w:rPr>
          <w:i/>
          <w:color w:val="auto"/>
          <w:lang w:val="ro-MD"/>
        </w:rPr>
        <w:t>nr.</w:t>
      </w:r>
      <w:r w:rsidRPr="009772A3">
        <w:rPr>
          <w:i/>
          <w:color w:val="auto"/>
          <w:lang w:val="ro-MD"/>
        </w:rPr>
        <w:t>64, mun. Chișinău în valoare totală de 445.630,3 mii lei au fost afectate de unele neconformități, costurile planificate inițial fiind majorate adițional pe parcursul executării lucrărilor.</w:t>
      </w:r>
      <w:bookmarkEnd w:id="49"/>
    </w:p>
    <w:p w14:paraId="252371AA" w14:textId="4BFA1839" w:rsidR="002B2835" w:rsidRPr="009772A3" w:rsidRDefault="002B2835" w:rsidP="004F4116">
      <w:pPr>
        <w:spacing w:after="0" w:line="276" w:lineRule="auto"/>
        <w:ind w:firstLine="709"/>
        <w:jc w:val="both"/>
        <w:rPr>
          <w:rFonts w:asciiTheme="majorHAnsi" w:hAnsiTheme="majorHAnsi" w:cstheme="majorHAnsi"/>
          <w:sz w:val="24"/>
          <w:szCs w:val="24"/>
          <w:lang w:val="ro-MD"/>
        </w:rPr>
      </w:pPr>
      <w:r w:rsidRPr="009772A3">
        <w:rPr>
          <w:rFonts w:ascii="Times New Roman" w:hAnsi="Times New Roman" w:cs="Times New Roman"/>
          <w:sz w:val="24"/>
          <w:szCs w:val="24"/>
          <w:lang w:val="ro-MD" w:eastAsia="ru-RU"/>
        </w:rPr>
        <w:tab/>
      </w:r>
      <w:r w:rsidRPr="009772A3">
        <w:rPr>
          <w:rFonts w:asciiTheme="majorHAnsi" w:hAnsiTheme="majorHAnsi" w:cstheme="majorHAnsi"/>
          <w:sz w:val="24"/>
          <w:szCs w:val="24"/>
          <w:lang w:val="ro-MD"/>
        </w:rPr>
        <w:t xml:space="preserve">Prin </w:t>
      </w:r>
      <w:r w:rsidR="00763A60" w:rsidRPr="009772A3">
        <w:rPr>
          <w:rFonts w:asciiTheme="majorHAnsi" w:hAnsiTheme="majorHAnsi" w:cstheme="majorHAnsi"/>
          <w:sz w:val="24"/>
          <w:szCs w:val="24"/>
          <w:lang w:val="ro-MD"/>
        </w:rPr>
        <w:t>H</w:t>
      </w:r>
      <w:r w:rsidRPr="009772A3">
        <w:rPr>
          <w:rFonts w:asciiTheme="majorHAnsi" w:hAnsiTheme="majorHAnsi" w:cstheme="majorHAnsi"/>
          <w:sz w:val="24"/>
          <w:szCs w:val="24"/>
          <w:lang w:val="ro-MD"/>
        </w:rPr>
        <w:t>otărârea Consiliului de administrație al S.A. Moldovagaz nr.19 din 08.09.2005 privind crearea condițiilor corespunzătoare pentru funcționarea normală a serviciilor existente în cadrul societății, s-a decis a considera oportun</w:t>
      </w:r>
      <w:r w:rsidR="00763A60"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și necesar</w:t>
      </w:r>
      <w:r w:rsidR="00763A60"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reluarea lucrărilor de proiectare și construcție a oficiului central din mun. Chișinău, str. </w:t>
      </w:r>
      <w:r w:rsidR="00763A60"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Pușkin nr.64. De asemenea, prin hotărârea Consiliului de administrație nr.34 din 26.07.2006</w:t>
      </w:r>
      <w:r w:rsidR="00763A6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decis aprobarea costului total al construcției de până la 5.000,0 mii euro, documentația de proiect urmând a fi elaborată și coordonată până la </w:t>
      </w:r>
      <w:r w:rsidR="00763A60" w:rsidRPr="009772A3">
        <w:rPr>
          <w:rFonts w:asciiTheme="majorHAnsi" w:hAnsiTheme="majorHAnsi" w:cstheme="majorHAnsi"/>
          <w:sz w:val="24"/>
          <w:szCs w:val="24"/>
          <w:lang w:val="ro-MD"/>
        </w:rPr>
        <w:t>0</w:t>
      </w:r>
      <w:r w:rsidRPr="009772A3">
        <w:rPr>
          <w:rFonts w:asciiTheme="majorHAnsi" w:hAnsiTheme="majorHAnsi" w:cstheme="majorHAnsi"/>
          <w:sz w:val="24"/>
          <w:szCs w:val="24"/>
          <w:lang w:val="ro-MD"/>
        </w:rPr>
        <w:t>1</w:t>
      </w:r>
      <w:r w:rsidR="00763A60" w:rsidRPr="009772A3">
        <w:rPr>
          <w:rFonts w:asciiTheme="majorHAnsi" w:hAnsiTheme="majorHAnsi" w:cstheme="majorHAnsi"/>
          <w:sz w:val="24"/>
          <w:szCs w:val="24"/>
          <w:lang w:val="ro-MD"/>
        </w:rPr>
        <w:t>.01.</w:t>
      </w:r>
      <w:r w:rsidRPr="009772A3">
        <w:rPr>
          <w:rFonts w:asciiTheme="majorHAnsi" w:hAnsiTheme="majorHAnsi" w:cstheme="majorHAnsi"/>
          <w:sz w:val="24"/>
          <w:szCs w:val="24"/>
          <w:lang w:val="ro-MD"/>
        </w:rPr>
        <w:t>2007.</w:t>
      </w:r>
    </w:p>
    <w:p w14:paraId="5BCC495E" w14:textId="34DDB7EE" w:rsidR="002B2835" w:rsidRPr="009772A3" w:rsidRDefault="002B2835" w:rsidP="004F4116">
      <w:pPr>
        <w:spacing w:after="0" w:line="276" w:lineRule="auto"/>
        <w:ind w:firstLine="709"/>
        <w:jc w:val="both"/>
        <w:rPr>
          <w:rFonts w:asciiTheme="majorHAnsi" w:hAnsiTheme="majorHAnsi" w:cstheme="majorHAnsi"/>
          <w:sz w:val="24"/>
          <w:szCs w:val="24"/>
          <w:lang w:val="ro-MD" w:eastAsia="ru-RU"/>
        </w:rPr>
      </w:pPr>
      <w:r w:rsidRPr="009772A3">
        <w:rPr>
          <w:rFonts w:ascii="Times New Roman" w:hAnsi="Times New Roman" w:cs="Times New Roman"/>
          <w:sz w:val="24"/>
          <w:szCs w:val="24"/>
          <w:lang w:val="ro-MD" w:eastAsia="ru-RU"/>
        </w:rPr>
        <w:tab/>
      </w:r>
      <w:r w:rsidRPr="009772A3">
        <w:rPr>
          <w:rFonts w:asciiTheme="majorHAnsi" w:hAnsiTheme="majorHAnsi" w:cstheme="majorHAnsi"/>
          <w:sz w:val="24"/>
          <w:szCs w:val="24"/>
          <w:lang w:val="ro-MD"/>
        </w:rPr>
        <w:t xml:space="preserve">Pentru inițierea lucrărilor de construcție a clădirii, în anul 2006 S.A. Moldovagaz a achiziționat servicii de elaborare a documentației de proiect și </w:t>
      </w:r>
      <w:r w:rsidR="00763A60"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verificare</w:t>
      </w:r>
      <w:r w:rsidR="00763A6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a lucrărilor de șantier în sumă de 2.273,3 mii lei, urmare </w:t>
      </w:r>
      <w:r w:rsidR="00763A60"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cărora</w:t>
      </w:r>
      <w:r w:rsidR="00763A6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devizului general </w:t>
      </w:r>
      <w:r w:rsidR="00763A60" w:rsidRPr="009772A3">
        <w:rPr>
          <w:rFonts w:asciiTheme="majorHAnsi" w:hAnsiTheme="majorHAnsi" w:cstheme="majorHAnsi"/>
          <w:sz w:val="24"/>
          <w:szCs w:val="24"/>
          <w:lang w:val="ro-MD"/>
        </w:rPr>
        <w:t xml:space="preserve">de cheltuieli, </w:t>
      </w:r>
      <w:r w:rsidRPr="009772A3">
        <w:rPr>
          <w:rFonts w:asciiTheme="majorHAnsi" w:hAnsiTheme="majorHAnsi" w:cstheme="majorHAnsi"/>
          <w:sz w:val="24"/>
          <w:szCs w:val="24"/>
          <w:lang w:val="ro-MD"/>
        </w:rPr>
        <w:t xml:space="preserve">a fost determinat </w:t>
      </w:r>
      <w:r w:rsidRPr="009772A3">
        <w:rPr>
          <w:rFonts w:asciiTheme="majorHAnsi" w:hAnsiTheme="majorHAnsi" w:cstheme="majorHAnsi"/>
          <w:sz w:val="24"/>
          <w:szCs w:val="24"/>
          <w:lang w:val="ro-MD" w:eastAsia="ru-RU"/>
        </w:rPr>
        <w:t xml:space="preserve">costul orientativ al construcției </w:t>
      </w:r>
      <w:r w:rsidR="00763A60" w:rsidRPr="009772A3">
        <w:rPr>
          <w:rFonts w:asciiTheme="majorHAnsi" w:hAnsiTheme="majorHAnsi" w:cstheme="majorHAnsi"/>
          <w:sz w:val="24"/>
          <w:szCs w:val="24"/>
          <w:lang w:val="ro-MD" w:eastAsia="ru-RU"/>
        </w:rPr>
        <w:t xml:space="preserve">în sumă </w:t>
      </w:r>
      <w:r w:rsidRPr="009772A3">
        <w:rPr>
          <w:rFonts w:asciiTheme="majorHAnsi" w:hAnsiTheme="majorHAnsi" w:cstheme="majorHAnsi"/>
          <w:sz w:val="24"/>
          <w:szCs w:val="24"/>
          <w:lang w:val="ro-MD" w:eastAsia="ru-RU"/>
        </w:rPr>
        <w:t>de 230.936,2 mii lei</w:t>
      </w:r>
      <w:r w:rsidRPr="009772A3">
        <w:rPr>
          <w:rStyle w:val="FootnoteReference"/>
          <w:rFonts w:asciiTheme="majorHAnsi" w:hAnsiTheme="majorHAnsi" w:cstheme="majorHAnsi"/>
          <w:sz w:val="24"/>
          <w:szCs w:val="24"/>
          <w:lang w:val="ro-MD" w:eastAsia="ru-RU"/>
        </w:rPr>
        <w:footnoteReference w:id="44"/>
      </w:r>
      <w:r w:rsidRPr="009772A3">
        <w:rPr>
          <w:rFonts w:asciiTheme="majorHAnsi" w:hAnsiTheme="majorHAnsi" w:cstheme="majorHAnsi"/>
          <w:sz w:val="24"/>
          <w:szCs w:val="24"/>
          <w:lang w:val="ro-MD" w:eastAsia="ru-RU"/>
        </w:rPr>
        <w:t xml:space="preserve"> </w:t>
      </w:r>
      <w:r w:rsidR="00763A60" w:rsidRPr="009772A3">
        <w:rPr>
          <w:rFonts w:asciiTheme="majorHAnsi" w:hAnsiTheme="majorHAnsi" w:cstheme="majorHAnsi"/>
          <w:sz w:val="24"/>
          <w:szCs w:val="24"/>
          <w:lang w:val="ro-MD" w:eastAsia="ru-RU"/>
        </w:rPr>
        <w:t>și</w:t>
      </w:r>
      <w:r w:rsidRPr="009772A3">
        <w:rPr>
          <w:rFonts w:asciiTheme="majorHAnsi" w:hAnsiTheme="majorHAnsi" w:cstheme="majorHAnsi"/>
          <w:sz w:val="24"/>
          <w:szCs w:val="24"/>
          <w:lang w:val="ro-MD" w:eastAsia="ru-RU"/>
        </w:rPr>
        <w:t xml:space="preserve"> suprafața totală de 12.727,0 m</w:t>
      </w:r>
      <w:r w:rsidRPr="009772A3">
        <w:rPr>
          <w:rFonts w:asciiTheme="majorHAnsi" w:hAnsiTheme="majorHAnsi" w:cstheme="majorHAnsi"/>
          <w:sz w:val="24"/>
          <w:szCs w:val="24"/>
          <w:vertAlign w:val="superscript"/>
          <w:lang w:val="ro-MD" w:eastAsia="ru-RU"/>
        </w:rPr>
        <w:t>2</w:t>
      </w:r>
      <w:r w:rsidRPr="009772A3">
        <w:rPr>
          <w:rFonts w:asciiTheme="majorHAnsi" w:hAnsiTheme="majorHAnsi" w:cstheme="majorHAnsi"/>
          <w:sz w:val="24"/>
          <w:szCs w:val="24"/>
          <w:lang w:val="ro-MD" w:eastAsia="ru-RU"/>
        </w:rPr>
        <w:t>. În anul 2013, pe parcursul executării lucrărilor au fost achiziționate suplimentar servicii pentru executarea modificărilor în documentația de proiect și servicii de amenajare interioară</w:t>
      </w:r>
      <w:r w:rsidR="008535D6" w:rsidRPr="009772A3">
        <w:rPr>
          <w:rStyle w:val="FootnoteReference"/>
          <w:rFonts w:asciiTheme="majorHAnsi" w:hAnsiTheme="majorHAnsi" w:cstheme="majorHAnsi"/>
          <w:sz w:val="24"/>
          <w:szCs w:val="24"/>
          <w:lang w:val="ro-MD" w:eastAsia="ru-RU"/>
        </w:rPr>
        <w:footnoteReference w:id="45"/>
      </w:r>
      <w:r w:rsidRPr="009772A3">
        <w:rPr>
          <w:rFonts w:asciiTheme="majorHAnsi" w:hAnsiTheme="majorHAnsi" w:cstheme="majorHAnsi"/>
          <w:sz w:val="24"/>
          <w:szCs w:val="24"/>
          <w:lang w:val="ro-MD" w:eastAsia="ru-RU"/>
        </w:rPr>
        <w:t>. Potrivit responsabililor din cadrul S.A. Moldovagaz, documentația de proiect</w:t>
      </w:r>
      <w:r w:rsidR="00763A60" w:rsidRPr="009772A3">
        <w:rPr>
          <w:rFonts w:asciiTheme="majorHAnsi" w:hAnsiTheme="majorHAnsi" w:cstheme="majorHAnsi"/>
          <w:sz w:val="24"/>
          <w:szCs w:val="24"/>
          <w:lang w:val="ro-MD" w:eastAsia="ru-RU"/>
        </w:rPr>
        <w:t>,</w:t>
      </w:r>
      <w:r w:rsidRPr="009772A3">
        <w:rPr>
          <w:rFonts w:asciiTheme="majorHAnsi" w:hAnsiTheme="majorHAnsi" w:cstheme="majorHAnsi"/>
          <w:sz w:val="24"/>
          <w:szCs w:val="24"/>
          <w:lang w:val="ro-MD" w:eastAsia="ru-RU"/>
        </w:rPr>
        <w:t xml:space="preserve"> cât și obiectivul construcției au fost modificate din diferite motive</w:t>
      </w:r>
      <w:r w:rsidR="00763A60" w:rsidRPr="009772A3">
        <w:rPr>
          <w:rFonts w:asciiTheme="majorHAnsi" w:hAnsiTheme="majorHAnsi" w:cstheme="majorHAnsi"/>
          <w:sz w:val="24"/>
          <w:szCs w:val="24"/>
          <w:lang w:val="ro-MD" w:eastAsia="ru-RU"/>
        </w:rPr>
        <w:t xml:space="preserve"> pe parcursul executării lucrărilor</w:t>
      </w:r>
      <w:r w:rsidRPr="009772A3">
        <w:rPr>
          <w:rFonts w:asciiTheme="majorHAnsi" w:hAnsiTheme="majorHAnsi" w:cstheme="majorHAnsi"/>
          <w:sz w:val="24"/>
          <w:szCs w:val="24"/>
          <w:lang w:val="ro-MD" w:eastAsia="ru-RU"/>
        </w:rPr>
        <w:t xml:space="preserve">, inclusiv </w:t>
      </w:r>
      <w:r w:rsidR="00763A60" w:rsidRPr="009772A3">
        <w:rPr>
          <w:rFonts w:asciiTheme="majorHAnsi" w:hAnsiTheme="majorHAnsi" w:cstheme="majorHAnsi"/>
          <w:sz w:val="24"/>
          <w:szCs w:val="24"/>
          <w:lang w:val="ro-MD" w:eastAsia="ru-RU"/>
        </w:rPr>
        <w:t xml:space="preserve">din cauza </w:t>
      </w:r>
      <w:r w:rsidRPr="009772A3">
        <w:rPr>
          <w:rFonts w:asciiTheme="majorHAnsi" w:hAnsiTheme="majorHAnsi" w:cstheme="majorHAnsi"/>
          <w:sz w:val="24"/>
          <w:szCs w:val="24"/>
          <w:lang w:val="ro-MD" w:eastAsia="ru-RU"/>
        </w:rPr>
        <w:t>modific</w:t>
      </w:r>
      <w:r w:rsidR="00763A60" w:rsidRPr="009772A3">
        <w:rPr>
          <w:rFonts w:asciiTheme="majorHAnsi" w:hAnsiTheme="majorHAnsi" w:cstheme="majorHAnsi"/>
          <w:sz w:val="24"/>
          <w:szCs w:val="24"/>
          <w:lang w:val="ro-MD" w:eastAsia="ru-RU"/>
        </w:rPr>
        <w:t>ării</w:t>
      </w:r>
      <w:r w:rsidRPr="009772A3">
        <w:rPr>
          <w:rFonts w:asciiTheme="majorHAnsi" w:hAnsiTheme="majorHAnsi" w:cstheme="majorHAnsi"/>
          <w:sz w:val="24"/>
          <w:szCs w:val="24"/>
          <w:lang w:val="ro-MD" w:eastAsia="ru-RU"/>
        </w:rPr>
        <w:t xml:space="preserve"> legislației, necesitățil</w:t>
      </w:r>
      <w:r w:rsidR="00763A60" w:rsidRPr="009772A3">
        <w:rPr>
          <w:rFonts w:asciiTheme="majorHAnsi" w:hAnsiTheme="majorHAnsi" w:cstheme="majorHAnsi"/>
          <w:sz w:val="24"/>
          <w:szCs w:val="24"/>
          <w:lang w:val="ro-MD" w:eastAsia="ru-RU"/>
        </w:rPr>
        <w:t>or</w:t>
      </w:r>
      <w:r w:rsidRPr="009772A3">
        <w:rPr>
          <w:rFonts w:asciiTheme="majorHAnsi" w:hAnsiTheme="majorHAnsi" w:cstheme="majorHAnsi"/>
          <w:sz w:val="24"/>
          <w:szCs w:val="24"/>
          <w:lang w:val="ro-MD" w:eastAsia="ru-RU"/>
        </w:rPr>
        <w:t xml:space="preserve"> de reproiectare și </w:t>
      </w:r>
      <w:r w:rsidR="00BB72D2" w:rsidRPr="009772A3">
        <w:rPr>
          <w:rFonts w:asciiTheme="majorHAnsi" w:hAnsiTheme="majorHAnsi" w:cstheme="majorHAnsi"/>
          <w:sz w:val="24"/>
          <w:szCs w:val="24"/>
          <w:lang w:val="ro-MD" w:eastAsia="ru-RU"/>
        </w:rPr>
        <w:t>amenajare interioară</w:t>
      </w:r>
      <w:r w:rsidRPr="009772A3">
        <w:rPr>
          <w:rStyle w:val="FootnoteReference"/>
          <w:rFonts w:asciiTheme="majorHAnsi" w:hAnsiTheme="majorHAnsi" w:cstheme="majorHAnsi"/>
          <w:sz w:val="24"/>
          <w:szCs w:val="24"/>
          <w:lang w:val="ro-MD" w:eastAsia="ru-RU"/>
        </w:rPr>
        <w:footnoteReference w:id="46"/>
      </w:r>
      <w:r w:rsidRPr="009772A3">
        <w:rPr>
          <w:rFonts w:asciiTheme="majorHAnsi" w:hAnsiTheme="majorHAnsi" w:cstheme="majorHAnsi"/>
          <w:sz w:val="24"/>
          <w:szCs w:val="24"/>
          <w:lang w:val="ro-MD" w:eastAsia="ru-RU"/>
        </w:rPr>
        <w:t>. Auditul denotă că, deși proiectul inițial a fost modificat, devizul general ajustat cu costurile finale nu a fost elaborat și prezentat de către proiectant, în corespundere cu prevederile cadrului de reglementare aplicabil</w:t>
      </w:r>
      <w:r w:rsidRPr="009772A3">
        <w:rPr>
          <w:rStyle w:val="FootnoteReference"/>
          <w:rFonts w:asciiTheme="majorHAnsi" w:hAnsiTheme="majorHAnsi" w:cstheme="majorHAnsi"/>
          <w:sz w:val="24"/>
          <w:szCs w:val="24"/>
          <w:lang w:val="ro-MD" w:eastAsia="ru-RU"/>
        </w:rPr>
        <w:footnoteReference w:id="47"/>
      </w:r>
      <w:r w:rsidRPr="009772A3">
        <w:rPr>
          <w:rFonts w:asciiTheme="majorHAnsi" w:hAnsiTheme="majorHAnsi" w:cstheme="majorHAnsi"/>
          <w:sz w:val="24"/>
          <w:szCs w:val="24"/>
          <w:lang w:val="ro-MD" w:eastAsia="ru-RU"/>
        </w:rPr>
        <w:t xml:space="preserve">. </w:t>
      </w:r>
    </w:p>
    <w:p w14:paraId="47278758" w14:textId="7AA6A6B0" w:rsidR="002B2835" w:rsidRPr="009772A3" w:rsidRDefault="002B2835"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eastAsia="ru-RU"/>
        </w:rPr>
        <w:tab/>
      </w:r>
      <w:r w:rsidRPr="009772A3">
        <w:rPr>
          <w:rFonts w:asciiTheme="majorHAnsi" w:hAnsiTheme="majorHAnsi" w:cstheme="majorHAnsi"/>
          <w:sz w:val="24"/>
          <w:szCs w:val="24"/>
          <w:lang w:val="ro-MD"/>
        </w:rPr>
        <w:t xml:space="preserve">În </w:t>
      </w:r>
      <w:r w:rsidRPr="009772A3">
        <w:rPr>
          <w:rFonts w:asciiTheme="majorHAnsi" w:hAnsiTheme="majorHAnsi" w:cstheme="majorHAnsi"/>
          <w:sz w:val="24"/>
          <w:szCs w:val="24"/>
          <w:lang w:val="ro-MD" w:eastAsia="ru-RU"/>
        </w:rPr>
        <w:t>cadrul</w:t>
      </w:r>
      <w:r w:rsidRPr="009772A3">
        <w:rPr>
          <w:rFonts w:asciiTheme="majorHAnsi" w:hAnsiTheme="majorHAnsi" w:cstheme="majorHAnsi"/>
          <w:sz w:val="24"/>
          <w:szCs w:val="24"/>
          <w:lang w:val="ro-MD"/>
        </w:rPr>
        <w:t xml:space="preserve"> misiunii de audit public extern, SA Moldovagaz a prezentat doar o parte </w:t>
      </w:r>
      <w:r w:rsidR="009230B8" w:rsidRPr="009772A3">
        <w:rPr>
          <w:rFonts w:asciiTheme="majorHAnsi" w:hAnsiTheme="majorHAnsi" w:cstheme="majorHAnsi"/>
          <w:sz w:val="24"/>
          <w:szCs w:val="24"/>
          <w:lang w:val="ro-MD"/>
        </w:rPr>
        <w:t xml:space="preserve">neesențială </w:t>
      </w:r>
      <w:r w:rsidRPr="009772A3">
        <w:rPr>
          <w:rFonts w:asciiTheme="majorHAnsi" w:hAnsiTheme="majorHAnsi" w:cstheme="majorHAnsi"/>
          <w:sz w:val="24"/>
          <w:szCs w:val="24"/>
          <w:lang w:val="ro-MD"/>
        </w:rPr>
        <w:t xml:space="preserve">din setul integral de documente solicitate cu referire la construcția clădirii, care vizează perioada 2016-2018, motivând că </w:t>
      </w:r>
      <w:r w:rsidRPr="009772A3">
        <w:rPr>
          <w:rFonts w:asciiTheme="majorHAnsi" w:hAnsiTheme="majorHAnsi" w:cstheme="majorHAnsi"/>
          <w:i/>
          <w:sz w:val="24"/>
          <w:szCs w:val="24"/>
          <w:lang w:val="ro-MD"/>
        </w:rPr>
        <w:t>„în baza Ordonanței de efectuare a percheziției din 24.11.2015 și a procesului-verbal de percheziție din 26.11.2015 a Procuraturii Generale cât și în baza procesului-verbal de ridicare din 04.04.2016 a</w:t>
      </w:r>
      <w:r w:rsidR="00EA1023" w:rsidRPr="009772A3">
        <w:rPr>
          <w:rFonts w:asciiTheme="majorHAnsi" w:hAnsiTheme="majorHAnsi" w:cstheme="majorHAnsi"/>
          <w:i/>
          <w:sz w:val="24"/>
          <w:szCs w:val="24"/>
          <w:lang w:val="ro-MD"/>
        </w:rPr>
        <w:t>l</w:t>
      </w:r>
      <w:r w:rsidRPr="009772A3">
        <w:rPr>
          <w:rFonts w:asciiTheme="majorHAnsi" w:hAnsiTheme="majorHAnsi" w:cstheme="majorHAnsi"/>
          <w:i/>
          <w:sz w:val="24"/>
          <w:szCs w:val="24"/>
          <w:lang w:val="ro-MD"/>
        </w:rPr>
        <w:t xml:space="preserve"> Inspectoratului Național de Investigații, documentele în original aferente licitațiilor desfășurate în perioada 2011-2015, contractele și procesele-verbale de executare a lucrărilor pentru perioada 2009-2015 privind lucrările de construcție a clădirii au fost ridicate de către reprezentanții organului de urmărire penală”</w:t>
      </w:r>
      <w:r w:rsidRPr="009772A3">
        <w:rPr>
          <w:rFonts w:asciiTheme="majorHAnsi" w:hAnsiTheme="majorHAnsi" w:cstheme="majorHAnsi"/>
          <w:sz w:val="24"/>
          <w:szCs w:val="24"/>
          <w:lang w:val="ro-MD"/>
        </w:rPr>
        <w:t xml:space="preserve">, dat fiind că acestea nu au fost returnate societății. În acest context, la data de 23.09.2022 PCCOCS a informat Curtea de Conturi despre pornirea unui proces penal privind deteriorarea sigiliului încăperii </w:t>
      </w:r>
      <w:r w:rsidR="00EA1023" w:rsidRPr="009772A3">
        <w:rPr>
          <w:rFonts w:asciiTheme="majorHAnsi" w:hAnsiTheme="majorHAnsi" w:cstheme="majorHAnsi"/>
          <w:sz w:val="24"/>
          <w:szCs w:val="24"/>
          <w:lang w:val="ro-MD"/>
        </w:rPr>
        <w:t xml:space="preserve">unde se păstrau dcumentele </w:t>
      </w:r>
      <w:r w:rsidRPr="009772A3">
        <w:rPr>
          <w:rFonts w:asciiTheme="majorHAnsi" w:hAnsiTheme="majorHAnsi" w:cstheme="majorHAnsi"/>
          <w:sz w:val="24"/>
          <w:szCs w:val="24"/>
          <w:lang w:val="ro-MD"/>
        </w:rPr>
        <w:t>și lipsa unor documente ridicate care au fost lăsate la păstrare în incinta SA Moldovagaz. Conform explicațiilor prezentate de SA Moldovagaz, aceasta nu a primit la păstrare aceste documente.</w:t>
      </w:r>
    </w:p>
    <w:p w14:paraId="52801FE5" w14:textId="02309D87" w:rsidR="002B2835" w:rsidRPr="009772A3" w:rsidRDefault="002B2835"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demersul nr.07-210-22 din 08 aprilie 2022, pentru asigurarea conformității investițiilor publice</w:t>
      </w:r>
      <w:r w:rsidR="00D0181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Curtea de Conturi a solicitat Agenției pentru Supraveghere Tehnică efectuarea controlului volumelor și a</w:t>
      </w:r>
      <w:r w:rsidR="00D01817"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costului lucrărilor executate la obiectivul investițional </w:t>
      </w:r>
      <w:r w:rsidR="00D01817" w:rsidRPr="009772A3">
        <w:rPr>
          <w:rFonts w:asciiTheme="majorHAnsi" w:hAnsiTheme="majorHAnsi" w:cstheme="majorHAnsi"/>
          <w:i/>
          <w:sz w:val="24"/>
          <w:szCs w:val="24"/>
          <w:lang w:val="ro-MD"/>
        </w:rPr>
        <w:t>„</w:t>
      </w:r>
      <w:r w:rsidRPr="009772A3">
        <w:rPr>
          <w:rFonts w:asciiTheme="majorHAnsi" w:hAnsiTheme="majorHAnsi" w:cstheme="majorHAnsi"/>
          <w:i/>
          <w:sz w:val="24"/>
          <w:szCs w:val="24"/>
          <w:lang w:val="ro-MD"/>
        </w:rPr>
        <w:t>Construcția clădirii de tip oficiu din mun.Chișinău, str. Pușkin 64”</w:t>
      </w:r>
      <w:r w:rsidRPr="009772A3">
        <w:rPr>
          <w:rFonts w:asciiTheme="majorHAnsi" w:hAnsiTheme="majorHAnsi" w:cstheme="majorHAnsi"/>
          <w:sz w:val="24"/>
          <w:szCs w:val="24"/>
          <w:lang w:val="ro-MD"/>
        </w:rPr>
        <w:t>. În acest context, prin răspunsul nr.08/1822/22 din 25.05.2022</w:t>
      </w:r>
      <w:r w:rsidR="00D0181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Curtea de Conturi a fost informată despre faptul că Agenția a inițiat controlul de specialitate al volumelor și costurilor lucrărilor executate la obiectivul menționat, solicit</w:t>
      </w:r>
      <w:r w:rsidR="00D0181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nd de la SA Moldovagaz prezentarea documentelor necesare controlului. Totodată, Agenția a informat despre imposibilitatea efectuării controlului, din </w:t>
      </w:r>
      <w:r w:rsidR="00D01817" w:rsidRPr="009772A3">
        <w:rPr>
          <w:rFonts w:asciiTheme="majorHAnsi" w:hAnsiTheme="majorHAnsi" w:cstheme="majorHAnsi"/>
          <w:sz w:val="24"/>
          <w:szCs w:val="24"/>
          <w:lang w:val="ro-MD"/>
        </w:rPr>
        <w:t xml:space="preserve">cauza </w:t>
      </w:r>
      <w:r w:rsidRPr="009772A3">
        <w:rPr>
          <w:rFonts w:asciiTheme="majorHAnsi" w:hAnsiTheme="majorHAnsi" w:cstheme="majorHAnsi"/>
          <w:sz w:val="24"/>
          <w:szCs w:val="24"/>
          <w:lang w:val="ro-MD"/>
        </w:rPr>
        <w:t>neprezentării de către SA Moldovagaz a documentelor solicitate, argumentată prin ridicarea acestora de către Procuratura Generală și Inspectoratul Național de Investigații, care nu au fost returnate.</w:t>
      </w:r>
    </w:p>
    <w:p w14:paraId="185487BC" w14:textId="0E7DD13B" w:rsidR="002B2835" w:rsidRPr="009772A3" w:rsidRDefault="002B2835"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Cu referire la documentele lipsă care au fost ridicate, SA Moldovagaz</w:t>
      </w:r>
      <w:r w:rsidR="00D0181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scrisoarea nr.04-1490 din 17.06.2022</w:t>
      </w:r>
      <w:r w:rsidR="00D0181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informat echipa de audit că, în anul 2015 societatea a pus la dispoziție organului de urmărire penală o încăpere amplasată la etajul 8 al oficiului din str. Albișoara </w:t>
      </w:r>
      <w:r w:rsidR="00D01817"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 xml:space="preserve">38, mun. Chișinău, însă nu a participat la sigilarea materialelor menționate, </w:t>
      </w:r>
      <w:r w:rsidR="00D01817" w:rsidRPr="009772A3">
        <w:rPr>
          <w:rFonts w:asciiTheme="majorHAnsi" w:hAnsiTheme="majorHAnsi" w:cstheme="majorHAnsi"/>
          <w:sz w:val="24"/>
          <w:szCs w:val="24"/>
          <w:lang w:val="ro-MD"/>
        </w:rPr>
        <w:t>nefiind</w:t>
      </w:r>
      <w:r w:rsidRPr="009772A3">
        <w:rPr>
          <w:rFonts w:asciiTheme="majorHAnsi" w:hAnsiTheme="majorHAnsi" w:cstheme="majorHAnsi"/>
          <w:sz w:val="24"/>
          <w:szCs w:val="24"/>
          <w:lang w:val="ro-MD"/>
        </w:rPr>
        <w:t xml:space="preserve"> întocmite acte</w:t>
      </w:r>
      <w:r w:rsidR="00D01817"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de transmitere la păstrare</w:t>
      </w:r>
      <w:r w:rsidR="00D01817" w:rsidRPr="009772A3">
        <w:rPr>
          <w:rFonts w:asciiTheme="majorHAnsi" w:hAnsiTheme="majorHAnsi" w:cstheme="majorHAnsi"/>
          <w:sz w:val="24"/>
          <w:szCs w:val="24"/>
          <w:lang w:val="ro-MD"/>
        </w:rPr>
        <w:t xml:space="preserve"> a documentelor</w:t>
      </w:r>
      <w:r w:rsidRPr="009772A3">
        <w:rPr>
          <w:rFonts w:asciiTheme="majorHAnsi" w:hAnsiTheme="majorHAnsi" w:cstheme="majorHAnsi"/>
          <w:sz w:val="24"/>
          <w:szCs w:val="24"/>
          <w:lang w:val="ro-MD"/>
        </w:rPr>
        <w:t xml:space="preserve">, precum și </w:t>
      </w:r>
      <w:r w:rsidR="00D01817" w:rsidRPr="009772A3">
        <w:rPr>
          <w:rFonts w:asciiTheme="majorHAnsi" w:hAnsiTheme="majorHAnsi" w:cstheme="majorHAnsi"/>
          <w:sz w:val="24"/>
          <w:szCs w:val="24"/>
          <w:lang w:val="ro-MD"/>
        </w:rPr>
        <w:t>nefiind</w:t>
      </w:r>
      <w:r w:rsidRPr="009772A3">
        <w:rPr>
          <w:rFonts w:asciiTheme="majorHAnsi" w:hAnsiTheme="majorHAnsi" w:cstheme="majorHAnsi"/>
          <w:sz w:val="24"/>
          <w:szCs w:val="24"/>
          <w:lang w:val="ro-MD"/>
        </w:rPr>
        <w:t xml:space="preserve"> numite persoane</w:t>
      </w:r>
      <w:r w:rsidR="00D01817"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responsabile din cadrul companiei pentru asigurarea integrității acestora, materialele nefiind restituite SA Moldovagaz.</w:t>
      </w:r>
    </w:p>
    <w:p w14:paraId="7DE7EE37" w14:textId="57D9F436" w:rsidR="002B2835" w:rsidRPr="009772A3" w:rsidRDefault="00D01817"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 u</w:t>
      </w:r>
      <w:r w:rsidR="002B2835" w:rsidRPr="009772A3">
        <w:rPr>
          <w:rFonts w:asciiTheme="majorHAnsi" w:hAnsiTheme="majorHAnsi" w:cstheme="majorHAnsi"/>
          <w:sz w:val="24"/>
          <w:szCs w:val="24"/>
          <w:lang w:val="ro-MD"/>
        </w:rPr>
        <w:t>rmare</w:t>
      </w:r>
      <w:r w:rsidR="002B2835" w:rsidRPr="009772A3">
        <w:rPr>
          <w:rFonts w:asciiTheme="majorHAnsi" w:hAnsiTheme="majorHAnsi" w:cstheme="majorHAnsi"/>
          <w:sz w:val="24"/>
          <w:szCs w:val="24"/>
          <w:lang w:val="ro-MD" w:eastAsia="ru-RU"/>
        </w:rPr>
        <w:t xml:space="preserve"> </w:t>
      </w:r>
      <w:r w:rsidRPr="009772A3">
        <w:rPr>
          <w:rFonts w:asciiTheme="majorHAnsi" w:hAnsiTheme="majorHAnsi" w:cstheme="majorHAnsi"/>
          <w:sz w:val="24"/>
          <w:szCs w:val="24"/>
          <w:lang w:val="ro-MD" w:eastAsia="ru-RU"/>
        </w:rPr>
        <w:t xml:space="preserve">a </w:t>
      </w:r>
      <w:r w:rsidR="002B2835" w:rsidRPr="009772A3">
        <w:rPr>
          <w:rFonts w:asciiTheme="majorHAnsi" w:hAnsiTheme="majorHAnsi" w:cstheme="majorHAnsi"/>
          <w:sz w:val="24"/>
          <w:szCs w:val="24"/>
          <w:lang w:val="ro-MD"/>
        </w:rPr>
        <w:t>acestui</w:t>
      </w:r>
      <w:r w:rsidR="002B2835" w:rsidRPr="009772A3">
        <w:rPr>
          <w:rFonts w:asciiTheme="majorHAnsi" w:hAnsiTheme="majorHAnsi" w:cstheme="majorHAnsi"/>
          <w:sz w:val="24"/>
          <w:szCs w:val="24"/>
          <w:lang w:val="ro-MD" w:eastAsia="ru-RU"/>
        </w:rPr>
        <w:t xml:space="preserve"> fapt, auditul public extern a fost limitat</w:t>
      </w:r>
      <w:r w:rsidR="002B2835"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în</w:t>
      </w:r>
      <w:r w:rsidR="002B2835" w:rsidRPr="009772A3">
        <w:rPr>
          <w:rFonts w:asciiTheme="majorHAnsi" w:hAnsiTheme="majorHAnsi" w:cstheme="majorHAnsi"/>
          <w:sz w:val="24"/>
          <w:szCs w:val="24"/>
          <w:lang w:val="ro-MD" w:eastAsia="ru-RU"/>
        </w:rPr>
        <w:t xml:space="preserve"> a </w:t>
      </w:r>
      <w:r w:rsidR="002B2835" w:rsidRPr="009772A3">
        <w:rPr>
          <w:rFonts w:asciiTheme="majorHAnsi" w:hAnsiTheme="majorHAnsi" w:cstheme="majorHAnsi"/>
          <w:sz w:val="24"/>
          <w:szCs w:val="24"/>
          <w:lang w:val="ro-MD"/>
        </w:rPr>
        <w:t xml:space="preserve">verifica și a se expune asupra conformității investițiilor capitale efectuate de SA Moldovagaz la obiectivul construit în valoare totală de 445.630,3 mii lei (fără TVA), în lipsa documentelor necesare privind organizarea și desfășurarea procesului investițional. </w:t>
      </w:r>
    </w:p>
    <w:p w14:paraId="45AAB9A7" w14:textId="0DBA4EFF" w:rsidR="002B2835" w:rsidRPr="009772A3" w:rsidRDefault="002B2835" w:rsidP="0065777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Cu toate acestea, auditul consideră necesar de a dezvălui consecutivitatea evenimentelor și acțiunilor întreprinse pentru construcția clădirii de tip oficiu, care derivă și se confirmă prin partea de informații și documente </w:t>
      </w:r>
      <w:r w:rsidRPr="009772A3">
        <w:rPr>
          <w:rFonts w:asciiTheme="majorHAnsi" w:hAnsiTheme="majorHAnsi" w:cstheme="majorHAnsi"/>
          <w:sz w:val="24"/>
          <w:szCs w:val="24"/>
          <w:lang w:val="ro-MD" w:eastAsia="ru-RU"/>
        </w:rPr>
        <w:t>puse la dispoziție de SA Moldovagaz și alt</w:t>
      </w:r>
      <w:r w:rsidR="00D01817" w:rsidRPr="009772A3">
        <w:rPr>
          <w:rFonts w:asciiTheme="majorHAnsi" w:hAnsiTheme="majorHAnsi" w:cstheme="majorHAnsi"/>
          <w:sz w:val="24"/>
          <w:szCs w:val="24"/>
          <w:lang w:val="ro-MD" w:eastAsia="ru-RU"/>
        </w:rPr>
        <w:t>e</w:t>
      </w:r>
      <w:r w:rsidRPr="009772A3">
        <w:rPr>
          <w:rFonts w:asciiTheme="majorHAnsi" w:hAnsiTheme="majorHAnsi" w:cstheme="majorHAnsi"/>
          <w:sz w:val="24"/>
          <w:szCs w:val="24"/>
          <w:lang w:val="ro-MD" w:eastAsia="ru-RU"/>
        </w:rPr>
        <w:t xml:space="preserve"> părți implicate. Astfel, auditul a stabilit următoarele: </w:t>
      </w:r>
    </w:p>
    <w:p w14:paraId="41A1174E" w14:textId="337CC6D1" w:rsidR="002B2835" w:rsidRPr="009772A3" w:rsidRDefault="002B2835" w:rsidP="004F4116">
      <w:pPr>
        <w:pStyle w:val="ListParagraph"/>
        <w:numPr>
          <w:ilvl w:val="0"/>
          <w:numId w:val="14"/>
        </w:numPr>
        <w:tabs>
          <w:tab w:val="left" w:pos="993"/>
        </w:tabs>
        <w:spacing w:after="0" w:line="276" w:lineRule="auto"/>
        <w:ind w:left="0" w:firstLine="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perioada 2009-2018</w:t>
      </w:r>
      <w:r w:rsidR="00D0181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construcția obiectivului menționat au fost planificate investiții în sumă totală de 454.647,0 mii lei, cheltuielile executate în ace</w:t>
      </w:r>
      <w:r w:rsidR="00D01817"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ași perioadă însumând 488.185,9 mii lei, sau cu 33 538,9 mii lei mai mult decât </w:t>
      </w:r>
      <w:r w:rsidR="00D01817" w:rsidRPr="009772A3">
        <w:rPr>
          <w:rFonts w:asciiTheme="majorHAnsi" w:hAnsiTheme="majorHAnsi" w:cstheme="majorHAnsi"/>
          <w:sz w:val="24"/>
          <w:szCs w:val="24"/>
          <w:lang w:val="ro-MD"/>
        </w:rPr>
        <w:t>suma</w:t>
      </w:r>
      <w:r w:rsidRPr="009772A3">
        <w:rPr>
          <w:rFonts w:asciiTheme="majorHAnsi" w:hAnsiTheme="majorHAnsi" w:cstheme="majorHAnsi"/>
          <w:sz w:val="24"/>
          <w:szCs w:val="24"/>
          <w:lang w:val="ro-MD"/>
        </w:rPr>
        <w:t xml:space="preserve"> planificat</w:t>
      </w:r>
      <w:r w:rsidR="00D01817"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w:t>
      </w:r>
    </w:p>
    <w:p w14:paraId="5C07EACB" w14:textId="688B6D3C" w:rsidR="002B2835" w:rsidRPr="009772A3" w:rsidRDefault="002B2835" w:rsidP="004F4116">
      <w:pPr>
        <w:pStyle w:val="ListParagraph"/>
        <w:numPr>
          <w:ilvl w:val="0"/>
          <w:numId w:val="14"/>
        </w:numPr>
        <w:tabs>
          <w:tab w:val="left" w:pos="993"/>
        </w:tabs>
        <w:spacing w:after="0" w:line="276" w:lineRule="auto"/>
        <w:ind w:left="0" w:firstLine="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w:t>
      </w:r>
      <w:r w:rsidRPr="009772A3">
        <w:rPr>
          <w:rFonts w:asciiTheme="majorHAnsi" w:hAnsiTheme="majorHAnsi" w:cstheme="majorHAnsi"/>
          <w:sz w:val="24"/>
          <w:szCs w:val="24"/>
          <w:lang w:val="ro-MD" w:eastAsia="ru-RU"/>
        </w:rPr>
        <w:t xml:space="preserve"> Dispoziția președintelui Consiliului de administrație al S.A. Moldovagaz nr.33-D/1 din 18.03.2009</w:t>
      </w:r>
      <w:r w:rsidR="00D01817" w:rsidRPr="009772A3">
        <w:rPr>
          <w:rFonts w:asciiTheme="majorHAnsi" w:hAnsiTheme="majorHAnsi" w:cstheme="majorHAnsi"/>
          <w:sz w:val="24"/>
          <w:szCs w:val="24"/>
          <w:lang w:val="ro-MD" w:eastAsia="ru-RU"/>
        </w:rPr>
        <w:t>,</w:t>
      </w:r>
      <w:r w:rsidRPr="009772A3">
        <w:rPr>
          <w:rFonts w:asciiTheme="majorHAnsi" w:hAnsiTheme="majorHAnsi" w:cstheme="majorHAnsi"/>
          <w:sz w:val="24"/>
          <w:szCs w:val="24"/>
          <w:lang w:val="ro-MD" w:eastAsia="ru-RU"/>
        </w:rPr>
        <w:t xml:space="preserve"> a fost creată Comisia pentru selectarea companiei de construcție a clădirii, care ulterior, în aprilie 2009</w:t>
      </w:r>
      <w:r w:rsidR="00D01817" w:rsidRPr="009772A3">
        <w:rPr>
          <w:rFonts w:asciiTheme="majorHAnsi" w:hAnsiTheme="majorHAnsi" w:cstheme="majorHAnsi"/>
          <w:sz w:val="24"/>
          <w:szCs w:val="24"/>
          <w:lang w:val="ro-MD" w:eastAsia="ru-RU"/>
        </w:rPr>
        <w:t>,</w:t>
      </w:r>
      <w:r w:rsidRPr="009772A3">
        <w:rPr>
          <w:rFonts w:asciiTheme="majorHAnsi" w:hAnsiTheme="majorHAnsi" w:cstheme="majorHAnsi"/>
          <w:sz w:val="24"/>
          <w:szCs w:val="24"/>
          <w:lang w:val="ro-MD" w:eastAsia="ru-RU"/>
        </w:rPr>
        <w:t xml:space="preserve"> a demarat procesul de achiziție a lucrărilor. Se denotă că</w:t>
      </w:r>
      <w:r w:rsidR="00D01817" w:rsidRPr="009772A3">
        <w:rPr>
          <w:rFonts w:asciiTheme="majorHAnsi" w:hAnsiTheme="majorHAnsi" w:cstheme="majorHAnsi"/>
          <w:sz w:val="24"/>
          <w:szCs w:val="24"/>
          <w:lang w:val="ro-MD" w:eastAsia="ru-RU"/>
        </w:rPr>
        <w:t>,</w:t>
      </w:r>
      <w:r w:rsidRPr="009772A3">
        <w:rPr>
          <w:rFonts w:asciiTheme="majorHAnsi" w:hAnsiTheme="majorHAnsi" w:cstheme="majorHAnsi"/>
          <w:sz w:val="24"/>
          <w:szCs w:val="24"/>
          <w:lang w:val="ro-MD" w:eastAsia="ru-RU"/>
        </w:rPr>
        <w:t xml:space="preserve"> la momentul inițierii procedurilor de achiziții</w:t>
      </w:r>
      <w:r w:rsidR="00D01817" w:rsidRPr="009772A3">
        <w:rPr>
          <w:rFonts w:asciiTheme="majorHAnsi" w:hAnsiTheme="majorHAnsi" w:cstheme="majorHAnsi"/>
          <w:sz w:val="24"/>
          <w:szCs w:val="24"/>
          <w:lang w:val="ro-MD" w:eastAsia="ru-RU"/>
        </w:rPr>
        <w:t>,</w:t>
      </w:r>
      <w:r w:rsidRPr="009772A3">
        <w:rPr>
          <w:rFonts w:asciiTheme="majorHAnsi" w:hAnsiTheme="majorHAnsi" w:cstheme="majorHAnsi"/>
          <w:sz w:val="24"/>
          <w:szCs w:val="24"/>
          <w:lang w:val="ro-MD" w:eastAsia="ru-RU"/>
        </w:rPr>
        <w:t xml:space="preserve"> lipseau reglementări</w:t>
      </w:r>
      <w:r w:rsidR="00D01817" w:rsidRPr="009772A3">
        <w:rPr>
          <w:rFonts w:asciiTheme="majorHAnsi" w:hAnsiTheme="majorHAnsi" w:cstheme="majorHAnsi"/>
          <w:sz w:val="24"/>
          <w:szCs w:val="24"/>
          <w:lang w:val="ro-MD" w:eastAsia="ru-RU"/>
        </w:rPr>
        <w:t>le</w:t>
      </w:r>
      <w:r w:rsidRPr="009772A3">
        <w:rPr>
          <w:rFonts w:asciiTheme="majorHAnsi" w:hAnsiTheme="majorHAnsi" w:cstheme="majorHAnsi"/>
          <w:sz w:val="24"/>
          <w:szCs w:val="24"/>
          <w:lang w:val="ro-MD" w:eastAsia="ru-RU"/>
        </w:rPr>
        <w:t xml:space="preserve"> exhaustive aferente, atât la nivelul legislației naționale, cât și la nivelul reglementărilor interne ale SA Moldovagaz, acestea fiind aprobate abia în luna septembrie 2009</w:t>
      </w:r>
      <w:r w:rsidRPr="009772A3">
        <w:rPr>
          <w:rStyle w:val="FootnoteReference"/>
          <w:rFonts w:asciiTheme="majorHAnsi" w:hAnsiTheme="majorHAnsi" w:cstheme="majorHAnsi"/>
          <w:sz w:val="24"/>
          <w:szCs w:val="24"/>
          <w:lang w:val="ro-MD" w:eastAsia="ru-RU"/>
        </w:rPr>
        <w:footnoteReference w:id="48"/>
      </w:r>
      <w:r w:rsidRPr="009772A3">
        <w:rPr>
          <w:rFonts w:asciiTheme="majorHAnsi" w:hAnsiTheme="majorHAnsi" w:cstheme="majorHAnsi"/>
          <w:sz w:val="24"/>
          <w:szCs w:val="24"/>
          <w:lang w:val="ro-MD" w:eastAsia="ru-RU"/>
        </w:rPr>
        <w:t>. Acest fapt a condiționat selectarea companiei pentru executarea construcției capitale (I etapă – carcasa clădirii) în valoare de 58.088,7 mii lei, fără asigurarea deplină a unor cerințe de transparență</w:t>
      </w:r>
      <w:r w:rsidR="00D01817" w:rsidRPr="009772A3">
        <w:rPr>
          <w:rFonts w:asciiTheme="majorHAnsi" w:hAnsiTheme="majorHAnsi" w:cstheme="majorHAnsi"/>
          <w:sz w:val="24"/>
          <w:szCs w:val="24"/>
          <w:lang w:val="ro-MD" w:eastAsia="ru-RU"/>
        </w:rPr>
        <w:t>;</w:t>
      </w:r>
    </w:p>
    <w:p w14:paraId="36C75752" w14:textId="0BDDEC74" w:rsidR="002B2835" w:rsidRPr="009772A3" w:rsidRDefault="002B2835" w:rsidP="004F4116">
      <w:pPr>
        <w:pStyle w:val="ListParagraph"/>
        <w:numPr>
          <w:ilvl w:val="0"/>
          <w:numId w:val="14"/>
        </w:numPr>
        <w:tabs>
          <w:tab w:val="left" w:pos="851"/>
        </w:tabs>
        <w:spacing w:after="0" w:line="276" w:lineRule="auto"/>
        <w:ind w:left="0" w:firstLine="425"/>
        <w:jc w:val="both"/>
        <w:rPr>
          <w:rFonts w:asciiTheme="majorHAnsi" w:hAnsiTheme="majorHAnsi" w:cstheme="majorHAnsi"/>
          <w:sz w:val="24"/>
          <w:szCs w:val="24"/>
          <w:lang w:val="ro-MD"/>
        </w:rPr>
      </w:pPr>
      <w:r w:rsidRPr="009772A3">
        <w:rPr>
          <w:rFonts w:asciiTheme="majorHAnsi" w:hAnsiTheme="majorHAnsi" w:cstheme="majorHAnsi"/>
          <w:sz w:val="24"/>
          <w:szCs w:val="24"/>
          <w:lang w:val="ro-MD" w:eastAsia="ru-RU"/>
        </w:rPr>
        <w:t>pentru finanțarea proiectului de construcție a clădirii în anii 2010, 2011 și 2013, SA Moldovagaz a contractat 3 credite în valoare totală de 138.000,0 mii lei</w:t>
      </w:r>
      <w:r w:rsidRPr="009772A3">
        <w:rPr>
          <w:vertAlign w:val="superscript"/>
          <w:lang w:val="ro-MD"/>
        </w:rPr>
        <w:t xml:space="preserve"> </w:t>
      </w:r>
      <w:r w:rsidRPr="009772A3">
        <w:rPr>
          <w:vertAlign w:val="superscript"/>
          <w:lang w:val="ro-MD"/>
        </w:rPr>
        <w:footnoteReference w:id="49"/>
      </w:r>
      <w:r w:rsidRPr="009772A3">
        <w:rPr>
          <w:rFonts w:asciiTheme="majorHAnsi" w:hAnsiTheme="majorHAnsi" w:cstheme="majorHAnsi"/>
          <w:sz w:val="24"/>
          <w:szCs w:val="24"/>
          <w:lang w:val="ro-MD" w:eastAsia="ru-RU"/>
        </w:rPr>
        <w:t>, fiind achitate dobânzi de 12.969,5 mii lei și comisioane/taxe</w:t>
      </w:r>
      <w:r w:rsidR="00D01817" w:rsidRPr="009772A3">
        <w:rPr>
          <w:rFonts w:asciiTheme="majorHAnsi" w:hAnsiTheme="majorHAnsi" w:cstheme="majorHAnsi"/>
          <w:sz w:val="24"/>
          <w:szCs w:val="24"/>
          <w:lang w:val="ro-MD" w:eastAsia="ru-RU"/>
        </w:rPr>
        <w:t>,</w:t>
      </w:r>
      <w:r w:rsidRPr="009772A3">
        <w:rPr>
          <w:rFonts w:asciiTheme="majorHAnsi" w:hAnsiTheme="majorHAnsi" w:cstheme="majorHAnsi"/>
          <w:sz w:val="24"/>
          <w:szCs w:val="24"/>
          <w:lang w:val="ro-MD" w:eastAsia="ru-RU"/>
        </w:rPr>
        <w:t xml:space="preserve"> alte plăți aferente eliberării creditelor de 1.362,2 mii lei, cheltuielile însumând </w:t>
      </w:r>
      <w:r w:rsidR="00E21CB0" w:rsidRPr="009772A3">
        <w:rPr>
          <w:rFonts w:asciiTheme="majorHAnsi" w:hAnsiTheme="majorHAnsi" w:cstheme="majorHAnsi"/>
          <w:sz w:val="24"/>
          <w:szCs w:val="24"/>
          <w:lang w:val="ro-MD" w:eastAsia="ru-RU"/>
        </w:rPr>
        <w:t>14</w:t>
      </w:r>
      <w:r w:rsidRPr="009772A3">
        <w:rPr>
          <w:rFonts w:asciiTheme="majorHAnsi" w:hAnsiTheme="majorHAnsi" w:cstheme="majorHAnsi"/>
          <w:sz w:val="24"/>
          <w:szCs w:val="24"/>
          <w:lang w:val="ro-MD" w:eastAsia="ru-RU"/>
        </w:rPr>
        <w:t>.331,7 mii lei</w:t>
      </w:r>
      <w:r w:rsidR="0027467B" w:rsidRPr="009772A3">
        <w:rPr>
          <w:rFonts w:asciiTheme="majorHAnsi" w:hAnsiTheme="majorHAnsi" w:cstheme="majorHAnsi"/>
          <w:sz w:val="24"/>
          <w:szCs w:val="24"/>
          <w:lang w:val="ro-MD" w:eastAsia="ru-RU"/>
        </w:rPr>
        <w:t>;</w:t>
      </w:r>
      <w:r w:rsidRPr="009772A3">
        <w:rPr>
          <w:rFonts w:asciiTheme="majorHAnsi" w:hAnsiTheme="majorHAnsi" w:cstheme="majorHAnsi"/>
          <w:sz w:val="24"/>
          <w:szCs w:val="24"/>
          <w:lang w:val="ro-MD" w:eastAsia="ru-RU"/>
        </w:rPr>
        <w:t xml:space="preserve"> </w:t>
      </w:r>
    </w:p>
    <w:p w14:paraId="186DBC02" w14:textId="6CBCE23F" w:rsidR="002B2835" w:rsidRPr="009772A3" w:rsidRDefault="002B2835" w:rsidP="004F4116">
      <w:pPr>
        <w:pStyle w:val="ListParagraph"/>
        <w:numPr>
          <w:ilvl w:val="0"/>
          <w:numId w:val="14"/>
        </w:numPr>
        <w:tabs>
          <w:tab w:val="left" w:pos="851"/>
        </w:tabs>
        <w:spacing w:after="0" w:line="276" w:lineRule="auto"/>
        <w:ind w:left="0" w:firstLine="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planului de achiziții pentru anul 2017, pentru executarea lucrărilor de construcție la obiectivul menționat</w:t>
      </w:r>
      <w:r w:rsidR="0027467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perioada 2017-2018 au fost planificate cheltuieli în valoare de 50.000,0 mii lei cu TVA, fiind executate lucrări de 49.621,8 mii lei (circa 99%), sau cu 378,2 mii lei mai puțin.</w:t>
      </w:r>
    </w:p>
    <w:p w14:paraId="44D25CB0" w14:textId="22E5ED91" w:rsidR="002B2835" w:rsidRPr="009772A3" w:rsidRDefault="002B2835" w:rsidP="00152DB2">
      <w:pPr>
        <w:tabs>
          <w:tab w:val="left" w:pos="709"/>
        </w:tabs>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Prin Ordinul președintelui Consiliului de administrație a</w:t>
      </w:r>
      <w:r w:rsidR="0027467B"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SA Moldovagaz nr.23 din 28.03.2017</w:t>
      </w:r>
      <w:r w:rsidR="0027467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instituită comisia pentru organizarea și desfășurarea concursurilor privind achiziționarea bunurilor, lucrărilor și serviciilor pentru necesitățile SA Moldovagaz, care a demarat în aprilie 2017 procedura de selectare a antreprenorului general privind reluarea și continuarea lucrărilor de construcție, în baza regulamentului intern de achiziții. În cadrul concursului au fost depuse 3 oferte, comisia de achiziții selectând oferta cu cel mai mic preț, fiind încheiat contractul de antrepriză din 17.05.2017 în valoare de 45.316,4 mii lei, în baza căruia antreprenorul urma să execute lucrările de construcție. </w:t>
      </w:r>
    </w:p>
    <w:p w14:paraId="553A9C1C" w14:textId="1064CF54" w:rsidR="002B2835" w:rsidRPr="009772A3" w:rsidRDefault="002B2835" w:rsidP="00152DB2">
      <w:pPr>
        <w:tabs>
          <w:tab w:val="left" w:pos="709"/>
        </w:tabs>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La 18.06.2018</w:t>
      </w:r>
      <w:r w:rsidR="0027467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w:t>
      </w:r>
      <w:r w:rsidR="0027467B" w:rsidRPr="009772A3">
        <w:rPr>
          <w:rFonts w:asciiTheme="majorHAnsi" w:hAnsiTheme="majorHAnsi" w:cstheme="majorHAnsi"/>
          <w:sz w:val="24"/>
          <w:szCs w:val="24"/>
          <w:lang w:val="ro-MD"/>
        </w:rPr>
        <w:t>tr-un</w:t>
      </w:r>
      <w:r w:rsidRPr="009772A3">
        <w:rPr>
          <w:rFonts w:asciiTheme="majorHAnsi" w:hAnsiTheme="majorHAnsi" w:cstheme="majorHAnsi"/>
          <w:sz w:val="24"/>
          <w:szCs w:val="24"/>
          <w:lang w:val="ro-MD"/>
        </w:rPr>
        <w:t xml:space="preserve"> acord adițional SA Moldovagaz a majorat </w:t>
      </w:r>
      <w:r w:rsidR="0027467B" w:rsidRPr="009772A3">
        <w:rPr>
          <w:rFonts w:asciiTheme="majorHAnsi" w:hAnsiTheme="majorHAnsi" w:cstheme="majorHAnsi"/>
          <w:sz w:val="24"/>
          <w:szCs w:val="24"/>
          <w:lang w:val="ro-MD"/>
        </w:rPr>
        <w:t xml:space="preserve">cu 9.046,3 mii lei </w:t>
      </w:r>
      <w:r w:rsidRPr="009772A3">
        <w:rPr>
          <w:rFonts w:asciiTheme="majorHAnsi" w:hAnsiTheme="majorHAnsi" w:cstheme="majorHAnsi"/>
          <w:sz w:val="24"/>
          <w:szCs w:val="24"/>
          <w:lang w:val="ro-MD"/>
        </w:rPr>
        <w:t xml:space="preserve">valoarea contractului încheiat, </w:t>
      </w:r>
      <w:r w:rsidR="0027467B" w:rsidRPr="009772A3">
        <w:rPr>
          <w:rFonts w:asciiTheme="majorHAnsi" w:hAnsiTheme="majorHAnsi" w:cstheme="majorHAnsi"/>
          <w:sz w:val="24"/>
          <w:szCs w:val="24"/>
          <w:lang w:val="ro-MD"/>
        </w:rPr>
        <w:t xml:space="preserve">ca </w:t>
      </w:r>
      <w:r w:rsidRPr="009772A3">
        <w:rPr>
          <w:rFonts w:asciiTheme="majorHAnsi" w:hAnsiTheme="majorHAnsi" w:cstheme="majorHAnsi"/>
          <w:sz w:val="24"/>
          <w:szCs w:val="24"/>
          <w:lang w:val="ro-MD"/>
        </w:rPr>
        <w:t xml:space="preserve">urmare </w:t>
      </w:r>
      <w:r w:rsidR="0027467B"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excluderii unor lucrări </w:t>
      </w:r>
      <w:r w:rsidR="0027467B" w:rsidRPr="009772A3">
        <w:rPr>
          <w:rFonts w:asciiTheme="majorHAnsi" w:hAnsiTheme="majorHAnsi" w:cstheme="majorHAnsi"/>
          <w:sz w:val="24"/>
          <w:szCs w:val="24"/>
          <w:lang w:val="ro-MD"/>
        </w:rPr>
        <w:t xml:space="preserve">în valoare </w:t>
      </w:r>
      <w:r w:rsidRPr="009772A3">
        <w:rPr>
          <w:rFonts w:asciiTheme="majorHAnsi" w:hAnsiTheme="majorHAnsi" w:cstheme="majorHAnsi"/>
          <w:sz w:val="24"/>
          <w:szCs w:val="24"/>
          <w:lang w:val="ro-MD"/>
        </w:rPr>
        <w:t>de 24.445,6 mii lei și efectuării unor lucrări suplimentare de 33.491,9 mii lei, iar la 12.09.2018 (după recepția la terminarea lucrărilor)</w:t>
      </w:r>
      <w:r w:rsidR="0027467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w:t>
      </w:r>
      <w:r w:rsidR="0027467B" w:rsidRPr="009772A3">
        <w:rPr>
          <w:rFonts w:asciiTheme="majorHAnsi" w:hAnsiTheme="majorHAnsi" w:cstheme="majorHAnsi"/>
          <w:sz w:val="24"/>
          <w:szCs w:val="24"/>
          <w:lang w:val="ro-MD"/>
        </w:rPr>
        <w:t>tr-un</w:t>
      </w:r>
      <w:r w:rsidRPr="009772A3">
        <w:rPr>
          <w:rFonts w:asciiTheme="majorHAnsi" w:hAnsiTheme="majorHAnsi" w:cstheme="majorHAnsi"/>
          <w:sz w:val="24"/>
          <w:szCs w:val="24"/>
          <w:lang w:val="ro-MD"/>
        </w:rPr>
        <w:t xml:space="preserve"> </w:t>
      </w:r>
      <w:r w:rsidR="0027467B" w:rsidRPr="009772A3">
        <w:rPr>
          <w:rFonts w:asciiTheme="majorHAnsi" w:hAnsiTheme="majorHAnsi" w:cstheme="majorHAnsi"/>
          <w:sz w:val="24"/>
          <w:szCs w:val="24"/>
          <w:lang w:val="ro-MD"/>
        </w:rPr>
        <w:t xml:space="preserve">alt </w:t>
      </w:r>
      <w:r w:rsidRPr="009772A3">
        <w:rPr>
          <w:rFonts w:asciiTheme="majorHAnsi" w:hAnsiTheme="majorHAnsi" w:cstheme="majorHAnsi"/>
          <w:sz w:val="24"/>
          <w:szCs w:val="24"/>
          <w:lang w:val="ro-MD"/>
        </w:rPr>
        <w:t xml:space="preserve">acord adițional a fost micșorată valoarea contractului cu </w:t>
      </w:r>
      <w:r w:rsidR="0027467B" w:rsidRPr="009772A3">
        <w:rPr>
          <w:rFonts w:asciiTheme="majorHAnsi" w:hAnsiTheme="majorHAnsi" w:cstheme="majorHAnsi"/>
          <w:sz w:val="24"/>
          <w:szCs w:val="24"/>
          <w:lang w:val="ro-MD"/>
        </w:rPr>
        <w:t xml:space="preserve">suma de </w:t>
      </w:r>
      <w:r w:rsidRPr="009772A3">
        <w:rPr>
          <w:rFonts w:asciiTheme="majorHAnsi" w:hAnsiTheme="majorHAnsi" w:cstheme="majorHAnsi"/>
          <w:sz w:val="24"/>
          <w:szCs w:val="24"/>
          <w:lang w:val="ro-MD"/>
        </w:rPr>
        <w:t xml:space="preserve">384,0 mii lei, </w:t>
      </w:r>
      <w:r w:rsidR="0027467B" w:rsidRPr="009772A3">
        <w:rPr>
          <w:rFonts w:asciiTheme="majorHAnsi" w:hAnsiTheme="majorHAnsi" w:cstheme="majorHAnsi"/>
          <w:sz w:val="24"/>
          <w:szCs w:val="24"/>
          <w:lang w:val="ro-MD"/>
        </w:rPr>
        <w:t xml:space="preserve">ca </w:t>
      </w:r>
      <w:r w:rsidRPr="009772A3">
        <w:rPr>
          <w:rFonts w:asciiTheme="majorHAnsi" w:hAnsiTheme="majorHAnsi" w:cstheme="majorHAnsi"/>
          <w:sz w:val="24"/>
          <w:szCs w:val="24"/>
          <w:lang w:val="ro-MD"/>
        </w:rPr>
        <w:t xml:space="preserve">urmare </w:t>
      </w:r>
      <w:r w:rsidR="0027467B"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excluderii unor lucrări </w:t>
      </w:r>
      <w:r w:rsidR="0027467B" w:rsidRPr="009772A3">
        <w:rPr>
          <w:rFonts w:asciiTheme="majorHAnsi" w:hAnsiTheme="majorHAnsi" w:cstheme="majorHAnsi"/>
          <w:sz w:val="24"/>
          <w:szCs w:val="24"/>
          <w:lang w:val="ro-MD"/>
        </w:rPr>
        <w:t xml:space="preserve">în valoare </w:t>
      </w:r>
      <w:r w:rsidRPr="009772A3">
        <w:rPr>
          <w:rFonts w:asciiTheme="majorHAnsi" w:hAnsiTheme="majorHAnsi" w:cstheme="majorHAnsi"/>
          <w:sz w:val="24"/>
          <w:szCs w:val="24"/>
          <w:lang w:val="ro-MD"/>
        </w:rPr>
        <w:t>de 12.245,0 mii lei și efectuării unor lucrări suplimentare de 11.861,0 mii lei</w:t>
      </w:r>
      <w:r w:rsidR="0027467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4483C5A6" w14:textId="51A9C9F1" w:rsidR="002B2835" w:rsidRPr="009772A3" w:rsidRDefault="002B2835" w:rsidP="004F4116">
      <w:pPr>
        <w:pStyle w:val="ListParagraph"/>
        <w:numPr>
          <w:ilvl w:val="0"/>
          <w:numId w:val="14"/>
        </w:numPr>
        <w:tabs>
          <w:tab w:val="left" w:pos="851"/>
        </w:tabs>
        <w:spacing w:after="0" w:line="276" w:lineRule="auto"/>
        <w:ind w:left="0" w:firstLine="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planului de achiziții pentru anul 2017 cu modificările efectuate, pentru executarea lucrărilor de construcție-montaj în vederea finisării lucrărilor la obiectivul menționat</w:t>
      </w:r>
      <w:r w:rsidR="0027467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perioada 2017-2018 au fost planificate suplimentar cheltuieli în valoare de 80.000,0 mii lei cu TVA, deși în planul de investiții pentru anul 2017 nu au fost planificate cheltuieli suplimentare, fapt ce denotă necorelarea planului de achiziții și a celui de investiții în cadrul societății. Se </w:t>
      </w:r>
      <w:r w:rsidR="0027467B" w:rsidRPr="009772A3">
        <w:rPr>
          <w:rFonts w:asciiTheme="majorHAnsi" w:hAnsiTheme="majorHAnsi" w:cstheme="majorHAnsi"/>
          <w:sz w:val="24"/>
          <w:szCs w:val="24"/>
          <w:lang w:val="ro-MD"/>
        </w:rPr>
        <w:t>relevă</w:t>
      </w:r>
      <w:r w:rsidRPr="009772A3">
        <w:rPr>
          <w:rFonts w:asciiTheme="majorHAnsi" w:hAnsiTheme="majorHAnsi" w:cstheme="majorHAnsi"/>
          <w:sz w:val="24"/>
          <w:szCs w:val="24"/>
          <w:lang w:val="ro-MD"/>
        </w:rPr>
        <w:t xml:space="preserve"> că cheltuielile suplimentare pentru finisarea lucrărilor de construcție au fost incluse în planul de investiții pentru anul 2018, acestea însumând 80.270,7 mii lei, </w:t>
      </w:r>
      <w:r w:rsidR="0027467B" w:rsidRPr="009772A3">
        <w:rPr>
          <w:rFonts w:asciiTheme="majorHAnsi" w:hAnsiTheme="majorHAnsi" w:cstheme="majorHAnsi"/>
          <w:sz w:val="24"/>
          <w:szCs w:val="24"/>
          <w:lang w:val="ro-MD"/>
        </w:rPr>
        <w:t xml:space="preserve">planul respectiv fiind </w:t>
      </w:r>
      <w:r w:rsidRPr="009772A3">
        <w:rPr>
          <w:rFonts w:asciiTheme="majorHAnsi" w:hAnsiTheme="majorHAnsi" w:cstheme="majorHAnsi"/>
          <w:sz w:val="24"/>
          <w:szCs w:val="24"/>
          <w:lang w:val="ro-MD"/>
        </w:rPr>
        <w:t>aprobat prin deciziile organelor de conducere a</w:t>
      </w:r>
      <w:r w:rsidR="0027467B"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SA Moldovagaz la finele anului 2017</w:t>
      </w:r>
      <w:r w:rsidRPr="009772A3">
        <w:rPr>
          <w:rStyle w:val="FootnoteReference"/>
          <w:rFonts w:asciiTheme="majorHAnsi" w:hAnsiTheme="majorHAnsi" w:cstheme="majorHAnsi"/>
          <w:sz w:val="24"/>
          <w:szCs w:val="24"/>
          <w:lang w:val="ro-MD"/>
        </w:rPr>
        <w:footnoteReference w:id="50"/>
      </w:r>
      <w:r w:rsidRPr="009772A3">
        <w:rPr>
          <w:rFonts w:asciiTheme="majorHAnsi" w:hAnsiTheme="majorHAnsi" w:cstheme="majorHAnsi"/>
          <w:sz w:val="24"/>
          <w:szCs w:val="24"/>
          <w:lang w:val="ro-MD"/>
        </w:rPr>
        <w:t>. Lucrările executate pentru finisarea obiectivului construit au însumat 128.424,4 mii lei, sau mai mult cu 48.424,4 mii lei (circa 60%) decât cele planificate în 2017.</w:t>
      </w:r>
    </w:p>
    <w:p w14:paraId="0E42453A" w14:textId="77777777" w:rsidR="002B2835" w:rsidRPr="009772A3" w:rsidRDefault="002B2835" w:rsidP="004F4116">
      <w:pPr>
        <w:tabs>
          <w:tab w:val="left" w:pos="709"/>
        </w:tabs>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Pentru finisarea lucrărilor de construcție și darea în exploatare a obiectivului construit</w:t>
      </w:r>
      <w:r w:rsidRPr="009772A3">
        <w:rPr>
          <w:rStyle w:val="FootnoteReference"/>
          <w:rFonts w:asciiTheme="majorHAnsi" w:hAnsiTheme="majorHAnsi" w:cstheme="majorHAnsi"/>
          <w:sz w:val="24"/>
          <w:szCs w:val="24"/>
          <w:lang w:val="ro-MD"/>
        </w:rPr>
        <w:footnoteReference w:id="51"/>
      </w:r>
      <w:r w:rsidRPr="009772A3">
        <w:rPr>
          <w:rFonts w:asciiTheme="majorHAnsi" w:hAnsiTheme="majorHAnsi" w:cstheme="majorHAnsi"/>
          <w:sz w:val="24"/>
          <w:szCs w:val="24"/>
          <w:lang w:val="ro-MD"/>
        </w:rPr>
        <w:t>, la 21.09.2017 a fost inițiat suplimentar un concurs de selectare a antreprenorului pentru executarea lucrărilor de construcție-finisare a clădirii, în baza regulamentului intern de achiziții. În cadrul concursului de selectare au fost depuse 3 oferte, comisia de achiziții selectând oferta cu cel mai mic preț, depusă de către operatorul economic care a fost selectat câștigător în licitația precedentă, fiind încheiat contractul de antrepriză din 31.10.2017 în valoare de 75.271,9 mii lei</w:t>
      </w:r>
      <w:r w:rsidRPr="009772A3">
        <w:rPr>
          <w:rStyle w:val="FootnoteReference"/>
          <w:rFonts w:asciiTheme="majorHAnsi" w:hAnsiTheme="majorHAnsi" w:cstheme="majorHAnsi"/>
          <w:sz w:val="24"/>
          <w:szCs w:val="24"/>
          <w:lang w:val="ro-MD"/>
        </w:rPr>
        <w:footnoteReference w:id="52"/>
      </w:r>
      <w:r w:rsidRPr="009772A3">
        <w:rPr>
          <w:rFonts w:asciiTheme="majorHAnsi" w:hAnsiTheme="majorHAnsi" w:cstheme="majorHAnsi"/>
          <w:sz w:val="24"/>
          <w:szCs w:val="24"/>
          <w:lang w:val="ro-MD"/>
        </w:rPr>
        <w:t>, în baza căruia antreprenorul urma să execute lucrările de construcție.</w:t>
      </w:r>
    </w:p>
    <w:p w14:paraId="1F668655" w14:textId="394B97CD" w:rsidR="002B2835" w:rsidRPr="009772A3" w:rsidRDefault="002B2835" w:rsidP="004F4116">
      <w:pPr>
        <w:tabs>
          <w:tab w:val="left" w:pos="709"/>
        </w:tabs>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La 01.12.2017</w:t>
      </w:r>
      <w:r w:rsidR="009D66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acord adițional a fost majorată valoarea contractului cu 3.785,4 mii lei</w:t>
      </w:r>
      <w:r w:rsidR="009D66C0" w:rsidRPr="009772A3">
        <w:rPr>
          <w:rFonts w:asciiTheme="majorHAnsi" w:hAnsiTheme="majorHAnsi" w:cstheme="majorHAnsi"/>
          <w:sz w:val="24"/>
          <w:szCs w:val="24"/>
          <w:lang w:val="ro-MD"/>
        </w:rPr>
        <w:t>, ca</w:t>
      </w:r>
      <w:r w:rsidRPr="009772A3">
        <w:rPr>
          <w:rFonts w:asciiTheme="majorHAnsi" w:hAnsiTheme="majorHAnsi" w:cstheme="majorHAnsi"/>
          <w:sz w:val="24"/>
          <w:szCs w:val="24"/>
          <w:lang w:val="ro-MD"/>
        </w:rPr>
        <w:t xml:space="preserve"> urmare </w:t>
      </w:r>
      <w:r w:rsidR="009D66C0"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includerii unor lucrări suplimentare, iar la 18.06.2018 prin </w:t>
      </w:r>
      <w:r w:rsidR="009D66C0" w:rsidRPr="009772A3">
        <w:rPr>
          <w:rFonts w:asciiTheme="majorHAnsi" w:hAnsiTheme="majorHAnsi" w:cstheme="majorHAnsi"/>
          <w:sz w:val="24"/>
          <w:szCs w:val="24"/>
          <w:lang w:val="ro-MD"/>
        </w:rPr>
        <w:t xml:space="preserve">alt </w:t>
      </w:r>
      <w:r w:rsidRPr="009772A3">
        <w:rPr>
          <w:rFonts w:asciiTheme="majorHAnsi" w:hAnsiTheme="majorHAnsi" w:cstheme="majorHAnsi"/>
          <w:sz w:val="24"/>
          <w:szCs w:val="24"/>
          <w:lang w:val="ro-MD"/>
        </w:rPr>
        <w:t xml:space="preserve">acord adițional a fost majorată valoarea contractului cu 55.414,9 mii lei, </w:t>
      </w:r>
      <w:r w:rsidR="009D66C0" w:rsidRPr="009772A3">
        <w:rPr>
          <w:rFonts w:asciiTheme="majorHAnsi" w:hAnsiTheme="majorHAnsi" w:cstheme="majorHAnsi"/>
          <w:sz w:val="24"/>
          <w:szCs w:val="24"/>
          <w:lang w:val="ro-MD"/>
        </w:rPr>
        <w:t xml:space="preserve">ca </w:t>
      </w:r>
      <w:r w:rsidRPr="009772A3">
        <w:rPr>
          <w:rFonts w:asciiTheme="majorHAnsi" w:hAnsiTheme="majorHAnsi" w:cstheme="majorHAnsi"/>
          <w:sz w:val="24"/>
          <w:szCs w:val="24"/>
          <w:lang w:val="ro-MD"/>
        </w:rPr>
        <w:t xml:space="preserve">urmare </w:t>
      </w:r>
      <w:r w:rsidR="009D66C0"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excluderii unor lucrări de 7.893,1 mii lei și efectuării unor lucrări suplimentare </w:t>
      </w:r>
      <w:r w:rsidR="009D66C0" w:rsidRPr="009772A3">
        <w:rPr>
          <w:rFonts w:asciiTheme="majorHAnsi" w:hAnsiTheme="majorHAnsi" w:cstheme="majorHAnsi"/>
          <w:sz w:val="24"/>
          <w:szCs w:val="24"/>
          <w:lang w:val="ro-MD"/>
        </w:rPr>
        <w:t xml:space="preserve">în sumă </w:t>
      </w:r>
      <w:r w:rsidRPr="009772A3">
        <w:rPr>
          <w:rFonts w:asciiTheme="majorHAnsi" w:hAnsiTheme="majorHAnsi" w:cstheme="majorHAnsi"/>
          <w:sz w:val="24"/>
          <w:szCs w:val="24"/>
          <w:lang w:val="ro-MD"/>
        </w:rPr>
        <w:t>de 62.415,9 mii lei, cât și procurării mobilierului în valoare de 892,1 mii lei. Totodată, la 12.09.2018 (după recepția la terminarea lucrărilor)</w:t>
      </w:r>
      <w:r w:rsidR="009D66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acord adițional a fost micșorată valoarea contractului cu 1.336,0 mii lei, </w:t>
      </w:r>
      <w:r w:rsidR="009D66C0" w:rsidRPr="009772A3">
        <w:rPr>
          <w:rFonts w:asciiTheme="majorHAnsi" w:hAnsiTheme="majorHAnsi" w:cstheme="majorHAnsi"/>
          <w:sz w:val="24"/>
          <w:szCs w:val="24"/>
          <w:lang w:val="ro-MD"/>
        </w:rPr>
        <w:t xml:space="preserve">ca </w:t>
      </w:r>
      <w:r w:rsidRPr="009772A3">
        <w:rPr>
          <w:rFonts w:asciiTheme="majorHAnsi" w:hAnsiTheme="majorHAnsi" w:cstheme="majorHAnsi"/>
          <w:sz w:val="24"/>
          <w:szCs w:val="24"/>
          <w:lang w:val="ro-MD"/>
        </w:rPr>
        <w:t>urmare</w:t>
      </w:r>
      <w:r w:rsidR="009D66C0" w:rsidRPr="009772A3">
        <w:rPr>
          <w:rFonts w:asciiTheme="majorHAnsi" w:hAnsiTheme="majorHAnsi" w:cstheme="majorHAnsi"/>
          <w:sz w:val="24"/>
          <w:szCs w:val="24"/>
          <w:lang w:val="ro-MD"/>
        </w:rPr>
        <w:t xml:space="preserve"> a</w:t>
      </w:r>
      <w:r w:rsidRPr="009772A3">
        <w:rPr>
          <w:rFonts w:asciiTheme="majorHAnsi" w:hAnsiTheme="majorHAnsi" w:cstheme="majorHAnsi"/>
          <w:sz w:val="24"/>
          <w:szCs w:val="24"/>
          <w:lang w:val="ro-MD"/>
        </w:rPr>
        <w:t xml:space="preserve"> excluderii unor lucrări </w:t>
      </w:r>
      <w:r w:rsidR="009D66C0" w:rsidRPr="009772A3">
        <w:rPr>
          <w:rFonts w:asciiTheme="majorHAnsi" w:hAnsiTheme="majorHAnsi" w:cstheme="majorHAnsi"/>
          <w:sz w:val="24"/>
          <w:szCs w:val="24"/>
          <w:lang w:val="ro-MD"/>
        </w:rPr>
        <w:t xml:space="preserve">în valoare </w:t>
      </w:r>
      <w:r w:rsidRPr="009772A3">
        <w:rPr>
          <w:rFonts w:asciiTheme="majorHAnsi" w:hAnsiTheme="majorHAnsi" w:cstheme="majorHAnsi"/>
          <w:sz w:val="24"/>
          <w:szCs w:val="24"/>
          <w:lang w:val="ro-MD"/>
        </w:rPr>
        <w:t>de 12.887,9 mii lei și efectuării unor lucrări suplimentare de 11.551,9 mii lei, iar prin acordurile adiționale din 15.01.2019 și 20.05.2019</w:t>
      </w:r>
      <w:r w:rsidR="009D66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valoarea contractului a fost majorată cu 8.431,1 mii lei, </w:t>
      </w:r>
      <w:r w:rsidR="009D66C0" w:rsidRPr="009772A3">
        <w:rPr>
          <w:rFonts w:asciiTheme="majorHAnsi" w:hAnsiTheme="majorHAnsi" w:cstheme="majorHAnsi"/>
          <w:sz w:val="24"/>
          <w:szCs w:val="24"/>
          <w:lang w:val="ro-MD"/>
        </w:rPr>
        <w:t xml:space="preserve">ca </w:t>
      </w:r>
      <w:r w:rsidRPr="009772A3">
        <w:rPr>
          <w:rFonts w:asciiTheme="majorHAnsi" w:hAnsiTheme="majorHAnsi" w:cstheme="majorHAnsi"/>
          <w:sz w:val="24"/>
          <w:szCs w:val="24"/>
          <w:lang w:val="ro-MD"/>
        </w:rPr>
        <w:t xml:space="preserve">urmare </w:t>
      </w:r>
      <w:r w:rsidR="009D66C0"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procurării mobilierului pentru </w:t>
      </w:r>
      <w:r w:rsidR="009D66C0" w:rsidRPr="009772A3">
        <w:rPr>
          <w:rFonts w:asciiTheme="majorHAnsi" w:hAnsiTheme="majorHAnsi" w:cstheme="majorHAnsi"/>
          <w:sz w:val="24"/>
          <w:szCs w:val="24"/>
          <w:lang w:val="ro-MD"/>
        </w:rPr>
        <w:t xml:space="preserve">amenajarea </w:t>
      </w:r>
      <w:r w:rsidRPr="009772A3">
        <w:rPr>
          <w:rFonts w:asciiTheme="majorHAnsi" w:hAnsiTheme="majorHAnsi" w:cstheme="majorHAnsi"/>
          <w:sz w:val="24"/>
          <w:szCs w:val="24"/>
          <w:lang w:val="ro-MD"/>
        </w:rPr>
        <w:t xml:space="preserve">clădirii. Astfel, </w:t>
      </w:r>
      <w:r w:rsidR="009D66C0" w:rsidRPr="009772A3">
        <w:rPr>
          <w:rFonts w:asciiTheme="majorHAnsi" w:hAnsiTheme="majorHAnsi" w:cstheme="majorHAnsi"/>
          <w:sz w:val="24"/>
          <w:szCs w:val="24"/>
          <w:lang w:val="ro-MD"/>
        </w:rPr>
        <w:t xml:space="preserve">după </w:t>
      </w:r>
      <w:r w:rsidRPr="009772A3">
        <w:rPr>
          <w:rFonts w:asciiTheme="majorHAnsi" w:hAnsiTheme="majorHAnsi" w:cstheme="majorHAnsi"/>
          <w:sz w:val="24"/>
          <w:szCs w:val="24"/>
          <w:lang w:val="ro-MD"/>
        </w:rPr>
        <w:t>încheier</w:t>
      </w:r>
      <w:r w:rsidR="009D66C0" w:rsidRPr="009772A3">
        <w:rPr>
          <w:rFonts w:asciiTheme="majorHAnsi" w:hAnsiTheme="majorHAnsi" w:cstheme="majorHAnsi"/>
          <w:sz w:val="24"/>
          <w:szCs w:val="24"/>
          <w:lang w:val="ro-MD"/>
        </w:rPr>
        <w:t>ea</w:t>
      </w:r>
      <w:r w:rsidRPr="009772A3">
        <w:rPr>
          <w:rFonts w:asciiTheme="majorHAnsi" w:hAnsiTheme="majorHAnsi" w:cstheme="majorHAnsi"/>
          <w:sz w:val="24"/>
          <w:szCs w:val="24"/>
          <w:lang w:val="ro-MD"/>
        </w:rPr>
        <w:t xml:space="preserve"> acordurilor adiționale, valoarea contractului menționat a însumat 140.670,1 mii lei, sau mai mult cu 65.398,2 mii lei (circa 86%) decât valoarea contractului inițial, fiind depăși</w:t>
      </w:r>
      <w:r w:rsidR="009D66C0" w:rsidRPr="009772A3">
        <w:rPr>
          <w:rFonts w:asciiTheme="majorHAnsi" w:hAnsiTheme="majorHAnsi" w:cstheme="majorHAnsi"/>
          <w:sz w:val="24"/>
          <w:szCs w:val="24"/>
          <w:lang w:val="ro-MD"/>
        </w:rPr>
        <w:t>tă</w:t>
      </w:r>
      <w:r w:rsidRPr="009772A3">
        <w:rPr>
          <w:rFonts w:asciiTheme="majorHAnsi" w:hAnsiTheme="majorHAnsi" w:cstheme="majorHAnsi"/>
          <w:sz w:val="24"/>
          <w:szCs w:val="24"/>
          <w:lang w:val="ro-MD"/>
        </w:rPr>
        <w:t xml:space="preserve"> limita de 30% pentru valoarea cumulată a tuturor acordurilor adiționale stabilită în Regulamentul intern de achiziții</w:t>
      </w:r>
      <w:r w:rsidRPr="009772A3">
        <w:rPr>
          <w:rStyle w:val="FootnoteReference"/>
          <w:rFonts w:asciiTheme="majorHAnsi" w:hAnsiTheme="majorHAnsi" w:cstheme="majorHAnsi"/>
          <w:sz w:val="24"/>
          <w:szCs w:val="24"/>
          <w:lang w:val="ro-MD"/>
        </w:rPr>
        <w:footnoteReference w:id="53"/>
      </w:r>
      <w:r w:rsidRPr="009772A3">
        <w:rPr>
          <w:rFonts w:asciiTheme="majorHAnsi" w:hAnsiTheme="majorHAnsi" w:cstheme="majorHAnsi"/>
          <w:sz w:val="24"/>
          <w:szCs w:val="24"/>
          <w:lang w:val="ro-MD"/>
        </w:rPr>
        <w:t xml:space="preserve">. </w:t>
      </w:r>
    </w:p>
    <w:p w14:paraId="3B3C3090" w14:textId="240B77BB" w:rsidR="002B2835" w:rsidRPr="009772A3" w:rsidRDefault="002B2835" w:rsidP="004F4116">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Auditul public extern denotă neexaminarea în cadrul ședinței comisiei de achiziție a necesităților suplimentare de lucrări de construcție și </w:t>
      </w:r>
      <w:r w:rsidR="009D66C0"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bunuri neplanificate inițial</w:t>
      </w:r>
      <w:r w:rsidR="009D66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au fost achiziționate prin acorduri adiționale, pe fundalul imperfecțiunii cadrului de reglementare intern în domeniul achizițiilor, cât și neprezentarea în cadrul auditului a confirmărilor documentare privind respectarea procedurii de încheiere a acordurilor adiționale, inclusiv scopul, necesitatea încheierii și efectul economic al executării, după cum prevăd reglementările interne aprobate</w:t>
      </w:r>
      <w:r w:rsidRPr="009772A3">
        <w:rPr>
          <w:rStyle w:val="FootnoteReference"/>
          <w:rFonts w:asciiTheme="majorHAnsi" w:hAnsiTheme="majorHAnsi" w:cstheme="majorHAnsi"/>
          <w:sz w:val="24"/>
          <w:szCs w:val="24"/>
          <w:lang w:val="ro-MD"/>
        </w:rPr>
        <w:footnoteReference w:id="54"/>
      </w:r>
      <w:r w:rsidRPr="009772A3">
        <w:rPr>
          <w:rFonts w:asciiTheme="majorHAnsi" w:hAnsiTheme="majorHAnsi" w:cstheme="majorHAnsi"/>
          <w:sz w:val="24"/>
          <w:szCs w:val="24"/>
          <w:lang w:val="ro-MD"/>
        </w:rPr>
        <w:t xml:space="preserve">. </w:t>
      </w:r>
    </w:p>
    <w:p w14:paraId="0F1FDB4F" w14:textId="3F28DB87" w:rsidR="002B2835" w:rsidRPr="009772A3" w:rsidRDefault="002B2835" w:rsidP="004F4116">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Totodată, cu referire la achiziționarea mobilierului în valoare totală de 8.295,0 mii lei pentru </w:t>
      </w:r>
      <w:r w:rsidR="0012076C" w:rsidRPr="009772A3">
        <w:rPr>
          <w:rFonts w:asciiTheme="majorHAnsi" w:hAnsiTheme="majorHAnsi" w:cstheme="majorHAnsi"/>
          <w:sz w:val="24"/>
          <w:szCs w:val="24"/>
          <w:lang w:val="ro-MD"/>
        </w:rPr>
        <w:t xml:space="preserve">amenajarea </w:t>
      </w:r>
      <w:r w:rsidRPr="009772A3">
        <w:rPr>
          <w:rFonts w:asciiTheme="majorHAnsi" w:hAnsiTheme="majorHAnsi" w:cstheme="majorHAnsi"/>
          <w:sz w:val="24"/>
          <w:szCs w:val="24"/>
          <w:lang w:val="ro-MD"/>
        </w:rPr>
        <w:t xml:space="preserve">clădirii prin acordurile adiționale din 18.06.2018, 15.01.2019 și 20.05.2019, se menționează că documentația </w:t>
      </w:r>
      <w:r w:rsidR="009D66C0" w:rsidRPr="009772A3">
        <w:rPr>
          <w:rFonts w:asciiTheme="majorHAnsi" w:hAnsiTheme="majorHAnsi" w:cstheme="majorHAnsi"/>
          <w:sz w:val="24"/>
          <w:szCs w:val="24"/>
          <w:lang w:val="ro-MD"/>
        </w:rPr>
        <w:t xml:space="preserve">privind </w:t>
      </w:r>
      <w:r w:rsidR="009E6B9C" w:rsidRPr="009772A3">
        <w:rPr>
          <w:rFonts w:asciiTheme="majorHAnsi" w:hAnsiTheme="majorHAnsi" w:cstheme="majorHAnsi"/>
          <w:sz w:val="24"/>
          <w:szCs w:val="24"/>
          <w:lang w:val="ro-MD"/>
        </w:rPr>
        <w:t>proceduril</w:t>
      </w:r>
      <w:r w:rsidR="009E6B9C">
        <w:rPr>
          <w:rFonts w:asciiTheme="majorHAnsi" w:hAnsiTheme="majorHAnsi" w:cstheme="majorHAnsi"/>
          <w:sz w:val="24"/>
          <w:szCs w:val="24"/>
          <w:lang w:val="ro-MD"/>
        </w:rPr>
        <w:t>e</w:t>
      </w:r>
      <w:r w:rsidR="009E6B9C"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de achiziție nu a prevăzut procurarea mobilierului, acesta urmând a fi achiziționat în cadrul unei proceduri distincte, cu asigurarea transparenței și concurenței, fapt care nu a fost respectat</w:t>
      </w:r>
      <w:r w:rsidR="0012076C" w:rsidRPr="009772A3">
        <w:rPr>
          <w:rFonts w:asciiTheme="majorHAnsi" w:hAnsiTheme="majorHAnsi" w:cstheme="majorHAnsi"/>
          <w:sz w:val="24"/>
          <w:szCs w:val="24"/>
          <w:lang w:val="ro-MD"/>
        </w:rPr>
        <w:t>;</w:t>
      </w:r>
    </w:p>
    <w:p w14:paraId="542D14C1" w14:textId="630722F9" w:rsidR="002B2835" w:rsidRPr="009772A3" w:rsidRDefault="002B2835" w:rsidP="0012076C">
      <w:pPr>
        <w:pStyle w:val="ListParagraph"/>
        <w:numPr>
          <w:ilvl w:val="0"/>
          <w:numId w:val="14"/>
        </w:numPr>
        <w:tabs>
          <w:tab w:val="left" w:pos="851"/>
        </w:tabs>
        <w:spacing w:after="0" w:line="276" w:lineRule="auto"/>
        <w:ind w:left="0" w:firstLine="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20.08.2018 a fost întocmit procesul-verbal de recepție la terminarea lucrărilor</w:t>
      </w:r>
      <w:r w:rsidR="0012076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care s-a</w:t>
      </w:r>
      <w:r w:rsidR="0012076C"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w:t>
      </w:r>
      <w:r w:rsidR="0012076C" w:rsidRPr="009772A3">
        <w:rPr>
          <w:rFonts w:asciiTheme="majorHAnsi" w:hAnsiTheme="majorHAnsi" w:cstheme="majorHAnsi"/>
          <w:sz w:val="24"/>
          <w:szCs w:val="24"/>
          <w:lang w:val="ro-MD"/>
        </w:rPr>
        <w:t xml:space="preserve">consemnat </w:t>
      </w:r>
      <w:r w:rsidRPr="009772A3">
        <w:rPr>
          <w:rFonts w:asciiTheme="majorHAnsi" w:hAnsiTheme="majorHAnsi" w:cstheme="majorHAnsi"/>
          <w:sz w:val="24"/>
          <w:szCs w:val="24"/>
          <w:lang w:val="ro-MD"/>
        </w:rPr>
        <w:t>și unele lucrări care nu au fost finisate, fiind stabilit termenul</w:t>
      </w:r>
      <w:r w:rsidR="0012076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limită </w:t>
      </w:r>
      <w:r w:rsidR="0012076C" w:rsidRPr="009772A3">
        <w:rPr>
          <w:rFonts w:asciiTheme="majorHAnsi" w:hAnsiTheme="majorHAnsi" w:cstheme="majorHAnsi"/>
          <w:sz w:val="24"/>
          <w:szCs w:val="24"/>
          <w:lang w:val="ro-MD"/>
        </w:rPr>
        <w:t>până la</w:t>
      </w:r>
      <w:r w:rsidRPr="009772A3">
        <w:rPr>
          <w:rFonts w:asciiTheme="majorHAnsi" w:hAnsiTheme="majorHAnsi" w:cstheme="majorHAnsi"/>
          <w:sz w:val="24"/>
          <w:szCs w:val="24"/>
          <w:lang w:val="ro-MD"/>
        </w:rPr>
        <w:t xml:space="preserve"> 14.09.2018 pentru executarea acestora. Totodată, deși conform procesului-verbal de recepție finală din 21.11.2018 se indic</w:t>
      </w:r>
      <w:r w:rsidR="0012076C"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că lucrările au fost complet terminate la 20.08.2018, iar construcția s-a comportat corespunzător în perioada de la terminarea acesteia la 20.08.2018 și până la recepția finală, auditul a relevat că, în perioada septembrie-noiembrie 2018 (timp de 3 luni) au fost executate lucrări de construcție în valoare totală de 68.234,8 mii lei, din care 23</w:t>
      </w:r>
      <w:r w:rsidR="0012076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412,9 mii lei </w:t>
      </w:r>
      <w:r w:rsidR="0012076C"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în baza acordurilor adiționale încheiate la 12.09.2018 după recepția la terminarea lucrărilor, confirmate prin procese</w:t>
      </w:r>
      <w:r w:rsidR="0012076C"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-verbale de recepție a lucrărilor și facturi</w:t>
      </w:r>
      <w:r w:rsidR="0012076C"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fiscale</w:t>
      </w:r>
      <w:r w:rsidR="0012076C" w:rsidRPr="009772A3">
        <w:rPr>
          <w:rFonts w:asciiTheme="majorHAnsi" w:hAnsiTheme="majorHAnsi" w:cstheme="majorHAnsi"/>
          <w:sz w:val="24"/>
          <w:szCs w:val="24"/>
          <w:lang w:val="ro-MD"/>
        </w:rPr>
        <w:t>;</w:t>
      </w:r>
    </w:p>
    <w:p w14:paraId="60820CA6" w14:textId="1008FA6A" w:rsidR="002B2835" w:rsidRPr="009772A3" w:rsidRDefault="002B2835" w:rsidP="004F4116">
      <w:pPr>
        <w:pStyle w:val="ListParagraph"/>
        <w:numPr>
          <w:ilvl w:val="0"/>
          <w:numId w:val="14"/>
        </w:numPr>
        <w:tabs>
          <w:tab w:val="left" w:pos="851"/>
        </w:tabs>
        <w:spacing w:after="0" w:line="276" w:lineRule="auto"/>
        <w:ind w:left="0" w:firstLine="425"/>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recepția finală a construcției s-a efectuat în condițiile întocmirii incomplete a Cărții tehnice a construcției</w:t>
      </w:r>
      <w:r w:rsidRPr="009772A3">
        <w:rPr>
          <w:rStyle w:val="FootnoteReference"/>
          <w:rFonts w:asciiTheme="majorHAnsi" w:hAnsiTheme="majorHAnsi" w:cstheme="majorHAnsi"/>
          <w:sz w:val="24"/>
          <w:szCs w:val="24"/>
          <w:lang w:val="ro-MD"/>
        </w:rPr>
        <w:footnoteReference w:id="55"/>
      </w:r>
      <w:r w:rsidRPr="009772A3">
        <w:rPr>
          <w:rFonts w:asciiTheme="majorHAnsi" w:hAnsiTheme="majorHAnsi" w:cstheme="majorHAnsi"/>
          <w:sz w:val="24"/>
          <w:szCs w:val="24"/>
          <w:lang w:val="ro-MD"/>
        </w:rPr>
        <w:t xml:space="preserve">, nefiind incluse informații despre executarea lucrărilor de construcție din anii 2017-2018, inclusiv cele executate după recepția la terminarea lucrărilor din lunile septembrie-noiembrie 2018. Totodată, nu a fost întocmit centralizatorul pieselor cuprinse în </w:t>
      </w:r>
      <w:r w:rsidR="0012076C"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artea tehnică a construcției</w:t>
      </w:r>
      <w:r w:rsidR="0012076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include informați</w:t>
      </w:r>
      <w:r w:rsidR="0012076C"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exhaustiv</w:t>
      </w:r>
      <w:r w:rsidR="0012076C"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referitor la proiectarea, executarea, recepția, exploatarea, întreținerea și urmărirea comportării în timp a construcției. În acest context, se menționează și faptul că, deși potrivit cadrului normativ</w:t>
      </w:r>
      <w:r w:rsidRPr="009772A3">
        <w:rPr>
          <w:rStyle w:val="FootnoteReference"/>
          <w:rFonts w:asciiTheme="majorHAnsi" w:hAnsiTheme="majorHAnsi" w:cstheme="majorHAnsi"/>
          <w:sz w:val="24"/>
          <w:szCs w:val="24"/>
          <w:lang w:val="ro-MD"/>
        </w:rPr>
        <w:footnoteReference w:id="56"/>
      </w:r>
      <w:r w:rsidRPr="009772A3">
        <w:rPr>
          <w:rFonts w:asciiTheme="majorHAnsi" w:hAnsiTheme="majorHAnsi" w:cstheme="majorHAnsi"/>
          <w:sz w:val="24"/>
          <w:szCs w:val="24"/>
          <w:lang w:val="ro-MD"/>
        </w:rPr>
        <w:t xml:space="preserve">, Comisia de recepție urma să recomande amânarea recepției în cazul </w:t>
      </w:r>
      <w:r w:rsidR="0012076C" w:rsidRPr="009772A3">
        <w:rPr>
          <w:rFonts w:asciiTheme="majorHAnsi" w:hAnsiTheme="majorHAnsi" w:cstheme="majorHAnsi"/>
          <w:sz w:val="24"/>
          <w:szCs w:val="24"/>
          <w:lang w:val="ro-MD"/>
        </w:rPr>
        <w:t>în care</w:t>
      </w:r>
      <w:r w:rsidRPr="009772A3">
        <w:rPr>
          <w:rFonts w:asciiTheme="majorHAnsi" w:hAnsiTheme="majorHAnsi" w:cstheme="majorHAnsi"/>
          <w:sz w:val="24"/>
          <w:szCs w:val="24"/>
          <w:lang w:val="ro-MD"/>
        </w:rPr>
        <w:t xml:space="preserve"> se constată lipsa sau neterminarea unor lucrări de construcţie-montaj prevăzute de proiect și lipseşte cartea tehnică a construcţiei sau este incompletă, aceasta nu a înaintat observații în acest sens. În procesul-verbal de recepție finală din 21.11.2018</w:t>
      </w:r>
      <w:r w:rsidR="0012076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comisia a indicat că lucrările au fost complet terminate la 20.08.2018, iar cartea tehnică a fost completată, aspect care nu corespunde realității din înscrisurile înregistrate în aceste documente. De asemenea, se remarcă necompletarea în procesul-verbal de recepție finală a poziției referitor la valoarea obiectului construit, cât și lipsa în Comisia de recepție a dirigintelui de șantier, care urma să participe în mod obligator</w:t>
      </w:r>
      <w:r w:rsidR="0012076C" w:rsidRPr="009772A3">
        <w:rPr>
          <w:rFonts w:asciiTheme="majorHAnsi" w:hAnsiTheme="majorHAnsi" w:cstheme="majorHAnsi"/>
          <w:sz w:val="24"/>
          <w:szCs w:val="24"/>
          <w:lang w:val="ro-MD"/>
        </w:rPr>
        <w:t>iu</w:t>
      </w:r>
      <w:r w:rsidRPr="009772A3">
        <w:rPr>
          <w:rFonts w:asciiTheme="majorHAnsi" w:hAnsiTheme="majorHAnsi" w:cstheme="majorHAnsi"/>
          <w:sz w:val="24"/>
          <w:szCs w:val="24"/>
          <w:lang w:val="ro-MD"/>
        </w:rPr>
        <w:t xml:space="preserve"> la procesul de recepție</w:t>
      </w:r>
      <w:r w:rsidR="0012076C" w:rsidRPr="009772A3">
        <w:rPr>
          <w:rFonts w:asciiTheme="majorHAnsi" w:hAnsiTheme="majorHAnsi" w:cstheme="majorHAnsi"/>
          <w:sz w:val="24"/>
          <w:szCs w:val="24"/>
          <w:lang w:val="ro-MD"/>
        </w:rPr>
        <w:t xml:space="preserve"> așa cum prevede</w:t>
      </w:r>
      <w:r w:rsidRPr="009772A3">
        <w:rPr>
          <w:rFonts w:asciiTheme="majorHAnsi" w:hAnsiTheme="majorHAnsi" w:cstheme="majorHAnsi"/>
          <w:sz w:val="24"/>
          <w:szCs w:val="24"/>
          <w:lang w:val="ro-MD"/>
        </w:rPr>
        <w:t xml:space="preserve"> cadrul normativ</w:t>
      </w:r>
      <w:r w:rsidRPr="009772A3">
        <w:rPr>
          <w:rStyle w:val="FootnoteReference"/>
          <w:rFonts w:asciiTheme="majorHAnsi" w:hAnsiTheme="majorHAnsi" w:cstheme="majorHAnsi"/>
          <w:sz w:val="24"/>
          <w:szCs w:val="24"/>
          <w:lang w:val="ro-MD"/>
        </w:rPr>
        <w:footnoteReference w:id="57"/>
      </w:r>
      <w:r w:rsidR="0012076C" w:rsidRPr="009772A3">
        <w:rPr>
          <w:rFonts w:asciiTheme="majorHAnsi" w:hAnsiTheme="majorHAnsi" w:cstheme="majorHAnsi"/>
          <w:sz w:val="24"/>
          <w:szCs w:val="24"/>
          <w:lang w:val="ro-MD"/>
        </w:rPr>
        <w:t>;</w:t>
      </w:r>
    </w:p>
    <w:p w14:paraId="782C22A7" w14:textId="3DF2AE2F" w:rsidR="002B2835" w:rsidRPr="009772A3" w:rsidRDefault="002B2835" w:rsidP="00657775">
      <w:pPr>
        <w:pStyle w:val="ListParagraph"/>
        <w:numPr>
          <w:ilvl w:val="0"/>
          <w:numId w:val="14"/>
        </w:numPr>
        <w:tabs>
          <w:tab w:val="left" w:pos="851"/>
        </w:tabs>
        <w:spacing w:after="0" w:line="276" w:lineRule="auto"/>
        <w:ind w:left="0"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anii 2013 și 2016, Secția audit intern și control a SA Moldovagaz a supus verificării activitatea economico-financiară a societății pe anii 2010-2012</w:t>
      </w:r>
      <w:r w:rsidR="0012076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cât și procedurile de achiziții de bunuri, lucrări și servicii pentru perioada 2013-2015, inclusiv cele efectuate la construcția clădirii, și a stabili</w:t>
      </w:r>
      <w:r w:rsidR="00D64FF6"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 xml:space="preserve"> unele deficiențe ce țin de</w:t>
      </w:r>
      <w:r w:rsidR="00D64FF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(i) lipsa/neprezentarea unor documente în cadrul procedurilor de achiziții; (ii) acordarea unor avansuri de 33.665,0 mii lei neutilizate pentru o perioad</w:t>
      </w:r>
      <w:r w:rsidR="00D64FF6"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îndelungată de către unele companii în cadrul contractelor încheiate pentru construcția clădirii; (iii) majorarea neregulamentară </w:t>
      </w:r>
      <w:r w:rsidR="00D64FF6" w:rsidRPr="009772A3">
        <w:rPr>
          <w:rFonts w:asciiTheme="majorHAnsi" w:hAnsiTheme="majorHAnsi" w:cstheme="majorHAnsi"/>
          <w:sz w:val="24"/>
          <w:szCs w:val="24"/>
          <w:lang w:val="ro-MD"/>
        </w:rPr>
        <w:t xml:space="preserve">cu 2.135,8 mii lei </w:t>
      </w:r>
      <w:r w:rsidRPr="009772A3">
        <w:rPr>
          <w:rFonts w:asciiTheme="majorHAnsi" w:hAnsiTheme="majorHAnsi" w:cstheme="majorHAnsi"/>
          <w:sz w:val="24"/>
          <w:szCs w:val="24"/>
          <w:lang w:val="ro-MD"/>
        </w:rPr>
        <w:t>a valorii unui contract de achiziții; (iv) recepționarea lucrărilor fără evidența cumulativă a acestora, fapt care a generat divergențe între volumele de lucrări din devize și actele de recepție a lucrărilor, nefiind posibilă determinarea gradului de realizare a construcției</w:t>
      </w:r>
      <w:r w:rsidR="00D64FF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(v) calcularea incorectă a penalității pentru neexecutarea în termen a obligațiilor contractuale de către o companie</w:t>
      </w:r>
      <w:r w:rsidR="00D64FF6" w:rsidRPr="009772A3">
        <w:rPr>
          <w:rFonts w:asciiTheme="majorHAnsi" w:hAnsiTheme="majorHAnsi" w:cstheme="majorHAnsi"/>
          <w:sz w:val="24"/>
          <w:szCs w:val="24"/>
          <w:lang w:val="ro-MD"/>
        </w:rPr>
        <w:t>;</w:t>
      </w:r>
    </w:p>
    <w:p w14:paraId="503A6584" w14:textId="04E9DCFF" w:rsidR="002B2835" w:rsidRPr="009772A3" w:rsidRDefault="00D64FF6">
      <w:pPr>
        <w:pStyle w:val="ListParagraph"/>
        <w:numPr>
          <w:ilvl w:val="0"/>
          <w:numId w:val="14"/>
        </w:numPr>
        <w:tabs>
          <w:tab w:val="left" w:pos="851"/>
        </w:tabs>
        <w:spacing w:after="0" w:line="276" w:lineRule="auto"/>
        <w:ind w:left="0" w:firstLine="426"/>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w:t>
      </w:r>
      <w:r w:rsidR="002B2835" w:rsidRPr="009772A3">
        <w:rPr>
          <w:rFonts w:asciiTheme="majorHAnsi" w:hAnsiTheme="majorHAnsi" w:cstheme="majorHAnsi"/>
          <w:sz w:val="24"/>
          <w:szCs w:val="24"/>
          <w:lang w:val="ro-MD"/>
        </w:rPr>
        <w:t>n anul 2015 SA ,Moldovagaz a contractat servicii de audit</w:t>
      </w:r>
      <w:r w:rsidR="002B2835" w:rsidRPr="009772A3">
        <w:rPr>
          <w:rStyle w:val="FootnoteReference"/>
          <w:rFonts w:asciiTheme="majorHAnsi" w:hAnsiTheme="majorHAnsi" w:cstheme="majorHAnsi"/>
          <w:sz w:val="24"/>
          <w:szCs w:val="24"/>
          <w:lang w:val="ro-MD"/>
        </w:rPr>
        <w:footnoteReference w:id="58"/>
      </w:r>
      <w:r w:rsidR="002B2835" w:rsidRPr="009772A3">
        <w:rPr>
          <w:rFonts w:asciiTheme="majorHAnsi" w:hAnsiTheme="majorHAnsi" w:cstheme="majorHAnsi"/>
          <w:sz w:val="24"/>
          <w:szCs w:val="24"/>
          <w:lang w:val="ro-MD"/>
        </w:rPr>
        <w:t xml:space="preserve"> în vederea examinării procesului de achiziții în cadrul contractelor încheiate în perioada 2009-2015 la construcția clădirii de tip oficiu, nefiind stabilite abateri de la cadrul de reglementare. </w:t>
      </w:r>
    </w:p>
    <w:p w14:paraId="0D704A3B" w14:textId="42B0287A" w:rsidR="004910C8" w:rsidRPr="009772A3" w:rsidRDefault="004910C8" w:rsidP="004F4116">
      <w:pPr>
        <w:spacing w:after="0"/>
        <w:rPr>
          <w:rFonts w:asciiTheme="majorHAnsi" w:hAnsiTheme="majorHAnsi" w:cstheme="majorHAnsi"/>
          <w:sz w:val="24"/>
          <w:szCs w:val="24"/>
          <w:lang w:val="ro-MD"/>
        </w:rPr>
      </w:pPr>
    </w:p>
    <w:p w14:paraId="13064081" w14:textId="5CDBBE79" w:rsidR="002A4AC0" w:rsidRPr="009772A3" w:rsidRDefault="00957170" w:rsidP="006C0BB4">
      <w:pPr>
        <w:pStyle w:val="Heading1"/>
        <w:numPr>
          <w:ilvl w:val="3"/>
          <w:numId w:val="2"/>
        </w:numPr>
        <w:tabs>
          <w:tab w:val="left" w:pos="851"/>
        </w:tabs>
        <w:spacing w:before="0" w:line="276" w:lineRule="auto"/>
        <w:ind w:left="0" w:firstLine="0"/>
        <w:jc w:val="both"/>
        <w:rPr>
          <w:i/>
          <w:color w:val="auto"/>
          <w:lang w:val="ro-MD"/>
        </w:rPr>
      </w:pPr>
      <w:bookmarkStart w:id="50" w:name="_Toc118297699"/>
      <w:bookmarkStart w:id="51" w:name="_Toc118372827"/>
      <w:bookmarkStart w:id="52" w:name="_Toc118465727"/>
      <w:bookmarkStart w:id="53" w:name="_Toc119496402"/>
      <w:r w:rsidRPr="009772A3">
        <w:rPr>
          <w:i/>
          <w:color w:val="auto"/>
          <w:lang w:val="ro-MD"/>
        </w:rPr>
        <w:t>Iniție</w:t>
      </w:r>
      <w:r w:rsidR="00366436" w:rsidRPr="009772A3">
        <w:rPr>
          <w:i/>
          <w:color w:val="auto"/>
          <w:lang w:val="ro-MD"/>
        </w:rPr>
        <w:t xml:space="preserve">rea lucrărilor de construcție a clădirii administrative </w:t>
      </w:r>
      <w:r w:rsidR="002A4AC0" w:rsidRPr="009772A3">
        <w:rPr>
          <w:i/>
          <w:color w:val="auto"/>
          <w:lang w:val="ro-MD"/>
        </w:rPr>
        <w:t>din or.</w:t>
      </w:r>
      <w:r w:rsidR="00B92CDF" w:rsidRPr="009772A3">
        <w:rPr>
          <w:i/>
          <w:color w:val="auto"/>
          <w:lang w:val="ro-MD"/>
        </w:rPr>
        <w:t xml:space="preserve"> </w:t>
      </w:r>
      <w:r w:rsidR="00366436" w:rsidRPr="009772A3">
        <w:rPr>
          <w:i/>
          <w:color w:val="auto"/>
          <w:lang w:val="ro-MD"/>
        </w:rPr>
        <w:t>Ungheni</w:t>
      </w:r>
      <w:r w:rsidR="001F3D44" w:rsidRPr="009772A3">
        <w:rPr>
          <w:i/>
          <w:color w:val="auto"/>
          <w:lang w:val="ro-MD"/>
        </w:rPr>
        <w:t xml:space="preserve"> și nefinali</w:t>
      </w:r>
      <w:r w:rsidRPr="009772A3">
        <w:rPr>
          <w:i/>
          <w:color w:val="auto"/>
          <w:lang w:val="ro-MD"/>
        </w:rPr>
        <w:t>zarea acesteia</w:t>
      </w:r>
      <w:r w:rsidR="002A4AC0" w:rsidRPr="009772A3">
        <w:rPr>
          <w:i/>
          <w:color w:val="auto"/>
          <w:lang w:val="ro-MD"/>
        </w:rPr>
        <w:t xml:space="preserve"> nu justi</w:t>
      </w:r>
      <w:r w:rsidR="001F3D44" w:rsidRPr="009772A3">
        <w:rPr>
          <w:i/>
          <w:color w:val="auto"/>
          <w:lang w:val="ro-MD"/>
        </w:rPr>
        <w:t>f</w:t>
      </w:r>
      <w:r w:rsidR="002A4AC0" w:rsidRPr="009772A3">
        <w:rPr>
          <w:i/>
          <w:color w:val="auto"/>
          <w:lang w:val="ro-MD"/>
        </w:rPr>
        <w:t>ică investițiil</w:t>
      </w:r>
      <w:r w:rsidRPr="009772A3">
        <w:rPr>
          <w:i/>
          <w:color w:val="auto"/>
          <w:lang w:val="ro-MD"/>
        </w:rPr>
        <w:t>e</w:t>
      </w:r>
      <w:r w:rsidR="002A4AC0" w:rsidRPr="009772A3">
        <w:rPr>
          <w:i/>
          <w:color w:val="auto"/>
          <w:lang w:val="ro-MD"/>
        </w:rPr>
        <w:t xml:space="preserve"> efectuate în valoare totală de 20.</w:t>
      </w:r>
      <w:r w:rsidR="001F0F46" w:rsidRPr="009772A3">
        <w:rPr>
          <w:i/>
          <w:color w:val="auto"/>
          <w:lang w:val="ro-MD"/>
        </w:rPr>
        <w:t>733</w:t>
      </w:r>
      <w:r w:rsidR="002A4AC0" w:rsidRPr="009772A3">
        <w:rPr>
          <w:i/>
          <w:color w:val="auto"/>
          <w:lang w:val="ro-MD"/>
        </w:rPr>
        <w:t>,</w:t>
      </w:r>
      <w:r w:rsidR="001F0F46" w:rsidRPr="009772A3">
        <w:rPr>
          <w:i/>
          <w:color w:val="auto"/>
          <w:lang w:val="ro-MD"/>
        </w:rPr>
        <w:t>2</w:t>
      </w:r>
      <w:r w:rsidR="002A4AC0" w:rsidRPr="009772A3">
        <w:rPr>
          <w:i/>
          <w:color w:val="auto"/>
          <w:lang w:val="ro-MD"/>
        </w:rPr>
        <w:t xml:space="preserve"> mii lei.</w:t>
      </w:r>
      <w:bookmarkEnd w:id="50"/>
      <w:bookmarkEnd w:id="51"/>
      <w:bookmarkEnd w:id="52"/>
      <w:bookmarkEnd w:id="53"/>
    </w:p>
    <w:p w14:paraId="30FD0809" w14:textId="2A9871BC" w:rsidR="00366436" w:rsidRPr="009772A3" w:rsidRDefault="001F0F4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Proiectul clădirii administrative a SRL Ungheni-gaz cu suprafața totală de 963,9 m</w:t>
      </w:r>
      <w:r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 xml:space="preserve"> a fost elaborat</w:t>
      </w:r>
      <w:r w:rsidRPr="009772A3" w:rsidDel="001F0F46">
        <w:rPr>
          <w:rFonts w:asciiTheme="majorHAnsi" w:hAnsiTheme="majorHAnsi" w:cstheme="majorHAnsi"/>
          <w:sz w:val="24"/>
          <w:szCs w:val="24"/>
          <w:lang w:val="ro-MD"/>
        </w:rPr>
        <w:t xml:space="preserve"> </w:t>
      </w:r>
      <w:r w:rsidR="00087D70" w:rsidRPr="009772A3">
        <w:rPr>
          <w:rFonts w:asciiTheme="majorHAnsi" w:hAnsiTheme="majorHAnsi" w:cstheme="majorHAnsi"/>
          <w:sz w:val="24"/>
          <w:szCs w:val="24"/>
          <w:lang w:val="ro-MD"/>
        </w:rPr>
        <w:t>î</w:t>
      </w:r>
      <w:r w:rsidR="00366436" w:rsidRPr="009772A3">
        <w:rPr>
          <w:rFonts w:asciiTheme="majorHAnsi" w:hAnsiTheme="majorHAnsi" w:cstheme="majorHAnsi"/>
          <w:sz w:val="24"/>
          <w:szCs w:val="24"/>
          <w:lang w:val="ro-MD"/>
        </w:rPr>
        <w:t xml:space="preserve">n anul 2011, valoarea estimată a lucrărilor de construcție </w:t>
      </w:r>
      <w:r w:rsidR="00773E76" w:rsidRPr="009772A3">
        <w:rPr>
          <w:rFonts w:asciiTheme="majorHAnsi" w:hAnsiTheme="majorHAnsi" w:cstheme="majorHAnsi"/>
          <w:sz w:val="24"/>
          <w:szCs w:val="24"/>
          <w:lang w:val="ro-MD"/>
        </w:rPr>
        <w:t>însumând 17.</w:t>
      </w:r>
      <w:r w:rsidR="00366436" w:rsidRPr="009772A3">
        <w:rPr>
          <w:rFonts w:asciiTheme="majorHAnsi" w:hAnsiTheme="majorHAnsi" w:cstheme="majorHAnsi"/>
          <w:sz w:val="24"/>
          <w:szCs w:val="24"/>
          <w:lang w:val="ro-MD"/>
        </w:rPr>
        <w:t>337,3 mii lei, la finele anului 2016 fiind planificată darea în exploatare a obiectului.</w:t>
      </w:r>
      <w:r w:rsidR="00E84799" w:rsidRPr="009772A3">
        <w:rPr>
          <w:rFonts w:asciiTheme="majorHAnsi" w:hAnsiTheme="majorHAnsi" w:cstheme="majorHAnsi"/>
          <w:sz w:val="24"/>
          <w:szCs w:val="24"/>
          <w:lang w:val="ro-MD"/>
        </w:rPr>
        <w:t xml:space="preserve"> </w:t>
      </w:r>
      <w:r w:rsidR="00366436" w:rsidRPr="009772A3">
        <w:rPr>
          <w:rFonts w:asciiTheme="majorHAnsi" w:hAnsiTheme="majorHAnsi" w:cstheme="majorHAnsi"/>
          <w:sz w:val="24"/>
          <w:szCs w:val="24"/>
          <w:lang w:val="ro-MD"/>
        </w:rPr>
        <w:t xml:space="preserve">Pe parcursul executării lucrărilor, </w:t>
      </w:r>
      <w:r w:rsidR="00B92CDF" w:rsidRPr="009772A3">
        <w:rPr>
          <w:rFonts w:asciiTheme="majorHAnsi" w:hAnsiTheme="majorHAnsi" w:cstheme="majorHAnsi"/>
          <w:sz w:val="24"/>
          <w:szCs w:val="24"/>
          <w:lang w:val="ro-MD"/>
        </w:rPr>
        <w:t xml:space="preserve">ca </w:t>
      </w:r>
      <w:r w:rsidR="00366436" w:rsidRPr="009772A3">
        <w:rPr>
          <w:rFonts w:asciiTheme="majorHAnsi" w:hAnsiTheme="majorHAnsi" w:cstheme="majorHAnsi"/>
          <w:sz w:val="24"/>
          <w:szCs w:val="24"/>
          <w:lang w:val="ro-MD"/>
        </w:rPr>
        <w:t xml:space="preserve">urmare </w:t>
      </w:r>
      <w:r w:rsidRPr="009772A3">
        <w:rPr>
          <w:rFonts w:asciiTheme="majorHAnsi" w:hAnsiTheme="majorHAnsi" w:cstheme="majorHAnsi"/>
          <w:sz w:val="24"/>
          <w:szCs w:val="24"/>
          <w:lang w:val="ro-MD"/>
        </w:rPr>
        <w:t xml:space="preserve">a </w:t>
      </w:r>
      <w:r w:rsidR="00366436" w:rsidRPr="009772A3">
        <w:rPr>
          <w:rFonts w:asciiTheme="majorHAnsi" w:hAnsiTheme="majorHAnsi" w:cstheme="majorHAnsi"/>
          <w:sz w:val="24"/>
          <w:szCs w:val="24"/>
          <w:lang w:val="ro-MD"/>
        </w:rPr>
        <w:t>unor modificări în proiect, valoarea de deviz a obiectului a fost ajustată la</w:t>
      </w:r>
      <w:r w:rsidR="00773E76" w:rsidRPr="009772A3">
        <w:rPr>
          <w:rFonts w:asciiTheme="majorHAnsi" w:hAnsiTheme="majorHAnsi" w:cstheme="majorHAnsi"/>
          <w:sz w:val="24"/>
          <w:szCs w:val="24"/>
          <w:lang w:val="ro-MD"/>
        </w:rPr>
        <w:t xml:space="preserve"> 27.</w:t>
      </w:r>
      <w:r w:rsidR="00366436" w:rsidRPr="009772A3">
        <w:rPr>
          <w:rFonts w:asciiTheme="majorHAnsi" w:hAnsiTheme="majorHAnsi" w:cstheme="majorHAnsi"/>
          <w:sz w:val="24"/>
          <w:szCs w:val="24"/>
          <w:lang w:val="ro-MD"/>
        </w:rPr>
        <w:t>294,3 mii lei</w:t>
      </w:r>
      <w:r w:rsidR="00773E76" w:rsidRPr="009772A3">
        <w:rPr>
          <w:rFonts w:asciiTheme="majorHAnsi" w:hAnsiTheme="majorHAnsi" w:cstheme="majorHAnsi"/>
          <w:sz w:val="24"/>
          <w:szCs w:val="24"/>
          <w:lang w:val="ro-MD"/>
        </w:rPr>
        <w:t>.</w:t>
      </w:r>
    </w:p>
    <w:p w14:paraId="762A0381" w14:textId="2E54AE03" w:rsidR="00366436" w:rsidRPr="009772A3" w:rsidRDefault="001F0F46" w:rsidP="00773E7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w:t>
      </w:r>
      <w:r w:rsidR="00366436" w:rsidRPr="009772A3">
        <w:rPr>
          <w:rFonts w:asciiTheme="majorHAnsi" w:hAnsiTheme="majorHAnsi" w:cstheme="majorHAnsi"/>
          <w:sz w:val="24"/>
          <w:szCs w:val="24"/>
          <w:lang w:val="ro-MD"/>
        </w:rPr>
        <w:t xml:space="preserve">e remarcă că, pentru finanțarea proiectului de construcție a clădirii, SRL Ungheni-gaz a contractat 2 credite </w:t>
      </w:r>
      <w:r w:rsidR="006834BE" w:rsidRPr="009772A3">
        <w:rPr>
          <w:rFonts w:asciiTheme="majorHAnsi" w:hAnsiTheme="majorHAnsi" w:cstheme="majorHAnsi"/>
          <w:sz w:val="24"/>
          <w:szCs w:val="24"/>
          <w:lang w:val="ro-MD"/>
        </w:rPr>
        <w:t xml:space="preserve">în anii 2012 și 2015 </w:t>
      </w:r>
      <w:r w:rsidR="00366436" w:rsidRPr="009772A3">
        <w:rPr>
          <w:rFonts w:asciiTheme="majorHAnsi" w:hAnsiTheme="majorHAnsi" w:cstheme="majorHAnsi"/>
          <w:sz w:val="24"/>
          <w:szCs w:val="24"/>
          <w:lang w:val="ro-MD"/>
        </w:rPr>
        <w:t>în sumă totală de 16</w:t>
      </w:r>
      <w:r w:rsidR="00773E76" w:rsidRPr="009772A3">
        <w:rPr>
          <w:rFonts w:asciiTheme="majorHAnsi" w:hAnsiTheme="majorHAnsi" w:cstheme="majorHAnsi"/>
          <w:sz w:val="24"/>
          <w:szCs w:val="24"/>
          <w:lang w:val="ro-MD"/>
        </w:rPr>
        <w:t>.</w:t>
      </w:r>
      <w:r w:rsidR="00366436" w:rsidRPr="009772A3">
        <w:rPr>
          <w:rFonts w:asciiTheme="majorHAnsi" w:hAnsiTheme="majorHAnsi" w:cstheme="majorHAnsi"/>
          <w:sz w:val="24"/>
          <w:szCs w:val="24"/>
          <w:lang w:val="ro-MD"/>
        </w:rPr>
        <w:t>952,8 mii lei, fiind achitate dobânzi de</w:t>
      </w:r>
      <w:r w:rsidR="00773E76" w:rsidRPr="009772A3">
        <w:rPr>
          <w:rFonts w:asciiTheme="majorHAnsi" w:hAnsiTheme="majorHAnsi" w:cstheme="majorHAnsi"/>
          <w:sz w:val="24"/>
          <w:szCs w:val="24"/>
          <w:lang w:val="ro-MD"/>
        </w:rPr>
        <w:t xml:space="preserve"> 4.</w:t>
      </w:r>
      <w:r w:rsidR="00366436" w:rsidRPr="009772A3">
        <w:rPr>
          <w:rFonts w:asciiTheme="majorHAnsi" w:hAnsiTheme="majorHAnsi" w:cstheme="majorHAnsi"/>
          <w:sz w:val="24"/>
          <w:szCs w:val="24"/>
          <w:lang w:val="ro-MD"/>
        </w:rPr>
        <w:t>764,5 mii lei</w:t>
      </w:r>
      <w:r w:rsidR="00CE634D" w:rsidRPr="009772A3">
        <w:rPr>
          <w:rFonts w:asciiTheme="majorHAnsi" w:hAnsiTheme="majorHAnsi" w:cstheme="majorHAnsi"/>
          <w:sz w:val="24"/>
          <w:szCs w:val="24"/>
          <w:lang w:val="ro-MD"/>
        </w:rPr>
        <w:t>, care au constituit 2</w:t>
      </w:r>
      <w:r w:rsidR="006834BE" w:rsidRPr="009772A3">
        <w:rPr>
          <w:rFonts w:asciiTheme="majorHAnsi" w:hAnsiTheme="majorHAnsi" w:cstheme="majorHAnsi"/>
          <w:sz w:val="24"/>
          <w:szCs w:val="24"/>
          <w:lang w:val="ro-MD"/>
        </w:rPr>
        <w:t>3</w:t>
      </w:r>
      <w:r w:rsidR="00CE634D" w:rsidRPr="009772A3">
        <w:rPr>
          <w:rFonts w:asciiTheme="majorHAnsi" w:hAnsiTheme="majorHAnsi" w:cstheme="majorHAnsi"/>
          <w:sz w:val="24"/>
          <w:szCs w:val="24"/>
          <w:lang w:val="ro-MD"/>
        </w:rPr>
        <w:t>% din valoarea investițiilor efectuate în clădire</w:t>
      </w:r>
      <w:r w:rsidR="00366436" w:rsidRPr="009772A3">
        <w:rPr>
          <w:rFonts w:asciiTheme="majorHAnsi" w:hAnsiTheme="majorHAnsi" w:cstheme="majorHAnsi"/>
          <w:sz w:val="24"/>
          <w:szCs w:val="24"/>
          <w:lang w:val="ro-MD"/>
        </w:rPr>
        <w:t>.</w:t>
      </w:r>
    </w:p>
    <w:p w14:paraId="44D55B95" w14:textId="256EB9BB" w:rsidR="00366436" w:rsidRPr="009772A3" w:rsidRDefault="00366436" w:rsidP="00773E7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21.03.2016</w:t>
      </w:r>
      <w:r w:rsidR="00B92CDF" w:rsidRPr="009772A3">
        <w:rPr>
          <w:rFonts w:asciiTheme="majorHAnsi" w:hAnsiTheme="majorHAnsi" w:cstheme="majorHAnsi"/>
          <w:sz w:val="24"/>
          <w:szCs w:val="24"/>
          <w:lang w:val="ro-MD"/>
        </w:rPr>
        <w:t>, ca</w:t>
      </w:r>
      <w:r w:rsidRPr="009772A3">
        <w:rPr>
          <w:rFonts w:asciiTheme="majorHAnsi" w:hAnsiTheme="majorHAnsi" w:cstheme="majorHAnsi"/>
          <w:sz w:val="24"/>
          <w:szCs w:val="24"/>
          <w:lang w:val="ro-MD"/>
        </w:rPr>
        <w:t xml:space="preserve"> urmare </w:t>
      </w:r>
      <w:r w:rsidR="00B92CDF"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organizării ședinței cu participarea reprezentanților</w:t>
      </w:r>
      <w:r w:rsidR="00773E76" w:rsidRPr="009772A3">
        <w:rPr>
          <w:rFonts w:asciiTheme="majorHAnsi" w:hAnsiTheme="majorHAnsi" w:cstheme="majorHAnsi"/>
          <w:sz w:val="24"/>
          <w:szCs w:val="24"/>
          <w:lang w:val="ro-MD"/>
        </w:rPr>
        <w:t xml:space="preserve"> SA </w:t>
      </w:r>
      <w:r w:rsidRPr="009772A3">
        <w:rPr>
          <w:rFonts w:asciiTheme="majorHAnsi" w:hAnsiTheme="majorHAnsi" w:cstheme="majorHAnsi"/>
          <w:sz w:val="24"/>
          <w:szCs w:val="24"/>
          <w:lang w:val="ro-MD"/>
        </w:rPr>
        <w:t xml:space="preserve">Moldovagaz, SRL </w:t>
      </w:r>
      <w:r w:rsidR="00773E76" w:rsidRPr="009772A3">
        <w:rPr>
          <w:rFonts w:asciiTheme="majorHAnsi" w:hAnsiTheme="majorHAnsi" w:cstheme="majorHAnsi"/>
          <w:sz w:val="24"/>
          <w:szCs w:val="24"/>
          <w:lang w:val="ro-MD"/>
        </w:rPr>
        <w:t xml:space="preserve">Ungheni-gaz, </w:t>
      </w:r>
      <w:r w:rsidR="00B92CDF" w:rsidRPr="009772A3">
        <w:rPr>
          <w:rFonts w:asciiTheme="majorHAnsi" w:hAnsiTheme="majorHAnsi" w:cstheme="majorHAnsi"/>
          <w:sz w:val="24"/>
          <w:szCs w:val="24"/>
          <w:lang w:val="ro-MD"/>
        </w:rPr>
        <w:t>P</w:t>
      </w:r>
      <w:r w:rsidR="00773E76" w:rsidRPr="009772A3">
        <w:rPr>
          <w:rFonts w:asciiTheme="majorHAnsi" w:hAnsiTheme="majorHAnsi" w:cstheme="majorHAnsi"/>
          <w:sz w:val="24"/>
          <w:szCs w:val="24"/>
          <w:lang w:val="ro-MD"/>
        </w:rPr>
        <w:t>rimăriei or.</w:t>
      </w:r>
      <w:r w:rsidRPr="009772A3">
        <w:rPr>
          <w:rFonts w:asciiTheme="majorHAnsi" w:hAnsiTheme="majorHAnsi" w:cstheme="majorHAnsi"/>
          <w:sz w:val="24"/>
          <w:szCs w:val="24"/>
          <w:lang w:val="ro-MD"/>
        </w:rPr>
        <w:t>Ungheni și antreprenorului, s-a decis conservarea obiectului cu efectuarea unor lucrări strict necesare în valoare de 2</w:t>
      </w:r>
      <w:r w:rsidR="00B92CD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387,1 mii lei. Costurile estimate la 01.12.2016 pentru finalizarea lucrărilor</w:t>
      </w:r>
      <w:r w:rsidR="00773E76" w:rsidRPr="009772A3">
        <w:rPr>
          <w:rFonts w:asciiTheme="majorHAnsi" w:hAnsiTheme="majorHAnsi" w:cstheme="majorHAnsi"/>
          <w:sz w:val="24"/>
          <w:szCs w:val="24"/>
          <w:lang w:val="ro-MD"/>
        </w:rPr>
        <w:t xml:space="preserve"> au însumat 9.</w:t>
      </w:r>
      <w:r w:rsidRPr="009772A3">
        <w:rPr>
          <w:rFonts w:asciiTheme="majorHAnsi" w:hAnsiTheme="majorHAnsi" w:cstheme="majorHAnsi"/>
          <w:sz w:val="24"/>
          <w:szCs w:val="24"/>
          <w:lang w:val="ro-MD"/>
        </w:rPr>
        <w:t>112,7 mii lei.</w:t>
      </w:r>
    </w:p>
    <w:p w14:paraId="48273660" w14:textId="3D50B04E" w:rsidR="00366436" w:rsidRPr="009772A3" w:rsidRDefault="00366436" w:rsidP="00773E7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La 31 decembrie 2021, </w:t>
      </w:r>
      <w:r w:rsidR="00031244" w:rsidRPr="009772A3">
        <w:rPr>
          <w:rFonts w:asciiTheme="majorHAnsi" w:hAnsiTheme="majorHAnsi" w:cstheme="majorHAnsi"/>
          <w:sz w:val="24"/>
          <w:szCs w:val="24"/>
          <w:lang w:val="ro-MD"/>
        </w:rPr>
        <w:t xml:space="preserve">lucrările de construcție a clădirii administrative nu au fost finalizate, obiectul nefiind dat în exploatare, </w:t>
      </w:r>
      <w:r w:rsidRPr="009772A3">
        <w:rPr>
          <w:rFonts w:asciiTheme="majorHAnsi" w:hAnsiTheme="majorHAnsi" w:cstheme="majorHAnsi"/>
          <w:sz w:val="24"/>
          <w:szCs w:val="24"/>
          <w:lang w:val="ro-MD"/>
        </w:rPr>
        <w:t>valoarea totală a investițiilor realizate la construcția obiectului a însumat 20</w:t>
      </w:r>
      <w:r w:rsidR="00773E76" w:rsidRPr="009772A3">
        <w:rPr>
          <w:rFonts w:asciiTheme="majorHAnsi" w:hAnsiTheme="majorHAnsi" w:cstheme="majorHAnsi"/>
          <w:sz w:val="24"/>
          <w:szCs w:val="24"/>
          <w:lang w:val="ro-MD"/>
        </w:rPr>
        <w:t>.</w:t>
      </w:r>
      <w:r w:rsidR="001F0F46" w:rsidRPr="009772A3">
        <w:rPr>
          <w:rFonts w:asciiTheme="majorHAnsi" w:hAnsiTheme="majorHAnsi" w:cstheme="majorHAnsi"/>
          <w:sz w:val="24"/>
          <w:szCs w:val="24"/>
          <w:lang w:val="ro-MD"/>
        </w:rPr>
        <w:t>733</w:t>
      </w:r>
      <w:r w:rsidRPr="009772A3">
        <w:rPr>
          <w:rFonts w:asciiTheme="majorHAnsi" w:hAnsiTheme="majorHAnsi" w:cstheme="majorHAnsi"/>
          <w:sz w:val="24"/>
          <w:szCs w:val="24"/>
          <w:lang w:val="ro-MD"/>
        </w:rPr>
        <w:t>,</w:t>
      </w:r>
      <w:r w:rsidR="001F0F46" w:rsidRPr="009772A3">
        <w:rPr>
          <w:rFonts w:asciiTheme="majorHAnsi" w:hAnsiTheme="majorHAnsi" w:cstheme="majorHAnsi"/>
          <w:sz w:val="24"/>
          <w:szCs w:val="24"/>
          <w:lang w:val="ro-MD"/>
        </w:rPr>
        <w:t xml:space="preserve">2 </w:t>
      </w:r>
      <w:r w:rsidRPr="009772A3">
        <w:rPr>
          <w:rFonts w:asciiTheme="majorHAnsi" w:hAnsiTheme="majorHAnsi" w:cstheme="majorHAnsi"/>
          <w:sz w:val="24"/>
          <w:szCs w:val="24"/>
          <w:lang w:val="ro-MD"/>
        </w:rPr>
        <w:t xml:space="preserve">mii lei, care nu au fost recunoscute de ANRE în scopul recuperării prin tarif. </w:t>
      </w:r>
    </w:p>
    <w:p w14:paraId="2ADD3374" w14:textId="23D807BD" w:rsidR="007C1F81" w:rsidRPr="009772A3" w:rsidRDefault="00366436" w:rsidP="00773E7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Cele menționate denotă </w:t>
      </w:r>
      <w:r w:rsidR="00031244" w:rsidRPr="009772A3">
        <w:rPr>
          <w:rFonts w:asciiTheme="majorHAnsi" w:hAnsiTheme="majorHAnsi" w:cstheme="majorHAnsi"/>
          <w:sz w:val="24"/>
          <w:szCs w:val="24"/>
          <w:lang w:val="ro-MD"/>
        </w:rPr>
        <w:t xml:space="preserve">imobilizarea </w:t>
      </w:r>
      <w:r w:rsidRPr="009772A3">
        <w:rPr>
          <w:rFonts w:asciiTheme="majorHAnsi" w:hAnsiTheme="majorHAnsi" w:cstheme="majorHAnsi"/>
          <w:sz w:val="24"/>
          <w:szCs w:val="24"/>
          <w:lang w:val="ro-MD"/>
        </w:rPr>
        <w:t xml:space="preserve">resurselor financiare </w:t>
      </w:r>
      <w:r w:rsidR="00031244" w:rsidRPr="009772A3">
        <w:rPr>
          <w:rFonts w:asciiTheme="majorHAnsi" w:hAnsiTheme="majorHAnsi" w:cstheme="majorHAnsi"/>
          <w:sz w:val="24"/>
          <w:szCs w:val="24"/>
          <w:lang w:val="ro-MD"/>
        </w:rPr>
        <w:t xml:space="preserve">ale SRL Ungheni-gaz </w:t>
      </w:r>
      <w:r w:rsidR="00210F71" w:rsidRPr="009772A3">
        <w:rPr>
          <w:rFonts w:asciiTheme="majorHAnsi" w:hAnsiTheme="majorHAnsi" w:cstheme="majorHAnsi"/>
          <w:sz w:val="24"/>
          <w:szCs w:val="24"/>
          <w:lang w:val="ro-MD"/>
        </w:rPr>
        <w:t xml:space="preserve">în </w:t>
      </w:r>
      <w:r w:rsidR="00031244" w:rsidRPr="009772A3">
        <w:rPr>
          <w:rFonts w:asciiTheme="majorHAnsi" w:hAnsiTheme="majorHAnsi" w:cstheme="majorHAnsi"/>
          <w:sz w:val="24"/>
          <w:szCs w:val="24"/>
          <w:lang w:val="ro-MD"/>
        </w:rPr>
        <w:t xml:space="preserve">investiții care </w:t>
      </w:r>
      <w:r w:rsidR="00426FCF" w:rsidRPr="009772A3">
        <w:rPr>
          <w:rFonts w:asciiTheme="majorHAnsi" w:hAnsiTheme="majorHAnsi" w:cstheme="majorHAnsi"/>
          <w:sz w:val="24"/>
          <w:szCs w:val="24"/>
          <w:lang w:val="ro-MD"/>
        </w:rPr>
        <w:t xml:space="preserve">nu </w:t>
      </w:r>
      <w:r w:rsidR="00031244" w:rsidRPr="009772A3">
        <w:rPr>
          <w:rFonts w:asciiTheme="majorHAnsi" w:hAnsiTheme="majorHAnsi" w:cstheme="majorHAnsi"/>
          <w:sz w:val="24"/>
          <w:szCs w:val="24"/>
          <w:lang w:val="ro-MD"/>
        </w:rPr>
        <w:t>s-au dovedit necesare activității acesteia</w:t>
      </w:r>
      <w:r w:rsidR="007C1F81" w:rsidRPr="009772A3">
        <w:rPr>
          <w:rFonts w:asciiTheme="majorHAnsi" w:hAnsiTheme="majorHAnsi" w:cstheme="majorHAnsi"/>
          <w:sz w:val="24"/>
          <w:szCs w:val="24"/>
          <w:lang w:val="ro-MD"/>
        </w:rPr>
        <w:t>.</w:t>
      </w:r>
    </w:p>
    <w:p w14:paraId="13C2EA2B" w14:textId="079C7935" w:rsidR="00E35A1D" w:rsidRPr="009772A3" w:rsidRDefault="000A3F61" w:rsidP="006C0BB4">
      <w:pPr>
        <w:pStyle w:val="Heading1"/>
        <w:numPr>
          <w:ilvl w:val="3"/>
          <w:numId w:val="2"/>
        </w:numPr>
        <w:tabs>
          <w:tab w:val="left" w:pos="851"/>
        </w:tabs>
        <w:spacing w:line="276" w:lineRule="auto"/>
        <w:ind w:left="0" w:firstLine="0"/>
        <w:jc w:val="both"/>
        <w:rPr>
          <w:i/>
          <w:color w:val="auto"/>
          <w:lang w:val="ro-MD"/>
        </w:rPr>
      </w:pPr>
      <w:bookmarkStart w:id="54" w:name="_Toc119496403"/>
      <w:r w:rsidRPr="009772A3">
        <w:rPr>
          <w:i/>
          <w:color w:val="auto"/>
          <w:lang w:val="ro-MD"/>
        </w:rPr>
        <w:t xml:space="preserve">Încălcările admise la planificarea și realizarea </w:t>
      </w:r>
      <w:hyperlink w:anchor="_Toc117179018" w:history="1">
        <w:bookmarkStart w:id="55" w:name="_Toc118465728"/>
        <w:bookmarkStart w:id="56" w:name="_Toc118297701"/>
        <w:bookmarkStart w:id="57" w:name="_Toc117775762"/>
        <w:r w:rsidR="006D5031" w:rsidRPr="009772A3">
          <w:rPr>
            <w:i/>
            <w:color w:val="auto"/>
            <w:lang w:val="ro-MD"/>
          </w:rPr>
          <w:t>investițiilor</w:t>
        </w:r>
        <w:r w:rsidR="00E35A1D" w:rsidRPr="009772A3">
          <w:rPr>
            <w:i/>
            <w:color w:val="auto"/>
            <w:lang w:val="ro-MD"/>
          </w:rPr>
          <w:t xml:space="preserve"> pentru reparația capitală a imobilului din complexul ÎS </w:t>
        </w:r>
        <w:r w:rsidR="003E3ADA" w:rsidRPr="009772A3">
          <w:rPr>
            <w:i/>
            <w:color w:val="auto"/>
            <w:lang w:val="ro-MD"/>
          </w:rPr>
          <w:t>„</w:t>
        </w:r>
        <w:r w:rsidR="00E35A1D" w:rsidRPr="009772A3">
          <w:rPr>
            <w:i/>
            <w:color w:val="auto"/>
            <w:lang w:val="ro-MD"/>
          </w:rPr>
          <w:t xml:space="preserve">Pensiunea </w:t>
        </w:r>
        <w:r w:rsidR="00D3601D" w:rsidRPr="009772A3">
          <w:rPr>
            <w:i/>
            <w:color w:val="auto"/>
            <w:lang w:val="ro-MD"/>
          </w:rPr>
          <w:t xml:space="preserve">Holercani” </w:t>
        </w:r>
        <w:r w:rsidR="006B5ADC" w:rsidRPr="009772A3">
          <w:rPr>
            <w:i/>
            <w:color w:val="auto"/>
            <w:lang w:val="ro-MD"/>
          </w:rPr>
          <w:t xml:space="preserve">s-au soldat cu </w:t>
        </w:r>
        <w:r w:rsidR="006D5031" w:rsidRPr="009772A3">
          <w:rPr>
            <w:i/>
            <w:color w:val="auto"/>
            <w:lang w:val="ro-MD"/>
          </w:rPr>
          <w:t>litigii și pornirea cauzei penale</w:t>
        </w:r>
        <w:r w:rsidR="00E35A1D" w:rsidRPr="009772A3">
          <w:rPr>
            <w:i/>
            <w:color w:val="auto"/>
            <w:lang w:val="ro-MD"/>
          </w:rPr>
          <w:t>.</w:t>
        </w:r>
        <w:bookmarkEnd w:id="54"/>
        <w:bookmarkEnd w:id="55"/>
        <w:bookmarkEnd w:id="56"/>
        <w:bookmarkEnd w:id="57"/>
      </w:hyperlink>
    </w:p>
    <w:p w14:paraId="64157514" w14:textId="4303367C" w:rsidR="006B5ADC" w:rsidRPr="009772A3" w:rsidRDefault="006B5ADC" w:rsidP="004F4116">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sz w:val="24"/>
          <w:szCs w:val="24"/>
          <w:lang w:val="ro-MD"/>
        </w:rPr>
        <w:tab/>
      </w:r>
      <w:r w:rsidRPr="009772A3">
        <w:rPr>
          <w:rFonts w:asciiTheme="majorHAnsi" w:hAnsiTheme="majorHAnsi" w:cstheme="majorHAnsi"/>
          <w:i/>
          <w:sz w:val="24"/>
          <w:szCs w:val="24"/>
          <w:lang w:val="ro-MD"/>
        </w:rPr>
        <w:t xml:space="preserve">Investițiile pentru reparația capitală a imobilului din complexul ÎS </w:t>
      </w:r>
      <w:r w:rsidR="00426FCF" w:rsidRPr="009772A3">
        <w:rPr>
          <w:rFonts w:asciiTheme="majorHAnsi" w:hAnsiTheme="majorHAnsi" w:cstheme="majorHAnsi"/>
          <w:i/>
          <w:sz w:val="24"/>
          <w:szCs w:val="24"/>
          <w:lang w:val="ro-MD"/>
        </w:rPr>
        <w:t>„</w:t>
      </w:r>
      <w:r w:rsidRPr="009772A3">
        <w:rPr>
          <w:rFonts w:asciiTheme="majorHAnsi" w:hAnsiTheme="majorHAnsi" w:cstheme="majorHAnsi"/>
          <w:i/>
          <w:sz w:val="24"/>
          <w:szCs w:val="24"/>
          <w:lang w:val="ro-MD"/>
        </w:rPr>
        <w:t>Pensiunea Holercani” în valoare de 7.013,6 mii lei s-au efectuat cu abateri de la cadrul de reglementare aferent, precum și fără o justificare a necesității închirierii acestuia.</w:t>
      </w:r>
      <w:r w:rsidR="006D5031" w:rsidRPr="009772A3">
        <w:rPr>
          <w:rFonts w:asciiTheme="majorHAnsi" w:hAnsiTheme="majorHAnsi" w:cstheme="majorHAnsi"/>
          <w:i/>
          <w:sz w:val="24"/>
          <w:szCs w:val="24"/>
          <w:lang w:val="ro-MD"/>
        </w:rPr>
        <w:t xml:space="preserve"> </w:t>
      </w:r>
    </w:p>
    <w:p w14:paraId="2531303F" w14:textId="4DC535C4" w:rsidR="00440715" w:rsidRPr="009772A3" w:rsidRDefault="00E35A1D" w:rsidP="00CC122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În anul 2017</w:t>
      </w:r>
      <w:r w:rsidR="00CC1224" w:rsidRPr="009772A3">
        <w:rPr>
          <w:rFonts w:asciiTheme="majorHAnsi" w:hAnsiTheme="majorHAnsi" w:cstheme="majorHAnsi"/>
          <w:sz w:val="24"/>
          <w:szCs w:val="24"/>
          <w:lang w:val="ro-MD"/>
        </w:rPr>
        <w:t>,</w:t>
      </w:r>
      <w:r w:rsidR="005D5D16" w:rsidRPr="009772A3">
        <w:rPr>
          <w:rFonts w:asciiTheme="majorHAnsi" w:hAnsiTheme="majorHAnsi" w:cstheme="majorHAnsi"/>
          <w:sz w:val="24"/>
          <w:szCs w:val="24"/>
          <w:lang w:val="ro-MD"/>
        </w:rPr>
        <w:t xml:space="preserve"> SRL </w:t>
      </w:r>
      <w:r w:rsidRPr="009772A3">
        <w:rPr>
          <w:rFonts w:asciiTheme="majorHAnsi" w:hAnsiTheme="majorHAnsi" w:cstheme="majorHAnsi"/>
          <w:sz w:val="24"/>
          <w:szCs w:val="24"/>
          <w:lang w:val="ro-MD"/>
        </w:rPr>
        <w:t xml:space="preserve">Ialoveni-gaz a încheiat cu Comitetul sindical al SA Moldovagaz un contract de sublocațiune a edificiului din complexul balneo-sanatorial ÎS </w:t>
      </w:r>
      <w:r w:rsidR="00426FC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Pensiunea din Holercani”,</w:t>
      </w:r>
      <w:r w:rsidR="00440715" w:rsidRPr="009772A3">
        <w:rPr>
          <w:rFonts w:asciiTheme="majorHAnsi" w:hAnsiTheme="majorHAnsi" w:cstheme="majorHAnsi"/>
          <w:sz w:val="24"/>
          <w:szCs w:val="24"/>
          <w:lang w:val="ro-MD"/>
        </w:rPr>
        <w:t xml:space="preserve"> prin care s-a obligat să asigure întreținerea, reutilarea și reparația bunurilor închiriate. </w:t>
      </w:r>
      <w:r w:rsidR="004B1A39" w:rsidRPr="009772A3">
        <w:rPr>
          <w:rFonts w:asciiTheme="majorHAnsi" w:hAnsiTheme="majorHAnsi" w:cstheme="majorHAnsi"/>
          <w:sz w:val="24"/>
          <w:szCs w:val="24"/>
          <w:lang w:val="ro-MD"/>
        </w:rPr>
        <w:t>Reieșind din obligațiunile asumate, în</w:t>
      </w:r>
      <w:r w:rsidR="00075168" w:rsidRPr="009772A3">
        <w:rPr>
          <w:rFonts w:asciiTheme="majorHAnsi" w:hAnsiTheme="majorHAnsi" w:cstheme="majorHAnsi"/>
          <w:sz w:val="24"/>
          <w:szCs w:val="24"/>
          <w:lang w:val="ro-MD"/>
        </w:rPr>
        <w:t>cepând cu</w:t>
      </w:r>
      <w:r w:rsidR="004B1A39" w:rsidRPr="009772A3">
        <w:rPr>
          <w:rFonts w:asciiTheme="majorHAnsi" w:hAnsiTheme="majorHAnsi" w:cstheme="majorHAnsi"/>
          <w:sz w:val="24"/>
          <w:szCs w:val="24"/>
          <w:lang w:val="ro-MD"/>
        </w:rPr>
        <w:t xml:space="preserve"> anul 2018, întreprinderea a procurat </w:t>
      </w:r>
      <w:r w:rsidR="00031244" w:rsidRPr="009772A3">
        <w:rPr>
          <w:rFonts w:asciiTheme="majorHAnsi" w:hAnsiTheme="majorHAnsi" w:cstheme="majorHAnsi"/>
          <w:sz w:val="24"/>
          <w:szCs w:val="24"/>
          <w:lang w:val="ro-MD"/>
        </w:rPr>
        <w:t xml:space="preserve">lucrări de reparație capitală în valoare totală </w:t>
      </w:r>
      <w:r w:rsidR="00426FCF" w:rsidRPr="009772A3">
        <w:rPr>
          <w:rFonts w:asciiTheme="majorHAnsi" w:hAnsiTheme="majorHAnsi" w:cstheme="majorHAnsi"/>
          <w:sz w:val="24"/>
          <w:szCs w:val="24"/>
          <w:lang w:val="ro-MD"/>
        </w:rPr>
        <w:t xml:space="preserve">de </w:t>
      </w:r>
      <w:r w:rsidR="00031244" w:rsidRPr="009772A3">
        <w:rPr>
          <w:rFonts w:asciiTheme="majorHAnsi" w:hAnsiTheme="majorHAnsi" w:cstheme="majorHAnsi"/>
          <w:sz w:val="24"/>
          <w:szCs w:val="24"/>
          <w:lang w:val="ro-MD"/>
        </w:rPr>
        <w:t xml:space="preserve">6.116,8 mii lei, precum și </w:t>
      </w:r>
      <w:r w:rsidR="004B1A39" w:rsidRPr="009772A3">
        <w:rPr>
          <w:rFonts w:asciiTheme="majorHAnsi" w:hAnsiTheme="majorHAnsi" w:cstheme="majorHAnsi"/>
          <w:sz w:val="24"/>
          <w:szCs w:val="24"/>
          <w:lang w:val="ro-MD"/>
        </w:rPr>
        <w:t>de la diferiți furnizori valori materiale și servicii în sumă totală de 896,8 mii lei</w:t>
      </w:r>
      <w:r w:rsidR="00426FCF" w:rsidRPr="009772A3">
        <w:rPr>
          <w:rFonts w:asciiTheme="majorHAnsi" w:hAnsiTheme="majorHAnsi" w:cstheme="majorHAnsi"/>
          <w:sz w:val="24"/>
          <w:szCs w:val="24"/>
          <w:lang w:val="ro-MD"/>
        </w:rPr>
        <w:t>,</w:t>
      </w:r>
      <w:r w:rsidR="004B1A39" w:rsidRPr="009772A3">
        <w:rPr>
          <w:rFonts w:asciiTheme="majorHAnsi" w:hAnsiTheme="majorHAnsi" w:cstheme="majorHAnsi"/>
          <w:sz w:val="24"/>
          <w:szCs w:val="24"/>
          <w:lang w:val="ro-MD"/>
        </w:rPr>
        <w:t xml:space="preserve"> destinate dotării și amenajării </w:t>
      </w:r>
      <w:r w:rsidR="00031244" w:rsidRPr="009772A3">
        <w:rPr>
          <w:rFonts w:asciiTheme="majorHAnsi" w:hAnsiTheme="majorHAnsi" w:cstheme="majorHAnsi"/>
          <w:sz w:val="24"/>
          <w:szCs w:val="24"/>
          <w:lang w:val="ro-MD"/>
        </w:rPr>
        <w:t xml:space="preserve">edificiului </w:t>
      </w:r>
      <w:r w:rsidR="004B1A39" w:rsidRPr="009772A3">
        <w:rPr>
          <w:rFonts w:asciiTheme="majorHAnsi" w:hAnsiTheme="majorHAnsi" w:cstheme="majorHAnsi"/>
          <w:sz w:val="24"/>
          <w:szCs w:val="24"/>
          <w:lang w:val="ro-MD"/>
        </w:rPr>
        <w:t>închirat.</w:t>
      </w:r>
      <w:r w:rsidR="00075168" w:rsidRPr="009772A3">
        <w:rPr>
          <w:rFonts w:asciiTheme="majorHAnsi" w:hAnsiTheme="majorHAnsi" w:cstheme="majorHAnsi"/>
          <w:sz w:val="24"/>
          <w:szCs w:val="24"/>
          <w:lang w:val="ro-MD"/>
        </w:rPr>
        <w:t xml:space="preserve"> </w:t>
      </w:r>
      <w:r w:rsidR="00426FCF" w:rsidRPr="009772A3">
        <w:rPr>
          <w:rFonts w:asciiTheme="majorHAnsi" w:hAnsiTheme="majorHAnsi" w:cstheme="majorHAnsi"/>
          <w:sz w:val="24"/>
          <w:szCs w:val="24"/>
          <w:lang w:val="ro-MD"/>
        </w:rPr>
        <w:t>Ca u</w:t>
      </w:r>
      <w:r w:rsidR="00075168" w:rsidRPr="009772A3">
        <w:rPr>
          <w:rFonts w:asciiTheme="majorHAnsi" w:hAnsiTheme="majorHAnsi" w:cstheme="majorHAnsi"/>
          <w:sz w:val="24"/>
          <w:szCs w:val="24"/>
          <w:lang w:val="ro-MD"/>
        </w:rPr>
        <w:t xml:space="preserve">rmare </w:t>
      </w:r>
      <w:r w:rsidR="00426FCF" w:rsidRPr="009772A3">
        <w:rPr>
          <w:rFonts w:asciiTheme="majorHAnsi" w:hAnsiTheme="majorHAnsi" w:cstheme="majorHAnsi"/>
          <w:sz w:val="24"/>
          <w:szCs w:val="24"/>
          <w:lang w:val="ro-MD"/>
        </w:rPr>
        <w:t xml:space="preserve">a </w:t>
      </w:r>
      <w:r w:rsidR="00075168" w:rsidRPr="009772A3">
        <w:rPr>
          <w:rFonts w:asciiTheme="majorHAnsi" w:hAnsiTheme="majorHAnsi" w:cstheme="majorHAnsi"/>
          <w:sz w:val="24"/>
          <w:szCs w:val="24"/>
          <w:lang w:val="ro-MD"/>
        </w:rPr>
        <w:t>examinării modului de închiriere, întreținere și reparție a bunurilor din complexul</w:t>
      </w:r>
      <w:r w:rsidR="00237A60" w:rsidRPr="009772A3">
        <w:rPr>
          <w:rFonts w:asciiTheme="majorHAnsi" w:hAnsiTheme="majorHAnsi" w:cstheme="majorHAnsi"/>
          <w:sz w:val="24"/>
          <w:szCs w:val="24"/>
          <w:lang w:val="ro-MD"/>
        </w:rPr>
        <w:t xml:space="preserve"> ÎS </w:t>
      </w:r>
      <w:r w:rsidR="00426FCF" w:rsidRPr="009772A3">
        <w:rPr>
          <w:rFonts w:asciiTheme="majorHAnsi" w:hAnsiTheme="majorHAnsi" w:cstheme="majorHAnsi"/>
          <w:sz w:val="24"/>
          <w:szCs w:val="24"/>
          <w:lang w:val="ro-MD"/>
        </w:rPr>
        <w:t>„</w:t>
      </w:r>
      <w:r w:rsidR="00237A60" w:rsidRPr="009772A3">
        <w:rPr>
          <w:rFonts w:asciiTheme="majorHAnsi" w:hAnsiTheme="majorHAnsi" w:cstheme="majorHAnsi"/>
          <w:sz w:val="24"/>
          <w:szCs w:val="24"/>
          <w:lang w:val="ro-MD"/>
        </w:rPr>
        <w:t xml:space="preserve">Pensiunea </w:t>
      </w:r>
      <w:r w:rsidR="00075168" w:rsidRPr="009772A3">
        <w:rPr>
          <w:rFonts w:asciiTheme="majorHAnsi" w:hAnsiTheme="majorHAnsi" w:cstheme="majorHAnsi"/>
          <w:sz w:val="24"/>
          <w:szCs w:val="24"/>
          <w:lang w:val="ro-MD"/>
        </w:rPr>
        <w:t>Holercani”</w:t>
      </w:r>
      <w:r w:rsidR="00426FCF" w:rsidRPr="009772A3">
        <w:rPr>
          <w:rFonts w:asciiTheme="majorHAnsi" w:hAnsiTheme="majorHAnsi" w:cstheme="majorHAnsi"/>
          <w:sz w:val="24"/>
          <w:szCs w:val="24"/>
          <w:lang w:val="ro-MD"/>
        </w:rPr>
        <w:t>,</w:t>
      </w:r>
      <w:r w:rsidR="00075168" w:rsidRPr="009772A3">
        <w:rPr>
          <w:rFonts w:asciiTheme="majorHAnsi" w:hAnsiTheme="majorHAnsi" w:cstheme="majorHAnsi"/>
          <w:sz w:val="24"/>
          <w:szCs w:val="24"/>
          <w:lang w:val="ro-MD"/>
        </w:rPr>
        <w:t xml:space="preserve"> s-a</w:t>
      </w:r>
      <w:r w:rsidR="00426FCF" w:rsidRPr="009772A3">
        <w:rPr>
          <w:rFonts w:asciiTheme="majorHAnsi" w:hAnsiTheme="majorHAnsi" w:cstheme="majorHAnsi"/>
          <w:sz w:val="24"/>
          <w:szCs w:val="24"/>
          <w:lang w:val="ro-MD"/>
        </w:rPr>
        <w:t>u</w:t>
      </w:r>
      <w:r w:rsidR="00075168" w:rsidRPr="009772A3">
        <w:rPr>
          <w:rFonts w:asciiTheme="majorHAnsi" w:hAnsiTheme="majorHAnsi" w:cstheme="majorHAnsi"/>
          <w:sz w:val="24"/>
          <w:szCs w:val="24"/>
          <w:lang w:val="ro-MD"/>
        </w:rPr>
        <w:t xml:space="preserve"> constatat următoarele:</w:t>
      </w:r>
    </w:p>
    <w:p w14:paraId="022F1838" w14:textId="1CE9F362" w:rsidR="00E94DF3" w:rsidRPr="009772A3" w:rsidRDefault="00E7498C"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w:t>
      </w:r>
      <w:r w:rsidR="00E35A1D" w:rsidRPr="009772A3">
        <w:rPr>
          <w:rFonts w:asciiTheme="majorHAnsi" w:hAnsiTheme="majorHAnsi" w:cstheme="majorHAnsi"/>
          <w:sz w:val="24"/>
          <w:szCs w:val="24"/>
          <w:lang w:val="ro-MD"/>
        </w:rPr>
        <w:t xml:space="preserve">ipsa </w:t>
      </w:r>
      <w:r w:rsidR="00426FCF" w:rsidRPr="009772A3">
        <w:rPr>
          <w:rFonts w:asciiTheme="majorHAnsi" w:hAnsiTheme="majorHAnsi" w:cstheme="majorHAnsi"/>
          <w:sz w:val="24"/>
          <w:szCs w:val="24"/>
          <w:lang w:val="ro-MD"/>
        </w:rPr>
        <w:t xml:space="preserve">de </w:t>
      </w:r>
      <w:r w:rsidR="00E35A1D" w:rsidRPr="009772A3">
        <w:rPr>
          <w:rFonts w:asciiTheme="majorHAnsi" w:hAnsiTheme="majorHAnsi" w:cstheme="majorHAnsi"/>
          <w:sz w:val="24"/>
          <w:szCs w:val="24"/>
          <w:lang w:val="ro-MD"/>
        </w:rPr>
        <w:t>fundament</w:t>
      </w:r>
      <w:r w:rsidR="00426FCF" w:rsidRPr="009772A3">
        <w:rPr>
          <w:rFonts w:asciiTheme="majorHAnsi" w:hAnsiTheme="majorHAnsi" w:cstheme="majorHAnsi"/>
          <w:sz w:val="24"/>
          <w:szCs w:val="24"/>
          <w:lang w:val="ro-MD"/>
        </w:rPr>
        <w:t>are a</w:t>
      </w:r>
      <w:r w:rsidR="00E35A1D" w:rsidRPr="009772A3">
        <w:rPr>
          <w:rFonts w:asciiTheme="majorHAnsi" w:hAnsiTheme="majorHAnsi" w:cstheme="majorHAnsi"/>
          <w:sz w:val="24"/>
          <w:szCs w:val="24"/>
          <w:lang w:val="ro-MD"/>
        </w:rPr>
        <w:t xml:space="preserve"> necesității </w:t>
      </w:r>
      <w:r w:rsidR="00426FCF" w:rsidRPr="009772A3">
        <w:rPr>
          <w:rFonts w:asciiTheme="majorHAnsi" w:hAnsiTheme="majorHAnsi" w:cstheme="majorHAnsi"/>
          <w:sz w:val="24"/>
          <w:szCs w:val="24"/>
          <w:lang w:val="ro-MD"/>
        </w:rPr>
        <w:t xml:space="preserve">de </w:t>
      </w:r>
      <w:r w:rsidR="00E35A1D" w:rsidRPr="009772A3">
        <w:rPr>
          <w:rFonts w:asciiTheme="majorHAnsi" w:hAnsiTheme="majorHAnsi" w:cstheme="majorHAnsi"/>
          <w:sz w:val="24"/>
          <w:szCs w:val="24"/>
          <w:lang w:val="ro-MD"/>
        </w:rPr>
        <w:t>închirier</w:t>
      </w:r>
      <w:r w:rsidR="00426FCF" w:rsidRPr="009772A3">
        <w:rPr>
          <w:rFonts w:asciiTheme="majorHAnsi" w:hAnsiTheme="majorHAnsi" w:cstheme="majorHAnsi"/>
          <w:sz w:val="24"/>
          <w:szCs w:val="24"/>
          <w:lang w:val="ro-MD"/>
        </w:rPr>
        <w:t>e</w:t>
      </w:r>
      <w:r w:rsidR="00E35A1D" w:rsidRPr="009772A3">
        <w:rPr>
          <w:rFonts w:asciiTheme="majorHAnsi" w:hAnsiTheme="majorHAnsi" w:cstheme="majorHAnsi"/>
          <w:sz w:val="24"/>
          <w:szCs w:val="24"/>
          <w:lang w:val="ro-MD"/>
        </w:rPr>
        <w:t xml:space="preserve"> și </w:t>
      </w:r>
      <w:r w:rsidR="00426FCF" w:rsidRPr="009772A3">
        <w:rPr>
          <w:rFonts w:asciiTheme="majorHAnsi" w:hAnsiTheme="majorHAnsi" w:cstheme="majorHAnsi"/>
          <w:sz w:val="24"/>
          <w:szCs w:val="24"/>
          <w:lang w:val="ro-MD"/>
        </w:rPr>
        <w:t xml:space="preserve">a </w:t>
      </w:r>
      <w:r w:rsidR="00E35A1D" w:rsidRPr="009772A3">
        <w:rPr>
          <w:rFonts w:asciiTheme="majorHAnsi" w:hAnsiTheme="majorHAnsi" w:cstheme="majorHAnsi"/>
          <w:sz w:val="24"/>
          <w:szCs w:val="24"/>
          <w:lang w:val="ro-MD"/>
        </w:rPr>
        <w:t>destinației utilizării obiectului î</w:t>
      </w:r>
      <w:r w:rsidR="00E94DF3" w:rsidRPr="009772A3">
        <w:rPr>
          <w:rFonts w:asciiTheme="majorHAnsi" w:hAnsiTheme="majorHAnsi" w:cstheme="majorHAnsi"/>
          <w:sz w:val="24"/>
          <w:szCs w:val="24"/>
          <w:lang w:val="ro-MD"/>
        </w:rPr>
        <w:t>n activitatea SRL Ialoveni-gaz</w:t>
      </w:r>
      <w:r w:rsidR="00E35A1D" w:rsidRPr="009772A3">
        <w:rPr>
          <w:rFonts w:asciiTheme="majorHAnsi" w:hAnsiTheme="majorHAnsi" w:cstheme="majorHAnsi"/>
          <w:sz w:val="24"/>
          <w:szCs w:val="24"/>
          <w:lang w:val="ro-MD"/>
        </w:rPr>
        <w:t xml:space="preserve">, </w:t>
      </w:r>
      <w:r w:rsidR="00075168" w:rsidRPr="009772A3">
        <w:rPr>
          <w:rFonts w:asciiTheme="majorHAnsi" w:hAnsiTheme="majorHAnsi" w:cstheme="majorHAnsi"/>
          <w:sz w:val="24"/>
          <w:szCs w:val="24"/>
          <w:lang w:val="ro-MD"/>
        </w:rPr>
        <w:t xml:space="preserve">a condiționat </w:t>
      </w:r>
      <w:r w:rsidR="00E94DF3" w:rsidRPr="009772A3">
        <w:rPr>
          <w:rFonts w:asciiTheme="majorHAnsi" w:hAnsiTheme="majorHAnsi" w:cstheme="majorHAnsi"/>
          <w:sz w:val="24"/>
          <w:szCs w:val="24"/>
          <w:lang w:val="ro-MD"/>
        </w:rPr>
        <w:t>neutilizarea imobilului de către întreprindere</w:t>
      </w:r>
      <w:r w:rsidR="006C3227" w:rsidRPr="009772A3">
        <w:rPr>
          <w:rFonts w:asciiTheme="majorHAnsi" w:hAnsiTheme="majorHAnsi" w:cstheme="majorHAnsi"/>
          <w:sz w:val="24"/>
          <w:szCs w:val="24"/>
          <w:lang w:val="ro-MD"/>
        </w:rPr>
        <w:t xml:space="preserve"> și angajații acesteia</w:t>
      </w:r>
      <w:r w:rsidR="00E94DF3" w:rsidRPr="009772A3">
        <w:rPr>
          <w:rFonts w:asciiTheme="majorHAnsi" w:hAnsiTheme="majorHAnsi" w:cstheme="majorHAnsi"/>
          <w:sz w:val="24"/>
          <w:szCs w:val="24"/>
          <w:lang w:val="ro-MD"/>
        </w:rPr>
        <w:t xml:space="preserve"> conform destinației. </w:t>
      </w:r>
      <w:r w:rsidR="006C3227" w:rsidRPr="009772A3">
        <w:rPr>
          <w:rFonts w:asciiTheme="majorHAnsi" w:hAnsiTheme="majorHAnsi" w:cstheme="majorHAnsi"/>
          <w:sz w:val="24"/>
          <w:szCs w:val="24"/>
          <w:lang w:val="ro-MD"/>
        </w:rPr>
        <w:t>Mai mult</w:t>
      </w:r>
      <w:r w:rsidR="00031244" w:rsidRPr="009772A3">
        <w:rPr>
          <w:rFonts w:asciiTheme="majorHAnsi" w:hAnsiTheme="majorHAnsi" w:cstheme="majorHAnsi"/>
          <w:sz w:val="24"/>
          <w:szCs w:val="24"/>
          <w:lang w:val="ro-MD"/>
        </w:rPr>
        <w:t xml:space="preserve"> </w:t>
      </w:r>
      <w:r w:rsidR="00426FCF" w:rsidRPr="009772A3">
        <w:rPr>
          <w:rFonts w:asciiTheme="majorHAnsi" w:hAnsiTheme="majorHAnsi" w:cstheme="majorHAnsi"/>
          <w:sz w:val="24"/>
          <w:szCs w:val="24"/>
          <w:lang w:val="ro-MD"/>
        </w:rPr>
        <w:t>decât</w:t>
      </w:r>
      <w:r w:rsidR="00031244" w:rsidRPr="009772A3">
        <w:rPr>
          <w:rFonts w:asciiTheme="majorHAnsi" w:hAnsiTheme="majorHAnsi" w:cstheme="majorHAnsi"/>
          <w:sz w:val="24"/>
          <w:szCs w:val="24"/>
          <w:lang w:val="ro-MD"/>
        </w:rPr>
        <w:t xml:space="preserve"> at</w:t>
      </w:r>
      <w:r w:rsidR="00426FCF" w:rsidRPr="009772A3">
        <w:rPr>
          <w:rFonts w:asciiTheme="majorHAnsi" w:hAnsiTheme="majorHAnsi" w:cstheme="majorHAnsi"/>
          <w:sz w:val="24"/>
          <w:szCs w:val="24"/>
          <w:lang w:val="ro-MD"/>
        </w:rPr>
        <w:t>â</w:t>
      </w:r>
      <w:r w:rsidR="00031244" w:rsidRPr="009772A3">
        <w:rPr>
          <w:rFonts w:asciiTheme="majorHAnsi" w:hAnsiTheme="majorHAnsi" w:cstheme="majorHAnsi"/>
          <w:sz w:val="24"/>
          <w:szCs w:val="24"/>
          <w:lang w:val="ro-MD"/>
        </w:rPr>
        <w:t>t</w:t>
      </w:r>
      <w:r w:rsidR="006C3227" w:rsidRPr="009772A3">
        <w:rPr>
          <w:rFonts w:asciiTheme="majorHAnsi" w:hAnsiTheme="majorHAnsi" w:cstheme="majorHAnsi"/>
          <w:sz w:val="24"/>
          <w:szCs w:val="24"/>
          <w:lang w:val="ro-MD"/>
        </w:rPr>
        <w:t>,</w:t>
      </w:r>
      <w:r w:rsidR="00031244" w:rsidRPr="009772A3">
        <w:rPr>
          <w:rFonts w:asciiTheme="majorHAnsi" w:hAnsiTheme="majorHAnsi" w:cstheme="majorHAnsi"/>
          <w:sz w:val="24"/>
          <w:szCs w:val="24"/>
          <w:lang w:val="ro-MD"/>
        </w:rPr>
        <w:t xml:space="preserve"> la momentul efectuării auditului</w:t>
      </w:r>
      <w:r w:rsidR="006C3227" w:rsidRPr="009772A3">
        <w:rPr>
          <w:rFonts w:asciiTheme="majorHAnsi" w:hAnsiTheme="majorHAnsi" w:cstheme="majorHAnsi"/>
          <w:sz w:val="24"/>
          <w:szCs w:val="24"/>
          <w:lang w:val="ro-MD"/>
        </w:rPr>
        <w:t xml:space="preserve"> </w:t>
      </w:r>
      <w:r w:rsidR="00E94DF3" w:rsidRPr="009772A3">
        <w:rPr>
          <w:rFonts w:asciiTheme="majorHAnsi" w:hAnsiTheme="majorHAnsi" w:cstheme="majorHAnsi"/>
          <w:sz w:val="24"/>
          <w:szCs w:val="24"/>
          <w:lang w:val="ro-MD"/>
        </w:rPr>
        <w:t>SRL Ialoveni</w:t>
      </w:r>
      <w:r w:rsidR="00426FCF" w:rsidRPr="009772A3">
        <w:rPr>
          <w:rFonts w:asciiTheme="majorHAnsi" w:hAnsiTheme="majorHAnsi" w:cstheme="majorHAnsi"/>
          <w:sz w:val="24"/>
          <w:szCs w:val="24"/>
          <w:lang w:val="ro-MD"/>
        </w:rPr>
        <w:t>-</w:t>
      </w:r>
      <w:r w:rsidR="00E94DF3" w:rsidRPr="009772A3">
        <w:rPr>
          <w:rFonts w:asciiTheme="majorHAnsi" w:hAnsiTheme="majorHAnsi" w:cstheme="majorHAnsi"/>
          <w:sz w:val="24"/>
          <w:szCs w:val="24"/>
          <w:lang w:val="ro-MD"/>
        </w:rPr>
        <w:t xml:space="preserve">gaz </w:t>
      </w:r>
      <w:r w:rsidR="00426FCF" w:rsidRPr="009772A3">
        <w:rPr>
          <w:rFonts w:asciiTheme="majorHAnsi" w:hAnsiTheme="majorHAnsi" w:cstheme="majorHAnsi"/>
          <w:sz w:val="24"/>
          <w:szCs w:val="24"/>
          <w:lang w:val="ro-MD"/>
        </w:rPr>
        <w:t xml:space="preserve">menționa </w:t>
      </w:r>
      <w:r w:rsidR="001571DE" w:rsidRPr="009772A3">
        <w:rPr>
          <w:rFonts w:asciiTheme="majorHAnsi" w:hAnsiTheme="majorHAnsi" w:cstheme="majorHAnsi"/>
          <w:sz w:val="24"/>
          <w:szCs w:val="24"/>
          <w:lang w:val="ro-MD"/>
        </w:rPr>
        <w:t>că nu dispune de acces fizic și liber la imobilul închiriat</w:t>
      </w:r>
      <w:r w:rsidR="00FA082E" w:rsidRPr="009772A3">
        <w:rPr>
          <w:rStyle w:val="FootnoteReference"/>
          <w:rFonts w:asciiTheme="majorHAnsi" w:hAnsiTheme="majorHAnsi" w:cstheme="majorHAnsi"/>
          <w:sz w:val="24"/>
          <w:szCs w:val="24"/>
          <w:lang w:val="ro-MD"/>
        </w:rPr>
        <w:footnoteReference w:id="59"/>
      </w:r>
      <w:r w:rsidR="001571DE" w:rsidRPr="009772A3">
        <w:rPr>
          <w:rFonts w:asciiTheme="majorHAnsi" w:hAnsiTheme="majorHAnsi" w:cstheme="majorHAnsi"/>
          <w:sz w:val="24"/>
          <w:szCs w:val="24"/>
          <w:lang w:val="ro-MD"/>
        </w:rPr>
        <w:t xml:space="preserve">, </w:t>
      </w:r>
      <w:r w:rsidR="00031244" w:rsidRPr="009772A3">
        <w:rPr>
          <w:rFonts w:asciiTheme="majorHAnsi" w:hAnsiTheme="majorHAnsi" w:cstheme="majorHAnsi"/>
          <w:sz w:val="24"/>
          <w:szCs w:val="24"/>
          <w:lang w:val="ro-MD"/>
        </w:rPr>
        <w:t>acestea urm</w:t>
      </w:r>
      <w:r w:rsidR="00426FCF" w:rsidRPr="009772A3">
        <w:rPr>
          <w:rFonts w:asciiTheme="majorHAnsi" w:hAnsiTheme="majorHAnsi" w:cstheme="majorHAnsi"/>
          <w:sz w:val="24"/>
          <w:szCs w:val="24"/>
          <w:lang w:val="ro-MD"/>
        </w:rPr>
        <w:t>â</w:t>
      </w:r>
      <w:r w:rsidR="00031244" w:rsidRPr="009772A3">
        <w:rPr>
          <w:rFonts w:asciiTheme="majorHAnsi" w:hAnsiTheme="majorHAnsi" w:cstheme="majorHAnsi"/>
          <w:sz w:val="24"/>
          <w:szCs w:val="24"/>
          <w:lang w:val="ro-MD"/>
        </w:rPr>
        <w:t>nd a fi asigurate de SA Moldovagaz</w:t>
      </w:r>
      <w:r w:rsidR="001571DE" w:rsidRPr="009772A3">
        <w:rPr>
          <w:rFonts w:asciiTheme="majorHAnsi" w:hAnsiTheme="majorHAnsi" w:cstheme="majorHAnsi"/>
          <w:sz w:val="24"/>
          <w:szCs w:val="24"/>
          <w:lang w:val="ro-MD"/>
        </w:rPr>
        <w:t xml:space="preserve">; </w:t>
      </w:r>
    </w:p>
    <w:p w14:paraId="09C7C01B" w14:textId="40C701AF" w:rsidR="00E35A1D" w:rsidRPr="009772A3" w:rsidRDefault="0047102D"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procurarea valorilor materiale și serviciilor destinate dotării și amenajării </w:t>
      </w:r>
      <w:r w:rsidR="00363EE8" w:rsidRPr="009772A3">
        <w:rPr>
          <w:rFonts w:asciiTheme="majorHAnsi" w:hAnsiTheme="majorHAnsi" w:cstheme="majorHAnsi"/>
          <w:sz w:val="24"/>
          <w:szCs w:val="24"/>
          <w:lang w:val="ro-MD"/>
        </w:rPr>
        <w:t xml:space="preserve">edificiului </w:t>
      </w:r>
      <w:r w:rsidRPr="009772A3">
        <w:rPr>
          <w:rFonts w:asciiTheme="majorHAnsi" w:hAnsiTheme="majorHAnsi" w:cstheme="majorHAnsi"/>
          <w:sz w:val="24"/>
          <w:szCs w:val="24"/>
          <w:lang w:val="ro-MD"/>
        </w:rPr>
        <w:t xml:space="preserve">închirat în sumă totală de 896,8 mii lei, precum și </w:t>
      </w:r>
      <w:r w:rsidR="00D83214"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lucrărilor de reparație capitală în valoare totală </w:t>
      </w:r>
      <w:r w:rsidR="00D83214"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6.116,8 mii lei în lipsa planificării corespunzătoare a acestora</w:t>
      </w:r>
      <w:r w:rsidR="001D07CF" w:rsidRPr="009772A3">
        <w:rPr>
          <w:rStyle w:val="FootnoteReference"/>
          <w:rFonts w:asciiTheme="majorHAnsi" w:hAnsiTheme="majorHAnsi" w:cstheme="majorHAnsi"/>
          <w:sz w:val="24"/>
          <w:szCs w:val="24"/>
          <w:lang w:val="ro-MD"/>
        </w:rPr>
        <w:footnoteReference w:id="60"/>
      </w:r>
      <w:r w:rsidR="00E35A1D" w:rsidRPr="009772A3">
        <w:rPr>
          <w:rFonts w:asciiTheme="majorHAnsi" w:hAnsiTheme="majorHAnsi" w:cstheme="majorHAnsi"/>
          <w:sz w:val="24"/>
          <w:szCs w:val="24"/>
          <w:lang w:val="ro-MD"/>
        </w:rPr>
        <w:t>;</w:t>
      </w:r>
    </w:p>
    <w:p w14:paraId="1BEB3E6E" w14:textId="1D7AAF80" w:rsidR="00B2599E" w:rsidRPr="009772A3" w:rsidRDefault="00557D39"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suportarea </w:t>
      </w:r>
      <w:r w:rsidR="00B2599E" w:rsidRPr="009772A3">
        <w:rPr>
          <w:rFonts w:asciiTheme="majorHAnsi" w:hAnsiTheme="majorHAnsi" w:cstheme="majorHAnsi"/>
          <w:sz w:val="24"/>
          <w:szCs w:val="24"/>
          <w:lang w:val="ro-MD"/>
        </w:rPr>
        <w:t xml:space="preserve">din bugetul </w:t>
      </w:r>
      <w:r w:rsidRPr="009772A3">
        <w:rPr>
          <w:rFonts w:asciiTheme="majorHAnsi" w:hAnsiTheme="majorHAnsi" w:cstheme="majorHAnsi"/>
          <w:sz w:val="24"/>
          <w:szCs w:val="24"/>
          <w:lang w:val="ro-MD"/>
        </w:rPr>
        <w:t xml:space="preserve">SRL Ialoveni-gaz a </w:t>
      </w:r>
      <w:r w:rsidR="00DB6723">
        <w:rPr>
          <w:rFonts w:asciiTheme="majorHAnsi" w:hAnsiTheme="majorHAnsi" w:cstheme="majorHAnsi"/>
          <w:sz w:val="24"/>
          <w:szCs w:val="24"/>
          <w:lang w:val="ro-MD"/>
        </w:rPr>
        <w:t xml:space="preserve">cheltuielilor privind </w:t>
      </w:r>
      <w:r w:rsidRPr="009772A3">
        <w:rPr>
          <w:rFonts w:asciiTheme="majorHAnsi" w:hAnsiTheme="majorHAnsi" w:cstheme="majorHAnsi"/>
          <w:sz w:val="24"/>
          <w:szCs w:val="24"/>
          <w:lang w:val="ro-MD"/>
        </w:rPr>
        <w:t>serviciil</w:t>
      </w:r>
      <w:r w:rsidR="00DB672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comunale (energie electrică, apă, canalizare, gaze naturale, salubrizare) în sumă totală de 85,1 mii lei</w:t>
      </w:r>
      <w:r w:rsidR="00B2599E" w:rsidRPr="009772A3">
        <w:rPr>
          <w:rFonts w:asciiTheme="majorHAnsi" w:hAnsiTheme="majorHAnsi" w:cstheme="majorHAnsi"/>
          <w:sz w:val="24"/>
          <w:szCs w:val="24"/>
          <w:lang w:val="ro-MD"/>
        </w:rPr>
        <w:t>;</w:t>
      </w:r>
    </w:p>
    <w:p w14:paraId="6A50FC64" w14:textId="7959BBA6" w:rsidR="00142C07" w:rsidRPr="009772A3" w:rsidRDefault="00285898"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nedesfășurarea unor concursuri de achiziții a </w:t>
      </w:r>
      <w:r w:rsidR="00D5181B" w:rsidRPr="009772A3">
        <w:rPr>
          <w:rFonts w:asciiTheme="majorHAnsi" w:hAnsiTheme="majorHAnsi" w:cstheme="majorHAnsi"/>
          <w:sz w:val="24"/>
          <w:szCs w:val="24"/>
          <w:lang w:val="ro-MD"/>
        </w:rPr>
        <w:t>l</w:t>
      </w:r>
      <w:r w:rsidR="00E35A1D" w:rsidRPr="009772A3">
        <w:rPr>
          <w:rFonts w:asciiTheme="majorHAnsi" w:hAnsiTheme="majorHAnsi" w:cstheme="majorHAnsi"/>
          <w:sz w:val="24"/>
          <w:szCs w:val="24"/>
          <w:lang w:val="ro-MD"/>
        </w:rPr>
        <w:t>ucrăril</w:t>
      </w:r>
      <w:r w:rsidRPr="009772A3">
        <w:rPr>
          <w:rFonts w:asciiTheme="majorHAnsi" w:hAnsiTheme="majorHAnsi" w:cstheme="majorHAnsi"/>
          <w:sz w:val="24"/>
          <w:szCs w:val="24"/>
          <w:lang w:val="ro-MD"/>
        </w:rPr>
        <w:t xml:space="preserve">or de reparație capitală a imobilului închiriat, în valoare totală de 6.116,8 mii lei, a generat încheierea contractului prin negocieri directe, ceea ce a </w:t>
      </w:r>
      <w:r w:rsidR="00142C07" w:rsidRPr="009772A3">
        <w:rPr>
          <w:rFonts w:asciiTheme="majorHAnsi" w:hAnsiTheme="majorHAnsi" w:cstheme="majorHAnsi"/>
          <w:sz w:val="24"/>
          <w:szCs w:val="24"/>
          <w:lang w:val="ro-MD"/>
        </w:rPr>
        <w:t>condiționat neasigurarea transparenței</w:t>
      </w:r>
      <w:r w:rsidRPr="009772A3">
        <w:rPr>
          <w:rFonts w:asciiTheme="majorHAnsi" w:hAnsiTheme="majorHAnsi" w:cstheme="majorHAnsi"/>
          <w:sz w:val="24"/>
          <w:szCs w:val="24"/>
          <w:lang w:val="ro-MD"/>
        </w:rPr>
        <w:t xml:space="preserve"> procesului și </w:t>
      </w:r>
      <w:r w:rsidR="00142C07" w:rsidRPr="009772A3">
        <w:rPr>
          <w:rFonts w:asciiTheme="majorHAnsi" w:hAnsiTheme="majorHAnsi" w:cstheme="majorHAnsi"/>
          <w:sz w:val="24"/>
          <w:szCs w:val="24"/>
          <w:lang w:val="ro-MD"/>
        </w:rPr>
        <w:t xml:space="preserve">neobținerea </w:t>
      </w:r>
      <w:r w:rsidRPr="009772A3">
        <w:rPr>
          <w:rFonts w:asciiTheme="majorHAnsi" w:hAnsiTheme="majorHAnsi" w:cstheme="majorHAnsi"/>
          <w:sz w:val="24"/>
          <w:szCs w:val="24"/>
          <w:lang w:val="ro-MD"/>
        </w:rPr>
        <w:t>celor mai bune oferte pentru investiți</w:t>
      </w:r>
      <w:r w:rsidR="00142C07" w:rsidRPr="009772A3">
        <w:rPr>
          <w:rFonts w:asciiTheme="majorHAnsi" w:hAnsiTheme="majorHAnsi" w:cstheme="majorHAnsi"/>
          <w:sz w:val="24"/>
          <w:szCs w:val="24"/>
          <w:lang w:val="ro-MD"/>
        </w:rPr>
        <w:t>a efectuată de întreprindere</w:t>
      </w:r>
      <w:r w:rsidR="00C12793" w:rsidRPr="009772A3">
        <w:rPr>
          <w:rFonts w:asciiTheme="majorHAnsi" w:hAnsiTheme="majorHAnsi" w:cstheme="majorHAnsi"/>
          <w:sz w:val="24"/>
          <w:szCs w:val="24"/>
          <w:lang w:val="ro-MD"/>
        </w:rPr>
        <w:t>. Mai mult decât atât</w:t>
      </w:r>
      <w:r w:rsidR="00142C07" w:rsidRPr="009772A3">
        <w:rPr>
          <w:rFonts w:asciiTheme="majorHAnsi" w:hAnsiTheme="majorHAnsi" w:cstheme="majorHAnsi"/>
          <w:sz w:val="24"/>
          <w:szCs w:val="24"/>
          <w:lang w:val="ro-MD"/>
        </w:rPr>
        <w:t xml:space="preserve">, </w:t>
      </w:r>
      <w:r w:rsidR="00C12793" w:rsidRPr="009772A3">
        <w:rPr>
          <w:rFonts w:asciiTheme="majorHAnsi" w:hAnsiTheme="majorHAnsi" w:cstheme="majorHAnsi"/>
          <w:sz w:val="24"/>
          <w:szCs w:val="24"/>
          <w:lang w:val="ro-MD"/>
        </w:rPr>
        <w:t>până la</w:t>
      </w:r>
      <w:r w:rsidR="00E35A1D" w:rsidRPr="009772A3">
        <w:rPr>
          <w:rFonts w:asciiTheme="majorHAnsi" w:hAnsiTheme="majorHAnsi" w:cstheme="majorHAnsi"/>
          <w:sz w:val="24"/>
          <w:szCs w:val="24"/>
          <w:lang w:val="ro-MD"/>
        </w:rPr>
        <w:t xml:space="preserve"> încheier</w:t>
      </w:r>
      <w:r w:rsidR="00C12793" w:rsidRPr="009772A3">
        <w:rPr>
          <w:rFonts w:asciiTheme="majorHAnsi" w:hAnsiTheme="majorHAnsi" w:cstheme="majorHAnsi"/>
          <w:sz w:val="24"/>
          <w:szCs w:val="24"/>
          <w:lang w:val="ro-MD"/>
        </w:rPr>
        <w:t>ea</w:t>
      </w:r>
      <w:r w:rsidR="00E35A1D" w:rsidRPr="009772A3">
        <w:rPr>
          <w:rFonts w:asciiTheme="majorHAnsi" w:hAnsiTheme="majorHAnsi" w:cstheme="majorHAnsi"/>
          <w:sz w:val="24"/>
          <w:szCs w:val="24"/>
          <w:lang w:val="ro-MD"/>
        </w:rPr>
        <w:t xml:space="preserve"> contractului </w:t>
      </w:r>
      <w:r w:rsidR="00142C07" w:rsidRPr="009772A3">
        <w:rPr>
          <w:rFonts w:asciiTheme="majorHAnsi" w:hAnsiTheme="majorHAnsi" w:cstheme="majorHAnsi"/>
          <w:sz w:val="24"/>
          <w:szCs w:val="24"/>
          <w:lang w:val="ro-MD"/>
        </w:rPr>
        <w:t xml:space="preserve">de achiziții </w:t>
      </w:r>
      <w:r w:rsidR="00E35A1D" w:rsidRPr="009772A3">
        <w:rPr>
          <w:rFonts w:asciiTheme="majorHAnsi" w:hAnsiTheme="majorHAnsi" w:cstheme="majorHAnsi"/>
          <w:sz w:val="24"/>
          <w:szCs w:val="24"/>
          <w:lang w:val="ro-MD"/>
        </w:rPr>
        <w:t xml:space="preserve">cu antreprenorul, SRL </w:t>
      </w:r>
      <w:r w:rsidR="00C12793" w:rsidRPr="009772A3">
        <w:rPr>
          <w:rFonts w:asciiTheme="majorHAnsi" w:hAnsiTheme="majorHAnsi" w:cstheme="majorHAnsi"/>
          <w:sz w:val="24"/>
          <w:szCs w:val="24"/>
          <w:lang w:val="ro-MD"/>
        </w:rPr>
        <w:t>Ialoveni-gaz</w:t>
      </w:r>
      <w:r w:rsidR="00E35A1D" w:rsidRPr="009772A3">
        <w:rPr>
          <w:rFonts w:asciiTheme="majorHAnsi" w:hAnsiTheme="majorHAnsi" w:cstheme="majorHAnsi"/>
          <w:sz w:val="24"/>
          <w:szCs w:val="24"/>
          <w:lang w:val="ro-MD"/>
        </w:rPr>
        <w:t xml:space="preserve"> nu a elaborat </w:t>
      </w:r>
      <w:r w:rsidR="00C12793" w:rsidRPr="009772A3">
        <w:rPr>
          <w:rFonts w:asciiTheme="majorHAnsi" w:hAnsiTheme="majorHAnsi" w:cstheme="majorHAnsi"/>
          <w:sz w:val="24"/>
          <w:szCs w:val="24"/>
          <w:lang w:val="ro-MD"/>
        </w:rPr>
        <w:t xml:space="preserve">un </w:t>
      </w:r>
      <w:r w:rsidR="00E35A1D" w:rsidRPr="009772A3">
        <w:rPr>
          <w:rFonts w:asciiTheme="majorHAnsi" w:hAnsiTheme="majorHAnsi" w:cstheme="majorHAnsi"/>
          <w:sz w:val="24"/>
          <w:szCs w:val="24"/>
          <w:lang w:val="ro-MD"/>
        </w:rPr>
        <w:t>caiet de sarcini cu reflectarea volumelor de lucrări necesare de executat</w:t>
      </w:r>
      <w:r w:rsidR="00C12793" w:rsidRPr="009772A3">
        <w:rPr>
          <w:rFonts w:asciiTheme="majorHAnsi" w:hAnsiTheme="majorHAnsi" w:cstheme="majorHAnsi"/>
          <w:sz w:val="24"/>
          <w:szCs w:val="24"/>
          <w:lang w:val="ro-MD"/>
        </w:rPr>
        <w:t xml:space="preserve">, fapt care a generat </w:t>
      </w:r>
      <w:r w:rsidR="00142C07" w:rsidRPr="009772A3">
        <w:rPr>
          <w:rFonts w:asciiTheme="majorHAnsi" w:hAnsiTheme="majorHAnsi" w:cstheme="majorHAnsi"/>
          <w:sz w:val="24"/>
          <w:szCs w:val="24"/>
          <w:lang w:val="ro-MD"/>
        </w:rPr>
        <w:t xml:space="preserve">și </w:t>
      </w:r>
      <w:r w:rsidR="00C12793" w:rsidRPr="009772A3">
        <w:rPr>
          <w:rFonts w:asciiTheme="majorHAnsi" w:hAnsiTheme="majorHAnsi" w:cstheme="majorHAnsi"/>
          <w:sz w:val="24"/>
          <w:szCs w:val="24"/>
          <w:lang w:val="ro-MD"/>
        </w:rPr>
        <w:t>imposibilitatea verificării volumelor de lucrări executate cu cele planificate și contractate</w:t>
      </w:r>
      <w:r w:rsidR="00D83214" w:rsidRPr="009772A3">
        <w:rPr>
          <w:rFonts w:asciiTheme="majorHAnsi" w:hAnsiTheme="majorHAnsi" w:cstheme="majorHAnsi"/>
          <w:sz w:val="24"/>
          <w:szCs w:val="24"/>
          <w:lang w:val="ro-MD"/>
        </w:rPr>
        <w:t>;</w:t>
      </w:r>
      <w:r w:rsidR="00142C07" w:rsidRPr="009772A3">
        <w:rPr>
          <w:rFonts w:asciiTheme="majorHAnsi" w:hAnsiTheme="majorHAnsi" w:cstheme="majorHAnsi"/>
          <w:sz w:val="24"/>
          <w:szCs w:val="24"/>
          <w:lang w:val="ro-MD"/>
        </w:rPr>
        <w:t xml:space="preserve"> </w:t>
      </w:r>
    </w:p>
    <w:p w14:paraId="01BBE3AB" w14:textId="7A5D305E" w:rsidR="00142C07" w:rsidRPr="009772A3" w:rsidRDefault="00142C07"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neinstituirea unei </w:t>
      </w:r>
      <w:r w:rsidR="00D83214"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 xml:space="preserve">omisiii de recepție a lucrărilor </w:t>
      </w:r>
      <w:r w:rsidR="00DB6723">
        <w:rPr>
          <w:rFonts w:asciiTheme="majorHAnsi" w:hAnsiTheme="majorHAnsi" w:cstheme="majorHAnsi"/>
          <w:sz w:val="24"/>
          <w:szCs w:val="24"/>
          <w:lang w:val="ro-MD"/>
        </w:rPr>
        <w:t>de</w:t>
      </w:r>
      <w:r w:rsidR="00DB6723" w:rsidRPr="009772A3">
        <w:rPr>
          <w:rFonts w:asciiTheme="majorHAnsi" w:hAnsiTheme="majorHAnsi" w:cstheme="majorHAnsi"/>
          <w:sz w:val="24"/>
          <w:szCs w:val="24"/>
          <w:lang w:val="ro-MD"/>
        </w:rPr>
        <w:t xml:space="preserve"> </w:t>
      </w:r>
      <w:r w:rsidR="00DB6723">
        <w:rPr>
          <w:rFonts w:asciiTheme="majorHAnsi" w:hAnsiTheme="majorHAnsi" w:cstheme="majorHAnsi"/>
          <w:sz w:val="24"/>
          <w:szCs w:val="24"/>
          <w:lang w:val="ro-MD"/>
        </w:rPr>
        <w:t xml:space="preserve">reparație a </w:t>
      </w:r>
      <w:r w:rsidRPr="009772A3">
        <w:rPr>
          <w:rFonts w:asciiTheme="majorHAnsi" w:hAnsiTheme="majorHAnsi" w:cstheme="majorHAnsi"/>
          <w:sz w:val="24"/>
          <w:szCs w:val="24"/>
          <w:lang w:val="ro-MD"/>
        </w:rPr>
        <w:t>bunul</w:t>
      </w:r>
      <w:r w:rsidR="00DB672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închiriat, a generat recepția în lipsa unor examinări exhaustive a respectării de către antreprenor a documentației de proiect și </w:t>
      </w:r>
      <w:r w:rsidR="00D83214"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calitatății lucrărilor executate, precum și întocmirii corespunzătoare </w:t>
      </w:r>
      <w:r w:rsidR="00557D39"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unui proces</w:t>
      </w:r>
      <w:r w:rsidR="00D8321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verbal aferent</w:t>
      </w:r>
      <w:r w:rsidR="00DB6723">
        <w:rPr>
          <w:rFonts w:asciiTheme="majorHAnsi" w:hAnsiTheme="majorHAnsi" w:cstheme="majorHAnsi"/>
          <w:sz w:val="24"/>
          <w:szCs w:val="24"/>
          <w:lang w:val="ro-MD"/>
        </w:rPr>
        <w:t>;</w:t>
      </w:r>
    </w:p>
    <w:p w14:paraId="7DFD42B2" w14:textId="77777777" w:rsidR="00DB6723" w:rsidRPr="009772A3" w:rsidRDefault="00DB6723" w:rsidP="00DB6723">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antreprenorul (SRL Consfirmgrup) a înaintat o cerere de chemare în judecată privind încasarea sumei de 210,5 mii lei cu titlu de datorie și de 12,2 mii lei cu titlu de penalitate de la SRL Ialoveni-gaz;</w:t>
      </w:r>
    </w:p>
    <w:p w14:paraId="77F4A37E" w14:textId="77777777" w:rsidR="00DB6723" w:rsidRPr="009772A3" w:rsidRDefault="00DB6723" w:rsidP="00DB6723">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SRL Ialoveni-gaz a înaintat o acțiune în instanța de judecată (dosarul nr.2c-75 /2020) împotriva antreprenorului pentru executarea necalitativă a lucrărilor. La baza fundamentării acținii SRL Ialoveni-gaz, drept temei a servit Actul privind constatarea faptelor și a stărilor de fapt, constatările și fotografiile efectuate de către </w:t>
      </w:r>
      <w:r>
        <w:rPr>
          <w:rFonts w:asciiTheme="majorHAnsi" w:hAnsiTheme="majorHAnsi" w:cstheme="majorHAnsi"/>
          <w:sz w:val="24"/>
          <w:szCs w:val="24"/>
          <w:lang w:val="ro-MD"/>
        </w:rPr>
        <w:t xml:space="preserve">un </w:t>
      </w:r>
      <w:r w:rsidRPr="009772A3">
        <w:rPr>
          <w:rFonts w:asciiTheme="majorHAnsi" w:hAnsiTheme="majorHAnsi" w:cstheme="majorHAnsi"/>
          <w:sz w:val="24"/>
          <w:szCs w:val="24"/>
          <w:lang w:val="ro-MD"/>
        </w:rPr>
        <w:t>executor judecătoresc. La moment, dosarul este pendinte în instanța de judecată, până în prezent decizia nefiind pronunțată;</w:t>
      </w:r>
    </w:p>
    <w:p w14:paraId="7F312137" w14:textId="190F0D0F" w:rsidR="00DB6723" w:rsidRPr="009772A3" w:rsidRDefault="00DB6723" w:rsidP="00DB6723">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SRL Ialoveni-gaz, la data de 23.03.2022, a depus o plângere în ordinea art.262 alin.(1) pct.1 din C</w:t>
      </w:r>
      <w:r>
        <w:rPr>
          <w:rFonts w:asciiTheme="majorHAnsi" w:hAnsiTheme="majorHAnsi" w:cstheme="majorHAnsi"/>
          <w:sz w:val="24"/>
          <w:szCs w:val="24"/>
          <w:lang w:val="ro-MD"/>
        </w:rPr>
        <w:t>PP</w:t>
      </w:r>
      <w:r w:rsidRPr="009772A3">
        <w:rPr>
          <w:rFonts w:asciiTheme="majorHAnsi" w:hAnsiTheme="majorHAnsi" w:cstheme="majorHAnsi"/>
          <w:sz w:val="24"/>
          <w:szCs w:val="24"/>
          <w:lang w:val="ro-MD"/>
        </w:rPr>
        <w:t xml:space="preserve"> către Centrul Național Anticorupție, pentru a fi trași la răspundere fostul director al SRL Ialoveni-gaz și conducerea </w:t>
      </w:r>
      <w:r>
        <w:rPr>
          <w:rFonts w:asciiTheme="majorHAnsi" w:hAnsiTheme="majorHAnsi" w:cstheme="majorHAnsi"/>
          <w:sz w:val="24"/>
          <w:szCs w:val="24"/>
          <w:lang w:val="ro-MD"/>
        </w:rPr>
        <w:t>antreprenorului</w:t>
      </w:r>
      <w:r w:rsidRPr="009772A3">
        <w:rPr>
          <w:rFonts w:asciiTheme="majorHAnsi" w:hAnsiTheme="majorHAnsi" w:cstheme="majorHAnsi"/>
          <w:sz w:val="24"/>
          <w:szCs w:val="24"/>
          <w:lang w:val="ro-MD"/>
        </w:rPr>
        <w:t xml:space="preserve">, care au adus un prejudiciu material întreprinderii cu indici de fraudă în proporții deosebit de mari, în valoare de </w:t>
      </w:r>
      <w:r w:rsidR="00A17AD6" w:rsidRPr="005142F3">
        <w:rPr>
          <w:rFonts w:asciiTheme="majorHAnsi" w:hAnsiTheme="majorHAnsi" w:cstheme="majorHAnsi"/>
          <w:sz w:val="24"/>
          <w:szCs w:val="24"/>
          <w:lang w:val="ro-MD"/>
        </w:rPr>
        <w:t>5</w:t>
      </w:r>
      <w:r w:rsidRPr="005142F3">
        <w:rPr>
          <w:rFonts w:asciiTheme="majorHAnsi" w:hAnsiTheme="majorHAnsi" w:cstheme="majorHAnsi"/>
          <w:sz w:val="24"/>
          <w:szCs w:val="24"/>
          <w:lang w:val="ro-MD"/>
        </w:rPr>
        <w:t>,9 mil.lei</w:t>
      </w:r>
      <w:r w:rsidRPr="009772A3">
        <w:rPr>
          <w:rFonts w:asciiTheme="majorHAnsi" w:hAnsiTheme="majorHAnsi" w:cstheme="majorHAnsi"/>
          <w:sz w:val="24"/>
          <w:szCs w:val="24"/>
          <w:lang w:val="ro-MD"/>
        </w:rPr>
        <w:t>, fiind pornit un dosar penal pe cazul dat. Până la moment nu este un răspuns din partea CNA cu privire la cauza penală intentată.</w:t>
      </w:r>
    </w:p>
    <w:p w14:paraId="3BFE83EE" w14:textId="0B5307C6" w:rsidR="00AD51BA" w:rsidRPr="009772A3" w:rsidRDefault="004C4E2F" w:rsidP="00CF3AD4">
      <w:pPr>
        <w:spacing w:after="0"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 î</w:t>
      </w:r>
      <w:r w:rsidR="00AD51BA" w:rsidRPr="009772A3">
        <w:rPr>
          <w:rFonts w:asciiTheme="majorHAnsi" w:hAnsiTheme="majorHAnsi" w:cstheme="majorHAnsi"/>
          <w:sz w:val="24"/>
          <w:szCs w:val="24"/>
          <w:lang w:val="ro-MD"/>
        </w:rPr>
        <w:t>n procesul verificării modalității de primire</w:t>
      </w:r>
      <w:r w:rsidR="00D83214" w:rsidRPr="009772A3">
        <w:rPr>
          <w:rFonts w:asciiTheme="majorHAnsi" w:hAnsiTheme="majorHAnsi" w:cstheme="majorHAnsi"/>
          <w:sz w:val="24"/>
          <w:szCs w:val="24"/>
          <w:lang w:val="ro-MD"/>
        </w:rPr>
        <w:t>-</w:t>
      </w:r>
      <w:r w:rsidR="00AD51BA" w:rsidRPr="009772A3">
        <w:rPr>
          <w:rFonts w:asciiTheme="majorHAnsi" w:hAnsiTheme="majorHAnsi" w:cstheme="majorHAnsi"/>
          <w:sz w:val="24"/>
          <w:szCs w:val="24"/>
          <w:lang w:val="ro-MD"/>
        </w:rPr>
        <w:t xml:space="preserve">predare a bunurilor materiale destinate dotării edificiului primit în sublocațiune, precum și a măsurilor întreprinse pentru asigurarea integrității acestora, s-au constatat multiple carențe și neconformități: </w:t>
      </w:r>
    </w:p>
    <w:p w14:paraId="2E1808DE" w14:textId="0C9B90FC" w:rsidR="00AD51BA" w:rsidRPr="009772A3" w:rsidRDefault="004C4E2F"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SRL </w:t>
      </w:r>
      <w:r w:rsidR="00AD51BA" w:rsidRPr="009772A3">
        <w:rPr>
          <w:rFonts w:asciiTheme="majorHAnsi" w:hAnsiTheme="majorHAnsi" w:cstheme="majorHAnsi"/>
          <w:sz w:val="24"/>
          <w:szCs w:val="24"/>
          <w:lang w:val="ro-MD"/>
        </w:rPr>
        <w:t>Ialoveni-gaz nu a desemnat o persoană cu răspundere materială în gestiunea căreia urma să fie transmise bunurile achiziționate în baza actelor de primire-predare;</w:t>
      </w:r>
    </w:p>
    <w:p w14:paraId="6B190A75" w14:textId="27701AA6" w:rsidR="00AD51BA" w:rsidRPr="009772A3" w:rsidRDefault="00AD51BA"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bunurile materiale au fost reflectate </w:t>
      </w:r>
      <w:r w:rsidR="00557D39" w:rsidRPr="009772A3">
        <w:rPr>
          <w:rFonts w:asciiTheme="majorHAnsi" w:hAnsiTheme="majorHAnsi" w:cstheme="majorHAnsi"/>
          <w:sz w:val="24"/>
          <w:szCs w:val="24"/>
          <w:lang w:val="ro-MD"/>
        </w:rPr>
        <w:t xml:space="preserve">nejustificat </w:t>
      </w:r>
      <w:r w:rsidRPr="009772A3">
        <w:rPr>
          <w:rFonts w:asciiTheme="majorHAnsi" w:hAnsiTheme="majorHAnsi" w:cstheme="majorHAnsi"/>
          <w:sz w:val="24"/>
          <w:szCs w:val="24"/>
          <w:lang w:val="ro-MD"/>
        </w:rPr>
        <w:t>la cheltuieli și nu se regăsesc în stocurile materiale ale întreprinderii sau la conturile extrabilanțiere, fapt ce de asemenea nu permite inventarierea acestora;</w:t>
      </w:r>
    </w:p>
    <w:p w14:paraId="3AB3143A" w14:textId="64158E71" w:rsidR="00AD51BA" w:rsidRPr="009772A3" w:rsidRDefault="00AD51BA"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în multe cazuri în facturile fiscale lipsește semnătura persoanei responsabile (delegate de întreprindere) de recepționarea bunurilor achiziționate de la furnizori, respectiv nu s-a asigurat </w:t>
      </w:r>
      <w:r w:rsidR="003709D6">
        <w:rPr>
          <w:rFonts w:asciiTheme="majorHAnsi" w:hAnsiTheme="majorHAnsi" w:cstheme="majorHAnsi"/>
          <w:sz w:val="24"/>
          <w:szCs w:val="24"/>
          <w:lang w:val="ro-MD"/>
        </w:rPr>
        <w:t>confirmar</w:t>
      </w:r>
      <w:r w:rsidR="003709D6" w:rsidRPr="009772A3">
        <w:rPr>
          <w:rFonts w:asciiTheme="majorHAnsi" w:hAnsiTheme="majorHAnsi" w:cstheme="majorHAnsi"/>
          <w:sz w:val="24"/>
          <w:szCs w:val="24"/>
          <w:lang w:val="ro-MD"/>
        </w:rPr>
        <w:t xml:space="preserve">ea </w:t>
      </w:r>
      <w:r w:rsidRPr="009772A3">
        <w:rPr>
          <w:rFonts w:asciiTheme="majorHAnsi" w:hAnsiTheme="majorHAnsi" w:cstheme="majorHAnsi"/>
          <w:sz w:val="24"/>
          <w:szCs w:val="24"/>
          <w:lang w:val="ro-MD"/>
        </w:rPr>
        <w:t xml:space="preserve">acestor tranzacții și faptul </w:t>
      </w:r>
      <w:r w:rsidR="004C4E2F" w:rsidRPr="009772A3">
        <w:rPr>
          <w:rFonts w:asciiTheme="majorHAnsi" w:hAnsiTheme="majorHAnsi" w:cstheme="majorHAnsi"/>
          <w:sz w:val="24"/>
          <w:szCs w:val="24"/>
          <w:lang w:val="ro-MD"/>
        </w:rPr>
        <w:t>recepționării bunurilor;</w:t>
      </w:r>
    </w:p>
    <w:p w14:paraId="031BDA4D" w14:textId="62356B25" w:rsidR="00AD51BA" w:rsidRPr="009772A3" w:rsidRDefault="00DB6723" w:rsidP="006C0BB4">
      <w:pPr>
        <w:pStyle w:val="ListParagraph"/>
        <w:numPr>
          <w:ilvl w:val="0"/>
          <w:numId w:val="14"/>
        </w:numPr>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la</w:t>
      </w:r>
      <w:r w:rsidR="00AD51BA" w:rsidRPr="009772A3">
        <w:rPr>
          <w:rFonts w:asciiTheme="majorHAnsi" w:hAnsiTheme="majorHAnsi" w:cstheme="majorHAnsi"/>
          <w:sz w:val="24"/>
          <w:szCs w:val="24"/>
          <w:lang w:val="ro-MD"/>
        </w:rPr>
        <w:t xml:space="preserve"> verific</w:t>
      </w:r>
      <w:r>
        <w:rPr>
          <w:rFonts w:asciiTheme="majorHAnsi" w:hAnsiTheme="majorHAnsi" w:cstheme="majorHAnsi"/>
          <w:sz w:val="24"/>
          <w:szCs w:val="24"/>
          <w:lang w:val="ro-MD"/>
        </w:rPr>
        <w:t xml:space="preserve">area </w:t>
      </w:r>
      <w:r w:rsidR="00AD51BA" w:rsidRPr="009772A3">
        <w:rPr>
          <w:rFonts w:asciiTheme="majorHAnsi" w:hAnsiTheme="majorHAnsi" w:cstheme="majorHAnsi"/>
          <w:sz w:val="24"/>
          <w:szCs w:val="24"/>
          <w:lang w:val="ro-MD"/>
        </w:rPr>
        <w:t>existenței faptice/la fața locului a valorilor materiale, achiziționate și amplasate în edificiul Vilei nr.7 din „Pensiunea din Holercani”, echipa de audit a constat</w:t>
      </w:r>
      <w:r w:rsidR="00D83214" w:rsidRPr="009772A3">
        <w:rPr>
          <w:rFonts w:asciiTheme="majorHAnsi" w:hAnsiTheme="majorHAnsi" w:cstheme="majorHAnsi"/>
          <w:sz w:val="24"/>
          <w:szCs w:val="24"/>
          <w:lang w:val="ro-MD"/>
        </w:rPr>
        <w:t>at</w:t>
      </w:r>
      <w:r w:rsidR="00AD51BA" w:rsidRPr="009772A3">
        <w:rPr>
          <w:rFonts w:asciiTheme="majorHAnsi" w:hAnsiTheme="majorHAnsi" w:cstheme="majorHAnsi"/>
          <w:sz w:val="24"/>
          <w:szCs w:val="24"/>
          <w:lang w:val="ro-MD"/>
        </w:rPr>
        <w:t xml:space="preserve"> lipsuri în valoare de 28,66 mii lei</w:t>
      </w:r>
      <w:r w:rsidR="00AD51BA" w:rsidRPr="009772A3">
        <w:rPr>
          <w:rFonts w:asciiTheme="majorHAnsi" w:hAnsiTheme="majorHAnsi" w:cstheme="majorHAnsi"/>
          <w:sz w:val="24"/>
          <w:szCs w:val="24"/>
          <w:vertAlign w:val="superscript"/>
          <w:lang w:val="ro-MD"/>
        </w:rPr>
        <w:footnoteReference w:id="61"/>
      </w:r>
      <w:r w:rsidR="00AD51BA" w:rsidRPr="009772A3">
        <w:rPr>
          <w:rFonts w:asciiTheme="majorHAnsi" w:hAnsiTheme="majorHAnsi" w:cstheme="majorHAnsi"/>
          <w:sz w:val="24"/>
          <w:szCs w:val="24"/>
          <w:lang w:val="ro-MD"/>
        </w:rPr>
        <w:t xml:space="preserve">, </w:t>
      </w:r>
      <w:r w:rsidR="004C4E2F" w:rsidRPr="009772A3">
        <w:rPr>
          <w:rFonts w:asciiTheme="majorHAnsi" w:hAnsiTheme="majorHAnsi" w:cstheme="majorHAnsi"/>
          <w:sz w:val="24"/>
          <w:szCs w:val="24"/>
          <w:lang w:val="ro-MD"/>
        </w:rPr>
        <w:t>care urmează a fi recuperate</w:t>
      </w:r>
      <w:r>
        <w:rPr>
          <w:rFonts w:asciiTheme="majorHAnsi" w:hAnsiTheme="majorHAnsi" w:cstheme="majorHAnsi"/>
          <w:sz w:val="24"/>
          <w:szCs w:val="24"/>
          <w:lang w:val="ro-MD"/>
        </w:rPr>
        <w:t>.</w:t>
      </w:r>
    </w:p>
    <w:p w14:paraId="6BE2961F" w14:textId="08C18EA5" w:rsidR="008940D1" w:rsidRPr="009772A3" w:rsidRDefault="008940D1" w:rsidP="00AD51BA">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Mai mult decât atât, auditul atestă și faptul că SRL Ialoveni</w:t>
      </w:r>
      <w:r w:rsidR="006036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 în perioada 2017</w:t>
      </w:r>
      <w:r w:rsidR="006036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a contractat un agent economic</w:t>
      </w:r>
      <w:r w:rsidRPr="009772A3">
        <w:rPr>
          <w:rStyle w:val="FootnoteReference"/>
          <w:rFonts w:asciiTheme="majorHAnsi" w:hAnsiTheme="majorHAnsi" w:cstheme="majorHAnsi"/>
          <w:sz w:val="24"/>
          <w:szCs w:val="24"/>
          <w:lang w:val="ro-MD"/>
        </w:rPr>
        <w:footnoteReference w:id="62"/>
      </w:r>
      <w:r w:rsidRPr="009772A3">
        <w:rPr>
          <w:rFonts w:asciiTheme="majorHAnsi" w:hAnsiTheme="majorHAnsi" w:cstheme="majorHAnsi"/>
          <w:sz w:val="24"/>
          <w:szCs w:val="24"/>
          <w:lang w:val="ro-MD"/>
        </w:rPr>
        <w:t xml:space="preserve"> și </w:t>
      </w:r>
      <w:r w:rsidR="006804FB"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achitat acestuia servicii de pază a imobilului închiriat, în sumă totală de 138,6 mii lei, </w:t>
      </w:r>
      <w:r w:rsidR="006036D8" w:rsidRPr="009772A3">
        <w:rPr>
          <w:rFonts w:asciiTheme="majorHAnsi" w:hAnsiTheme="majorHAnsi" w:cstheme="majorHAnsi"/>
          <w:sz w:val="24"/>
          <w:szCs w:val="24"/>
          <w:lang w:val="ro-MD"/>
        </w:rPr>
        <w:t>cu toate</w:t>
      </w:r>
      <w:r w:rsidRPr="009772A3">
        <w:rPr>
          <w:rFonts w:asciiTheme="majorHAnsi" w:hAnsiTheme="majorHAnsi" w:cstheme="majorHAnsi"/>
          <w:sz w:val="24"/>
          <w:szCs w:val="24"/>
          <w:lang w:val="ro-MD"/>
        </w:rPr>
        <w:t xml:space="preserve"> că paza complexul</w:t>
      </w:r>
      <w:r w:rsidR="006804FB"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respectiv era și este asigurată de către proprietarul acestuia, ÎS </w:t>
      </w:r>
      <w:r w:rsidR="006804F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Pensiunea din Holercani”. </w:t>
      </w:r>
      <w:r w:rsidR="00E44170" w:rsidRPr="009772A3">
        <w:rPr>
          <w:rFonts w:asciiTheme="majorHAnsi" w:hAnsiTheme="majorHAnsi" w:cstheme="majorHAnsi"/>
          <w:sz w:val="24"/>
          <w:szCs w:val="24"/>
          <w:lang w:val="ro-MD"/>
        </w:rPr>
        <w:t xml:space="preserve">Acest lucru denotă riscuri sporite </w:t>
      </w:r>
      <w:r w:rsidR="00C43459" w:rsidRPr="009772A3">
        <w:rPr>
          <w:rFonts w:asciiTheme="majorHAnsi" w:hAnsiTheme="majorHAnsi" w:cstheme="majorHAnsi"/>
          <w:sz w:val="24"/>
          <w:szCs w:val="24"/>
          <w:lang w:val="ro-MD"/>
        </w:rPr>
        <w:t>de neprestare</w:t>
      </w:r>
      <w:r w:rsidR="00E215E9" w:rsidRPr="009772A3">
        <w:rPr>
          <w:rFonts w:asciiTheme="majorHAnsi" w:hAnsiTheme="majorHAnsi" w:cstheme="majorHAnsi"/>
          <w:sz w:val="24"/>
          <w:szCs w:val="24"/>
          <w:lang w:val="ro-MD"/>
        </w:rPr>
        <w:t xml:space="preserve"> de</w:t>
      </w:r>
      <w:r w:rsidR="006036D8" w:rsidRPr="009772A3">
        <w:rPr>
          <w:rFonts w:asciiTheme="majorHAnsi" w:hAnsiTheme="majorHAnsi" w:cstheme="majorHAnsi"/>
          <w:sz w:val="24"/>
          <w:szCs w:val="24"/>
          <w:lang w:val="ro-MD"/>
        </w:rPr>
        <w:t xml:space="preserve"> </w:t>
      </w:r>
      <w:r w:rsidR="00E215E9" w:rsidRPr="009772A3">
        <w:rPr>
          <w:rFonts w:asciiTheme="majorHAnsi" w:hAnsiTheme="majorHAnsi" w:cstheme="majorHAnsi"/>
          <w:sz w:val="24"/>
          <w:szCs w:val="24"/>
          <w:lang w:val="ro-MD"/>
        </w:rPr>
        <w:t>facto</w:t>
      </w:r>
      <w:r w:rsidR="00C43459" w:rsidRPr="009772A3">
        <w:rPr>
          <w:rFonts w:asciiTheme="majorHAnsi" w:hAnsiTheme="majorHAnsi" w:cstheme="majorHAnsi"/>
          <w:sz w:val="24"/>
          <w:szCs w:val="24"/>
          <w:lang w:val="ro-MD"/>
        </w:rPr>
        <w:t xml:space="preserve"> a</w:t>
      </w:r>
      <w:r w:rsidR="007C1B42" w:rsidRPr="009772A3">
        <w:rPr>
          <w:rFonts w:asciiTheme="majorHAnsi" w:hAnsiTheme="majorHAnsi" w:cstheme="majorHAnsi"/>
          <w:sz w:val="24"/>
          <w:szCs w:val="24"/>
          <w:lang w:val="ro-MD"/>
        </w:rPr>
        <w:t xml:space="preserve"> serviciului în cauză</w:t>
      </w:r>
      <w:r w:rsidR="006036D8" w:rsidRPr="009772A3">
        <w:rPr>
          <w:rFonts w:asciiTheme="majorHAnsi" w:hAnsiTheme="majorHAnsi" w:cstheme="majorHAnsi"/>
          <w:sz w:val="24"/>
          <w:szCs w:val="24"/>
          <w:lang w:val="ro-MD"/>
        </w:rPr>
        <w:t>,</w:t>
      </w:r>
      <w:r w:rsidR="007C1B42" w:rsidRPr="009772A3">
        <w:rPr>
          <w:rFonts w:asciiTheme="majorHAnsi" w:hAnsiTheme="majorHAnsi" w:cstheme="majorHAnsi"/>
          <w:sz w:val="24"/>
          <w:szCs w:val="24"/>
          <w:lang w:val="ro-MD"/>
        </w:rPr>
        <w:t xml:space="preserve"> conform contractului</w:t>
      </w:r>
      <w:r w:rsidR="00E215E9" w:rsidRPr="009772A3">
        <w:rPr>
          <w:rFonts w:asciiTheme="majorHAnsi" w:hAnsiTheme="majorHAnsi" w:cstheme="majorHAnsi"/>
          <w:sz w:val="24"/>
          <w:szCs w:val="24"/>
          <w:lang w:val="ro-MD"/>
        </w:rPr>
        <w:t xml:space="preserve"> aferent</w:t>
      </w:r>
      <w:r w:rsidR="00E44170" w:rsidRPr="009772A3">
        <w:rPr>
          <w:rFonts w:asciiTheme="majorHAnsi" w:hAnsiTheme="majorHAnsi" w:cstheme="majorHAnsi"/>
          <w:sz w:val="24"/>
          <w:szCs w:val="24"/>
          <w:lang w:val="ro-MD"/>
        </w:rPr>
        <w:t>.</w:t>
      </w:r>
    </w:p>
    <w:p w14:paraId="234A1CC5" w14:textId="44941EA9" w:rsidR="00AD51BA" w:rsidRDefault="00AD51BA" w:rsidP="00AD51BA">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Având în vedere cele constatate, se conchide că nefundamentarea necesității </w:t>
      </w:r>
      <w:r w:rsidR="006036D8"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închirier</w:t>
      </w:r>
      <w:r w:rsidR="006036D8" w:rsidRPr="009772A3">
        <w:rPr>
          <w:rFonts w:asciiTheme="majorHAnsi" w:hAnsiTheme="majorHAnsi" w:cstheme="majorHAnsi"/>
          <w:sz w:val="24"/>
          <w:szCs w:val="24"/>
          <w:lang w:val="ro-MD"/>
        </w:rPr>
        <w:t>e a</w:t>
      </w:r>
      <w:r w:rsidRPr="009772A3">
        <w:rPr>
          <w:rFonts w:asciiTheme="majorHAnsi" w:hAnsiTheme="majorHAnsi" w:cstheme="majorHAnsi"/>
          <w:sz w:val="24"/>
          <w:szCs w:val="24"/>
          <w:lang w:val="ro-MD"/>
        </w:rPr>
        <w:t xml:space="preserve"> imobilului, nerespectării procedurilor de planificare și realizare a investițiilor, precum și eludarea reglementărilor cu privire la recepția lucrărilor de reparație capitală, a</w:t>
      </w:r>
      <w:r w:rsidR="006036D8"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condiționat suportarea cheltuielilor menționate din bugetul întreprinderi, executarea unor lucrări necalitative, declanșarea unor litigii reciproce între antreprenor și beneficiar, precum și pornirea unei cauze penale pe numele fostului director al întreprinderii, pentru prejudiciile aduse acesteia.</w:t>
      </w:r>
    </w:p>
    <w:p w14:paraId="01690AEC" w14:textId="77777777" w:rsidR="003709D6" w:rsidRPr="00CF3AD4" w:rsidRDefault="003709D6" w:rsidP="00AD51BA">
      <w:pPr>
        <w:spacing w:after="0" w:line="276" w:lineRule="auto"/>
        <w:ind w:firstLine="709"/>
        <w:jc w:val="both"/>
        <w:rPr>
          <w:rFonts w:asciiTheme="majorHAnsi" w:hAnsiTheme="majorHAnsi" w:cstheme="majorHAnsi"/>
          <w:sz w:val="16"/>
          <w:szCs w:val="16"/>
          <w:lang w:val="ro-MD"/>
        </w:rPr>
      </w:pPr>
    </w:p>
    <w:p w14:paraId="765B27CF" w14:textId="3496A30C" w:rsidR="007C0E8F" w:rsidRPr="009772A3" w:rsidRDefault="007C0E8F" w:rsidP="00CF3AD4">
      <w:pPr>
        <w:pStyle w:val="Heading1"/>
        <w:numPr>
          <w:ilvl w:val="2"/>
          <w:numId w:val="2"/>
        </w:numPr>
        <w:spacing w:before="0" w:line="276" w:lineRule="auto"/>
        <w:ind w:left="0" w:firstLine="0"/>
        <w:jc w:val="both"/>
        <w:rPr>
          <w:color w:val="auto"/>
          <w:lang w:val="ro-MD"/>
        </w:rPr>
      </w:pPr>
      <w:bookmarkStart w:id="58" w:name="_Toc119496404"/>
      <w:r w:rsidRPr="009772A3">
        <w:rPr>
          <w:color w:val="auto"/>
          <w:lang w:val="ro-MD"/>
        </w:rPr>
        <w:t>Unele investiții în infrastructura de transport, distribuție și furnizare a gazelor naturale au eludat prevederile normative în vigoare, dat fiind neplanificarea, nejustificarea și nerealizarea corespunzătoare a acestora.</w:t>
      </w:r>
      <w:bookmarkEnd w:id="58"/>
    </w:p>
    <w:p w14:paraId="644B374A" w14:textId="5FAAFE7C" w:rsidR="0083614C" w:rsidRPr="009772A3" w:rsidRDefault="006B4E72" w:rsidP="00CF3AD4">
      <w:pPr>
        <w:pStyle w:val="Heading1"/>
        <w:numPr>
          <w:ilvl w:val="3"/>
          <w:numId w:val="2"/>
        </w:numPr>
        <w:tabs>
          <w:tab w:val="left" w:pos="709"/>
          <w:tab w:val="left" w:pos="993"/>
        </w:tabs>
        <w:spacing w:before="0"/>
        <w:ind w:left="0" w:firstLine="0"/>
        <w:jc w:val="both"/>
        <w:rPr>
          <w:i/>
          <w:color w:val="auto"/>
          <w:lang w:val="ro-MD"/>
        </w:rPr>
      </w:pPr>
      <w:bookmarkStart w:id="59" w:name="_Toc119496405"/>
      <w:r w:rsidRPr="009772A3">
        <w:rPr>
          <w:i/>
          <w:color w:val="auto"/>
          <w:lang w:val="ro-MD"/>
        </w:rPr>
        <w:t>ANRE nu a fost convinsă de a</w:t>
      </w:r>
      <w:r w:rsidR="00A22CED" w:rsidRPr="009772A3">
        <w:rPr>
          <w:i/>
          <w:color w:val="auto"/>
          <w:lang w:val="ro-MD"/>
        </w:rPr>
        <w:t>rgument</w:t>
      </w:r>
      <w:r w:rsidRPr="009772A3">
        <w:rPr>
          <w:i/>
          <w:color w:val="auto"/>
          <w:lang w:val="ro-MD"/>
        </w:rPr>
        <w:t xml:space="preserve">ele aduse de SA Moldovagaz privind necesitatea </w:t>
      </w:r>
      <w:r w:rsidR="00A22CED" w:rsidRPr="009772A3">
        <w:rPr>
          <w:i/>
          <w:color w:val="auto"/>
          <w:lang w:val="ro-MD"/>
        </w:rPr>
        <w:t xml:space="preserve">investițiilor în SI de prelucrare a datelor și </w:t>
      </w:r>
      <w:r w:rsidR="00443729" w:rsidRPr="009772A3">
        <w:rPr>
          <w:i/>
          <w:color w:val="auto"/>
          <w:lang w:val="ro-MD"/>
        </w:rPr>
        <w:t xml:space="preserve">evidență a </w:t>
      </w:r>
      <w:r w:rsidR="00A22CED" w:rsidRPr="009772A3">
        <w:rPr>
          <w:i/>
          <w:color w:val="auto"/>
          <w:lang w:val="ro-MD"/>
        </w:rPr>
        <w:t>consumatorilor</w:t>
      </w:r>
      <w:r w:rsidRPr="009772A3">
        <w:rPr>
          <w:i/>
          <w:color w:val="auto"/>
          <w:lang w:val="ro-MD"/>
        </w:rPr>
        <w:t>, ceea ce</w:t>
      </w:r>
      <w:r w:rsidR="00A22CED" w:rsidRPr="009772A3">
        <w:rPr>
          <w:i/>
          <w:color w:val="auto"/>
          <w:lang w:val="ro-MD"/>
        </w:rPr>
        <w:t xml:space="preserve"> </w:t>
      </w:r>
      <w:r w:rsidR="00443729" w:rsidRPr="009772A3">
        <w:rPr>
          <w:i/>
          <w:color w:val="auto"/>
          <w:lang w:val="ro-MD"/>
        </w:rPr>
        <w:t xml:space="preserve">a condus la </w:t>
      </w:r>
      <w:r w:rsidR="00A22CED" w:rsidRPr="009772A3">
        <w:rPr>
          <w:i/>
          <w:color w:val="auto"/>
          <w:lang w:val="ro-MD"/>
        </w:rPr>
        <w:t xml:space="preserve">nerecunoașterea acestora </w:t>
      </w:r>
      <w:r w:rsidR="00443729" w:rsidRPr="009772A3">
        <w:rPr>
          <w:i/>
          <w:color w:val="auto"/>
          <w:lang w:val="ro-MD"/>
        </w:rPr>
        <w:t xml:space="preserve">ca investiții </w:t>
      </w:r>
      <w:r w:rsidR="00A22CED" w:rsidRPr="009772A3">
        <w:rPr>
          <w:i/>
          <w:color w:val="auto"/>
          <w:lang w:val="ro-MD"/>
        </w:rPr>
        <w:t>recupera</w:t>
      </w:r>
      <w:r w:rsidR="00443729" w:rsidRPr="009772A3">
        <w:rPr>
          <w:i/>
          <w:color w:val="auto"/>
          <w:lang w:val="ro-MD"/>
        </w:rPr>
        <w:t>bile</w:t>
      </w:r>
      <w:r w:rsidR="00A22CED" w:rsidRPr="009772A3">
        <w:rPr>
          <w:i/>
          <w:color w:val="auto"/>
          <w:lang w:val="ro-MD"/>
        </w:rPr>
        <w:t xml:space="preserve"> prin tarif</w:t>
      </w:r>
      <w:r w:rsidR="00443729" w:rsidRPr="009772A3">
        <w:rPr>
          <w:i/>
          <w:color w:val="auto"/>
          <w:lang w:val="ro-MD"/>
        </w:rPr>
        <w:t>.</w:t>
      </w:r>
      <w:bookmarkEnd w:id="59"/>
      <w:r w:rsidR="00443729" w:rsidRPr="009772A3">
        <w:rPr>
          <w:i/>
          <w:color w:val="auto"/>
          <w:lang w:val="ro-MD"/>
        </w:rPr>
        <w:t xml:space="preserve"> </w:t>
      </w:r>
      <w:r w:rsidR="00A22CED" w:rsidRPr="009772A3">
        <w:rPr>
          <w:i/>
          <w:color w:val="auto"/>
          <w:lang w:val="ro-MD"/>
        </w:rPr>
        <w:t xml:space="preserve"> </w:t>
      </w:r>
    </w:p>
    <w:p w14:paraId="2D22BB66" w14:textId="4752A8CA" w:rsidR="00443729" w:rsidRPr="009772A3" w:rsidRDefault="00443729" w:rsidP="004F4116">
      <w:pPr>
        <w:spacing w:after="0" w:line="276" w:lineRule="auto"/>
        <w:ind w:firstLine="709"/>
        <w:jc w:val="both"/>
        <w:rPr>
          <w:rFonts w:asciiTheme="majorHAnsi" w:hAnsiTheme="majorHAnsi" w:cstheme="majorHAnsi"/>
          <w:i/>
          <w:sz w:val="24"/>
          <w:szCs w:val="24"/>
          <w:lang w:val="ro-MD"/>
        </w:rPr>
      </w:pPr>
      <w:bookmarkStart w:id="60" w:name="_Toc118465730"/>
      <w:r w:rsidRPr="009772A3">
        <w:rPr>
          <w:rFonts w:asciiTheme="majorHAnsi" w:hAnsiTheme="majorHAnsi" w:cstheme="majorHAnsi"/>
          <w:i/>
          <w:sz w:val="24"/>
          <w:szCs w:val="24"/>
          <w:lang w:val="ro-MD"/>
        </w:rPr>
        <w:t>SA Moldovaga</w:t>
      </w:r>
      <w:bookmarkEnd w:id="60"/>
      <w:r w:rsidRPr="009772A3">
        <w:rPr>
          <w:rFonts w:asciiTheme="majorHAnsi" w:hAnsiTheme="majorHAnsi" w:cstheme="majorHAnsi"/>
          <w:i/>
          <w:sz w:val="24"/>
          <w:szCs w:val="24"/>
          <w:lang w:val="ro-MD"/>
        </w:rPr>
        <w:t xml:space="preserve">z nu a </w:t>
      </w:r>
      <w:r w:rsidR="006B4E72" w:rsidRPr="009772A3">
        <w:rPr>
          <w:rFonts w:asciiTheme="majorHAnsi" w:hAnsiTheme="majorHAnsi" w:cstheme="majorHAnsi"/>
          <w:i/>
          <w:sz w:val="24"/>
          <w:szCs w:val="24"/>
          <w:lang w:val="ro-MD"/>
        </w:rPr>
        <w:t xml:space="preserve">convins ANRE </w:t>
      </w:r>
      <w:r w:rsidRPr="009772A3">
        <w:rPr>
          <w:rFonts w:asciiTheme="majorHAnsi" w:hAnsiTheme="majorHAnsi" w:cstheme="majorHAnsi"/>
          <w:i/>
          <w:sz w:val="24"/>
          <w:szCs w:val="24"/>
          <w:lang w:val="ro-MD"/>
        </w:rPr>
        <w:t xml:space="preserve">că resursele financiare în sumă totală de 132.399,8 mii lei, </w:t>
      </w:r>
      <w:r w:rsidR="006B4E72" w:rsidRPr="009772A3">
        <w:rPr>
          <w:rFonts w:asciiTheme="majorHAnsi" w:hAnsiTheme="majorHAnsi" w:cstheme="majorHAnsi"/>
          <w:i/>
          <w:sz w:val="24"/>
          <w:szCs w:val="24"/>
          <w:lang w:val="ro-MD"/>
        </w:rPr>
        <w:t xml:space="preserve">investite </w:t>
      </w:r>
      <w:r w:rsidRPr="009772A3">
        <w:rPr>
          <w:rFonts w:asciiTheme="majorHAnsi" w:hAnsiTheme="majorHAnsi" w:cstheme="majorHAnsi"/>
          <w:i/>
          <w:sz w:val="24"/>
          <w:szCs w:val="24"/>
          <w:lang w:val="ro-MD"/>
        </w:rPr>
        <w:t xml:space="preserve">în noul sistem informațional de evidență și prelucrare </w:t>
      </w:r>
      <w:r w:rsidR="006B4E72" w:rsidRPr="009772A3">
        <w:rPr>
          <w:rFonts w:asciiTheme="majorHAnsi" w:hAnsiTheme="majorHAnsi" w:cstheme="majorHAnsi"/>
          <w:i/>
          <w:sz w:val="24"/>
          <w:szCs w:val="24"/>
          <w:lang w:val="ro-MD"/>
        </w:rPr>
        <w:t>a datelor privind consumul gazelor naturale</w:t>
      </w:r>
      <w:r w:rsidR="00301857" w:rsidRPr="009772A3">
        <w:rPr>
          <w:rFonts w:asciiTheme="majorHAnsi" w:hAnsiTheme="majorHAnsi" w:cstheme="majorHAnsi"/>
          <w:i/>
          <w:sz w:val="24"/>
          <w:szCs w:val="24"/>
          <w:lang w:val="ro-MD"/>
        </w:rPr>
        <w:t>,</w:t>
      </w:r>
      <w:r w:rsidR="006B4E72" w:rsidRPr="009772A3">
        <w:rPr>
          <w:rFonts w:asciiTheme="majorHAnsi" w:hAnsiTheme="majorHAnsi" w:cstheme="majorHAnsi"/>
          <w:i/>
          <w:sz w:val="24"/>
          <w:szCs w:val="24"/>
          <w:lang w:val="ro-MD"/>
        </w:rPr>
        <w:t xml:space="preserve"> </w:t>
      </w:r>
      <w:r w:rsidRPr="009772A3">
        <w:rPr>
          <w:rFonts w:asciiTheme="majorHAnsi" w:hAnsiTheme="majorHAnsi" w:cstheme="majorHAnsi"/>
          <w:i/>
          <w:sz w:val="24"/>
          <w:szCs w:val="24"/>
          <w:lang w:val="ro-MD"/>
        </w:rPr>
        <w:t>au fost orientate spre optimizarea activității și reducerea cheltuielilor aferente.</w:t>
      </w:r>
    </w:p>
    <w:p w14:paraId="56949F00" w14:textId="7CABFBEC" w:rsidR="007C0E8F" w:rsidRPr="009772A3" w:rsidRDefault="007C0E8F" w:rsidP="007C0E8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scopul uniformizării evidenței bilanțului gazului la nivel de întreprinderi de distribuție, SA Moldovagaz și întreprinderile sale afiliate au efectuat</w:t>
      </w:r>
      <w:r w:rsidR="003018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începând cu anul 2014</w:t>
      </w:r>
      <w:r w:rsidR="003018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investiții pentru implementarea sistemului informațional de prelucrare a datelor </w:t>
      </w:r>
      <w:r w:rsidR="00301857" w:rsidRPr="009772A3">
        <w:rPr>
          <w:rFonts w:asciiTheme="majorHAnsi" w:hAnsiTheme="majorHAnsi" w:cstheme="majorHAnsi"/>
          <w:sz w:val="24"/>
          <w:szCs w:val="24"/>
          <w:lang w:val="ro-MD"/>
        </w:rPr>
        <w:t>privind</w:t>
      </w:r>
      <w:r w:rsidRPr="009772A3">
        <w:rPr>
          <w:rFonts w:asciiTheme="majorHAnsi" w:hAnsiTheme="majorHAnsi" w:cstheme="majorHAnsi"/>
          <w:sz w:val="24"/>
          <w:szCs w:val="24"/>
          <w:lang w:val="ro-MD"/>
        </w:rPr>
        <w:t xml:space="preserve"> </w:t>
      </w:r>
      <w:r w:rsidR="006B4E72" w:rsidRPr="009772A3">
        <w:rPr>
          <w:rFonts w:asciiTheme="majorHAnsi" w:hAnsiTheme="majorHAnsi" w:cstheme="majorHAnsi"/>
          <w:sz w:val="24"/>
          <w:szCs w:val="24"/>
          <w:lang w:val="ro-MD"/>
        </w:rPr>
        <w:t>furnizare</w:t>
      </w:r>
      <w:r w:rsidRPr="009772A3">
        <w:rPr>
          <w:rFonts w:asciiTheme="majorHAnsi" w:hAnsiTheme="majorHAnsi" w:cstheme="majorHAnsi"/>
          <w:sz w:val="24"/>
          <w:szCs w:val="24"/>
          <w:lang w:val="ro-MD"/>
        </w:rPr>
        <w:t>a gazelor naturale și evidenț</w:t>
      </w:r>
      <w:r w:rsidR="00301857"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consumatorilor, bazat pe platforma Oracle, în valoare totală de 132.399,8 mii lei. </w:t>
      </w:r>
    </w:p>
    <w:p w14:paraId="1EA4B245" w14:textId="5DC2B982" w:rsidR="007C0E8F" w:rsidRPr="009772A3" w:rsidRDefault="007C0E8F" w:rsidP="007C0E8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au fost efectuate investiții semnificative pentru eficientizarea procesului de prelucrare a datelor </w:t>
      </w:r>
      <w:r w:rsidR="00301857" w:rsidRPr="009772A3">
        <w:rPr>
          <w:rFonts w:asciiTheme="majorHAnsi" w:hAnsiTheme="majorHAnsi" w:cstheme="majorHAnsi"/>
          <w:sz w:val="24"/>
          <w:szCs w:val="24"/>
          <w:lang w:val="ro-MD"/>
        </w:rPr>
        <w:t>privind</w:t>
      </w:r>
      <w:r w:rsidRPr="009772A3">
        <w:rPr>
          <w:rFonts w:asciiTheme="majorHAnsi" w:hAnsiTheme="majorHAnsi" w:cstheme="majorHAnsi"/>
          <w:sz w:val="24"/>
          <w:szCs w:val="24"/>
          <w:lang w:val="ro-MD"/>
        </w:rPr>
        <w:t xml:space="preserve"> livrarea gazelor naturale și evidenț</w:t>
      </w:r>
      <w:r w:rsidR="00301857"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consumatorilor, acestea nu au fost acceptate pentru recuperare prin tarif de către ANRE</w:t>
      </w:r>
      <w:r w:rsidR="004E34D9" w:rsidRPr="009772A3">
        <w:rPr>
          <w:rStyle w:val="FootnoteReference"/>
          <w:rFonts w:asciiTheme="majorHAnsi" w:hAnsiTheme="majorHAnsi" w:cstheme="majorHAnsi"/>
          <w:sz w:val="24"/>
          <w:szCs w:val="24"/>
          <w:lang w:val="ro-MD"/>
        </w:rPr>
        <w:footnoteReference w:id="63"/>
      </w:r>
      <w:r w:rsidRPr="009772A3">
        <w:rPr>
          <w:rFonts w:asciiTheme="majorHAnsi" w:hAnsiTheme="majorHAnsi" w:cstheme="majorHAnsi"/>
          <w:sz w:val="24"/>
          <w:szCs w:val="24"/>
          <w:lang w:val="ro-MD"/>
        </w:rPr>
        <w:t xml:space="preserve">, din </w:t>
      </w:r>
      <w:r w:rsidR="00301857" w:rsidRPr="009772A3">
        <w:rPr>
          <w:rFonts w:asciiTheme="majorHAnsi" w:hAnsiTheme="majorHAnsi" w:cstheme="majorHAnsi"/>
          <w:sz w:val="24"/>
          <w:szCs w:val="24"/>
          <w:lang w:val="ro-MD"/>
        </w:rPr>
        <w:t>cauza</w:t>
      </w:r>
      <w:r w:rsidRPr="009772A3">
        <w:rPr>
          <w:rFonts w:asciiTheme="majorHAnsi" w:hAnsiTheme="majorHAnsi" w:cstheme="majorHAnsi"/>
          <w:sz w:val="24"/>
          <w:szCs w:val="24"/>
          <w:lang w:val="ro-MD"/>
        </w:rPr>
        <w:t xml:space="preserve"> </w:t>
      </w:r>
      <w:r w:rsidR="00333834" w:rsidRPr="005142F3">
        <w:rPr>
          <w:rFonts w:asciiTheme="majorHAnsi" w:hAnsiTheme="majorHAnsi" w:cstheme="majorHAnsi"/>
          <w:sz w:val="24"/>
          <w:szCs w:val="24"/>
          <w:lang w:val="ro-MD"/>
        </w:rPr>
        <w:t>ne</w:t>
      </w:r>
      <w:r w:rsidR="00277317" w:rsidRPr="005142F3">
        <w:rPr>
          <w:rFonts w:asciiTheme="majorHAnsi" w:hAnsiTheme="majorHAnsi" w:cstheme="majorHAnsi"/>
          <w:sz w:val="24"/>
          <w:szCs w:val="24"/>
          <w:lang w:val="ro-MD"/>
        </w:rPr>
        <w:t xml:space="preserve">prezentării unor argumente și calcule </w:t>
      </w:r>
      <w:r w:rsidR="00333834" w:rsidRPr="009772A3">
        <w:rPr>
          <w:rFonts w:asciiTheme="majorHAnsi" w:hAnsiTheme="majorHAnsi" w:cstheme="majorHAnsi"/>
          <w:sz w:val="24"/>
          <w:szCs w:val="24"/>
          <w:lang w:val="ro-MD"/>
        </w:rPr>
        <w:t xml:space="preserve">conforme că </w:t>
      </w:r>
      <w:r w:rsidRPr="009772A3">
        <w:rPr>
          <w:rFonts w:asciiTheme="majorHAnsi" w:hAnsiTheme="majorHAnsi" w:cstheme="majorHAnsi"/>
          <w:sz w:val="24"/>
          <w:szCs w:val="24"/>
          <w:lang w:val="ro-MD"/>
        </w:rPr>
        <w:t xml:space="preserve">resursele financiare utilizate </w:t>
      </w:r>
      <w:r w:rsidR="00C17906" w:rsidRPr="009772A3">
        <w:rPr>
          <w:rFonts w:asciiTheme="majorHAnsi" w:hAnsiTheme="majorHAnsi" w:cstheme="majorHAnsi"/>
          <w:sz w:val="24"/>
          <w:szCs w:val="24"/>
          <w:lang w:val="ro-MD"/>
        </w:rPr>
        <w:t xml:space="preserve">pentru implementarea noului sistem informațional </w:t>
      </w:r>
      <w:r w:rsidRPr="009772A3">
        <w:rPr>
          <w:rFonts w:asciiTheme="majorHAnsi" w:hAnsiTheme="majorHAnsi" w:cstheme="majorHAnsi"/>
          <w:sz w:val="24"/>
          <w:szCs w:val="24"/>
          <w:lang w:val="ro-MD"/>
        </w:rPr>
        <w:t>au fost orientate spre optimizarea activității și reducerea cheltuielilor aferente. Prin urmare, atât investițiile, cât și costurile ulterioare pentru menținerea SI Oracle în buna funcțiune, prin cheltuieli de mentenanță, care au însumat la sfârșitul perioadei auditate 24.488,33 mii lei, urmau a fi suportate din alte surse dec</w:t>
      </w:r>
      <w:r w:rsidR="0030185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 veniturile reglementate, dat fiind că organele de conducere a</w:t>
      </w:r>
      <w:r w:rsidR="00301857"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SA Moldovagaz nu au indicat alte surse</w:t>
      </w:r>
      <w:r w:rsidR="006B4E72" w:rsidRPr="009772A3">
        <w:rPr>
          <w:rFonts w:asciiTheme="majorHAnsi" w:hAnsiTheme="majorHAnsi" w:cstheme="majorHAnsi"/>
          <w:sz w:val="24"/>
          <w:szCs w:val="24"/>
          <w:lang w:val="ro-MD"/>
        </w:rPr>
        <w:t>. Ca surse alternative de finanțare</w:t>
      </w:r>
      <w:r w:rsidR="001C4191">
        <w:rPr>
          <w:rFonts w:asciiTheme="majorHAnsi" w:hAnsiTheme="majorHAnsi" w:cstheme="majorHAnsi"/>
          <w:sz w:val="24"/>
          <w:szCs w:val="24"/>
          <w:lang w:val="ro-MD"/>
        </w:rPr>
        <w:t xml:space="preserve"> </w:t>
      </w:r>
      <w:r w:rsidR="00015138" w:rsidRPr="009772A3">
        <w:rPr>
          <w:rFonts w:asciiTheme="majorHAnsi" w:hAnsiTheme="majorHAnsi" w:cstheme="majorHAnsi"/>
          <w:sz w:val="24"/>
          <w:szCs w:val="24"/>
          <w:lang w:val="ro-MD"/>
        </w:rPr>
        <w:t xml:space="preserve">puteau servi doar </w:t>
      </w:r>
      <w:r w:rsidRPr="009772A3">
        <w:rPr>
          <w:rFonts w:asciiTheme="majorHAnsi" w:hAnsiTheme="majorHAnsi" w:cstheme="majorHAnsi"/>
          <w:sz w:val="24"/>
          <w:szCs w:val="24"/>
          <w:lang w:val="ro-MD"/>
        </w:rPr>
        <w:t>rentabilitatea activității reglementate și v</w:t>
      </w:r>
      <w:r w:rsidR="00301857"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nzarea patrimoniului entităților deținute.</w:t>
      </w:r>
    </w:p>
    <w:p w14:paraId="53295CBD" w14:textId="5ADBFBD7" w:rsidR="00630ACE" w:rsidRDefault="00882A4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i/>
          <w:sz w:val="24"/>
          <w:szCs w:val="24"/>
          <w:lang w:val="ro-MD"/>
        </w:rPr>
        <w:t xml:space="preserve">Notă: </w:t>
      </w:r>
      <w:r w:rsidR="00B8790D" w:rsidRPr="009772A3">
        <w:rPr>
          <w:rFonts w:asciiTheme="majorHAnsi" w:hAnsiTheme="majorHAnsi" w:cstheme="majorHAnsi"/>
          <w:sz w:val="24"/>
          <w:szCs w:val="24"/>
          <w:lang w:val="ro-MD"/>
        </w:rPr>
        <w:t xml:space="preserve">SA Moldovagaz explică că </w:t>
      </w:r>
      <w:r w:rsidR="00630ACE" w:rsidRPr="009772A3">
        <w:rPr>
          <w:rFonts w:asciiTheme="majorHAnsi" w:hAnsiTheme="majorHAnsi" w:cstheme="majorHAnsi"/>
          <w:sz w:val="24"/>
          <w:szCs w:val="24"/>
          <w:lang w:val="ro-MD"/>
        </w:rPr>
        <w:t>necesitatea implementării n</w:t>
      </w:r>
      <w:r w:rsidR="00015138" w:rsidRPr="009772A3">
        <w:rPr>
          <w:rFonts w:asciiTheme="majorHAnsi" w:hAnsiTheme="majorHAnsi" w:cstheme="majorHAnsi"/>
          <w:sz w:val="24"/>
          <w:szCs w:val="24"/>
          <w:lang w:val="ro-MD"/>
        </w:rPr>
        <w:t>o</w:t>
      </w:r>
      <w:r w:rsidR="00630ACE" w:rsidRPr="009772A3">
        <w:rPr>
          <w:rFonts w:asciiTheme="majorHAnsi" w:hAnsiTheme="majorHAnsi" w:cstheme="majorHAnsi"/>
          <w:sz w:val="24"/>
          <w:szCs w:val="24"/>
          <w:lang w:val="ro-MD"/>
        </w:rPr>
        <w:t xml:space="preserve">ului sistem informațional a apărut </w:t>
      </w:r>
      <w:r w:rsidR="00015138" w:rsidRPr="009772A3">
        <w:rPr>
          <w:rFonts w:asciiTheme="majorHAnsi" w:hAnsiTheme="majorHAnsi" w:cstheme="majorHAnsi"/>
          <w:sz w:val="24"/>
          <w:szCs w:val="24"/>
          <w:lang w:val="ro-MD"/>
        </w:rPr>
        <w:t xml:space="preserve">ca urmare a prevederilor </w:t>
      </w:r>
      <w:r w:rsidR="00B8790D" w:rsidRPr="009772A3">
        <w:rPr>
          <w:rFonts w:asciiTheme="majorHAnsi" w:hAnsiTheme="majorHAnsi" w:cstheme="majorHAnsi"/>
          <w:sz w:val="24"/>
          <w:szCs w:val="24"/>
          <w:lang w:val="ro-MD"/>
        </w:rPr>
        <w:t xml:space="preserve">Legii </w:t>
      </w:r>
      <w:r w:rsidR="00015138" w:rsidRPr="009772A3">
        <w:rPr>
          <w:rFonts w:asciiTheme="majorHAnsi" w:hAnsiTheme="majorHAnsi" w:cstheme="majorHAnsi"/>
          <w:sz w:val="24"/>
          <w:szCs w:val="24"/>
          <w:lang w:val="ro-MD"/>
        </w:rPr>
        <w:t>nr.</w:t>
      </w:r>
      <w:r w:rsidR="00B8790D" w:rsidRPr="009772A3">
        <w:rPr>
          <w:rFonts w:asciiTheme="majorHAnsi" w:hAnsiTheme="majorHAnsi" w:cstheme="majorHAnsi"/>
          <w:sz w:val="24"/>
          <w:szCs w:val="24"/>
          <w:lang w:val="ro-MD"/>
        </w:rPr>
        <w:t xml:space="preserve">123 </w:t>
      </w:r>
      <w:r w:rsidR="00015138" w:rsidRPr="009772A3">
        <w:rPr>
          <w:rFonts w:asciiTheme="majorHAnsi" w:hAnsiTheme="majorHAnsi" w:cstheme="majorHAnsi"/>
          <w:sz w:val="24"/>
          <w:szCs w:val="24"/>
          <w:lang w:val="ro-MD"/>
        </w:rPr>
        <w:t xml:space="preserve">din 23.12.2009 </w:t>
      </w:r>
      <w:r w:rsidR="00F32079" w:rsidRPr="009772A3">
        <w:rPr>
          <w:rFonts w:asciiTheme="majorHAnsi" w:hAnsiTheme="majorHAnsi" w:cstheme="majorHAnsi"/>
          <w:sz w:val="24"/>
          <w:szCs w:val="24"/>
          <w:lang w:val="ro-MD"/>
        </w:rPr>
        <w:t>c</w:t>
      </w:r>
      <w:r w:rsidR="00B8790D" w:rsidRPr="009772A3">
        <w:rPr>
          <w:rFonts w:asciiTheme="majorHAnsi" w:hAnsiTheme="majorHAnsi" w:cstheme="majorHAnsi"/>
          <w:sz w:val="24"/>
          <w:szCs w:val="24"/>
          <w:lang w:val="ro-MD"/>
        </w:rPr>
        <w:t>u privire la gaze</w:t>
      </w:r>
      <w:r w:rsidR="00F32079" w:rsidRPr="009772A3">
        <w:rPr>
          <w:rFonts w:asciiTheme="majorHAnsi" w:hAnsiTheme="majorHAnsi" w:cstheme="majorHAnsi"/>
          <w:sz w:val="24"/>
          <w:szCs w:val="24"/>
          <w:lang w:val="ro-MD"/>
        </w:rPr>
        <w:t>le</w:t>
      </w:r>
      <w:r w:rsidR="00B8790D" w:rsidRPr="009772A3">
        <w:rPr>
          <w:rFonts w:asciiTheme="majorHAnsi" w:hAnsiTheme="majorHAnsi" w:cstheme="majorHAnsi"/>
          <w:sz w:val="24"/>
          <w:szCs w:val="24"/>
          <w:lang w:val="ro-MD"/>
        </w:rPr>
        <w:t xml:space="preserve"> naturale și Legii nr.108 din 27.05.2016 </w:t>
      </w:r>
      <w:r w:rsidR="00F32079" w:rsidRPr="009772A3">
        <w:rPr>
          <w:rFonts w:asciiTheme="majorHAnsi" w:hAnsiTheme="majorHAnsi" w:cstheme="majorHAnsi"/>
          <w:sz w:val="24"/>
          <w:szCs w:val="24"/>
          <w:lang w:val="ro-MD"/>
        </w:rPr>
        <w:t>c</w:t>
      </w:r>
      <w:r w:rsidR="00B8790D" w:rsidRPr="009772A3">
        <w:rPr>
          <w:rFonts w:asciiTheme="majorHAnsi" w:hAnsiTheme="majorHAnsi" w:cstheme="majorHAnsi"/>
          <w:sz w:val="24"/>
          <w:szCs w:val="24"/>
          <w:lang w:val="ro-MD"/>
        </w:rPr>
        <w:t>u privire la gaze</w:t>
      </w:r>
      <w:r w:rsidR="00F32079" w:rsidRPr="009772A3">
        <w:rPr>
          <w:rFonts w:asciiTheme="majorHAnsi" w:hAnsiTheme="majorHAnsi" w:cstheme="majorHAnsi"/>
          <w:sz w:val="24"/>
          <w:szCs w:val="24"/>
          <w:lang w:val="ro-MD"/>
        </w:rPr>
        <w:t>le</w:t>
      </w:r>
      <w:r w:rsidR="00B8790D" w:rsidRPr="009772A3">
        <w:rPr>
          <w:rFonts w:asciiTheme="majorHAnsi" w:hAnsiTheme="majorHAnsi" w:cstheme="majorHAnsi"/>
          <w:sz w:val="24"/>
          <w:szCs w:val="24"/>
          <w:lang w:val="ro-MD"/>
        </w:rPr>
        <w:t xml:space="preserve"> naturale</w:t>
      </w:r>
      <w:r w:rsidR="00F32079" w:rsidRPr="009772A3">
        <w:rPr>
          <w:rFonts w:asciiTheme="majorHAnsi" w:hAnsiTheme="majorHAnsi" w:cstheme="majorHAnsi"/>
          <w:sz w:val="24"/>
          <w:szCs w:val="24"/>
          <w:lang w:val="ro-MD"/>
        </w:rPr>
        <w:t>,</w:t>
      </w:r>
      <w:r w:rsidR="00B8790D" w:rsidRPr="009772A3">
        <w:rPr>
          <w:rFonts w:asciiTheme="majorHAnsi" w:hAnsiTheme="majorHAnsi" w:cstheme="majorHAnsi"/>
          <w:sz w:val="24"/>
          <w:szCs w:val="24"/>
          <w:lang w:val="ro-MD"/>
        </w:rPr>
        <w:t xml:space="preserve"> </w:t>
      </w:r>
      <w:r w:rsidR="00630ACE" w:rsidRPr="009772A3">
        <w:rPr>
          <w:rFonts w:asciiTheme="majorHAnsi" w:hAnsiTheme="majorHAnsi" w:cstheme="majorHAnsi"/>
          <w:sz w:val="24"/>
          <w:szCs w:val="24"/>
          <w:lang w:val="ro-MD"/>
        </w:rPr>
        <w:t xml:space="preserve">prin care </w:t>
      </w:r>
      <w:r w:rsidR="00B8790D" w:rsidRPr="009772A3">
        <w:rPr>
          <w:rFonts w:asciiTheme="majorHAnsi" w:hAnsiTheme="majorHAnsi" w:cstheme="majorHAnsi"/>
          <w:sz w:val="24"/>
          <w:szCs w:val="24"/>
          <w:lang w:val="ro-MD"/>
        </w:rPr>
        <w:t>se impunea separarea activităților de furnizare și distribuție a gazelor naturale</w:t>
      </w:r>
      <w:r w:rsidR="00015138" w:rsidRPr="009772A3">
        <w:rPr>
          <w:rFonts w:asciiTheme="majorHAnsi" w:hAnsiTheme="majorHAnsi" w:cstheme="majorHAnsi"/>
          <w:sz w:val="24"/>
          <w:szCs w:val="24"/>
          <w:lang w:val="ro-MD"/>
        </w:rPr>
        <w:t>. Astfel</w:t>
      </w:r>
      <w:r w:rsidR="00B8790D" w:rsidRPr="009772A3">
        <w:rPr>
          <w:rFonts w:asciiTheme="majorHAnsi" w:hAnsiTheme="majorHAnsi" w:cstheme="majorHAnsi"/>
          <w:sz w:val="24"/>
          <w:szCs w:val="24"/>
          <w:lang w:val="ro-MD"/>
        </w:rPr>
        <w:t xml:space="preserve">, exploatarea de mai departe a sistemelor informaționale existente „SI-GAZ” și </w:t>
      </w:r>
      <w:r w:rsidR="00F32079" w:rsidRPr="009772A3">
        <w:rPr>
          <w:rFonts w:asciiTheme="majorHAnsi" w:hAnsiTheme="majorHAnsi" w:cstheme="majorHAnsi"/>
          <w:sz w:val="24"/>
          <w:szCs w:val="24"/>
          <w:lang w:val="ro-MD"/>
        </w:rPr>
        <w:t>„</w:t>
      </w:r>
      <w:r w:rsidR="00B8790D" w:rsidRPr="009772A3">
        <w:rPr>
          <w:rFonts w:asciiTheme="majorHAnsi" w:hAnsiTheme="majorHAnsi" w:cstheme="majorHAnsi"/>
          <w:sz w:val="24"/>
          <w:szCs w:val="24"/>
          <w:lang w:val="ro-MD"/>
        </w:rPr>
        <w:t>Gazovic”</w:t>
      </w:r>
      <w:r w:rsidR="00F32079" w:rsidRPr="009772A3">
        <w:rPr>
          <w:rFonts w:asciiTheme="majorHAnsi" w:hAnsiTheme="majorHAnsi" w:cstheme="majorHAnsi"/>
          <w:sz w:val="24"/>
          <w:szCs w:val="24"/>
          <w:lang w:val="ro-MD"/>
        </w:rPr>
        <w:t>,</w:t>
      </w:r>
      <w:r w:rsidR="00B8790D" w:rsidRPr="009772A3">
        <w:rPr>
          <w:rFonts w:asciiTheme="majorHAnsi" w:hAnsiTheme="majorHAnsi" w:cstheme="majorHAnsi"/>
          <w:sz w:val="24"/>
          <w:szCs w:val="24"/>
          <w:lang w:val="ro-MD"/>
        </w:rPr>
        <w:t xml:space="preserve"> în care conceptual nu era prevăzut</w:t>
      </w:r>
      <w:r w:rsidR="00F32079" w:rsidRPr="009772A3">
        <w:rPr>
          <w:rFonts w:asciiTheme="majorHAnsi" w:hAnsiTheme="majorHAnsi" w:cstheme="majorHAnsi"/>
          <w:sz w:val="24"/>
          <w:szCs w:val="24"/>
          <w:lang w:val="ro-MD"/>
        </w:rPr>
        <w:t>ă</w:t>
      </w:r>
      <w:r w:rsidR="00B8790D" w:rsidRPr="009772A3">
        <w:rPr>
          <w:rFonts w:asciiTheme="majorHAnsi" w:hAnsiTheme="majorHAnsi" w:cstheme="majorHAnsi"/>
          <w:sz w:val="24"/>
          <w:szCs w:val="24"/>
          <w:lang w:val="ro-MD"/>
        </w:rPr>
        <w:t xml:space="preserve"> o astfel de procesare a fluxurilor informaționale, presupunea reprogramarea acestor sisteme. În total</w:t>
      </w:r>
      <w:r w:rsidR="00F32079" w:rsidRPr="009772A3">
        <w:rPr>
          <w:rFonts w:asciiTheme="majorHAnsi" w:hAnsiTheme="majorHAnsi" w:cstheme="majorHAnsi"/>
          <w:sz w:val="24"/>
          <w:szCs w:val="24"/>
          <w:lang w:val="ro-MD"/>
        </w:rPr>
        <w:t>,</w:t>
      </w:r>
      <w:r w:rsidR="00B8790D" w:rsidRPr="009772A3">
        <w:rPr>
          <w:rFonts w:asciiTheme="majorHAnsi" w:hAnsiTheme="majorHAnsi" w:cstheme="majorHAnsi"/>
          <w:sz w:val="24"/>
          <w:szCs w:val="24"/>
          <w:lang w:val="ro-MD"/>
        </w:rPr>
        <w:t xml:space="preserve"> existau 23 de baze </w:t>
      </w:r>
      <w:r w:rsidR="00015138" w:rsidRPr="009772A3">
        <w:rPr>
          <w:rFonts w:asciiTheme="majorHAnsi" w:hAnsiTheme="majorHAnsi" w:cstheme="majorHAnsi"/>
          <w:sz w:val="24"/>
          <w:szCs w:val="24"/>
          <w:lang w:val="ro-MD"/>
        </w:rPr>
        <w:t xml:space="preserve">de </w:t>
      </w:r>
      <w:r w:rsidR="00B8790D" w:rsidRPr="009772A3">
        <w:rPr>
          <w:rFonts w:asciiTheme="majorHAnsi" w:hAnsiTheme="majorHAnsi" w:cstheme="majorHAnsi"/>
          <w:sz w:val="24"/>
          <w:szCs w:val="24"/>
          <w:lang w:val="ro-MD"/>
        </w:rPr>
        <w:t>date de evidență a distribuției și furnizării gazelor naturale și fiecare din</w:t>
      </w:r>
      <w:r w:rsidR="00F32079" w:rsidRPr="009772A3">
        <w:rPr>
          <w:rFonts w:asciiTheme="majorHAnsi" w:hAnsiTheme="majorHAnsi" w:cstheme="majorHAnsi"/>
          <w:sz w:val="24"/>
          <w:szCs w:val="24"/>
          <w:lang w:val="ro-MD"/>
        </w:rPr>
        <w:t>tre</w:t>
      </w:r>
      <w:r w:rsidR="00B8790D" w:rsidRPr="009772A3">
        <w:rPr>
          <w:rFonts w:asciiTheme="majorHAnsi" w:hAnsiTheme="majorHAnsi" w:cstheme="majorHAnsi"/>
          <w:sz w:val="24"/>
          <w:szCs w:val="24"/>
          <w:lang w:val="ro-MD"/>
        </w:rPr>
        <w:t xml:space="preserve"> ele aveau configurații proprii a</w:t>
      </w:r>
      <w:r w:rsidR="00F32079" w:rsidRPr="009772A3">
        <w:rPr>
          <w:rFonts w:asciiTheme="majorHAnsi" w:hAnsiTheme="majorHAnsi" w:cstheme="majorHAnsi"/>
          <w:sz w:val="24"/>
          <w:szCs w:val="24"/>
          <w:lang w:val="ro-MD"/>
        </w:rPr>
        <w:t>le</w:t>
      </w:r>
      <w:r w:rsidR="00B8790D" w:rsidRPr="009772A3">
        <w:rPr>
          <w:rFonts w:asciiTheme="majorHAnsi" w:hAnsiTheme="majorHAnsi" w:cstheme="majorHAnsi"/>
          <w:sz w:val="24"/>
          <w:szCs w:val="24"/>
          <w:lang w:val="ro-MD"/>
        </w:rPr>
        <w:t xml:space="preserve"> acestor sisteme. Acest</w:t>
      </w:r>
      <w:r w:rsidR="00F32079" w:rsidRPr="009772A3">
        <w:rPr>
          <w:rFonts w:asciiTheme="majorHAnsi" w:hAnsiTheme="majorHAnsi" w:cstheme="majorHAnsi"/>
          <w:sz w:val="24"/>
          <w:szCs w:val="24"/>
          <w:lang w:val="ro-MD"/>
        </w:rPr>
        <w:t xml:space="preserve"> fapt</w:t>
      </w:r>
      <w:r w:rsidR="00B8790D" w:rsidRPr="009772A3">
        <w:rPr>
          <w:rFonts w:asciiTheme="majorHAnsi" w:hAnsiTheme="majorHAnsi" w:cstheme="majorHAnsi"/>
          <w:sz w:val="24"/>
          <w:szCs w:val="24"/>
          <w:lang w:val="ro-MD"/>
        </w:rPr>
        <w:t xml:space="preserve"> făcea imposibil</w:t>
      </w:r>
      <w:r w:rsidR="00F32079" w:rsidRPr="009772A3">
        <w:rPr>
          <w:rFonts w:asciiTheme="majorHAnsi" w:hAnsiTheme="majorHAnsi" w:cstheme="majorHAnsi"/>
          <w:sz w:val="24"/>
          <w:szCs w:val="24"/>
          <w:lang w:val="ro-MD"/>
        </w:rPr>
        <w:t>ă</w:t>
      </w:r>
      <w:r w:rsidR="00B8790D" w:rsidRPr="009772A3">
        <w:rPr>
          <w:rFonts w:asciiTheme="majorHAnsi" w:hAnsiTheme="majorHAnsi" w:cstheme="majorHAnsi"/>
          <w:sz w:val="24"/>
          <w:szCs w:val="24"/>
          <w:lang w:val="ro-MD"/>
        </w:rPr>
        <w:t xml:space="preserve"> vizualizarea, analiza și raportarea unificată și centralizată la nivel de ramură și întreprinde</w:t>
      </w:r>
      <w:r w:rsidR="00F32079" w:rsidRPr="009772A3">
        <w:rPr>
          <w:rFonts w:asciiTheme="majorHAnsi" w:hAnsiTheme="majorHAnsi" w:cstheme="majorHAnsi"/>
          <w:sz w:val="24"/>
          <w:szCs w:val="24"/>
          <w:lang w:val="ro-MD"/>
        </w:rPr>
        <w:t>rea</w:t>
      </w:r>
      <w:r w:rsidR="00B8790D" w:rsidRPr="009772A3">
        <w:rPr>
          <w:rFonts w:asciiTheme="majorHAnsi" w:hAnsiTheme="majorHAnsi" w:cstheme="majorHAnsi"/>
          <w:sz w:val="24"/>
          <w:szCs w:val="24"/>
          <w:lang w:val="ro-MD"/>
        </w:rPr>
        <w:t xml:space="preserve"> măsuri</w:t>
      </w:r>
      <w:r w:rsidR="00F32079" w:rsidRPr="009772A3">
        <w:rPr>
          <w:rFonts w:asciiTheme="majorHAnsi" w:hAnsiTheme="majorHAnsi" w:cstheme="majorHAnsi"/>
          <w:sz w:val="24"/>
          <w:szCs w:val="24"/>
          <w:lang w:val="ro-MD"/>
        </w:rPr>
        <w:t>lor</w:t>
      </w:r>
      <w:r w:rsidR="00B8790D" w:rsidRPr="009772A3">
        <w:rPr>
          <w:rFonts w:asciiTheme="majorHAnsi" w:hAnsiTheme="majorHAnsi" w:cstheme="majorHAnsi"/>
          <w:sz w:val="24"/>
          <w:szCs w:val="24"/>
          <w:lang w:val="ro-MD"/>
        </w:rPr>
        <w:t xml:space="preserve"> operative privind lucru</w:t>
      </w:r>
      <w:r w:rsidR="00F32079" w:rsidRPr="009772A3">
        <w:rPr>
          <w:rFonts w:asciiTheme="majorHAnsi" w:hAnsiTheme="majorHAnsi" w:cstheme="majorHAnsi"/>
          <w:sz w:val="24"/>
          <w:szCs w:val="24"/>
          <w:lang w:val="ro-MD"/>
        </w:rPr>
        <w:t>l</w:t>
      </w:r>
      <w:r w:rsidR="00B8790D" w:rsidRPr="009772A3">
        <w:rPr>
          <w:rFonts w:asciiTheme="majorHAnsi" w:hAnsiTheme="majorHAnsi" w:cstheme="majorHAnsi"/>
          <w:sz w:val="24"/>
          <w:szCs w:val="24"/>
          <w:lang w:val="ro-MD"/>
        </w:rPr>
        <w:t xml:space="preserve"> cu debitorii, datoriile acumulate, deconectările și furturile de gaze.</w:t>
      </w:r>
    </w:p>
    <w:p w14:paraId="44595D44" w14:textId="77777777" w:rsidR="001C4191" w:rsidRPr="00CF3AD4" w:rsidRDefault="001C4191">
      <w:pPr>
        <w:spacing w:after="0" w:line="276" w:lineRule="auto"/>
        <w:ind w:firstLine="709"/>
        <w:jc w:val="both"/>
        <w:rPr>
          <w:rFonts w:asciiTheme="majorHAnsi" w:hAnsiTheme="majorHAnsi" w:cstheme="majorHAnsi"/>
          <w:sz w:val="16"/>
          <w:szCs w:val="16"/>
          <w:lang w:val="ro-MD"/>
        </w:rPr>
      </w:pPr>
    </w:p>
    <w:p w14:paraId="1ACC2CBE" w14:textId="420E8DF2" w:rsidR="00A75664" w:rsidRPr="009772A3" w:rsidRDefault="00A75664" w:rsidP="00CF3AD4">
      <w:pPr>
        <w:pStyle w:val="Heading1"/>
        <w:numPr>
          <w:ilvl w:val="3"/>
          <w:numId w:val="2"/>
        </w:numPr>
        <w:tabs>
          <w:tab w:val="left" w:pos="0"/>
        </w:tabs>
        <w:spacing w:before="0"/>
        <w:ind w:left="0" w:firstLine="0"/>
        <w:jc w:val="both"/>
        <w:rPr>
          <w:i/>
          <w:color w:val="auto"/>
          <w:lang w:val="ro-MD"/>
        </w:rPr>
      </w:pPr>
      <w:bookmarkStart w:id="61" w:name="_Toc118885299"/>
      <w:bookmarkStart w:id="62" w:name="_Toc118885449"/>
      <w:bookmarkStart w:id="63" w:name="_Toc118886693"/>
      <w:bookmarkStart w:id="64" w:name="_Toc118964606"/>
      <w:bookmarkStart w:id="65" w:name="_Toc118977816"/>
      <w:bookmarkStart w:id="66" w:name="_Toc119245398"/>
      <w:bookmarkStart w:id="67" w:name="_Toc119496406"/>
      <w:bookmarkEnd w:id="61"/>
      <w:bookmarkEnd w:id="62"/>
      <w:bookmarkEnd w:id="63"/>
      <w:bookmarkEnd w:id="64"/>
      <w:bookmarkEnd w:id="65"/>
      <w:bookmarkEnd w:id="66"/>
      <w:r w:rsidRPr="009772A3">
        <w:rPr>
          <w:i/>
          <w:color w:val="auto"/>
          <w:lang w:val="ro-MD"/>
        </w:rPr>
        <w:t>Disfuncționalitățile proceselor de planificare și executare a investițiilor în infrastructura de distribuție a gazelor naturale produc efecte negative pentru entitățile</w:t>
      </w:r>
      <w:r w:rsidR="00454891" w:rsidRPr="009772A3">
        <w:rPr>
          <w:i/>
          <w:color w:val="auto"/>
          <w:lang w:val="ro-MD"/>
        </w:rPr>
        <w:t xml:space="preserve"> implicate</w:t>
      </w:r>
      <w:r w:rsidRPr="009772A3">
        <w:rPr>
          <w:i/>
          <w:color w:val="auto"/>
          <w:lang w:val="ro-MD"/>
        </w:rPr>
        <w:t>.</w:t>
      </w:r>
      <w:bookmarkEnd w:id="67"/>
    </w:p>
    <w:p w14:paraId="7DA31D5B" w14:textId="1C1D608E" w:rsidR="00A75664" w:rsidRPr="009772A3" w:rsidRDefault="00A75664" w:rsidP="004F4116">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Planificarea și executarea unor investiții în infrastructura de distribuție a gazelor naturale a</w:t>
      </w:r>
      <w:r w:rsidR="00F32079" w:rsidRPr="009772A3">
        <w:rPr>
          <w:rFonts w:asciiTheme="majorHAnsi" w:hAnsiTheme="majorHAnsi" w:cstheme="majorHAnsi"/>
          <w:i/>
          <w:sz w:val="24"/>
          <w:szCs w:val="24"/>
          <w:lang w:val="ro-MD"/>
        </w:rPr>
        <w:t>u</w:t>
      </w:r>
      <w:r w:rsidRPr="009772A3">
        <w:rPr>
          <w:rFonts w:asciiTheme="majorHAnsi" w:hAnsiTheme="majorHAnsi" w:cstheme="majorHAnsi"/>
          <w:i/>
          <w:sz w:val="24"/>
          <w:szCs w:val="24"/>
          <w:lang w:val="ro-MD"/>
        </w:rPr>
        <w:t xml:space="preserve"> </w:t>
      </w:r>
      <w:r w:rsidR="009A4327" w:rsidRPr="009772A3">
        <w:rPr>
          <w:rFonts w:asciiTheme="majorHAnsi" w:hAnsiTheme="majorHAnsi" w:cstheme="majorHAnsi"/>
          <w:i/>
          <w:sz w:val="24"/>
          <w:szCs w:val="24"/>
          <w:lang w:val="ro-MD"/>
        </w:rPr>
        <w:t xml:space="preserve">ignorat </w:t>
      </w:r>
      <w:r w:rsidRPr="009772A3">
        <w:rPr>
          <w:rFonts w:asciiTheme="majorHAnsi" w:hAnsiTheme="majorHAnsi" w:cstheme="majorHAnsi"/>
          <w:i/>
          <w:sz w:val="24"/>
          <w:szCs w:val="24"/>
          <w:lang w:val="ro-MD"/>
        </w:rPr>
        <w:t>reglementările în vigoare aplicabile, ceea ce ulterior a generat neacceptarea acestora spre recuperare prin tarif sau prin taxele de racordare la rețea, precum și formarea creanțelor și datoriilor.</w:t>
      </w:r>
    </w:p>
    <w:p w14:paraId="5D96574B" w14:textId="789AB5B3" w:rsidR="007B6517" w:rsidRPr="009772A3" w:rsidRDefault="00F303F4" w:rsidP="0036250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conform </w:t>
      </w:r>
      <w:r w:rsidR="00A91FB5" w:rsidRPr="009772A3">
        <w:rPr>
          <w:rFonts w:asciiTheme="majorHAnsi" w:hAnsiTheme="majorHAnsi" w:cstheme="majorHAnsi"/>
          <w:sz w:val="24"/>
          <w:szCs w:val="24"/>
          <w:lang w:val="ro-MD"/>
        </w:rPr>
        <w:t>cadrului normativ</w:t>
      </w:r>
      <w:r w:rsidRPr="009772A3">
        <w:rPr>
          <w:rFonts w:asciiTheme="majorHAnsi" w:hAnsiTheme="majorHAnsi" w:cstheme="majorHAnsi"/>
          <w:sz w:val="24"/>
          <w:szCs w:val="24"/>
          <w:vertAlign w:val="superscript"/>
          <w:lang w:val="ro-MD"/>
        </w:rPr>
        <w:footnoteReference w:id="64"/>
      </w:r>
      <w:r w:rsidRPr="009772A3">
        <w:rPr>
          <w:rFonts w:asciiTheme="majorHAnsi" w:hAnsiTheme="majorHAnsi" w:cstheme="majorHAnsi"/>
          <w:sz w:val="24"/>
          <w:szCs w:val="24"/>
          <w:lang w:val="ro-MD"/>
        </w:rPr>
        <w:t>, întreprinderile de distribuție a gazelor naturale efectu</w:t>
      </w:r>
      <w:r w:rsidR="00F32079"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ază investițiile </w:t>
      </w:r>
      <w:r w:rsidR="00F32079" w:rsidRPr="009772A3">
        <w:rPr>
          <w:rFonts w:asciiTheme="majorHAnsi" w:hAnsiTheme="majorHAnsi" w:cstheme="majorHAnsi"/>
          <w:sz w:val="24"/>
          <w:szCs w:val="24"/>
          <w:lang w:val="ro-MD"/>
        </w:rPr>
        <w:t>lor</w:t>
      </w:r>
      <w:r w:rsidRPr="009772A3">
        <w:rPr>
          <w:rFonts w:asciiTheme="majorHAnsi" w:hAnsiTheme="majorHAnsi" w:cstheme="majorHAnsi"/>
          <w:sz w:val="24"/>
          <w:szCs w:val="24"/>
          <w:lang w:val="ro-MD"/>
        </w:rPr>
        <w:t xml:space="preserve"> în infrastructura de transport</w:t>
      </w:r>
      <w:r w:rsidR="00F3207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scopul asigurării transparenței și eficienței achizițiilor, satisfacerii necesităților de bunuri și servicii, inclusiv realizarea lucrărilor de construcție-montaj, participarea largă a furnizorilor/antreprenorilor la procedurile de achiziții și dezvolt</w:t>
      </w:r>
      <w:r w:rsidR="00F32079" w:rsidRPr="009772A3">
        <w:rPr>
          <w:rFonts w:asciiTheme="majorHAnsi" w:hAnsiTheme="majorHAnsi" w:cstheme="majorHAnsi"/>
          <w:sz w:val="24"/>
          <w:szCs w:val="24"/>
          <w:lang w:val="ro-MD"/>
        </w:rPr>
        <w:t>are a</w:t>
      </w:r>
      <w:r w:rsidRPr="009772A3">
        <w:rPr>
          <w:rFonts w:asciiTheme="majorHAnsi" w:hAnsiTheme="majorHAnsi" w:cstheme="majorHAnsi"/>
          <w:sz w:val="24"/>
          <w:szCs w:val="24"/>
          <w:lang w:val="ro-MD"/>
        </w:rPr>
        <w:t xml:space="preserve"> concurenței, </w:t>
      </w:r>
      <w:r w:rsidR="00E86BD5" w:rsidRPr="009772A3">
        <w:rPr>
          <w:rFonts w:asciiTheme="majorHAnsi" w:hAnsiTheme="majorHAnsi" w:cstheme="majorHAnsi"/>
          <w:sz w:val="24"/>
          <w:szCs w:val="24"/>
          <w:lang w:val="ro-MD"/>
        </w:rPr>
        <w:t xml:space="preserve">precum și </w:t>
      </w:r>
      <w:r w:rsidR="004644A9" w:rsidRPr="009772A3">
        <w:rPr>
          <w:rFonts w:asciiTheme="majorHAnsi" w:hAnsiTheme="majorHAnsi" w:cstheme="majorHAnsi"/>
          <w:sz w:val="24"/>
          <w:szCs w:val="24"/>
          <w:lang w:val="ro-MD"/>
        </w:rPr>
        <w:t xml:space="preserve">ținând cont de faptul că </w:t>
      </w:r>
      <w:r w:rsidR="00EF2732" w:rsidRPr="009772A3">
        <w:rPr>
          <w:rFonts w:asciiTheme="majorHAnsi" w:hAnsiTheme="majorHAnsi" w:cstheme="majorHAnsi"/>
          <w:sz w:val="24"/>
          <w:szCs w:val="24"/>
          <w:lang w:val="ro-MD"/>
        </w:rPr>
        <w:t>deși</w:t>
      </w:r>
      <w:r w:rsidR="00E86BD5" w:rsidRPr="009772A3">
        <w:rPr>
          <w:rFonts w:asciiTheme="majorHAnsi" w:hAnsiTheme="majorHAnsi" w:cstheme="majorHAnsi"/>
          <w:sz w:val="24"/>
          <w:szCs w:val="24"/>
          <w:lang w:val="ro-MD"/>
        </w:rPr>
        <w:t xml:space="preserve"> ANRE nu aprobă, în scopul recuperării prin tarif, investiţiile efectuate de titularul de licenţă</w:t>
      </w:r>
      <w:r w:rsidR="00F32079" w:rsidRPr="009772A3">
        <w:rPr>
          <w:rFonts w:asciiTheme="majorHAnsi" w:hAnsiTheme="majorHAnsi" w:cstheme="majorHAnsi"/>
          <w:sz w:val="24"/>
          <w:szCs w:val="24"/>
          <w:lang w:val="ro-MD"/>
        </w:rPr>
        <w:t>,</w:t>
      </w:r>
      <w:r w:rsidR="00E86BD5" w:rsidRPr="009772A3">
        <w:rPr>
          <w:rFonts w:asciiTheme="majorHAnsi" w:hAnsiTheme="majorHAnsi" w:cstheme="majorHAnsi"/>
          <w:sz w:val="24"/>
          <w:szCs w:val="24"/>
          <w:lang w:val="ro-MD"/>
        </w:rPr>
        <w:t xml:space="preserve"> care nu sunt conforme planurilor anuale de investiţii aprobate de Agenţie, </w:t>
      </w:r>
      <w:r w:rsidR="006624B4" w:rsidRPr="009772A3">
        <w:rPr>
          <w:rFonts w:asciiTheme="majorHAnsi" w:hAnsiTheme="majorHAnsi" w:cstheme="majorHAnsi"/>
          <w:sz w:val="24"/>
          <w:szCs w:val="24"/>
          <w:lang w:val="ro-MD"/>
        </w:rPr>
        <w:t>probele colectate de audit denotă că întreprinderile de distribuție a gazelor</w:t>
      </w:r>
      <w:r w:rsidR="00E86BD5"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au admis</w:t>
      </w:r>
      <w:r w:rsidR="00F3207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totuși</w:t>
      </w:r>
      <w:r w:rsidR="00F3207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unele </w:t>
      </w:r>
      <w:r w:rsidR="007B6517" w:rsidRPr="009772A3">
        <w:rPr>
          <w:rFonts w:asciiTheme="majorHAnsi" w:hAnsiTheme="majorHAnsi" w:cstheme="majorHAnsi"/>
          <w:sz w:val="24"/>
          <w:szCs w:val="24"/>
          <w:lang w:val="ro-MD"/>
        </w:rPr>
        <w:t>nereguli și deficiențe la planificarea și efectuarea investițiilor capitale în infrastructura de distribuție a gazel</w:t>
      </w:r>
      <w:r w:rsidRPr="009772A3">
        <w:rPr>
          <w:rFonts w:asciiTheme="majorHAnsi" w:hAnsiTheme="majorHAnsi" w:cstheme="majorHAnsi"/>
          <w:sz w:val="24"/>
          <w:szCs w:val="24"/>
          <w:lang w:val="ro-MD"/>
        </w:rPr>
        <w:t>or naturale, după cum urmează:</w:t>
      </w:r>
    </w:p>
    <w:p w14:paraId="6BFADF92" w14:textId="17125581" w:rsidR="007B6517" w:rsidRPr="009772A3" w:rsidRDefault="008B48DB" w:rsidP="000360DA">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încheierea de către SRL </w:t>
      </w:r>
      <w:r w:rsidR="007B6517" w:rsidRPr="009772A3">
        <w:rPr>
          <w:rFonts w:asciiTheme="majorHAnsi" w:hAnsiTheme="majorHAnsi" w:cstheme="majorHAnsi"/>
          <w:sz w:val="24"/>
          <w:szCs w:val="24"/>
          <w:lang w:val="ro-MD"/>
        </w:rPr>
        <w:t>Ialoveni-</w:t>
      </w:r>
      <w:r w:rsidRPr="009772A3">
        <w:rPr>
          <w:rFonts w:asciiTheme="majorHAnsi" w:hAnsiTheme="majorHAnsi" w:cstheme="majorHAnsi"/>
          <w:sz w:val="24"/>
          <w:szCs w:val="24"/>
          <w:lang w:val="ro-MD"/>
        </w:rPr>
        <w:t>g</w:t>
      </w:r>
      <w:r w:rsidR="007B6517" w:rsidRPr="009772A3">
        <w:rPr>
          <w:rFonts w:asciiTheme="majorHAnsi" w:hAnsiTheme="majorHAnsi" w:cstheme="majorHAnsi"/>
          <w:sz w:val="24"/>
          <w:szCs w:val="24"/>
          <w:lang w:val="ro-MD"/>
        </w:rPr>
        <w:t xml:space="preserve">az a 11 acorduri adiționale </w:t>
      </w:r>
      <w:r w:rsidRPr="009772A3">
        <w:rPr>
          <w:rFonts w:asciiTheme="majorHAnsi" w:hAnsiTheme="majorHAnsi" w:cstheme="majorHAnsi"/>
          <w:sz w:val="24"/>
          <w:szCs w:val="24"/>
          <w:lang w:val="ro-MD"/>
        </w:rPr>
        <w:t xml:space="preserve">la contractele privind realizarea investițiilor de gazificare, </w:t>
      </w:r>
      <w:r w:rsidR="007B6517" w:rsidRPr="009772A3">
        <w:rPr>
          <w:rFonts w:asciiTheme="majorHAnsi" w:hAnsiTheme="majorHAnsi" w:cstheme="majorHAnsi"/>
          <w:sz w:val="24"/>
          <w:szCs w:val="24"/>
          <w:lang w:val="ro-MD"/>
        </w:rPr>
        <w:t>în valoare</w:t>
      </w:r>
      <w:r w:rsidRPr="009772A3">
        <w:rPr>
          <w:rFonts w:asciiTheme="majorHAnsi" w:hAnsiTheme="majorHAnsi" w:cstheme="majorHAnsi"/>
          <w:sz w:val="24"/>
          <w:szCs w:val="24"/>
          <w:lang w:val="ro-MD"/>
        </w:rPr>
        <w:t xml:space="preserve"> totală de 1.</w:t>
      </w:r>
      <w:r w:rsidR="008E1632" w:rsidRPr="009772A3">
        <w:rPr>
          <w:rFonts w:asciiTheme="majorHAnsi" w:hAnsiTheme="majorHAnsi" w:cstheme="majorHAnsi"/>
          <w:sz w:val="24"/>
          <w:szCs w:val="24"/>
          <w:lang w:val="ro-MD"/>
        </w:rPr>
        <w:t xml:space="preserve">502,5 </w:t>
      </w:r>
      <w:r w:rsidRPr="009772A3">
        <w:rPr>
          <w:rFonts w:asciiTheme="majorHAnsi" w:hAnsiTheme="majorHAnsi" w:cstheme="majorHAnsi"/>
          <w:sz w:val="24"/>
          <w:szCs w:val="24"/>
          <w:lang w:val="ro-MD"/>
        </w:rPr>
        <w:t>mii lei,</w:t>
      </w:r>
      <w:r w:rsidR="008E1632" w:rsidRPr="009772A3">
        <w:rPr>
          <w:rFonts w:asciiTheme="majorHAnsi" w:hAnsiTheme="majorHAnsi" w:cstheme="majorHAnsi"/>
          <w:sz w:val="24"/>
          <w:szCs w:val="24"/>
          <w:lang w:val="ro-MD"/>
        </w:rPr>
        <w:t xml:space="preserve"> au fost efectuate </w:t>
      </w:r>
      <w:r w:rsidR="007B6517" w:rsidRPr="009772A3">
        <w:rPr>
          <w:rFonts w:asciiTheme="majorHAnsi" w:hAnsiTheme="majorHAnsi" w:cstheme="majorHAnsi"/>
          <w:sz w:val="24"/>
          <w:szCs w:val="24"/>
          <w:lang w:val="ro-MD"/>
        </w:rPr>
        <w:t>în</w:t>
      </w:r>
      <w:r w:rsidRPr="009772A3">
        <w:rPr>
          <w:rFonts w:asciiTheme="majorHAnsi" w:hAnsiTheme="majorHAnsi" w:cstheme="majorHAnsi"/>
          <w:sz w:val="24"/>
          <w:szCs w:val="24"/>
          <w:lang w:val="ro-MD"/>
        </w:rPr>
        <w:t xml:space="preserve"> lipsa</w:t>
      </w:r>
      <w:r w:rsidR="00F3207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momentul respectiv</w:t>
      </w:r>
      <w:r w:rsidR="00F3207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deciziilor grupului de lucru</w:t>
      </w:r>
      <w:r w:rsidR="008E163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justificate și documentate corespunzător cerințelor normative în vigoare</w:t>
      </w:r>
      <w:r w:rsidR="007B6517" w:rsidRPr="009772A3">
        <w:rPr>
          <w:rFonts w:asciiTheme="majorHAnsi" w:hAnsiTheme="majorHAnsi" w:cstheme="majorHAnsi"/>
          <w:sz w:val="24"/>
          <w:szCs w:val="24"/>
          <w:lang w:val="ro-MD"/>
        </w:rPr>
        <w:t>;</w:t>
      </w:r>
    </w:p>
    <w:p w14:paraId="03FCAE88" w14:textId="6DE765B4" w:rsidR="00344901" w:rsidRPr="009772A3" w:rsidRDefault="00430B09" w:rsidP="000360DA">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e</w:t>
      </w:r>
      <w:r w:rsidR="007B6517" w:rsidRPr="009772A3">
        <w:rPr>
          <w:rFonts w:asciiTheme="majorHAnsi" w:hAnsiTheme="majorHAnsi" w:cstheme="majorHAnsi"/>
          <w:sz w:val="24"/>
          <w:szCs w:val="24"/>
          <w:lang w:val="ro-MD"/>
        </w:rPr>
        <w:t xml:space="preserve">fectuarea </w:t>
      </w:r>
      <w:r w:rsidR="001C3492" w:rsidRPr="009772A3">
        <w:rPr>
          <w:rFonts w:asciiTheme="majorHAnsi" w:hAnsiTheme="majorHAnsi" w:cstheme="majorHAnsi"/>
          <w:sz w:val="24"/>
          <w:szCs w:val="24"/>
          <w:lang w:val="ro-MD"/>
        </w:rPr>
        <w:t xml:space="preserve">în anii 2018-2019 </w:t>
      </w:r>
      <w:r w:rsidR="007B6517" w:rsidRPr="009772A3">
        <w:rPr>
          <w:rFonts w:asciiTheme="majorHAnsi" w:hAnsiTheme="majorHAnsi" w:cstheme="majorHAnsi"/>
          <w:sz w:val="24"/>
          <w:szCs w:val="24"/>
          <w:lang w:val="ro-MD"/>
        </w:rPr>
        <w:t>de către</w:t>
      </w:r>
      <w:r w:rsidR="00344901" w:rsidRPr="009772A3">
        <w:rPr>
          <w:rFonts w:asciiTheme="majorHAnsi" w:hAnsiTheme="majorHAnsi" w:cstheme="majorHAnsi"/>
          <w:sz w:val="24"/>
          <w:szCs w:val="24"/>
          <w:lang w:val="ro-MD"/>
        </w:rPr>
        <w:t xml:space="preserve"> patru societăți de distribuție a gazelor naturale</w:t>
      </w:r>
      <w:r w:rsidR="00344901" w:rsidRPr="009772A3">
        <w:rPr>
          <w:rStyle w:val="FootnoteReference"/>
          <w:rFonts w:asciiTheme="majorHAnsi" w:hAnsiTheme="majorHAnsi" w:cstheme="majorHAnsi"/>
          <w:sz w:val="24"/>
          <w:szCs w:val="24"/>
          <w:lang w:val="ro-MD"/>
        </w:rPr>
        <w:footnoteReference w:id="65"/>
      </w:r>
      <w:r w:rsidR="007B6517" w:rsidRPr="009772A3">
        <w:rPr>
          <w:rFonts w:asciiTheme="majorHAnsi" w:hAnsiTheme="majorHAnsi" w:cstheme="majorHAnsi"/>
          <w:sz w:val="24"/>
          <w:szCs w:val="24"/>
          <w:lang w:val="ro-MD"/>
        </w:rPr>
        <w:t xml:space="preserve"> a lucrărilor de gazificare în valoare de </w:t>
      </w:r>
      <w:r w:rsidR="003046D3" w:rsidRPr="009772A3">
        <w:rPr>
          <w:rFonts w:asciiTheme="majorHAnsi" w:hAnsiTheme="majorHAnsi" w:cstheme="majorHAnsi"/>
          <w:sz w:val="24"/>
          <w:szCs w:val="24"/>
          <w:lang w:val="ro-MD"/>
        </w:rPr>
        <w:t xml:space="preserve">19.750,8 </w:t>
      </w:r>
      <w:r w:rsidRPr="009772A3">
        <w:rPr>
          <w:rFonts w:asciiTheme="majorHAnsi" w:hAnsiTheme="majorHAnsi" w:cstheme="majorHAnsi"/>
          <w:sz w:val="24"/>
          <w:szCs w:val="24"/>
          <w:lang w:val="ro-MD"/>
        </w:rPr>
        <w:t>mii lei</w:t>
      </w:r>
      <w:r w:rsidR="001C3492" w:rsidRPr="009772A3">
        <w:rPr>
          <w:rFonts w:asciiTheme="majorHAnsi" w:hAnsiTheme="majorHAnsi" w:cstheme="majorHAnsi"/>
          <w:sz w:val="24"/>
          <w:szCs w:val="24"/>
          <w:lang w:val="ro-MD"/>
        </w:rPr>
        <w:t xml:space="preserve"> în r-nul Nisporeni</w:t>
      </w:r>
      <w:r w:rsidRPr="009772A3">
        <w:rPr>
          <w:rFonts w:asciiTheme="majorHAnsi" w:hAnsiTheme="majorHAnsi" w:cstheme="majorHAnsi"/>
          <w:sz w:val="24"/>
          <w:szCs w:val="24"/>
          <w:lang w:val="ro-MD"/>
        </w:rPr>
        <w:t>,</w:t>
      </w:r>
      <w:r w:rsidR="003046D3" w:rsidRPr="009772A3">
        <w:rPr>
          <w:rFonts w:asciiTheme="majorHAnsi" w:hAnsiTheme="majorHAnsi" w:cstheme="majorHAnsi"/>
          <w:sz w:val="24"/>
          <w:szCs w:val="24"/>
          <w:lang w:val="ro-MD"/>
        </w:rPr>
        <w:t xml:space="preserve"> pentru construcția a 73</w:t>
      </w:r>
      <w:r w:rsidR="00DD64EC" w:rsidRPr="009772A3">
        <w:rPr>
          <w:rFonts w:asciiTheme="majorHAnsi" w:hAnsiTheme="majorHAnsi" w:cstheme="majorHAnsi"/>
          <w:sz w:val="24"/>
          <w:szCs w:val="24"/>
          <w:lang w:val="ro-MD"/>
        </w:rPr>
        <w:t xml:space="preserve"> </w:t>
      </w:r>
      <w:r w:rsidR="003046D3" w:rsidRPr="009772A3">
        <w:rPr>
          <w:rFonts w:asciiTheme="majorHAnsi" w:hAnsiTheme="majorHAnsi" w:cstheme="majorHAnsi"/>
          <w:sz w:val="24"/>
          <w:szCs w:val="24"/>
          <w:lang w:val="ro-MD"/>
        </w:rPr>
        <w:t>km de rețele de gaze, care nu se aflau</w:t>
      </w:r>
      <w:r w:rsidRPr="009772A3">
        <w:rPr>
          <w:rFonts w:asciiTheme="majorHAnsi" w:hAnsiTheme="majorHAnsi" w:cstheme="majorHAnsi"/>
          <w:sz w:val="24"/>
          <w:szCs w:val="24"/>
          <w:lang w:val="ro-MD"/>
        </w:rPr>
        <w:t xml:space="preserve"> în raz</w:t>
      </w:r>
      <w:r w:rsidR="00344901" w:rsidRPr="009772A3">
        <w:rPr>
          <w:rFonts w:asciiTheme="majorHAnsi" w:hAnsiTheme="majorHAnsi" w:cstheme="majorHAnsi"/>
          <w:sz w:val="24"/>
          <w:szCs w:val="24"/>
          <w:lang w:val="ro-MD"/>
        </w:rPr>
        <w:t>a de activitate a întreprinderilor</w:t>
      </w:r>
      <w:r w:rsidRPr="009772A3">
        <w:rPr>
          <w:rFonts w:asciiTheme="majorHAnsi" w:hAnsiTheme="majorHAnsi" w:cstheme="majorHAnsi"/>
          <w:sz w:val="24"/>
          <w:szCs w:val="24"/>
          <w:lang w:val="ro-MD"/>
        </w:rPr>
        <w:t xml:space="preserve">, a condiționat formarea unor </w:t>
      </w:r>
      <w:r w:rsidR="001C3492" w:rsidRPr="009772A3">
        <w:rPr>
          <w:rFonts w:asciiTheme="majorHAnsi" w:hAnsiTheme="majorHAnsi" w:cstheme="majorHAnsi"/>
          <w:sz w:val="24"/>
          <w:szCs w:val="24"/>
          <w:lang w:val="ro-MD"/>
        </w:rPr>
        <w:t>datorii a</w:t>
      </w:r>
      <w:r w:rsidR="008E71F1" w:rsidRPr="009772A3">
        <w:rPr>
          <w:rFonts w:asciiTheme="majorHAnsi" w:hAnsiTheme="majorHAnsi" w:cstheme="majorHAnsi"/>
          <w:sz w:val="24"/>
          <w:szCs w:val="24"/>
          <w:lang w:val="ro-MD"/>
        </w:rPr>
        <w:t>le</w:t>
      </w:r>
      <w:r w:rsidR="001C3492" w:rsidRPr="009772A3">
        <w:rPr>
          <w:rFonts w:asciiTheme="majorHAnsi" w:hAnsiTheme="majorHAnsi" w:cstheme="majorHAnsi"/>
          <w:sz w:val="24"/>
          <w:szCs w:val="24"/>
          <w:lang w:val="ro-MD"/>
        </w:rPr>
        <w:t xml:space="preserve"> SRL Ungheni-gaz </w:t>
      </w:r>
      <w:r w:rsidR="00344901" w:rsidRPr="009772A3">
        <w:rPr>
          <w:rFonts w:asciiTheme="majorHAnsi" w:hAnsiTheme="majorHAnsi" w:cstheme="majorHAnsi"/>
          <w:sz w:val="24"/>
          <w:szCs w:val="24"/>
          <w:lang w:val="ro-MD"/>
        </w:rPr>
        <w:t xml:space="preserve">cu achitarea </w:t>
      </w:r>
      <w:r w:rsidR="003046D3" w:rsidRPr="009772A3">
        <w:rPr>
          <w:rFonts w:asciiTheme="majorHAnsi" w:hAnsiTheme="majorHAnsi" w:cstheme="majorHAnsi"/>
          <w:sz w:val="24"/>
          <w:szCs w:val="24"/>
          <w:lang w:val="ro-MD"/>
        </w:rPr>
        <w:t xml:space="preserve">eșalonată </w:t>
      </w:r>
      <w:r w:rsidR="00344901" w:rsidRPr="009772A3">
        <w:rPr>
          <w:rFonts w:asciiTheme="majorHAnsi" w:hAnsiTheme="majorHAnsi" w:cstheme="majorHAnsi"/>
          <w:sz w:val="24"/>
          <w:szCs w:val="24"/>
          <w:lang w:val="ro-MD"/>
        </w:rPr>
        <w:t xml:space="preserve">pe o perioadă de </w:t>
      </w:r>
      <w:r w:rsidR="00E85041" w:rsidRPr="009772A3">
        <w:rPr>
          <w:rFonts w:asciiTheme="majorHAnsi" w:hAnsiTheme="majorHAnsi" w:cstheme="majorHAnsi"/>
          <w:sz w:val="24"/>
          <w:szCs w:val="24"/>
          <w:lang w:val="ro-MD"/>
        </w:rPr>
        <w:t>patru</w:t>
      </w:r>
      <w:r w:rsidR="00344901" w:rsidRPr="009772A3">
        <w:rPr>
          <w:rFonts w:asciiTheme="majorHAnsi" w:hAnsiTheme="majorHAnsi" w:cstheme="majorHAnsi"/>
          <w:sz w:val="24"/>
          <w:szCs w:val="24"/>
          <w:lang w:val="ro-MD"/>
        </w:rPr>
        <w:t xml:space="preserve"> ani</w:t>
      </w:r>
      <w:r w:rsidR="008E71F1" w:rsidRPr="009772A3">
        <w:rPr>
          <w:rFonts w:asciiTheme="majorHAnsi" w:hAnsiTheme="majorHAnsi" w:cstheme="majorHAnsi"/>
          <w:sz w:val="24"/>
          <w:szCs w:val="24"/>
          <w:lang w:val="ro-MD"/>
        </w:rPr>
        <w:t>,</w:t>
      </w:r>
      <w:r w:rsidR="00344901" w:rsidRPr="009772A3">
        <w:rPr>
          <w:rFonts w:asciiTheme="majorHAnsi" w:hAnsiTheme="majorHAnsi" w:cstheme="majorHAnsi"/>
          <w:sz w:val="24"/>
          <w:szCs w:val="24"/>
          <w:lang w:val="ro-MD"/>
        </w:rPr>
        <w:t xml:space="preserve"> începând cu 01.01.2025;</w:t>
      </w:r>
    </w:p>
    <w:p w14:paraId="4814FA95" w14:textId="1E3AFC74" w:rsidR="007B6517" w:rsidRPr="009772A3" w:rsidRDefault="001A696E" w:rsidP="000360DA">
      <w:pPr>
        <w:pStyle w:val="ListParagraph"/>
        <w:numPr>
          <w:ilvl w:val="0"/>
          <w:numId w:val="14"/>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investiții</w:t>
      </w:r>
      <w:r w:rsidR="00BB298C"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capitale aferente construcției rețelelor de</w:t>
      </w:r>
      <w:r w:rsidR="00BB298C" w:rsidRPr="009772A3">
        <w:rPr>
          <w:rFonts w:asciiTheme="majorHAnsi" w:hAnsiTheme="majorHAnsi" w:cstheme="majorHAnsi"/>
          <w:sz w:val="24"/>
          <w:szCs w:val="24"/>
          <w:lang w:val="ro-MD"/>
        </w:rPr>
        <w:t xml:space="preserve"> distribuție a</w:t>
      </w:r>
      <w:r w:rsidRPr="009772A3">
        <w:rPr>
          <w:rFonts w:asciiTheme="majorHAnsi" w:hAnsiTheme="majorHAnsi" w:cstheme="majorHAnsi"/>
          <w:sz w:val="24"/>
          <w:szCs w:val="24"/>
          <w:lang w:val="ro-MD"/>
        </w:rPr>
        <w:t xml:space="preserve"> gaze</w:t>
      </w:r>
      <w:r w:rsidR="00BB298C" w:rsidRPr="009772A3">
        <w:rPr>
          <w:rFonts w:asciiTheme="majorHAnsi" w:hAnsiTheme="majorHAnsi" w:cstheme="majorHAnsi"/>
          <w:sz w:val="24"/>
          <w:szCs w:val="24"/>
          <w:lang w:val="ro-MD"/>
        </w:rPr>
        <w:t>lor</w:t>
      </w:r>
      <w:r w:rsidRPr="009772A3">
        <w:rPr>
          <w:rFonts w:asciiTheme="majorHAnsi" w:hAnsiTheme="majorHAnsi" w:cstheme="majorHAnsi"/>
          <w:sz w:val="24"/>
          <w:szCs w:val="24"/>
          <w:lang w:val="ro-MD"/>
        </w:rPr>
        <w:t xml:space="preserve"> naturale p</w:t>
      </w:r>
      <w:r w:rsidR="00BB298C" w:rsidRPr="009772A3">
        <w:rPr>
          <w:rFonts w:asciiTheme="majorHAnsi" w:hAnsiTheme="majorHAnsi" w:cstheme="majorHAnsi"/>
          <w:sz w:val="24"/>
          <w:szCs w:val="24"/>
          <w:lang w:val="ro-MD"/>
        </w:rPr>
        <w:t>entru gazificarea localităților nu au putut fi recuperate pe deplin, dat fiind neracordarea tuturor potențial</w:t>
      </w:r>
      <w:r w:rsidR="00294DEA" w:rsidRPr="009772A3">
        <w:rPr>
          <w:rFonts w:asciiTheme="majorHAnsi" w:hAnsiTheme="majorHAnsi" w:cstheme="majorHAnsi"/>
          <w:sz w:val="24"/>
          <w:szCs w:val="24"/>
          <w:lang w:val="ro-MD"/>
        </w:rPr>
        <w:t>i</w:t>
      </w:r>
      <w:r w:rsidR="00BB298C" w:rsidRPr="009772A3">
        <w:rPr>
          <w:rFonts w:asciiTheme="majorHAnsi" w:hAnsiTheme="majorHAnsi" w:cstheme="majorHAnsi"/>
          <w:sz w:val="24"/>
          <w:szCs w:val="24"/>
          <w:lang w:val="ro-MD"/>
        </w:rPr>
        <w:t xml:space="preserve">lor consumatori la sistemele de gaze. În </w:t>
      </w:r>
      <w:r w:rsidR="00294DEA" w:rsidRPr="009772A3">
        <w:rPr>
          <w:rFonts w:asciiTheme="majorHAnsi" w:hAnsiTheme="majorHAnsi" w:cstheme="majorHAnsi"/>
          <w:sz w:val="24"/>
          <w:szCs w:val="24"/>
          <w:lang w:val="ro-MD"/>
        </w:rPr>
        <w:t xml:space="preserve">acest </w:t>
      </w:r>
      <w:r w:rsidR="00BB298C" w:rsidRPr="009772A3">
        <w:rPr>
          <w:rFonts w:asciiTheme="majorHAnsi" w:hAnsiTheme="majorHAnsi" w:cstheme="majorHAnsi"/>
          <w:sz w:val="24"/>
          <w:szCs w:val="24"/>
          <w:lang w:val="ro-MD"/>
        </w:rPr>
        <w:t>context, de menționat că doar în</w:t>
      </w:r>
      <w:r w:rsidRPr="009772A3">
        <w:rPr>
          <w:rFonts w:asciiTheme="majorHAnsi" w:hAnsiTheme="majorHAnsi" w:cstheme="majorHAnsi"/>
          <w:sz w:val="24"/>
          <w:szCs w:val="24"/>
          <w:lang w:val="ro-MD"/>
        </w:rPr>
        <w:t xml:space="preserve"> mun. Chișinău</w:t>
      </w:r>
      <w:r w:rsidR="00294DE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BB298C" w:rsidRPr="009772A3">
        <w:rPr>
          <w:rFonts w:asciiTheme="majorHAnsi" w:hAnsiTheme="majorHAnsi" w:cstheme="majorHAnsi"/>
          <w:sz w:val="24"/>
          <w:szCs w:val="24"/>
          <w:lang w:val="ro-MD"/>
        </w:rPr>
        <w:t xml:space="preserve">deși s-au efectuat investiții </w:t>
      </w:r>
      <w:r w:rsidRPr="009772A3">
        <w:rPr>
          <w:rFonts w:asciiTheme="majorHAnsi" w:hAnsiTheme="majorHAnsi" w:cstheme="majorHAnsi"/>
          <w:sz w:val="24"/>
          <w:szCs w:val="24"/>
          <w:lang w:val="ro-MD"/>
        </w:rPr>
        <w:t>în sumă totală de 22.487,14 mii lei</w:t>
      </w:r>
      <w:r w:rsidR="00BB298C" w:rsidRPr="009772A3">
        <w:rPr>
          <w:rFonts w:asciiTheme="majorHAnsi" w:hAnsiTheme="majorHAnsi" w:cstheme="majorHAnsi"/>
          <w:sz w:val="24"/>
          <w:szCs w:val="24"/>
          <w:lang w:val="ro-MD"/>
        </w:rPr>
        <w:t>, pentru construcția unor rețele de distribuție</w:t>
      </w:r>
      <w:r w:rsidRPr="009772A3">
        <w:rPr>
          <w:rFonts w:asciiTheme="majorHAnsi" w:hAnsiTheme="majorHAnsi" w:cstheme="majorHAnsi"/>
          <w:sz w:val="24"/>
          <w:szCs w:val="24"/>
          <w:lang w:val="ro-MD"/>
        </w:rPr>
        <w:t xml:space="preserve"> cu o lungime de 63,63 km, planificând să racordeze 1931 de potențiali consumatori și să încaseze </w:t>
      </w:r>
      <w:r w:rsidR="00FE3524" w:rsidRPr="009772A3">
        <w:rPr>
          <w:rFonts w:asciiTheme="majorHAnsi" w:hAnsiTheme="majorHAnsi" w:cstheme="majorHAnsi"/>
          <w:sz w:val="24"/>
          <w:szCs w:val="24"/>
          <w:lang w:val="ro-MD"/>
        </w:rPr>
        <w:t xml:space="preserve">taxe de conectare în sumă </w:t>
      </w:r>
      <w:r w:rsidRPr="009772A3">
        <w:rPr>
          <w:rFonts w:asciiTheme="majorHAnsi" w:hAnsiTheme="majorHAnsi" w:cstheme="majorHAnsi"/>
          <w:sz w:val="24"/>
          <w:szCs w:val="24"/>
          <w:lang w:val="ro-MD"/>
        </w:rPr>
        <w:t>de 5.735,07 mii lei</w:t>
      </w:r>
      <w:r w:rsidRPr="009772A3">
        <w:rPr>
          <w:rFonts w:asciiTheme="majorHAnsi" w:hAnsiTheme="majorHAnsi" w:cstheme="majorHAnsi"/>
          <w:sz w:val="24"/>
          <w:szCs w:val="24"/>
          <w:vertAlign w:val="superscript"/>
          <w:lang w:val="ro-MD"/>
        </w:rPr>
        <w:footnoteReference w:id="66"/>
      </w:r>
      <w:r w:rsidRPr="009772A3">
        <w:rPr>
          <w:rFonts w:asciiTheme="majorHAnsi" w:hAnsiTheme="majorHAnsi" w:cstheme="majorHAnsi"/>
          <w:sz w:val="24"/>
          <w:szCs w:val="24"/>
          <w:lang w:val="ro-MD"/>
        </w:rPr>
        <w:t>, de fapt s</w:t>
      </w:r>
      <w:r w:rsidR="00294DE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au</w:t>
      </w:r>
      <w:r w:rsidR="00BB298C" w:rsidRPr="009772A3">
        <w:rPr>
          <w:rFonts w:asciiTheme="majorHAnsi" w:hAnsiTheme="majorHAnsi" w:cstheme="majorHAnsi"/>
          <w:sz w:val="24"/>
          <w:szCs w:val="24"/>
          <w:lang w:val="ro-MD"/>
        </w:rPr>
        <w:t xml:space="preserve"> racordat doar 475 de consumatori (sau 24,60% din totalul celor planificați)</w:t>
      </w:r>
      <w:r w:rsidR="00294DEA" w:rsidRPr="009772A3">
        <w:rPr>
          <w:rFonts w:asciiTheme="majorHAnsi" w:hAnsiTheme="majorHAnsi" w:cstheme="majorHAnsi"/>
          <w:sz w:val="24"/>
          <w:szCs w:val="24"/>
          <w:lang w:val="ro-MD"/>
        </w:rPr>
        <w:t>,</w:t>
      </w:r>
      <w:r w:rsidR="00BB298C" w:rsidRPr="009772A3">
        <w:rPr>
          <w:rFonts w:asciiTheme="majorHAnsi" w:hAnsiTheme="majorHAnsi" w:cstheme="majorHAnsi"/>
          <w:sz w:val="24"/>
          <w:szCs w:val="24"/>
          <w:lang w:val="ro-MD"/>
        </w:rPr>
        <w:t xml:space="preserve"> pentru care s-au </w:t>
      </w:r>
      <w:r w:rsidRPr="009772A3">
        <w:rPr>
          <w:rFonts w:asciiTheme="majorHAnsi" w:hAnsiTheme="majorHAnsi" w:cstheme="majorHAnsi"/>
          <w:sz w:val="24"/>
          <w:szCs w:val="24"/>
          <w:lang w:val="ro-MD"/>
        </w:rPr>
        <w:t xml:space="preserve">încasat </w:t>
      </w:r>
      <w:r w:rsidR="001C3492" w:rsidRPr="009772A3">
        <w:rPr>
          <w:rFonts w:asciiTheme="majorHAnsi" w:hAnsiTheme="majorHAnsi" w:cstheme="majorHAnsi"/>
          <w:sz w:val="24"/>
          <w:szCs w:val="24"/>
          <w:lang w:val="ro-MD"/>
        </w:rPr>
        <w:t xml:space="preserve">taxe de conectare de </w:t>
      </w:r>
      <w:r w:rsidR="00BB298C" w:rsidRPr="009772A3">
        <w:rPr>
          <w:rFonts w:asciiTheme="majorHAnsi" w:hAnsiTheme="majorHAnsi" w:cstheme="majorHAnsi"/>
          <w:sz w:val="24"/>
          <w:szCs w:val="24"/>
          <w:lang w:val="ro-MD"/>
        </w:rPr>
        <w:t>doar cca</w:t>
      </w:r>
      <w:r w:rsidRPr="009772A3">
        <w:rPr>
          <w:rFonts w:asciiTheme="majorHAnsi" w:hAnsiTheme="majorHAnsi" w:cstheme="majorHAnsi"/>
          <w:sz w:val="24"/>
          <w:szCs w:val="24"/>
          <w:lang w:val="ro-MD"/>
        </w:rPr>
        <w:t xml:space="preserve"> 1</w:t>
      </w:r>
      <w:r w:rsidR="00BB298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410,7 mii lei</w:t>
      </w:r>
      <w:r w:rsidR="00BB298C" w:rsidRPr="009772A3">
        <w:rPr>
          <w:rFonts w:asciiTheme="majorHAnsi" w:hAnsiTheme="majorHAnsi" w:cstheme="majorHAnsi"/>
          <w:sz w:val="24"/>
          <w:szCs w:val="24"/>
          <w:lang w:val="ro-MD"/>
        </w:rPr>
        <w:t xml:space="preserve">. </w:t>
      </w:r>
      <w:r w:rsidR="008E247C">
        <w:rPr>
          <w:rFonts w:asciiTheme="majorHAnsi" w:hAnsiTheme="majorHAnsi" w:cstheme="majorHAnsi"/>
          <w:sz w:val="24"/>
          <w:szCs w:val="24"/>
          <w:lang w:val="ro-MD"/>
        </w:rPr>
        <w:t xml:space="preserve">Situație similară auditul a constatat și la SRL Ungheni-gaz, fapt datorat neasigurării verificării justeței listei potențialilor consumatori, prezentate de către APL.  </w:t>
      </w:r>
      <w:r w:rsidR="00BB298C" w:rsidRPr="009772A3">
        <w:rPr>
          <w:rFonts w:asciiTheme="majorHAnsi" w:hAnsiTheme="majorHAnsi" w:cstheme="majorHAnsi"/>
          <w:sz w:val="24"/>
          <w:szCs w:val="24"/>
          <w:lang w:val="ro-MD"/>
        </w:rPr>
        <w:t xml:space="preserve">Dat fiind că </w:t>
      </w:r>
      <w:r w:rsidR="00294DEA" w:rsidRPr="009772A3">
        <w:rPr>
          <w:rFonts w:asciiTheme="majorHAnsi" w:hAnsiTheme="majorHAnsi" w:cstheme="majorHAnsi"/>
          <w:sz w:val="24"/>
          <w:szCs w:val="24"/>
          <w:lang w:val="ro-MD"/>
        </w:rPr>
        <w:t xml:space="preserve">o </w:t>
      </w:r>
      <w:r w:rsidR="00BB298C" w:rsidRPr="009772A3">
        <w:rPr>
          <w:rFonts w:asciiTheme="majorHAnsi" w:hAnsiTheme="majorHAnsi" w:cstheme="majorHAnsi"/>
          <w:sz w:val="24"/>
          <w:szCs w:val="24"/>
          <w:lang w:val="ro-MD"/>
        </w:rPr>
        <w:t>situație similară se atest</w:t>
      </w:r>
      <w:r w:rsidR="00294DEA" w:rsidRPr="009772A3">
        <w:rPr>
          <w:rFonts w:asciiTheme="majorHAnsi" w:hAnsiTheme="majorHAnsi" w:cstheme="majorHAnsi"/>
          <w:sz w:val="24"/>
          <w:szCs w:val="24"/>
          <w:lang w:val="ro-MD"/>
        </w:rPr>
        <w:t>ă</w:t>
      </w:r>
      <w:r w:rsidR="00BB298C" w:rsidRPr="009772A3">
        <w:rPr>
          <w:rFonts w:asciiTheme="majorHAnsi" w:hAnsiTheme="majorHAnsi" w:cstheme="majorHAnsi"/>
          <w:sz w:val="24"/>
          <w:szCs w:val="24"/>
          <w:lang w:val="ro-MD"/>
        </w:rPr>
        <w:t xml:space="preserve"> la toate întreprinderile de distribuție, ANRE a hotărât </w:t>
      </w:r>
      <w:r w:rsidR="00FE3524" w:rsidRPr="009772A3">
        <w:rPr>
          <w:rFonts w:asciiTheme="majorHAnsi" w:hAnsiTheme="majorHAnsi" w:cstheme="majorHAnsi"/>
          <w:sz w:val="24"/>
          <w:szCs w:val="24"/>
          <w:lang w:val="ro-MD"/>
        </w:rPr>
        <w:t xml:space="preserve">(nr.79 din 02.03.2021) </w:t>
      </w:r>
      <w:r w:rsidR="00BB298C" w:rsidRPr="009772A3">
        <w:rPr>
          <w:rFonts w:asciiTheme="majorHAnsi" w:hAnsiTheme="majorHAnsi" w:cstheme="majorHAnsi"/>
          <w:sz w:val="24"/>
          <w:szCs w:val="24"/>
          <w:lang w:val="ro-MD"/>
        </w:rPr>
        <w:t xml:space="preserve">ca această </w:t>
      </w:r>
      <w:r w:rsidR="001C3492" w:rsidRPr="009772A3">
        <w:rPr>
          <w:rFonts w:asciiTheme="majorHAnsi" w:hAnsiTheme="majorHAnsi" w:cstheme="majorHAnsi"/>
          <w:sz w:val="24"/>
          <w:szCs w:val="24"/>
          <w:lang w:val="ro-MD"/>
        </w:rPr>
        <w:t xml:space="preserve">taxă </w:t>
      </w:r>
      <w:r w:rsidR="003453B9" w:rsidRPr="009772A3">
        <w:rPr>
          <w:rFonts w:asciiTheme="majorHAnsi" w:hAnsiTheme="majorHAnsi" w:cstheme="majorHAnsi"/>
          <w:sz w:val="24"/>
          <w:szCs w:val="24"/>
          <w:lang w:val="ro-MD"/>
        </w:rPr>
        <w:t>parțială</w:t>
      </w:r>
      <w:r w:rsidR="00BB298C" w:rsidRPr="009772A3">
        <w:rPr>
          <w:rFonts w:asciiTheme="majorHAnsi" w:hAnsiTheme="majorHAnsi" w:cstheme="majorHAnsi"/>
          <w:sz w:val="24"/>
          <w:szCs w:val="24"/>
          <w:lang w:val="ro-MD"/>
        </w:rPr>
        <w:t xml:space="preserve"> să nu </w:t>
      </w:r>
      <w:r w:rsidR="00FE3524" w:rsidRPr="009772A3">
        <w:rPr>
          <w:rFonts w:asciiTheme="majorHAnsi" w:hAnsiTheme="majorHAnsi" w:cstheme="majorHAnsi"/>
          <w:sz w:val="24"/>
          <w:szCs w:val="24"/>
          <w:lang w:val="ro-MD"/>
        </w:rPr>
        <w:t xml:space="preserve">să </w:t>
      </w:r>
      <w:r w:rsidR="00BB298C" w:rsidRPr="009772A3">
        <w:rPr>
          <w:rFonts w:asciiTheme="majorHAnsi" w:hAnsiTheme="majorHAnsi" w:cstheme="majorHAnsi"/>
          <w:sz w:val="24"/>
          <w:szCs w:val="24"/>
          <w:lang w:val="ro-MD"/>
        </w:rPr>
        <w:t xml:space="preserve">se mai </w:t>
      </w:r>
      <w:r w:rsidR="00FE3524" w:rsidRPr="009772A3">
        <w:rPr>
          <w:rFonts w:asciiTheme="majorHAnsi" w:hAnsiTheme="majorHAnsi" w:cstheme="majorHAnsi"/>
          <w:sz w:val="24"/>
          <w:szCs w:val="24"/>
          <w:lang w:val="ro-MD"/>
        </w:rPr>
        <w:t xml:space="preserve">achite </w:t>
      </w:r>
      <w:r w:rsidR="00BB298C" w:rsidRPr="009772A3">
        <w:rPr>
          <w:rFonts w:asciiTheme="majorHAnsi" w:hAnsiTheme="majorHAnsi" w:cstheme="majorHAnsi"/>
          <w:sz w:val="24"/>
          <w:szCs w:val="24"/>
          <w:lang w:val="ro-MD"/>
        </w:rPr>
        <w:t xml:space="preserve">de consumator, dar </w:t>
      </w:r>
      <w:r w:rsidR="00DD64EC" w:rsidRPr="009772A3">
        <w:rPr>
          <w:rFonts w:asciiTheme="majorHAnsi" w:hAnsiTheme="majorHAnsi" w:cstheme="majorHAnsi"/>
          <w:sz w:val="24"/>
          <w:szCs w:val="24"/>
          <w:lang w:val="ro-MD"/>
        </w:rPr>
        <w:t>a</w:t>
      </w:r>
      <w:r w:rsidR="00FE3524" w:rsidRPr="009772A3">
        <w:rPr>
          <w:rFonts w:asciiTheme="majorHAnsi" w:hAnsiTheme="majorHAnsi" w:cstheme="majorHAnsi"/>
          <w:sz w:val="24"/>
          <w:szCs w:val="24"/>
          <w:lang w:val="ro-MD"/>
        </w:rPr>
        <w:t xml:space="preserve"> f</w:t>
      </w:r>
      <w:r w:rsidR="00DD64EC" w:rsidRPr="009772A3">
        <w:rPr>
          <w:rFonts w:asciiTheme="majorHAnsi" w:hAnsiTheme="majorHAnsi" w:cstheme="majorHAnsi"/>
          <w:sz w:val="24"/>
          <w:szCs w:val="24"/>
          <w:lang w:val="ro-MD"/>
        </w:rPr>
        <w:t>ost</w:t>
      </w:r>
      <w:r w:rsidR="00FE3524" w:rsidRPr="009772A3">
        <w:rPr>
          <w:rFonts w:asciiTheme="majorHAnsi" w:hAnsiTheme="majorHAnsi" w:cstheme="majorHAnsi"/>
          <w:sz w:val="24"/>
          <w:szCs w:val="24"/>
          <w:lang w:val="ro-MD"/>
        </w:rPr>
        <w:t xml:space="preserve"> înlocuită cu </w:t>
      </w:r>
      <w:r w:rsidR="003453B9" w:rsidRPr="009772A3">
        <w:rPr>
          <w:rFonts w:asciiTheme="majorHAnsi" w:hAnsiTheme="majorHAnsi" w:cstheme="majorHAnsi"/>
          <w:sz w:val="24"/>
          <w:szCs w:val="24"/>
          <w:lang w:val="ro-MD"/>
        </w:rPr>
        <w:t>uzura in</w:t>
      </w:r>
      <w:r w:rsidR="00FE3524" w:rsidRPr="009772A3">
        <w:rPr>
          <w:rFonts w:asciiTheme="majorHAnsi" w:hAnsiTheme="majorHAnsi" w:cstheme="majorHAnsi"/>
          <w:sz w:val="24"/>
          <w:szCs w:val="24"/>
          <w:lang w:val="ro-MD"/>
        </w:rPr>
        <w:t>c</w:t>
      </w:r>
      <w:r w:rsidR="003453B9" w:rsidRPr="009772A3">
        <w:rPr>
          <w:rFonts w:asciiTheme="majorHAnsi" w:hAnsiTheme="majorHAnsi" w:cstheme="majorHAnsi"/>
          <w:sz w:val="24"/>
          <w:szCs w:val="24"/>
          <w:lang w:val="ro-MD"/>
        </w:rPr>
        <w:t>lusă în</w:t>
      </w:r>
      <w:r w:rsidR="00BB298C" w:rsidRPr="009772A3">
        <w:rPr>
          <w:rFonts w:asciiTheme="majorHAnsi" w:hAnsiTheme="majorHAnsi" w:cstheme="majorHAnsi"/>
          <w:sz w:val="24"/>
          <w:szCs w:val="24"/>
          <w:lang w:val="ro-MD"/>
        </w:rPr>
        <w:t xml:space="preserve"> tariful de distribuție a gazelor naturale</w:t>
      </w:r>
      <w:r w:rsidR="00ED19F5" w:rsidRPr="009772A3">
        <w:rPr>
          <w:rFonts w:asciiTheme="majorHAnsi" w:hAnsiTheme="majorHAnsi" w:cstheme="majorHAnsi"/>
          <w:sz w:val="24"/>
          <w:szCs w:val="24"/>
          <w:lang w:val="ro-MD"/>
        </w:rPr>
        <w:t>.</w:t>
      </w:r>
    </w:p>
    <w:p w14:paraId="74B6855F" w14:textId="7174C985" w:rsidR="000352DF" w:rsidRPr="009772A3" w:rsidRDefault="000352DF" w:rsidP="0095406D">
      <w:pPr>
        <w:pStyle w:val="Heading1"/>
        <w:numPr>
          <w:ilvl w:val="3"/>
          <w:numId w:val="2"/>
        </w:numPr>
        <w:tabs>
          <w:tab w:val="left" w:pos="993"/>
        </w:tabs>
        <w:ind w:left="0" w:firstLine="0"/>
        <w:jc w:val="both"/>
        <w:rPr>
          <w:i/>
          <w:color w:val="auto"/>
          <w:lang w:val="ro-MD"/>
        </w:rPr>
      </w:pPr>
      <w:bookmarkStart w:id="68" w:name="_Toc119496407"/>
      <w:r w:rsidRPr="009772A3">
        <w:rPr>
          <w:i/>
          <w:color w:val="auto"/>
          <w:lang w:val="ro-MD"/>
        </w:rPr>
        <w:t xml:space="preserve">Unele întreprinderi de distribuție </w:t>
      </w:r>
      <w:r w:rsidR="00A101AB" w:rsidRPr="009772A3">
        <w:rPr>
          <w:i/>
          <w:color w:val="auto"/>
          <w:lang w:val="ro-MD"/>
        </w:rPr>
        <w:t xml:space="preserve">a gazelor </w:t>
      </w:r>
      <w:r w:rsidRPr="009772A3">
        <w:rPr>
          <w:i/>
          <w:color w:val="auto"/>
          <w:lang w:val="ro-MD"/>
        </w:rPr>
        <w:t xml:space="preserve">au acceptat aplicarea </w:t>
      </w:r>
      <w:r w:rsidR="00A101AB" w:rsidRPr="009772A3">
        <w:rPr>
          <w:i/>
          <w:color w:val="auto"/>
          <w:lang w:val="ro-MD"/>
        </w:rPr>
        <w:t xml:space="preserve">nejustificată </w:t>
      </w:r>
      <w:r w:rsidRPr="009772A3">
        <w:rPr>
          <w:i/>
          <w:color w:val="auto"/>
          <w:lang w:val="ro-MD"/>
        </w:rPr>
        <w:t xml:space="preserve">de către antreprenor a cheltuielilor de regie și a beneficiului de deviz la materialele beneficiarului, </w:t>
      </w:r>
      <w:r w:rsidR="00A101AB" w:rsidRPr="009772A3">
        <w:rPr>
          <w:i/>
          <w:color w:val="auto"/>
          <w:lang w:val="ro-MD"/>
        </w:rPr>
        <w:t>ca</w:t>
      </w:r>
      <w:r w:rsidRPr="009772A3">
        <w:rPr>
          <w:i/>
          <w:color w:val="auto"/>
          <w:lang w:val="ro-MD"/>
        </w:rPr>
        <w:t xml:space="preserve"> rezultat </w:t>
      </w:r>
      <w:r w:rsidR="00BC5802" w:rsidRPr="009772A3">
        <w:rPr>
          <w:i/>
          <w:color w:val="auto"/>
          <w:lang w:val="ro-MD"/>
        </w:rPr>
        <w:t xml:space="preserve"> </w:t>
      </w:r>
      <w:r w:rsidRPr="009772A3">
        <w:rPr>
          <w:i/>
          <w:color w:val="auto"/>
          <w:lang w:val="ro-MD"/>
        </w:rPr>
        <w:t>suport</w:t>
      </w:r>
      <w:r w:rsidR="00A101AB" w:rsidRPr="009772A3">
        <w:rPr>
          <w:i/>
          <w:color w:val="auto"/>
          <w:lang w:val="ro-MD"/>
        </w:rPr>
        <w:t>ând</w:t>
      </w:r>
      <w:r w:rsidR="00BC5802" w:rsidRPr="009772A3">
        <w:rPr>
          <w:i/>
          <w:color w:val="auto"/>
          <w:lang w:val="ro-MD"/>
        </w:rPr>
        <w:t xml:space="preserve"> cheltuieli suplimentare</w:t>
      </w:r>
      <w:r w:rsidRPr="009772A3">
        <w:rPr>
          <w:i/>
          <w:color w:val="auto"/>
          <w:lang w:val="ro-MD"/>
        </w:rPr>
        <w:t>.</w:t>
      </w:r>
      <w:bookmarkEnd w:id="68"/>
      <w:r w:rsidRPr="009772A3">
        <w:rPr>
          <w:i/>
          <w:color w:val="auto"/>
          <w:lang w:val="ro-MD"/>
        </w:rPr>
        <w:t xml:space="preserve">  </w:t>
      </w:r>
    </w:p>
    <w:p w14:paraId="680734D6" w14:textId="4BB557C0" w:rsidR="000352DF" w:rsidRPr="009772A3" w:rsidRDefault="000352DF" w:rsidP="00547CB2">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Costurile aferente executării lucrărilor de construcție/reconstrucție a infrastructurii de distribuție a gazelor naturale au fost majorate cu cel puțin 1</w:t>
      </w:r>
      <w:r w:rsidR="00033A6F" w:rsidRPr="009772A3">
        <w:rPr>
          <w:rFonts w:asciiTheme="majorHAnsi" w:hAnsiTheme="majorHAnsi" w:cstheme="majorHAnsi"/>
          <w:i/>
          <w:sz w:val="24"/>
          <w:szCs w:val="24"/>
          <w:lang w:val="ro-MD"/>
        </w:rPr>
        <w:t>5</w:t>
      </w:r>
      <w:r w:rsidRPr="009772A3">
        <w:rPr>
          <w:rFonts w:asciiTheme="majorHAnsi" w:hAnsiTheme="majorHAnsi" w:cstheme="majorHAnsi"/>
          <w:i/>
          <w:sz w:val="24"/>
          <w:szCs w:val="24"/>
          <w:lang w:val="ro-MD"/>
        </w:rPr>
        <w:t>.</w:t>
      </w:r>
      <w:r w:rsidR="00033A6F" w:rsidRPr="009772A3">
        <w:rPr>
          <w:rFonts w:asciiTheme="majorHAnsi" w:hAnsiTheme="majorHAnsi" w:cstheme="majorHAnsi"/>
          <w:i/>
          <w:sz w:val="24"/>
          <w:szCs w:val="24"/>
          <w:lang w:val="ro-MD"/>
        </w:rPr>
        <w:t>920</w:t>
      </w:r>
      <w:r w:rsidRPr="009772A3">
        <w:rPr>
          <w:rFonts w:asciiTheme="majorHAnsi" w:hAnsiTheme="majorHAnsi" w:cstheme="majorHAnsi"/>
          <w:i/>
          <w:sz w:val="24"/>
          <w:szCs w:val="24"/>
          <w:lang w:val="ro-MD"/>
        </w:rPr>
        <w:t xml:space="preserve">,6 mii lei, dat fiind </w:t>
      </w:r>
      <w:r w:rsidR="00FE3524" w:rsidRPr="009772A3">
        <w:rPr>
          <w:rFonts w:asciiTheme="majorHAnsi" w:hAnsiTheme="majorHAnsi" w:cstheme="majorHAnsi"/>
          <w:i/>
          <w:sz w:val="24"/>
          <w:szCs w:val="24"/>
          <w:lang w:val="ro-MD"/>
        </w:rPr>
        <w:t xml:space="preserve">calcularea </w:t>
      </w:r>
      <w:r w:rsidRPr="009772A3">
        <w:rPr>
          <w:rFonts w:asciiTheme="majorHAnsi" w:hAnsiTheme="majorHAnsi" w:cstheme="majorHAnsi"/>
          <w:i/>
          <w:sz w:val="24"/>
          <w:szCs w:val="24"/>
          <w:lang w:val="ro-MD"/>
        </w:rPr>
        <w:t xml:space="preserve">neregulamentară a cheltuielilor de regie și </w:t>
      </w:r>
      <w:r w:rsidR="00A101AB" w:rsidRPr="009772A3">
        <w:rPr>
          <w:rFonts w:asciiTheme="majorHAnsi" w:hAnsiTheme="majorHAnsi" w:cstheme="majorHAnsi"/>
          <w:i/>
          <w:sz w:val="24"/>
          <w:szCs w:val="24"/>
          <w:lang w:val="ro-MD"/>
        </w:rPr>
        <w:t xml:space="preserve">a </w:t>
      </w:r>
      <w:r w:rsidRPr="009772A3">
        <w:rPr>
          <w:rFonts w:asciiTheme="majorHAnsi" w:hAnsiTheme="majorHAnsi" w:cstheme="majorHAnsi"/>
          <w:i/>
          <w:sz w:val="24"/>
          <w:szCs w:val="24"/>
          <w:lang w:val="ro-MD"/>
        </w:rPr>
        <w:t>beneficiului antreprenorului, aferente materialelor procurate de beneficiar.</w:t>
      </w:r>
    </w:p>
    <w:p w14:paraId="408F6B7F" w14:textId="129F23A9" w:rsidR="007B6547" w:rsidRPr="009772A3" w:rsidRDefault="007B6547" w:rsidP="00547CB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Testele de audit realizate relevă că</w:t>
      </w:r>
      <w:r w:rsidR="00A101A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contrar prevederilor stabilite în pct. 5.1 din CP</w:t>
      </w:r>
      <w:r w:rsidR="00FE3524"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L.01.03-2012 „Instrucțiuni cu privire la calcularea cheltuielilor de regie la determinarea valorii obiectului” și pct. 5.2 din CP</w:t>
      </w:r>
      <w:r w:rsidR="00FE3524"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L.01.05-2012 „Instrucțiuni  privind determinarea valorii beneficiului de deviz la formarea prețurilor la producția de construcție”, la achiziționarea lucrărilor de dezvoltare, modernizare, construcție, reconstrucție sau reparație a rețelelor de gazificare, unele întreprinderi de distribuție au acceptat aplicarea </w:t>
      </w:r>
      <w:r w:rsidR="00AA4D31" w:rsidRPr="009772A3">
        <w:rPr>
          <w:rFonts w:asciiTheme="majorHAnsi" w:hAnsiTheme="majorHAnsi" w:cstheme="majorHAnsi"/>
          <w:sz w:val="24"/>
          <w:szCs w:val="24"/>
          <w:lang w:val="ro-MD"/>
        </w:rPr>
        <w:t xml:space="preserve">nejustificată </w:t>
      </w:r>
      <w:r w:rsidRPr="009772A3">
        <w:rPr>
          <w:rFonts w:asciiTheme="majorHAnsi" w:hAnsiTheme="majorHAnsi" w:cstheme="majorHAnsi"/>
          <w:sz w:val="24"/>
          <w:szCs w:val="24"/>
          <w:lang w:val="ro-MD"/>
        </w:rPr>
        <w:t xml:space="preserve">de către antreprenor a cheltuielilor de regie și a beneficiului de deviz la materialele beneficiarului, iar ca rezultat acestea au suportat </w:t>
      </w:r>
      <w:r w:rsidR="00BC5802" w:rsidRPr="009772A3">
        <w:rPr>
          <w:rFonts w:asciiTheme="majorHAnsi" w:hAnsiTheme="majorHAnsi" w:cstheme="majorHAnsi"/>
          <w:sz w:val="24"/>
          <w:szCs w:val="24"/>
          <w:lang w:val="ro-MD"/>
        </w:rPr>
        <w:t>cheltuieli suplimentare</w:t>
      </w:r>
      <w:r w:rsidRPr="009772A3">
        <w:rPr>
          <w:rFonts w:asciiTheme="majorHAnsi" w:hAnsiTheme="majorHAnsi" w:cstheme="majorHAnsi"/>
          <w:sz w:val="24"/>
          <w:szCs w:val="24"/>
          <w:lang w:val="ro-MD"/>
        </w:rPr>
        <w:t xml:space="preserve"> aferente obiectelor investiționale executate de către antreprenori</w:t>
      </w:r>
      <w:r w:rsidR="00AA4D3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cel puțin </w:t>
      </w:r>
      <w:r w:rsidR="00033A6F" w:rsidRPr="009772A3">
        <w:rPr>
          <w:rFonts w:asciiTheme="majorHAnsi" w:hAnsiTheme="majorHAnsi" w:cstheme="majorHAnsi"/>
          <w:sz w:val="24"/>
          <w:szCs w:val="24"/>
          <w:lang w:val="ro-MD"/>
        </w:rPr>
        <w:t>15</w:t>
      </w:r>
      <w:r w:rsidRPr="009772A3">
        <w:rPr>
          <w:rFonts w:asciiTheme="majorHAnsi" w:hAnsiTheme="majorHAnsi" w:cstheme="majorHAnsi"/>
          <w:sz w:val="24"/>
          <w:szCs w:val="24"/>
          <w:lang w:val="ro-MD"/>
        </w:rPr>
        <w:t>.</w:t>
      </w:r>
      <w:r w:rsidR="00033A6F" w:rsidRPr="009772A3">
        <w:rPr>
          <w:rFonts w:asciiTheme="majorHAnsi" w:hAnsiTheme="majorHAnsi" w:cstheme="majorHAnsi"/>
          <w:sz w:val="24"/>
          <w:szCs w:val="24"/>
          <w:lang w:val="ro-MD"/>
        </w:rPr>
        <w:t>920</w:t>
      </w:r>
      <w:r w:rsidR="002B6D39" w:rsidRPr="009772A3">
        <w:rPr>
          <w:rFonts w:asciiTheme="majorHAnsi" w:hAnsiTheme="majorHAnsi" w:cstheme="majorHAnsi"/>
          <w:sz w:val="24"/>
          <w:szCs w:val="24"/>
          <w:lang w:val="ro-MD"/>
        </w:rPr>
        <w:t>,6</w:t>
      </w:r>
      <w:r w:rsidRPr="009772A3">
        <w:rPr>
          <w:rFonts w:asciiTheme="majorHAnsi" w:hAnsiTheme="majorHAnsi" w:cstheme="majorHAnsi"/>
          <w:sz w:val="24"/>
          <w:szCs w:val="24"/>
          <w:lang w:val="ro-MD"/>
        </w:rPr>
        <w:t xml:space="preserve"> mii lei</w:t>
      </w:r>
      <w:r w:rsidR="00EA194B" w:rsidRPr="009772A3">
        <w:rPr>
          <w:rFonts w:asciiTheme="majorHAnsi" w:hAnsiTheme="majorHAnsi" w:cstheme="majorHAnsi"/>
          <w:sz w:val="24"/>
          <w:szCs w:val="24"/>
          <w:vertAlign w:val="superscript"/>
          <w:lang w:val="ro-MD"/>
        </w:rPr>
        <w:footnoteReference w:id="67"/>
      </w:r>
      <w:r w:rsidRPr="009772A3">
        <w:rPr>
          <w:rFonts w:asciiTheme="majorHAnsi" w:hAnsiTheme="majorHAnsi" w:cstheme="majorHAnsi"/>
          <w:sz w:val="24"/>
          <w:szCs w:val="24"/>
          <w:lang w:val="ro-MD"/>
        </w:rPr>
        <w:t>.</w:t>
      </w:r>
    </w:p>
    <w:p w14:paraId="00FE168E" w14:textId="1537B447" w:rsidR="00BC5802" w:rsidRPr="009772A3" w:rsidRDefault="00BC5802"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prevederilor din CP</w:t>
      </w:r>
      <w:r w:rsidR="0095406D">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L.01.03-2012</w:t>
      </w:r>
      <w:r w:rsidRPr="009772A3">
        <w:rPr>
          <w:sz w:val="24"/>
          <w:szCs w:val="24"/>
          <w:vertAlign w:val="superscript"/>
          <w:lang w:val="ro-MD"/>
        </w:rPr>
        <w:footnoteReference w:id="68"/>
      </w:r>
      <w:r w:rsidR="00AA4D3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cheltuielile de regie sunt parte componentă a prețului de cost al lucrărilor de antrepriză și reprezintă totalitatea consumurilor legate de crearea condițiilor pentru execuția construcțiilor, organizarea, administrarea și deservirea acestora, care se determină pe baza </w:t>
      </w:r>
      <w:r w:rsidRPr="009772A3">
        <w:rPr>
          <w:rFonts w:asciiTheme="majorHAnsi" w:hAnsiTheme="majorHAnsi" w:cstheme="majorHAnsi"/>
          <w:i/>
          <w:sz w:val="24"/>
          <w:szCs w:val="24"/>
          <w:lang w:val="ro-MD"/>
        </w:rPr>
        <w:t>cotei proprii de cheltuieli de regie pentru fiecare unitate de construcție</w:t>
      </w:r>
      <w:r w:rsidRPr="009772A3">
        <w:rPr>
          <w:rFonts w:asciiTheme="majorHAnsi" w:hAnsiTheme="majorHAnsi" w:cstheme="majorHAnsi"/>
          <w:sz w:val="24"/>
          <w:szCs w:val="24"/>
          <w:lang w:val="ro-MD"/>
        </w:rPr>
        <w:t>, prin calcul, conform capitolelor de cheltuieli</w:t>
      </w:r>
      <w:r w:rsidR="00AA4D3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ținând seama de acte</w:t>
      </w:r>
      <w:r w:rsidR="00AA4D31"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legislative și normative în vigoare, devize</w:t>
      </w:r>
      <w:r w:rsidR="00AA4D31"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de consumuri, contractele economice și date</w:t>
      </w:r>
      <w:r w:rsidR="00AA4D31"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din evidența contabilă. </w:t>
      </w:r>
    </w:p>
    <w:p w14:paraId="5ACF3695" w14:textId="79651493" w:rsidR="00BC5802" w:rsidRPr="009772A3" w:rsidRDefault="000C11CA" w:rsidP="00547CB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5B24F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potrivit contractelor de antrepriză, antreprenorul se obliga să utilizeze materialele „Clientului”, operațiune ce a fost documentată printr-un „Act de folosire a materialelor”, care este parte integrantă a Procesului</w:t>
      </w:r>
      <w:r w:rsidR="005B24F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verbal de îndeplinire a lucrărilor</w:t>
      </w:r>
      <w:r w:rsidR="005B24F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547CB2" w:rsidRPr="009772A3">
        <w:rPr>
          <w:rFonts w:asciiTheme="majorHAnsi" w:hAnsiTheme="majorHAnsi" w:cstheme="majorHAnsi"/>
          <w:sz w:val="24"/>
          <w:szCs w:val="24"/>
          <w:lang w:val="ro-MD"/>
        </w:rPr>
        <w:t>semnat</w:t>
      </w:r>
      <w:r w:rsidRPr="009772A3">
        <w:rPr>
          <w:rFonts w:asciiTheme="majorHAnsi" w:hAnsiTheme="majorHAnsi" w:cstheme="majorHAnsi"/>
          <w:sz w:val="24"/>
          <w:szCs w:val="24"/>
          <w:lang w:val="ro-MD"/>
        </w:rPr>
        <w:t xml:space="preserve"> de ambele părți, cu indicarea listei materialelor, costul</w:t>
      </w:r>
      <w:r w:rsidR="005B24F4"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și cantit</w:t>
      </w:r>
      <w:r w:rsidR="005B24F4" w:rsidRPr="009772A3">
        <w:rPr>
          <w:rFonts w:asciiTheme="majorHAnsi" w:hAnsiTheme="majorHAnsi" w:cstheme="majorHAnsi"/>
          <w:sz w:val="24"/>
          <w:szCs w:val="24"/>
          <w:lang w:val="ro-MD"/>
        </w:rPr>
        <w:t>ății</w:t>
      </w:r>
      <w:r w:rsidRPr="009772A3">
        <w:rPr>
          <w:rFonts w:asciiTheme="majorHAnsi" w:hAnsiTheme="majorHAnsi" w:cstheme="majorHAnsi"/>
          <w:sz w:val="24"/>
          <w:szCs w:val="24"/>
          <w:lang w:val="ro-MD"/>
        </w:rPr>
        <w:t xml:space="preserve"> acestora. </w:t>
      </w:r>
      <w:r w:rsidR="00547CB2" w:rsidRPr="009772A3">
        <w:rPr>
          <w:rFonts w:asciiTheme="majorHAnsi" w:hAnsiTheme="majorHAnsi" w:cstheme="majorHAnsi"/>
          <w:sz w:val="24"/>
          <w:szCs w:val="24"/>
          <w:lang w:val="ro-MD"/>
        </w:rPr>
        <w:t>Iar potrivit pct.</w:t>
      </w:r>
      <w:r w:rsidRPr="009772A3">
        <w:rPr>
          <w:rFonts w:asciiTheme="majorHAnsi" w:hAnsiTheme="majorHAnsi" w:cstheme="majorHAnsi"/>
          <w:sz w:val="24"/>
          <w:szCs w:val="24"/>
          <w:lang w:val="ro-MD"/>
        </w:rPr>
        <w:t>4 din scrisoarea</w:t>
      </w:r>
      <w:r w:rsidR="00547CB2" w:rsidRPr="009772A3">
        <w:rPr>
          <w:rFonts w:asciiTheme="majorHAnsi" w:hAnsiTheme="majorHAnsi" w:cstheme="majorHAnsi"/>
          <w:sz w:val="24"/>
          <w:szCs w:val="24"/>
          <w:lang w:val="ro-MD"/>
        </w:rPr>
        <w:t xml:space="preserve"> Ministerului Ecologiei, Construcțiilor și Dezvoltării Teritoriului</w:t>
      </w:r>
      <w:r w:rsidRPr="009772A3">
        <w:rPr>
          <w:rFonts w:asciiTheme="majorHAnsi" w:hAnsiTheme="majorHAnsi" w:cstheme="majorHAnsi"/>
          <w:sz w:val="24"/>
          <w:szCs w:val="24"/>
          <w:vertAlign w:val="superscript"/>
          <w:lang w:val="ro-MD"/>
        </w:rPr>
        <w:footnoteReference w:id="69"/>
      </w:r>
      <w:r w:rsidRPr="009772A3">
        <w:rPr>
          <w:rFonts w:asciiTheme="majorHAnsi" w:hAnsiTheme="majorHAnsi" w:cstheme="majorHAnsi"/>
          <w:sz w:val="24"/>
          <w:szCs w:val="24"/>
          <w:lang w:val="ro-MD"/>
        </w:rPr>
        <w:t xml:space="preserve"> </w:t>
      </w:r>
      <w:r w:rsidR="00F93B1E" w:rsidRPr="009772A3">
        <w:rPr>
          <w:rFonts w:asciiTheme="majorHAnsi" w:hAnsiTheme="majorHAnsi" w:cstheme="majorHAnsi"/>
          <w:sz w:val="24"/>
          <w:szCs w:val="24"/>
          <w:lang w:val="ro-MD"/>
        </w:rPr>
        <w:t>și pct.8.3 din CP L 01.01-2012</w:t>
      </w:r>
      <w:r w:rsidR="00F93B1E" w:rsidRPr="009772A3">
        <w:rPr>
          <w:rStyle w:val="FootnoteReference"/>
          <w:rFonts w:asciiTheme="majorHAnsi" w:hAnsiTheme="majorHAnsi" w:cstheme="majorHAnsi"/>
          <w:sz w:val="24"/>
          <w:szCs w:val="24"/>
          <w:lang w:val="ro-MD"/>
        </w:rPr>
        <w:footnoteReference w:id="70"/>
      </w:r>
      <w:r w:rsidR="005B24F4" w:rsidRPr="009772A3">
        <w:rPr>
          <w:rFonts w:asciiTheme="majorHAnsi" w:hAnsiTheme="majorHAnsi" w:cstheme="majorHAnsi"/>
          <w:sz w:val="24"/>
          <w:szCs w:val="24"/>
          <w:lang w:val="ro-MD"/>
        </w:rPr>
        <w:t>,</w:t>
      </w:r>
      <w:r w:rsidR="00F93B1E"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„indiferent de cine achiziționează materialele de construcție utilizate la efectuarea lucrărilor (beneficiarul sau antreprenorul), valoarea materialelor se include în valoarea lucrărilor de antrepriză. În cazul, când materialele au fost procurate de beneficiar, acesta le transmite antreprenorului printr-un proces-verbal cu indicarea valorii de deviz (valoarea de deviz a materialelor este prețul de procurare plus cheltuielile de transport și de achiziționare-nedepozitare, fără TVA) și printr-un rând aparte - TVA. Antreprenorul în modul stabilit, include materialele în valoarea lucrărilor de antrepriză, pe urmă, după totalul procesului-verbal de recepție a lucrărilor executate înscrie valoarea lor, ca sume rambursate, cu rambursarea sum</w:t>
      </w:r>
      <w:r w:rsidR="00A23C61" w:rsidRPr="009772A3">
        <w:rPr>
          <w:rFonts w:asciiTheme="majorHAnsi" w:hAnsiTheme="majorHAnsi" w:cstheme="majorHAnsi"/>
          <w:sz w:val="24"/>
          <w:szCs w:val="24"/>
          <w:lang w:val="ro-MD"/>
        </w:rPr>
        <w:t>elor TVA aferente</w:t>
      </w:r>
      <w:r w:rsidR="00FB6FF5" w:rsidRPr="009772A3">
        <w:rPr>
          <w:rFonts w:asciiTheme="majorHAnsi" w:hAnsiTheme="majorHAnsi" w:cstheme="majorHAnsi"/>
          <w:sz w:val="24"/>
          <w:szCs w:val="24"/>
          <w:lang w:val="ro-MD"/>
        </w:rPr>
        <w:t>”</w:t>
      </w:r>
      <w:r w:rsidR="00A23C61" w:rsidRPr="009772A3">
        <w:rPr>
          <w:rFonts w:asciiTheme="majorHAnsi" w:hAnsiTheme="majorHAnsi" w:cstheme="majorHAnsi"/>
          <w:sz w:val="24"/>
          <w:szCs w:val="24"/>
          <w:lang w:val="ro-MD"/>
        </w:rPr>
        <w:t>.</w:t>
      </w:r>
    </w:p>
    <w:p w14:paraId="0AEC9848" w14:textId="17DAD2D8" w:rsidR="00D8619C" w:rsidRPr="009772A3" w:rsidRDefault="00D8619C" w:rsidP="00D66611">
      <w:pPr>
        <w:pStyle w:val="Heading1"/>
        <w:numPr>
          <w:ilvl w:val="3"/>
          <w:numId w:val="2"/>
        </w:numPr>
        <w:tabs>
          <w:tab w:val="left" w:pos="993"/>
        </w:tabs>
        <w:ind w:left="0" w:firstLine="0"/>
        <w:jc w:val="both"/>
        <w:rPr>
          <w:i/>
          <w:color w:val="auto"/>
          <w:lang w:val="ro-MD"/>
        </w:rPr>
      </w:pPr>
      <w:bookmarkStart w:id="69" w:name="_Toc119496408"/>
      <w:bookmarkStart w:id="70" w:name="_Toc117775765"/>
      <w:bookmarkStart w:id="71" w:name="_Toc118297704"/>
      <w:bookmarkStart w:id="72" w:name="_Toc118465733"/>
      <w:r w:rsidRPr="009772A3">
        <w:rPr>
          <w:i/>
          <w:color w:val="auto"/>
          <w:lang w:val="ro-MD"/>
        </w:rPr>
        <w:t xml:space="preserve">În condițiile </w:t>
      </w:r>
      <w:r w:rsidR="00365DD3" w:rsidRPr="009772A3">
        <w:rPr>
          <w:i/>
          <w:color w:val="auto"/>
          <w:lang w:val="ro-MD"/>
        </w:rPr>
        <w:t>nerealizării scopurilor aferente</w:t>
      </w:r>
      <w:r w:rsidRPr="009772A3">
        <w:rPr>
          <w:i/>
          <w:color w:val="auto"/>
          <w:lang w:val="ro-MD"/>
        </w:rPr>
        <w:t xml:space="preserve"> achiziționării serviciilor de proiectare și </w:t>
      </w:r>
      <w:r w:rsidR="005B24F4" w:rsidRPr="009772A3">
        <w:rPr>
          <w:i/>
          <w:color w:val="auto"/>
          <w:lang w:val="ro-MD"/>
        </w:rPr>
        <w:t xml:space="preserve">a </w:t>
      </w:r>
      <w:r w:rsidRPr="009772A3">
        <w:rPr>
          <w:i/>
          <w:color w:val="auto"/>
          <w:lang w:val="ro-MD"/>
        </w:rPr>
        <w:t>lucrărilor de construcție și modernizare a infrastructurii de gaze naturale</w:t>
      </w:r>
      <w:r w:rsidR="005B24F4" w:rsidRPr="009772A3">
        <w:rPr>
          <w:i/>
          <w:color w:val="auto"/>
          <w:lang w:val="ro-MD"/>
        </w:rPr>
        <w:t>,</w:t>
      </w:r>
      <w:r w:rsidRPr="009772A3">
        <w:rPr>
          <w:i/>
          <w:color w:val="auto"/>
          <w:lang w:val="ro-MD"/>
        </w:rPr>
        <w:t xml:space="preserve"> se materializează riscurile suportării unor costuri suplimentare.</w:t>
      </w:r>
      <w:bookmarkEnd w:id="69"/>
      <w:r w:rsidRPr="009772A3">
        <w:rPr>
          <w:i/>
          <w:color w:val="auto"/>
          <w:lang w:val="ro-MD"/>
        </w:rPr>
        <w:t xml:space="preserve"> </w:t>
      </w:r>
    </w:p>
    <w:p w14:paraId="580C0214" w14:textId="7F1C105B" w:rsidR="000D41D2" w:rsidRPr="009772A3" w:rsidRDefault="00D8619C" w:rsidP="004F4116">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 xml:space="preserve">Unele </w:t>
      </w:r>
      <w:r w:rsidR="00FD1AA6" w:rsidRPr="009772A3">
        <w:rPr>
          <w:rFonts w:asciiTheme="majorHAnsi" w:hAnsiTheme="majorHAnsi" w:cstheme="majorHAnsi"/>
          <w:i/>
          <w:sz w:val="24"/>
          <w:szCs w:val="24"/>
          <w:lang w:val="ro-MD"/>
        </w:rPr>
        <w:t xml:space="preserve">investiții pentru dezvoltarea infrastructurii de transport și distribuție a gazelor naturale, în valoare totală de cca </w:t>
      </w:r>
      <w:r w:rsidR="00142C2F" w:rsidRPr="007D3470">
        <w:rPr>
          <w:rFonts w:asciiTheme="majorHAnsi" w:hAnsiTheme="majorHAnsi" w:cstheme="majorHAnsi"/>
          <w:i/>
          <w:sz w:val="24"/>
          <w:szCs w:val="24"/>
          <w:lang w:val="ro-MD"/>
        </w:rPr>
        <w:t>1</w:t>
      </w:r>
      <w:r w:rsidR="00142C2F" w:rsidRPr="00CF3AD4">
        <w:rPr>
          <w:rFonts w:asciiTheme="majorHAnsi" w:hAnsiTheme="majorHAnsi" w:cstheme="majorHAnsi"/>
          <w:i/>
          <w:sz w:val="24"/>
          <w:szCs w:val="24"/>
          <w:lang w:val="ro-MD"/>
        </w:rPr>
        <w:t>2</w:t>
      </w:r>
      <w:r w:rsidR="008E25BF" w:rsidRPr="007D3470">
        <w:rPr>
          <w:rFonts w:asciiTheme="majorHAnsi" w:hAnsiTheme="majorHAnsi" w:cstheme="majorHAnsi"/>
          <w:i/>
          <w:sz w:val="24"/>
          <w:szCs w:val="24"/>
          <w:lang w:val="ro-MD"/>
        </w:rPr>
        <w:t>.5</w:t>
      </w:r>
      <w:r w:rsidR="00142C2F" w:rsidRPr="00CF3AD4">
        <w:rPr>
          <w:rFonts w:asciiTheme="majorHAnsi" w:hAnsiTheme="majorHAnsi" w:cstheme="majorHAnsi"/>
          <w:i/>
          <w:sz w:val="24"/>
          <w:szCs w:val="24"/>
          <w:lang w:val="ro-MD"/>
        </w:rPr>
        <w:t>83</w:t>
      </w:r>
      <w:r w:rsidR="00F62E61" w:rsidRPr="007D3470">
        <w:rPr>
          <w:rFonts w:asciiTheme="majorHAnsi" w:hAnsiTheme="majorHAnsi" w:cstheme="majorHAnsi"/>
          <w:i/>
          <w:sz w:val="24"/>
          <w:szCs w:val="24"/>
          <w:lang w:val="ro-MD"/>
        </w:rPr>
        <w:t>,</w:t>
      </w:r>
      <w:r w:rsidR="00142C2F" w:rsidRPr="00CF3AD4">
        <w:rPr>
          <w:rFonts w:asciiTheme="majorHAnsi" w:hAnsiTheme="majorHAnsi" w:cstheme="majorHAnsi"/>
          <w:i/>
          <w:sz w:val="24"/>
          <w:szCs w:val="24"/>
          <w:lang w:val="ro-MD"/>
        </w:rPr>
        <w:t>4</w:t>
      </w:r>
      <w:r w:rsidR="008E25BF" w:rsidRPr="007D3470">
        <w:rPr>
          <w:rFonts w:asciiTheme="majorHAnsi" w:hAnsiTheme="majorHAnsi" w:cstheme="majorHAnsi"/>
          <w:i/>
          <w:sz w:val="24"/>
          <w:szCs w:val="24"/>
          <w:lang w:val="ro-MD"/>
        </w:rPr>
        <w:t xml:space="preserve"> mii lei</w:t>
      </w:r>
      <w:r w:rsidR="00FD1AA6" w:rsidRPr="007D3470">
        <w:rPr>
          <w:rFonts w:asciiTheme="majorHAnsi" w:hAnsiTheme="majorHAnsi" w:cstheme="majorHAnsi"/>
          <w:i/>
          <w:sz w:val="24"/>
          <w:szCs w:val="24"/>
          <w:lang w:val="ro-MD"/>
        </w:rPr>
        <w:t>, nu</w:t>
      </w:r>
      <w:r w:rsidR="00FD1AA6" w:rsidRPr="009772A3">
        <w:rPr>
          <w:rFonts w:asciiTheme="majorHAnsi" w:hAnsiTheme="majorHAnsi" w:cstheme="majorHAnsi"/>
          <w:i/>
          <w:sz w:val="24"/>
          <w:szCs w:val="24"/>
          <w:lang w:val="ro-MD"/>
        </w:rPr>
        <w:t xml:space="preserve"> și-au găsit finalitatea în conformitate cu scopurile enunțate, rămânând nefinalizate și netransmise în exploatare de mai mulți ani.</w:t>
      </w:r>
      <w:bookmarkEnd w:id="70"/>
      <w:bookmarkEnd w:id="71"/>
      <w:bookmarkEnd w:id="72"/>
    </w:p>
    <w:p w14:paraId="5D384D64" w14:textId="5E2D534F" w:rsidR="0011179A" w:rsidRPr="009772A3" w:rsidRDefault="0011179A" w:rsidP="0011179A">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conform reglementărilor în vigoare</w:t>
      </w:r>
      <w:r w:rsidRPr="009772A3">
        <w:rPr>
          <w:rFonts w:asciiTheme="majorHAnsi" w:hAnsiTheme="majorHAnsi" w:cstheme="majorHAnsi"/>
          <w:sz w:val="24"/>
          <w:szCs w:val="24"/>
          <w:vertAlign w:val="superscript"/>
          <w:lang w:val="ro-MD"/>
        </w:rPr>
        <w:footnoteReference w:id="71"/>
      </w:r>
      <w:r w:rsidRPr="009772A3">
        <w:rPr>
          <w:rFonts w:asciiTheme="majorHAnsi" w:hAnsiTheme="majorHAnsi" w:cstheme="majorHAnsi"/>
          <w:sz w:val="24"/>
          <w:szCs w:val="24"/>
          <w:lang w:val="ro-MD"/>
        </w:rPr>
        <w:t>, companiile de transport și distribuție a gazelor naturale achiziționează</w:t>
      </w:r>
      <w:r w:rsidR="00836B4D" w:rsidRPr="009772A3">
        <w:rPr>
          <w:rFonts w:asciiTheme="majorHAnsi" w:hAnsiTheme="majorHAnsi" w:cstheme="majorHAnsi"/>
          <w:sz w:val="24"/>
          <w:szCs w:val="24"/>
          <w:lang w:val="ro-MD"/>
        </w:rPr>
        <w:t xml:space="preserve"> lucrări și</w:t>
      </w:r>
      <w:r w:rsidRPr="009772A3">
        <w:rPr>
          <w:rFonts w:asciiTheme="majorHAnsi" w:hAnsiTheme="majorHAnsi" w:cstheme="majorHAnsi"/>
          <w:sz w:val="24"/>
          <w:szCs w:val="24"/>
          <w:lang w:val="ro-MD"/>
        </w:rPr>
        <w:t xml:space="preserve"> servicii de proiectare</w:t>
      </w:r>
      <w:r w:rsidR="00836B4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construcți</w:t>
      </w:r>
      <w:r w:rsidR="00836B4D"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reconstrucți</w:t>
      </w:r>
      <w:r w:rsidR="00836B4D"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și modernizare</w:t>
      </w:r>
      <w:r w:rsidR="00836B4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a </w:t>
      </w:r>
      <w:r w:rsidR="00836B4D" w:rsidRPr="009772A3">
        <w:rPr>
          <w:rFonts w:asciiTheme="majorHAnsi" w:hAnsiTheme="majorHAnsi" w:cstheme="majorHAnsi"/>
          <w:sz w:val="24"/>
          <w:szCs w:val="24"/>
          <w:lang w:val="ro-MD"/>
        </w:rPr>
        <w:t>infrastructurii gazelor naturale</w:t>
      </w:r>
      <w:r w:rsidRPr="009772A3">
        <w:rPr>
          <w:rFonts w:asciiTheme="majorHAnsi" w:hAnsiTheme="majorHAnsi" w:cstheme="majorHAnsi"/>
          <w:sz w:val="24"/>
          <w:szCs w:val="24"/>
          <w:lang w:val="ro-MD"/>
        </w:rPr>
        <w:t xml:space="preserve">, probele colectate de audit relevă că, din cauza lipsei unor obiective clare de asigurare a continuității activităților aferente, investițiile în </w:t>
      </w:r>
      <w:r w:rsidR="00836B4D" w:rsidRPr="009772A3">
        <w:rPr>
          <w:rFonts w:asciiTheme="majorHAnsi" w:hAnsiTheme="majorHAnsi" w:cstheme="majorHAnsi"/>
          <w:sz w:val="24"/>
          <w:szCs w:val="24"/>
          <w:lang w:val="ro-MD"/>
        </w:rPr>
        <w:t>unele</w:t>
      </w:r>
      <w:r w:rsidRPr="009772A3">
        <w:rPr>
          <w:rFonts w:asciiTheme="majorHAnsi" w:hAnsiTheme="majorHAnsi" w:cstheme="majorHAnsi"/>
          <w:sz w:val="24"/>
          <w:szCs w:val="24"/>
          <w:lang w:val="ro-MD"/>
        </w:rPr>
        <w:t xml:space="preserve"> proiecte, în valoare totală de cca </w:t>
      </w:r>
      <w:r w:rsidR="00142C2F" w:rsidRPr="00CF3AD4">
        <w:rPr>
          <w:rFonts w:asciiTheme="majorHAnsi" w:hAnsiTheme="majorHAnsi" w:cstheme="majorHAnsi"/>
          <w:sz w:val="24"/>
          <w:szCs w:val="24"/>
          <w:lang w:val="ro-MD"/>
        </w:rPr>
        <w:t>12.583,4</w:t>
      </w:r>
      <w:r w:rsidR="00142C2F" w:rsidRPr="00CF3AD4">
        <w:rPr>
          <w:rFonts w:asciiTheme="majorHAnsi" w:hAnsiTheme="majorHAnsi" w:cstheme="majorHAnsi"/>
          <w:i/>
          <w:sz w:val="24"/>
          <w:szCs w:val="24"/>
          <w:lang w:val="ro-MD"/>
        </w:rPr>
        <w:t xml:space="preserve"> </w:t>
      </w:r>
      <w:r w:rsidRPr="007D3470">
        <w:rPr>
          <w:rFonts w:asciiTheme="majorHAnsi" w:hAnsiTheme="majorHAnsi" w:cstheme="majorHAnsi"/>
          <w:sz w:val="24"/>
          <w:szCs w:val="24"/>
          <w:lang w:val="ro-MD"/>
        </w:rPr>
        <w:t>mii lei,</w:t>
      </w:r>
      <w:r w:rsidRPr="009772A3">
        <w:rPr>
          <w:rFonts w:asciiTheme="majorHAnsi" w:hAnsiTheme="majorHAnsi" w:cstheme="majorHAnsi"/>
          <w:sz w:val="24"/>
          <w:szCs w:val="24"/>
          <w:lang w:val="ro-MD"/>
        </w:rPr>
        <w:t xml:space="preserve"> efectuate începând cu anul </w:t>
      </w:r>
      <w:r w:rsidR="00836B4D" w:rsidRPr="009772A3">
        <w:rPr>
          <w:rFonts w:asciiTheme="majorHAnsi" w:hAnsiTheme="majorHAnsi" w:cstheme="majorHAnsi"/>
          <w:sz w:val="24"/>
          <w:szCs w:val="24"/>
          <w:lang w:val="ro-MD"/>
        </w:rPr>
        <w:t>2015</w:t>
      </w:r>
      <w:r w:rsidRPr="009772A3">
        <w:rPr>
          <w:rFonts w:asciiTheme="majorHAnsi" w:hAnsiTheme="majorHAnsi" w:cstheme="majorHAnsi"/>
          <w:sz w:val="24"/>
          <w:szCs w:val="24"/>
          <w:lang w:val="ro-MD"/>
        </w:rPr>
        <w:t xml:space="preserve">, până în prezent rămân înregistrate ca active în curs de execuție, care, nefiind finalizate, nu contribuie la dezvoltarea/modernizarea infrastructurii </w:t>
      </w:r>
      <w:r w:rsidR="00836B4D" w:rsidRPr="009772A3">
        <w:rPr>
          <w:rFonts w:asciiTheme="majorHAnsi" w:hAnsiTheme="majorHAnsi" w:cstheme="majorHAnsi"/>
          <w:sz w:val="24"/>
          <w:szCs w:val="24"/>
          <w:lang w:val="ro-MD"/>
        </w:rPr>
        <w:t>de gaze</w:t>
      </w:r>
      <w:r w:rsidRPr="009772A3">
        <w:rPr>
          <w:rFonts w:asciiTheme="majorHAnsi" w:hAnsiTheme="majorHAnsi" w:cstheme="majorHAnsi"/>
          <w:sz w:val="24"/>
          <w:szCs w:val="24"/>
          <w:lang w:val="ro-MD"/>
        </w:rPr>
        <w:t>,</w:t>
      </w:r>
      <w:r w:rsidR="00836B4D" w:rsidRPr="009772A3">
        <w:rPr>
          <w:rFonts w:asciiTheme="majorHAnsi" w:hAnsiTheme="majorHAnsi" w:cstheme="majorHAnsi"/>
          <w:sz w:val="24"/>
          <w:szCs w:val="24"/>
          <w:lang w:val="ro-MD"/>
        </w:rPr>
        <w:t xml:space="preserve"> </w:t>
      </w:r>
      <w:r w:rsidR="008551BB" w:rsidRPr="009772A3">
        <w:rPr>
          <w:rFonts w:asciiTheme="majorHAnsi" w:hAnsiTheme="majorHAnsi" w:cstheme="majorHAnsi"/>
          <w:sz w:val="24"/>
          <w:szCs w:val="24"/>
          <w:lang w:val="ro-MD"/>
        </w:rPr>
        <w:t>imobiliz</w:t>
      </w:r>
      <w:r w:rsidR="005B24F4" w:rsidRPr="009772A3">
        <w:rPr>
          <w:rFonts w:asciiTheme="majorHAnsi" w:hAnsiTheme="majorHAnsi" w:cstheme="majorHAnsi"/>
          <w:sz w:val="24"/>
          <w:szCs w:val="24"/>
          <w:lang w:val="ro-MD"/>
        </w:rPr>
        <w:t>â</w:t>
      </w:r>
      <w:r w:rsidR="008551BB" w:rsidRPr="009772A3">
        <w:rPr>
          <w:rFonts w:asciiTheme="majorHAnsi" w:hAnsiTheme="majorHAnsi" w:cstheme="majorHAnsi"/>
          <w:sz w:val="24"/>
          <w:szCs w:val="24"/>
          <w:lang w:val="ro-MD"/>
        </w:rPr>
        <w:t>nd mijloace financiare ce puteau fi îndreptate la achitarea datoriilor acumulate</w:t>
      </w:r>
      <w:r w:rsidRPr="009772A3">
        <w:rPr>
          <w:rFonts w:asciiTheme="majorHAnsi" w:hAnsiTheme="majorHAnsi" w:cstheme="majorHAnsi"/>
          <w:sz w:val="24"/>
          <w:szCs w:val="24"/>
          <w:lang w:val="ro-MD"/>
        </w:rPr>
        <w:t>.</w:t>
      </w:r>
    </w:p>
    <w:p w14:paraId="38AB613B" w14:textId="4D612479" w:rsidR="00836B4D" w:rsidRPr="009772A3" w:rsidRDefault="00836B4D" w:rsidP="00836B4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w:t>
      </w:r>
      <w:r w:rsidR="00770F7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potrivit datelor bilanțului contabil al SRL Moldovatransgaz, la 31.12.2021 soldul  contului 121 </w:t>
      </w:r>
      <w:r w:rsidR="009B0C9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Imobilizări corporale în curs de execuție” a constituit 19.4</w:t>
      </w:r>
      <w:r w:rsidR="006E4451" w:rsidRPr="009772A3">
        <w:rPr>
          <w:rFonts w:asciiTheme="majorHAnsi" w:hAnsiTheme="majorHAnsi" w:cstheme="majorHAnsi"/>
          <w:sz w:val="24"/>
          <w:szCs w:val="24"/>
          <w:lang w:val="ro-MD"/>
        </w:rPr>
        <w:t>20,9</w:t>
      </w:r>
      <w:r w:rsidRPr="009772A3">
        <w:rPr>
          <w:rFonts w:asciiTheme="majorHAnsi" w:hAnsiTheme="majorHAnsi" w:cstheme="majorHAnsi"/>
          <w:sz w:val="24"/>
          <w:szCs w:val="24"/>
          <w:lang w:val="ro-MD"/>
        </w:rPr>
        <w:t xml:space="preserve"> mii lei, dintre care 7.9</w:t>
      </w:r>
      <w:r w:rsidR="006E4451" w:rsidRPr="009772A3">
        <w:rPr>
          <w:rFonts w:asciiTheme="majorHAnsi" w:hAnsiTheme="majorHAnsi" w:cstheme="majorHAnsi"/>
          <w:sz w:val="24"/>
          <w:szCs w:val="24"/>
          <w:lang w:val="ro-MD"/>
        </w:rPr>
        <w:t>76,6</w:t>
      </w:r>
      <w:r w:rsidRPr="009772A3">
        <w:rPr>
          <w:rFonts w:asciiTheme="majorHAnsi" w:hAnsiTheme="majorHAnsi" w:cstheme="majorHAnsi"/>
          <w:sz w:val="24"/>
          <w:szCs w:val="24"/>
          <w:lang w:val="ro-MD"/>
        </w:rPr>
        <w:t xml:space="preserve"> mii lei reprezintă imobilizări</w:t>
      </w:r>
      <w:r w:rsidR="00770F73"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corporale în curs de execuție, care s-au format în anii 2015-2018, nefiind finalizate, inclusiv 7.5</w:t>
      </w:r>
      <w:r w:rsidR="006E4451" w:rsidRPr="009772A3">
        <w:rPr>
          <w:rFonts w:asciiTheme="majorHAnsi" w:hAnsiTheme="majorHAnsi" w:cstheme="majorHAnsi"/>
          <w:sz w:val="24"/>
          <w:szCs w:val="24"/>
          <w:lang w:val="ro-MD"/>
        </w:rPr>
        <w:t>76,6</w:t>
      </w:r>
      <w:r w:rsidRPr="009772A3">
        <w:rPr>
          <w:rFonts w:asciiTheme="majorHAnsi" w:hAnsiTheme="majorHAnsi" w:cstheme="majorHAnsi"/>
          <w:sz w:val="24"/>
          <w:szCs w:val="24"/>
          <w:lang w:val="ro-MD"/>
        </w:rPr>
        <w:t xml:space="preserve"> mii lei </w:t>
      </w:r>
      <w:r w:rsidR="00770F7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serviciile de proiectare</w:t>
      </w:r>
      <w:r w:rsidRPr="009772A3">
        <w:rPr>
          <w:rFonts w:asciiTheme="majorHAnsi" w:hAnsiTheme="majorHAnsi" w:cstheme="majorHAnsi"/>
          <w:vertAlign w:val="superscript"/>
          <w:lang w:val="ro-MD"/>
        </w:rPr>
        <w:footnoteReference w:id="72"/>
      </w:r>
      <w:r w:rsidR="00770F7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w:t>
      </w:r>
      <w:r w:rsidR="00805BDD" w:rsidRPr="009772A3">
        <w:rPr>
          <w:rFonts w:asciiTheme="majorHAnsi" w:hAnsiTheme="majorHAnsi" w:cstheme="majorHAnsi"/>
          <w:sz w:val="24"/>
          <w:szCs w:val="24"/>
          <w:lang w:val="ro-MD"/>
        </w:rPr>
        <w:t>400,0</w:t>
      </w:r>
      <w:r w:rsidRPr="009772A3">
        <w:rPr>
          <w:rFonts w:asciiTheme="majorHAnsi" w:hAnsiTheme="majorHAnsi" w:cstheme="majorHAnsi"/>
          <w:sz w:val="24"/>
          <w:szCs w:val="24"/>
          <w:lang w:val="ro-MD"/>
        </w:rPr>
        <w:t xml:space="preserve"> mi</w:t>
      </w:r>
      <w:r w:rsidR="00805BD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 </w:t>
      </w:r>
      <w:r w:rsidR="00770F73" w:rsidRPr="009772A3">
        <w:rPr>
          <w:rFonts w:asciiTheme="majorHAnsi" w:hAnsiTheme="majorHAnsi" w:cstheme="majorHAnsi"/>
          <w:sz w:val="24"/>
          <w:szCs w:val="24"/>
          <w:lang w:val="ro-MD"/>
        </w:rPr>
        <w:t xml:space="preserve">pentru </w:t>
      </w:r>
      <w:r w:rsidRPr="009772A3">
        <w:rPr>
          <w:rFonts w:asciiTheme="majorHAnsi" w:hAnsiTheme="majorHAnsi" w:cstheme="majorHAnsi"/>
          <w:sz w:val="24"/>
          <w:szCs w:val="24"/>
          <w:lang w:val="ro-MD"/>
        </w:rPr>
        <w:t>echipamente</w:t>
      </w:r>
      <w:r w:rsidR="00805BDD" w:rsidRPr="009772A3">
        <w:rPr>
          <w:rFonts w:asciiTheme="majorHAnsi" w:hAnsiTheme="majorHAnsi" w:cstheme="majorHAnsi"/>
          <w:sz w:val="24"/>
          <w:szCs w:val="24"/>
          <w:lang w:val="ro-MD"/>
        </w:rPr>
        <w:t xml:space="preserve">. </w:t>
      </w:r>
      <w:r w:rsidR="00770F73" w:rsidRPr="009772A3">
        <w:rPr>
          <w:rFonts w:asciiTheme="majorHAnsi" w:hAnsiTheme="majorHAnsi" w:cstheme="majorHAnsi"/>
          <w:sz w:val="24"/>
          <w:szCs w:val="24"/>
          <w:lang w:val="ro-MD"/>
        </w:rPr>
        <w:t>O s</w:t>
      </w:r>
      <w:r w:rsidR="00805BDD" w:rsidRPr="009772A3">
        <w:rPr>
          <w:rFonts w:asciiTheme="majorHAnsi" w:hAnsiTheme="majorHAnsi" w:cstheme="majorHAnsi"/>
          <w:sz w:val="24"/>
          <w:szCs w:val="24"/>
          <w:lang w:val="ro-MD"/>
        </w:rPr>
        <w:t>ituație similară se atestă și î</w:t>
      </w:r>
      <w:r w:rsidRPr="009772A3">
        <w:rPr>
          <w:rFonts w:asciiTheme="majorHAnsi" w:hAnsiTheme="majorHAnsi" w:cstheme="majorHAnsi"/>
          <w:sz w:val="24"/>
          <w:szCs w:val="24"/>
          <w:lang w:val="ro-MD"/>
        </w:rPr>
        <w:t>n cadrul SRL Bălți-gaz</w:t>
      </w:r>
      <w:r w:rsidR="00770F73" w:rsidRPr="009772A3">
        <w:rPr>
          <w:rFonts w:asciiTheme="majorHAnsi" w:hAnsiTheme="majorHAnsi" w:cstheme="majorHAnsi"/>
          <w:sz w:val="24"/>
          <w:szCs w:val="24"/>
          <w:lang w:val="ro-MD"/>
        </w:rPr>
        <w:t>,</w:t>
      </w:r>
      <w:r w:rsidR="00805BDD" w:rsidRPr="009772A3">
        <w:rPr>
          <w:rFonts w:asciiTheme="majorHAnsi" w:hAnsiTheme="majorHAnsi" w:cstheme="majorHAnsi"/>
          <w:sz w:val="24"/>
          <w:szCs w:val="24"/>
          <w:lang w:val="ro-MD"/>
        </w:rPr>
        <w:t xml:space="preserve"> unde</w:t>
      </w:r>
      <w:r w:rsidRPr="009772A3">
        <w:rPr>
          <w:rFonts w:asciiTheme="majorHAnsi" w:hAnsiTheme="majorHAnsi" w:cstheme="majorHAnsi"/>
          <w:sz w:val="24"/>
          <w:szCs w:val="24"/>
          <w:lang w:val="ro-MD"/>
        </w:rPr>
        <w:t xml:space="preserve"> au fost efectuate unele investiții care nu au fost finalizate, inclusiv </w:t>
      </w:r>
      <w:r w:rsidR="008551BB" w:rsidRPr="009772A3">
        <w:rPr>
          <w:rFonts w:asciiTheme="majorHAnsi" w:hAnsiTheme="majorHAnsi" w:cstheme="majorHAnsi"/>
          <w:sz w:val="24"/>
          <w:szCs w:val="24"/>
          <w:lang w:val="ro-MD"/>
        </w:rPr>
        <w:t xml:space="preserve">în </w:t>
      </w:r>
      <w:r w:rsidRPr="009772A3">
        <w:rPr>
          <w:rFonts w:asciiTheme="majorHAnsi" w:hAnsiTheme="majorHAnsi" w:cstheme="majorHAnsi"/>
          <w:sz w:val="24"/>
          <w:szCs w:val="24"/>
          <w:lang w:val="ro-MD"/>
        </w:rPr>
        <w:t>2 clădiri administrative</w:t>
      </w:r>
      <w:r w:rsidR="00770F73" w:rsidRPr="009772A3">
        <w:rPr>
          <w:rFonts w:asciiTheme="majorHAnsi" w:hAnsiTheme="majorHAnsi" w:cstheme="majorHAnsi"/>
          <w:sz w:val="24"/>
          <w:szCs w:val="24"/>
          <w:lang w:val="ro-MD"/>
        </w:rPr>
        <w:t>,</w:t>
      </w:r>
      <w:r w:rsidR="00805BDD" w:rsidRPr="009772A3">
        <w:rPr>
          <w:rFonts w:asciiTheme="majorHAnsi" w:hAnsiTheme="majorHAnsi" w:cstheme="majorHAnsi"/>
          <w:sz w:val="24"/>
          <w:szCs w:val="24"/>
          <w:lang w:val="ro-MD"/>
        </w:rPr>
        <w:t xml:space="preserve"> în valoare de </w:t>
      </w:r>
      <w:r w:rsidR="002C2EA8">
        <w:rPr>
          <w:rFonts w:asciiTheme="majorHAnsi" w:hAnsiTheme="majorHAnsi" w:cstheme="majorHAnsi"/>
          <w:sz w:val="24"/>
          <w:szCs w:val="24"/>
          <w:lang w:val="ro-MD"/>
        </w:rPr>
        <w:t>2</w:t>
      </w:r>
      <w:r w:rsidR="00805BDD" w:rsidRPr="009772A3">
        <w:rPr>
          <w:rFonts w:asciiTheme="majorHAnsi" w:hAnsiTheme="majorHAnsi" w:cstheme="majorHAnsi"/>
          <w:sz w:val="24"/>
          <w:szCs w:val="24"/>
          <w:lang w:val="ro-MD"/>
        </w:rPr>
        <w:t>.</w:t>
      </w:r>
      <w:r w:rsidR="002C2EA8" w:rsidRPr="009772A3">
        <w:rPr>
          <w:rFonts w:asciiTheme="majorHAnsi" w:hAnsiTheme="majorHAnsi" w:cstheme="majorHAnsi"/>
          <w:sz w:val="24"/>
          <w:szCs w:val="24"/>
          <w:lang w:val="ro-MD"/>
        </w:rPr>
        <w:t>5</w:t>
      </w:r>
      <w:r w:rsidR="002C2EA8">
        <w:rPr>
          <w:rFonts w:asciiTheme="majorHAnsi" w:hAnsiTheme="majorHAnsi" w:cstheme="majorHAnsi"/>
          <w:sz w:val="24"/>
          <w:szCs w:val="24"/>
          <w:lang w:val="ro-MD"/>
        </w:rPr>
        <w:t>4</w:t>
      </w:r>
      <w:r w:rsidR="002C2EA8" w:rsidRPr="009772A3">
        <w:rPr>
          <w:rFonts w:asciiTheme="majorHAnsi" w:hAnsiTheme="majorHAnsi" w:cstheme="majorHAnsi"/>
          <w:sz w:val="24"/>
          <w:szCs w:val="24"/>
          <w:lang w:val="ro-MD"/>
        </w:rPr>
        <w:t>0</w:t>
      </w:r>
      <w:r w:rsidR="00805BDD" w:rsidRPr="009772A3">
        <w:rPr>
          <w:rFonts w:asciiTheme="majorHAnsi" w:hAnsiTheme="majorHAnsi" w:cstheme="majorHAnsi"/>
          <w:sz w:val="24"/>
          <w:szCs w:val="24"/>
          <w:lang w:val="ro-MD"/>
        </w:rPr>
        <w:t xml:space="preserve">,0 mii </w:t>
      </w:r>
      <w:r w:rsidRPr="009772A3">
        <w:rPr>
          <w:rFonts w:asciiTheme="majorHAnsi" w:hAnsiTheme="majorHAnsi" w:cstheme="majorHAnsi"/>
          <w:sz w:val="24"/>
          <w:szCs w:val="24"/>
          <w:lang w:val="ro-MD"/>
        </w:rPr>
        <w:t>lei, complexul bazei petroli</w:t>
      </w:r>
      <w:r w:rsidR="00805BDD" w:rsidRPr="009772A3">
        <w:rPr>
          <w:rFonts w:asciiTheme="majorHAnsi" w:hAnsiTheme="majorHAnsi" w:cstheme="majorHAnsi"/>
          <w:sz w:val="24"/>
          <w:szCs w:val="24"/>
          <w:lang w:val="ro-MD"/>
        </w:rPr>
        <w:t xml:space="preserve">ere </w:t>
      </w:r>
      <w:r w:rsidR="001A7D60" w:rsidRPr="009772A3">
        <w:rPr>
          <w:rFonts w:asciiTheme="majorHAnsi" w:hAnsiTheme="majorHAnsi" w:cstheme="majorHAnsi"/>
          <w:sz w:val="24"/>
          <w:szCs w:val="24"/>
          <w:lang w:val="ro-MD"/>
        </w:rPr>
        <w:t xml:space="preserve">din </w:t>
      </w:r>
      <w:r w:rsidR="00805BDD" w:rsidRPr="009772A3">
        <w:rPr>
          <w:rFonts w:asciiTheme="majorHAnsi" w:hAnsiTheme="majorHAnsi" w:cstheme="majorHAnsi"/>
          <w:sz w:val="24"/>
          <w:szCs w:val="24"/>
          <w:lang w:val="ro-MD"/>
        </w:rPr>
        <w:t>or. Glodeni</w:t>
      </w:r>
      <w:r w:rsidR="001A7D60" w:rsidRPr="009772A3">
        <w:rPr>
          <w:rFonts w:asciiTheme="majorHAnsi" w:hAnsiTheme="majorHAnsi" w:cstheme="majorHAnsi"/>
          <w:sz w:val="24"/>
          <w:szCs w:val="24"/>
          <w:lang w:val="ro-MD"/>
        </w:rPr>
        <w:t>,</w:t>
      </w:r>
      <w:r w:rsidR="00805BDD" w:rsidRPr="009772A3">
        <w:rPr>
          <w:rFonts w:asciiTheme="majorHAnsi" w:hAnsiTheme="majorHAnsi" w:cstheme="majorHAnsi"/>
          <w:sz w:val="24"/>
          <w:szCs w:val="24"/>
          <w:lang w:val="ro-MD"/>
        </w:rPr>
        <w:t xml:space="preserve"> în valoare de 1.</w:t>
      </w:r>
      <w:r w:rsidR="002C2EA8">
        <w:rPr>
          <w:rFonts w:asciiTheme="majorHAnsi" w:hAnsiTheme="majorHAnsi" w:cstheme="majorHAnsi"/>
          <w:sz w:val="24"/>
          <w:szCs w:val="24"/>
          <w:lang w:val="ro-MD"/>
        </w:rPr>
        <w:t>666</w:t>
      </w:r>
      <w:r w:rsidR="00805BDD" w:rsidRPr="009772A3">
        <w:rPr>
          <w:rFonts w:asciiTheme="majorHAnsi" w:hAnsiTheme="majorHAnsi" w:cstheme="majorHAnsi"/>
          <w:sz w:val="24"/>
          <w:szCs w:val="24"/>
          <w:lang w:val="ro-MD"/>
        </w:rPr>
        <w:t>,</w:t>
      </w:r>
      <w:r w:rsidR="002C2EA8">
        <w:rPr>
          <w:rFonts w:asciiTheme="majorHAnsi" w:hAnsiTheme="majorHAnsi" w:cstheme="majorHAnsi"/>
          <w:sz w:val="24"/>
          <w:szCs w:val="24"/>
          <w:lang w:val="ro-MD"/>
        </w:rPr>
        <w:t>8</w:t>
      </w:r>
      <w:r w:rsidR="00805BDD" w:rsidRPr="009772A3">
        <w:rPr>
          <w:rFonts w:asciiTheme="majorHAnsi" w:hAnsiTheme="majorHAnsi" w:cstheme="majorHAnsi"/>
          <w:sz w:val="24"/>
          <w:szCs w:val="24"/>
          <w:lang w:val="ro-MD"/>
        </w:rPr>
        <w:t xml:space="preserve"> mii lei, primite de la S</w:t>
      </w:r>
      <w:r w:rsidRPr="009772A3">
        <w:rPr>
          <w:rFonts w:asciiTheme="majorHAnsi" w:hAnsiTheme="majorHAnsi" w:cstheme="majorHAnsi"/>
          <w:sz w:val="24"/>
          <w:szCs w:val="24"/>
          <w:lang w:val="ro-MD"/>
        </w:rPr>
        <w:t>A Moldovagaz</w:t>
      </w:r>
      <w:r w:rsidR="00805BDD" w:rsidRPr="009772A3">
        <w:rPr>
          <w:rFonts w:asciiTheme="majorHAnsi" w:hAnsiTheme="majorHAnsi" w:cstheme="majorHAnsi"/>
          <w:sz w:val="24"/>
          <w:szCs w:val="24"/>
          <w:lang w:val="ro-MD"/>
        </w:rPr>
        <w:t xml:space="preserve"> la momentul înființării SRL </w:t>
      </w:r>
      <w:r w:rsidRPr="009772A3">
        <w:rPr>
          <w:rFonts w:asciiTheme="majorHAnsi" w:hAnsiTheme="majorHAnsi" w:cstheme="majorHAnsi"/>
          <w:sz w:val="24"/>
          <w:szCs w:val="24"/>
          <w:lang w:val="ro-MD"/>
        </w:rPr>
        <w:t>Bălți-</w:t>
      </w:r>
      <w:r w:rsidR="00770F73"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az</w:t>
      </w:r>
      <w:r w:rsidR="00805BDD" w:rsidRPr="009772A3">
        <w:rPr>
          <w:rFonts w:asciiTheme="majorHAnsi" w:hAnsiTheme="majorHAnsi" w:cstheme="majorHAnsi"/>
          <w:sz w:val="24"/>
          <w:szCs w:val="24"/>
          <w:lang w:val="ro-MD"/>
        </w:rPr>
        <w:t>, în anul 1999,</w:t>
      </w:r>
      <w:r w:rsidRPr="009772A3">
        <w:rPr>
          <w:rFonts w:asciiTheme="majorHAnsi" w:hAnsiTheme="majorHAnsi" w:cstheme="majorHAnsi"/>
          <w:sz w:val="24"/>
          <w:szCs w:val="24"/>
          <w:lang w:val="ro-MD"/>
        </w:rPr>
        <w:t xml:space="preserve"> lucrări nefinalizate la gazoductul or.Fălești</w:t>
      </w:r>
      <w:r w:rsidR="001A7D6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valoare de 1</w:t>
      </w:r>
      <w:r w:rsidR="00805BDD" w:rsidRPr="009772A3">
        <w:rPr>
          <w:rFonts w:asciiTheme="majorHAnsi" w:hAnsiTheme="majorHAnsi" w:cstheme="majorHAnsi"/>
          <w:sz w:val="24"/>
          <w:szCs w:val="24"/>
          <w:lang w:val="ro-MD"/>
        </w:rPr>
        <w:t xml:space="preserve">00,0 </w:t>
      </w:r>
      <w:r w:rsidRPr="009772A3">
        <w:rPr>
          <w:rFonts w:asciiTheme="majorHAnsi" w:hAnsiTheme="majorHAnsi" w:cstheme="majorHAnsi"/>
          <w:sz w:val="24"/>
          <w:szCs w:val="24"/>
          <w:lang w:val="ro-MD"/>
        </w:rPr>
        <w:t>mi</w:t>
      </w:r>
      <w:r w:rsidR="00805BDD" w:rsidRPr="009772A3">
        <w:rPr>
          <w:rFonts w:asciiTheme="majorHAnsi" w:hAnsiTheme="majorHAnsi" w:cstheme="majorHAnsi"/>
          <w:sz w:val="24"/>
          <w:szCs w:val="24"/>
          <w:lang w:val="ro-MD"/>
        </w:rPr>
        <w:t xml:space="preserve">i </w:t>
      </w:r>
      <w:r w:rsidRPr="009772A3">
        <w:rPr>
          <w:rFonts w:asciiTheme="majorHAnsi" w:hAnsiTheme="majorHAnsi" w:cstheme="majorHAnsi"/>
          <w:sz w:val="24"/>
          <w:szCs w:val="24"/>
          <w:lang w:val="ro-MD"/>
        </w:rPr>
        <w:t>lei</w:t>
      </w:r>
      <w:r w:rsidR="001A7D6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documentația de proiect </w:t>
      </w:r>
      <w:r w:rsidR="001A7D6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de 3</w:t>
      </w:r>
      <w:r w:rsidR="00805BDD" w:rsidRPr="009772A3">
        <w:rPr>
          <w:rFonts w:asciiTheme="majorHAnsi" w:hAnsiTheme="majorHAnsi" w:cstheme="majorHAnsi"/>
          <w:sz w:val="24"/>
          <w:szCs w:val="24"/>
          <w:lang w:val="ro-MD"/>
        </w:rPr>
        <w:t xml:space="preserve">00,0 mii </w:t>
      </w:r>
      <w:r w:rsidRPr="009772A3">
        <w:rPr>
          <w:rFonts w:asciiTheme="majorHAnsi" w:hAnsiTheme="majorHAnsi" w:cstheme="majorHAnsi"/>
          <w:sz w:val="24"/>
          <w:szCs w:val="24"/>
          <w:lang w:val="ro-MD"/>
        </w:rPr>
        <w:t>lei.</w:t>
      </w:r>
    </w:p>
    <w:p w14:paraId="53FDCEF1" w14:textId="0A6A3348" w:rsidR="0011179A" w:rsidRPr="009772A3" w:rsidRDefault="00FA1D34" w:rsidP="00805BD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Nerealizarea</w:t>
      </w:r>
      <w:r w:rsidR="0011179A" w:rsidRPr="009772A3">
        <w:rPr>
          <w:rFonts w:asciiTheme="majorHAnsi" w:hAnsiTheme="majorHAnsi" w:cstheme="majorHAnsi"/>
          <w:sz w:val="24"/>
          <w:szCs w:val="24"/>
          <w:lang w:val="ro-MD"/>
        </w:rPr>
        <w:t xml:space="preserve"> scopurilor aferente achiziți</w:t>
      </w:r>
      <w:r w:rsidR="00805BDD" w:rsidRPr="009772A3">
        <w:rPr>
          <w:rFonts w:asciiTheme="majorHAnsi" w:hAnsiTheme="majorHAnsi" w:cstheme="majorHAnsi"/>
          <w:sz w:val="24"/>
          <w:szCs w:val="24"/>
          <w:lang w:val="ro-MD"/>
        </w:rPr>
        <w:t>ilor</w:t>
      </w:r>
      <w:r w:rsidR="0011179A" w:rsidRPr="009772A3">
        <w:rPr>
          <w:rFonts w:asciiTheme="majorHAnsi" w:hAnsiTheme="majorHAnsi" w:cstheme="majorHAnsi"/>
          <w:sz w:val="24"/>
          <w:szCs w:val="24"/>
          <w:lang w:val="ro-MD"/>
        </w:rPr>
        <w:t xml:space="preserve"> serviciilor de proiectare</w:t>
      </w:r>
      <w:r w:rsidR="00805BDD" w:rsidRPr="009772A3">
        <w:rPr>
          <w:rFonts w:asciiTheme="majorHAnsi" w:hAnsiTheme="majorHAnsi" w:cstheme="majorHAnsi"/>
          <w:sz w:val="24"/>
          <w:szCs w:val="24"/>
          <w:lang w:val="ro-MD"/>
        </w:rPr>
        <w:t xml:space="preserve"> și lucrărilor de construcție și modernizare a infrastructurii de gaze naturale</w:t>
      </w:r>
      <w:r w:rsidR="0011179A" w:rsidRPr="009772A3">
        <w:rPr>
          <w:rFonts w:asciiTheme="majorHAnsi" w:hAnsiTheme="majorHAnsi" w:cstheme="majorHAnsi"/>
          <w:sz w:val="24"/>
          <w:szCs w:val="24"/>
          <w:lang w:val="ro-MD"/>
        </w:rPr>
        <w:t>, nu doar indică un raționament nejustificat și neconform al</w:t>
      </w:r>
      <w:r w:rsidRPr="009772A3">
        <w:rPr>
          <w:rFonts w:asciiTheme="majorHAnsi" w:hAnsiTheme="majorHAnsi" w:cstheme="majorHAnsi"/>
          <w:sz w:val="24"/>
          <w:szCs w:val="24"/>
          <w:lang w:val="ro-MD"/>
        </w:rPr>
        <w:t xml:space="preserve"> unelor</w:t>
      </w:r>
      <w:r w:rsidR="0011179A" w:rsidRPr="009772A3">
        <w:rPr>
          <w:rFonts w:asciiTheme="majorHAnsi" w:hAnsiTheme="majorHAnsi" w:cstheme="majorHAnsi"/>
          <w:sz w:val="24"/>
          <w:szCs w:val="24"/>
          <w:lang w:val="ro-MD"/>
        </w:rPr>
        <w:t xml:space="preserve"> investiții, dar și impune costuri ulterioare de ajustare, din cauza verificărilor și modificărilor repetate a</w:t>
      </w:r>
      <w:r w:rsidR="001A7D60" w:rsidRPr="009772A3">
        <w:rPr>
          <w:rFonts w:asciiTheme="majorHAnsi" w:hAnsiTheme="majorHAnsi" w:cstheme="majorHAnsi"/>
          <w:sz w:val="24"/>
          <w:szCs w:val="24"/>
          <w:lang w:val="ro-MD"/>
        </w:rPr>
        <w:t>le</w:t>
      </w:r>
      <w:r w:rsidR="0011179A" w:rsidRPr="009772A3">
        <w:rPr>
          <w:rFonts w:asciiTheme="majorHAnsi" w:hAnsiTheme="majorHAnsi" w:cstheme="majorHAnsi"/>
          <w:sz w:val="24"/>
          <w:szCs w:val="24"/>
          <w:lang w:val="ro-MD"/>
        </w:rPr>
        <w:t xml:space="preserve"> documentațiilor de proiect învechite. </w:t>
      </w:r>
    </w:p>
    <w:p w14:paraId="1E6FFEBF" w14:textId="62B0407B" w:rsidR="008004E9" w:rsidRPr="009772A3" w:rsidRDefault="00ED2ADE" w:rsidP="00F9708C">
      <w:pPr>
        <w:pStyle w:val="Heading1"/>
        <w:numPr>
          <w:ilvl w:val="3"/>
          <w:numId w:val="2"/>
        </w:numPr>
        <w:tabs>
          <w:tab w:val="left" w:pos="851"/>
        </w:tabs>
        <w:spacing w:line="276" w:lineRule="auto"/>
        <w:ind w:left="0" w:firstLine="0"/>
        <w:jc w:val="both"/>
        <w:rPr>
          <w:i/>
          <w:color w:val="auto"/>
          <w:lang w:val="ro-MD"/>
        </w:rPr>
      </w:pPr>
      <w:hyperlink w:anchor="_Toc117179023" w:history="1">
        <w:bookmarkStart w:id="73" w:name="_Toc117775767"/>
        <w:bookmarkStart w:id="74" w:name="_Toc118297706"/>
        <w:bookmarkStart w:id="75" w:name="_Toc118465734"/>
        <w:bookmarkStart w:id="76" w:name="_Toc119496409"/>
        <w:r w:rsidR="008004E9" w:rsidRPr="009772A3">
          <w:rPr>
            <w:i/>
            <w:color w:val="auto"/>
            <w:lang w:val="ro-MD"/>
          </w:rPr>
          <w:t>Nedetalierea exactă a unor volume și tipuri de lucrări în valoare de cca 270.</w:t>
        </w:r>
        <w:r w:rsidR="000207C4" w:rsidRPr="009772A3">
          <w:rPr>
            <w:i/>
            <w:color w:val="auto"/>
            <w:lang w:val="ro-MD"/>
          </w:rPr>
          <w:t>3</w:t>
        </w:r>
        <w:r w:rsidR="000207C4">
          <w:rPr>
            <w:i/>
            <w:color w:val="auto"/>
            <w:lang w:val="ro-MD"/>
          </w:rPr>
          <w:t>93</w:t>
        </w:r>
        <w:r w:rsidR="008004E9" w:rsidRPr="009772A3">
          <w:rPr>
            <w:i/>
            <w:color w:val="auto"/>
            <w:lang w:val="ro-MD"/>
          </w:rPr>
          <w:t>,</w:t>
        </w:r>
        <w:r w:rsidR="000207C4">
          <w:rPr>
            <w:i/>
            <w:color w:val="auto"/>
            <w:lang w:val="ro-MD"/>
          </w:rPr>
          <w:t>4</w:t>
        </w:r>
        <w:r w:rsidR="008004E9" w:rsidRPr="009772A3">
          <w:rPr>
            <w:i/>
            <w:color w:val="auto"/>
            <w:lang w:val="ro-MD"/>
          </w:rPr>
          <w:t xml:space="preserve"> mii lei în documentația de deviz aferent</w:t>
        </w:r>
        <w:r w:rsidR="00540D34" w:rsidRPr="009772A3">
          <w:rPr>
            <w:i/>
            <w:color w:val="auto"/>
            <w:lang w:val="ro-MD"/>
          </w:rPr>
          <w:t>ă</w:t>
        </w:r>
        <w:r w:rsidR="008004E9" w:rsidRPr="009772A3">
          <w:rPr>
            <w:i/>
            <w:color w:val="auto"/>
            <w:lang w:val="ro-MD"/>
          </w:rPr>
          <w:t xml:space="preserve"> lucrărilor de renovare a rețelelor de transport a</w:t>
        </w:r>
        <w:r w:rsidR="00540D34" w:rsidRPr="009772A3">
          <w:rPr>
            <w:i/>
            <w:color w:val="auto"/>
            <w:lang w:val="ro-MD"/>
          </w:rPr>
          <w:t>l</w:t>
        </w:r>
        <w:r w:rsidR="008004E9" w:rsidRPr="009772A3">
          <w:rPr>
            <w:i/>
            <w:color w:val="auto"/>
            <w:lang w:val="ro-MD"/>
          </w:rPr>
          <w:t xml:space="preserve"> gazelor naturale, </w:t>
        </w:r>
        <w:r w:rsidR="008479F0" w:rsidRPr="009772A3">
          <w:rPr>
            <w:i/>
            <w:color w:val="auto"/>
            <w:lang w:val="ro-MD"/>
          </w:rPr>
          <w:t xml:space="preserve">nu asigură </w:t>
        </w:r>
        <w:r w:rsidR="008004E9" w:rsidRPr="009772A3">
          <w:rPr>
            <w:i/>
            <w:color w:val="auto"/>
            <w:lang w:val="ro-MD"/>
          </w:rPr>
          <w:t>transparența</w:t>
        </w:r>
      </w:hyperlink>
      <w:r w:rsidR="008004E9" w:rsidRPr="009772A3">
        <w:rPr>
          <w:i/>
          <w:color w:val="auto"/>
          <w:lang w:val="ro-MD"/>
        </w:rPr>
        <w:t xml:space="preserve"> și eficiența </w:t>
      </w:r>
      <w:r w:rsidR="008479F0" w:rsidRPr="009772A3">
        <w:rPr>
          <w:i/>
          <w:color w:val="auto"/>
          <w:lang w:val="ro-MD"/>
        </w:rPr>
        <w:t>achizițiilor efectuate</w:t>
      </w:r>
      <w:r w:rsidR="008004E9" w:rsidRPr="009772A3">
        <w:rPr>
          <w:i/>
          <w:color w:val="auto"/>
          <w:lang w:val="ro-MD"/>
        </w:rPr>
        <w:t>.</w:t>
      </w:r>
      <w:bookmarkEnd w:id="73"/>
      <w:bookmarkEnd w:id="74"/>
      <w:bookmarkEnd w:id="75"/>
      <w:bookmarkEnd w:id="76"/>
    </w:p>
    <w:p w14:paraId="498C97BD" w14:textId="2463CAE2" w:rsidR="008004E9" w:rsidRPr="009772A3" w:rsidRDefault="008004E9" w:rsidP="008004E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reparația capitală a conductei magistrale de gaze Razdelinaia-I</w:t>
      </w:r>
      <w:r w:rsidR="004B74C3" w:rsidRPr="009772A3">
        <w:rPr>
          <w:rFonts w:asciiTheme="majorHAnsi" w:hAnsiTheme="majorHAnsi" w:cstheme="majorHAnsi"/>
          <w:sz w:val="24"/>
          <w:szCs w:val="24"/>
          <w:lang w:val="ro-MD"/>
        </w:rPr>
        <w:t>s</w:t>
      </w:r>
      <w:r w:rsidRPr="009772A3">
        <w:rPr>
          <w:rFonts w:asciiTheme="majorHAnsi" w:hAnsiTheme="majorHAnsi" w:cstheme="majorHAnsi"/>
          <w:sz w:val="24"/>
          <w:szCs w:val="24"/>
          <w:lang w:val="ro-MD"/>
        </w:rPr>
        <w:t xml:space="preserve">mail D 820, km 286,8-292,717 și km 305,3-316,956, de către </w:t>
      </w:r>
      <w:r w:rsidRPr="009772A3">
        <w:rPr>
          <w:rFonts w:asciiTheme="majorHAnsi" w:hAnsiTheme="majorHAnsi" w:cstheme="majorHAnsi"/>
          <w:b/>
          <w:bCs/>
          <w:sz w:val="24"/>
          <w:szCs w:val="24"/>
          <w:lang w:val="ro-MD"/>
        </w:rPr>
        <w:t> </w:t>
      </w:r>
      <w:r w:rsidRPr="009772A3">
        <w:rPr>
          <w:rFonts w:asciiTheme="majorHAnsi" w:hAnsiTheme="majorHAnsi" w:cstheme="majorHAnsi"/>
          <w:sz w:val="24"/>
          <w:szCs w:val="24"/>
          <w:lang w:val="ro-MD"/>
        </w:rPr>
        <w:t>SRL Moldovatransgaz</w:t>
      </w:r>
      <w:r w:rsidR="00540D3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au </w:t>
      </w:r>
      <w:r w:rsidR="00540D34" w:rsidRPr="009772A3">
        <w:rPr>
          <w:rFonts w:asciiTheme="majorHAnsi" w:hAnsiTheme="majorHAnsi" w:cstheme="majorHAnsi"/>
          <w:sz w:val="24"/>
          <w:szCs w:val="24"/>
          <w:lang w:val="ro-MD"/>
        </w:rPr>
        <w:t xml:space="preserve">fost </w:t>
      </w:r>
      <w:r w:rsidRPr="009772A3">
        <w:rPr>
          <w:rFonts w:asciiTheme="majorHAnsi" w:hAnsiTheme="majorHAnsi" w:cstheme="majorHAnsi"/>
          <w:sz w:val="24"/>
          <w:szCs w:val="24"/>
          <w:lang w:val="ro-MD"/>
        </w:rPr>
        <w:t>încheiat</w:t>
      </w:r>
      <w:r w:rsidR="00540D34"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2 contracte de achiziție a lucrărilor</w:t>
      </w:r>
      <w:r w:rsidR="00540D34" w:rsidRPr="009772A3">
        <w:rPr>
          <w:rFonts w:asciiTheme="majorHAnsi" w:hAnsiTheme="majorHAnsi" w:cstheme="majorHAnsi"/>
          <w:sz w:val="24"/>
          <w:szCs w:val="24"/>
          <w:lang w:val="ro-MD"/>
        </w:rPr>
        <w:t>,</w:t>
      </w:r>
      <w:r w:rsidRPr="009772A3">
        <w:rPr>
          <w:rFonts w:asciiTheme="majorHAnsi" w:hAnsiTheme="majorHAnsi" w:cstheme="majorHAnsi"/>
          <w:b/>
          <w:bCs/>
          <w:sz w:val="24"/>
          <w:szCs w:val="24"/>
          <w:lang w:val="ro-MD"/>
        </w:rPr>
        <w:t xml:space="preserve">  </w:t>
      </w:r>
      <w:r w:rsidRPr="009772A3">
        <w:rPr>
          <w:rFonts w:asciiTheme="majorHAnsi" w:hAnsiTheme="majorHAnsi" w:cstheme="majorHAnsi"/>
          <w:sz w:val="24"/>
          <w:szCs w:val="24"/>
          <w:lang w:val="ro-MD"/>
        </w:rPr>
        <w:t>nr.12</w:t>
      </w:r>
      <w:r w:rsidR="00C068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RI din 11.10.2017 și</w:t>
      </w:r>
      <w:r w:rsidRPr="009772A3">
        <w:rPr>
          <w:rFonts w:asciiTheme="majorHAnsi" w:hAnsiTheme="majorHAnsi" w:cstheme="majorHAnsi"/>
          <w:i/>
          <w:iCs/>
          <w:sz w:val="24"/>
          <w:szCs w:val="24"/>
          <w:lang w:val="ro-MD"/>
        </w:rPr>
        <w:t> </w:t>
      </w:r>
      <w:r w:rsidRPr="009772A3">
        <w:rPr>
          <w:rFonts w:asciiTheme="majorHAnsi" w:hAnsiTheme="majorHAnsi" w:cstheme="majorHAnsi"/>
          <w:sz w:val="24"/>
          <w:szCs w:val="24"/>
          <w:lang w:val="ro-MD"/>
        </w:rPr>
        <w:t>nr.13.RI din 13.10.2017</w:t>
      </w:r>
      <w:r w:rsidR="00540D3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valoare totală de 15.091,9 mii dolari SUA</w:t>
      </w:r>
      <w:r w:rsidR="00540D3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261.089,9 mii lei</w:t>
      </w:r>
      <w:r w:rsidR="008479F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valoarea de deviz </w:t>
      </w:r>
      <w:r w:rsidR="008479F0" w:rsidRPr="009772A3">
        <w:rPr>
          <w:rFonts w:asciiTheme="majorHAnsi" w:hAnsiTheme="majorHAnsi" w:cstheme="majorHAnsi"/>
          <w:sz w:val="24"/>
          <w:szCs w:val="24"/>
          <w:lang w:val="ro-MD"/>
        </w:rPr>
        <w:t xml:space="preserve">a cărora </w:t>
      </w:r>
      <w:r w:rsidRPr="009772A3">
        <w:rPr>
          <w:rFonts w:asciiTheme="majorHAnsi" w:hAnsiTheme="majorHAnsi" w:cstheme="majorHAnsi"/>
          <w:sz w:val="24"/>
          <w:szCs w:val="24"/>
          <w:lang w:val="ro-MD"/>
        </w:rPr>
        <w:t xml:space="preserve">a constituit 279.300,0 mii lei. </w:t>
      </w:r>
    </w:p>
    <w:p w14:paraId="31A609E6" w14:textId="7A9166DF" w:rsidR="008004E9" w:rsidRPr="009772A3" w:rsidRDefault="008004E9" w:rsidP="008004E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Auditul public extern relev</w:t>
      </w:r>
      <w:r w:rsidR="008479F0" w:rsidRPr="009772A3">
        <w:rPr>
          <w:rFonts w:asciiTheme="majorHAnsi" w:hAnsiTheme="majorHAnsi" w:cstheme="majorHAnsi"/>
          <w:sz w:val="24"/>
          <w:szCs w:val="24"/>
          <w:lang w:val="ro-MD"/>
        </w:rPr>
        <w:t xml:space="preserve">ă </w:t>
      </w:r>
      <w:r w:rsidRPr="009772A3">
        <w:rPr>
          <w:rFonts w:asciiTheme="majorHAnsi" w:hAnsiTheme="majorHAnsi" w:cstheme="majorHAnsi"/>
          <w:sz w:val="24"/>
          <w:szCs w:val="24"/>
          <w:lang w:val="ro-MD"/>
        </w:rPr>
        <w:t>că SRL Moldovatransgaz în documentația de deviz nu a specificat prin detaliere</w:t>
      </w:r>
      <w:r w:rsidR="008479F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tipul, volumul și costuril</w:t>
      </w:r>
      <w:r w:rsidR="004A7CC6" w:rsidRPr="009772A3">
        <w:rPr>
          <w:rFonts w:asciiTheme="majorHAnsi" w:hAnsiTheme="majorHAnsi" w:cstheme="majorHAnsi"/>
          <w:sz w:val="24"/>
          <w:szCs w:val="24"/>
          <w:lang w:val="ro-MD"/>
        </w:rPr>
        <w:t>e unitare al</w:t>
      </w:r>
      <w:r w:rsidR="00150CED"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lucrărilor de renovare a </w:t>
      </w:r>
      <w:r w:rsidR="00C709C5" w:rsidRPr="009772A3">
        <w:rPr>
          <w:rFonts w:asciiTheme="majorHAnsi" w:hAnsiTheme="majorHAnsi" w:cstheme="majorHAnsi"/>
          <w:sz w:val="24"/>
          <w:szCs w:val="24"/>
          <w:lang w:val="ro-MD"/>
        </w:rPr>
        <w:t>izolație</w:t>
      </w:r>
      <w:r w:rsidR="00150CED" w:rsidRPr="009772A3">
        <w:rPr>
          <w:rFonts w:asciiTheme="majorHAnsi" w:hAnsiTheme="majorHAnsi" w:cstheme="majorHAnsi"/>
          <w:sz w:val="24"/>
          <w:szCs w:val="24"/>
          <w:lang w:val="ro-MD"/>
        </w:rPr>
        <w:t>i</w:t>
      </w:r>
      <w:r w:rsidR="00C709C5" w:rsidRPr="009772A3">
        <w:rPr>
          <w:rFonts w:asciiTheme="majorHAnsi" w:hAnsiTheme="majorHAnsi" w:cstheme="majorHAnsi"/>
          <w:sz w:val="24"/>
          <w:szCs w:val="24"/>
          <w:lang w:val="ro-MD"/>
        </w:rPr>
        <w:t xml:space="preserve"> țevilor </w:t>
      </w:r>
      <w:r w:rsidRPr="009772A3">
        <w:rPr>
          <w:rFonts w:asciiTheme="majorHAnsi" w:hAnsiTheme="majorHAnsi" w:cstheme="majorHAnsi"/>
          <w:sz w:val="24"/>
          <w:szCs w:val="24"/>
          <w:lang w:val="ro-MD"/>
        </w:rPr>
        <w:t xml:space="preserve">unui gazoduct, care au reprezentat cca </w:t>
      </w:r>
      <w:r w:rsidR="00F508F8" w:rsidRPr="009772A3">
        <w:rPr>
          <w:rFonts w:asciiTheme="majorHAnsi" w:hAnsiTheme="majorHAnsi" w:cstheme="majorHAnsi"/>
          <w:sz w:val="24"/>
          <w:szCs w:val="24"/>
          <w:lang w:val="ro-MD"/>
        </w:rPr>
        <w:t>4</w:t>
      </w:r>
      <w:r w:rsidR="009C5B4E">
        <w:rPr>
          <w:rFonts w:asciiTheme="majorHAnsi" w:hAnsiTheme="majorHAnsi" w:cstheme="majorHAnsi"/>
          <w:sz w:val="24"/>
          <w:szCs w:val="24"/>
          <w:lang w:val="ro-MD"/>
        </w:rPr>
        <w:t>2</w:t>
      </w:r>
      <w:r w:rsidRPr="009772A3">
        <w:rPr>
          <w:rFonts w:asciiTheme="majorHAnsi" w:hAnsiTheme="majorHAnsi" w:cstheme="majorHAnsi"/>
          <w:sz w:val="24"/>
          <w:szCs w:val="24"/>
          <w:lang w:val="ro-MD"/>
        </w:rPr>
        <w:t xml:space="preserve">,0% din valoarea totală a proiectului de reparație capitală a conductei magistrale de gaze. </w:t>
      </w:r>
      <w:r w:rsidR="00414F90" w:rsidRPr="009772A3">
        <w:rPr>
          <w:rFonts w:asciiTheme="majorHAnsi" w:hAnsiTheme="majorHAnsi" w:cstheme="majorHAnsi"/>
          <w:sz w:val="24"/>
          <w:szCs w:val="24"/>
          <w:lang w:val="ro-MD"/>
        </w:rPr>
        <w:t>Î</w:t>
      </w:r>
      <w:r w:rsidRPr="009772A3">
        <w:rPr>
          <w:rFonts w:asciiTheme="majorHAnsi" w:hAnsiTheme="majorHAnsi" w:cstheme="majorHAnsi"/>
          <w:sz w:val="24"/>
          <w:szCs w:val="24"/>
          <w:lang w:val="ro-MD"/>
        </w:rPr>
        <w:t>n devizul general</w:t>
      </w:r>
      <w:r w:rsidR="00414F90" w:rsidRPr="009772A3">
        <w:rPr>
          <w:rFonts w:asciiTheme="majorHAnsi" w:hAnsiTheme="majorHAnsi" w:cstheme="majorHAnsi"/>
          <w:sz w:val="24"/>
          <w:szCs w:val="24"/>
          <w:lang w:val="ro-MD"/>
        </w:rPr>
        <w:t>, aceste lucrări</w:t>
      </w:r>
      <w:r w:rsidRPr="009772A3">
        <w:rPr>
          <w:rFonts w:asciiTheme="majorHAnsi" w:hAnsiTheme="majorHAnsi" w:cstheme="majorHAnsi"/>
          <w:sz w:val="24"/>
          <w:szCs w:val="24"/>
          <w:lang w:val="ro-MD"/>
        </w:rPr>
        <w:t xml:space="preserve"> au fost atribuite la capitolul „Alte cheltuieli”</w:t>
      </w:r>
      <w:r w:rsidR="00414F9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sumă totală de 117.</w:t>
      </w:r>
      <w:r w:rsidR="00D06196" w:rsidRPr="009772A3">
        <w:rPr>
          <w:rFonts w:asciiTheme="majorHAnsi" w:hAnsiTheme="majorHAnsi" w:cstheme="majorHAnsi"/>
          <w:sz w:val="24"/>
          <w:szCs w:val="24"/>
          <w:lang w:val="ro-MD"/>
        </w:rPr>
        <w:t>156</w:t>
      </w:r>
      <w:r w:rsidRPr="009772A3">
        <w:rPr>
          <w:rFonts w:asciiTheme="majorHAnsi" w:hAnsiTheme="majorHAnsi" w:cstheme="majorHAnsi"/>
          <w:sz w:val="24"/>
          <w:szCs w:val="24"/>
          <w:lang w:val="ro-MD"/>
        </w:rPr>
        <w:t>,</w:t>
      </w:r>
      <w:r w:rsidR="00D06196" w:rsidRPr="009772A3">
        <w:rPr>
          <w:rFonts w:asciiTheme="majorHAnsi" w:hAnsiTheme="majorHAnsi" w:cstheme="majorHAnsi"/>
          <w:sz w:val="24"/>
          <w:szCs w:val="24"/>
          <w:lang w:val="ro-MD"/>
        </w:rPr>
        <w:t xml:space="preserve">4 </w:t>
      </w:r>
      <w:r w:rsidRPr="009772A3">
        <w:rPr>
          <w:rFonts w:asciiTheme="majorHAnsi" w:hAnsiTheme="majorHAnsi" w:cstheme="majorHAnsi"/>
          <w:sz w:val="24"/>
          <w:szCs w:val="24"/>
          <w:lang w:val="ro-MD"/>
        </w:rPr>
        <w:t xml:space="preserve">mii lei </w:t>
      </w:r>
      <w:r w:rsidR="008479F0" w:rsidRPr="009772A3">
        <w:rPr>
          <w:rFonts w:asciiTheme="majorHAnsi" w:hAnsiTheme="majorHAnsi" w:cstheme="majorHAnsi"/>
          <w:sz w:val="24"/>
          <w:szCs w:val="24"/>
          <w:lang w:val="ro-MD"/>
        </w:rPr>
        <w:t>(inclusiv</w:t>
      </w:r>
      <w:r w:rsidRPr="009772A3">
        <w:rPr>
          <w:rFonts w:asciiTheme="majorHAnsi" w:hAnsiTheme="majorHAnsi" w:cstheme="majorHAnsi"/>
          <w:sz w:val="24"/>
          <w:szCs w:val="24"/>
          <w:lang w:val="ro-MD"/>
        </w:rPr>
        <w:t xml:space="preserve"> TVA</w:t>
      </w:r>
      <w:r w:rsidR="008479F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291323" w:rsidRPr="009772A3">
        <w:rPr>
          <w:rFonts w:asciiTheme="majorHAnsi" w:hAnsiTheme="majorHAnsi" w:cstheme="majorHAnsi"/>
          <w:sz w:val="24"/>
          <w:szCs w:val="24"/>
          <w:lang w:val="ro-MD"/>
        </w:rPr>
        <w:t>fără detalierea lor. De asemenea, nici în documentația de concurs aceste lucrări nu au fost îndeajuns de detaliate</w:t>
      </w:r>
      <w:r w:rsidRPr="009772A3">
        <w:rPr>
          <w:rFonts w:asciiTheme="majorHAnsi" w:hAnsiTheme="majorHAnsi" w:cstheme="majorHAnsi"/>
          <w:sz w:val="24"/>
          <w:szCs w:val="24"/>
          <w:lang w:val="ro-MD"/>
        </w:rPr>
        <w:t xml:space="preserve">. </w:t>
      </w:r>
    </w:p>
    <w:p w14:paraId="49D68708" w14:textId="0E6D4AE6" w:rsidR="008004E9" w:rsidRPr="009772A3" w:rsidRDefault="008004E9" w:rsidP="008004E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Totodată, auditul </w:t>
      </w:r>
      <w:r w:rsidR="00A33D59" w:rsidRPr="009772A3">
        <w:rPr>
          <w:rFonts w:asciiTheme="majorHAnsi" w:hAnsiTheme="majorHAnsi" w:cstheme="majorHAnsi"/>
          <w:sz w:val="24"/>
          <w:szCs w:val="24"/>
          <w:lang w:val="ro-MD"/>
        </w:rPr>
        <w:t>menționează</w:t>
      </w:r>
      <w:r w:rsidRPr="009772A3">
        <w:rPr>
          <w:rFonts w:asciiTheme="majorHAnsi" w:hAnsiTheme="majorHAnsi" w:cstheme="majorHAnsi"/>
          <w:sz w:val="24"/>
          <w:szCs w:val="24"/>
          <w:lang w:val="ro-MD"/>
        </w:rPr>
        <w:t xml:space="preserve"> că, deși potrivit documentelor de licitație, țeava conductei magistrale de gaze cu diametrul de 820 mm urma a fi reparată în condiții de uzină, grupul de lucru pentru achiziții</w:t>
      </w:r>
      <w:r w:rsidR="00A33D5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contrar prevederilor pct.2</w:t>
      </w:r>
      <w:r w:rsidR="00C709C5" w:rsidRPr="009772A3">
        <w:rPr>
          <w:rFonts w:asciiTheme="majorHAnsi" w:hAnsiTheme="majorHAnsi" w:cstheme="majorHAnsi"/>
          <w:sz w:val="24"/>
          <w:szCs w:val="24"/>
          <w:lang w:val="ro-MD"/>
        </w:rPr>
        <w:t xml:space="preserve"> </w:t>
      </w:r>
      <w:r w:rsidR="00910B60" w:rsidRPr="009772A3">
        <w:rPr>
          <w:rFonts w:asciiTheme="majorHAnsi" w:hAnsiTheme="majorHAnsi" w:cstheme="majorHAnsi"/>
          <w:sz w:val="24"/>
          <w:szCs w:val="24"/>
          <w:lang w:val="ro-MD"/>
        </w:rPr>
        <w:t xml:space="preserve">din Anexa la </w:t>
      </w:r>
      <w:r w:rsidRPr="009772A3">
        <w:rPr>
          <w:rFonts w:asciiTheme="majorHAnsi" w:hAnsiTheme="majorHAnsi" w:cstheme="majorHAnsi"/>
          <w:sz w:val="24"/>
          <w:szCs w:val="24"/>
          <w:lang w:val="ro-MD"/>
        </w:rPr>
        <w:t xml:space="preserve">Regulamentul </w:t>
      </w:r>
      <w:r w:rsidR="00910B60" w:rsidRPr="009772A3">
        <w:rPr>
          <w:rFonts w:asciiTheme="majorHAnsi" w:hAnsiTheme="majorHAnsi" w:cstheme="majorHAnsi"/>
          <w:sz w:val="24"/>
          <w:szCs w:val="24"/>
          <w:lang w:val="ro-MD"/>
        </w:rPr>
        <w:t>comisiei de concurs a</w:t>
      </w:r>
      <w:r w:rsidR="00A33D59" w:rsidRPr="009772A3">
        <w:rPr>
          <w:rFonts w:asciiTheme="majorHAnsi" w:hAnsiTheme="majorHAnsi" w:cstheme="majorHAnsi"/>
          <w:sz w:val="24"/>
          <w:szCs w:val="24"/>
          <w:lang w:val="ro-MD"/>
        </w:rPr>
        <w:t>l</w:t>
      </w:r>
      <w:r w:rsidR="00910B60" w:rsidRPr="009772A3">
        <w:rPr>
          <w:rFonts w:asciiTheme="majorHAnsi" w:hAnsiTheme="majorHAnsi" w:cstheme="majorHAnsi"/>
          <w:sz w:val="24"/>
          <w:szCs w:val="24"/>
          <w:lang w:val="ro-MD"/>
        </w:rPr>
        <w:t xml:space="preserve"> SRL Moldovatransgaz, aprobat prin </w:t>
      </w:r>
      <w:r w:rsidR="00A33D59" w:rsidRPr="009772A3">
        <w:rPr>
          <w:rFonts w:asciiTheme="majorHAnsi" w:hAnsiTheme="majorHAnsi" w:cstheme="majorHAnsi"/>
          <w:sz w:val="24"/>
          <w:szCs w:val="24"/>
          <w:lang w:val="ro-MD"/>
        </w:rPr>
        <w:t>O</w:t>
      </w:r>
      <w:r w:rsidR="00910B60" w:rsidRPr="009772A3">
        <w:rPr>
          <w:rFonts w:asciiTheme="majorHAnsi" w:hAnsiTheme="majorHAnsi" w:cstheme="majorHAnsi"/>
          <w:sz w:val="24"/>
          <w:szCs w:val="24"/>
          <w:lang w:val="ro-MD"/>
        </w:rPr>
        <w:t>rdin</w:t>
      </w:r>
      <w:r w:rsidR="00A33D59" w:rsidRPr="009772A3">
        <w:rPr>
          <w:rFonts w:asciiTheme="majorHAnsi" w:hAnsiTheme="majorHAnsi" w:cstheme="majorHAnsi"/>
          <w:sz w:val="24"/>
          <w:szCs w:val="24"/>
          <w:lang w:val="ro-MD"/>
        </w:rPr>
        <w:t>u</w:t>
      </w:r>
      <w:r w:rsidR="00910B60" w:rsidRPr="009772A3">
        <w:rPr>
          <w:rFonts w:asciiTheme="majorHAnsi" w:hAnsiTheme="majorHAnsi" w:cstheme="majorHAnsi"/>
          <w:sz w:val="24"/>
          <w:szCs w:val="24"/>
          <w:lang w:val="ro-MD"/>
        </w:rPr>
        <w:t>l nr.117-1/OD/P din 25.04.2017</w:t>
      </w:r>
      <w:r w:rsidR="00A33D59" w:rsidRPr="009772A3">
        <w:rPr>
          <w:rFonts w:asciiTheme="majorHAnsi" w:hAnsiTheme="majorHAnsi" w:cstheme="majorHAnsi"/>
          <w:sz w:val="24"/>
          <w:szCs w:val="24"/>
          <w:lang w:val="ro-MD"/>
        </w:rPr>
        <w:t>,</w:t>
      </w:r>
      <w:r w:rsidR="00DD745C"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nu a solicitat și nu a aplicat criterii și cerințe de calificare referitoare la standardele de asigurare a calității, inclusiv deținerea certificatelor de calitate aferente lucrărilor de reparație capitală a conductelor magistrale de gaze. </w:t>
      </w:r>
    </w:p>
    <w:p w14:paraId="04084663" w14:textId="4ADCA147" w:rsidR="00614E53" w:rsidRPr="009772A3" w:rsidRDefault="008004E9" w:rsidP="008004E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Mai mult decât atât, </w:t>
      </w:r>
      <w:r w:rsidR="00F137E8" w:rsidRPr="009772A3">
        <w:rPr>
          <w:rFonts w:asciiTheme="majorHAnsi" w:hAnsiTheme="majorHAnsi" w:cstheme="majorHAnsi"/>
          <w:sz w:val="24"/>
          <w:szCs w:val="24"/>
          <w:lang w:val="ro-MD"/>
        </w:rPr>
        <w:t xml:space="preserve">o </w:t>
      </w:r>
      <w:r w:rsidRPr="009772A3">
        <w:rPr>
          <w:rFonts w:asciiTheme="majorHAnsi" w:hAnsiTheme="majorHAnsi" w:cstheme="majorHAnsi"/>
          <w:sz w:val="24"/>
          <w:szCs w:val="24"/>
          <w:lang w:val="ro-MD"/>
        </w:rPr>
        <w:t xml:space="preserve">situație similară se atestă și în cazul lucrărilor de reparație a unei alte </w:t>
      </w:r>
      <w:r w:rsidR="008479F0" w:rsidRPr="009772A3">
        <w:rPr>
          <w:rFonts w:asciiTheme="majorHAnsi" w:hAnsiTheme="majorHAnsi" w:cstheme="majorHAnsi"/>
          <w:sz w:val="24"/>
          <w:szCs w:val="24"/>
          <w:lang w:val="ro-MD"/>
        </w:rPr>
        <w:t xml:space="preserve">porțiuni a </w:t>
      </w:r>
      <w:r w:rsidRPr="009772A3">
        <w:rPr>
          <w:rFonts w:asciiTheme="majorHAnsi" w:hAnsiTheme="majorHAnsi" w:cstheme="majorHAnsi"/>
          <w:sz w:val="24"/>
          <w:szCs w:val="24"/>
          <w:lang w:val="ro-MD"/>
        </w:rPr>
        <w:t>conducte</w:t>
      </w:r>
      <w:r w:rsidR="008479F0"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magistrale de gaze</w:t>
      </w:r>
      <w:r w:rsidR="00F137E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Razdelinaia – Ismail D820, km</w:t>
      </w:r>
      <w:r w:rsidR="00C709C5"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257,4 - 280, unde potrivit devizului general de cheltuieli a</w:t>
      </w:r>
      <w:r w:rsidR="00F90932"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sectorului de gazoduct magistral, valoarea de deviz constituie 291.</w:t>
      </w:r>
      <w:r w:rsidR="00C709C5" w:rsidRPr="009772A3">
        <w:rPr>
          <w:rFonts w:asciiTheme="majorHAnsi" w:hAnsiTheme="majorHAnsi" w:cstheme="majorHAnsi"/>
          <w:sz w:val="24"/>
          <w:szCs w:val="24"/>
          <w:lang w:val="ro-MD"/>
        </w:rPr>
        <w:t>792</w:t>
      </w:r>
      <w:r w:rsidRPr="009772A3">
        <w:rPr>
          <w:rFonts w:asciiTheme="majorHAnsi" w:hAnsiTheme="majorHAnsi" w:cstheme="majorHAnsi"/>
          <w:sz w:val="24"/>
          <w:szCs w:val="24"/>
          <w:lang w:val="ro-MD"/>
        </w:rPr>
        <w:t xml:space="preserve">,0 mii lei, iar valoarea lucrărilor pentru renovarea gazoductului atribuite la capitolul </w:t>
      </w:r>
      <w:r w:rsidR="008479F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Alte cheltuieli” constituie 153.237,0 mii lei, nefiind </w:t>
      </w:r>
      <w:r w:rsidR="00F9708C">
        <w:rPr>
          <w:rFonts w:asciiTheme="majorHAnsi" w:hAnsiTheme="majorHAnsi" w:cstheme="majorHAnsi"/>
          <w:sz w:val="24"/>
          <w:szCs w:val="24"/>
          <w:lang w:val="ro-MD"/>
        </w:rPr>
        <w:t>detaliate</w:t>
      </w:r>
      <w:r w:rsidRPr="009772A3">
        <w:rPr>
          <w:rFonts w:asciiTheme="majorHAnsi" w:hAnsiTheme="majorHAnsi" w:cstheme="majorHAnsi"/>
          <w:sz w:val="24"/>
          <w:szCs w:val="24"/>
          <w:lang w:val="ro-MD"/>
        </w:rPr>
        <w:t>. În total</w:t>
      </w:r>
      <w:r w:rsidR="00CC606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valoarea altor cheltuieli constituie 170.966,9 mii lei</w:t>
      </w:r>
      <w:r w:rsidR="00CC606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58,6% din valoarea de deviz, respectiv doar 116.000,0 mii lei</w:t>
      </w:r>
      <w:r w:rsidR="00CC606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39,8%</w:t>
      </w:r>
      <w:r w:rsidR="00CC606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constituind lucrările de construcție-montaj. </w:t>
      </w:r>
    </w:p>
    <w:p w14:paraId="46072CE0" w14:textId="50A5CF23" w:rsidR="008004E9" w:rsidRPr="00CF3AD4" w:rsidRDefault="00614E53" w:rsidP="008004E9">
      <w:pPr>
        <w:spacing w:after="0" w:line="276" w:lineRule="auto"/>
        <w:ind w:firstLine="709"/>
        <w:jc w:val="both"/>
        <w:rPr>
          <w:rFonts w:asciiTheme="majorHAnsi" w:hAnsiTheme="majorHAnsi" w:cstheme="majorHAnsi"/>
          <w:sz w:val="24"/>
          <w:szCs w:val="24"/>
          <w:lang w:val="ro-MD"/>
        </w:rPr>
      </w:pPr>
      <w:r w:rsidRPr="00F5500A">
        <w:rPr>
          <w:rFonts w:asciiTheme="majorHAnsi" w:hAnsiTheme="majorHAnsi" w:cstheme="majorHAnsi"/>
          <w:sz w:val="24"/>
          <w:szCs w:val="24"/>
          <w:lang w:val="ro-MD"/>
        </w:rPr>
        <w:t>De menționat că antreprenorul la aceste obiecte a executat și o parte din lucrările de proiectare.</w:t>
      </w:r>
    </w:p>
    <w:p w14:paraId="08FBDD89" w14:textId="3E1D5BD0" w:rsidR="00A90E93" w:rsidRPr="00CF3AD4" w:rsidRDefault="00A90E93" w:rsidP="008004E9">
      <w:pPr>
        <w:spacing w:after="0" w:line="276" w:lineRule="auto"/>
        <w:ind w:firstLine="709"/>
        <w:jc w:val="both"/>
        <w:rPr>
          <w:rFonts w:asciiTheme="majorHAnsi" w:hAnsiTheme="majorHAnsi" w:cstheme="majorHAnsi"/>
          <w:sz w:val="24"/>
          <w:szCs w:val="24"/>
          <w:lang w:val="ro-MD"/>
        </w:rPr>
      </w:pPr>
      <w:r w:rsidRPr="00CF3AD4">
        <w:rPr>
          <w:rFonts w:asciiTheme="majorHAnsi" w:hAnsiTheme="majorHAnsi" w:cstheme="majorHAnsi"/>
          <w:sz w:val="24"/>
          <w:szCs w:val="24"/>
          <w:lang w:val="ro-MD"/>
        </w:rPr>
        <w:t>S</w:t>
      </w:r>
      <w:r w:rsidR="00A4288F" w:rsidRPr="00CF3AD4">
        <w:rPr>
          <w:rFonts w:asciiTheme="majorHAnsi" w:hAnsiTheme="majorHAnsi" w:cstheme="majorHAnsi"/>
          <w:sz w:val="24"/>
          <w:szCs w:val="24"/>
          <w:lang w:val="ro-MD"/>
        </w:rPr>
        <w:t>RL</w:t>
      </w:r>
      <w:r w:rsidRPr="00CF3AD4">
        <w:rPr>
          <w:rFonts w:asciiTheme="majorHAnsi" w:hAnsiTheme="majorHAnsi" w:cstheme="majorHAnsi"/>
          <w:sz w:val="24"/>
          <w:szCs w:val="24"/>
          <w:lang w:val="ro-MD"/>
        </w:rPr>
        <w:t xml:space="preserve"> Moldovatransgaz explică că nedetalierea altor cheltuieli în sumă totală de 270.</w:t>
      </w:r>
      <w:r w:rsidR="000207C4" w:rsidRPr="00CF3AD4">
        <w:rPr>
          <w:rFonts w:asciiTheme="majorHAnsi" w:hAnsiTheme="majorHAnsi" w:cstheme="majorHAnsi"/>
          <w:sz w:val="24"/>
          <w:szCs w:val="24"/>
          <w:lang w:val="ro-MD"/>
        </w:rPr>
        <w:t>3</w:t>
      </w:r>
      <w:r w:rsidR="000207C4">
        <w:rPr>
          <w:rFonts w:asciiTheme="majorHAnsi" w:hAnsiTheme="majorHAnsi" w:cstheme="majorHAnsi"/>
          <w:sz w:val="24"/>
          <w:szCs w:val="24"/>
          <w:lang w:val="ro-MD"/>
        </w:rPr>
        <w:t>93,4</w:t>
      </w:r>
      <w:r w:rsidR="000207C4" w:rsidRPr="00CF3AD4">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 xml:space="preserve">mii lei este motivată de faptul că lucrările </w:t>
      </w:r>
      <w:r w:rsidR="00387DFF" w:rsidRPr="00CF3AD4">
        <w:rPr>
          <w:rFonts w:asciiTheme="majorHAnsi" w:hAnsiTheme="majorHAnsi" w:cstheme="majorHAnsi"/>
          <w:sz w:val="24"/>
          <w:szCs w:val="24"/>
          <w:lang w:val="ro-MD"/>
        </w:rPr>
        <w:t>de renovare</w:t>
      </w:r>
      <w:r w:rsidR="009F6B40" w:rsidRPr="00CF3AD4">
        <w:rPr>
          <w:rFonts w:asciiTheme="majorHAnsi" w:hAnsiTheme="majorHAnsi" w:cstheme="majorHAnsi"/>
          <w:sz w:val="24"/>
          <w:szCs w:val="24"/>
          <w:lang w:val="ro-MD"/>
        </w:rPr>
        <w:t>, cu precizie,</w:t>
      </w:r>
      <w:r w:rsidRPr="00CF3AD4">
        <w:rPr>
          <w:rFonts w:asciiTheme="majorHAnsi" w:hAnsiTheme="majorHAnsi" w:cstheme="majorHAnsi"/>
          <w:sz w:val="24"/>
          <w:szCs w:val="24"/>
          <w:lang w:val="ro-MD"/>
        </w:rPr>
        <w:t xml:space="preserve"> se efectuează doar în condițiile de uzină, iar tipul de lucrări nu este stipulat în clasificatorul de lucrări și prețuri, aprobat</w:t>
      </w:r>
      <w:r w:rsidR="00A86349">
        <w:rPr>
          <w:rFonts w:asciiTheme="majorHAnsi" w:hAnsiTheme="majorHAnsi" w:cstheme="majorHAnsi"/>
          <w:sz w:val="24"/>
          <w:szCs w:val="24"/>
          <w:lang w:val="ro-MD"/>
        </w:rPr>
        <w:t>e</w:t>
      </w:r>
      <w:r w:rsidRPr="00CF3AD4">
        <w:rPr>
          <w:rFonts w:asciiTheme="majorHAnsi" w:hAnsiTheme="majorHAnsi" w:cstheme="majorHAnsi"/>
          <w:sz w:val="24"/>
          <w:szCs w:val="24"/>
          <w:lang w:val="ro-MD"/>
        </w:rPr>
        <w:t xml:space="preserve"> în anul 2002 de Ministerul Construcțiilor. Astfel, </w:t>
      </w:r>
      <w:r w:rsidR="00A4288F" w:rsidRPr="00CF3AD4">
        <w:rPr>
          <w:rFonts w:asciiTheme="majorHAnsi" w:hAnsiTheme="majorHAnsi" w:cstheme="majorHAnsi"/>
          <w:sz w:val="24"/>
          <w:szCs w:val="24"/>
          <w:lang w:val="ro-MD"/>
        </w:rPr>
        <w:t>pentru detalierea listei și tipurilor de lucrări necesare, SRL Moldovatransgaz</w:t>
      </w:r>
      <w:r w:rsidR="00CC606D" w:rsidRPr="009772A3">
        <w:rPr>
          <w:rFonts w:asciiTheme="majorHAnsi" w:hAnsiTheme="majorHAnsi" w:cstheme="majorHAnsi"/>
          <w:sz w:val="24"/>
          <w:szCs w:val="24"/>
          <w:lang w:val="ro-MD"/>
        </w:rPr>
        <w:t>,</w:t>
      </w:r>
      <w:r w:rsidR="00A4288F" w:rsidRPr="00CF3AD4">
        <w:rPr>
          <w:rFonts w:asciiTheme="majorHAnsi" w:hAnsiTheme="majorHAnsi" w:cstheme="majorHAnsi"/>
          <w:sz w:val="24"/>
          <w:szCs w:val="24"/>
          <w:lang w:val="ro-MD"/>
        </w:rPr>
        <w:t xml:space="preserve"> prealabil procedurilor de achiziții, se adresează la uzina specializată pentru a determina atât tipurile și volumul</w:t>
      </w:r>
      <w:r w:rsidR="00CC606D" w:rsidRPr="009772A3">
        <w:rPr>
          <w:rFonts w:asciiTheme="majorHAnsi" w:hAnsiTheme="majorHAnsi" w:cstheme="majorHAnsi"/>
          <w:sz w:val="24"/>
          <w:szCs w:val="24"/>
          <w:lang w:val="ro-MD"/>
        </w:rPr>
        <w:t>,</w:t>
      </w:r>
      <w:r w:rsidR="00A4288F" w:rsidRPr="00CF3AD4">
        <w:rPr>
          <w:rFonts w:asciiTheme="majorHAnsi" w:hAnsiTheme="majorHAnsi" w:cstheme="majorHAnsi"/>
          <w:sz w:val="24"/>
          <w:szCs w:val="24"/>
          <w:lang w:val="ro-MD"/>
        </w:rPr>
        <w:t xml:space="preserve"> cât și costurile aferente reparației capitale</w:t>
      </w:r>
      <w:r w:rsidR="00C6660E" w:rsidRPr="00CF3AD4">
        <w:rPr>
          <w:rFonts w:asciiTheme="majorHAnsi" w:hAnsiTheme="majorHAnsi" w:cstheme="majorHAnsi"/>
          <w:sz w:val="24"/>
          <w:szCs w:val="24"/>
          <w:lang w:val="ro-MD"/>
        </w:rPr>
        <w:t xml:space="preserve"> a conductei de gaze naturale</w:t>
      </w:r>
      <w:r w:rsidR="00A4288F" w:rsidRPr="00CF3AD4">
        <w:rPr>
          <w:rFonts w:asciiTheme="majorHAnsi" w:hAnsiTheme="majorHAnsi" w:cstheme="majorHAnsi"/>
          <w:sz w:val="24"/>
          <w:szCs w:val="24"/>
          <w:lang w:val="ro-MD"/>
        </w:rPr>
        <w:t>.</w:t>
      </w:r>
    </w:p>
    <w:p w14:paraId="6390D827" w14:textId="568BE3D9" w:rsidR="00614E53" w:rsidRPr="009772A3" w:rsidRDefault="00614E53" w:rsidP="00614E5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Deficiențele constatate creează imposibilitatea comparării lucrărilor planificate cu cele efectiv executate, în valoare totală de 270.3</w:t>
      </w:r>
      <w:r w:rsidR="000207C4">
        <w:rPr>
          <w:rFonts w:asciiTheme="majorHAnsi" w:hAnsiTheme="majorHAnsi" w:cstheme="majorHAnsi"/>
          <w:sz w:val="24"/>
          <w:szCs w:val="24"/>
          <w:lang w:val="ro-MD"/>
        </w:rPr>
        <w:t>93,4</w:t>
      </w:r>
      <w:r w:rsidRPr="009772A3">
        <w:rPr>
          <w:rFonts w:asciiTheme="majorHAnsi" w:hAnsiTheme="majorHAnsi" w:cstheme="majorHAnsi"/>
          <w:sz w:val="24"/>
          <w:szCs w:val="24"/>
          <w:lang w:val="ro-MD"/>
        </w:rPr>
        <w:t xml:space="preserve"> mii lei. </w:t>
      </w:r>
    </w:p>
    <w:p w14:paraId="040561A2" w14:textId="53D5EBCD" w:rsidR="001A4534" w:rsidRPr="009772A3" w:rsidRDefault="00F9708C" w:rsidP="001A4534">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C</w:t>
      </w:r>
      <w:r w:rsidR="001A4534" w:rsidRPr="009772A3">
        <w:rPr>
          <w:rFonts w:asciiTheme="majorHAnsi" w:hAnsiTheme="majorHAnsi" w:cstheme="majorHAnsi"/>
          <w:sz w:val="24"/>
          <w:szCs w:val="24"/>
          <w:lang w:val="ro-MD"/>
        </w:rPr>
        <w:t xml:space="preserve">onform Declarațiilor cu privire la impozitul pe venit pentru anii 2017-2021, operatorul economic care a efectuat </w:t>
      </w:r>
      <w:r>
        <w:rPr>
          <w:rFonts w:asciiTheme="majorHAnsi" w:hAnsiTheme="majorHAnsi" w:cstheme="majorHAnsi"/>
          <w:sz w:val="24"/>
          <w:szCs w:val="24"/>
          <w:lang w:val="ro-MD"/>
        </w:rPr>
        <w:t xml:space="preserve">o parte din lucrările de proiectare și </w:t>
      </w:r>
      <w:r w:rsidR="001A4534" w:rsidRPr="009772A3">
        <w:rPr>
          <w:rFonts w:asciiTheme="majorHAnsi" w:hAnsiTheme="majorHAnsi" w:cstheme="majorHAnsi"/>
          <w:sz w:val="24"/>
          <w:szCs w:val="24"/>
          <w:lang w:val="ro-MD"/>
        </w:rPr>
        <w:t xml:space="preserve">lucrările de reparație capitală la gazoductele </w:t>
      </w:r>
      <w:r w:rsidR="00A835A5" w:rsidRPr="009772A3">
        <w:rPr>
          <w:rFonts w:asciiTheme="majorHAnsi" w:hAnsiTheme="majorHAnsi" w:cstheme="majorHAnsi"/>
          <w:sz w:val="24"/>
          <w:szCs w:val="24"/>
          <w:lang w:val="ro-MD"/>
        </w:rPr>
        <w:t xml:space="preserve">specificate </w:t>
      </w:r>
      <w:r w:rsidR="001A4534" w:rsidRPr="009772A3">
        <w:rPr>
          <w:rFonts w:asciiTheme="majorHAnsi" w:hAnsiTheme="majorHAnsi" w:cstheme="majorHAnsi"/>
          <w:sz w:val="24"/>
          <w:szCs w:val="24"/>
          <w:lang w:val="ro-MD"/>
        </w:rPr>
        <w:t>a declarat venituri de 793</w:t>
      </w:r>
      <w:r w:rsidR="00A835A5" w:rsidRPr="009772A3">
        <w:rPr>
          <w:rFonts w:asciiTheme="majorHAnsi" w:hAnsiTheme="majorHAnsi" w:cstheme="majorHAnsi"/>
          <w:sz w:val="24"/>
          <w:szCs w:val="24"/>
          <w:lang w:val="ro-MD"/>
        </w:rPr>
        <w:t>.</w:t>
      </w:r>
      <w:r w:rsidR="001A4534" w:rsidRPr="009772A3">
        <w:rPr>
          <w:rFonts w:asciiTheme="majorHAnsi" w:hAnsiTheme="majorHAnsi" w:cstheme="majorHAnsi"/>
          <w:sz w:val="24"/>
          <w:szCs w:val="24"/>
          <w:lang w:val="ro-MD"/>
        </w:rPr>
        <w:t>608,5 mii lei, din care 553.713,7 mii lei aferente livrărilor către întreprinderile din grupul SA Moldovagaz și cheltuieli în sumă de 405.872,9 mii lei, înregistr</w:t>
      </w:r>
      <w:r w:rsidR="0045518C" w:rsidRPr="009772A3">
        <w:rPr>
          <w:rFonts w:asciiTheme="majorHAnsi" w:hAnsiTheme="majorHAnsi" w:cstheme="majorHAnsi"/>
          <w:sz w:val="24"/>
          <w:szCs w:val="24"/>
          <w:lang w:val="ro-MD"/>
        </w:rPr>
        <w:t>â</w:t>
      </w:r>
      <w:r w:rsidR="001A4534" w:rsidRPr="009772A3">
        <w:rPr>
          <w:rFonts w:asciiTheme="majorHAnsi" w:hAnsiTheme="majorHAnsi" w:cstheme="majorHAnsi"/>
          <w:sz w:val="24"/>
          <w:szCs w:val="24"/>
          <w:lang w:val="ro-MD"/>
        </w:rPr>
        <w:t xml:space="preserve">nd astfel un profit de 387.735,5 mii lei. </w:t>
      </w:r>
      <w:r w:rsidR="0045518C" w:rsidRPr="009772A3">
        <w:rPr>
          <w:rFonts w:asciiTheme="majorHAnsi" w:hAnsiTheme="majorHAnsi" w:cstheme="majorHAnsi"/>
          <w:sz w:val="24"/>
          <w:szCs w:val="24"/>
          <w:lang w:val="ro-MD"/>
        </w:rPr>
        <w:t>Prin urmare</w:t>
      </w:r>
      <w:r w:rsidR="001A4534" w:rsidRPr="009772A3">
        <w:rPr>
          <w:rFonts w:asciiTheme="majorHAnsi" w:hAnsiTheme="majorHAnsi" w:cstheme="majorHAnsi"/>
          <w:sz w:val="24"/>
          <w:szCs w:val="24"/>
          <w:lang w:val="ro-MD"/>
        </w:rPr>
        <w:t>, la efectuarea lucrărilor, inclusiv către SRL Moldovatransgaz, nivelul rentabilității medii a agentului economic a constituit 96,4% (</w:t>
      </w:r>
      <w:r w:rsidR="00CA24E8" w:rsidRPr="009772A3">
        <w:rPr>
          <w:rFonts w:asciiTheme="majorHAnsi" w:hAnsiTheme="majorHAnsi" w:cstheme="majorHAnsi"/>
          <w:sz w:val="24"/>
          <w:szCs w:val="24"/>
          <w:lang w:val="ro-MD"/>
        </w:rPr>
        <w:t xml:space="preserve">vezi </w:t>
      </w:r>
      <w:r w:rsidR="001A4534" w:rsidRPr="009772A3">
        <w:rPr>
          <w:rFonts w:asciiTheme="majorHAnsi" w:hAnsiTheme="majorHAnsi" w:cstheme="majorHAnsi"/>
          <w:sz w:val="24"/>
          <w:szCs w:val="24"/>
          <w:lang w:val="ro-MD"/>
        </w:rPr>
        <w:t xml:space="preserve">Tabelul </w:t>
      </w:r>
      <w:r w:rsidR="00CA24E8" w:rsidRPr="009772A3">
        <w:rPr>
          <w:rFonts w:asciiTheme="majorHAnsi" w:hAnsiTheme="majorHAnsi" w:cstheme="majorHAnsi"/>
          <w:sz w:val="24"/>
          <w:szCs w:val="24"/>
          <w:lang w:val="ro-MD"/>
        </w:rPr>
        <w:t>de mai jos</w:t>
      </w:r>
      <w:r w:rsidR="001A4534" w:rsidRPr="009772A3">
        <w:rPr>
          <w:rFonts w:asciiTheme="majorHAnsi" w:hAnsiTheme="majorHAnsi" w:cstheme="majorHAnsi"/>
          <w:sz w:val="24"/>
          <w:szCs w:val="24"/>
          <w:lang w:val="ro-MD"/>
        </w:rPr>
        <w:t xml:space="preserve">). </w:t>
      </w:r>
    </w:p>
    <w:p w14:paraId="4BF251DB" w14:textId="50C3FC66" w:rsidR="0045518C" w:rsidRPr="009772A3" w:rsidRDefault="0045518C" w:rsidP="00FB6FF5">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b/>
          <w:sz w:val="24"/>
          <w:szCs w:val="24"/>
          <w:lang w:val="ro-MD"/>
        </w:rPr>
        <w:t>Tabelul nr.4.2.</w:t>
      </w:r>
      <w:r w:rsidR="00F9708C">
        <w:rPr>
          <w:rFonts w:asciiTheme="majorHAnsi" w:hAnsiTheme="majorHAnsi" w:cstheme="majorHAnsi"/>
          <w:b/>
          <w:sz w:val="24"/>
          <w:szCs w:val="24"/>
          <w:lang w:val="ro-MD"/>
        </w:rPr>
        <w:t>3.6.1</w:t>
      </w:r>
    </w:p>
    <w:p w14:paraId="0B2FA93A" w14:textId="09B6C899" w:rsidR="0045518C" w:rsidRPr="00CF3AD4" w:rsidRDefault="00C346B6" w:rsidP="00CF3AD4">
      <w:pPr>
        <w:spacing w:after="0" w:line="276" w:lineRule="auto"/>
        <w:jc w:val="right"/>
        <w:rPr>
          <w:rFonts w:asciiTheme="majorHAnsi" w:hAnsiTheme="majorHAnsi" w:cstheme="majorHAnsi"/>
          <w:b/>
          <w:lang w:val="ro-MD"/>
        </w:rPr>
      </w:pPr>
      <w:r w:rsidRPr="00CF3AD4">
        <w:rPr>
          <w:rFonts w:asciiTheme="majorHAnsi" w:hAnsiTheme="majorHAnsi" w:cstheme="majorHAnsi"/>
          <w:b/>
          <w:lang w:val="ro-MD"/>
        </w:rPr>
        <w:t>R</w:t>
      </w:r>
      <w:r w:rsidR="00F9708C" w:rsidRPr="00CF3AD4">
        <w:rPr>
          <w:rFonts w:asciiTheme="majorHAnsi" w:hAnsiTheme="majorHAnsi" w:cstheme="majorHAnsi"/>
          <w:b/>
          <w:lang w:val="ro-MD"/>
        </w:rPr>
        <w:t>entabilit</w:t>
      </w:r>
      <w:r w:rsidRPr="00CF3AD4">
        <w:rPr>
          <w:rFonts w:asciiTheme="majorHAnsi" w:hAnsiTheme="majorHAnsi" w:cstheme="majorHAnsi"/>
          <w:b/>
          <w:lang w:val="ro-MD"/>
        </w:rPr>
        <w:t xml:space="preserve">atea </w:t>
      </w:r>
      <w:r w:rsidR="00F9708C" w:rsidRPr="00CF3AD4">
        <w:rPr>
          <w:rFonts w:asciiTheme="majorHAnsi" w:hAnsiTheme="majorHAnsi" w:cstheme="majorHAnsi"/>
          <w:b/>
          <w:lang w:val="ro-MD"/>
        </w:rPr>
        <w:t xml:space="preserve">antreprenorului </w:t>
      </w:r>
      <w:r w:rsidRPr="00CF3AD4">
        <w:rPr>
          <w:rFonts w:asciiTheme="majorHAnsi" w:hAnsiTheme="majorHAnsi" w:cstheme="majorHAnsi"/>
          <w:b/>
          <w:lang w:val="ro-MD"/>
        </w:rPr>
        <w:t xml:space="preserve">ce a efectuat reparațiile la gazoductul magistral Razdelinaia – Ismail </w:t>
      </w:r>
    </w:p>
    <w:p w14:paraId="3F52EA95" w14:textId="2D348451" w:rsidR="001A4534" w:rsidRPr="00CF3AD4" w:rsidRDefault="0045518C" w:rsidP="004F4116">
      <w:pPr>
        <w:spacing w:after="0" w:line="276" w:lineRule="auto"/>
        <w:ind w:firstLine="709"/>
        <w:jc w:val="right"/>
        <w:rPr>
          <w:rFonts w:asciiTheme="majorHAnsi" w:hAnsiTheme="majorHAnsi" w:cstheme="majorHAnsi"/>
          <w:lang w:val="ro-MD"/>
        </w:rPr>
      </w:pPr>
      <w:r w:rsidRPr="00CF3AD4">
        <w:rPr>
          <w:rFonts w:asciiTheme="majorHAnsi" w:hAnsiTheme="majorHAnsi" w:cstheme="majorHAnsi"/>
          <w:lang w:val="ro-MD"/>
        </w:rPr>
        <w:t>(</w:t>
      </w:r>
      <w:r w:rsidR="001A4534" w:rsidRPr="00CF3AD4">
        <w:rPr>
          <w:rFonts w:asciiTheme="majorHAnsi" w:hAnsiTheme="majorHAnsi" w:cstheme="majorHAnsi"/>
          <w:lang w:val="ro-MD"/>
        </w:rPr>
        <w:t>mii lei</w:t>
      </w:r>
      <w:r w:rsidRPr="00CF3AD4">
        <w:rPr>
          <w:rFonts w:asciiTheme="majorHAnsi" w:hAnsiTheme="majorHAnsi" w:cstheme="majorHAnsi"/>
          <w:lang w:val="ro-MD"/>
        </w:rPr>
        <w:t>)</w:t>
      </w:r>
    </w:p>
    <w:tbl>
      <w:tblPr>
        <w:tblStyle w:val="TableGrid"/>
        <w:tblW w:w="9318" w:type="dxa"/>
        <w:tblLook w:val="04A0" w:firstRow="1" w:lastRow="0" w:firstColumn="1" w:lastColumn="0" w:noHBand="0" w:noVBand="1"/>
      </w:tblPr>
      <w:tblGrid>
        <w:gridCol w:w="764"/>
        <w:gridCol w:w="1187"/>
        <w:gridCol w:w="2182"/>
        <w:gridCol w:w="1362"/>
        <w:gridCol w:w="1411"/>
        <w:gridCol w:w="1256"/>
        <w:gridCol w:w="1156"/>
      </w:tblGrid>
      <w:tr w:rsidR="001A4534" w:rsidRPr="009772A3" w14:paraId="39760494" w14:textId="77777777" w:rsidTr="00302AD3">
        <w:tc>
          <w:tcPr>
            <w:tcW w:w="764" w:type="dxa"/>
          </w:tcPr>
          <w:p w14:paraId="6AFE2E18" w14:textId="4742A95C" w:rsidR="001A4534" w:rsidRPr="009772A3" w:rsidRDefault="0045518C" w:rsidP="004B074B">
            <w:pPr>
              <w:rPr>
                <w:rFonts w:asciiTheme="majorHAnsi" w:hAnsiTheme="majorHAnsi" w:cstheme="majorHAnsi"/>
                <w:b/>
                <w:sz w:val="16"/>
                <w:szCs w:val="16"/>
                <w:lang w:val="ro-MD"/>
              </w:rPr>
            </w:pPr>
            <w:r w:rsidRPr="009772A3">
              <w:rPr>
                <w:rFonts w:asciiTheme="majorHAnsi" w:hAnsiTheme="majorHAnsi" w:cstheme="majorHAnsi"/>
                <w:b/>
                <w:sz w:val="16"/>
                <w:szCs w:val="16"/>
                <w:lang w:val="ro-MD"/>
              </w:rPr>
              <w:t>A</w:t>
            </w:r>
            <w:r w:rsidR="001A4534" w:rsidRPr="009772A3">
              <w:rPr>
                <w:rFonts w:asciiTheme="majorHAnsi" w:hAnsiTheme="majorHAnsi" w:cstheme="majorHAnsi"/>
                <w:b/>
                <w:sz w:val="16"/>
                <w:szCs w:val="16"/>
                <w:lang w:val="ro-MD"/>
              </w:rPr>
              <w:t>nii</w:t>
            </w:r>
          </w:p>
        </w:tc>
        <w:tc>
          <w:tcPr>
            <w:tcW w:w="1187" w:type="dxa"/>
          </w:tcPr>
          <w:p w14:paraId="343B3200" w14:textId="6367F6BA" w:rsidR="001A4534" w:rsidRPr="009772A3" w:rsidRDefault="001A4534" w:rsidP="00863213">
            <w:pPr>
              <w:rPr>
                <w:rFonts w:asciiTheme="majorHAnsi" w:hAnsiTheme="majorHAnsi" w:cstheme="majorHAnsi"/>
                <w:b/>
                <w:sz w:val="16"/>
                <w:szCs w:val="16"/>
                <w:lang w:val="ro-MD"/>
              </w:rPr>
            </w:pPr>
            <w:r w:rsidRPr="009772A3">
              <w:rPr>
                <w:rFonts w:asciiTheme="majorHAnsi" w:hAnsiTheme="majorHAnsi" w:cstheme="majorHAnsi"/>
                <w:b/>
                <w:sz w:val="16"/>
                <w:szCs w:val="16"/>
                <w:lang w:val="ro-MD"/>
              </w:rPr>
              <w:t>Suma total</w:t>
            </w:r>
            <w:r w:rsidR="0045518C" w:rsidRPr="009772A3">
              <w:rPr>
                <w:rFonts w:asciiTheme="majorHAnsi" w:hAnsiTheme="majorHAnsi" w:cstheme="majorHAnsi"/>
                <w:b/>
                <w:sz w:val="16"/>
                <w:szCs w:val="16"/>
                <w:lang w:val="ro-MD"/>
              </w:rPr>
              <w:t>ă</w:t>
            </w:r>
            <w:r w:rsidRPr="009772A3">
              <w:rPr>
                <w:rFonts w:asciiTheme="majorHAnsi" w:hAnsiTheme="majorHAnsi" w:cstheme="majorHAnsi"/>
                <w:b/>
                <w:sz w:val="16"/>
                <w:szCs w:val="16"/>
                <w:lang w:val="ro-MD"/>
              </w:rPr>
              <w:t xml:space="preserve"> a veniturilor </w:t>
            </w:r>
          </w:p>
        </w:tc>
        <w:tc>
          <w:tcPr>
            <w:tcW w:w="2182" w:type="dxa"/>
          </w:tcPr>
          <w:p w14:paraId="5DF9F766" w14:textId="26712247" w:rsidR="001A4534" w:rsidRPr="009772A3" w:rsidRDefault="001A4534" w:rsidP="0045518C">
            <w:pPr>
              <w:rPr>
                <w:rFonts w:asciiTheme="majorHAnsi" w:hAnsiTheme="majorHAnsi" w:cstheme="majorHAnsi"/>
                <w:b/>
                <w:sz w:val="16"/>
                <w:szCs w:val="16"/>
                <w:lang w:val="ro-MD"/>
              </w:rPr>
            </w:pPr>
            <w:r w:rsidRPr="009772A3">
              <w:rPr>
                <w:rFonts w:asciiTheme="majorHAnsi" w:hAnsiTheme="majorHAnsi" w:cstheme="majorHAnsi"/>
                <w:b/>
                <w:sz w:val="16"/>
                <w:szCs w:val="16"/>
                <w:lang w:val="ro-MD"/>
              </w:rPr>
              <w:t>Venituri aferente livrărilor către grupul SA Moldovagaz</w:t>
            </w:r>
          </w:p>
        </w:tc>
        <w:tc>
          <w:tcPr>
            <w:tcW w:w="1362" w:type="dxa"/>
          </w:tcPr>
          <w:p w14:paraId="5994F63F" w14:textId="5D3CB610" w:rsidR="001A4534" w:rsidRPr="009772A3" w:rsidRDefault="001A4534" w:rsidP="0045518C">
            <w:pPr>
              <w:rPr>
                <w:rFonts w:asciiTheme="majorHAnsi" w:hAnsiTheme="majorHAnsi" w:cstheme="majorHAnsi"/>
                <w:b/>
                <w:sz w:val="16"/>
                <w:szCs w:val="16"/>
                <w:lang w:val="ro-MD"/>
              </w:rPr>
            </w:pPr>
            <w:r w:rsidRPr="009772A3">
              <w:rPr>
                <w:rFonts w:asciiTheme="majorHAnsi" w:hAnsiTheme="majorHAnsi" w:cstheme="majorHAnsi"/>
                <w:b/>
                <w:sz w:val="16"/>
                <w:szCs w:val="16"/>
                <w:lang w:val="ro-MD"/>
              </w:rPr>
              <w:t>Suma total</w:t>
            </w:r>
            <w:r w:rsidR="0045518C" w:rsidRPr="009772A3">
              <w:rPr>
                <w:rFonts w:asciiTheme="majorHAnsi" w:hAnsiTheme="majorHAnsi" w:cstheme="majorHAnsi"/>
                <w:b/>
                <w:sz w:val="16"/>
                <w:szCs w:val="16"/>
                <w:lang w:val="ro-MD"/>
              </w:rPr>
              <w:t>ă</w:t>
            </w:r>
            <w:r w:rsidRPr="009772A3">
              <w:rPr>
                <w:rFonts w:asciiTheme="majorHAnsi" w:hAnsiTheme="majorHAnsi" w:cstheme="majorHAnsi"/>
                <w:b/>
                <w:sz w:val="16"/>
                <w:szCs w:val="16"/>
                <w:lang w:val="ro-MD"/>
              </w:rPr>
              <w:t xml:space="preserve"> a cheltuielilor </w:t>
            </w:r>
          </w:p>
        </w:tc>
        <w:tc>
          <w:tcPr>
            <w:tcW w:w="1411" w:type="dxa"/>
          </w:tcPr>
          <w:p w14:paraId="42B7A1D5" w14:textId="72D5EDB9" w:rsidR="001A4534" w:rsidRPr="009772A3" w:rsidRDefault="001A4534">
            <w:pPr>
              <w:rPr>
                <w:rFonts w:asciiTheme="majorHAnsi" w:hAnsiTheme="majorHAnsi" w:cstheme="majorHAnsi"/>
                <w:b/>
                <w:sz w:val="16"/>
                <w:szCs w:val="16"/>
                <w:lang w:val="ro-MD"/>
              </w:rPr>
            </w:pPr>
            <w:r w:rsidRPr="009772A3">
              <w:rPr>
                <w:rFonts w:asciiTheme="majorHAnsi" w:hAnsiTheme="majorHAnsi" w:cstheme="majorHAnsi"/>
                <w:b/>
                <w:sz w:val="16"/>
                <w:szCs w:val="16"/>
                <w:lang w:val="ro-MD"/>
              </w:rPr>
              <w:t xml:space="preserve">Profitul (pierderea) </w:t>
            </w:r>
          </w:p>
        </w:tc>
        <w:tc>
          <w:tcPr>
            <w:tcW w:w="1256" w:type="dxa"/>
          </w:tcPr>
          <w:p w14:paraId="19C84525" w14:textId="77777777" w:rsidR="001A4534" w:rsidRPr="009772A3" w:rsidRDefault="001A4534" w:rsidP="004B074B">
            <w:pPr>
              <w:rPr>
                <w:rFonts w:asciiTheme="majorHAnsi" w:hAnsiTheme="majorHAnsi" w:cstheme="majorHAnsi"/>
                <w:b/>
                <w:sz w:val="16"/>
                <w:szCs w:val="16"/>
                <w:lang w:val="ro-MD"/>
              </w:rPr>
            </w:pPr>
            <w:r w:rsidRPr="009772A3">
              <w:rPr>
                <w:rFonts w:asciiTheme="majorHAnsi" w:hAnsiTheme="majorHAnsi" w:cstheme="majorHAnsi"/>
                <w:b/>
                <w:sz w:val="16"/>
                <w:szCs w:val="16"/>
                <w:lang w:val="ro-MD"/>
              </w:rPr>
              <w:t xml:space="preserve">Suma venitului impozabil </w:t>
            </w:r>
          </w:p>
        </w:tc>
        <w:tc>
          <w:tcPr>
            <w:tcW w:w="1156" w:type="dxa"/>
          </w:tcPr>
          <w:p w14:paraId="33114AF9" w14:textId="77777777" w:rsidR="001A4534" w:rsidRPr="009772A3" w:rsidRDefault="001A4534" w:rsidP="004B074B">
            <w:pPr>
              <w:rPr>
                <w:rFonts w:asciiTheme="majorHAnsi" w:hAnsiTheme="majorHAnsi" w:cstheme="majorHAnsi"/>
                <w:b/>
                <w:sz w:val="16"/>
                <w:szCs w:val="16"/>
                <w:lang w:val="ro-MD"/>
              </w:rPr>
            </w:pPr>
            <w:r w:rsidRPr="009772A3">
              <w:rPr>
                <w:rFonts w:asciiTheme="majorHAnsi" w:hAnsiTheme="majorHAnsi" w:cstheme="majorHAnsi"/>
                <w:b/>
                <w:sz w:val="16"/>
                <w:szCs w:val="16"/>
                <w:lang w:val="ro-MD"/>
              </w:rPr>
              <w:t>Rentabilitatea, %</w:t>
            </w:r>
          </w:p>
        </w:tc>
      </w:tr>
      <w:tr w:rsidR="001A4534" w:rsidRPr="009772A3" w14:paraId="626521D7" w14:textId="77777777" w:rsidTr="00302AD3">
        <w:tc>
          <w:tcPr>
            <w:tcW w:w="764" w:type="dxa"/>
          </w:tcPr>
          <w:p w14:paraId="090DB121" w14:textId="77777777" w:rsidR="001A4534" w:rsidRPr="009772A3" w:rsidRDefault="001A4534" w:rsidP="004B074B">
            <w:pPr>
              <w:rPr>
                <w:rFonts w:asciiTheme="majorHAnsi" w:hAnsiTheme="majorHAnsi" w:cstheme="majorHAnsi"/>
                <w:sz w:val="16"/>
                <w:szCs w:val="16"/>
                <w:lang w:val="ro-MD"/>
              </w:rPr>
            </w:pPr>
            <w:r w:rsidRPr="009772A3">
              <w:rPr>
                <w:rFonts w:asciiTheme="majorHAnsi" w:hAnsiTheme="majorHAnsi" w:cstheme="majorHAnsi"/>
                <w:sz w:val="16"/>
                <w:szCs w:val="16"/>
                <w:lang w:val="ro-MD"/>
              </w:rPr>
              <w:t>2021</w:t>
            </w:r>
          </w:p>
        </w:tc>
        <w:tc>
          <w:tcPr>
            <w:tcW w:w="1187" w:type="dxa"/>
          </w:tcPr>
          <w:p w14:paraId="6D510438"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86.240,4</w:t>
            </w:r>
          </w:p>
        </w:tc>
        <w:tc>
          <w:tcPr>
            <w:tcW w:w="2182" w:type="dxa"/>
          </w:tcPr>
          <w:p w14:paraId="581BD240"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63.634,8</w:t>
            </w:r>
          </w:p>
        </w:tc>
        <w:tc>
          <w:tcPr>
            <w:tcW w:w="1362" w:type="dxa"/>
          </w:tcPr>
          <w:p w14:paraId="3E5DCF78"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57.110,4</w:t>
            </w:r>
          </w:p>
        </w:tc>
        <w:tc>
          <w:tcPr>
            <w:tcW w:w="1411" w:type="dxa"/>
          </w:tcPr>
          <w:p w14:paraId="2FED0FDA"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29.130,1</w:t>
            </w:r>
          </w:p>
        </w:tc>
        <w:tc>
          <w:tcPr>
            <w:tcW w:w="1256" w:type="dxa"/>
          </w:tcPr>
          <w:p w14:paraId="3485EF32"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26.338,3</w:t>
            </w:r>
          </w:p>
        </w:tc>
        <w:tc>
          <w:tcPr>
            <w:tcW w:w="1156" w:type="dxa"/>
          </w:tcPr>
          <w:p w14:paraId="11361234"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51,00</w:t>
            </w:r>
          </w:p>
        </w:tc>
      </w:tr>
      <w:tr w:rsidR="001A4534" w:rsidRPr="009772A3" w14:paraId="11405E96" w14:textId="77777777" w:rsidTr="00302AD3">
        <w:trPr>
          <w:trHeight w:val="181"/>
        </w:trPr>
        <w:tc>
          <w:tcPr>
            <w:tcW w:w="764" w:type="dxa"/>
          </w:tcPr>
          <w:p w14:paraId="5CD023D9" w14:textId="77777777" w:rsidR="001A4534" w:rsidRPr="009772A3" w:rsidRDefault="001A4534" w:rsidP="004B074B">
            <w:pPr>
              <w:rPr>
                <w:rFonts w:asciiTheme="majorHAnsi" w:hAnsiTheme="majorHAnsi" w:cstheme="majorHAnsi"/>
                <w:sz w:val="16"/>
                <w:szCs w:val="16"/>
                <w:lang w:val="ro-MD"/>
              </w:rPr>
            </w:pPr>
            <w:r w:rsidRPr="009772A3">
              <w:rPr>
                <w:rFonts w:asciiTheme="majorHAnsi" w:hAnsiTheme="majorHAnsi" w:cstheme="majorHAnsi"/>
                <w:sz w:val="16"/>
                <w:szCs w:val="16"/>
                <w:lang w:val="ro-MD"/>
              </w:rPr>
              <w:t>2020</w:t>
            </w:r>
          </w:p>
        </w:tc>
        <w:tc>
          <w:tcPr>
            <w:tcW w:w="1187" w:type="dxa"/>
          </w:tcPr>
          <w:p w14:paraId="37FC2781"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140.969,6</w:t>
            </w:r>
          </w:p>
        </w:tc>
        <w:tc>
          <w:tcPr>
            <w:tcW w:w="2182" w:type="dxa"/>
          </w:tcPr>
          <w:p w14:paraId="5F845A60"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38.496,3</w:t>
            </w:r>
          </w:p>
        </w:tc>
        <w:tc>
          <w:tcPr>
            <w:tcW w:w="1362" w:type="dxa"/>
          </w:tcPr>
          <w:p w14:paraId="738BFEE5"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71.774,7</w:t>
            </w:r>
          </w:p>
        </w:tc>
        <w:tc>
          <w:tcPr>
            <w:tcW w:w="1411" w:type="dxa"/>
          </w:tcPr>
          <w:p w14:paraId="5CBE9837"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69.194,8</w:t>
            </w:r>
          </w:p>
        </w:tc>
        <w:tc>
          <w:tcPr>
            <w:tcW w:w="1256" w:type="dxa"/>
          </w:tcPr>
          <w:p w14:paraId="16E26E18"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77.604,9</w:t>
            </w:r>
          </w:p>
        </w:tc>
        <w:tc>
          <w:tcPr>
            <w:tcW w:w="1156" w:type="dxa"/>
          </w:tcPr>
          <w:p w14:paraId="07A648B8"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96,40</w:t>
            </w:r>
          </w:p>
        </w:tc>
      </w:tr>
      <w:tr w:rsidR="001A4534" w:rsidRPr="009772A3" w14:paraId="3959175C" w14:textId="77777777" w:rsidTr="00302AD3">
        <w:tc>
          <w:tcPr>
            <w:tcW w:w="764" w:type="dxa"/>
          </w:tcPr>
          <w:p w14:paraId="6D796C9E" w14:textId="77777777" w:rsidR="001A4534" w:rsidRPr="009772A3" w:rsidRDefault="001A4534" w:rsidP="004B074B">
            <w:pPr>
              <w:rPr>
                <w:rFonts w:asciiTheme="majorHAnsi" w:hAnsiTheme="majorHAnsi" w:cstheme="majorHAnsi"/>
                <w:sz w:val="16"/>
                <w:szCs w:val="16"/>
                <w:lang w:val="ro-MD"/>
              </w:rPr>
            </w:pPr>
            <w:r w:rsidRPr="009772A3">
              <w:rPr>
                <w:rFonts w:asciiTheme="majorHAnsi" w:hAnsiTheme="majorHAnsi" w:cstheme="majorHAnsi"/>
                <w:sz w:val="16"/>
                <w:szCs w:val="16"/>
                <w:lang w:val="ro-MD"/>
              </w:rPr>
              <w:t>2019</w:t>
            </w:r>
          </w:p>
        </w:tc>
        <w:tc>
          <w:tcPr>
            <w:tcW w:w="1187" w:type="dxa"/>
          </w:tcPr>
          <w:p w14:paraId="6648D837"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222.908,7</w:t>
            </w:r>
          </w:p>
        </w:tc>
        <w:tc>
          <w:tcPr>
            <w:tcW w:w="2182" w:type="dxa"/>
          </w:tcPr>
          <w:p w14:paraId="139BA8B3"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175.825,8</w:t>
            </w:r>
          </w:p>
        </w:tc>
        <w:tc>
          <w:tcPr>
            <w:tcW w:w="1362" w:type="dxa"/>
          </w:tcPr>
          <w:p w14:paraId="55A39206"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98.805,4</w:t>
            </w:r>
          </w:p>
        </w:tc>
        <w:tc>
          <w:tcPr>
            <w:tcW w:w="1411" w:type="dxa"/>
          </w:tcPr>
          <w:p w14:paraId="7F25D674"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124.103,3</w:t>
            </w:r>
          </w:p>
        </w:tc>
        <w:tc>
          <w:tcPr>
            <w:tcW w:w="1256" w:type="dxa"/>
          </w:tcPr>
          <w:p w14:paraId="69A11E05"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129.551,8</w:t>
            </w:r>
          </w:p>
        </w:tc>
        <w:tc>
          <w:tcPr>
            <w:tcW w:w="1156" w:type="dxa"/>
          </w:tcPr>
          <w:p w14:paraId="650985A6"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125,60</w:t>
            </w:r>
          </w:p>
        </w:tc>
      </w:tr>
      <w:tr w:rsidR="001A4534" w:rsidRPr="009772A3" w14:paraId="6CBBB9A1" w14:textId="77777777" w:rsidTr="00302AD3">
        <w:tc>
          <w:tcPr>
            <w:tcW w:w="764" w:type="dxa"/>
          </w:tcPr>
          <w:p w14:paraId="29E1E709" w14:textId="77777777" w:rsidR="001A4534" w:rsidRPr="009772A3" w:rsidRDefault="001A4534" w:rsidP="004B074B">
            <w:pPr>
              <w:rPr>
                <w:rFonts w:asciiTheme="majorHAnsi" w:hAnsiTheme="majorHAnsi" w:cstheme="majorHAnsi"/>
                <w:sz w:val="16"/>
                <w:szCs w:val="16"/>
                <w:lang w:val="ro-MD"/>
              </w:rPr>
            </w:pPr>
            <w:r w:rsidRPr="009772A3">
              <w:rPr>
                <w:rFonts w:asciiTheme="majorHAnsi" w:hAnsiTheme="majorHAnsi" w:cstheme="majorHAnsi"/>
                <w:sz w:val="16"/>
                <w:szCs w:val="16"/>
                <w:lang w:val="ro-MD"/>
              </w:rPr>
              <w:t>2018</w:t>
            </w:r>
          </w:p>
        </w:tc>
        <w:tc>
          <w:tcPr>
            <w:tcW w:w="1187" w:type="dxa"/>
          </w:tcPr>
          <w:p w14:paraId="5A690A1A"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204.384,2</w:t>
            </w:r>
          </w:p>
        </w:tc>
        <w:tc>
          <w:tcPr>
            <w:tcW w:w="2182" w:type="dxa"/>
          </w:tcPr>
          <w:p w14:paraId="0AB56C61"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147.401,3</w:t>
            </w:r>
          </w:p>
        </w:tc>
        <w:tc>
          <w:tcPr>
            <w:tcW w:w="1362" w:type="dxa"/>
          </w:tcPr>
          <w:p w14:paraId="6D0B6C0C"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119.901,9</w:t>
            </w:r>
          </w:p>
        </w:tc>
        <w:tc>
          <w:tcPr>
            <w:tcW w:w="1411" w:type="dxa"/>
          </w:tcPr>
          <w:p w14:paraId="6A3D0C02"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84.482,2</w:t>
            </w:r>
          </w:p>
        </w:tc>
        <w:tc>
          <w:tcPr>
            <w:tcW w:w="1256" w:type="dxa"/>
          </w:tcPr>
          <w:p w14:paraId="4302881C"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84.967,2</w:t>
            </w:r>
          </w:p>
        </w:tc>
        <w:tc>
          <w:tcPr>
            <w:tcW w:w="1156" w:type="dxa"/>
          </w:tcPr>
          <w:p w14:paraId="532C7CC7"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70,45</w:t>
            </w:r>
          </w:p>
        </w:tc>
      </w:tr>
      <w:tr w:rsidR="001A4534" w:rsidRPr="009772A3" w14:paraId="01BAD05A" w14:textId="77777777" w:rsidTr="00302AD3">
        <w:tc>
          <w:tcPr>
            <w:tcW w:w="764" w:type="dxa"/>
          </w:tcPr>
          <w:p w14:paraId="78CD3F6F" w14:textId="77777777" w:rsidR="001A4534" w:rsidRPr="009772A3" w:rsidRDefault="001A4534" w:rsidP="004B074B">
            <w:pPr>
              <w:rPr>
                <w:rFonts w:asciiTheme="majorHAnsi" w:hAnsiTheme="majorHAnsi" w:cstheme="majorHAnsi"/>
                <w:sz w:val="16"/>
                <w:szCs w:val="16"/>
                <w:lang w:val="ro-MD"/>
              </w:rPr>
            </w:pPr>
            <w:r w:rsidRPr="009772A3">
              <w:rPr>
                <w:rFonts w:asciiTheme="majorHAnsi" w:hAnsiTheme="majorHAnsi" w:cstheme="majorHAnsi"/>
                <w:sz w:val="16"/>
                <w:szCs w:val="16"/>
                <w:lang w:val="ro-MD"/>
              </w:rPr>
              <w:t>2017</w:t>
            </w:r>
          </w:p>
        </w:tc>
        <w:tc>
          <w:tcPr>
            <w:tcW w:w="1187" w:type="dxa"/>
          </w:tcPr>
          <w:p w14:paraId="75077F88"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139.105,6</w:t>
            </w:r>
          </w:p>
        </w:tc>
        <w:tc>
          <w:tcPr>
            <w:tcW w:w="2182" w:type="dxa"/>
          </w:tcPr>
          <w:p w14:paraId="3BB46823"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128.355,5</w:t>
            </w:r>
          </w:p>
        </w:tc>
        <w:tc>
          <w:tcPr>
            <w:tcW w:w="1362" w:type="dxa"/>
          </w:tcPr>
          <w:p w14:paraId="130BD791"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58.280,5</w:t>
            </w:r>
          </w:p>
        </w:tc>
        <w:tc>
          <w:tcPr>
            <w:tcW w:w="1411" w:type="dxa"/>
          </w:tcPr>
          <w:p w14:paraId="485988C7"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80.825,1</w:t>
            </w:r>
          </w:p>
        </w:tc>
        <w:tc>
          <w:tcPr>
            <w:tcW w:w="1256" w:type="dxa"/>
          </w:tcPr>
          <w:p w14:paraId="2DE10F7D"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83.915,1</w:t>
            </w:r>
          </w:p>
        </w:tc>
        <w:tc>
          <w:tcPr>
            <w:tcW w:w="1156" w:type="dxa"/>
          </w:tcPr>
          <w:p w14:paraId="2E1BF60B" w14:textId="77777777" w:rsidR="001A4534" w:rsidRPr="009772A3" w:rsidRDefault="001A4534" w:rsidP="004B074B">
            <w:pPr>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138,68</w:t>
            </w:r>
          </w:p>
        </w:tc>
      </w:tr>
      <w:tr w:rsidR="001A4534" w:rsidRPr="009772A3" w14:paraId="6C1C6003" w14:textId="77777777" w:rsidTr="00302AD3">
        <w:tc>
          <w:tcPr>
            <w:tcW w:w="764" w:type="dxa"/>
          </w:tcPr>
          <w:p w14:paraId="4E7B4394" w14:textId="3CD8E704" w:rsidR="001A4534" w:rsidRPr="009772A3" w:rsidRDefault="001A4534" w:rsidP="004B074B">
            <w:pPr>
              <w:rPr>
                <w:rFonts w:asciiTheme="majorHAnsi" w:hAnsiTheme="majorHAnsi" w:cstheme="majorHAnsi"/>
                <w:b/>
                <w:sz w:val="16"/>
                <w:szCs w:val="16"/>
                <w:lang w:val="ro-MD"/>
              </w:rPr>
            </w:pPr>
            <w:r w:rsidRPr="009772A3">
              <w:rPr>
                <w:rFonts w:asciiTheme="majorHAnsi" w:hAnsiTheme="majorHAnsi" w:cstheme="majorHAnsi"/>
                <w:b/>
                <w:sz w:val="16"/>
                <w:szCs w:val="16"/>
                <w:lang w:val="ro-MD"/>
              </w:rPr>
              <w:t>Total:</w:t>
            </w:r>
          </w:p>
        </w:tc>
        <w:tc>
          <w:tcPr>
            <w:tcW w:w="1187" w:type="dxa"/>
          </w:tcPr>
          <w:p w14:paraId="69DC7348" w14:textId="77777777" w:rsidR="001A4534" w:rsidRPr="009772A3" w:rsidRDefault="001A4534" w:rsidP="004B074B">
            <w:pPr>
              <w:jc w:val="right"/>
              <w:rPr>
                <w:rFonts w:asciiTheme="majorHAnsi" w:hAnsiTheme="majorHAnsi" w:cstheme="majorHAnsi"/>
                <w:b/>
                <w:sz w:val="16"/>
                <w:szCs w:val="16"/>
                <w:lang w:val="ro-MD"/>
              </w:rPr>
            </w:pPr>
            <w:r w:rsidRPr="009772A3">
              <w:rPr>
                <w:rFonts w:asciiTheme="majorHAnsi" w:hAnsiTheme="majorHAnsi" w:cstheme="majorHAnsi"/>
                <w:b/>
                <w:sz w:val="16"/>
                <w:szCs w:val="16"/>
                <w:lang w:val="ro-MD"/>
              </w:rPr>
              <w:t>793.608,5</w:t>
            </w:r>
          </w:p>
        </w:tc>
        <w:tc>
          <w:tcPr>
            <w:tcW w:w="2182" w:type="dxa"/>
          </w:tcPr>
          <w:p w14:paraId="493F8E49" w14:textId="77777777" w:rsidR="001A4534" w:rsidRPr="009772A3" w:rsidRDefault="001A4534" w:rsidP="004B074B">
            <w:pPr>
              <w:jc w:val="right"/>
              <w:rPr>
                <w:rFonts w:asciiTheme="majorHAnsi" w:hAnsiTheme="majorHAnsi" w:cstheme="majorHAnsi"/>
                <w:b/>
                <w:sz w:val="16"/>
                <w:szCs w:val="16"/>
                <w:lang w:val="ro-MD"/>
              </w:rPr>
            </w:pPr>
            <w:r w:rsidRPr="009772A3">
              <w:rPr>
                <w:rFonts w:asciiTheme="majorHAnsi" w:hAnsiTheme="majorHAnsi" w:cstheme="majorHAnsi"/>
                <w:b/>
                <w:sz w:val="16"/>
                <w:szCs w:val="16"/>
                <w:lang w:val="ro-MD"/>
              </w:rPr>
              <w:t>553.713,7</w:t>
            </w:r>
          </w:p>
        </w:tc>
        <w:tc>
          <w:tcPr>
            <w:tcW w:w="1362" w:type="dxa"/>
          </w:tcPr>
          <w:p w14:paraId="26426D66" w14:textId="77777777" w:rsidR="001A4534" w:rsidRPr="009772A3" w:rsidRDefault="001A4534" w:rsidP="004B074B">
            <w:pPr>
              <w:jc w:val="right"/>
              <w:rPr>
                <w:rFonts w:asciiTheme="majorHAnsi" w:hAnsiTheme="majorHAnsi" w:cstheme="majorHAnsi"/>
                <w:b/>
                <w:sz w:val="16"/>
                <w:szCs w:val="16"/>
                <w:lang w:val="ro-MD"/>
              </w:rPr>
            </w:pPr>
            <w:r w:rsidRPr="009772A3">
              <w:rPr>
                <w:rFonts w:asciiTheme="majorHAnsi" w:hAnsiTheme="majorHAnsi" w:cstheme="majorHAnsi"/>
                <w:b/>
                <w:sz w:val="16"/>
                <w:szCs w:val="16"/>
                <w:lang w:val="ro-MD"/>
              </w:rPr>
              <w:t>405.872,9</w:t>
            </w:r>
          </w:p>
        </w:tc>
        <w:tc>
          <w:tcPr>
            <w:tcW w:w="1411" w:type="dxa"/>
          </w:tcPr>
          <w:p w14:paraId="5D6BA497" w14:textId="77777777" w:rsidR="001A4534" w:rsidRPr="009772A3" w:rsidRDefault="001A4534" w:rsidP="004B074B">
            <w:pPr>
              <w:jc w:val="right"/>
              <w:rPr>
                <w:rFonts w:asciiTheme="majorHAnsi" w:hAnsiTheme="majorHAnsi" w:cstheme="majorHAnsi"/>
                <w:b/>
                <w:sz w:val="16"/>
                <w:szCs w:val="16"/>
                <w:lang w:val="ro-MD"/>
              </w:rPr>
            </w:pPr>
            <w:r w:rsidRPr="009772A3">
              <w:rPr>
                <w:rFonts w:asciiTheme="majorHAnsi" w:hAnsiTheme="majorHAnsi" w:cstheme="majorHAnsi"/>
                <w:b/>
                <w:sz w:val="16"/>
                <w:szCs w:val="16"/>
                <w:lang w:val="ro-MD"/>
              </w:rPr>
              <w:t>387.735,5</w:t>
            </w:r>
          </w:p>
        </w:tc>
        <w:tc>
          <w:tcPr>
            <w:tcW w:w="1256" w:type="dxa"/>
          </w:tcPr>
          <w:p w14:paraId="05961A16" w14:textId="77777777" w:rsidR="001A4534" w:rsidRPr="009772A3" w:rsidRDefault="001A4534" w:rsidP="004B074B">
            <w:pPr>
              <w:jc w:val="right"/>
              <w:rPr>
                <w:rFonts w:asciiTheme="majorHAnsi" w:hAnsiTheme="majorHAnsi" w:cstheme="majorHAnsi"/>
                <w:b/>
                <w:sz w:val="16"/>
                <w:szCs w:val="16"/>
                <w:lang w:val="ro-MD"/>
              </w:rPr>
            </w:pPr>
            <w:r w:rsidRPr="009772A3">
              <w:rPr>
                <w:rFonts w:asciiTheme="majorHAnsi" w:hAnsiTheme="majorHAnsi" w:cstheme="majorHAnsi"/>
                <w:b/>
                <w:sz w:val="16"/>
                <w:szCs w:val="16"/>
                <w:lang w:val="ro-MD"/>
              </w:rPr>
              <w:t>402.377,3</w:t>
            </w:r>
          </w:p>
        </w:tc>
        <w:tc>
          <w:tcPr>
            <w:tcW w:w="1156" w:type="dxa"/>
          </w:tcPr>
          <w:p w14:paraId="6A7380AD" w14:textId="7CD4EDDB" w:rsidR="001A4534" w:rsidRPr="009772A3" w:rsidRDefault="001A4534" w:rsidP="004B074B">
            <w:pPr>
              <w:jc w:val="right"/>
              <w:rPr>
                <w:rFonts w:asciiTheme="majorHAnsi" w:hAnsiTheme="majorHAnsi" w:cstheme="majorHAnsi"/>
                <w:b/>
                <w:sz w:val="16"/>
                <w:szCs w:val="16"/>
                <w:lang w:val="ro-MD"/>
              </w:rPr>
            </w:pPr>
            <w:r w:rsidRPr="009772A3">
              <w:rPr>
                <w:rFonts w:asciiTheme="majorHAnsi" w:hAnsiTheme="majorHAnsi" w:cstheme="majorHAnsi"/>
                <w:b/>
                <w:sz w:val="16"/>
                <w:szCs w:val="16"/>
                <w:lang w:val="ro-MD"/>
              </w:rPr>
              <w:t>96,4</w:t>
            </w:r>
            <w:r w:rsidR="003E342F" w:rsidRPr="009772A3">
              <w:rPr>
                <w:rFonts w:asciiTheme="majorHAnsi" w:hAnsiTheme="majorHAnsi" w:cstheme="majorHAnsi"/>
                <w:b/>
                <w:sz w:val="16"/>
                <w:szCs w:val="16"/>
                <w:lang w:val="ro-MD"/>
              </w:rPr>
              <w:t>0</w:t>
            </w:r>
          </w:p>
        </w:tc>
      </w:tr>
    </w:tbl>
    <w:p w14:paraId="137A71FD" w14:textId="2313B019" w:rsidR="00FD1AA6" w:rsidRPr="009772A3" w:rsidRDefault="00EA3CBE" w:rsidP="00EE7E1B">
      <w:pPr>
        <w:pStyle w:val="Heading1"/>
        <w:numPr>
          <w:ilvl w:val="3"/>
          <w:numId w:val="2"/>
        </w:numPr>
        <w:tabs>
          <w:tab w:val="left" w:pos="851"/>
        </w:tabs>
        <w:spacing w:line="276" w:lineRule="auto"/>
        <w:ind w:left="0" w:firstLine="0"/>
        <w:jc w:val="both"/>
        <w:rPr>
          <w:i/>
          <w:color w:val="auto"/>
          <w:lang w:val="ro-MD"/>
        </w:rPr>
      </w:pPr>
      <w:bookmarkStart w:id="77" w:name="_Toc117775766"/>
      <w:bookmarkStart w:id="78" w:name="_Toc118297705"/>
      <w:bookmarkStart w:id="79" w:name="_Toc118465735"/>
      <w:bookmarkStart w:id="80" w:name="_Toc119496410"/>
      <w:r w:rsidRPr="009772A3">
        <w:rPr>
          <w:i/>
          <w:color w:val="auto"/>
          <w:lang w:val="ro-MD"/>
        </w:rPr>
        <w:t xml:space="preserve">Încheierea acordurilor adiționale în valoare totală de cca </w:t>
      </w:r>
      <w:r w:rsidR="00C709C5" w:rsidRPr="009772A3">
        <w:rPr>
          <w:i/>
          <w:color w:val="auto"/>
          <w:lang w:val="ro-MD"/>
        </w:rPr>
        <w:t>89</w:t>
      </w:r>
      <w:r w:rsidRPr="009772A3">
        <w:rPr>
          <w:i/>
          <w:color w:val="auto"/>
          <w:lang w:val="ro-MD"/>
        </w:rPr>
        <w:t>.</w:t>
      </w:r>
      <w:r w:rsidR="00C709C5" w:rsidRPr="009772A3">
        <w:rPr>
          <w:i/>
          <w:color w:val="auto"/>
          <w:lang w:val="ro-MD"/>
        </w:rPr>
        <w:t>469</w:t>
      </w:r>
      <w:r w:rsidRPr="009772A3">
        <w:rPr>
          <w:i/>
          <w:color w:val="auto"/>
          <w:lang w:val="ro-MD"/>
        </w:rPr>
        <w:t>,</w:t>
      </w:r>
      <w:r w:rsidR="00C709C5" w:rsidRPr="009772A3">
        <w:rPr>
          <w:i/>
          <w:color w:val="auto"/>
          <w:lang w:val="ro-MD"/>
        </w:rPr>
        <w:t>8</w:t>
      </w:r>
      <w:r w:rsidRPr="009772A3">
        <w:rPr>
          <w:i/>
          <w:color w:val="auto"/>
          <w:lang w:val="ro-MD"/>
        </w:rPr>
        <w:t xml:space="preserve"> mii lei la contractele de bază privind executarea lucrărilor, nu a asigurat transparența și eficiența achizițiilor efectuate</w:t>
      </w:r>
      <w:r w:rsidR="00FD1AA6" w:rsidRPr="009772A3">
        <w:rPr>
          <w:i/>
          <w:color w:val="auto"/>
          <w:lang w:val="ro-MD"/>
        </w:rPr>
        <w:t>.</w:t>
      </w:r>
      <w:bookmarkEnd w:id="77"/>
      <w:bookmarkEnd w:id="78"/>
      <w:bookmarkEnd w:id="79"/>
      <w:bookmarkEnd w:id="80"/>
    </w:p>
    <w:p w14:paraId="5FF434B5" w14:textId="054F849D" w:rsidR="00182A20" w:rsidRDefault="00EE7E1B" w:rsidP="00505F60">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 asemenea, la efectuarea </w:t>
      </w:r>
      <w:r w:rsidRPr="00EE7E1B">
        <w:rPr>
          <w:rFonts w:asciiTheme="majorHAnsi" w:hAnsiTheme="majorHAnsi" w:cstheme="majorHAnsi"/>
          <w:sz w:val="24"/>
          <w:szCs w:val="24"/>
          <w:lang w:val="ro-MD"/>
        </w:rPr>
        <w:t>reparațiil</w:t>
      </w:r>
      <w:r>
        <w:rPr>
          <w:rFonts w:asciiTheme="majorHAnsi" w:hAnsiTheme="majorHAnsi" w:cstheme="majorHAnsi"/>
          <w:sz w:val="24"/>
          <w:szCs w:val="24"/>
          <w:lang w:val="ro-MD"/>
        </w:rPr>
        <w:t>or</w:t>
      </w:r>
      <w:r w:rsidRPr="00EE7E1B">
        <w:rPr>
          <w:rFonts w:asciiTheme="majorHAnsi" w:hAnsiTheme="majorHAnsi" w:cstheme="majorHAnsi"/>
          <w:sz w:val="24"/>
          <w:szCs w:val="24"/>
          <w:lang w:val="ro-MD"/>
        </w:rPr>
        <w:t xml:space="preserve"> la gazoductul magistral Razdelinaia – Ismail</w:t>
      </w:r>
      <w:r>
        <w:rPr>
          <w:rFonts w:asciiTheme="majorHAnsi" w:hAnsiTheme="majorHAnsi" w:cstheme="majorHAnsi"/>
          <w:sz w:val="24"/>
          <w:szCs w:val="24"/>
          <w:lang w:val="ro-MD"/>
        </w:rPr>
        <w:t xml:space="preserve">, s-a constatat </w:t>
      </w:r>
      <w:r w:rsidR="00505F60" w:rsidRPr="009772A3">
        <w:rPr>
          <w:rFonts w:asciiTheme="majorHAnsi" w:hAnsiTheme="majorHAnsi" w:cstheme="majorHAnsi"/>
          <w:sz w:val="24"/>
          <w:szCs w:val="24"/>
          <w:lang w:val="ro-MD"/>
        </w:rPr>
        <w:t>majorarea</w:t>
      </w:r>
      <w:r w:rsidRPr="00EE7E1B">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de către SRL Moldovatransgaz</w:t>
      </w:r>
      <w:r>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prin acorduri adiționale, </w:t>
      </w:r>
      <w:r>
        <w:rPr>
          <w:rFonts w:asciiTheme="majorHAnsi" w:hAnsiTheme="majorHAnsi" w:cstheme="majorHAnsi"/>
          <w:sz w:val="24"/>
          <w:szCs w:val="24"/>
          <w:lang w:val="ro-MD"/>
        </w:rPr>
        <w:t xml:space="preserve">a valorii lucrărilor procurate prin </w:t>
      </w:r>
      <w:r w:rsidRPr="009772A3">
        <w:rPr>
          <w:rFonts w:asciiTheme="majorHAnsi" w:hAnsiTheme="majorHAnsi" w:cstheme="majorHAnsi"/>
          <w:sz w:val="24"/>
          <w:szCs w:val="24"/>
          <w:lang w:val="ro-MD"/>
        </w:rPr>
        <w:t>2 contracte de achiziții</w:t>
      </w:r>
      <w:r w:rsidR="00505F60" w:rsidRPr="009772A3">
        <w:rPr>
          <w:rFonts w:asciiTheme="majorHAnsi" w:hAnsiTheme="majorHAnsi" w:cstheme="majorHAnsi"/>
          <w:sz w:val="24"/>
          <w:szCs w:val="24"/>
          <w:lang w:val="ro-MD"/>
        </w:rPr>
        <w:t>. Astfel,</w:t>
      </w:r>
      <w:r w:rsidR="00F50C8C" w:rsidRPr="009772A3">
        <w:rPr>
          <w:rFonts w:asciiTheme="majorHAnsi" w:hAnsiTheme="majorHAnsi" w:cstheme="majorHAnsi"/>
          <w:sz w:val="24"/>
          <w:szCs w:val="24"/>
          <w:lang w:val="ro-MD"/>
        </w:rPr>
        <w:t xml:space="preserve"> în condițiile nedetalierii unor lucrări de renovare în documentația de deviz,</w:t>
      </w:r>
      <w:r w:rsidR="00505F60" w:rsidRPr="009772A3">
        <w:rPr>
          <w:rFonts w:asciiTheme="majorHAnsi" w:hAnsiTheme="majorHAnsi" w:cstheme="majorHAnsi"/>
          <w:sz w:val="24"/>
          <w:szCs w:val="24"/>
          <w:lang w:val="ro-MD"/>
        </w:rPr>
        <w:t xml:space="preserve"> la etapa I</w:t>
      </w:r>
      <w:r w:rsidR="001E50ED" w:rsidRPr="009772A3">
        <w:rPr>
          <w:rFonts w:asciiTheme="majorHAnsi" w:hAnsiTheme="majorHAnsi" w:cstheme="majorHAnsi"/>
          <w:sz w:val="24"/>
          <w:szCs w:val="24"/>
          <w:lang w:val="ro-MD"/>
        </w:rPr>
        <w:t xml:space="preserve"> de executare a lucrărilor de reparație,</w:t>
      </w:r>
      <w:r w:rsidR="00505F60" w:rsidRPr="009772A3">
        <w:rPr>
          <w:rFonts w:asciiTheme="majorHAnsi" w:hAnsiTheme="majorHAnsi" w:cstheme="majorHAnsi"/>
          <w:sz w:val="24"/>
          <w:szCs w:val="24"/>
          <w:lang w:val="ro-MD"/>
        </w:rPr>
        <w:t xml:space="preserve"> prin 3 acorduri adiționale din 24.08.2018, 20.09.2018 și 16.10.2018</w:t>
      </w:r>
      <w:r w:rsidR="0045518C" w:rsidRPr="009772A3">
        <w:rPr>
          <w:rFonts w:asciiTheme="majorHAnsi" w:hAnsiTheme="majorHAnsi" w:cstheme="majorHAnsi"/>
          <w:sz w:val="24"/>
          <w:szCs w:val="24"/>
          <w:lang w:val="ro-MD"/>
        </w:rPr>
        <w:t>,</w:t>
      </w:r>
      <w:r w:rsidR="00505F60" w:rsidRPr="009772A3">
        <w:rPr>
          <w:rFonts w:asciiTheme="majorHAnsi" w:hAnsiTheme="majorHAnsi" w:cstheme="majorHAnsi"/>
          <w:sz w:val="24"/>
          <w:szCs w:val="24"/>
          <w:lang w:val="ro-MD"/>
        </w:rPr>
        <w:t xml:space="preserve"> valoarea </w:t>
      </w:r>
      <w:r w:rsidR="0087028E" w:rsidRPr="009772A3">
        <w:rPr>
          <w:rFonts w:asciiTheme="majorHAnsi" w:hAnsiTheme="majorHAnsi" w:cstheme="majorHAnsi"/>
          <w:sz w:val="24"/>
          <w:szCs w:val="24"/>
          <w:lang w:val="ro-MD"/>
        </w:rPr>
        <w:t>contrat</w:t>
      </w:r>
      <w:r w:rsidR="0087028E">
        <w:rPr>
          <w:rFonts w:asciiTheme="majorHAnsi" w:hAnsiTheme="majorHAnsi" w:cstheme="majorHAnsi"/>
          <w:sz w:val="24"/>
          <w:szCs w:val="24"/>
          <w:lang w:val="ro-MD"/>
        </w:rPr>
        <w:t>ului</w:t>
      </w:r>
      <w:r w:rsidR="0087028E" w:rsidRPr="009772A3">
        <w:rPr>
          <w:rFonts w:asciiTheme="majorHAnsi" w:hAnsiTheme="majorHAnsi" w:cstheme="majorHAnsi"/>
          <w:sz w:val="24"/>
          <w:szCs w:val="24"/>
          <w:lang w:val="ro-MD"/>
        </w:rPr>
        <w:t xml:space="preserve"> </w:t>
      </w:r>
      <w:r w:rsidR="004E6542" w:rsidRPr="009772A3">
        <w:rPr>
          <w:rFonts w:asciiTheme="majorHAnsi" w:hAnsiTheme="majorHAnsi" w:cstheme="majorHAnsi"/>
          <w:sz w:val="24"/>
          <w:szCs w:val="24"/>
          <w:lang w:val="ro-MD"/>
        </w:rPr>
        <w:t>din 11.10.2017</w:t>
      </w:r>
      <w:r w:rsidR="00820600" w:rsidRPr="009772A3">
        <w:rPr>
          <w:rFonts w:asciiTheme="majorHAnsi" w:hAnsiTheme="majorHAnsi" w:cstheme="majorHAnsi"/>
          <w:sz w:val="24"/>
          <w:szCs w:val="24"/>
          <w:lang w:val="ro-MD"/>
        </w:rPr>
        <w:t>,</w:t>
      </w:r>
      <w:r w:rsidR="004E6542" w:rsidRPr="009772A3">
        <w:rPr>
          <w:rFonts w:asciiTheme="majorHAnsi" w:hAnsiTheme="majorHAnsi" w:cstheme="majorHAnsi"/>
          <w:sz w:val="24"/>
          <w:szCs w:val="24"/>
          <w:lang w:val="ro-MD"/>
        </w:rPr>
        <w:t xml:space="preserve"> în sumă de 6.</w:t>
      </w:r>
      <w:r w:rsidR="00BB6C49" w:rsidRPr="009772A3">
        <w:rPr>
          <w:rFonts w:asciiTheme="majorHAnsi" w:hAnsiTheme="majorHAnsi" w:cstheme="majorHAnsi"/>
          <w:sz w:val="24"/>
          <w:szCs w:val="24"/>
          <w:lang w:val="ro-MD"/>
        </w:rPr>
        <w:t>459,5</w:t>
      </w:r>
      <w:r w:rsidR="00505F60" w:rsidRPr="009772A3">
        <w:rPr>
          <w:rFonts w:asciiTheme="majorHAnsi" w:hAnsiTheme="majorHAnsi" w:cstheme="majorHAnsi"/>
          <w:sz w:val="24"/>
          <w:szCs w:val="24"/>
          <w:lang w:val="ro-MD"/>
        </w:rPr>
        <w:t xml:space="preserve"> mi</w:t>
      </w:r>
      <w:r w:rsidR="004E6542" w:rsidRPr="009772A3">
        <w:rPr>
          <w:rFonts w:asciiTheme="majorHAnsi" w:hAnsiTheme="majorHAnsi" w:cstheme="majorHAnsi"/>
          <w:sz w:val="24"/>
          <w:szCs w:val="24"/>
          <w:lang w:val="ro-MD"/>
        </w:rPr>
        <w:t>i</w:t>
      </w:r>
      <w:r w:rsidR="00505F60" w:rsidRPr="009772A3">
        <w:rPr>
          <w:rFonts w:asciiTheme="majorHAnsi" w:hAnsiTheme="majorHAnsi" w:cstheme="majorHAnsi"/>
          <w:sz w:val="24"/>
          <w:szCs w:val="24"/>
          <w:lang w:val="ro-MD"/>
        </w:rPr>
        <w:t xml:space="preserve"> </w:t>
      </w:r>
      <w:r w:rsidR="004E6542" w:rsidRPr="009772A3">
        <w:rPr>
          <w:rFonts w:asciiTheme="majorHAnsi" w:hAnsiTheme="majorHAnsi" w:cstheme="majorHAnsi"/>
          <w:sz w:val="24"/>
          <w:szCs w:val="24"/>
          <w:lang w:val="ro-MD"/>
        </w:rPr>
        <w:t xml:space="preserve">dolari </w:t>
      </w:r>
      <w:r w:rsidR="00820600" w:rsidRPr="009772A3">
        <w:rPr>
          <w:rFonts w:asciiTheme="majorHAnsi" w:hAnsiTheme="majorHAnsi" w:cstheme="majorHAnsi"/>
          <w:sz w:val="24"/>
          <w:szCs w:val="24"/>
          <w:lang w:val="ro-MD"/>
        </w:rPr>
        <w:t>SUA</w:t>
      </w:r>
      <w:r w:rsidR="00505F60" w:rsidRPr="009772A3">
        <w:rPr>
          <w:rFonts w:asciiTheme="majorHAnsi" w:hAnsiTheme="majorHAnsi" w:cstheme="majorHAnsi"/>
          <w:sz w:val="24"/>
          <w:szCs w:val="24"/>
          <w:lang w:val="ro-MD"/>
        </w:rPr>
        <w:t xml:space="preserve"> (</w:t>
      </w:r>
      <w:r w:rsidR="004E6542" w:rsidRPr="009772A3">
        <w:rPr>
          <w:rFonts w:asciiTheme="majorHAnsi" w:hAnsiTheme="majorHAnsi" w:cstheme="majorHAnsi"/>
          <w:sz w:val="24"/>
          <w:szCs w:val="24"/>
          <w:lang w:val="ro-MD"/>
        </w:rPr>
        <w:t xml:space="preserve">cca </w:t>
      </w:r>
      <w:r w:rsidR="00505F60" w:rsidRPr="009772A3">
        <w:rPr>
          <w:rFonts w:asciiTheme="majorHAnsi" w:hAnsiTheme="majorHAnsi" w:cstheme="majorHAnsi"/>
          <w:sz w:val="24"/>
          <w:szCs w:val="24"/>
          <w:lang w:val="ro-MD"/>
        </w:rPr>
        <w:t>11</w:t>
      </w:r>
      <w:r w:rsidR="00BB6C49" w:rsidRPr="009772A3">
        <w:rPr>
          <w:rFonts w:asciiTheme="majorHAnsi" w:hAnsiTheme="majorHAnsi" w:cstheme="majorHAnsi"/>
          <w:sz w:val="24"/>
          <w:szCs w:val="24"/>
          <w:lang w:val="ro-MD"/>
        </w:rPr>
        <w:t>1</w:t>
      </w:r>
      <w:r w:rsidR="004E6542" w:rsidRPr="009772A3">
        <w:rPr>
          <w:rFonts w:asciiTheme="majorHAnsi" w:hAnsiTheme="majorHAnsi" w:cstheme="majorHAnsi"/>
          <w:sz w:val="24"/>
          <w:szCs w:val="24"/>
          <w:lang w:val="ro-MD"/>
        </w:rPr>
        <w:t>.</w:t>
      </w:r>
      <w:r w:rsidR="00BB6C49" w:rsidRPr="009772A3">
        <w:rPr>
          <w:rFonts w:asciiTheme="majorHAnsi" w:hAnsiTheme="majorHAnsi" w:cstheme="majorHAnsi"/>
          <w:sz w:val="24"/>
          <w:szCs w:val="24"/>
          <w:lang w:val="ro-MD"/>
        </w:rPr>
        <w:t>749,0</w:t>
      </w:r>
      <w:r w:rsidR="00505F60" w:rsidRPr="009772A3">
        <w:rPr>
          <w:rFonts w:asciiTheme="majorHAnsi" w:hAnsiTheme="majorHAnsi" w:cstheme="majorHAnsi"/>
          <w:sz w:val="24"/>
          <w:szCs w:val="24"/>
          <w:lang w:val="ro-MD"/>
        </w:rPr>
        <w:t xml:space="preserve"> mi</w:t>
      </w:r>
      <w:r w:rsidR="004E6542" w:rsidRPr="009772A3">
        <w:rPr>
          <w:rFonts w:asciiTheme="majorHAnsi" w:hAnsiTheme="majorHAnsi" w:cstheme="majorHAnsi"/>
          <w:sz w:val="24"/>
          <w:szCs w:val="24"/>
          <w:lang w:val="ro-MD"/>
        </w:rPr>
        <w:t xml:space="preserve">i </w:t>
      </w:r>
      <w:r w:rsidR="00505F60" w:rsidRPr="009772A3">
        <w:rPr>
          <w:rFonts w:asciiTheme="majorHAnsi" w:hAnsiTheme="majorHAnsi" w:cstheme="majorHAnsi"/>
          <w:sz w:val="24"/>
          <w:szCs w:val="24"/>
          <w:lang w:val="ro-MD"/>
        </w:rPr>
        <w:t>lei)</w:t>
      </w:r>
      <w:r w:rsidR="00820600" w:rsidRPr="009772A3">
        <w:rPr>
          <w:rFonts w:asciiTheme="majorHAnsi" w:hAnsiTheme="majorHAnsi" w:cstheme="majorHAnsi"/>
          <w:sz w:val="24"/>
          <w:szCs w:val="24"/>
          <w:lang w:val="ro-MD"/>
        </w:rPr>
        <w:t>,</w:t>
      </w:r>
      <w:r w:rsidR="00505F60" w:rsidRPr="009772A3">
        <w:rPr>
          <w:rFonts w:asciiTheme="majorHAnsi" w:hAnsiTheme="majorHAnsi" w:cstheme="majorHAnsi"/>
          <w:sz w:val="24"/>
          <w:szCs w:val="24"/>
          <w:lang w:val="ro-MD"/>
        </w:rPr>
        <w:t xml:space="preserve"> </w:t>
      </w:r>
      <w:r w:rsidR="00ED131F" w:rsidRPr="009772A3">
        <w:rPr>
          <w:rFonts w:asciiTheme="majorHAnsi" w:hAnsiTheme="majorHAnsi" w:cstheme="majorHAnsi"/>
          <w:sz w:val="24"/>
          <w:szCs w:val="24"/>
          <w:lang w:val="ro-MD"/>
        </w:rPr>
        <w:t>a fost majorată în total cu 1.</w:t>
      </w:r>
      <w:r w:rsidR="00BB6C49" w:rsidRPr="009772A3">
        <w:rPr>
          <w:rFonts w:asciiTheme="majorHAnsi" w:hAnsiTheme="majorHAnsi" w:cstheme="majorHAnsi"/>
          <w:sz w:val="24"/>
          <w:szCs w:val="24"/>
          <w:lang w:val="ro-MD"/>
        </w:rPr>
        <w:t>291,2</w:t>
      </w:r>
      <w:r w:rsidR="00505F60" w:rsidRPr="009772A3">
        <w:rPr>
          <w:rFonts w:asciiTheme="majorHAnsi" w:hAnsiTheme="majorHAnsi" w:cstheme="majorHAnsi"/>
          <w:sz w:val="24"/>
          <w:szCs w:val="24"/>
          <w:lang w:val="ro-MD"/>
        </w:rPr>
        <w:t xml:space="preserve"> mi</w:t>
      </w:r>
      <w:r w:rsidR="00ED131F" w:rsidRPr="009772A3">
        <w:rPr>
          <w:rFonts w:asciiTheme="majorHAnsi" w:hAnsiTheme="majorHAnsi" w:cstheme="majorHAnsi"/>
          <w:sz w:val="24"/>
          <w:szCs w:val="24"/>
          <w:lang w:val="ro-MD"/>
        </w:rPr>
        <w:t>i</w:t>
      </w:r>
      <w:r w:rsidR="001E50ED" w:rsidRPr="009772A3">
        <w:rPr>
          <w:rFonts w:asciiTheme="majorHAnsi" w:hAnsiTheme="majorHAnsi" w:cstheme="majorHAnsi"/>
          <w:sz w:val="24"/>
          <w:szCs w:val="24"/>
          <w:lang w:val="ro-MD"/>
        </w:rPr>
        <w:t xml:space="preserve"> dolari SUA.</w:t>
      </w:r>
      <w:r w:rsidR="00BD7D59" w:rsidRPr="009772A3">
        <w:rPr>
          <w:rFonts w:asciiTheme="majorHAnsi" w:hAnsiTheme="majorHAnsi" w:cstheme="majorHAnsi"/>
          <w:sz w:val="24"/>
          <w:szCs w:val="24"/>
          <w:lang w:val="ro-MD"/>
        </w:rPr>
        <w:t xml:space="preserve"> </w:t>
      </w:r>
      <w:r w:rsidR="00820600" w:rsidRPr="009772A3">
        <w:rPr>
          <w:rFonts w:asciiTheme="majorHAnsi" w:hAnsiTheme="majorHAnsi" w:cstheme="majorHAnsi"/>
          <w:sz w:val="24"/>
          <w:szCs w:val="24"/>
          <w:lang w:val="ro-MD"/>
        </w:rPr>
        <w:t>L</w:t>
      </w:r>
      <w:r w:rsidR="00505F60" w:rsidRPr="009772A3">
        <w:rPr>
          <w:rFonts w:asciiTheme="majorHAnsi" w:hAnsiTheme="majorHAnsi" w:cstheme="majorHAnsi"/>
          <w:sz w:val="24"/>
          <w:szCs w:val="24"/>
          <w:lang w:val="ro-MD"/>
        </w:rPr>
        <w:t xml:space="preserve">a etapa </w:t>
      </w:r>
      <w:r w:rsidR="00820600" w:rsidRPr="009772A3">
        <w:rPr>
          <w:rFonts w:asciiTheme="majorHAnsi" w:hAnsiTheme="majorHAnsi" w:cstheme="majorHAnsi"/>
          <w:sz w:val="24"/>
          <w:szCs w:val="24"/>
          <w:lang w:val="ro-MD"/>
        </w:rPr>
        <w:t xml:space="preserve">a </w:t>
      </w:r>
      <w:r w:rsidR="00505F60" w:rsidRPr="009772A3">
        <w:rPr>
          <w:rFonts w:asciiTheme="majorHAnsi" w:hAnsiTheme="majorHAnsi" w:cstheme="majorHAnsi"/>
          <w:sz w:val="24"/>
          <w:szCs w:val="24"/>
          <w:lang w:val="ro-MD"/>
        </w:rPr>
        <w:t>II</w:t>
      </w:r>
      <w:r w:rsidR="00820600" w:rsidRPr="009772A3">
        <w:rPr>
          <w:rFonts w:asciiTheme="majorHAnsi" w:hAnsiTheme="majorHAnsi" w:cstheme="majorHAnsi"/>
          <w:sz w:val="24"/>
          <w:szCs w:val="24"/>
          <w:lang w:val="ro-MD"/>
        </w:rPr>
        <w:t>-a</w:t>
      </w:r>
      <w:r w:rsidR="001E50ED" w:rsidRPr="009772A3">
        <w:rPr>
          <w:rFonts w:asciiTheme="majorHAnsi" w:hAnsiTheme="majorHAnsi" w:cstheme="majorHAnsi"/>
          <w:sz w:val="24"/>
          <w:szCs w:val="24"/>
          <w:lang w:val="ro-MD"/>
        </w:rPr>
        <w:t xml:space="preserve"> de executare a lucrărilor</w:t>
      </w:r>
      <w:r w:rsidR="00505F60" w:rsidRPr="009772A3">
        <w:rPr>
          <w:rFonts w:asciiTheme="majorHAnsi" w:hAnsiTheme="majorHAnsi" w:cstheme="majorHAnsi"/>
          <w:sz w:val="24"/>
          <w:szCs w:val="24"/>
          <w:lang w:val="ro-MD"/>
        </w:rPr>
        <w:t xml:space="preserve">, contractul de lucrări din 13.10.2017 </w:t>
      </w:r>
      <w:r w:rsidR="0087028E" w:rsidRPr="009772A3">
        <w:rPr>
          <w:rFonts w:asciiTheme="majorHAnsi" w:hAnsiTheme="majorHAnsi" w:cstheme="majorHAnsi"/>
          <w:sz w:val="24"/>
          <w:szCs w:val="24"/>
          <w:lang w:val="ro-MD"/>
        </w:rPr>
        <w:t>în sumă de 8.632,4 mii dolari SUA (cca 149.340,0 mii lei)</w:t>
      </w:r>
      <w:r w:rsidR="0087028E">
        <w:rPr>
          <w:rFonts w:asciiTheme="majorHAnsi" w:hAnsiTheme="majorHAnsi" w:cstheme="majorHAnsi"/>
          <w:sz w:val="24"/>
          <w:szCs w:val="24"/>
          <w:lang w:val="ro-MD"/>
        </w:rPr>
        <w:t xml:space="preserve"> </w:t>
      </w:r>
      <w:r w:rsidR="00505F60" w:rsidRPr="009772A3">
        <w:rPr>
          <w:rFonts w:asciiTheme="majorHAnsi" w:hAnsiTheme="majorHAnsi" w:cstheme="majorHAnsi"/>
          <w:sz w:val="24"/>
          <w:szCs w:val="24"/>
          <w:lang w:val="ro-MD"/>
        </w:rPr>
        <w:t>a fost majorat p</w:t>
      </w:r>
      <w:r w:rsidR="002D5990" w:rsidRPr="009772A3">
        <w:rPr>
          <w:rFonts w:asciiTheme="majorHAnsi" w:hAnsiTheme="majorHAnsi" w:cstheme="majorHAnsi"/>
          <w:sz w:val="24"/>
          <w:szCs w:val="24"/>
          <w:lang w:val="ro-MD"/>
        </w:rPr>
        <w:t>rin acordul adițional din 13.05.</w:t>
      </w:r>
      <w:r w:rsidR="00ED131F" w:rsidRPr="009772A3">
        <w:rPr>
          <w:rFonts w:asciiTheme="majorHAnsi" w:hAnsiTheme="majorHAnsi" w:cstheme="majorHAnsi"/>
          <w:sz w:val="24"/>
          <w:szCs w:val="24"/>
          <w:lang w:val="ro-MD"/>
        </w:rPr>
        <w:t>2019 cu suma de 1.</w:t>
      </w:r>
      <w:r w:rsidR="00505F60" w:rsidRPr="009772A3">
        <w:rPr>
          <w:rFonts w:asciiTheme="majorHAnsi" w:hAnsiTheme="majorHAnsi" w:cstheme="majorHAnsi"/>
          <w:sz w:val="24"/>
          <w:szCs w:val="24"/>
          <w:lang w:val="ro-MD"/>
        </w:rPr>
        <w:t>7</w:t>
      </w:r>
      <w:r w:rsidR="00ED131F" w:rsidRPr="009772A3">
        <w:rPr>
          <w:rFonts w:asciiTheme="majorHAnsi" w:hAnsiTheme="majorHAnsi" w:cstheme="majorHAnsi"/>
          <w:sz w:val="24"/>
          <w:szCs w:val="24"/>
          <w:lang w:val="ro-MD"/>
        </w:rPr>
        <w:t>0</w:t>
      </w:r>
      <w:r w:rsidR="00BB6C49" w:rsidRPr="009772A3">
        <w:rPr>
          <w:rFonts w:asciiTheme="majorHAnsi" w:hAnsiTheme="majorHAnsi" w:cstheme="majorHAnsi"/>
          <w:sz w:val="24"/>
          <w:szCs w:val="24"/>
          <w:lang w:val="ro-MD"/>
        </w:rPr>
        <w:t>2,3</w:t>
      </w:r>
      <w:r w:rsidR="00505F60" w:rsidRPr="009772A3">
        <w:rPr>
          <w:rFonts w:asciiTheme="majorHAnsi" w:hAnsiTheme="majorHAnsi" w:cstheme="majorHAnsi"/>
          <w:sz w:val="24"/>
          <w:szCs w:val="24"/>
          <w:lang w:val="ro-MD"/>
        </w:rPr>
        <w:t xml:space="preserve"> mi</w:t>
      </w:r>
      <w:r w:rsidR="00ED131F" w:rsidRPr="009772A3">
        <w:rPr>
          <w:rFonts w:asciiTheme="majorHAnsi" w:hAnsiTheme="majorHAnsi" w:cstheme="majorHAnsi"/>
          <w:sz w:val="24"/>
          <w:szCs w:val="24"/>
          <w:lang w:val="ro-MD"/>
        </w:rPr>
        <w:t>i</w:t>
      </w:r>
      <w:r w:rsidR="00505F60" w:rsidRPr="009772A3">
        <w:rPr>
          <w:rFonts w:asciiTheme="majorHAnsi" w:hAnsiTheme="majorHAnsi" w:cstheme="majorHAnsi"/>
          <w:sz w:val="24"/>
          <w:szCs w:val="24"/>
          <w:lang w:val="ro-MD"/>
        </w:rPr>
        <w:t xml:space="preserve"> dolari SUA</w:t>
      </w:r>
      <w:r w:rsidR="00182A20">
        <w:rPr>
          <w:rFonts w:asciiTheme="majorHAnsi" w:hAnsiTheme="majorHAnsi" w:cstheme="majorHAnsi"/>
          <w:sz w:val="24"/>
          <w:szCs w:val="24"/>
          <w:lang w:val="ro-MD"/>
        </w:rPr>
        <w:t>. Î</w:t>
      </w:r>
      <w:r w:rsidR="00C709C5" w:rsidRPr="009772A3">
        <w:rPr>
          <w:rFonts w:asciiTheme="majorHAnsi" w:hAnsiTheme="majorHAnsi" w:cstheme="majorHAnsi"/>
          <w:sz w:val="24"/>
          <w:szCs w:val="24"/>
          <w:lang w:val="ro-MD"/>
        </w:rPr>
        <w:t xml:space="preserve">n total </w:t>
      </w:r>
      <w:r w:rsidR="00182A20">
        <w:rPr>
          <w:rFonts w:asciiTheme="majorHAnsi" w:hAnsiTheme="majorHAnsi" w:cstheme="majorHAnsi"/>
          <w:sz w:val="24"/>
          <w:szCs w:val="24"/>
          <w:lang w:val="ro-MD"/>
        </w:rPr>
        <w:t>valoarea contractelor a fost majorat</w:t>
      </w:r>
      <w:r w:rsidR="00A86349">
        <w:rPr>
          <w:rFonts w:asciiTheme="majorHAnsi" w:hAnsiTheme="majorHAnsi" w:cstheme="majorHAnsi"/>
          <w:sz w:val="24"/>
          <w:szCs w:val="24"/>
          <w:lang w:val="ro-MD"/>
        </w:rPr>
        <w:t>ă</w:t>
      </w:r>
      <w:r w:rsidR="00182A20">
        <w:rPr>
          <w:rFonts w:asciiTheme="majorHAnsi" w:hAnsiTheme="majorHAnsi" w:cstheme="majorHAnsi"/>
          <w:sz w:val="24"/>
          <w:szCs w:val="24"/>
          <w:lang w:val="ro-MD"/>
        </w:rPr>
        <w:t xml:space="preserve"> </w:t>
      </w:r>
      <w:r w:rsidR="00C709C5" w:rsidRPr="009772A3">
        <w:rPr>
          <w:rFonts w:asciiTheme="majorHAnsi" w:hAnsiTheme="majorHAnsi" w:cstheme="majorHAnsi"/>
          <w:sz w:val="24"/>
          <w:szCs w:val="24"/>
          <w:lang w:val="ro-MD"/>
        </w:rPr>
        <w:t xml:space="preserve">cu </w:t>
      </w:r>
      <w:r w:rsidR="00182A20">
        <w:rPr>
          <w:rFonts w:asciiTheme="majorHAnsi" w:hAnsiTheme="majorHAnsi" w:cstheme="majorHAnsi"/>
          <w:sz w:val="24"/>
          <w:szCs w:val="24"/>
          <w:lang w:val="ro-MD"/>
        </w:rPr>
        <w:t xml:space="preserve">2.993,4 </w:t>
      </w:r>
      <w:r w:rsidR="00182A20" w:rsidRPr="009772A3">
        <w:rPr>
          <w:rFonts w:asciiTheme="majorHAnsi" w:hAnsiTheme="majorHAnsi" w:cstheme="majorHAnsi"/>
          <w:sz w:val="24"/>
          <w:szCs w:val="24"/>
          <w:lang w:val="ro-MD"/>
        </w:rPr>
        <w:t>mii dolari SUA</w:t>
      </w:r>
      <w:r w:rsidR="00A86349">
        <w:rPr>
          <w:rFonts w:asciiTheme="majorHAnsi" w:hAnsiTheme="majorHAnsi" w:cstheme="majorHAnsi"/>
          <w:sz w:val="24"/>
          <w:szCs w:val="24"/>
          <w:lang w:val="ro-MD"/>
        </w:rPr>
        <w:t>,</w:t>
      </w:r>
      <w:r w:rsidR="00182A20" w:rsidRPr="009772A3">
        <w:rPr>
          <w:rFonts w:asciiTheme="majorHAnsi" w:hAnsiTheme="majorHAnsi" w:cstheme="majorHAnsi"/>
          <w:sz w:val="24"/>
          <w:szCs w:val="24"/>
          <w:lang w:val="ro-MD"/>
        </w:rPr>
        <w:t xml:space="preserve"> </w:t>
      </w:r>
      <w:r w:rsidR="00182A20">
        <w:rPr>
          <w:rFonts w:asciiTheme="majorHAnsi" w:hAnsiTheme="majorHAnsi" w:cstheme="majorHAnsi"/>
          <w:sz w:val="24"/>
          <w:szCs w:val="24"/>
          <w:lang w:val="ro-MD"/>
        </w:rPr>
        <w:t>sau</w:t>
      </w:r>
      <w:r w:rsidR="00A86349">
        <w:rPr>
          <w:rFonts w:asciiTheme="majorHAnsi" w:hAnsiTheme="majorHAnsi" w:cstheme="majorHAnsi"/>
          <w:sz w:val="24"/>
          <w:szCs w:val="24"/>
          <w:lang w:val="ro-MD"/>
        </w:rPr>
        <w:t xml:space="preserve"> cu</w:t>
      </w:r>
      <w:r w:rsidR="00182A20">
        <w:rPr>
          <w:rFonts w:asciiTheme="majorHAnsi" w:hAnsiTheme="majorHAnsi" w:cstheme="majorHAnsi"/>
          <w:sz w:val="24"/>
          <w:szCs w:val="24"/>
          <w:lang w:val="ro-MD"/>
        </w:rPr>
        <w:t xml:space="preserve"> </w:t>
      </w:r>
      <w:r w:rsidR="00C709C5" w:rsidRPr="009772A3">
        <w:rPr>
          <w:rFonts w:asciiTheme="majorHAnsi" w:hAnsiTheme="majorHAnsi" w:cstheme="majorHAnsi"/>
          <w:sz w:val="24"/>
          <w:szCs w:val="24"/>
          <w:lang w:val="ro-MD"/>
        </w:rPr>
        <w:t>51.787,6 mii lei</w:t>
      </w:r>
      <w:r w:rsidR="00505F60" w:rsidRPr="009772A3">
        <w:rPr>
          <w:rFonts w:asciiTheme="majorHAnsi" w:hAnsiTheme="majorHAnsi" w:cstheme="majorHAnsi"/>
          <w:sz w:val="24"/>
          <w:szCs w:val="24"/>
          <w:lang w:val="ro-MD"/>
        </w:rPr>
        <w:t xml:space="preserve">. </w:t>
      </w:r>
      <w:r w:rsidR="00182A20" w:rsidRPr="009772A3">
        <w:rPr>
          <w:rFonts w:asciiTheme="majorHAnsi" w:hAnsiTheme="majorHAnsi" w:cstheme="majorHAnsi"/>
          <w:sz w:val="24"/>
          <w:szCs w:val="24"/>
          <w:lang w:val="ro-MD"/>
        </w:rPr>
        <w:t>Ca rezultat al majorării, valoarea contractelor a însumat în total 18.085,4 mii dolari SUA, sau cca 312.877,4 mii lei, fiind mai mare cu 33.577,4 mii lei decât costul de deviz. Auditul a relevat că, contractele adiționale au fost încheiate în baza negocierilor directe cu operatorul economic care efectua lucrările respective.</w:t>
      </w:r>
    </w:p>
    <w:p w14:paraId="0B995549" w14:textId="72163BB9" w:rsidR="00B74AEF" w:rsidRPr="009772A3" w:rsidRDefault="00B74AEF" w:rsidP="00B74AE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Potrivit explicațiilor SRL Moldovatransgaz, încheierea </w:t>
      </w:r>
      <w:r w:rsidR="0087028E" w:rsidRPr="009772A3">
        <w:rPr>
          <w:rFonts w:asciiTheme="majorHAnsi" w:hAnsiTheme="majorHAnsi" w:cstheme="majorHAnsi"/>
          <w:sz w:val="24"/>
          <w:szCs w:val="24"/>
          <w:lang w:val="ro-MD"/>
        </w:rPr>
        <w:t>acordu</w:t>
      </w:r>
      <w:r w:rsidR="0087028E">
        <w:rPr>
          <w:rFonts w:asciiTheme="majorHAnsi" w:hAnsiTheme="majorHAnsi" w:cstheme="majorHAnsi"/>
          <w:sz w:val="24"/>
          <w:szCs w:val="24"/>
          <w:lang w:val="ro-MD"/>
        </w:rPr>
        <w:t>rilor</w:t>
      </w:r>
      <w:r w:rsidR="0087028E"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adițional</w:t>
      </w:r>
      <w:r w:rsidR="0087028E">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la contract</w:t>
      </w:r>
      <w:r w:rsidR="0087028E">
        <w:rPr>
          <w:rFonts w:asciiTheme="majorHAnsi" w:hAnsiTheme="majorHAnsi" w:cstheme="majorHAnsi"/>
          <w:sz w:val="24"/>
          <w:szCs w:val="24"/>
          <w:lang w:val="ro-MD"/>
        </w:rPr>
        <w:t>e</w:t>
      </w:r>
      <w:r w:rsidRPr="009772A3">
        <w:rPr>
          <w:rFonts w:asciiTheme="majorHAnsi" w:hAnsiTheme="majorHAnsi" w:cstheme="majorHAnsi"/>
          <w:sz w:val="24"/>
          <w:szCs w:val="24"/>
          <w:lang w:val="ro-MD"/>
        </w:rPr>
        <w:t>l</w:t>
      </w:r>
      <w:r w:rsidR="0087028E">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de renovare a țevilor, a fost motivată de faptul că lungimea țevilor defectate s-a constatat a fi mai mare decât ce</w:t>
      </w:r>
      <w:r w:rsidR="00820600"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planificat</w:t>
      </w:r>
      <w:r w:rsidR="00820600"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prin metoda extrapolării, fapt care a impus majorarea </w:t>
      </w:r>
      <w:r w:rsidR="00182A20" w:rsidRPr="009772A3">
        <w:rPr>
          <w:rFonts w:asciiTheme="majorHAnsi" w:hAnsiTheme="majorHAnsi" w:cstheme="majorHAnsi"/>
          <w:sz w:val="24"/>
          <w:szCs w:val="24"/>
          <w:lang w:val="ro-MD"/>
        </w:rPr>
        <w:t>volumul</w:t>
      </w:r>
      <w:r w:rsidR="00182A20">
        <w:rPr>
          <w:rFonts w:asciiTheme="majorHAnsi" w:hAnsiTheme="majorHAnsi" w:cstheme="majorHAnsi"/>
          <w:sz w:val="24"/>
          <w:szCs w:val="24"/>
          <w:lang w:val="ro-MD"/>
        </w:rPr>
        <w:t>ui</w:t>
      </w:r>
      <w:r w:rsidR="00182A20" w:rsidRPr="009772A3">
        <w:rPr>
          <w:rFonts w:asciiTheme="majorHAnsi" w:hAnsiTheme="majorHAnsi" w:cstheme="majorHAnsi"/>
          <w:sz w:val="24"/>
          <w:szCs w:val="24"/>
          <w:lang w:val="ro-MD"/>
        </w:rPr>
        <w:t xml:space="preserve"> lucrărilor de instalare a țevilor noi și micșora</w:t>
      </w:r>
      <w:r w:rsidR="00182A20">
        <w:rPr>
          <w:rFonts w:asciiTheme="majorHAnsi" w:hAnsiTheme="majorHAnsi" w:cstheme="majorHAnsi"/>
          <w:sz w:val="24"/>
          <w:szCs w:val="24"/>
          <w:lang w:val="ro-MD"/>
        </w:rPr>
        <w:t>rea</w:t>
      </w:r>
      <w:r w:rsidR="00182A20" w:rsidRPr="009772A3">
        <w:rPr>
          <w:rFonts w:asciiTheme="majorHAnsi" w:hAnsiTheme="majorHAnsi" w:cstheme="majorHAnsi"/>
          <w:sz w:val="24"/>
          <w:szCs w:val="24"/>
          <w:lang w:val="ro-MD"/>
        </w:rPr>
        <w:t xml:space="preserve"> volumul</w:t>
      </w:r>
      <w:r w:rsidR="00182A20">
        <w:rPr>
          <w:rFonts w:asciiTheme="majorHAnsi" w:hAnsiTheme="majorHAnsi" w:cstheme="majorHAnsi"/>
          <w:sz w:val="24"/>
          <w:szCs w:val="24"/>
          <w:lang w:val="ro-MD"/>
        </w:rPr>
        <w:t>ui</w:t>
      </w:r>
      <w:r w:rsidR="00182A20" w:rsidRPr="009772A3">
        <w:rPr>
          <w:rFonts w:asciiTheme="majorHAnsi" w:hAnsiTheme="majorHAnsi" w:cstheme="majorHAnsi"/>
          <w:sz w:val="24"/>
          <w:szCs w:val="24"/>
          <w:lang w:val="ro-MD"/>
        </w:rPr>
        <w:t xml:space="preserve"> lucrărilor de renovare.</w:t>
      </w:r>
    </w:p>
    <w:p w14:paraId="00032224" w14:textId="53FBAE84" w:rsidR="00FD1AA6" w:rsidRPr="009772A3" w:rsidRDefault="00505F60" w:rsidP="00B741B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Analogic, a fost majorat prin acorduri adiționale</w:t>
      </w:r>
      <w:r w:rsidR="004240A5" w:rsidRPr="009772A3">
        <w:rPr>
          <w:rFonts w:asciiTheme="majorHAnsi" w:hAnsiTheme="majorHAnsi" w:cstheme="majorHAnsi"/>
          <w:sz w:val="24"/>
          <w:szCs w:val="24"/>
          <w:lang w:val="ro-MD"/>
        </w:rPr>
        <w:t xml:space="preserve"> și</w:t>
      </w:r>
      <w:r w:rsidRPr="009772A3">
        <w:rPr>
          <w:rFonts w:asciiTheme="majorHAnsi" w:hAnsiTheme="majorHAnsi" w:cstheme="majorHAnsi"/>
          <w:sz w:val="24"/>
          <w:szCs w:val="24"/>
          <w:lang w:val="ro-MD"/>
        </w:rPr>
        <w:t xml:space="preserve"> contractul </w:t>
      </w:r>
      <w:r w:rsidR="00820600" w:rsidRPr="009772A3">
        <w:rPr>
          <w:rFonts w:asciiTheme="majorHAnsi" w:hAnsiTheme="majorHAnsi" w:cstheme="majorHAnsi"/>
          <w:sz w:val="24"/>
          <w:szCs w:val="24"/>
          <w:lang w:val="ro-MD"/>
        </w:rPr>
        <w:t xml:space="preserve">privind reparația capitală a conductelor magistrale de gaze naturale </w:t>
      </w:r>
      <w:r w:rsidR="004A47DD" w:rsidRPr="009772A3">
        <w:rPr>
          <w:rFonts w:asciiTheme="majorHAnsi" w:hAnsiTheme="majorHAnsi" w:cstheme="majorHAnsi"/>
          <w:sz w:val="24"/>
          <w:szCs w:val="24"/>
          <w:lang w:val="ro-MD"/>
        </w:rPr>
        <w:t xml:space="preserve">nr.68-SJ </w:t>
      </w:r>
      <w:r w:rsidR="00C1146D" w:rsidRPr="009772A3">
        <w:rPr>
          <w:rFonts w:asciiTheme="majorHAnsi" w:hAnsiTheme="majorHAnsi" w:cstheme="majorHAnsi"/>
          <w:sz w:val="24"/>
          <w:szCs w:val="24"/>
          <w:lang w:val="ro-MD"/>
        </w:rPr>
        <w:t>din 20.07.2015</w:t>
      </w:r>
      <w:r w:rsidR="00820600" w:rsidRPr="009772A3">
        <w:rPr>
          <w:rFonts w:asciiTheme="majorHAnsi" w:hAnsiTheme="majorHAnsi" w:cstheme="majorHAnsi"/>
          <w:sz w:val="24"/>
          <w:szCs w:val="24"/>
          <w:lang w:val="ro-MD"/>
        </w:rPr>
        <w:t>,</w:t>
      </w:r>
      <w:r w:rsidR="00C1146D" w:rsidRPr="009772A3">
        <w:rPr>
          <w:rFonts w:asciiTheme="majorHAnsi" w:hAnsiTheme="majorHAnsi" w:cstheme="majorHAnsi"/>
          <w:sz w:val="24"/>
          <w:szCs w:val="24"/>
          <w:lang w:val="ro-MD"/>
        </w:rPr>
        <w:t xml:space="preserve"> în valoare de 13.</w:t>
      </w:r>
      <w:r w:rsidRPr="009772A3">
        <w:rPr>
          <w:rFonts w:asciiTheme="majorHAnsi" w:hAnsiTheme="majorHAnsi" w:cstheme="majorHAnsi"/>
          <w:sz w:val="24"/>
          <w:szCs w:val="24"/>
          <w:lang w:val="ro-MD"/>
        </w:rPr>
        <w:t>9</w:t>
      </w:r>
      <w:r w:rsidR="004A47DD" w:rsidRPr="009772A3">
        <w:rPr>
          <w:rFonts w:asciiTheme="majorHAnsi" w:hAnsiTheme="majorHAnsi" w:cstheme="majorHAnsi"/>
          <w:sz w:val="24"/>
          <w:szCs w:val="24"/>
          <w:lang w:val="ro-MD"/>
        </w:rPr>
        <w:t>76,3</w:t>
      </w:r>
      <w:r w:rsidRPr="009772A3">
        <w:rPr>
          <w:rFonts w:asciiTheme="majorHAnsi" w:hAnsiTheme="majorHAnsi" w:cstheme="majorHAnsi"/>
          <w:sz w:val="24"/>
          <w:szCs w:val="24"/>
          <w:lang w:val="ro-MD"/>
        </w:rPr>
        <w:t xml:space="preserve"> mi</w:t>
      </w:r>
      <w:r w:rsidR="00C1146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dolari SUA</w:t>
      </w:r>
      <w:r w:rsidR="0082060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suma de 2</w:t>
      </w:r>
      <w:r w:rsidR="00C1146D" w:rsidRPr="009772A3">
        <w:rPr>
          <w:rFonts w:asciiTheme="majorHAnsi" w:hAnsiTheme="majorHAnsi" w:cstheme="majorHAnsi"/>
          <w:sz w:val="24"/>
          <w:szCs w:val="24"/>
          <w:lang w:val="ro-MD"/>
        </w:rPr>
        <w:t>.</w:t>
      </w:r>
      <w:r w:rsidR="004A47DD" w:rsidRPr="009772A3">
        <w:rPr>
          <w:rFonts w:asciiTheme="majorHAnsi" w:hAnsiTheme="majorHAnsi" w:cstheme="majorHAnsi"/>
          <w:sz w:val="24"/>
          <w:szCs w:val="24"/>
          <w:lang w:val="ro-MD"/>
        </w:rPr>
        <w:t>012,2</w:t>
      </w:r>
      <w:r w:rsidRPr="009772A3">
        <w:rPr>
          <w:rFonts w:asciiTheme="majorHAnsi" w:hAnsiTheme="majorHAnsi" w:cstheme="majorHAnsi"/>
          <w:sz w:val="24"/>
          <w:szCs w:val="24"/>
          <w:lang w:val="ro-MD"/>
        </w:rPr>
        <w:t xml:space="preserve"> mi</w:t>
      </w:r>
      <w:r w:rsidR="00C1146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dolari SUA</w:t>
      </w:r>
      <w:r w:rsidR="00820600" w:rsidRPr="009772A3">
        <w:rPr>
          <w:rFonts w:asciiTheme="majorHAnsi" w:hAnsiTheme="majorHAnsi" w:cstheme="majorHAnsi"/>
          <w:sz w:val="24"/>
          <w:szCs w:val="24"/>
          <w:lang w:val="ro-MD"/>
        </w:rPr>
        <w:t>,</w:t>
      </w:r>
      <w:r w:rsidR="00910B60" w:rsidRPr="009772A3">
        <w:rPr>
          <w:rFonts w:asciiTheme="majorHAnsi" w:hAnsiTheme="majorHAnsi" w:cstheme="majorHAnsi"/>
          <w:sz w:val="24"/>
          <w:szCs w:val="24"/>
          <w:lang w:val="ro-MD"/>
        </w:rPr>
        <w:t xml:space="preserve"> sau </w:t>
      </w:r>
      <w:r w:rsidR="00820600" w:rsidRPr="009772A3">
        <w:rPr>
          <w:rFonts w:asciiTheme="majorHAnsi" w:hAnsiTheme="majorHAnsi" w:cstheme="majorHAnsi"/>
          <w:sz w:val="24"/>
          <w:szCs w:val="24"/>
          <w:lang w:val="ro-MD"/>
        </w:rPr>
        <w:t xml:space="preserve">cu </w:t>
      </w:r>
      <w:r w:rsidR="00910B60" w:rsidRPr="009772A3">
        <w:rPr>
          <w:rFonts w:asciiTheme="majorHAnsi" w:hAnsiTheme="majorHAnsi" w:cstheme="majorHAnsi"/>
          <w:sz w:val="24"/>
          <w:szCs w:val="24"/>
          <w:lang w:val="ro-MD"/>
        </w:rPr>
        <w:t>3</w:t>
      </w:r>
      <w:r w:rsidR="00C709C5" w:rsidRPr="009772A3">
        <w:rPr>
          <w:rFonts w:asciiTheme="majorHAnsi" w:hAnsiTheme="majorHAnsi" w:cstheme="majorHAnsi"/>
          <w:sz w:val="24"/>
          <w:szCs w:val="24"/>
          <w:lang w:val="ro-MD"/>
        </w:rPr>
        <w:t>7</w:t>
      </w:r>
      <w:r w:rsidR="00910B60" w:rsidRPr="009772A3">
        <w:rPr>
          <w:rFonts w:asciiTheme="majorHAnsi" w:hAnsiTheme="majorHAnsi" w:cstheme="majorHAnsi"/>
          <w:sz w:val="24"/>
          <w:szCs w:val="24"/>
          <w:lang w:val="ro-MD"/>
        </w:rPr>
        <w:t>.</w:t>
      </w:r>
      <w:r w:rsidR="00C709C5" w:rsidRPr="009772A3">
        <w:rPr>
          <w:rFonts w:asciiTheme="majorHAnsi" w:hAnsiTheme="majorHAnsi" w:cstheme="majorHAnsi"/>
          <w:sz w:val="24"/>
          <w:szCs w:val="24"/>
          <w:lang w:val="ro-MD"/>
        </w:rPr>
        <w:t>682</w:t>
      </w:r>
      <w:r w:rsidR="00910B60" w:rsidRPr="009772A3">
        <w:rPr>
          <w:rFonts w:asciiTheme="majorHAnsi" w:hAnsiTheme="majorHAnsi" w:cstheme="majorHAnsi"/>
          <w:sz w:val="24"/>
          <w:szCs w:val="24"/>
          <w:lang w:val="ro-MD"/>
        </w:rPr>
        <w:t>,</w:t>
      </w:r>
      <w:r w:rsidR="00C709C5" w:rsidRPr="009772A3">
        <w:rPr>
          <w:rFonts w:asciiTheme="majorHAnsi" w:hAnsiTheme="majorHAnsi" w:cstheme="majorHAnsi"/>
          <w:sz w:val="24"/>
          <w:szCs w:val="24"/>
          <w:lang w:val="ro-MD"/>
        </w:rPr>
        <w:t>3</w:t>
      </w:r>
      <w:r w:rsidR="00910B60" w:rsidRPr="009772A3">
        <w:rPr>
          <w:rFonts w:asciiTheme="majorHAnsi" w:hAnsiTheme="majorHAnsi" w:cstheme="majorHAnsi"/>
          <w:sz w:val="24"/>
          <w:szCs w:val="24"/>
          <w:lang w:val="ro-MD"/>
        </w:rPr>
        <w:t xml:space="preserve"> mii lei</w:t>
      </w:r>
      <w:r w:rsidR="00820600" w:rsidRPr="009772A3">
        <w:rPr>
          <w:rFonts w:asciiTheme="majorHAnsi" w:hAnsiTheme="majorHAnsi" w:cstheme="majorHAnsi"/>
          <w:sz w:val="24"/>
          <w:szCs w:val="24"/>
          <w:lang w:val="ro-MD"/>
        </w:rPr>
        <w:t>.</w:t>
      </w:r>
    </w:p>
    <w:p w14:paraId="5751046C" w14:textId="78D284A5" w:rsidR="00723DE9" w:rsidRPr="009772A3" w:rsidRDefault="00131B5C" w:rsidP="00177F61">
      <w:pPr>
        <w:pStyle w:val="Heading1"/>
        <w:numPr>
          <w:ilvl w:val="3"/>
          <w:numId w:val="2"/>
        </w:numPr>
        <w:tabs>
          <w:tab w:val="left" w:pos="851"/>
        </w:tabs>
        <w:spacing w:line="276" w:lineRule="auto"/>
        <w:ind w:left="0" w:firstLine="0"/>
        <w:jc w:val="both"/>
        <w:rPr>
          <w:i/>
          <w:color w:val="auto"/>
          <w:lang w:val="ro-MD"/>
        </w:rPr>
      </w:pPr>
      <w:bookmarkStart w:id="81" w:name="_Toc118964612"/>
      <w:bookmarkStart w:id="82" w:name="_Toc118977822"/>
      <w:bookmarkStart w:id="83" w:name="_Toc119245404"/>
      <w:bookmarkStart w:id="84" w:name="_Toc119496411"/>
      <w:bookmarkEnd w:id="81"/>
      <w:bookmarkEnd w:id="82"/>
      <w:bookmarkEnd w:id="83"/>
      <w:r w:rsidRPr="009772A3">
        <w:rPr>
          <w:i/>
          <w:color w:val="auto"/>
          <w:szCs w:val="24"/>
          <w:lang w:val="ro-MD"/>
        </w:rPr>
        <w:t>Î</w:t>
      </w:r>
      <w:r w:rsidR="00723DE9" w:rsidRPr="009772A3">
        <w:rPr>
          <w:i/>
          <w:color w:val="auto"/>
          <w:szCs w:val="24"/>
          <w:lang w:val="ro-MD"/>
        </w:rPr>
        <w:t>n costul lucrărilor de reparație capitală a infrastructurii de transport a</w:t>
      </w:r>
      <w:r w:rsidR="00820600" w:rsidRPr="009772A3">
        <w:rPr>
          <w:i/>
          <w:color w:val="auto"/>
          <w:szCs w:val="24"/>
          <w:lang w:val="ro-MD"/>
        </w:rPr>
        <w:t>l</w:t>
      </w:r>
      <w:r w:rsidR="00723DE9" w:rsidRPr="009772A3">
        <w:rPr>
          <w:i/>
          <w:color w:val="auto"/>
          <w:szCs w:val="24"/>
          <w:lang w:val="ro-MD"/>
        </w:rPr>
        <w:t xml:space="preserve"> gazelor naturale</w:t>
      </w:r>
      <w:r w:rsidRPr="009772A3">
        <w:rPr>
          <w:i/>
          <w:color w:val="auto"/>
          <w:szCs w:val="24"/>
          <w:lang w:val="ro-MD"/>
        </w:rPr>
        <w:t xml:space="preserve"> s-au stabilit cazuri de includere</w:t>
      </w:r>
      <w:r w:rsidR="00723DE9" w:rsidRPr="009772A3">
        <w:rPr>
          <w:i/>
          <w:color w:val="auto"/>
          <w:szCs w:val="24"/>
          <w:lang w:val="ro-MD"/>
        </w:rPr>
        <w:t xml:space="preserve"> a unor cheltuieli nejustificate documentar.</w:t>
      </w:r>
      <w:bookmarkEnd w:id="84"/>
      <w:r w:rsidR="00723DE9" w:rsidRPr="009772A3">
        <w:rPr>
          <w:i/>
          <w:color w:val="auto"/>
          <w:szCs w:val="24"/>
          <w:lang w:val="ro-MD"/>
        </w:rPr>
        <w:t xml:space="preserve"> </w:t>
      </w:r>
    </w:p>
    <w:p w14:paraId="020D2DAB" w14:textId="47357167" w:rsidR="005140FD" w:rsidRDefault="00131B5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Conform </w:t>
      </w:r>
      <w:r w:rsidR="00820600" w:rsidRPr="009772A3">
        <w:rPr>
          <w:rFonts w:asciiTheme="majorHAnsi" w:hAnsiTheme="majorHAnsi" w:cstheme="majorHAnsi"/>
          <w:sz w:val="24"/>
          <w:szCs w:val="24"/>
          <w:lang w:val="ro-MD"/>
        </w:rPr>
        <w:t xml:space="preserve">pct 1.3 din </w:t>
      </w:r>
      <w:r w:rsidRPr="009772A3">
        <w:rPr>
          <w:rFonts w:asciiTheme="majorHAnsi" w:hAnsiTheme="majorHAnsi" w:cstheme="majorHAnsi"/>
          <w:sz w:val="24"/>
          <w:szCs w:val="24"/>
          <w:lang w:val="ro-MD"/>
        </w:rPr>
        <w:t>NCM L.02.05-2012 „Norme de deviz pentru construirea clădirilor și construcțiilor speciale provizorii”, constru</w:t>
      </w:r>
      <w:r w:rsidR="00820600" w:rsidRPr="009772A3">
        <w:rPr>
          <w:rFonts w:asciiTheme="majorHAnsi" w:hAnsiTheme="majorHAnsi" w:cstheme="majorHAnsi"/>
          <w:sz w:val="24"/>
          <w:szCs w:val="24"/>
          <w:lang w:val="ro-MD"/>
        </w:rPr>
        <w:t>cția</w:t>
      </w:r>
      <w:r w:rsidRPr="009772A3">
        <w:rPr>
          <w:rFonts w:asciiTheme="majorHAnsi" w:hAnsiTheme="majorHAnsi" w:cstheme="majorHAnsi"/>
          <w:sz w:val="24"/>
          <w:szCs w:val="24"/>
          <w:lang w:val="ro-MD"/>
        </w:rPr>
        <w:t xml:space="preserve"> clădirilor și construcțiilor speciale provizorii se efectuează pentru nevoile de producție. Execuția construcțiilor cu destinație social-sanitară se include în normele de cheltuieli de regie, determinate conform CP L.01.03-2012 </w:t>
      </w:r>
      <w:r w:rsidR="003F239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Instrucțiuni cu privire la calcularea cheltuielilor de regie la determinarea valorii obiectelor”</w:t>
      </w:r>
      <w:r w:rsidR="00142E6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142E6D"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heltuielile de regie cuprind consumurile generale aferente contractelor, precum și consumuri</w:t>
      </w:r>
      <w:r w:rsidR="00142E6D"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pentru organizarea de șantier. Alte consumuri aferente contractului nu se includ în cotele cheltuielilor de regie, dar se achită  suplimentar conform calculelor aprobate de  comun acord. </w:t>
      </w:r>
      <w:r w:rsidR="005140FD" w:rsidRPr="009772A3">
        <w:rPr>
          <w:rFonts w:asciiTheme="majorHAnsi" w:hAnsiTheme="majorHAnsi" w:cstheme="majorHAnsi"/>
          <w:sz w:val="24"/>
          <w:szCs w:val="24"/>
          <w:lang w:val="ro-MD"/>
        </w:rPr>
        <w:t>Contrar reglementărilor</w:t>
      </w:r>
      <w:r w:rsidRPr="009772A3">
        <w:rPr>
          <w:rFonts w:asciiTheme="majorHAnsi" w:hAnsiTheme="majorHAnsi" w:cstheme="majorHAnsi"/>
          <w:sz w:val="24"/>
          <w:szCs w:val="24"/>
          <w:lang w:val="ro-MD"/>
        </w:rPr>
        <w:t xml:space="preserve"> indicate</w:t>
      </w:r>
      <w:r w:rsidR="005140FD" w:rsidRPr="009772A3">
        <w:rPr>
          <w:rFonts w:asciiTheme="majorHAnsi" w:hAnsiTheme="majorHAnsi" w:cstheme="majorHAnsi"/>
          <w:sz w:val="24"/>
          <w:szCs w:val="24"/>
          <w:lang w:val="ro-MD"/>
        </w:rPr>
        <w:t>, SRL Moldovatransgaz, la executarea lucrărilor de reparație capitală a gazoductului magistral  Razdelinaia-I</w:t>
      </w:r>
      <w:r w:rsidR="004B74C3" w:rsidRPr="009772A3">
        <w:rPr>
          <w:rFonts w:asciiTheme="majorHAnsi" w:hAnsiTheme="majorHAnsi" w:cstheme="majorHAnsi"/>
          <w:sz w:val="24"/>
          <w:szCs w:val="24"/>
          <w:lang w:val="ro-MD"/>
        </w:rPr>
        <w:t>s</w:t>
      </w:r>
      <w:r w:rsidR="005140FD" w:rsidRPr="009772A3">
        <w:rPr>
          <w:rFonts w:asciiTheme="majorHAnsi" w:hAnsiTheme="majorHAnsi" w:cstheme="majorHAnsi"/>
          <w:sz w:val="24"/>
          <w:szCs w:val="24"/>
          <w:lang w:val="ro-MD"/>
        </w:rPr>
        <w:t>mail</w:t>
      </w:r>
      <w:r w:rsidRPr="009772A3">
        <w:rPr>
          <w:rFonts w:asciiTheme="majorHAnsi" w:hAnsiTheme="majorHAnsi" w:cstheme="majorHAnsi"/>
          <w:sz w:val="24"/>
          <w:szCs w:val="24"/>
          <w:lang w:val="ro-MD"/>
        </w:rPr>
        <w:t>,</w:t>
      </w:r>
      <w:r w:rsidR="005140F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în lipsa documentelor și calculelor anexate,</w:t>
      </w:r>
      <w:r w:rsidRPr="009772A3" w:rsidDel="00131B5C">
        <w:rPr>
          <w:rFonts w:asciiTheme="majorHAnsi" w:hAnsiTheme="majorHAnsi" w:cstheme="majorHAnsi"/>
          <w:sz w:val="24"/>
          <w:szCs w:val="24"/>
          <w:lang w:val="ro-MD"/>
        </w:rPr>
        <w:t xml:space="preserve"> </w:t>
      </w:r>
      <w:r w:rsidR="005140FD"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acceptat includerea în procesele-verbale de recepție a lucrărilor </w:t>
      </w:r>
      <w:r w:rsidR="00E42119" w:rsidRPr="009772A3">
        <w:rPr>
          <w:rFonts w:asciiTheme="majorHAnsi" w:hAnsiTheme="majorHAnsi" w:cstheme="majorHAnsi"/>
          <w:sz w:val="24"/>
          <w:szCs w:val="24"/>
          <w:lang w:val="ro-MD"/>
        </w:rPr>
        <w:t>cheltuieli nejustificate de 5.851,1</w:t>
      </w:r>
      <w:r w:rsidR="005140FD" w:rsidRPr="009772A3">
        <w:rPr>
          <w:rFonts w:asciiTheme="majorHAnsi" w:hAnsiTheme="majorHAnsi" w:cstheme="majorHAnsi"/>
          <w:sz w:val="24"/>
          <w:szCs w:val="24"/>
          <w:lang w:val="ro-MD"/>
        </w:rPr>
        <w:t xml:space="preserve"> mi</w:t>
      </w:r>
      <w:r w:rsidR="00E42119" w:rsidRPr="009772A3">
        <w:rPr>
          <w:rFonts w:asciiTheme="majorHAnsi" w:hAnsiTheme="majorHAnsi" w:cstheme="majorHAnsi"/>
          <w:sz w:val="24"/>
          <w:szCs w:val="24"/>
          <w:lang w:val="ro-MD"/>
        </w:rPr>
        <w:t>i</w:t>
      </w:r>
      <w:r w:rsidR="005140FD" w:rsidRPr="009772A3">
        <w:rPr>
          <w:rFonts w:asciiTheme="majorHAnsi" w:hAnsiTheme="majorHAnsi" w:cstheme="majorHAnsi"/>
          <w:sz w:val="24"/>
          <w:szCs w:val="24"/>
          <w:lang w:val="ro-MD"/>
        </w:rPr>
        <w:t xml:space="preserve"> lei</w:t>
      </w:r>
      <w:r w:rsidRPr="009772A3">
        <w:rPr>
          <w:rFonts w:asciiTheme="majorHAnsi" w:hAnsiTheme="majorHAnsi" w:cstheme="majorHAnsi"/>
          <w:sz w:val="24"/>
          <w:szCs w:val="24"/>
          <w:lang w:val="ro-MD"/>
        </w:rPr>
        <w:t xml:space="preserve">, care constau din: cheltuieli de deplasare (0,9%) – 1.716,3 mii lei; clădiri și edificii provizorii (1,1%) – 2.064,3 mii lei; energie electrică 2.070,5 mii lei. Deși despre aceste deficiențe s-a indicat </w:t>
      </w:r>
      <w:r w:rsidR="005140FD" w:rsidRPr="009772A3">
        <w:rPr>
          <w:rFonts w:asciiTheme="majorHAnsi" w:hAnsiTheme="majorHAnsi" w:cstheme="majorHAnsi"/>
          <w:sz w:val="24"/>
          <w:szCs w:val="24"/>
          <w:lang w:val="ro-MD"/>
        </w:rPr>
        <w:t>în rapoartele auditului intern</w:t>
      </w:r>
      <w:r w:rsidRPr="009772A3">
        <w:rPr>
          <w:rFonts w:asciiTheme="majorHAnsi" w:hAnsiTheme="majorHAnsi" w:cstheme="majorHAnsi"/>
          <w:sz w:val="24"/>
          <w:szCs w:val="24"/>
          <w:lang w:val="ro-MD"/>
        </w:rPr>
        <w:t>, factorii de decizie a</w:t>
      </w:r>
      <w:r w:rsidR="00142E6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SRL Moldovatransgaz nu au întreprins măsuri de confirmare documentară a acestor cheltuieli sau de revizuire a valorii lucrărilor executate</w:t>
      </w:r>
      <w:r w:rsidR="005140FD" w:rsidRPr="009772A3">
        <w:rPr>
          <w:rFonts w:asciiTheme="majorHAnsi" w:hAnsiTheme="majorHAnsi" w:cstheme="majorHAnsi"/>
          <w:sz w:val="24"/>
          <w:szCs w:val="24"/>
          <w:lang w:val="ro-MD"/>
        </w:rPr>
        <w:t xml:space="preserve">. </w:t>
      </w:r>
    </w:p>
    <w:p w14:paraId="684C59A0" w14:textId="77777777" w:rsidR="00020051" w:rsidRPr="00CF3AD4" w:rsidRDefault="00020051">
      <w:pPr>
        <w:spacing w:after="0" w:line="276" w:lineRule="auto"/>
        <w:ind w:firstLine="709"/>
        <w:jc w:val="both"/>
        <w:rPr>
          <w:rFonts w:asciiTheme="majorHAnsi" w:hAnsiTheme="majorHAnsi" w:cstheme="majorHAnsi"/>
          <w:sz w:val="16"/>
          <w:szCs w:val="16"/>
          <w:lang w:val="ro-MD"/>
        </w:rPr>
      </w:pPr>
    </w:p>
    <w:p w14:paraId="4D489470" w14:textId="2689E567" w:rsidR="00FD1AA6" w:rsidRPr="009772A3" w:rsidRDefault="00E70D17" w:rsidP="00CF3AD4">
      <w:pPr>
        <w:pStyle w:val="Heading1"/>
        <w:numPr>
          <w:ilvl w:val="3"/>
          <w:numId w:val="2"/>
        </w:numPr>
        <w:tabs>
          <w:tab w:val="left" w:pos="993"/>
        </w:tabs>
        <w:spacing w:before="0" w:line="276" w:lineRule="auto"/>
        <w:ind w:left="0" w:firstLine="0"/>
        <w:jc w:val="both"/>
        <w:rPr>
          <w:i/>
          <w:color w:val="auto"/>
          <w:lang w:val="ro-MD"/>
        </w:rPr>
      </w:pPr>
      <w:bookmarkStart w:id="85" w:name="_Toc117775769"/>
      <w:bookmarkStart w:id="86" w:name="_Toc118297708"/>
      <w:bookmarkStart w:id="87" w:name="_Toc118465737"/>
      <w:bookmarkStart w:id="88" w:name="_Toc119496412"/>
      <w:r w:rsidRPr="009772A3">
        <w:rPr>
          <w:i/>
          <w:color w:val="auto"/>
          <w:lang w:val="ro-MD"/>
        </w:rPr>
        <w:t>Neaplicarea consecventă a practicilor de încasare a garanțiilor de bună execuție a condiționat riscuri semnificative de neasigurare</w:t>
      </w:r>
      <w:r w:rsidR="00920C4F" w:rsidRPr="009772A3">
        <w:rPr>
          <w:i/>
          <w:color w:val="auto"/>
          <w:lang w:val="ro-MD"/>
        </w:rPr>
        <w:t xml:space="preserve"> </w:t>
      </w:r>
      <w:r w:rsidRPr="009772A3">
        <w:rPr>
          <w:i/>
          <w:color w:val="auto"/>
          <w:lang w:val="ro-MD"/>
        </w:rPr>
        <w:t>a calității și executării în termen a angajamentelor asumate de operatorii economici</w:t>
      </w:r>
      <w:r w:rsidR="00FD1AA6" w:rsidRPr="009772A3">
        <w:rPr>
          <w:i/>
          <w:color w:val="auto"/>
          <w:lang w:val="ro-MD"/>
        </w:rPr>
        <w:t>.</w:t>
      </w:r>
      <w:bookmarkEnd w:id="85"/>
      <w:bookmarkEnd w:id="86"/>
      <w:bookmarkEnd w:id="87"/>
      <w:bookmarkEnd w:id="88"/>
    </w:p>
    <w:p w14:paraId="26C4A01B" w14:textId="038606E4" w:rsidR="00F74122" w:rsidRPr="009772A3" w:rsidRDefault="00F74122" w:rsidP="00F7412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Lipsa unor </w:t>
      </w:r>
      <w:r w:rsidR="00DD28FA" w:rsidRPr="009772A3">
        <w:rPr>
          <w:rFonts w:asciiTheme="majorHAnsi" w:hAnsiTheme="majorHAnsi" w:cstheme="majorHAnsi"/>
          <w:sz w:val="24"/>
          <w:szCs w:val="24"/>
          <w:lang w:val="ro-MD"/>
        </w:rPr>
        <w:t>reglementări și cerințe obligatorii</w:t>
      </w:r>
      <w:r w:rsidRPr="009772A3">
        <w:rPr>
          <w:rFonts w:asciiTheme="majorHAnsi" w:hAnsiTheme="majorHAnsi" w:cstheme="majorHAnsi"/>
          <w:sz w:val="24"/>
          <w:szCs w:val="24"/>
          <w:lang w:val="ro-MD"/>
        </w:rPr>
        <w:t xml:space="preserve"> față de beneficiar pentru asigurarea executării contractului sub formă de depunere a garanţiei de bună execuție contractuală, a condiționat aplicarea </w:t>
      </w:r>
      <w:r w:rsidR="00920C4F" w:rsidRPr="009772A3">
        <w:rPr>
          <w:rFonts w:asciiTheme="majorHAnsi" w:hAnsiTheme="majorHAnsi" w:cstheme="majorHAnsi"/>
          <w:sz w:val="24"/>
          <w:szCs w:val="24"/>
          <w:lang w:val="ro-MD"/>
        </w:rPr>
        <w:t xml:space="preserve">neuniformă a </w:t>
      </w:r>
      <w:r w:rsidRPr="009772A3">
        <w:rPr>
          <w:rFonts w:asciiTheme="majorHAnsi" w:hAnsiTheme="majorHAnsi" w:cstheme="majorHAnsi"/>
          <w:sz w:val="24"/>
          <w:szCs w:val="24"/>
          <w:lang w:val="ro-MD"/>
        </w:rPr>
        <w:t>acestei cerințe de către SRL Moldovatransgaz, de la un contract la altul. Dacă pentru unele contracte de achiziții se indica și se solicita încasarea garanţiei de bună execuție, pentru altele nu se prevedea și nu se cerea încasarea acesteia.</w:t>
      </w:r>
    </w:p>
    <w:p w14:paraId="2B5FE949" w14:textId="60412190" w:rsidR="00A2327C" w:rsidRPr="009772A3" w:rsidRDefault="007B44B3" w:rsidP="00A2327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Astfe</w:t>
      </w:r>
      <w:r w:rsidR="004E2C90" w:rsidRPr="009772A3">
        <w:rPr>
          <w:rFonts w:asciiTheme="majorHAnsi" w:hAnsiTheme="majorHAnsi" w:cstheme="majorHAnsi"/>
          <w:sz w:val="24"/>
          <w:szCs w:val="24"/>
          <w:lang w:val="ro-MD"/>
        </w:rPr>
        <w:t xml:space="preserve">l, la încheierea de către SRL </w:t>
      </w:r>
      <w:r w:rsidRPr="009772A3">
        <w:rPr>
          <w:rFonts w:asciiTheme="majorHAnsi" w:hAnsiTheme="majorHAnsi" w:cstheme="majorHAnsi"/>
          <w:sz w:val="24"/>
          <w:szCs w:val="24"/>
          <w:lang w:val="ro-MD"/>
        </w:rPr>
        <w:t xml:space="preserve">Moldovatransgaz a 3 contracte </w:t>
      </w:r>
      <w:r w:rsidR="00C61D43" w:rsidRPr="009772A3">
        <w:rPr>
          <w:rFonts w:asciiTheme="majorHAnsi" w:hAnsiTheme="majorHAnsi" w:cstheme="majorHAnsi"/>
          <w:sz w:val="24"/>
          <w:szCs w:val="24"/>
          <w:lang w:val="ro-MD"/>
        </w:rPr>
        <w:t xml:space="preserve">(anii 2015-2017) </w:t>
      </w:r>
      <w:r w:rsidRPr="009772A3">
        <w:rPr>
          <w:rFonts w:asciiTheme="majorHAnsi" w:hAnsiTheme="majorHAnsi" w:cstheme="majorHAnsi"/>
          <w:sz w:val="24"/>
          <w:szCs w:val="24"/>
          <w:lang w:val="ro-MD"/>
        </w:rPr>
        <w:t xml:space="preserve">privind efectuarea lucrărilor de reparație capitală în valoare totală de 523.800,0 mii lei, </w:t>
      </w:r>
      <w:r w:rsidR="00920C4F" w:rsidRPr="009772A3">
        <w:rPr>
          <w:rFonts w:asciiTheme="majorHAnsi" w:hAnsiTheme="majorHAnsi" w:cstheme="majorHAnsi"/>
          <w:sz w:val="24"/>
          <w:szCs w:val="24"/>
          <w:lang w:val="ro-MD"/>
        </w:rPr>
        <w:t>în lipsa</w:t>
      </w:r>
      <w:r w:rsidR="00A2327C" w:rsidRPr="009772A3">
        <w:rPr>
          <w:rFonts w:asciiTheme="majorHAnsi" w:hAnsiTheme="majorHAnsi" w:cstheme="majorHAnsi"/>
          <w:sz w:val="24"/>
          <w:szCs w:val="24"/>
          <w:lang w:val="ro-MD"/>
        </w:rPr>
        <w:t xml:space="preserve"> inclu</w:t>
      </w:r>
      <w:r w:rsidR="00920C4F" w:rsidRPr="009772A3">
        <w:rPr>
          <w:rFonts w:asciiTheme="majorHAnsi" w:hAnsiTheme="majorHAnsi" w:cstheme="majorHAnsi"/>
          <w:sz w:val="24"/>
          <w:szCs w:val="24"/>
          <w:lang w:val="ro-MD"/>
        </w:rPr>
        <w:t>derii exprese a</w:t>
      </w:r>
      <w:r w:rsidR="00A2327C" w:rsidRPr="009772A3">
        <w:rPr>
          <w:rFonts w:asciiTheme="majorHAnsi" w:hAnsiTheme="majorHAnsi" w:cstheme="majorHAnsi"/>
          <w:sz w:val="24"/>
          <w:szCs w:val="24"/>
          <w:lang w:val="ro-MD"/>
        </w:rPr>
        <w:t xml:space="preserve"> clauz</w:t>
      </w:r>
      <w:r w:rsidR="00920C4F" w:rsidRPr="009772A3">
        <w:rPr>
          <w:rFonts w:asciiTheme="majorHAnsi" w:hAnsiTheme="majorHAnsi" w:cstheme="majorHAnsi"/>
          <w:sz w:val="24"/>
          <w:szCs w:val="24"/>
          <w:lang w:val="ro-MD"/>
        </w:rPr>
        <w:t>ei</w:t>
      </w:r>
      <w:r w:rsidR="00A2327C" w:rsidRPr="009772A3">
        <w:rPr>
          <w:rFonts w:asciiTheme="majorHAnsi" w:hAnsiTheme="majorHAnsi" w:cstheme="majorHAnsi"/>
          <w:sz w:val="24"/>
          <w:szCs w:val="24"/>
          <w:lang w:val="ro-MD"/>
        </w:rPr>
        <w:t xml:space="preserve"> privind plata garanției de bună execuție, aceasta nu a fost încasată, ceea ce </w:t>
      </w:r>
      <w:r w:rsidR="00C61D43" w:rsidRPr="009772A3">
        <w:rPr>
          <w:rFonts w:asciiTheme="majorHAnsi" w:hAnsiTheme="majorHAnsi" w:cstheme="majorHAnsi"/>
          <w:sz w:val="24"/>
          <w:szCs w:val="24"/>
          <w:lang w:val="ro-MD"/>
        </w:rPr>
        <w:t xml:space="preserve">a generat </w:t>
      </w:r>
      <w:r w:rsidR="00A2327C" w:rsidRPr="009772A3">
        <w:rPr>
          <w:rFonts w:asciiTheme="majorHAnsi" w:hAnsiTheme="majorHAnsi" w:cstheme="majorHAnsi"/>
          <w:sz w:val="24"/>
          <w:szCs w:val="24"/>
          <w:lang w:val="ro-MD"/>
        </w:rPr>
        <w:t>riscu</w:t>
      </w:r>
      <w:r w:rsidR="00C61D43" w:rsidRPr="009772A3">
        <w:rPr>
          <w:rFonts w:asciiTheme="majorHAnsi" w:hAnsiTheme="majorHAnsi" w:cstheme="majorHAnsi"/>
          <w:sz w:val="24"/>
          <w:szCs w:val="24"/>
          <w:lang w:val="ro-MD"/>
        </w:rPr>
        <w:t xml:space="preserve">l </w:t>
      </w:r>
      <w:r w:rsidR="00A2327C" w:rsidRPr="009772A3">
        <w:rPr>
          <w:rFonts w:asciiTheme="majorHAnsi" w:hAnsiTheme="majorHAnsi" w:cstheme="majorHAnsi"/>
          <w:sz w:val="24"/>
          <w:szCs w:val="24"/>
          <w:lang w:val="ro-MD"/>
        </w:rPr>
        <w:t>de neasigurare</w:t>
      </w:r>
      <w:r w:rsidR="00C61D43" w:rsidRPr="009772A3">
        <w:rPr>
          <w:rFonts w:asciiTheme="majorHAnsi" w:hAnsiTheme="majorHAnsi" w:cstheme="majorHAnsi"/>
          <w:sz w:val="24"/>
          <w:szCs w:val="24"/>
          <w:lang w:val="ro-MD"/>
        </w:rPr>
        <w:t xml:space="preserve"> </w:t>
      </w:r>
      <w:r w:rsidR="00A2327C" w:rsidRPr="009772A3">
        <w:rPr>
          <w:rFonts w:asciiTheme="majorHAnsi" w:hAnsiTheme="majorHAnsi" w:cstheme="majorHAnsi"/>
          <w:sz w:val="24"/>
          <w:szCs w:val="24"/>
          <w:lang w:val="ro-MD"/>
        </w:rPr>
        <w:t>a calității și executării în termen a angajamentelor asumate de operatorii economici. Potrivit calculelor efectuate de audit în conformitate cu practicile aplicate de întreprindere</w:t>
      </w:r>
      <w:r w:rsidR="00A2327C" w:rsidRPr="009772A3">
        <w:rPr>
          <w:rStyle w:val="FootnoteReference"/>
          <w:rFonts w:asciiTheme="majorHAnsi" w:hAnsiTheme="majorHAnsi" w:cstheme="majorHAnsi"/>
          <w:sz w:val="24"/>
          <w:szCs w:val="24"/>
          <w:lang w:val="ro-MD"/>
        </w:rPr>
        <w:footnoteReference w:id="73"/>
      </w:r>
      <w:r w:rsidR="00A2327C" w:rsidRPr="009772A3">
        <w:rPr>
          <w:rFonts w:asciiTheme="majorHAnsi" w:hAnsiTheme="majorHAnsi" w:cstheme="majorHAnsi"/>
          <w:sz w:val="24"/>
          <w:szCs w:val="24"/>
          <w:lang w:val="ro-MD"/>
        </w:rPr>
        <w:t>, garanțiile neîncasate au însumat cca 26.200,0 mii lei.</w:t>
      </w:r>
    </w:p>
    <w:p w14:paraId="5046BA1C" w14:textId="50E50E55" w:rsidR="007B44B3" w:rsidRDefault="00155D2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urmare, în condițiile unor contracte de reparație capitală a conductelor de transport al gazelor naturale a</w:t>
      </w:r>
      <w:r w:rsidR="00920C4F"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căror costuri sunt semnificative, neîncasarea unor garanții de bună execuție condiționează sporirea riscurilor de apariție a unor costuri și cheltuieli suplimentare</w:t>
      </w:r>
      <w:r w:rsidR="00920C4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potențialele litigii și dispute.</w:t>
      </w:r>
    </w:p>
    <w:p w14:paraId="73E2022D" w14:textId="05163E6F" w:rsidR="00FD1AA6" w:rsidRPr="009772A3" w:rsidRDefault="00FD1AA6" w:rsidP="00CF3AD4">
      <w:pPr>
        <w:pStyle w:val="Heading1"/>
        <w:numPr>
          <w:ilvl w:val="3"/>
          <w:numId w:val="2"/>
        </w:numPr>
        <w:tabs>
          <w:tab w:val="left" w:pos="851"/>
        </w:tabs>
        <w:spacing w:before="0" w:line="276" w:lineRule="auto"/>
        <w:ind w:left="0" w:firstLine="0"/>
        <w:jc w:val="both"/>
        <w:rPr>
          <w:i/>
          <w:color w:val="auto"/>
          <w:lang w:val="ro-MD"/>
        </w:rPr>
      </w:pPr>
      <w:bookmarkStart w:id="89" w:name="_Toc119245407"/>
      <w:bookmarkStart w:id="90" w:name="_Toc119245408"/>
      <w:bookmarkStart w:id="91" w:name="_Toc119245409"/>
      <w:bookmarkStart w:id="92" w:name="_Toc119245410"/>
      <w:bookmarkStart w:id="93" w:name="_Toc117775772"/>
      <w:bookmarkStart w:id="94" w:name="_Toc118297711"/>
      <w:bookmarkStart w:id="95" w:name="_Toc118465739"/>
      <w:bookmarkStart w:id="96" w:name="_Toc119496413"/>
      <w:bookmarkEnd w:id="89"/>
      <w:bookmarkEnd w:id="90"/>
      <w:bookmarkEnd w:id="91"/>
      <w:bookmarkEnd w:id="92"/>
      <w:r w:rsidRPr="009772A3">
        <w:rPr>
          <w:i/>
          <w:color w:val="auto"/>
          <w:lang w:val="ro-MD"/>
        </w:rPr>
        <w:t xml:space="preserve">Necapitalizarea </w:t>
      </w:r>
      <w:r w:rsidR="00AC0951" w:rsidRPr="009772A3">
        <w:rPr>
          <w:i/>
          <w:color w:val="auto"/>
          <w:lang w:val="ro-MD"/>
        </w:rPr>
        <w:t xml:space="preserve">conformă </w:t>
      </w:r>
      <w:r w:rsidR="00401BB2" w:rsidRPr="009772A3">
        <w:rPr>
          <w:i/>
          <w:color w:val="auto"/>
          <w:lang w:val="ro-MD"/>
        </w:rPr>
        <w:t xml:space="preserve">a </w:t>
      </w:r>
      <w:r w:rsidRPr="009772A3">
        <w:rPr>
          <w:i/>
          <w:color w:val="auto"/>
          <w:lang w:val="ro-MD"/>
        </w:rPr>
        <w:t>unor investiții în valoare totală de 36.</w:t>
      </w:r>
      <w:r w:rsidR="009E09B0" w:rsidRPr="009772A3">
        <w:rPr>
          <w:i/>
          <w:color w:val="auto"/>
          <w:lang w:val="ro-MD"/>
        </w:rPr>
        <w:t>334</w:t>
      </w:r>
      <w:r w:rsidRPr="009772A3">
        <w:rPr>
          <w:i/>
          <w:color w:val="auto"/>
          <w:lang w:val="ro-MD"/>
        </w:rPr>
        <w:t>,</w:t>
      </w:r>
      <w:r w:rsidR="009E09B0" w:rsidRPr="009772A3">
        <w:rPr>
          <w:i/>
          <w:color w:val="auto"/>
          <w:lang w:val="ro-MD"/>
        </w:rPr>
        <w:t>4</w:t>
      </w:r>
      <w:r w:rsidRPr="009772A3">
        <w:rPr>
          <w:i/>
          <w:color w:val="auto"/>
          <w:lang w:val="ro-MD"/>
        </w:rPr>
        <w:t xml:space="preserve"> mii lei, a generat majorarea neîntemeiată a cheltuielilor operaționale ale operatorului d</w:t>
      </w:r>
      <w:r w:rsidR="00AC0951" w:rsidRPr="009772A3">
        <w:rPr>
          <w:i/>
          <w:color w:val="auto"/>
          <w:lang w:val="ro-MD"/>
        </w:rPr>
        <w:t>e transport al gazelor naturale și</w:t>
      </w:r>
      <w:r w:rsidRPr="009772A3">
        <w:rPr>
          <w:i/>
          <w:color w:val="auto"/>
          <w:lang w:val="ro-MD"/>
        </w:rPr>
        <w:t xml:space="preserve"> a diminuat valoarea activelor cu aceeași sumă.</w:t>
      </w:r>
      <w:bookmarkEnd w:id="93"/>
      <w:bookmarkEnd w:id="94"/>
      <w:bookmarkEnd w:id="95"/>
      <w:bookmarkEnd w:id="96"/>
      <w:r w:rsidRPr="009772A3">
        <w:rPr>
          <w:i/>
          <w:color w:val="auto"/>
          <w:lang w:val="ro-MD"/>
        </w:rPr>
        <w:t xml:space="preserve"> </w:t>
      </w:r>
    </w:p>
    <w:p w14:paraId="317318CE" w14:textId="578F6B91" w:rsidR="00FD1AA6" w:rsidRPr="009772A3" w:rsidRDefault="00DF6667" w:rsidP="008F727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potrivit cadrului de evidență și raportare financiară</w:t>
      </w:r>
      <w:r w:rsidRPr="009772A3">
        <w:rPr>
          <w:rStyle w:val="FootnoteReference"/>
          <w:rFonts w:asciiTheme="majorHAnsi" w:hAnsiTheme="majorHAnsi" w:cstheme="majorHAnsi"/>
          <w:sz w:val="24"/>
          <w:szCs w:val="24"/>
          <w:lang w:val="ro-MD"/>
        </w:rPr>
        <w:footnoteReference w:id="74"/>
      </w:r>
      <w:r w:rsidR="00C85ABE" w:rsidRPr="009772A3">
        <w:rPr>
          <w:rFonts w:asciiTheme="majorHAnsi" w:hAnsiTheme="majorHAnsi" w:cstheme="majorHAnsi"/>
          <w:sz w:val="24"/>
          <w:szCs w:val="24"/>
          <w:lang w:val="ro-MD"/>
        </w:rPr>
        <w:t>,</w:t>
      </w:r>
      <w:r w:rsidR="004042B6" w:rsidRPr="009772A3">
        <w:rPr>
          <w:rFonts w:asciiTheme="majorHAnsi" w:hAnsiTheme="majorHAnsi" w:cstheme="majorHAnsi"/>
          <w:sz w:val="24"/>
          <w:szCs w:val="24"/>
          <w:lang w:val="ro-MD"/>
        </w:rPr>
        <w:t xml:space="preserve"> c</w:t>
      </w:r>
      <w:r w:rsidRPr="009772A3">
        <w:rPr>
          <w:rFonts w:asciiTheme="majorHAnsi" w:hAnsiTheme="majorHAnsi" w:cstheme="majorHAnsi"/>
          <w:sz w:val="24"/>
          <w:szCs w:val="24"/>
          <w:lang w:val="ro-MD"/>
        </w:rPr>
        <w:t xml:space="preserve">osturile ulterioare </w:t>
      </w:r>
      <w:r w:rsidR="004042B6" w:rsidRPr="009772A3">
        <w:rPr>
          <w:rFonts w:asciiTheme="majorHAnsi" w:hAnsiTheme="majorHAnsi" w:cstheme="majorHAnsi"/>
          <w:sz w:val="24"/>
          <w:szCs w:val="24"/>
          <w:lang w:val="ro-MD"/>
        </w:rPr>
        <w:t xml:space="preserve">care duc la </w:t>
      </w:r>
      <w:r w:rsidRPr="009772A3">
        <w:rPr>
          <w:rFonts w:asciiTheme="majorHAnsi" w:hAnsiTheme="majorHAnsi" w:cstheme="majorHAnsi"/>
          <w:sz w:val="24"/>
          <w:szCs w:val="24"/>
          <w:lang w:val="ro-MD"/>
        </w:rPr>
        <w:t>îmbunătăţir</w:t>
      </w:r>
      <w:r w:rsidR="004042B6" w:rsidRPr="009772A3">
        <w:rPr>
          <w:rFonts w:asciiTheme="majorHAnsi" w:hAnsiTheme="majorHAnsi" w:cstheme="majorHAnsi"/>
          <w:sz w:val="24"/>
          <w:szCs w:val="24"/>
          <w:lang w:val="ro-MD"/>
        </w:rPr>
        <w:t>ea</w:t>
      </w:r>
      <w:r w:rsidRPr="009772A3">
        <w:rPr>
          <w:rFonts w:asciiTheme="majorHAnsi" w:hAnsiTheme="majorHAnsi" w:cstheme="majorHAnsi"/>
          <w:sz w:val="24"/>
          <w:szCs w:val="24"/>
          <w:lang w:val="ro-MD"/>
        </w:rPr>
        <w:t xml:space="preserve"> caracteristicilor iniţiale a</w:t>
      </w:r>
      <w:r w:rsidR="00C85ABE"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w:t>
      </w:r>
      <w:r w:rsidR="004042B6" w:rsidRPr="009772A3">
        <w:rPr>
          <w:rFonts w:asciiTheme="majorHAnsi" w:hAnsiTheme="majorHAnsi" w:cstheme="majorHAnsi"/>
          <w:sz w:val="24"/>
          <w:szCs w:val="24"/>
          <w:lang w:val="ro-MD"/>
        </w:rPr>
        <w:t>imobilizărilor</w:t>
      </w:r>
      <w:r w:rsidRPr="009772A3">
        <w:rPr>
          <w:rFonts w:asciiTheme="majorHAnsi" w:hAnsiTheme="majorHAnsi" w:cstheme="majorHAnsi"/>
          <w:sz w:val="24"/>
          <w:szCs w:val="24"/>
          <w:lang w:val="ro-MD"/>
        </w:rPr>
        <w:t xml:space="preserve"> şi, respectiv, </w:t>
      </w:r>
      <w:r w:rsidR="004042B6" w:rsidRPr="009772A3">
        <w:rPr>
          <w:rFonts w:asciiTheme="majorHAnsi" w:hAnsiTheme="majorHAnsi" w:cstheme="majorHAnsi"/>
          <w:sz w:val="24"/>
          <w:szCs w:val="24"/>
          <w:lang w:val="ro-MD"/>
        </w:rPr>
        <w:t xml:space="preserve">la </w:t>
      </w:r>
      <w:r w:rsidRPr="009772A3">
        <w:rPr>
          <w:rFonts w:asciiTheme="majorHAnsi" w:hAnsiTheme="majorHAnsi" w:cstheme="majorHAnsi"/>
          <w:sz w:val="24"/>
          <w:szCs w:val="24"/>
          <w:lang w:val="ro-MD"/>
        </w:rPr>
        <w:t>major</w:t>
      </w:r>
      <w:r w:rsidR="004042B6" w:rsidRPr="009772A3">
        <w:rPr>
          <w:rFonts w:asciiTheme="majorHAnsi" w:hAnsiTheme="majorHAnsi" w:cstheme="majorHAnsi"/>
          <w:sz w:val="24"/>
          <w:szCs w:val="24"/>
          <w:lang w:val="ro-MD"/>
        </w:rPr>
        <w:t>area</w:t>
      </w:r>
      <w:r w:rsidRPr="009772A3">
        <w:rPr>
          <w:rFonts w:asciiTheme="majorHAnsi" w:hAnsiTheme="majorHAnsi" w:cstheme="majorHAnsi"/>
          <w:sz w:val="24"/>
          <w:szCs w:val="24"/>
          <w:lang w:val="ro-MD"/>
        </w:rPr>
        <w:t xml:space="preserve"> beneficiilor economice aşteptate din utilizarea obiectului</w:t>
      </w:r>
      <w:r w:rsidR="004042B6" w:rsidRPr="009772A3">
        <w:rPr>
          <w:rFonts w:asciiTheme="majorHAnsi" w:hAnsiTheme="majorHAnsi" w:cstheme="majorHAnsi"/>
          <w:sz w:val="24"/>
          <w:szCs w:val="24"/>
          <w:lang w:val="ro-MD"/>
        </w:rPr>
        <w:t xml:space="preserve"> se capitalizează prin adăugarea acestora la valoarea contabilă a obiectului respectiv, </w:t>
      </w:r>
      <w:r w:rsidRPr="009772A3">
        <w:rPr>
          <w:rFonts w:asciiTheme="majorHAnsi" w:hAnsiTheme="majorHAnsi" w:cstheme="majorHAnsi"/>
          <w:sz w:val="24"/>
          <w:szCs w:val="24"/>
          <w:lang w:val="ro-MD"/>
        </w:rPr>
        <w:t xml:space="preserve">SRL Moldovatransgaz nu a inclus </w:t>
      </w:r>
      <w:r w:rsidRPr="001F602F">
        <w:rPr>
          <w:rFonts w:asciiTheme="majorHAnsi" w:hAnsiTheme="majorHAnsi" w:cstheme="majorHAnsi"/>
          <w:sz w:val="24"/>
          <w:szCs w:val="24"/>
          <w:lang w:val="ro-MD"/>
        </w:rPr>
        <w:t xml:space="preserve">regulamentar </w:t>
      </w:r>
      <w:r w:rsidR="00FB6FF5" w:rsidRPr="00CF3AD4">
        <w:rPr>
          <w:rFonts w:asciiTheme="majorHAnsi" w:hAnsiTheme="majorHAnsi" w:cstheme="majorHAnsi"/>
          <w:sz w:val="24"/>
          <w:szCs w:val="24"/>
          <w:lang w:val="ro-MD"/>
        </w:rPr>
        <w:t xml:space="preserve">în </w:t>
      </w:r>
      <w:r w:rsidR="0012645E" w:rsidRPr="00CF3AD4">
        <w:rPr>
          <w:rFonts w:asciiTheme="majorHAnsi" w:hAnsiTheme="majorHAnsi" w:cstheme="majorHAnsi"/>
          <w:sz w:val="24"/>
          <w:szCs w:val="24"/>
          <w:lang w:val="ro-MD"/>
        </w:rPr>
        <w:t>valoarea</w:t>
      </w:r>
      <w:r w:rsidR="00FB6FF5" w:rsidRPr="00CF3AD4">
        <w:rPr>
          <w:rFonts w:asciiTheme="majorHAnsi" w:hAnsiTheme="majorHAnsi" w:cstheme="majorHAnsi"/>
          <w:sz w:val="24"/>
          <w:szCs w:val="24"/>
          <w:lang w:val="ro-MD"/>
        </w:rPr>
        <w:t xml:space="preserve"> gazoductelor</w:t>
      </w:r>
      <w:r w:rsidR="00FB6FF5" w:rsidRPr="001F602F">
        <w:rPr>
          <w:rFonts w:asciiTheme="majorHAnsi" w:hAnsiTheme="majorHAnsi" w:cstheme="majorHAnsi"/>
          <w:sz w:val="24"/>
          <w:szCs w:val="24"/>
          <w:lang w:val="ro-MD"/>
        </w:rPr>
        <w:t xml:space="preserve"> magistrale </w:t>
      </w:r>
      <w:r w:rsidR="0012645E" w:rsidRPr="001F602F">
        <w:rPr>
          <w:rFonts w:asciiTheme="majorHAnsi" w:hAnsiTheme="majorHAnsi" w:cstheme="majorHAnsi"/>
          <w:sz w:val="24"/>
          <w:szCs w:val="24"/>
          <w:lang w:val="ro-MD"/>
        </w:rPr>
        <w:t xml:space="preserve">costul </w:t>
      </w:r>
      <w:r w:rsidR="004042B6" w:rsidRPr="001F602F">
        <w:rPr>
          <w:rFonts w:asciiTheme="majorHAnsi" w:hAnsiTheme="majorHAnsi" w:cstheme="majorHAnsi"/>
          <w:sz w:val="24"/>
          <w:szCs w:val="24"/>
          <w:lang w:val="ro-MD"/>
        </w:rPr>
        <w:t xml:space="preserve">unor </w:t>
      </w:r>
      <w:r w:rsidRPr="001F602F">
        <w:rPr>
          <w:rFonts w:asciiTheme="majorHAnsi" w:hAnsiTheme="majorHAnsi" w:cstheme="majorHAnsi"/>
          <w:sz w:val="24"/>
          <w:szCs w:val="24"/>
          <w:lang w:val="ro-MD"/>
        </w:rPr>
        <w:t>lucrări</w:t>
      </w:r>
      <w:r w:rsidR="004042B6" w:rsidRPr="001F602F">
        <w:rPr>
          <w:rFonts w:asciiTheme="majorHAnsi" w:hAnsiTheme="majorHAnsi" w:cstheme="majorHAnsi"/>
          <w:sz w:val="24"/>
          <w:szCs w:val="24"/>
          <w:lang w:val="ro-MD"/>
        </w:rPr>
        <w:t xml:space="preserve"> de reparație capitală </w:t>
      </w:r>
      <w:r w:rsidR="004042B6" w:rsidRPr="00CF3AD4">
        <w:rPr>
          <w:rFonts w:asciiTheme="majorHAnsi" w:hAnsiTheme="majorHAnsi" w:cstheme="majorHAnsi"/>
          <w:sz w:val="24"/>
          <w:szCs w:val="24"/>
          <w:lang w:val="ro-MD"/>
        </w:rPr>
        <w:t xml:space="preserve">în </w:t>
      </w:r>
      <w:r w:rsidR="00FB6FF5" w:rsidRPr="00CF3AD4">
        <w:rPr>
          <w:rFonts w:asciiTheme="majorHAnsi" w:hAnsiTheme="majorHAnsi" w:cstheme="majorHAnsi"/>
          <w:sz w:val="24"/>
          <w:szCs w:val="24"/>
          <w:lang w:val="ro-MD"/>
        </w:rPr>
        <w:t>sum</w:t>
      </w:r>
      <w:r w:rsidR="004042B6" w:rsidRPr="00CF3AD4">
        <w:rPr>
          <w:rFonts w:asciiTheme="majorHAnsi" w:hAnsiTheme="majorHAnsi" w:cstheme="majorHAnsi"/>
          <w:sz w:val="24"/>
          <w:szCs w:val="24"/>
          <w:lang w:val="ro-MD"/>
        </w:rPr>
        <w:t xml:space="preserve">ă </w:t>
      </w:r>
      <w:r w:rsidRPr="00CF3AD4">
        <w:rPr>
          <w:rFonts w:asciiTheme="majorHAnsi" w:hAnsiTheme="majorHAnsi" w:cstheme="majorHAnsi"/>
          <w:sz w:val="24"/>
          <w:szCs w:val="24"/>
          <w:lang w:val="ro-MD"/>
        </w:rPr>
        <w:t>de 36</w:t>
      </w:r>
      <w:r w:rsidR="004042B6" w:rsidRPr="00CF3AD4">
        <w:rPr>
          <w:rFonts w:asciiTheme="majorHAnsi" w:hAnsiTheme="majorHAnsi" w:cstheme="majorHAnsi"/>
          <w:sz w:val="24"/>
          <w:szCs w:val="24"/>
          <w:lang w:val="ro-MD"/>
        </w:rPr>
        <w:t>.</w:t>
      </w:r>
      <w:r w:rsidR="009E09B0" w:rsidRPr="00CF3AD4">
        <w:rPr>
          <w:rFonts w:asciiTheme="majorHAnsi" w:hAnsiTheme="majorHAnsi" w:cstheme="majorHAnsi"/>
          <w:sz w:val="24"/>
          <w:szCs w:val="24"/>
          <w:lang w:val="ro-MD"/>
        </w:rPr>
        <w:t>334</w:t>
      </w:r>
      <w:r w:rsidR="004042B6" w:rsidRPr="00CF3AD4">
        <w:rPr>
          <w:rFonts w:asciiTheme="majorHAnsi" w:hAnsiTheme="majorHAnsi" w:cstheme="majorHAnsi"/>
          <w:sz w:val="24"/>
          <w:szCs w:val="24"/>
          <w:lang w:val="ro-MD"/>
        </w:rPr>
        <w:t>,</w:t>
      </w:r>
      <w:r w:rsidR="009E09B0" w:rsidRPr="00CF3AD4">
        <w:rPr>
          <w:rFonts w:asciiTheme="majorHAnsi" w:hAnsiTheme="majorHAnsi" w:cstheme="majorHAnsi"/>
          <w:sz w:val="24"/>
          <w:szCs w:val="24"/>
          <w:lang w:val="ro-MD"/>
        </w:rPr>
        <w:t>4</w:t>
      </w:r>
      <w:r w:rsidRPr="00CF3AD4">
        <w:rPr>
          <w:rFonts w:asciiTheme="majorHAnsi" w:hAnsiTheme="majorHAnsi" w:cstheme="majorHAnsi"/>
          <w:sz w:val="24"/>
          <w:szCs w:val="24"/>
          <w:lang w:val="ro-MD"/>
        </w:rPr>
        <w:t xml:space="preserve"> mi</w:t>
      </w:r>
      <w:r w:rsidR="004042B6" w:rsidRPr="00CF3AD4">
        <w:rPr>
          <w:rFonts w:asciiTheme="majorHAnsi" w:hAnsiTheme="majorHAnsi" w:cstheme="majorHAnsi"/>
          <w:sz w:val="24"/>
          <w:szCs w:val="24"/>
          <w:lang w:val="ro-MD"/>
        </w:rPr>
        <w:t xml:space="preserve">i </w:t>
      </w:r>
      <w:r w:rsidRPr="00CF3AD4">
        <w:rPr>
          <w:rFonts w:asciiTheme="majorHAnsi" w:hAnsiTheme="majorHAnsi" w:cstheme="majorHAnsi"/>
          <w:sz w:val="24"/>
          <w:szCs w:val="24"/>
          <w:lang w:val="ro-MD"/>
        </w:rPr>
        <w:t>lei</w:t>
      </w:r>
      <w:r w:rsidR="00B45D5A" w:rsidRPr="00CF3AD4">
        <w:rPr>
          <w:rFonts w:asciiTheme="majorHAnsi" w:hAnsiTheme="majorHAnsi" w:cstheme="majorHAnsi"/>
          <w:sz w:val="24"/>
          <w:szCs w:val="24"/>
          <w:vertAlign w:val="superscript"/>
          <w:lang w:val="ro-MD"/>
        </w:rPr>
        <w:footnoteReference w:id="75"/>
      </w:r>
      <w:r w:rsidR="004042B6" w:rsidRPr="00CF3AD4">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lucrările fiind clasificate </w:t>
      </w:r>
      <w:r w:rsidR="002B0FA0" w:rsidRPr="009772A3">
        <w:rPr>
          <w:rFonts w:asciiTheme="majorHAnsi" w:hAnsiTheme="majorHAnsi" w:cstheme="majorHAnsi"/>
          <w:sz w:val="24"/>
          <w:szCs w:val="24"/>
          <w:lang w:val="ro-MD"/>
        </w:rPr>
        <w:t xml:space="preserve">neîntemeiat </w:t>
      </w:r>
      <w:r w:rsidRPr="009772A3">
        <w:rPr>
          <w:rFonts w:asciiTheme="majorHAnsi" w:hAnsiTheme="majorHAnsi" w:cstheme="majorHAnsi"/>
          <w:sz w:val="24"/>
          <w:szCs w:val="24"/>
          <w:lang w:val="ro-MD"/>
        </w:rPr>
        <w:t xml:space="preserve">ca cheltuieli curente, </w:t>
      </w:r>
      <w:r w:rsidR="0012645E" w:rsidRPr="009772A3">
        <w:rPr>
          <w:rFonts w:asciiTheme="majorHAnsi" w:hAnsiTheme="majorHAnsi" w:cstheme="majorHAnsi"/>
          <w:sz w:val="24"/>
          <w:szCs w:val="24"/>
          <w:lang w:val="ro-MD"/>
        </w:rPr>
        <w:t xml:space="preserve">prin ce </w:t>
      </w:r>
      <w:r w:rsidRPr="009772A3">
        <w:rPr>
          <w:rFonts w:asciiTheme="majorHAnsi" w:hAnsiTheme="majorHAnsi" w:cstheme="majorHAnsi"/>
          <w:sz w:val="24"/>
          <w:szCs w:val="24"/>
          <w:lang w:val="ro-MD"/>
        </w:rPr>
        <w:t xml:space="preserve"> au </w:t>
      </w:r>
      <w:r w:rsidR="0012645E" w:rsidRPr="009772A3">
        <w:rPr>
          <w:rFonts w:asciiTheme="majorHAnsi" w:hAnsiTheme="majorHAnsi" w:cstheme="majorHAnsi"/>
          <w:sz w:val="24"/>
          <w:szCs w:val="24"/>
          <w:lang w:val="ro-MD"/>
        </w:rPr>
        <w:t xml:space="preserve">fost </w:t>
      </w:r>
      <w:r w:rsidRPr="009772A3">
        <w:rPr>
          <w:rFonts w:asciiTheme="majorHAnsi" w:hAnsiTheme="majorHAnsi" w:cstheme="majorHAnsi"/>
          <w:sz w:val="24"/>
          <w:szCs w:val="24"/>
          <w:lang w:val="ro-MD"/>
        </w:rPr>
        <w:t>majorat</w:t>
      </w:r>
      <w:r w:rsidR="0012645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w:t>
      </w:r>
      <w:r w:rsidR="0012645E" w:rsidRPr="009772A3">
        <w:rPr>
          <w:rFonts w:asciiTheme="majorHAnsi" w:hAnsiTheme="majorHAnsi" w:cstheme="majorHAnsi"/>
          <w:sz w:val="24"/>
          <w:szCs w:val="24"/>
          <w:lang w:val="ro-MD"/>
        </w:rPr>
        <w:t xml:space="preserve">cheltuielile perioadei </w:t>
      </w:r>
      <w:r w:rsidRPr="009772A3">
        <w:rPr>
          <w:rFonts w:asciiTheme="majorHAnsi" w:hAnsiTheme="majorHAnsi" w:cstheme="majorHAnsi"/>
          <w:sz w:val="24"/>
          <w:szCs w:val="24"/>
          <w:lang w:val="ro-MD"/>
        </w:rPr>
        <w:t xml:space="preserve"> cu suma menționată.</w:t>
      </w:r>
      <w:r w:rsidR="00B45D5A" w:rsidRPr="009772A3">
        <w:rPr>
          <w:rFonts w:asciiTheme="majorHAnsi" w:hAnsiTheme="majorHAnsi" w:cstheme="majorHAnsi"/>
          <w:sz w:val="24"/>
          <w:szCs w:val="24"/>
          <w:lang w:val="ro-MD"/>
        </w:rPr>
        <w:t xml:space="preserve"> </w:t>
      </w:r>
    </w:p>
    <w:p w14:paraId="7165818A" w14:textId="341E8486" w:rsidR="00DB4D5C" w:rsidRPr="009772A3" w:rsidRDefault="00DB4D5C" w:rsidP="00DB4D5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shd w:val="clear" w:color="auto" w:fill="FFFFFF"/>
          <w:lang w:val="ro-MD"/>
        </w:rPr>
        <w:t>Astfel, în anul 2018 au fost efectuate lucrări de izolare a rețelei magistrale „</w:t>
      </w:r>
      <w:r w:rsidRPr="009772A3">
        <w:rPr>
          <w:rFonts w:asciiTheme="majorHAnsi" w:hAnsiTheme="majorHAnsi" w:cstheme="majorHAnsi"/>
          <w:sz w:val="24"/>
          <w:szCs w:val="24"/>
          <w:lang w:val="ro-MD"/>
        </w:rPr>
        <w:t>Odessa-Chișinău” în valoare inițială de 22</w:t>
      </w:r>
      <w:r w:rsidR="00CB130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901,9 mii lei și valoare</w:t>
      </w:r>
      <w:r w:rsidR="00CB1305"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de bilanț 0 lei (amortizat integral). Reieșind din faptul că</w:t>
      </w:r>
      <w:r w:rsidR="00CB130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urma reparațiilor efectuate, termenul de exploatare a </w:t>
      </w:r>
      <w:r w:rsidR="00020051" w:rsidRPr="009772A3">
        <w:rPr>
          <w:rFonts w:asciiTheme="majorHAnsi" w:hAnsiTheme="majorHAnsi" w:cstheme="majorHAnsi"/>
          <w:sz w:val="24"/>
          <w:szCs w:val="24"/>
          <w:lang w:val="ro-MD"/>
        </w:rPr>
        <w:t>rețele</w:t>
      </w:r>
      <w:r w:rsidR="00020051">
        <w:rPr>
          <w:rFonts w:asciiTheme="majorHAnsi" w:hAnsiTheme="majorHAnsi" w:cstheme="majorHAnsi"/>
          <w:sz w:val="24"/>
          <w:szCs w:val="24"/>
          <w:lang w:val="ro-MD"/>
        </w:rPr>
        <w:t>i</w:t>
      </w:r>
      <w:r w:rsidR="00020051"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s-a majorat cu circa 10 ani (termenul mediu de uzură a izolației stabilit în documentația normativă a SA Gazprom de care se conduce la moment  SRL Moldovatransgaz), cheltuielile menționate urmau  a fi capitalizate. </w:t>
      </w:r>
    </w:p>
    <w:p w14:paraId="5E278770" w14:textId="777BBB34" w:rsidR="00DB4D5C" w:rsidRPr="009772A3" w:rsidRDefault="00DB4D5C" w:rsidP="00DB4D5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Analogic, în anul 2018 au fost efectuate lucrări de izolare a conductei magistrale Chișinău-Râbnița pe o lungime </w:t>
      </w:r>
      <w:r w:rsidR="00CB1305"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5,0 </w:t>
      </w:r>
      <w:r w:rsidR="00020051">
        <w:rPr>
          <w:rFonts w:asciiTheme="majorHAnsi" w:hAnsiTheme="majorHAnsi" w:cstheme="majorHAnsi"/>
          <w:sz w:val="24"/>
          <w:szCs w:val="24"/>
          <w:lang w:val="ro-MD"/>
        </w:rPr>
        <w:t>k</w:t>
      </w:r>
      <w:r w:rsidRPr="009772A3">
        <w:rPr>
          <w:rFonts w:asciiTheme="majorHAnsi" w:hAnsiTheme="majorHAnsi" w:cstheme="majorHAnsi"/>
          <w:sz w:val="24"/>
          <w:szCs w:val="24"/>
          <w:lang w:val="ro-MD"/>
        </w:rPr>
        <w:t>m</w:t>
      </w:r>
      <w:r w:rsidR="00CB130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 o suprafață </w:t>
      </w:r>
      <w:r w:rsidR="00CB1305"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8</w:t>
      </w:r>
      <w:r w:rsidR="00CB130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305,0 m</w:t>
      </w:r>
      <w:r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 xml:space="preserve"> în valoare de 13</w:t>
      </w:r>
      <w:r w:rsidR="00CB130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4</w:t>
      </w:r>
      <w:r w:rsidR="009E09B0" w:rsidRPr="009772A3">
        <w:rPr>
          <w:rFonts w:asciiTheme="majorHAnsi" w:hAnsiTheme="majorHAnsi" w:cstheme="majorHAnsi"/>
          <w:sz w:val="24"/>
          <w:szCs w:val="24"/>
          <w:lang w:val="ro-MD"/>
        </w:rPr>
        <w:t>32</w:t>
      </w:r>
      <w:r w:rsidRPr="009772A3">
        <w:rPr>
          <w:rFonts w:asciiTheme="majorHAnsi" w:hAnsiTheme="majorHAnsi" w:cstheme="majorHAnsi"/>
          <w:sz w:val="24"/>
          <w:szCs w:val="24"/>
          <w:lang w:val="ro-MD"/>
        </w:rPr>
        <w:t>,8 mii lei, și care au fost clasificate ca cheltuieli curente, deși conform documentație</w:t>
      </w:r>
      <w:r w:rsidR="00CB1305"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SA Gazprom</w:t>
      </w:r>
      <w:r w:rsidRPr="009772A3">
        <w:rPr>
          <w:rFonts w:asciiTheme="majorHAnsi" w:hAnsiTheme="majorHAnsi" w:cstheme="majorHAnsi"/>
          <w:sz w:val="24"/>
          <w:szCs w:val="24"/>
          <w:vertAlign w:val="superscript"/>
          <w:lang w:val="ro-MD"/>
        </w:rPr>
        <w:footnoteReference w:id="76"/>
      </w:r>
      <w:r w:rsidR="00CB130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reparație curentă a gazoductului se consideră reparația izolației cu lungimea de până la </w:t>
      </w:r>
      <w:r w:rsidR="00020051">
        <w:rPr>
          <w:rFonts w:asciiTheme="majorHAnsi" w:hAnsiTheme="majorHAnsi" w:cstheme="majorHAnsi"/>
          <w:sz w:val="24"/>
          <w:szCs w:val="24"/>
          <w:lang w:val="ro-MD"/>
        </w:rPr>
        <w:t>0,</w:t>
      </w:r>
      <w:r w:rsidRPr="009772A3">
        <w:rPr>
          <w:rFonts w:asciiTheme="majorHAnsi" w:hAnsiTheme="majorHAnsi" w:cstheme="majorHAnsi"/>
          <w:sz w:val="24"/>
          <w:szCs w:val="24"/>
          <w:lang w:val="ro-MD"/>
        </w:rPr>
        <w:t xml:space="preserve">5 </w:t>
      </w:r>
      <w:r w:rsidR="00020051">
        <w:rPr>
          <w:rFonts w:asciiTheme="majorHAnsi" w:hAnsiTheme="majorHAnsi" w:cstheme="majorHAnsi"/>
          <w:sz w:val="24"/>
          <w:szCs w:val="24"/>
          <w:lang w:val="ro-MD"/>
        </w:rPr>
        <w:t>k</w:t>
      </w:r>
      <w:r w:rsidRPr="009772A3">
        <w:rPr>
          <w:rFonts w:asciiTheme="majorHAnsi" w:hAnsiTheme="majorHAnsi" w:cstheme="majorHAnsi"/>
          <w:sz w:val="24"/>
          <w:szCs w:val="24"/>
          <w:lang w:val="ro-MD"/>
        </w:rPr>
        <w:t>m.</w:t>
      </w:r>
    </w:p>
    <w:p w14:paraId="212A36D9" w14:textId="60C9B239" w:rsidR="0054171B" w:rsidRPr="009772A3" w:rsidRDefault="0054171B" w:rsidP="00251D72">
      <w:pPr>
        <w:pStyle w:val="Heading1"/>
        <w:numPr>
          <w:ilvl w:val="2"/>
          <w:numId w:val="2"/>
        </w:numPr>
        <w:spacing w:line="276" w:lineRule="auto"/>
        <w:ind w:left="0" w:firstLine="0"/>
        <w:jc w:val="both"/>
        <w:rPr>
          <w:color w:val="auto"/>
          <w:lang w:val="ro-MD"/>
        </w:rPr>
      </w:pPr>
      <w:bookmarkStart w:id="97" w:name="_Toc119496414"/>
      <w:r w:rsidRPr="009772A3">
        <w:rPr>
          <w:color w:val="auto"/>
          <w:lang w:val="ro-MD"/>
        </w:rPr>
        <w:t>Procesul de achiziții în cadrul întreprinderilor de gaze naturale, așa cum a fost proiectat, nu a</w:t>
      </w:r>
      <w:r w:rsidR="00283781" w:rsidRPr="009772A3">
        <w:rPr>
          <w:color w:val="auto"/>
          <w:lang w:val="ro-MD"/>
        </w:rPr>
        <w:t xml:space="preserve"> fost în măsură să</w:t>
      </w:r>
      <w:r w:rsidRPr="009772A3">
        <w:rPr>
          <w:color w:val="auto"/>
          <w:lang w:val="ro-MD"/>
        </w:rPr>
        <w:t xml:space="preserve"> asigur</w:t>
      </w:r>
      <w:r w:rsidR="00283781" w:rsidRPr="009772A3">
        <w:rPr>
          <w:color w:val="auto"/>
          <w:lang w:val="ro-MD"/>
        </w:rPr>
        <w:t>e</w:t>
      </w:r>
      <w:r w:rsidR="002D0CCB" w:rsidRPr="009772A3">
        <w:rPr>
          <w:color w:val="auto"/>
          <w:lang w:val="ro-MD"/>
        </w:rPr>
        <w:t xml:space="preserve"> respectarea </w:t>
      </w:r>
      <w:r w:rsidR="00AF0D97">
        <w:rPr>
          <w:color w:val="auto"/>
          <w:lang w:val="ro-MD"/>
        </w:rPr>
        <w:t xml:space="preserve">întocmai a </w:t>
      </w:r>
      <w:r w:rsidR="002D0CCB" w:rsidRPr="009772A3">
        <w:rPr>
          <w:color w:val="auto"/>
          <w:lang w:val="ro-MD"/>
        </w:rPr>
        <w:t>principiilor de</w:t>
      </w:r>
      <w:r w:rsidR="00283781" w:rsidRPr="009772A3">
        <w:rPr>
          <w:color w:val="auto"/>
          <w:lang w:val="ro-MD"/>
        </w:rPr>
        <w:t xml:space="preserve"> transparenț</w:t>
      </w:r>
      <w:r w:rsidR="002D0CCB" w:rsidRPr="009772A3">
        <w:rPr>
          <w:color w:val="auto"/>
          <w:lang w:val="ro-MD"/>
        </w:rPr>
        <w:t>ă</w:t>
      </w:r>
      <w:r w:rsidR="00283781" w:rsidRPr="009772A3">
        <w:rPr>
          <w:color w:val="auto"/>
          <w:lang w:val="ro-MD"/>
        </w:rPr>
        <w:t>, concurenț</w:t>
      </w:r>
      <w:r w:rsidR="002D0CCB" w:rsidRPr="009772A3">
        <w:rPr>
          <w:color w:val="auto"/>
          <w:lang w:val="ro-MD"/>
        </w:rPr>
        <w:t>ă</w:t>
      </w:r>
      <w:r w:rsidR="00283781" w:rsidRPr="009772A3">
        <w:rPr>
          <w:color w:val="auto"/>
          <w:lang w:val="ro-MD"/>
        </w:rPr>
        <w:t xml:space="preserve"> și</w:t>
      </w:r>
      <w:r w:rsidRPr="009772A3">
        <w:rPr>
          <w:color w:val="auto"/>
          <w:lang w:val="ro-MD"/>
        </w:rPr>
        <w:t xml:space="preserve"> eficienț</w:t>
      </w:r>
      <w:r w:rsidR="002D0CCB" w:rsidRPr="009772A3">
        <w:rPr>
          <w:color w:val="auto"/>
          <w:lang w:val="ro-MD"/>
        </w:rPr>
        <w:t xml:space="preserve">ă </w:t>
      </w:r>
      <w:r w:rsidR="001F3023" w:rsidRPr="009772A3">
        <w:rPr>
          <w:color w:val="auto"/>
          <w:lang w:val="ro-MD"/>
        </w:rPr>
        <w:t>l</w:t>
      </w:r>
      <w:r w:rsidR="002D0CCB" w:rsidRPr="009772A3">
        <w:rPr>
          <w:color w:val="auto"/>
          <w:lang w:val="ro-MD"/>
        </w:rPr>
        <w:t>a</w:t>
      </w:r>
      <w:r w:rsidR="001F3023" w:rsidRPr="009772A3">
        <w:rPr>
          <w:color w:val="auto"/>
          <w:lang w:val="ro-MD"/>
        </w:rPr>
        <w:t xml:space="preserve"> efectuarea</w:t>
      </w:r>
      <w:r w:rsidR="00283781" w:rsidRPr="009772A3">
        <w:rPr>
          <w:color w:val="auto"/>
          <w:lang w:val="ro-MD"/>
        </w:rPr>
        <w:t xml:space="preserve"> </w:t>
      </w:r>
      <w:r w:rsidR="00AF0D97">
        <w:rPr>
          <w:color w:val="auto"/>
          <w:lang w:val="ro-MD"/>
        </w:rPr>
        <w:t>procurări</w:t>
      </w:r>
      <w:r w:rsidR="00AF0D97" w:rsidRPr="009772A3">
        <w:rPr>
          <w:color w:val="auto"/>
          <w:lang w:val="ro-MD"/>
        </w:rPr>
        <w:t>lor</w:t>
      </w:r>
      <w:r w:rsidR="00283781" w:rsidRPr="009772A3">
        <w:rPr>
          <w:color w:val="auto"/>
          <w:lang w:val="ro-MD"/>
        </w:rPr>
        <w:t>.</w:t>
      </w:r>
      <w:bookmarkEnd w:id="97"/>
      <w:r w:rsidR="00283781" w:rsidRPr="009772A3">
        <w:rPr>
          <w:color w:val="auto"/>
          <w:lang w:val="ro-MD"/>
        </w:rPr>
        <w:t xml:space="preserve"> </w:t>
      </w:r>
    </w:p>
    <w:p w14:paraId="2AB5163B" w14:textId="3EA25DDB" w:rsidR="00AD4297" w:rsidRPr="009772A3" w:rsidRDefault="00AD4297" w:rsidP="00425A91">
      <w:pPr>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Achizițiile reprezintă o component</w:t>
      </w:r>
      <w:r w:rsidR="00425A91"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substantial</w:t>
      </w:r>
      <w:r w:rsidR="00425A91"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în activitățile desfășurate de întreprinderile din grupul SA Moldovagaz. Astfel, în perioada 2017-2021 grupul SA Moldovagaz a efectuat procurări de mărfuri, lucrări și servicii în sumă totală de </w:t>
      </w:r>
      <w:r w:rsidR="008846C6" w:rsidRPr="009772A3">
        <w:rPr>
          <w:rFonts w:asciiTheme="majorHAnsi" w:hAnsiTheme="majorHAnsi" w:cstheme="majorHAnsi"/>
          <w:sz w:val="24"/>
          <w:szCs w:val="24"/>
          <w:lang w:val="ro-MD"/>
        </w:rPr>
        <w:t>36</w:t>
      </w:r>
      <w:r w:rsidR="00B5698E" w:rsidRPr="009772A3">
        <w:rPr>
          <w:rFonts w:asciiTheme="majorHAnsi" w:hAnsiTheme="majorHAnsi" w:cstheme="majorHAnsi"/>
          <w:sz w:val="24"/>
          <w:szCs w:val="24"/>
          <w:lang w:val="ro-MD"/>
        </w:rPr>
        <w:t>.</w:t>
      </w:r>
      <w:r w:rsidR="008846C6" w:rsidRPr="009772A3">
        <w:rPr>
          <w:rFonts w:asciiTheme="majorHAnsi" w:hAnsiTheme="majorHAnsi" w:cstheme="majorHAnsi"/>
          <w:sz w:val="24"/>
          <w:szCs w:val="24"/>
          <w:lang w:val="ro-MD"/>
        </w:rPr>
        <w:t>041</w:t>
      </w:r>
      <w:r w:rsidR="00B5698E" w:rsidRPr="009772A3">
        <w:rPr>
          <w:rFonts w:asciiTheme="majorHAnsi" w:hAnsiTheme="majorHAnsi" w:cstheme="majorHAnsi"/>
          <w:sz w:val="24"/>
          <w:szCs w:val="24"/>
          <w:lang w:val="ro-MD"/>
        </w:rPr>
        <w:t>.</w:t>
      </w:r>
      <w:r w:rsidR="008846C6" w:rsidRPr="009772A3">
        <w:rPr>
          <w:rFonts w:asciiTheme="majorHAnsi" w:hAnsiTheme="majorHAnsi" w:cstheme="majorHAnsi"/>
          <w:sz w:val="24"/>
          <w:szCs w:val="24"/>
          <w:lang w:val="ro-MD"/>
        </w:rPr>
        <w:t>894,7</w:t>
      </w:r>
      <w:r w:rsidR="00425A91" w:rsidRPr="009772A3">
        <w:rPr>
          <w:rFonts w:asciiTheme="majorHAnsi" w:hAnsiTheme="majorHAnsi" w:cstheme="majorHAnsi"/>
          <w:sz w:val="24"/>
          <w:szCs w:val="24"/>
          <w:lang w:val="ro-MD"/>
        </w:rPr>
        <w:t xml:space="preserve"> mii lei, din care procurările de gaze naturale constituie 22</w:t>
      </w:r>
      <w:r w:rsidR="00B5698E" w:rsidRPr="009772A3">
        <w:rPr>
          <w:rFonts w:asciiTheme="majorHAnsi" w:hAnsiTheme="majorHAnsi" w:cstheme="majorHAnsi"/>
          <w:sz w:val="24"/>
          <w:szCs w:val="24"/>
          <w:lang w:val="ro-MD"/>
        </w:rPr>
        <w:t>.</w:t>
      </w:r>
      <w:r w:rsidR="00425A91" w:rsidRPr="009772A3">
        <w:rPr>
          <w:rFonts w:asciiTheme="majorHAnsi" w:hAnsiTheme="majorHAnsi" w:cstheme="majorHAnsi"/>
          <w:sz w:val="24"/>
          <w:szCs w:val="24"/>
          <w:lang w:val="ro-MD"/>
        </w:rPr>
        <w:t>727</w:t>
      </w:r>
      <w:r w:rsidR="00B5698E" w:rsidRPr="009772A3">
        <w:rPr>
          <w:rFonts w:asciiTheme="majorHAnsi" w:hAnsiTheme="majorHAnsi" w:cstheme="majorHAnsi"/>
          <w:sz w:val="24"/>
          <w:szCs w:val="24"/>
          <w:lang w:val="ro-MD"/>
        </w:rPr>
        <w:t>.</w:t>
      </w:r>
      <w:r w:rsidR="00425A91" w:rsidRPr="009772A3">
        <w:rPr>
          <w:rFonts w:asciiTheme="majorHAnsi" w:hAnsiTheme="majorHAnsi" w:cstheme="majorHAnsi"/>
          <w:sz w:val="24"/>
          <w:szCs w:val="24"/>
          <w:lang w:val="ro-MD"/>
        </w:rPr>
        <w:t>428,7 mii lei</w:t>
      </w:r>
      <w:r w:rsidR="008846C6" w:rsidRPr="009772A3">
        <w:rPr>
          <w:rFonts w:asciiTheme="majorHAnsi" w:hAnsiTheme="majorHAnsi" w:cstheme="majorHAnsi"/>
          <w:sz w:val="24"/>
          <w:szCs w:val="24"/>
          <w:lang w:val="ro-MD"/>
        </w:rPr>
        <w:t>,</w:t>
      </w:r>
      <w:r w:rsidR="00425A91" w:rsidRPr="009772A3">
        <w:rPr>
          <w:rFonts w:asciiTheme="majorHAnsi" w:hAnsiTheme="majorHAnsi" w:cstheme="majorHAnsi"/>
          <w:sz w:val="24"/>
          <w:szCs w:val="24"/>
          <w:lang w:val="ro-MD"/>
        </w:rPr>
        <w:t xml:space="preserve"> iar alte bunuri și servicii constituie 13</w:t>
      </w:r>
      <w:r w:rsidR="00A50146" w:rsidRPr="009772A3">
        <w:rPr>
          <w:rFonts w:asciiTheme="majorHAnsi" w:hAnsiTheme="majorHAnsi" w:cstheme="majorHAnsi"/>
          <w:sz w:val="24"/>
          <w:szCs w:val="24"/>
          <w:lang w:val="ro-MD"/>
        </w:rPr>
        <w:t>.</w:t>
      </w:r>
      <w:r w:rsidR="008846C6" w:rsidRPr="009772A3">
        <w:rPr>
          <w:rFonts w:asciiTheme="majorHAnsi" w:hAnsiTheme="majorHAnsi" w:cstheme="majorHAnsi"/>
          <w:sz w:val="24"/>
          <w:szCs w:val="24"/>
          <w:lang w:val="ro-MD"/>
        </w:rPr>
        <w:t>3</w:t>
      </w:r>
      <w:r w:rsidR="00425A91" w:rsidRPr="009772A3">
        <w:rPr>
          <w:rFonts w:asciiTheme="majorHAnsi" w:hAnsiTheme="majorHAnsi" w:cstheme="majorHAnsi"/>
          <w:sz w:val="24"/>
          <w:szCs w:val="24"/>
          <w:lang w:val="ro-MD"/>
        </w:rPr>
        <w:t>14</w:t>
      </w:r>
      <w:r w:rsidR="00A50146" w:rsidRPr="009772A3">
        <w:rPr>
          <w:rFonts w:asciiTheme="majorHAnsi" w:hAnsiTheme="majorHAnsi" w:cstheme="majorHAnsi"/>
          <w:sz w:val="24"/>
          <w:szCs w:val="24"/>
          <w:lang w:val="ro-MD"/>
        </w:rPr>
        <w:t>.</w:t>
      </w:r>
      <w:r w:rsidR="008846C6" w:rsidRPr="009772A3">
        <w:rPr>
          <w:rFonts w:asciiTheme="majorHAnsi" w:hAnsiTheme="majorHAnsi" w:cstheme="majorHAnsi"/>
          <w:sz w:val="24"/>
          <w:szCs w:val="24"/>
          <w:lang w:val="ro-MD"/>
        </w:rPr>
        <w:t>466</w:t>
      </w:r>
      <w:r w:rsidR="00425A91" w:rsidRPr="009772A3">
        <w:rPr>
          <w:rFonts w:asciiTheme="majorHAnsi" w:hAnsiTheme="majorHAnsi" w:cstheme="majorHAnsi"/>
          <w:sz w:val="24"/>
          <w:szCs w:val="24"/>
          <w:lang w:val="ro-MD"/>
        </w:rPr>
        <w:t>,</w:t>
      </w:r>
      <w:r w:rsidR="008846C6" w:rsidRPr="009772A3">
        <w:rPr>
          <w:rFonts w:asciiTheme="majorHAnsi" w:hAnsiTheme="majorHAnsi" w:cstheme="majorHAnsi"/>
          <w:sz w:val="24"/>
          <w:szCs w:val="24"/>
          <w:lang w:val="ro-MD"/>
        </w:rPr>
        <w:t>0</w:t>
      </w:r>
      <w:r w:rsidR="00E70954" w:rsidRPr="009772A3">
        <w:rPr>
          <w:rFonts w:asciiTheme="majorHAnsi" w:hAnsiTheme="majorHAnsi" w:cstheme="majorHAnsi"/>
          <w:sz w:val="24"/>
          <w:szCs w:val="24"/>
          <w:lang w:val="ro-MD"/>
        </w:rPr>
        <w:t xml:space="preserve"> mii lei</w:t>
      </w:r>
      <w:r w:rsidR="00244124" w:rsidRPr="009772A3">
        <w:rPr>
          <w:rFonts w:asciiTheme="majorHAnsi" w:hAnsiTheme="majorHAnsi" w:cstheme="majorHAnsi"/>
          <w:sz w:val="24"/>
          <w:szCs w:val="24"/>
          <w:lang w:val="ro-MD"/>
        </w:rPr>
        <w:t xml:space="preserve"> (din care 7.585.290,3 mii lei reprezintă tranzacțiile intragrup)</w:t>
      </w:r>
      <w:r w:rsidR="00E70954" w:rsidRPr="009772A3">
        <w:rPr>
          <w:rFonts w:asciiTheme="majorHAnsi" w:hAnsiTheme="majorHAnsi" w:cstheme="majorHAnsi"/>
          <w:sz w:val="24"/>
          <w:szCs w:val="24"/>
          <w:lang w:val="ro-MD"/>
        </w:rPr>
        <w:t>.</w:t>
      </w:r>
    </w:p>
    <w:p w14:paraId="689AF081" w14:textId="34C72A1F" w:rsidR="00CB1305" w:rsidRPr="009772A3" w:rsidRDefault="00CB1305" w:rsidP="00EE17E2">
      <w:pPr>
        <w:ind w:firstLine="720"/>
        <w:jc w:val="right"/>
        <w:rPr>
          <w:rFonts w:asciiTheme="majorHAnsi" w:hAnsiTheme="majorHAnsi" w:cstheme="majorHAnsi"/>
          <w:sz w:val="24"/>
          <w:szCs w:val="24"/>
          <w:lang w:val="ro-MD"/>
        </w:rPr>
      </w:pPr>
      <w:r w:rsidRPr="009772A3">
        <w:rPr>
          <w:rFonts w:asciiTheme="majorHAnsi" w:hAnsiTheme="majorHAnsi" w:cstheme="majorHAnsi"/>
          <w:sz w:val="24"/>
          <w:szCs w:val="24"/>
          <w:lang w:val="ro-MD"/>
        </w:rPr>
        <w:t>Tabelul nr.</w:t>
      </w:r>
      <w:r w:rsidR="00182CF3" w:rsidRPr="009772A3">
        <w:rPr>
          <w:rFonts w:asciiTheme="majorHAnsi" w:hAnsiTheme="majorHAnsi" w:cstheme="majorHAnsi"/>
          <w:sz w:val="24"/>
          <w:szCs w:val="24"/>
          <w:lang w:val="ro-MD"/>
        </w:rPr>
        <w:t>4.2.</w:t>
      </w:r>
      <w:r w:rsidR="00AF0D97">
        <w:rPr>
          <w:rFonts w:asciiTheme="majorHAnsi" w:hAnsiTheme="majorHAnsi" w:cstheme="majorHAnsi"/>
          <w:sz w:val="24"/>
          <w:szCs w:val="24"/>
          <w:lang w:val="ro-MD"/>
        </w:rPr>
        <w:t>4</w:t>
      </w:r>
      <w:r w:rsidR="00182CF3" w:rsidRPr="009772A3">
        <w:rPr>
          <w:rFonts w:asciiTheme="majorHAnsi" w:hAnsiTheme="majorHAnsi" w:cstheme="majorHAnsi"/>
          <w:sz w:val="24"/>
          <w:szCs w:val="24"/>
          <w:lang w:val="ro-MD"/>
        </w:rPr>
        <w:t>.</w:t>
      </w:r>
      <w:r w:rsidR="00AF0D97">
        <w:rPr>
          <w:rFonts w:asciiTheme="majorHAnsi" w:hAnsiTheme="majorHAnsi" w:cstheme="majorHAnsi"/>
          <w:sz w:val="24"/>
          <w:szCs w:val="24"/>
          <w:lang w:val="ro-MD"/>
        </w:rPr>
        <w:t>1</w:t>
      </w:r>
    </w:p>
    <w:p w14:paraId="3F98C635" w14:textId="57A7B2F0" w:rsidR="00182CF3" w:rsidRPr="00CF3AD4" w:rsidRDefault="00AF0D97" w:rsidP="00CF3AD4">
      <w:pPr>
        <w:jc w:val="center"/>
        <w:rPr>
          <w:rFonts w:asciiTheme="majorHAnsi" w:hAnsiTheme="majorHAnsi" w:cstheme="majorHAnsi"/>
          <w:b/>
          <w:sz w:val="24"/>
          <w:szCs w:val="24"/>
          <w:lang w:val="ro-MD"/>
        </w:rPr>
      </w:pPr>
      <w:r w:rsidRPr="00CF3AD4">
        <w:rPr>
          <w:rFonts w:asciiTheme="majorHAnsi" w:hAnsiTheme="majorHAnsi" w:cstheme="majorHAnsi"/>
          <w:b/>
          <w:sz w:val="24"/>
          <w:szCs w:val="24"/>
          <w:lang w:val="ro-MD"/>
        </w:rPr>
        <w:t xml:space="preserve">Valoarea procurărilor efectuate de  grupul SA Moldovagaz în perioada 2017-2021 </w:t>
      </w:r>
    </w:p>
    <w:tbl>
      <w:tblPr>
        <w:tblW w:w="93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98"/>
        <w:gridCol w:w="1559"/>
        <w:gridCol w:w="2410"/>
        <w:gridCol w:w="1846"/>
      </w:tblGrid>
      <w:tr w:rsidR="00AD4297" w:rsidRPr="009772A3" w14:paraId="1639F1B6" w14:textId="77777777" w:rsidTr="00F46739">
        <w:trPr>
          <w:trHeight w:val="20"/>
        </w:trPr>
        <w:tc>
          <w:tcPr>
            <w:tcW w:w="1761" w:type="dxa"/>
            <w:shd w:val="clear" w:color="auto" w:fill="auto"/>
            <w:noWrap/>
            <w:vAlign w:val="center"/>
            <w:hideMark/>
          </w:tcPr>
          <w:p w14:paraId="30E66AE5" w14:textId="77777777" w:rsidR="00AD4297" w:rsidRPr="009772A3" w:rsidRDefault="00AD4297" w:rsidP="00F46739">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Entitatea</w:t>
            </w:r>
          </w:p>
        </w:tc>
        <w:tc>
          <w:tcPr>
            <w:tcW w:w="1798" w:type="dxa"/>
            <w:shd w:val="clear" w:color="auto" w:fill="auto"/>
            <w:vAlign w:val="center"/>
            <w:hideMark/>
          </w:tcPr>
          <w:p w14:paraId="69ACE086" w14:textId="39CD33EE" w:rsidR="00AD4297" w:rsidRPr="009772A3" w:rsidRDefault="00182CF3" w:rsidP="00F46739">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V</w:t>
            </w:r>
            <w:r w:rsidR="00AD4297" w:rsidRPr="009772A3">
              <w:rPr>
                <w:rFonts w:asciiTheme="majorHAnsi" w:eastAsia="Times New Roman" w:hAnsiTheme="majorHAnsi" w:cstheme="majorHAnsi"/>
                <w:b/>
                <w:sz w:val="16"/>
                <w:szCs w:val="16"/>
                <w:lang w:val="ro-MD" w:eastAsia="ru-RU"/>
              </w:rPr>
              <w:t>aloarea procurărilor, inclusiv TVA</w:t>
            </w:r>
            <w:r w:rsidRPr="009772A3">
              <w:rPr>
                <w:rFonts w:asciiTheme="majorHAnsi" w:eastAsia="Times New Roman" w:hAnsiTheme="majorHAnsi" w:cstheme="majorHAnsi"/>
                <w:b/>
                <w:sz w:val="16"/>
                <w:szCs w:val="16"/>
                <w:lang w:val="ro-MD" w:eastAsia="ru-RU"/>
              </w:rPr>
              <w:t>,</w:t>
            </w:r>
          </w:p>
          <w:p w14:paraId="129F9A60" w14:textId="16B49164" w:rsidR="00AD4297" w:rsidRPr="009772A3" w:rsidRDefault="00AD4297" w:rsidP="00F46739">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mii lei</w:t>
            </w:r>
          </w:p>
        </w:tc>
        <w:tc>
          <w:tcPr>
            <w:tcW w:w="1559" w:type="dxa"/>
            <w:shd w:val="clear" w:color="auto" w:fill="auto"/>
            <w:vAlign w:val="center"/>
            <w:hideMark/>
          </w:tcPr>
          <w:p w14:paraId="283A735C" w14:textId="3D5D2832" w:rsidR="00AD4297" w:rsidRPr="009772A3" w:rsidRDefault="00AD4297" w:rsidP="00F46739">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Valoarea procurărilor fără TVA,</w:t>
            </w:r>
          </w:p>
          <w:p w14:paraId="0FF21DC9" w14:textId="65685594" w:rsidR="00AD4297" w:rsidRPr="009772A3" w:rsidRDefault="00AD4297" w:rsidP="00F46739">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mii lei</w:t>
            </w:r>
          </w:p>
        </w:tc>
        <w:tc>
          <w:tcPr>
            <w:tcW w:w="2410" w:type="dxa"/>
            <w:shd w:val="clear" w:color="auto" w:fill="auto"/>
            <w:vAlign w:val="center"/>
            <w:hideMark/>
          </w:tcPr>
          <w:p w14:paraId="566D5161" w14:textId="1C37049B" w:rsidR="00AD4297" w:rsidRPr="009772A3" w:rsidRDefault="00AD4297" w:rsidP="00182CF3">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Valoare gazului importat/ consumului tehnologic și pierderilor</w:t>
            </w:r>
            <w:r w:rsidR="00182CF3" w:rsidRPr="009772A3">
              <w:rPr>
                <w:rFonts w:asciiTheme="majorHAnsi" w:eastAsia="Times New Roman" w:hAnsiTheme="majorHAnsi" w:cstheme="majorHAnsi"/>
                <w:b/>
                <w:sz w:val="16"/>
                <w:szCs w:val="16"/>
                <w:lang w:val="ro-MD" w:eastAsia="ru-RU"/>
              </w:rPr>
              <w:t>,</w:t>
            </w:r>
            <w:r w:rsidRPr="009772A3">
              <w:rPr>
                <w:rFonts w:asciiTheme="majorHAnsi" w:eastAsia="Times New Roman" w:hAnsiTheme="majorHAnsi" w:cstheme="majorHAnsi"/>
                <w:b/>
                <w:sz w:val="16"/>
                <w:szCs w:val="16"/>
                <w:lang w:val="ro-MD" w:eastAsia="ru-RU"/>
              </w:rPr>
              <w:t xml:space="preserve"> inclusiv TVA</w:t>
            </w:r>
          </w:p>
        </w:tc>
        <w:tc>
          <w:tcPr>
            <w:tcW w:w="1846" w:type="dxa"/>
            <w:shd w:val="clear" w:color="auto" w:fill="auto"/>
            <w:noWrap/>
            <w:vAlign w:val="center"/>
            <w:hideMark/>
          </w:tcPr>
          <w:p w14:paraId="05DD4F5A" w14:textId="0F0A7C7F" w:rsidR="00AD4297" w:rsidRPr="009772A3" w:rsidRDefault="00AD4297" w:rsidP="00182CF3">
            <w:pPr>
              <w:spacing w:after="0" w:line="240" w:lineRule="auto"/>
              <w:jc w:val="center"/>
              <w:rPr>
                <w:rFonts w:asciiTheme="majorHAnsi" w:eastAsia="Times New Roman" w:hAnsiTheme="majorHAnsi" w:cstheme="majorHAnsi"/>
                <w:b/>
                <w:sz w:val="16"/>
                <w:szCs w:val="16"/>
                <w:lang w:val="ro-MD" w:eastAsia="ru-RU"/>
              </w:rPr>
            </w:pPr>
            <w:r w:rsidRPr="009772A3">
              <w:rPr>
                <w:rFonts w:asciiTheme="majorHAnsi" w:eastAsia="Times New Roman" w:hAnsiTheme="majorHAnsi" w:cstheme="majorHAnsi"/>
                <w:b/>
                <w:sz w:val="16"/>
                <w:szCs w:val="16"/>
                <w:lang w:val="ro-MD" w:eastAsia="ru-RU"/>
              </w:rPr>
              <w:t>Valoarea achizițiilor de mărfuri</w:t>
            </w:r>
            <w:r w:rsidR="00182CF3" w:rsidRPr="009772A3">
              <w:rPr>
                <w:rFonts w:asciiTheme="majorHAnsi" w:eastAsia="Times New Roman" w:hAnsiTheme="majorHAnsi" w:cstheme="majorHAnsi"/>
                <w:b/>
                <w:sz w:val="16"/>
                <w:szCs w:val="16"/>
                <w:lang w:val="ro-MD" w:eastAsia="ru-RU"/>
              </w:rPr>
              <w:t>,</w:t>
            </w:r>
            <w:r w:rsidRPr="009772A3">
              <w:rPr>
                <w:rFonts w:asciiTheme="majorHAnsi" w:eastAsia="Times New Roman" w:hAnsiTheme="majorHAnsi" w:cstheme="majorHAnsi"/>
                <w:b/>
                <w:sz w:val="16"/>
                <w:szCs w:val="16"/>
                <w:lang w:val="ro-MD" w:eastAsia="ru-RU"/>
              </w:rPr>
              <w:t xml:space="preserve"> lucrări și servicii</w:t>
            </w:r>
            <w:r w:rsidR="00182CF3" w:rsidRPr="009772A3">
              <w:rPr>
                <w:rFonts w:asciiTheme="majorHAnsi" w:eastAsia="Times New Roman" w:hAnsiTheme="majorHAnsi" w:cstheme="majorHAnsi"/>
                <w:b/>
                <w:sz w:val="16"/>
                <w:szCs w:val="16"/>
                <w:lang w:val="ro-MD" w:eastAsia="ru-RU"/>
              </w:rPr>
              <w:t>,</w:t>
            </w:r>
            <w:r w:rsidRPr="009772A3">
              <w:rPr>
                <w:rFonts w:asciiTheme="majorHAnsi" w:eastAsia="Times New Roman" w:hAnsiTheme="majorHAnsi" w:cstheme="majorHAnsi"/>
                <w:b/>
                <w:sz w:val="16"/>
                <w:szCs w:val="16"/>
                <w:lang w:val="ro-MD" w:eastAsia="ru-RU"/>
              </w:rPr>
              <w:t xml:space="preserve"> inclusiv TVA</w:t>
            </w:r>
          </w:p>
        </w:tc>
      </w:tr>
      <w:tr w:rsidR="00AD4297" w:rsidRPr="009772A3" w14:paraId="0DAB6F1A" w14:textId="77777777" w:rsidTr="00F46739">
        <w:trPr>
          <w:trHeight w:val="20"/>
        </w:trPr>
        <w:tc>
          <w:tcPr>
            <w:tcW w:w="1761" w:type="dxa"/>
            <w:shd w:val="clear" w:color="auto" w:fill="auto"/>
            <w:noWrap/>
            <w:vAlign w:val="bottom"/>
            <w:hideMark/>
          </w:tcPr>
          <w:p w14:paraId="47FA8791" w14:textId="77777777" w:rsidR="00AD4297" w:rsidRPr="009772A3" w:rsidRDefault="00AD4297" w:rsidP="00AD4297">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Moldovagaz</w:t>
            </w:r>
          </w:p>
        </w:tc>
        <w:tc>
          <w:tcPr>
            <w:tcW w:w="1798" w:type="dxa"/>
            <w:shd w:val="clear" w:color="auto" w:fill="auto"/>
            <w:noWrap/>
            <w:vAlign w:val="bottom"/>
            <w:hideMark/>
          </w:tcPr>
          <w:p w14:paraId="712FA535"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30 265 776,20</w:t>
            </w:r>
          </w:p>
        </w:tc>
        <w:tc>
          <w:tcPr>
            <w:tcW w:w="1559" w:type="dxa"/>
            <w:shd w:val="clear" w:color="auto" w:fill="auto"/>
            <w:noWrap/>
            <w:vAlign w:val="bottom"/>
            <w:hideMark/>
          </w:tcPr>
          <w:p w14:paraId="4BE1D2CC"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27 922 112,90</w:t>
            </w:r>
          </w:p>
        </w:tc>
        <w:tc>
          <w:tcPr>
            <w:tcW w:w="2410" w:type="dxa"/>
            <w:shd w:val="clear" w:color="auto" w:fill="auto"/>
            <w:noWrap/>
            <w:vAlign w:val="bottom"/>
            <w:hideMark/>
          </w:tcPr>
          <w:p w14:paraId="3160AF35"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21 106 464,10</w:t>
            </w:r>
          </w:p>
        </w:tc>
        <w:tc>
          <w:tcPr>
            <w:tcW w:w="1846" w:type="dxa"/>
            <w:shd w:val="clear" w:color="auto" w:fill="auto"/>
            <w:noWrap/>
            <w:vAlign w:val="bottom"/>
            <w:hideMark/>
          </w:tcPr>
          <w:p w14:paraId="3BA39582"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9 159 312,10</w:t>
            </w:r>
          </w:p>
        </w:tc>
      </w:tr>
      <w:tr w:rsidR="00AD4297" w:rsidRPr="009772A3" w14:paraId="5F3E49F3" w14:textId="77777777" w:rsidTr="00F46739">
        <w:trPr>
          <w:trHeight w:val="20"/>
        </w:trPr>
        <w:tc>
          <w:tcPr>
            <w:tcW w:w="1761" w:type="dxa"/>
            <w:shd w:val="clear" w:color="auto" w:fill="auto"/>
            <w:noWrap/>
            <w:vAlign w:val="bottom"/>
            <w:hideMark/>
          </w:tcPr>
          <w:p w14:paraId="04D1E7E1" w14:textId="77777777" w:rsidR="00AD4297" w:rsidRPr="009772A3" w:rsidRDefault="00AD4297" w:rsidP="00AD4297">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Moldovatransgaz</w:t>
            </w:r>
          </w:p>
        </w:tc>
        <w:tc>
          <w:tcPr>
            <w:tcW w:w="1798" w:type="dxa"/>
            <w:shd w:val="clear" w:color="auto" w:fill="auto"/>
            <w:noWrap/>
            <w:vAlign w:val="bottom"/>
            <w:hideMark/>
          </w:tcPr>
          <w:p w14:paraId="03B95565"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1 900 911,30</w:t>
            </w:r>
          </w:p>
        </w:tc>
        <w:tc>
          <w:tcPr>
            <w:tcW w:w="1559" w:type="dxa"/>
            <w:shd w:val="clear" w:color="auto" w:fill="auto"/>
            <w:noWrap/>
            <w:vAlign w:val="bottom"/>
            <w:hideMark/>
          </w:tcPr>
          <w:p w14:paraId="780DAF12"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1 645 237,70</w:t>
            </w:r>
          </w:p>
        </w:tc>
        <w:tc>
          <w:tcPr>
            <w:tcW w:w="2410" w:type="dxa"/>
            <w:shd w:val="clear" w:color="auto" w:fill="auto"/>
            <w:noWrap/>
            <w:vAlign w:val="bottom"/>
            <w:hideMark/>
          </w:tcPr>
          <w:p w14:paraId="40024C4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358 370,30</w:t>
            </w:r>
          </w:p>
        </w:tc>
        <w:tc>
          <w:tcPr>
            <w:tcW w:w="1846" w:type="dxa"/>
            <w:shd w:val="clear" w:color="auto" w:fill="auto"/>
            <w:noWrap/>
            <w:vAlign w:val="bottom"/>
            <w:hideMark/>
          </w:tcPr>
          <w:p w14:paraId="7DCA918A"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1 542 541,00</w:t>
            </w:r>
          </w:p>
        </w:tc>
      </w:tr>
      <w:tr w:rsidR="00AD4297" w:rsidRPr="009772A3" w14:paraId="4E1D3F74" w14:textId="77777777" w:rsidTr="00F46739">
        <w:trPr>
          <w:trHeight w:val="20"/>
        </w:trPr>
        <w:tc>
          <w:tcPr>
            <w:tcW w:w="1761" w:type="dxa"/>
            <w:shd w:val="clear" w:color="auto" w:fill="auto"/>
            <w:noWrap/>
            <w:vAlign w:val="bottom"/>
            <w:hideMark/>
          </w:tcPr>
          <w:p w14:paraId="73A7E1FD" w14:textId="2056BC27" w:rsidR="00AD4297" w:rsidRPr="009772A3" w:rsidRDefault="00AD4297" w:rsidP="006D6667">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Chișinău-</w:t>
            </w:r>
            <w:r w:rsidR="006D6667"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0A95AAA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1 259 321,00</w:t>
            </w:r>
          </w:p>
        </w:tc>
        <w:tc>
          <w:tcPr>
            <w:tcW w:w="1559" w:type="dxa"/>
            <w:shd w:val="clear" w:color="auto" w:fill="auto"/>
            <w:noWrap/>
            <w:vAlign w:val="bottom"/>
            <w:hideMark/>
          </w:tcPr>
          <w:p w14:paraId="2ABFEF21"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1 078 957,40</w:t>
            </w:r>
          </w:p>
        </w:tc>
        <w:tc>
          <w:tcPr>
            <w:tcW w:w="2410" w:type="dxa"/>
            <w:shd w:val="clear" w:color="auto" w:fill="auto"/>
            <w:noWrap/>
            <w:vAlign w:val="bottom"/>
            <w:hideMark/>
          </w:tcPr>
          <w:p w14:paraId="20459C82"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255 692,10</w:t>
            </w:r>
          </w:p>
        </w:tc>
        <w:tc>
          <w:tcPr>
            <w:tcW w:w="1846" w:type="dxa"/>
            <w:shd w:val="clear" w:color="auto" w:fill="auto"/>
            <w:noWrap/>
            <w:vAlign w:val="bottom"/>
            <w:hideMark/>
          </w:tcPr>
          <w:p w14:paraId="5C65F2B7"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1 003 628,90</w:t>
            </w:r>
          </w:p>
        </w:tc>
      </w:tr>
      <w:tr w:rsidR="008846C6" w:rsidRPr="009772A3" w14:paraId="37E34E7E" w14:textId="77777777" w:rsidTr="00F46739">
        <w:trPr>
          <w:trHeight w:val="20"/>
        </w:trPr>
        <w:tc>
          <w:tcPr>
            <w:tcW w:w="1761" w:type="dxa"/>
            <w:shd w:val="clear" w:color="auto" w:fill="auto"/>
            <w:noWrap/>
            <w:vAlign w:val="bottom"/>
            <w:hideMark/>
          </w:tcPr>
          <w:p w14:paraId="53183156" w14:textId="3A7CD77F" w:rsidR="008846C6" w:rsidRPr="009772A3" w:rsidRDefault="008846C6" w:rsidP="006D6667">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Ialoveni</w:t>
            </w:r>
            <w:r w:rsidR="006D6667"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6229952B" w14:textId="3F8FD605" w:rsidR="008846C6" w:rsidRPr="009772A3" w:rsidRDefault="008846C6" w:rsidP="00AD4297">
            <w:pPr>
              <w:spacing w:after="0" w:line="240" w:lineRule="auto"/>
              <w:jc w:val="right"/>
              <w:rPr>
                <w:rFonts w:asciiTheme="majorHAnsi" w:eastAsia="Times New Roman" w:hAnsiTheme="majorHAnsi" w:cstheme="majorHAnsi"/>
                <w:sz w:val="16"/>
                <w:szCs w:val="16"/>
                <w:lang w:val="ro-MD" w:eastAsia="ru-RU"/>
              </w:rPr>
            </w:pPr>
            <w:r w:rsidRPr="009772A3">
              <w:rPr>
                <w:rFonts w:ascii="Calibri" w:hAnsi="Calibri" w:cs="Calibri"/>
                <w:sz w:val="16"/>
                <w:szCs w:val="16"/>
                <w:lang w:val="ro-MD"/>
              </w:rPr>
              <w:t>341 470,97</w:t>
            </w:r>
          </w:p>
        </w:tc>
        <w:tc>
          <w:tcPr>
            <w:tcW w:w="1559" w:type="dxa"/>
            <w:shd w:val="clear" w:color="auto" w:fill="auto"/>
            <w:noWrap/>
            <w:vAlign w:val="bottom"/>
            <w:hideMark/>
          </w:tcPr>
          <w:p w14:paraId="704C8628" w14:textId="3749533D" w:rsidR="008846C6" w:rsidRPr="009772A3" w:rsidRDefault="008846C6" w:rsidP="00AD4297">
            <w:pPr>
              <w:spacing w:after="0" w:line="240" w:lineRule="auto"/>
              <w:jc w:val="right"/>
              <w:rPr>
                <w:rFonts w:asciiTheme="majorHAnsi" w:eastAsia="Times New Roman" w:hAnsiTheme="majorHAnsi" w:cstheme="majorHAnsi"/>
                <w:sz w:val="16"/>
                <w:szCs w:val="16"/>
                <w:lang w:val="ro-MD" w:eastAsia="ru-RU"/>
              </w:rPr>
            </w:pPr>
            <w:r w:rsidRPr="009772A3">
              <w:rPr>
                <w:rFonts w:ascii="Calibri" w:hAnsi="Calibri" w:cs="Calibri"/>
                <w:sz w:val="16"/>
                <w:szCs w:val="16"/>
                <w:lang w:val="ro-MD"/>
              </w:rPr>
              <w:t>295 752,10</w:t>
            </w:r>
          </w:p>
        </w:tc>
        <w:tc>
          <w:tcPr>
            <w:tcW w:w="2410" w:type="dxa"/>
            <w:shd w:val="clear" w:color="auto" w:fill="auto"/>
            <w:noWrap/>
            <w:vAlign w:val="bottom"/>
            <w:hideMark/>
          </w:tcPr>
          <w:p w14:paraId="42C3B02E" w14:textId="77777777" w:rsidR="008846C6" w:rsidRPr="009772A3" w:rsidRDefault="008846C6"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78 190,70</w:t>
            </w:r>
          </w:p>
        </w:tc>
        <w:tc>
          <w:tcPr>
            <w:tcW w:w="1846" w:type="dxa"/>
            <w:shd w:val="clear" w:color="auto" w:fill="auto"/>
            <w:noWrap/>
            <w:vAlign w:val="bottom"/>
            <w:hideMark/>
          </w:tcPr>
          <w:p w14:paraId="14EBDF54" w14:textId="77777777" w:rsidR="008846C6" w:rsidRPr="009772A3" w:rsidRDefault="008846C6"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94 629,10</w:t>
            </w:r>
          </w:p>
        </w:tc>
      </w:tr>
      <w:tr w:rsidR="00AD4297" w:rsidRPr="009772A3" w14:paraId="1E9162B5" w14:textId="77777777" w:rsidTr="00F46739">
        <w:trPr>
          <w:trHeight w:val="20"/>
        </w:trPr>
        <w:tc>
          <w:tcPr>
            <w:tcW w:w="1761" w:type="dxa"/>
            <w:shd w:val="clear" w:color="auto" w:fill="auto"/>
            <w:noWrap/>
            <w:vAlign w:val="bottom"/>
            <w:hideMark/>
          </w:tcPr>
          <w:p w14:paraId="2646FB5C" w14:textId="2D9CDAA5" w:rsidR="00AD4297" w:rsidRPr="009772A3" w:rsidRDefault="00AD4297" w:rsidP="006D6667">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Flore</w:t>
            </w:r>
            <w:r w:rsidR="006D6667" w:rsidRPr="009772A3">
              <w:rPr>
                <w:rFonts w:asciiTheme="majorHAnsi" w:eastAsia="Times New Roman" w:hAnsiTheme="majorHAnsi" w:cstheme="majorHAnsi"/>
                <w:sz w:val="16"/>
                <w:szCs w:val="16"/>
                <w:lang w:val="ro-MD" w:eastAsia="ru-RU"/>
              </w:rPr>
              <w:t>ș</w:t>
            </w:r>
            <w:r w:rsidRPr="009772A3">
              <w:rPr>
                <w:rFonts w:asciiTheme="majorHAnsi" w:eastAsia="Times New Roman" w:hAnsiTheme="majorHAnsi" w:cstheme="majorHAnsi"/>
                <w:sz w:val="16"/>
                <w:szCs w:val="16"/>
                <w:lang w:val="ro-MD" w:eastAsia="ru-RU"/>
              </w:rPr>
              <w:t>ti</w:t>
            </w:r>
            <w:r w:rsidR="006D6667"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0C25CC1F"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113 444,00</w:t>
            </w:r>
          </w:p>
        </w:tc>
        <w:tc>
          <w:tcPr>
            <w:tcW w:w="1559" w:type="dxa"/>
            <w:shd w:val="clear" w:color="auto" w:fill="auto"/>
            <w:noWrap/>
            <w:vAlign w:val="bottom"/>
            <w:hideMark/>
          </w:tcPr>
          <w:p w14:paraId="2114709E"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98 988,80</w:t>
            </w:r>
          </w:p>
        </w:tc>
        <w:tc>
          <w:tcPr>
            <w:tcW w:w="2410" w:type="dxa"/>
            <w:shd w:val="clear" w:color="auto" w:fill="auto"/>
            <w:noWrap/>
            <w:vAlign w:val="bottom"/>
            <w:hideMark/>
          </w:tcPr>
          <w:p w14:paraId="28312F72"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36 595,10</w:t>
            </w:r>
          </w:p>
        </w:tc>
        <w:tc>
          <w:tcPr>
            <w:tcW w:w="1846" w:type="dxa"/>
            <w:shd w:val="clear" w:color="auto" w:fill="auto"/>
            <w:noWrap/>
            <w:vAlign w:val="bottom"/>
            <w:hideMark/>
          </w:tcPr>
          <w:p w14:paraId="5528F02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76 848,90</w:t>
            </w:r>
          </w:p>
        </w:tc>
      </w:tr>
      <w:tr w:rsidR="00AD4297" w:rsidRPr="009772A3" w14:paraId="248020A3" w14:textId="77777777" w:rsidTr="00F46739">
        <w:trPr>
          <w:trHeight w:val="20"/>
        </w:trPr>
        <w:tc>
          <w:tcPr>
            <w:tcW w:w="1761" w:type="dxa"/>
            <w:shd w:val="clear" w:color="auto" w:fill="auto"/>
            <w:noWrap/>
            <w:vAlign w:val="bottom"/>
            <w:hideMark/>
          </w:tcPr>
          <w:p w14:paraId="4A848B20" w14:textId="757CB96A" w:rsidR="00AD4297" w:rsidRPr="009772A3" w:rsidRDefault="00AD4297" w:rsidP="006D6667">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Gagauz</w:t>
            </w:r>
            <w:r w:rsidR="006D6667"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59DA2E81"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189 792,00</w:t>
            </w:r>
          </w:p>
        </w:tc>
        <w:tc>
          <w:tcPr>
            <w:tcW w:w="1559" w:type="dxa"/>
            <w:shd w:val="clear" w:color="auto" w:fill="auto"/>
            <w:noWrap/>
            <w:vAlign w:val="bottom"/>
            <w:hideMark/>
          </w:tcPr>
          <w:p w14:paraId="2236E99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167 679,30</w:t>
            </w:r>
          </w:p>
        </w:tc>
        <w:tc>
          <w:tcPr>
            <w:tcW w:w="2410" w:type="dxa"/>
            <w:shd w:val="clear" w:color="auto" w:fill="auto"/>
            <w:noWrap/>
            <w:vAlign w:val="bottom"/>
            <w:hideMark/>
          </w:tcPr>
          <w:p w14:paraId="2FAB76A8"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75 177,50</w:t>
            </w:r>
          </w:p>
        </w:tc>
        <w:tc>
          <w:tcPr>
            <w:tcW w:w="1846" w:type="dxa"/>
            <w:shd w:val="clear" w:color="auto" w:fill="auto"/>
            <w:noWrap/>
            <w:vAlign w:val="bottom"/>
            <w:hideMark/>
          </w:tcPr>
          <w:p w14:paraId="2AA8B04C"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114 614,50</w:t>
            </w:r>
          </w:p>
        </w:tc>
      </w:tr>
      <w:tr w:rsidR="00AD4297" w:rsidRPr="009772A3" w14:paraId="6781E2FD" w14:textId="77777777" w:rsidTr="00F46739">
        <w:trPr>
          <w:trHeight w:val="20"/>
        </w:trPr>
        <w:tc>
          <w:tcPr>
            <w:tcW w:w="1761" w:type="dxa"/>
            <w:shd w:val="clear" w:color="auto" w:fill="auto"/>
            <w:noWrap/>
            <w:vAlign w:val="bottom"/>
            <w:hideMark/>
          </w:tcPr>
          <w:p w14:paraId="6270DC90" w14:textId="4CE210AB" w:rsidR="00AD4297" w:rsidRPr="009772A3" w:rsidRDefault="00AD4297"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Bălți</w:t>
            </w:r>
            <w:r w:rsidR="00F6085C"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1ECA67DE"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279 469,70</w:t>
            </w:r>
          </w:p>
        </w:tc>
        <w:tc>
          <w:tcPr>
            <w:tcW w:w="1559" w:type="dxa"/>
            <w:shd w:val="clear" w:color="auto" w:fill="auto"/>
            <w:noWrap/>
            <w:vAlign w:val="bottom"/>
            <w:hideMark/>
          </w:tcPr>
          <w:p w14:paraId="55FF642C"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240 677,30</w:t>
            </w:r>
          </w:p>
        </w:tc>
        <w:tc>
          <w:tcPr>
            <w:tcW w:w="2410" w:type="dxa"/>
            <w:shd w:val="clear" w:color="auto" w:fill="auto"/>
            <w:noWrap/>
            <w:vAlign w:val="bottom"/>
            <w:hideMark/>
          </w:tcPr>
          <w:p w14:paraId="41B2D27D"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61 076,00</w:t>
            </w:r>
          </w:p>
        </w:tc>
        <w:tc>
          <w:tcPr>
            <w:tcW w:w="1846" w:type="dxa"/>
            <w:shd w:val="clear" w:color="auto" w:fill="auto"/>
            <w:noWrap/>
            <w:vAlign w:val="bottom"/>
            <w:hideMark/>
          </w:tcPr>
          <w:p w14:paraId="6B278E10"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218 393,70</w:t>
            </w:r>
          </w:p>
        </w:tc>
      </w:tr>
      <w:tr w:rsidR="00AD4297" w:rsidRPr="009772A3" w14:paraId="27003993" w14:textId="77777777" w:rsidTr="00F46739">
        <w:trPr>
          <w:trHeight w:val="20"/>
        </w:trPr>
        <w:tc>
          <w:tcPr>
            <w:tcW w:w="1761" w:type="dxa"/>
            <w:shd w:val="clear" w:color="auto" w:fill="auto"/>
            <w:noWrap/>
            <w:vAlign w:val="bottom"/>
            <w:hideMark/>
          </w:tcPr>
          <w:p w14:paraId="7CEDE264" w14:textId="17A63F06" w:rsidR="00AD4297" w:rsidRPr="009772A3" w:rsidRDefault="00AD4297"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Cahul</w:t>
            </w:r>
            <w:r w:rsidR="00F6085C"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4D131867"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102 761,72</w:t>
            </w:r>
          </w:p>
        </w:tc>
        <w:tc>
          <w:tcPr>
            <w:tcW w:w="1559" w:type="dxa"/>
            <w:shd w:val="clear" w:color="auto" w:fill="auto"/>
            <w:noWrap/>
            <w:vAlign w:val="bottom"/>
            <w:hideMark/>
          </w:tcPr>
          <w:p w14:paraId="709C0DD8"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76 381,40</w:t>
            </w:r>
          </w:p>
        </w:tc>
        <w:tc>
          <w:tcPr>
            <w:tcW w:w="2410" w:type="dxa"/>
            <w:shd w:val="clear" w:color="auto" w:fill="auto"/>
            <w:noWrap/>
            <w:vAlign w:val="bottom"/>
            <w:hideMark/>
          </w:tcPr>
          <w:p w14:paraId="2DCBFCEC"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31 572,60</w:t>
            </w:r>
          </w:p>
        </w:tc>
        <w:tc>
          <w:tcPr>
            <w:tcW w:w="1846" w:type="dxa"/>
            <w:shd w:val="clear" w:color="auto" w:fill="auto"/>
            <w:noWrap/>
            <w:vAlign w:val="bottom"/>
            <w:hideMark/>
          </w:tcPr>
          <w:p w14:paraId="35AF73F4"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71 189,12</w:t>
            </w:r>
          </w:p>
        </w:tc>
      </w:tr>
      <w:tr w:rsidR="00AD4297" w:rsidRPr="009772A3" w14:paraId="37562531" w14:textId="77777777" w:rsidTr="00F46739">
        <w:trPr>
          <w:trHeight w:val="20"/>
        </w:trPr>
        <w:tc>
          <w:tcPr>
            <w:tcW w:w="1761" w:type="dxa"/>
            <w:shd w:val="clear" w:color="auto" w:fill="auto"/>
            <w:noWrap/>
            <w:vAlign w:val="bottom"/>
            <w:hideMark/>
          </w:tcPr>
          <w:p w14:paraId="4EAD7F63" w14:textId="4460D8FC" w:rsidR="003158A7" w:rsidRPr="009772A3" w:rsidRDefault="00AD4297"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Cimi</w:t>
            </w:r>
            <w:r w:rsidR="00F6085C" w:rsidRPr="009772A3">
              <w:rPr>
                <w:rFonts w:asciiTheme="majorHAnsi" w:eastAsia="Times New Roman" w:hAnsiTheme="majorHAnsi" w:cstheme="majorHAnsi"/>
                <w:sz w:val="16"/>
                <w:szCs w:val="16"/>
                <w:lang w:val="ro-MD" w:eastAsia="ru-RU"/>
              </w:rPr>
              <w:t>ș</w:t>
            </w:r>
            <w:r w:rsidRPr="009772A3">
              <w:rPr>
                <w:rFonts w:asciiTheme="majorHAnsi" w:eastAsia="Times New Roman" w:hAnsiTheme="majorHAnsi" w:cstheme="majorHAnsi"/>
                <w:sz w:val="16"/>
                <w:szCs w:val="16"/>
                <w:lang w:val="ro-MD" w:eastAsia="ru-RU"/>
              </w:rPr>
              <w:t>lia</w:t>
            </w:r>
            <w:r w:rsidR="00F6085C" w:rsidRPr="009772A3">
              <w:rPr>
                <w:rFonts w:asciiTheme="majorHAnsi" w:eastAsia="Times New Roman" w:hAnsiTheme="majorHAnsi" w:cstheme="majorHAnsi"/>
                <w:sz w:val="16"/>
                <w:szCs w:val="16"/>
                <w:lang w:val="ro-MD" w:eastAsia="ru-RU"/>
              </w:rPr>
              <w:t>-G</w:t>
            </w:r>
            <w:r w:rsidR="003158A7"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70FCE1A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77 019,10</w:t>
            </w:r>
          </w:p>
        </w:tc>
        <w:tc>
          <w:tcPr>
            <w:tcW w:w="1559" w:type="dxa"/>
            <w:shd w:val="clear" w:color="auto" w:fill="auto"/>
            <w:noWrap/>
            <w:vAlign w:val="bottom"/>
            <w:hideMark/>
          </w:tcPr>
          <w:p w14:paraId="306920E7"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66 631,20</w:t>
            </w:r>
          </w:p>
        </w:tc>
        <w:tc>
          <w:tcPr>
            <w:tcW w:w="2410" w:type="dxa"/>
            <w:shd w:val="clear" w:color="auto" w:fill="auto"/>
            <w:noWrap/>
            <w:vAlign w:val="bottom"/>
            <w:hideMark/>
          </w:tcPr>
          <w:p w14:paraId="4C200CF8"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14 747,80</w:t>
            </w:r>
          </w:p>
        </w:tc>
        <w:tc>
          <w:tcPr>
            <w:tcW w:w="1846" w:type="dxa"/>
            <w:shd w:val="clear" w:color="auto" w:fill="auto"/>
            <w:noWrap/>
            <w:vAlign w:val="bottom"/>
            <w:hideMark/>
          </w:tcPr>
          <w:p w14:paraId="48B3DDF0"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62 271,30</w:t>
            </w:r>
          </w:p>
        </w:tc>
      </w:tr>
      <w:tr w:rsidR="00AD4297" w:rsidRPr="009772A3" w14:paraId="48A81E86" w14:textId="77777777" w:rsidTr="00F46739">
        <w:trPr>
          <w:trHeight w:val="20"/>
        </w:trPr>
        <w:tc>
          <w:tcPr>
            <w:tcW w:w="1761" w:type="dxa"/>
            <w:shd w:val="clear" w:color="auto" w:fill="auto"/>
            <w:noWrap/>
            <w:vAlign w:val="bottom"/>
            <w:hideMark/>
          </w:tcPr>
          <w:p w14:paraId="7EDD9CF1" w14:textId="52711FCD" w:rsidR="00AD4297" w:rsidRPr="009772A3" w:rsidRDefault="00AD4297"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Edineț</w:t>
            </w:r>
            <w:r w:rsidR="00F6085C"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16DAC915"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128 110,10</w:t>
            </w:r>
          </w:p>
        </w:tc>
        <w:tc>
          <w:tcPr>
            <w:tcW w:w="1559" w:type="dxa"/>
            <w:shd w:val="clear" w:color="auto" w:fill="auto"/>
            <w:noWrap/>
            <w:vAlign w:val="bottom"/>
            <w:hideMark/>
          </w:tcPr>
          <w:p w14:paraId="6260E3F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111 784,30</w:t>
            </w:r>
          </w:p>
        </w:tc>
        <w:tc>
          <w:tcPr>
            <w:tcW w:w="2410" w:type="dxa"/>
            <w:shd w:val="clear" w:color="auto" w:fill="auto"/>
            <w:noWrap/>
            <w:vAlign w:val="bottom"/>
            <w:hideMark/>
          </w:tcPr>
          <w:p w14:paraId="3A15B965"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37 256,10</w:t>
            </w:r>
          </w:p>
        </w:tc>
        <w:tc>
          <w:tcPr>
            <w:tcW w:w="1846" w:type="dxa"/>
            <w:shd w:val="clear" w:color="auto" w:fill="auto"/>
            <w:noWrap/>
            <w:vAlign w:val="bottom"/>
            <w:hideMark/>
          </w:tcPr>
          <w:p w14:paraId="451819F1"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90 854,00</w:t>
            </w:r>
          </w:p>
        </w:tc>
      </w:tr>
      <w:tr w:rsidR="00AD4297" w:rsidRPr="009772A3" w14:paraId="5D013C3D" w14:textId="77777777" w:rsidTr="00F46739">
        <w:trPr>
          <w:trHeight w:val="20"/>
        </w:trPr>
        <w:tc>
          <w:tcPr>
            <w:tcW w:w="1761" w:type="dxa"/>
            <w:shd w:val="clear" w:color="auto" w:fill="auto"/>
            <w:noWrap/>
            <w:vAlign w:val="bottom"/>
            <w:hideMark/>
          </w:tcPr>
          <w:p w14:paraId="74A7CAB3" w14:textId="58DDD6A9" w:rsidR="00AD4297" w:rsidRPr="009772A3" w:rsidRDefault="00AD4297"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Orhei</w:t>
            </w:r>
            <w:r w:rsidR="00F6085C" w:rsidRPr="009772A3">
              <w:rPr>
                <w:rFonts w:asciiTheme="majorHAnsi" w:eastAsia="Times New Roman" w:hAnsiTheme="majorHAnsi" w:cstheme="majorHAnsi"/>
                <w:sz w:val="16"/>
                <w:szCs w:val="16"/>
                <w:lang w:val="ro-MD" w:eastAsia="ru-RU"/>
              </w:rPr>
              <w:t>-G</w:t>
            </w:r>
            <w:r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641834EE"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159 507,50</w:t>
            </w:r>
          </w:p>
        </w:tc>
        <w:tc>
          <w:tcPr>
            <w:tcW w:w="1559" w:type="dxa"/>
            <w:shd w:val="clear" w:color="auto" w:fill="auto"/>
            <w:noWrap/>
            <w:vAlign w:val="bottom"/>
            <w:hideMark/>
          </w:tcPr>
          <w:p w14:paraId="0FB36AB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137 083,50</w:t>
            </w:r>
          </w:p>
        </w:tc>
        <w:tc>
          <w:tcPr>
            <w:tcW w:w="2410" w:type="dxa"/>
            <w:shd w:val="clear" w:color="auto" w:fill="auto"/>
            <w:noWrap/>
            <w:vAlign w:val="bottom"/>
            <w:hideMark/>
          </w:tcPr>
          <w:p w14:paraId="71111F81"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27 517,00</w:t>
            </w:r>
          </w:p>
        </w:tc>
        <w:tc>
          <w:tcPr>
            <w:tcW w:w="1846" w:type="dxa"/>
            <w:shd w:val="clear" w:color="auto" w:fill="auto"/>
            <w:noWrap/>
            <w:vAlign w:val="bottom"/>
            <w:hideMark/>
          </w:tcPr>
          <w:p w14:paraId="4B2B73AB"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131 990,50</w:t>
            </w:r>
          </w:p>
        </w:tc>
      </w:tr>
      <w:tr w:rsidR="00AD4297" w:rsidRPr="009772A3" w14:paraId="49872DA2" w14:textId="77777777" w:rsidTr="00F46739">
        <w:trPr>
          <w:trHeight w:val="20"/>
        </w:trPr>
        <w:tc>
          <w:tcPr>
            <w:tcW w:w="1761" w:type="dxa"/>
            <w:shd w:val="clear" w:color="auto" w:fill="auto"/>
            <w:noWrap/>
            <w:vAlign w:val="bottom"/>
            <w:hideMark/>
          </w:tcPr>
          <w:p w14:paraId="1370D731" w14:textId="2D7689D0" w:rsidR="00AD4297" w:rsidRPr="009772A3" w:rsidRDefault="00F6085C"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Ș</w:t>
            </w:r>
            <w:r w:rsidR="00AD4297" w:rsidRPr="009772A3">
              <w:rPr>
                <w:rFonts w:asciiTheme="majorHAnsi" w:eastAsia="Times New Roman" w:hAnsiTheme="majorHAnsi" w:cstheme="majorHAnsi"/>
                <w:sz w:val="16"/>
                <w:szCs w:val="16"/>
                <w:lang w:val="ro-MD" w:eastAsia="ru-RU"/>
              </w:rPr>
              <w:t>tefan Vod</w:t>
            </w:r>
            <w:r w:rsidRPr="009772A3">
              <w:rPr>
                <w:rFonts w:asciiTheme="majorHAnsi" w:eastAsia="Times New Roman" w:hAnsiTheme="majorHAnsi" w:cstheme="majorHAnsi"/>
                <w:sz w:val="16"/>
                <w:szCs w:val="16"/>
                <w:lang w:val="ro-MD" w:eastAsia="ru-RU"/>
              </w:rPr>
              <w:t>ă-G</w:t>
            </w:r>
            <w:r w:rsidR="003158A7"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6AFC1CE8"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78 574,60</w:t>
            </w:r>
          </w:p>
        </w:tc>
        <w:tc>
          <w:tcPr>
            <w:tcW w:w="1559" w:type="dxa"/>
            <w:shd w:val="clear" w:color="auto" w:fill="auto"/>
            <w:noWrap/>
            <w:vAlign w:val="bottom"/>
            <w:hideMark/>
          </w:tcPr>
          <w:p w14:paraId="64EDF3A1"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68 067,90</w:t>
            </w:r>
          </w:p>
        </w:tc>
        <w:tc>
          <w:tcPr>
            <w:tcW w:w="2410" w:type="dxa"/>
            <w:shd w:val="clear" w:color="auto" w:fill="auto"/>
            <w:noWrap/>
            <w:vAlign w:val="bottom"/>
            <w:hideMark/>
          </w:tcPr>
          <w:p w14:paraId="17A8515D"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15 049,40</w:t>
            </w:r>
          </w:p>
        </w:tc>
        <w:tc>
          <w:tcPr>
            <w:tcW w:w="1846" w:type="dxa"/>
            <w:shd w:val="clear" w:color="auto" w:fill="auto"/>
            <w:noWrap/>
            <w:vAlign w:val="bottom"/>
            <w:hideMark/>
          </w:tcPr>
          <w:p w14:paraId="31B3606E"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63 525,20</w:t>
            </w:r>
          </w:p>
        </w:tc>
      </w:tr>
      <w:tr w:rsidR="00AD4297" w:rsidRPr="009772A3" w14:paraId="6175399A" w14:textId="77777777" w:rsidTr="00F46739">
        <w:trPr>
          <w:trHeight w:val="20"/>
        </w:trPr>
        <w:tc>
          <w:tcPr>
            <w:tcW w:w="1761" w:type="dxa"/>
            <w:shd w:val="clear" w:color="auto" w:fill="auto"/>
            <w:noWrap/>
            <w:vAlign w:val="bottom"/>
            <w:hideMark/>
          </w:tcPr>
          <w:p w14:paraId="61EE793D" w14:textId="3791C9A7" w:rsidR="00AD4297" w:rsidRPr="009772A3" w:rsidRDefault="00AD4297"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Taraclia</w:t>
            </w:r>
            <w:r w:rsidR="00F6085C" w:rsidRPr="009772A3">
              <w:rPr>
                <w:rFonts w:asciiTheme="majorHAnsi" w:eastAsia="Times New Roman" w:hAnsiTheme="majorHAnsi" w:cstheme="majorHAnsi"/>
                <w:sz w:val="16"/>
                <w:szCs w:val="16"/>
                <w:lang w:val="ro-MD" w:eastAsia="ru-RU"/>
              </w:rPr>
              <w:t>-G</w:t>
            </w:r>
            <w:r w:rsidR="003158A7"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14AE0DC0"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54 065,80</w:t>
            </w:r>
          </w:p>
        </w:tc>
        <w:tc>
          <w:tcPr>
            <w:tcW w:w="1559" w:type="dxa"/>
            <w:shd w:val="clear" w:color="auto" w:fill="auto"/>
            <w:noWrap/>
            <w:vAlign w:val="bottom"/>
            <w:hideMark/>
          </w:tcPr>
          <w:p w14:paraId="74524A80"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47 209,10</w:t>
            </w:r>
          </w:p>
        </w:tc>
        <w:tc>
          <w:tcPr>
            <w:tcW w:w="2410" w:type="dxa"/>
            <w:shd w:val="clear" w:color="auto" w:fill="auto"/>
            <w:noWrap/>
            <w:vAlign w:val="bottom"/>
            <w:hideMark/>
          </w:tcPr>
          <w:p w14:paraId="140102D8"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13 009,50</w:t>
            </w:r>
          </w:p>
        </w:tc>
        <w:tc>
          <w:tcPr>
            <w:tcW w:w="1846" w:type="dxa"/>
            <w:shd w:val="clear" w:color="auto" w:fill="auto"/>
            <w:noWrap/>
            <w:vAlign w:val="bottom"/>
            <w:hideMark/>
          </w:tcPr>
          <w:p w14:paraId="1D69086F"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41 056,30</w:t>
            </w:r>
          </w:p>
        </w:tc>
      </w:tr>
      <w:tr w:rsidR="00AD4297" w:rsidRPr="009772A3" w14:paraId="56B2AE87" w14:textId="77777777" w:rsidTr="00F46739">
        <w:trPr>
          <w:trHeight w:val="20"/>
        </w:trPr>
        <w:tc>
          <w:tcPr>
            <w:tcW w:w="1761" w:type="dxa"/>
            <w:shd w:val="clear" w:color="auto" w:fill="auto"/>
            <w:noWrap/>
            <w:vAlign w:val="bottom"/>
            <w:hideMark/>
          </w:tcPr>
          <w:p w14:paraId="692FBA62" w14:textId="6EF1E461" w:rsidR="00AD4297" w:rsidRPr="009772A3" w:rsidRDefault="00AD4297" w:rsidP="00F6085C">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Ungheni</w:t>
            </w:r>
            <w:r w:rsidR="00F6085C" w:rsidRPr="009772A3">
              <w:rPr>
                <w:rFonts w:asciiTheme="majorHAnsi" w:eastAsia="Times New Roman" w:hAnsiTheme="majorHAnsi" w:cstheme="majorHAnsi"/>
                <w:sz w:val="16"/>
                <w:szCs w:val="16"/>
                <w:lang w:val="ro-MD" w:eastAsia="ru-RU"/>
              </w:rPr>
              <w:t>-g</w:t>
            </w:r>
            <w:r w:rsidR="003158A7" w:rsidRPr="009772A3">
              <w:rPr>
                <w:rFonts w:asciiTheme="majorHAnsi" w:eastAsia="Times New Roman" w:hAnsiTheme="majorHAnsi" w:cstheme="majorHAnsi"/>
                <w:sz w:val="16"/>
                <w:szCs w:val="16"/>
                <w:lang w:val="ro-MD" w:eastAsia="ru-RU"/>
              </w:rPr>
              <w:t>az</w:t>
            </w:r>
          </w:p>
        </w:tc>
        <w:tc>
          <w:tcPr>
            <w:tcW w:w="1798" w:type="dxa"/>
            <w:shd w:val="clear" w:color="auto" w:fill="auto"/>
            <w:noWrap/>
            <w:vAlign w:val="bottom"/>
            <w:hideMark/>
          </w:tcPr>
          <w:p w14:paraId="670E41F4"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119 988,00</w:t>
            </w:r>
          </w:p>
        </w:tc>
        <w:tc>
          <w:tcPr>
            <w:tcW w:w="1559" w:type="dxa"/>
            <w:shd w:val="clear" w:color="auto" w:fill="auto"/>
            <w:noWrap/>
            <w:vAlign w:val="bottom"/>
            <w:hideMark/>
          </w:tcPr>
          <w:p w14:paraId="29050D40"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103 665,70</w:t>
            </w:r>
          </w:p>
        </w:tc>
        <w:tc>
          <w:tcPr>
            <w:tcW w:w="2410" w:type="dxa"/>
            <w:shd w:val="clear" w:color="auto" w:fill="auto"/>
            <w:noWrap/>
            <w:vAlign w:val="bottom"/>
            <w:hideMark/>
          </w:tcPr>
          <w:p w14:paraId="41DA2166"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19 345,80</w:t>
            </w:r>
          </w:p>
        </w:tc>
        <w:tc>
          <w:tcPr>
            <w:tcW w:w="1846" w:type="dxa"/>
            <w:shd w:val="clear" w:color="auto" w:fill="auto"/>
            <w:noWrap/>
            <w:vAlign w:val="bottom"/>
            <w:hideMark/>
          </w:tcPr>
          <w:p w14:paraId="7D73989D"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100 642,20</w:t>
            </w:r>
          </w:p>
        </w:tc>
      </w:tr>
      <w:tr w:rsidR="00AD4297" w:rsidRPr="009772A3" w14:paraId="20760E8F" w14:textId="77777777" w:rsidTr="00F46739">
        <w:trPr>
          <w:trHeight w:val="20"/>
        </w:trPr>
        <w:tc>
          <w:tcPr>
            <w:tcW w:w="1761" w:type="dxa"/>
            <w:shd w:val="clear" w:color="auto" w:fill="auto"/>
            <w:noWrap/>
            <w:vAlign w:val="bottom"/>
            <w:hideMark/>
          </w:tcPr>
          <w:p w14:paraId="1FDE55AD" w14:textId="77777777" w:rsidR="00AD4297" w:rsidRPr="009772A3" w:rsidRDefault="00AD4297" w:rsidP="00AD4297">
            <w:pPr>
              <w:spacing w:after="0" w:line="240" w:lineRule="auto"/>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Transautogaz</w:t>
            </w:r>
          </w:p>
        </w:tc>
        <w:tc>
          <w:tcPr>
            <w:tcW w:w="1798" w:type="dxa"/>
            <w:shd w:val="clear" w:color="auto" w:fill="auto"/>
            <w:noWrap/>
            <w:vAlign w:val="bottom"/>
            <w:hideMark/>
          </w:tcPr>
          <w:p w14:paraId="2F897F27"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971 682,70</w:t>
            </w:r>
          </w:p>
        </w:tc>
        <w:tc>
          <w:tcPr>
            <w:tcW w:w="1559" w:type="dxa"/>
            <w:shd w:val="clear" w:color="auto" w:fill="auto"/>
            <w:noWrap/>
            <w:vAlign w:val="bottom"/>
            <w:hideMark/>
          </w:tcPr>
          <w:p w14:paraId="48DFC29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878 934,20</w:t>
            </w:r>
          </w:p>
        </w:tc>
        <w:tc>
          <w:tcPr>
            <w:tcW w:w="2410" w:type="dxa"/>
            <w:shd w:val="clear" w:color="auto" w:fill="auto"/>
            <w:noWrap/>
            <w:vAlign w:val="bottom"/>
            <w:hideMark/>
          </w:tcPr>
          <w:p w14:paraId="4B385F36"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597 364,70</w:t>
            </w:r>
          </w:p>
        </w:tc>
        <w:tc>
          <w:tcPr>
            <w:tcW w:w="1846" w:type="dxa"/>
            <w:shd w:val="clear" w:color="auto" w:fill="auto"/>
            <w:noWrap/>
            <w:vAlign w:val="bottom"/>
            <w:hideMark/>
          </w:tcPr>
          <w:p w14:paraId="1E46E2C3" w14:textId="77777777" w:rsidR="00AD4297" w:rsidRPr="009772A3" w:rsidRDefault="00AD4297" w:rsidP="00AD4297">
            <w:pPr>
              <w:spacing w:after="0" w:line="240" w:lineRule="auto"/>
              <w:jc w:val="right"/>
              <w:rPr>
                <w:rFonts w:asciiTheme="majorHAnsi" w:eastAsia="Times New Roman" w:hAnsiTheme="majorHAnsi" w:cstheme="majorHAnsi"/>
                <w:sz w:val="16"/>
                <w:szCs w:val="16"/>
                <w:lang w:val="ro-MD" w:eastAsia="ru-RU"/>
              </w:rPr>
            </w:pPr>
            <w:r w:rsidRPr="009772A3">
              <w:rPr>
                <w:rFonts w:asciiTheme="majorHAnsi" w:eastAsia="Times New Roman" w:hAnsiTheme="majorHAnsi" w:cstheme="majorHAnsi"/>
                <w:sz w:val="16"/>
                <w:szCs w:val="16"/>
                <w:lang w:val="ro-MD" w:eastAsia="ru-RU"/>
              </w:rPr>
              <w:t>374 318,00</w:t>
            </w:r>
          </w:p>
        </w:tc>
      </w:tr>
      <w:tr w:rsidR="008846C6" w:rsidRPr="009772A3" w14:paraId="586EE180" w14:textId="77777777" w:rsidTr="00F46739">
        <w:trPr>
          <w:trHeight w:val="20"/>
        </w:trPr>
        <w:tc>
          <w:tcPr>
            <w:tcW w:w="1761" w:type="dxa"/>
            <w:shd w:val="clear" w:color="auto" w:fill="auto"/>
            <w:noWrap/>
            <w:vAlign w:val="bottom"/>
            <w:hideMark/>
          </w:tcPr>
          <w:p w14:paraId="6C1954DF" w14:textId="77777777" w:rsidR="008846C6" w:rsidRPr="009772A3" w:rsidRDefault="008846C6" w:rsidP="00AD4297">
            <w:pPr>
              <w:spacing w:after="0" w:line="240" w:lineRule="auto"/>
              <w:rPr>
                <w:rFonts w:asciiTheme="majorHAnsi" w:eastAsia="Times New Roman" w:hAnsiTheme="majorHAnsi" w:cstheme="majorHAnsi"/>
                <w:b/>
                <w:bCs/>
                <w:sz w:val="16"/>
                <w:szCs w:val="16"/>
                <w:lang w:val="ro-MD" w:eastAsia="ru-RU"/>
              </w:rPr>
            </w:pPr>
            <w:r w:rsidRPr="009772A3">
              <w:rPr>
                <w:rFonts w:asciiTheme="majorHAnsi" w:eastAsia="Times New Roman" w:hAnsiTheme="majorHAnsi" w:cstheme="majorHAnsi"/>
                <w:b/>
                <w:bCs/>
                <w:sz w:val="16"/>
                <w:szCs w:val="16"/>
                <w:lang w:val="ro-MD" w:eastAsia="ru-RU"/>
              </w:rPr>
              <w:t xml:space="preserve">Total </w:t>
            </w:r>
          </w:p>
        </w:tc>
        <w:tc>
          <w:tcPr>
            <w:tcW w:w="1798" w:type="dxa"/>
            <w:shd w:val="clear" w:color="auto" w:fill="auto"/>
            <w:noWrap/>
            <w:vAlign w:val="bottom"/>
            <w:hideMark/>
          </w:tcPr>
          <w:p w14:paraId="22D9CF72" w14:textId="51AC0381" w:rsidR="008846C6" w:rsidRPr="009772A3" w:rsidRDefault="008846C6" w:rsidP="00AD4297">
            <w:pPr>
              <w:spacing w:after="0" w:line="240" w:lineRule="auto"/>
              <w:jc w:val="right"/>
              <w:rPr>
                <w:rFonts w:asciiTheme="majorHAnsi" w:eastAsia="Times New Roman" w:hAnsiTheme="majorHAnsi" w:cstheme="majorHAnsi"/>
                <w:b/>
                <w:bCs/>
                <w:sz w:val="16"/>
                <w:szCs w:val="16"/>
                <w:lang w:val="ro-MD" w:eastAsia="ru-RU"/>
              </w:rPr>
            </w:pPr>
            <w:r w:rsidRPr="009772A3">
              <w:rPr>
                <w:rFonts w:ascii="Calibri" w:hAnsi="Calibri" w:cs="Calibri"/>
                <w:b/>
                <w:bCs/>
                <w:sz w:val="16"/>
                <w:szCs w:val="16"/>
                <w:lang w:val="ro-MD"/>
              </w:rPr>
              <w:t>36 041 894,69</w:t>
            </w:r>
          </w:p>
        </w:tc>
        <w:tc>
          <w:tcPr>
            <w:tcW w:w="1559" w:type="dxa"/>
            <w:shd w:val="clear" w:color="auto" w:fill="auto"/>
            <w:noWrap/>
            <w:vAlign w:val="bottom"/>
            <w:hideMark/>
          </w:tcPr>
          <w:p w14:paraId="18F81990" w14:textId="19508C4A" w:rsidR="008846C6" w:rsidRPr="009772A3" w:rsidRDefault="008846C6" w:rsidP="00AD4297">
            <w:pPr>
              <w:spacing w:after="0" w:line="240" w:lineRule="auto"/>
              <w:jc w:val="right"/>
              <w:rPr>
                <w:rFonts w:asciiTheme="majorHAnsi" w:eastAsia="Times New Roman" w:hAnsiTheme="majorHAnsi" w:cstheme="majorHAnsi"/>
                <w:b/>
                <w:bCs/>
                <w:sz w:val="16"/>
                <w:szCs w:val="16"/>
                <w:lang w:val="ro-MD" w:eastAsia="ru-RU"/>
              </w:rPr>
            </w:pPr>
            <w:r w:rsidRPr="009772A3">
              <w:rPr>
                <w:rFonts w:ascii="Calibri" w:hAnsi="Calibri" w:cs="Calibri"/>
                <w:b/>
                <w:bCs/>
                <w:sz w:val="16"/>
                <w:szCs w:val="16"/>
                <w:lang w:val="ro-MD"/>
              </w:rPr>
              <w:t>32 939 162,80</w:t>
            </w:r>
          </w:p>
        </w:tc>
        <w:tc>
          <w:tcPr>
            <w:tcW w:w="2410" w:type="dxa"/>
            <w:shd w:val="clear" w:color="auto" w:fill="auto"/>
            <w:noWrap/>
            <w:vAlign w:val="bottom"/>
            <w:hideMark/>
          </w:tcPr>
          <w:p w14:paraId="00F9784B" w14:textId="77777777" w:rsidR="008846C6" w:rsidRPr="009772A3" w:rsidRDefault="008846C6" w:rsidP="00AD4297">
            <w:pPr>
              <w:spacing w:after="0" w:line="240" w:lineRule="auto"/>
              <w:jc w:val="right"/>
              <w:rPr>
                <w:rFonts w:asciiTheme="majorHAnsi" w:eastAsia="Times New Roman" w:hAnsiTheme="majorHAnsi" w:cstheme="majorHAnsi"/>
                <w:b/>
                <w:bCs/>
                <w:sz w:val="16"/>
                <w:szCs w:val="16"/>
                <w:lang w:val="ro-MD" w:eastAsia="ru-RU"/>
              </w:rPr>
            </w:pPr>
            <w:r w:rsidRPr="009772A3">
              <w:rPr>
                <w:rFonts w:asciiTheme="majorHAnsi" w:eastAsia="Times New Roman" w:hAnsiTheme="majorHAnsi" w:cstheme="majorHAnsi"/>
                <w:b/>
                <w:bCs/>
                <w:sz w:val="16"/>
                <w:szCs w:val="16"/>
                <w:lang w:val="ro-MD" w:eastAsia="ru-RU"/>
              </w:rPr>
              <w:t>22 727 428,70</w:t>
            </w:r>
          </w:p>
        </w:tc>
        <w:tc>
          <w:tcPr>
            <w:tcW w:w="1846" w:type="dxa"/>
            <w:shd w:val="clear" w:color="auto" w:fill="auto"/>
            <w:noWrap/>
            <w:vAlign w:val="bottom"/>
            <w:hideMark/>
          </w:tcPr>
          <w:p w14:paraId="76C75759" w14:textId="4D942DA5" w:rsidR="008846C6" w:rsidRPr="009772A3" w:rsidRDefault="008846C6" w:rsidP="008846C6">
            <w:pPr>
              <w:spacing w:after="0"/>
              <w:jc w:val="right"/>
              <w:rPr>
                <w:rFonts w:ascii="Calibri" w:hAnsi="Calibri" w:cs="Calibri"/>
                <w:sz w:val="16"/>
                <w:szCs w:val="16"/>
                <w:lang w:val="ro-MD"/>
              </w:rPr>
            </w:pPr>
            <w:r w:rsidRPr="009772A3">
              <w:rPr>
                <w:rFonts w:ascii="Calibri" w:hAnsi="Calibri" w:cs="Calibri"/>
                <w:sz w:val="16"/>
                <w:szCs w:val="16"/>
                <w:lang w:val="ro-MD"/>
              </w:rPr>
              <w:t>13 314 465,99</w:t>
            </w:r>
          </w:p>
        </w:tc>
      </w:tr>
    </w:tbl>
    <w:p w14:paraId="2C238660" w14:textId="483A7987" w:rsidR="00FD1AA6" w:rsidRPr="009772A3" w:rsidRDefault="0054171B" w:rsidP="00F8667A">
      <w:pPr>
        <w:pStyle w:val="Heading1"/>
        <w:numPr>
          <w:ilvl w:val="3"/>
          <w:numId w:val="2"/>
        </w:numPr>
        <w:tabs>
          <w:tab w:val="left" w:pos="851"/>
        </w:tabs>
        <w:spacing w:line="276" w:lineRule="auto"/>
        <w:ind w:left="0" w:firstLine="0"/>
        <w:jc w:val="both"/>
        <w:rPr>
          <w:i/>
          <w:color w:val="auto"/>
          <w:lang w:val="ro-MD"/>
        </w:rPr>
      </w:pPr>
      <w:r w:rsidRPr="009772A3">
        <w:rPr>
          <w:color w:val="auto"/>
          <w:lang w:val="ro-MD"/>
        </w:rPr>
        <w:t xml:space="preserve"> </w:t>
      </w:r>
      <w:bookmarkStart w:id="98" w:name="_Toc117775774"/>
      <w:bookmarkStart w:id="99" w:name="_Toc118297713"/>
      <w:bookmarkStart w:id="100" w:name="_Toc118465741"/>
      <w:bookmarkStart w:id="101" w:name="_Toc119496415"/>
      <w:r w:rsidR="00FD1AA6" w:rsidRPr="009772A3">
        <w:rPr>
          <w:i/>
          <w:color w:val="auto"/>
          <w:lang w:val="ro-MD"/>
        </w:rPr>
        <w:t>Reglementările interne ale</w:t>
      </w:r>
      <w:r w:rsidR="00D943D3" w:rsidRPr="009772A3">
        <w:rPr>
          <w:i/>
          <w:color w:val="auto"/>
          <w:lang w:val="ro-MD"/>
        </w:rPr>
        <w:t xml:space="preserve"> grupului</w:t>
      </w:r>
      <w:r w:rsidR="00FD1AA6" w:rsidRPr="009772A3">
        <w:rPr>
          <w:i/>
          <w:color w:val="auto"/>
          <w:lang w:val="ro-MD"/>
        </w:rPr>
        <w:t xml:space="preserve"> SA Moldovagaz aferente proceselor de achiziții în domeniul </w:t>
      </w:r>
      <w:r w:rsidR="00D943D3" w:rsidRPr="009772A3">
        <w:rPr>
          <w:i/>
          <w:color w:val="auto"/>
          <w:lang w:val="ro-MD"/>
        </w:rPr>
        <w:t xml:space="preserve">activităților reglementate a </w:t>
      </w:r>
      <w:r w:rsidR="00FD1AA6" w:rsidRPr="009772A3">
        <w:rPr>
          <w:i/>
          <w:color w:val="auto"/>
          <w:lang w:val="ro-MD"/>
        </w:rPr>
        <w:t>gazelor naturale nu sunt armonizate corespunzător cu legislația aplicabilă</w:t>
      </w:r>
      <w:r w:rsidR="00B647D4" w:rsidRPr="009772A3">
        <w:rPr>
          <w:i/>
          <w:color w:val="auto"/>
          <w:lang w:val="ro-MD"/>
        </w:rPr>
        <w:t xml:space="preserve"> și creează </w:t>
      </w:r>
      <w:r w:rsidR="00152221" w:rsidRPr="009772A3">
        <w:rPr>
          <w:i/>
          <w:color w:val="auto"/>
          <w:lang w:val="ro-MD"/>
        </w:rPr>
        <w:t>posibilități</w:t>
      </w:r>
      <w:r w:rsidR="001A50E3" w:rsidRPr="009772A3">
        <w:rPr>
          <w:i/>
          <w:color w:val="auto"/>
          <w:lang w:val="ro-MD"/>
        </w:rPr>
        <w:t xml:space="preserve"> de aplicare neuniformă a </w:t>
      </w:r>
      <w:r w:rsidR="002C4A4E" w:rsidRPr="009772A3">
        <w:rPr>
          <w:i/>
          <w:color w:val="auto"/>
          <w:lang w:val="ro-MD"/>
        </w:rPr>
        <w:t>practicilor de procurări</w:t>
      </w:r>
      <w:r w:rsidR="00FD1AA6" w:rsidRPr="009772A3">
        <w:rPr>
          <w:i/>
          <w:color w:val="auto"/>
          <w:lang w:val="ro-MD"/>
        </w:rPr>
        <w:t>.</w:t>
      </w:r>
      <w:bookmarkEnd w:id="98"/>
      <w:bookmarkEnd w:id="99"/>
      <w:bookmarkEnd w:id="100"/>
      <w:bookmarkEnd w:id="101"/>
    </w:p>
    <w:p w14:paraId="52DC2DF7" w14:textId="569F38ED" w:rsidR="001B383E" w:rsidRPr="009772A3" w:rsidRDefault="00A86349" w:rsidP="004F4116">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Până </w:t>
      </w:r>
      <w:r w:rsidR="00F8667A">
        <w:rPr>
          <w:rFonts w:asciiTheme="majorHAnsi" w:hAnsiTheme="majorHAnsi" w:cstheme="majorHAnsi"/>
          <w:sz w:val="24"/>
          <w:szCs w:val="24"/>
          <w:lang w:val="ro-MD"/>
        </w:rPr>
        <w:t>î</w:t>
      </w:r>
      <w:r w:rsidR="001B383E" w:rsidRPr="009772A3">
        <w:rPr>
          <w:rFonts w:asciiTheme="majorHAnsi" w:hAnsiTheme="majorHAnsi" w:cstheme="majorHAnsi"/>
          <w:sz w:val="24"/>
          <w:szCs w:val="24"/>
          <w:lang w:val="ro-MD"/>
        </w:rPr>
        <w:t xml:space="preserve">n </w:t>
      </w:r>
      <w:r w:rsidR="00F8667A">
        <w:rPr>
          <w:rFonts w:asciiTheme="majorHAnsi" w:hAnsiTheme="majorHAnsi" w:cstheme="majorHAnsi"/>
          <w:sz w:val="24"/>
          <w:szCs w:val="24"/>
          <w:lang w:val="ro-MD"/>
        </w:rPr>
        <w:t xml:space="preserve">anul </w:t>
      </w:r>
      <w:r w:rsidR="001B383E" w:rsidRPr="009772A3">
        <w:rPr>
          <w:rFonts w:asciiTheme="majorHAnsi" w:hAnsiTheme="majorHAnsi" w:cstheme="majorHAnsi"/>
          <w:sz w:val="24"/>
          <w:szCs w:val="24"/>
          <w:lang w:val="ro-MD"/>
        </w:rPr>
        <w:t xml:space="preserve">2017 în sistemul gazelor naturale nu exista un cadru legislativ-normativ privind achizițiile de bunuri, lucrări și servicii la desfășurarea activităților reglementate, în condițiile în care în perioada </w:t>
      </w:r>
      <w:r w:rsidR="00F8667A">
        <w:rPr>
          <w:rFonts w:asciiTheme="majorHAnsi" w:hAnsiTheme="majorHAnsi" w:cstheme="majorHAnsi"/>
          <w:sz w:val="24"/>
          <w:szCs w:val="24"/>
          <w:lang w:val="ro-MD"/>
        </w:rPr>
        <w:t>2011-2017</w:t>
      </w:r>
      <w:r w:rsidR="00F8667A" w:rsidRPr="009772A3">
        <w:rPr>
          <w:rFonts w:asciiTheme="majorHAnsi" w:hAnsiTheme="majorHAnsi" w:cstheme="majorHAnsi"/>
          <w:sz w:val="24"/>
          <w:szCs w:val="24"/>
          <w:lang w:val="ro-MD"/>
        </w:rPr>
        <w:t xml:space="preserve"> </w:t>
      </w:r>
      <w:r w:rsidR="001B383E" w:rsidRPr="009772A3">
        <w:rPr>
          <w:rFonts w:asciiTheme="majorHAnsi" w:hAnsiTheme="majorHAnsi" w:cstheme="majorHAnsi"/>
          <w:sz w:val="24"/>
          <w:szCs w:val="24"/>
          <w:lang w:val="ro-MD"/>
        </w:rPr>
        <w:t xml:space="preserve">au fost realizate proceduri de achiziții </w:t>
      </w:r>
      <w:r w:rsidR="00F8667A">
        <w:rPr>
          <w:rFonts w:asciiTheme="majorHAnsi" w:hAnsiTheme="majorHAnsi" w:cstheme="majorHAnsi"/>
          <w:sz w:val="24"/>
          <w:szCs w:val="24"/>
          <w:lang w:val="ro-MD"/>
        </w:rPr>
        <w:t xml:space="preserve">doar </w:t>
      </w:r>
      <w:r w:rsidR="001B383E" w:rsidRPr="009772A3">
        <w:rPr>
          <w:rFonts w:asciiTheme="majorHAnsi" w:hAnsiTheme="majorHAnsi" w:cstheme="majorHAnsi"/>
          <w:sz w:val="24"/>
          <w:szCs w:val="24"/>
          <w:lang w:val="ro-MD"/>
        </w:rPr>
        <w:t xml:space="preserve">pentru efectuarea investițiilor în valoare totală de </w:t>
      </w:r>
      <w:r w:rsidR="004A1641" w:rsidRPr="009772A3">
        <w:rPr>
          <w:rFonts w:asciiTheme="majorHAnsi" w:hAnsiTheme="majorHAnsi" w:cstheme="majorHAnsi"/>
          <w:sz w:val="24"/>
          <w:szCs w:val="24"/>
          <w:lang w:val="ro-MD"/>
        </w:rPr>
        <w:t xml:space="preserve">2.421.820,6 </w:t>
      </w:r>
      <w:r w:rsidR="001B383E" w:rsidRPr="009772A3">
        <w:rPr>
          <w:rFonts w:asciiTheme="majorHAnsi" w:hAnsiTheme="majorHAnsi" w:cstheme="majorHAnsi"/>
          <w:sz w:val="24"/>
          <w:szCs w:val="24"/>
          <w:lang w:val="ro-MD"/>
        </w:rPr>
        <w:t>mii lei</w:t>
      </w:r>
      <w:r w:rsidR="004A1641" w:rsidRPr="009772A3">
        <w:rPr>
          <w:rFonts w:asciiTheme="majorHAnsi" w:hAnsiTheme="majorHAnsi" w:cstheme="majorHAnsi"/>
          <w:sz w:val="24"/>
          <w:szCs w:val="24"/>
          <w:lang w:val="ro-MD"/>
        </w:rPr>
        <w:t xml:space="preserve"> (fără TVA)</w:t>
      </w:r>
      <w:r w:rsidR="001B383E" w:rsidRPr="009772A3">
        <w:rPr>
          <w:rFonts w:asciiTheme="majorHAnsi" w:hAnsiTheme="majorHAnsi" w:cstheme="majorHAnsi"/>
          <w:sz w:val="24"/>
          <w:szCs w:val="24"/>
          <w:lang w:val="ro-MD"/>
        </w:rPr>
        <w:t xml:space="preserve">. Acest fapt a condiționat existența unui vid </w:t>
      </w:r>
      <w:r w:rsidR="00895A41" w:rsidRPr="009772A3">
        <w:rPr>
          <w:rFonts w:asciiTheme="majorHAnsi" w:hAnsiTheme="majorHAnsi" w:cstheme="majorHAnsi"/>
          <w:sz w:val="24"/>
          <w:szCs w:val="24"/>
          <w:lang w:val="ro-MD"/>
        </w:rPr>
        <w:t>normativ</w:t>
      </w:r>
      <w:r w:rsidR="001B383E" w:rsidRPr="009772A3">
        <w:rPr>
          <w:rFonts w:asciiTheme="majorHAnsi" w:hAnsiTheme="majorHAnsi" w:cstheme="majorHAnsi"/>
          <w:sz w:val="24"/>
          <w:szCs w:val="24"/>
          <w:lang w:val="ro-MD"/>
        </w:rPr>
        <w:t xml:space="preserve"> în sistemul gazelor naturale, determinând elaborarea și aplicarea de către SA Moldovagaz și întreprinderile din sistemul gazelor naturale</w:t>
      </w:r>
      <w:r w:rsidR="00350F3C" w:rsidRPr="009772A3">
        <w:rPr>
          <w:rFonts w:asciiTheme="majorHAnsi" w:hAnsiTheme="majorHAnsi" w:cstheme="majorHAnsi"/>
          <w:sz w:val="24"/>
          <w:szCs w:val="24"/>
          <w:lang w:val="ro-MD"/>
        </w:rPr>
        <w:t>,</w:t>
      </w:r>
      <w:r w:rsidR="001B383E" w:rsidRPr="009772A3">
        <w:rPr>
          <w:rFonts w:asciiTheme="majorHAnsi" w:hAnsiTheme="majorHAnsi" w:cstheme="majorHAnsi"/>
          <w:sz w:val="24"/>
          <w:szCs w:val="24"/>
          <w:lang w:val="ro-MD"/>
        </w:rPr>
        <w:t xml:space="preserve"> începând cu anul 2009</w:t>
      </w:r>
      <w:r w:rsidR="00350F3C" w:rsidRPr="009772A3">
        <w:rPr>
          <w:rFonts w:asciiTheme="majorHAnsi" w:hAnsiTheme="majorHAnsi" w:cstheme="majorHAnsi"/>
          <w:sz w:val="24"/>
          <w:szCs w:val="24"/>
          <w:lang w:val="ro-MD"/>
        </w:rPr>
        <w:t>,</w:t>
      </w:r>
      <w:r w:rsidR="001B383E" w:rsidRPr="009772A3">
        <w:rPr>
          <w:rFonts w:asciiTheme="majorHAnsi" w:hAnsiTheme="majorHAnsi" w:cstheme="majorHAnsi"/>
          <w:sz w:val="24"/>
          <w:szCs w:val="24"/>
          <w:lang w:val="ro-MD"/>
        </w:rPr>
        <w:t xml:space="preserve"> a reglementărilor interne privind achizițiile de bunuri, lucrări și servicii. </w:t>
      </w:r>
    </w:p>
    <w:p w14:paraId="12A1EB27" w14:textId="6A7B6A2F" w:rsidR="001B383E" w:rsidRPr="009772A3" w:rsidRDefault="00895A41"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Astfel, î</w:t>
      </w:r>
      <w:r w:rsidR="001B383E" w:rsidRPr="009772A3">
        <w:rPr>
          <w:rFonts w:asciiTheme="majorHAnsi" w:hAnsiTheme="majorHAnsi" w:cstheme="majorHAnsi"/>
          <w:sz w:val="24"/>
          <w:szCs w:val="24"/>
          <w:lang w:val="ro-MD"/>
        </w:rPr>
        <w:t>n anul 2009</w:t>
      </w:r>
      <w:r w:rsidR="00350F3C" w:rsidRPr="009772A3">
        <w:rPr>
          <w:rFonts w:asciiTheme="majorHAnsi" w:hAnsiTheme="majorHAnsi" w:cstheme="majorHAnsi"/>
          <w:sz w:val="24"/>
          <w:szCs w:val="24"/>
          <w:lang w:val="ro-MD"/>
        </w:rPr>
        <w:t>,</w:t>
      </w:r>
      <w:r w:rsidR="001B383E" w:rsidRPr="009772A3">
        <w:rPr>
          <w:rFonts w:asciiTheme="majorHAnsi" w:hAnsiTheme="majorHAnsi" w:cstheme="majorHAnsi"/>
          <w:sz w:val="24"/>
          <w:szCs w:val="24"/>
          <w:lang w:val="ro-MD"/>
        </w:rPr>
        <w:t xml:space="preserve"> prin Hotărârea Consiliului de administrație a</w:t>
      </w:r>
      <w:r w:rsidR="00350F3C" w:rsidRPr="009772A3">
        <w:rPr>
          <w:rFonts w:asciiTheme="majorHAnsi" w:hAnsiTheme="majorHAnsi" w:cstheme="majorHAnsi"/>
          <w:sz w:val="24"/>
          <w:szCs w:val="24"/>
          <w:lang w:val="ro-MD"/>
        </w:rPr>
        <w:t>l</w:t>
      </w:r>
      <w:r w:rsidR="001B383E" w:rsidRPr="009772A3">
        <w:rPr>
          <w:rFonts w:asciiTheme="majorHAnsi" w:hAnsiTheme="majorHAnsi" w:cstheme="majorHAnsi"/>
          <w:sz w:val="24"/>
          <w:szCs w:val="24"/>
          <w:lang w:val="ro-MD"/>
        </w:rPr>
        <w:t xml:space="preserve"> S</w:t>
      </w:r>
      <w:r w:rsidR="00EE17E2" w:rsidRPr="009772A3">
        <w:rPr>
          <w:rFonts w:asciiTheme="majorHAnsi" w:hAnsiTheme="majorHAnsi" w:cstheme="majorHAnsi"/>
          <w:sz w:val="24"/>
          <w:szCs w:val="24"/>
          <w:lang w:val="ro-MD"/>
        </w:rPr>
        <w:t>A</w:t>
      </w:r>
      <w:r w:rsidR="001B383E" w:rsidRPr="009772A3">
        <w:rPr>
          <w:rFonts w:asciiTheme="majorHAnsi" w:hAnsiTheme="majorHAnsi" w:cstheme="majorHAnsi"/>
          <w:sz w:val="24"/>
          <w:szCs w:val="24"/>
          <w:lang w:val="ro-MD"/>
        </w:rPr>
        <w:t xml:space="preserve"> Moldovagaz</w:t>
      </w:r>
      <w:r w:rsidR="00350F3C" w:rsidRPr="009772A3">
        <w:rPr>
          <w:rFonts w:asciiTheme="majorHAnsi" w:hAnsiTheme="majorHAnsi" w:cstheme="majorHAnsi"/>
          <w:sz w:val="24"/>
          <w:szCs w:val="24"/>
          <w:lang w:val="ro-MD"/>
        </w:rPr>
        <w:t>,</w:t>
      </w:r>
      <w:r w:rsidR="001B383E" w:rsidRPr="009772A3">
        <w:rPr>
          <w:rFonts w:asciiTheme="majorHAnsi" w:hAnsiTheme="majorHAnsi" w:cstheme="majorHAnsi"/>
          <w:sz w:val="24"/>
          <w:szCs w:val="24"/>
          <w:lang w:val="ro-MD"/>
        </w:rPr>
        <w:t xml:space="preserve"> a fost aprobat Regulamentul pentru efectuarea achizițiilor de bunuri, lucrări şi servicii</w:t>
      </w:r>
      <w:r w:rsidR="001B383E" w:rsidRPr="009772A3">
        <w:rPr>
          <w:vertAlign w:val="superscript"/>
          <w:lang w:val="ro-MD"/>
        </w:rPr>
        <w:footnoteReference w:id="77"/>
      </w:r>
      <w:r w:rsidR="00350F3C" w:rsidRPr="009772A3">
        <w:rPr>
          <w:rFonts w:asciiTheme="majorHAnsi" w:hAnsiTheme="majorHAnsi" w:cstheme="majorHAnsi"/>
          <w:sz w:val="24"/>
          <w:szCs w:val="24"/>
          <w:lang w:val="ro-MD"/>
        </w:rPr>
        <w:t>,</w:t>
      </w:r>
      <w:r w:rsidR="001B383E" w:rsidRPr="009772A3">
        <w:rPr>
          <w:rFonts w:asciiTheme="majorHAnsi" w:hAnsiTheme="majorHAnsi" w:cstheme="majorHAnsi"/>
          <w:sz w:val="24"/>
          <w:szCs w:val="24"/>
          <w:lang w:val="ro-MD"/>
        </w:rPr>
        <w:t xml:space="preserve"> care reglementează relațiile companiei și societăților afiliate cu furnizorii de mărfuri, executorii de lucrări și servicii. Deși S</w:t>
      </w:r>
      <w:r w:rsidR="00EE17E2" w:rsidRPr="009772A3">
        <w:rPr>
          <w:rFonts w:asciiTheme="majorHAnsi" w:hAnsiTheme="majorHAnsi" w:cstheme="majorHAnsi"/>
          <w:sz w:val="24"/>
          <w:szCs w:val="24"/>
          <w:lang w:val="ro-MD"/>
        </w:rPr>
        <w:t>A</w:t>
      </w:r>
      <w:r w:rsidR="001B383E" w:rsidRPr="009772A3">
        <w:rPr>
          <w:rFonts w:asciiTheme="majorHAnsi" w:hAnsiTheme="majorHAnsi" w:cstheme="majorHAnsi"/>
          <w:sz w:val="24"/>
          <w:szCs w:val="24"/>
          <w:lang w:val="ro-MD"/>
        </w:rPr>
        <w:t xml:space="preserve"> Moldovagaz nu avea calitatea de autoritate contractantă prin prisma Legii nr.96 din 13.04.2007 privind achizițiile publice, potrivit regulamentului aprobat</w:t>
      </w:r>
      <w:r w:rsidR="00350F3C" w:rsidRPr="009772A3">
        <w:rPr>
          <w:rFonts w:asciiTheme="majorHAnsi" w:hAnsiTheme="majorHAnsi" w:cstheme="majorHAnsi"/>
          <w:sz w:val="24"/>
          <w:szCs w:val="24"/>
          <w:lang w:val="ro-MD"/>
        </w:rPr>
        <w:t>,</w:t>
      </w:r>
      <w:r w:rsidR="001B383E" w:rsidRPr="009772A3">
        <w:rPr>
          <w:rFonts w:asciiTheme="majorHAnsi" w:hAnsiTheme="majorHAnsi" w:cstheme="majorHAnsi"/>
          <w:sz w:val="24"/>
          <w:szCs w:val="24"/>
          <w:lang w:val="ro-MD"/>
        </w:rPr>
        <w:t xml:space="preserve"> la elaborarea acestuia s-a ținut cont </w:t>
      </w:r>
      <w:r w:rsidR="00D943D3" w:rsidRPr="009772A3">
        <w:rPr>
          <w:rFonts w:asciiTheme="majorHAnsi" w:hAnsiTheme="majorHAnsi" w:cstheme="majorHAnsi"/>
          <w:sz w:val="24"/>
          <w:szCs w:val="24"/>
          <w:lang w:val="ro-MD"/>
        </w:rPr>
        <w:t xml:space="preserve">doar </w:t>
      </w:r>
      <w:r w:rsidR="001B383E" w:rsidRPr="009772A3">
        <w:rPr>
          <w:rFonts w:asciiTheme="majorHAnsi" w:hAnsiTheme="majorHAnsi" w:cstheme="majorHAnsi"/>
          <w:sz w:val="24"/>
          <w:szCs w:val="24"/>
          <w:lang w:val="ro-MD"/>
        </w:rPr>
        <w:t>de</w:t>
      </w:r>
      <w:r w:rsidR="00D943D3" w:rsidRPr="009772A3">
        <w:rPr>
          <w:rFonts w:asciiTheme="majorHAnsi" w:hAnsiTheme="majorHAnsi" w:cstheme="majorHAnsi"/>
          <w:sz w:val="24"/>
          <w:szCs w:val="24"/>
          <w:lang w:val="ro-MD"/>
        </w:rPr>
        <w:t xml:space="preserve"> unele </w:t>
      </w:r>
      <w:r w:rsidR="001B383E" w:rsidRPr="009772A3">
        <w:rPr>
          <w:rFonts w:asciiTheme="majorHAnsi" w:hAnsiTheme="majorHAnsi" w:cstheme="majorHAnsi"/>
          <w:sz w:val="24"/>
          <w:szCs w:val="24"/>
          <w:lang w:val="ro-MD"/>
        </w:rPr>
        <w:t>prevederi legislativ-normative în domeniul achizițiilor publice</w:t>
      </w:r>
      <w:r w:rsidR="001B383E" w:rsidRPr="009772A3">
        <w:rPr>
          <w:vertAlign w:val="superscript"/>
          <w:lang w:val="ro-MD"/>
        </w:rPr>
        <w:footnoteReference w:id="78"/>
      </w:r>
      <w:r w:rsidRPr="009772A3">
        <w:rPr>
          <w:rFonts w:asciiTheme="majorHAnsi" w:hAnsiTheme="majorHAnsi" w:cstheme="majorHAnsi"/>
          <w:sz w:val="24"/>
          <w:szCs w:val="24"/>
          <w:lang w:val="ro-MD"/>
        </w:rPr>
        <w:t xml:space="preserve">. Reglementările interne ale SA Moldovagaz în domeniul achizițiilor nu au </w:t>
      </w:r>
      <w:r w:rsidR="006733EB" w:rsidRPr="009772A3">
        <w:rPr>
          <w:rFonts w:asciiTheme="majorHAnsi" w:hAnsiTheme="majorHAnsi" w:cstheme="majorHAnsi"/>
          <w:sz w:val="24"/>
          <w:szCs w:val="24"/>
          <w:lang w:val="ro-MD"/>
        </w:rPr>
        <w:t xml:space="preserve">fost exhaustive, nefiind </w:t>
      </w:r>
      <w:r w:rsidRPr="009772A3">
        <w:rPr>
          <w:rFonts w:asciiTheme="majorHAnsi" w:hAnsiTheme="majorHAnsi" w:cstheme="majorHAnsi"/>
          <w:sz w:val="24"/>
          <w:szCs w:val="24"/>
          <w:lang w:val="ro-MD"/>
        </w:rPr>
        <w:t xml:space="preserve">expres </w:t>
      </w:r>
      <w:r w:rsidR="006733EB" w:rsidRPr="009772A3">
        <w:rPr>
          <w:rFonts w:asciiTheme="majorHAnsi" w:hAnsiTheme="majorHAnsi" w:cstheme="majorHAnsi"/>
          <w:sz w:val="24"/>
          <w:szCs w:val="24"/>
          <w:lang w:val="ro-MD"/>
        </w:rPr>
        <w:t>stabilit</w:t>
      </w:r>
      <w:r w:rsidR="00350F3C" w:rsidRPr="009772A3">
        <w:rPr>
          <w:rFonts w:asciiTheme="majorHAnsi" w:hAnsiTheme="majorHAnsi" w:cstheme="majorHAnsi"/>
          <w:sz w:val="24"/>
          <w:szCs w:val="24"/>
          <w:lang w:val="ro-MD"/>
        </w:rPr>
        <w:t>e:</w:t>
      </w:r>
      <w:r w:rsidR="006733EB" w:rsidRPr="009772A3">
        <w:rPr>
          <w:rFonts w:asciiTheme="majorHAnsi" w:hAnsiTheme="majorHAnsi" w:cstheme="majorHAnsi"/>
          <w:sz w:val="24"/>
          <w:szCs w:val="24"/>
          <w:lang w:val="ro-MD"/>
        </w:rPr>
        <w:t xml:space="preserve"> </w:t>
      </w:r>
      <w:r w:rsidR="001B383E" w:rsidRPr="009772A3">
        <w:rPr>
          <w:rFonts w:asciiTheme="majorHAnsi" w:hAnsiTheme="majorHAnsi" w:cstheme="majorHAnsi"/>
          <w:sz w:val="24"/>
          <w:szCs w:val="24"/>
          <w:lang w:val="ro-MD"/>
        </w:rPr>
        <w:t xml:space="preserve">(i) modalitatea de calculare a valorii estimative a contractelor de achiziții, elaborarea și publicarea planului de achiziții; (ii) </w:t>
      </w:r>
      <w:r w:rsidR="00681F63" w:rsidRPr="009772A3">
        <w:rPr>
          <w:rFonts w:asciiTheme="majorHAnsi" w:hAnsiTheme="majorHAnsi" w:cstheme="majorHAnsi"/>
          <w:sz w:val="24"/>
          <w:szCs w:val="24"/>
          <w:lang w:val="ro-MD"/>
        </w:rPr>
        <w:t xml:space="preserve">atribuțiile aferente </w:t>
      </w:r>
      <w:r w:rsidR="001B383E" w:rsidRPr="009772A3">
        <w:rPr>
          <w:rFonts w:asciiTheme="majorHAnsi" w:hAnsiTheme="majorHAnsi" w:cstheme="majorHAnsi"/>
          <w:sz w:val="24"/>
          <w:szCs w:val="24"/>
          <w:lang w:val="ro-MD"/>
        </w:rPr>
        <w:t>fiecărui membru al grupului de lucru pentru achiziții; (iii) cerințe</w:t>
      </w:r>
      <w:r w:rsidR="00350F3C" w:rsidRPr="009772A3">
        <w:rPr>
          <w:rFonts w:asciiTheme="majorHAnsi" w:hAnsiTheme="majorHAnsi" w:cstheme="majorHAnsi"/>
          <w:sz w:val="24"/>
          <w:szCs w:val="24"/>
          <w:lang w:val="ro-MD"/>
        </w:rPr>
        <w:t>le</w:t>
      </w:r>
      <w:r w:rsidR="001B383E" w:rsidRPr="009772A3">
        <w:rPr>
          <w:rFonts w:asciiTheme="majorHAnsi" w:hAnsiTheme="majorHAnsi" w:cstheme="majorHAnsi"/>
          <w:sz w:val="24"/>
          <w:szCs w:val="24"/>
          <w:lang w:val="ro-MD"/>
        </w:rPr>
        <w:t xml:space="preserve"> privind depunerea garanțiilor pentru ofertă și de bună execuție; (iv) procedura de depunere și examinare a contestațiilor; (v) unele proceduri de achiziții</w:t>
      </w:r>
      <w:r w:rsidR="001B383E" w:rsidRPr="009772A3">
        <w:rPr>
          <w:rFonts w:asciiTheme="majorHAnsi" w:hAnsiTheme="majorHAnsi" w:cstheme="majorHAnsi"/>
          <w:sz w:val="24"/>
          <w:szCs w:val="24"/>
          <w:vertAlign w:val="superscript"/>
          <w:lang w:val="ro-MD"/>
        </w:rPr>
        <w:footnoteReference w:id="79"/>
      </w:r>
      <w:r w:rsidR="001B383E" w:rsidRPr="009772A3">
        <w:rPr>
          <w:rFonts w:asciiTheme="majorHAnsi" w:hAnsiTheme="majorHAnsi" w:cstheme="majorHAnsi"/>
          <w:sz w:val="24"/>
          <w:szCs w:val="24"/>
          <w:lang w:val="ro-MD"/>
        </w:rPr>
        <w:t>; (vi) răspunderea pentru încălcarea prevederilor în domeniul achizițiilor</w:t>
      </w:r>
      <w:r w:rsidR="00681F63" w:rsidRPr="009772A3">
        <w:rPr>
          <w:rFonts w:asciiTheme="majorHAnsi" w:hAnsiTheme="majorHAnsi" w:cstheme="majorHAnsi"/>
          <w:sz w:val="24"/>
          <w:szCs w:val="24"/>
          <w:lang w:val="ro-MD"/>
        </w:rPr>
        <w:t>, ceea ce nu a permis asigurarea transparenței și eficienței achizițiilor efectuate</w:t>
      </w:r>
      <w:r w:rsidR="001B383E" w:rsidRPr="009772A3">
        <w:rPr>
          <w:rFonts w:asciiTheme="majorHAnsi" w:hAnsiTheme="majorHAnsi" w:cstheme="majorHAnsi"/>
          <w:sz w:val="24"/>
          <w:szCs w:val="24"/>
          <w:lang w:val="ro-MD"/>
        </w:rPr>
        <w:t xml:space="preserve">. </w:t>
      </w:r>
      <w:r w:rsidR="00330938" w:rsidRPr="009772A3">
        <w:rPr>
          <w:rFonts w:asciiTheme="majorHAnsi" w:hAnsiTheme="majorHAnsi" w:cstheme="majorHAnsi"/>
          <w:sz w:val="24"/>
          <w:szCs w:val="24"/>
          <w:lang w:val="ro-MD"/>
        </w:rPr>
        <w:t>De asemenea</w:t>
      </w:r>
      <w:r w:rsidR="00350F3C" w:rsidRPr="009772A3">
        <w:rPr>
          <w:rFonts w:asciiTheme="majorHAnsi" w:hAnsiTheme="majorHAnsi" w:cstheme="majorHAnsi"/>
          <w:sz w:val="24"/>
          <w:szCs w:val="24"/>
          <w:lang w:val="ro-MD"/>
        </w:rPr>
        <w:t>,</w:t>
      </w:r>
      <w:r w:rsidR="00330938" w:rsidRPr="009772A3">
        <w:rPr>
          <w:rFonts w:asciiTheme="majorHAnsi" w:hAnsiTheme="majorHAnsi" w:cstheme="majorHAnsi"/>
          <w:sz w:val="24"/>
          <w:szCs w:val="24"/>
          <w:lang w:val="ro-MD"/>
        </w:rPr>
        <w:t xml:space="preserve"> SA Moldovagaz nu a elaborat reglementări interne cu referire la achiziția serviciilor de </w:t>
      </w:r>
      <w:r w:rsidR="001E3C5B">
        <w:rPr>
          <w:rFonts w:asciiTheme="majorHAnsi" w:hAnsiTheme="majorHAnsi" w:cstheme="majorHAnsi"/>
          <w:sz w:val="24"/>
          <w:szCs w:val="24"/>
          <w:lang w:val="ro-MD"/>
        </w:rPr>
        <w:t>locațiune</w:t>
      </w:r>
      <w:r w:rsidR="00330938" w:rsidRPr="009772A3">
        <w:rPr>
          <w:rFonts w:asciiTheme="majorHAnsi" w:hAnsiTheme="majorHAnsi" w:cstheme="majorHAnsi"/>
          <w:sz w:val="24"/>
          <w:szCs w:val="24"/>
          <w:lang w:val="ro-MD"/>
        </w:rPr>
        <w:t>, de comunicații, juridice, serviciilor bancare și cel</w:t>
      </w:r>
      <w:r w:rsidR="00350F3C" w:rsidRPr="009772A3">
        <w:rPr>
          <w:rFonts w:asciiTheme="majorHAnsi" w:hAnsiTheme="majorHAnsi" w:cstheme="majorHAnsi"/>
          <w:sz w:val="24"/>
          <w:szCs w:val="24"/>
          <w:lang w:val="ro-MD"/>
        </w:rPr>
        <w:t>or</w:t>
      </w:r>
      <w:r w:rsidR="00330938" w:rsidRPr="009772A3">
        <w:rPr>
          <w:rFonts w:asciiTheme="majorHAnsi" w:hAnsiTheme="majorHAnsi" w:cstheme="majorHAnsi"/>
          <w:sz w:val="24"/>
          <w:szCs w:val="24"/>
          <w:lang w:val="ro-MD"/>
        </w:rPr>
        <w:t xml:space="preserve"> oferite de Î.S. „Poșta Moldovei”, cât și achiziția de valori materiale, necesare pentru reparația sectoarelor avariate și </w:t>
      </w:r>
      <w:r w:rsidR="00350F3C" w:rsidRPr="009772A3">
        <w:rPr>
          <w:rFonts w:asciiTheme="majorHAnsi" w:hAnsiTheme="majorHAnsi" w:cstheme="majorHAnsi"/>
          <w:sz w:val="24"/>
          <w:szCs w:val="24"/>
          <w:lang w:val="ro-MD"/>
        </w:rPr>
        <w:t xml:space="preserve">pentru </w:t>
      </w:r>
      <w:r w:rsidR="00330938" w:rsidRPr="009772A3">
        <w:rPr>
          <w:rFonts w:asciiTheme="majorHAnsi" w:hAnsiTheme="majorHAnsi" w:cstheme="majorHAnsi"/>
          <w:sz w:val="24"/>
          <w:szCs w:val="24"/>
          <w:lang w:val="ro-MD"/>
        </w:rPr>
        <w:t>intervenții la înlăturarea situațiilor de forță majoră, exceptate de la prevederile Regulamentului intern de achiziții aprobat.</w:t>
      </w:r>
    </w:p>
    <w:p w14:paraId="3443D52C" w14:textId="58FCD76E" w:rsidR="001B383E" w:rsidRPr="009772A3" w:rsidRDefault="00330938"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Regulamentul intern nu a fost ajustat nici </w:t>
      </w:r>
      <w:r w:rsidR="001B383E" w:rsidRPr="009772A3">
        <w:rPr>
          <w:rFonts w:asciiTheme="majorHAnsi" w:hAnsiTheme="majorHAnsi" w:cstheme="majorHAnsi"/>
          <w:sz w:val="24"/>
          <w:szCs w:val="24"/>
          <w:lang w:val="ro-MD"/>
        </w:rPr>
        <w:t xml:space="preserve">începând cu anul 2016 </w:t>
      </w:r>
      <w:r w:rsidRPr="009772A3">
        <w:rPr>
          <w:rFonts w:asciiTheme="majorHAnsi" w:hAnsiTheme="majorHAnsi" w:cstheme="majorHAnsi"/>
          <w:sz w:val="24"/>
          <w:szCs w:val="24"/>
          <w:lang w:val="ro-MD"/>
        </w:rPr>
        <w:t>c</w:t>
      </w:r>
      <w:r w:rsidR="00A66221"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nd </w:t>
      </w:r>
      <w:r w:rsidR="001B383E" w:rsidRPr="009772A3">
        <w:rPr>
          <w:rFonts w:asciiTheme="majorHAnsi" w:hAnsiTheme="majorHAnsi" w:cstheme="majorHAnsi"/>
          <w:sz w:val="24"/>
          <w:szCs w:val="24"/>
          <w:lang w:val="ro-MD"/>
        </w:rPr>
        <w:t>a fost abrogată Legea nr.96 din 13.04.2007 și adoptată o nouă lege a achizițiilor publice</w:t>
      </w:r>
      <w:r w:rsidR="001B383E" w:rsidRPr="009772A3">
        <w:rPr>
          <w:rFonts w:asciiTheme="majorHAnsi" w:hAnsiTheme="majorHAnsi" w:cstheme="majorHAnsi"/>
          <w:sz w:val="24"/>
          <w:szCs w:val="24"/>
          <w:vertAlign w:val="superscript"/>
          <w:lang w:val="ro-MD"/>
        </w:rPr>
        <w:footnoteReference w:id="80"/>
      </w:r>
      <w:r w:rsidR="00A66221" w:rsidRPr="009772A3">
        <w:rPr>
          <w:rFonts w:asciiTheme="majorHAnsi" w:hAnsiTheme="majorHAnsi" w:cstheme="majorHAnsi"/>
          <w:sz w:val="24"/>
          <w:szCs w:val="24"/>
          <w:lang w:val="ro-MD"/>
        </w:rPr>
        <w:t>,</w:t>
      </w:r>
      <w:r w:rsidR="001B383E" w:rsidRPr="009772A3">
        <w:rPr>
          <w:rFonts w:asciiTheme="majorHAnsi" w:hAnsiTheme="majorHAnsi" w:cstheme="majorHAnsi"/>
          <w:sz w:val="24"/>
          <w:szCs w:val="24"/>
          <w:lang w:val="ro-MD"/>
        </w:rPr>
        <w:t xml:space="preserve"> </w:t>
      </w:r>
      <w:r w:rsidR="00A66221" w:rsidRPr="009772A3">
        <w:rPr>
          <w:rFonts w:asciiTheme="majorHAnsi" w:hAnsiTheme="majorHAnsi" w:cstheme="majorHAnsi"/>
          <w:sz w:val="24"/>
          <w:szCs w:val="24"/>
          <w:lang w:val="ro-MD"/>
        </w:rPr>
        <w:t>inclusiv</w:t>
      </w:r>
      <w:r w:rsidR="001B383E" w:rsidRPr="009772A3">
        <w:rPr>
          <w:rFonts w:asciiTheme="majorHAnsi" w:hAnsiTheme="majorHAnsi" w:cstheme="majorHAnsi"/>
          <w:sz w:val="24"/>
          <w:szCs w:val="24"/>
          <w:lang w:val="ro-MD"/>
        </w:rPr>
        <w:t xml:space="preserve"> acte normative secundare pentru implementarea acesteia</w:t>
      </w:r>
      <w:r w:rsidR="001B383E" w:rsidRPr="009772A3">
        <w:rPr>
          <w:rFonts w:asciiTheme="majorHAnsi" w:hAnsiTheme="majorHAnsi" w:cstheme="majorHAnsi"/>
          <w:sz w:val="24"/>
          <w:szCs w:val="24"/>
          <w:vertAlign w:val="superscript"/>
          <w:lang w:val="ro-MD"/>
        </w:rPr>
        <w:footnoteReference w:id="81"/>
      </w:r>
      <w:r w:rsidR="001B383E" w:rsidRPr="009772A3">
        <w:rPr>
          <w:rFonts w:asciiTheme="majorHAnsi" w:hAnsiTheme="majorHAnsi" w:cstheme="majorHAnsi"/>
          <w:sz w:val="24"/>
          <w:szCs w:val="24"/>
          <w:lang w:val="ro-MD"/>
        </w:rPr>
        <w:t xml:space="preserve">. </w:t>
      </w:r>
    </w:p>
    <w:p w14:paraId="0675C878" w14:textId="7DCAB660" w:rsidR="000715E4" w:rsidRPr="009772A3" w:rsidRDefault="00A66221" w:rsidP="004F4116">
      <w:pPr>
        <w:spacing w:after="0" w:line="276" w:lineRule="auto"/>
        <w:ind w:firstLine="709"/>
        <w:jc w:val="both"/>
        <w:rPr>
          <w:rFonts w:asciiTheme="majorHAnsi" w:hAnsiTheme="majorHAnsi" w:cstheme="majorHAnsi"/>
          <w:sz w:val="24"/>
          <w:szCs w:val="24"/>
          <w:lang w:val="ro-MD" w:eastAsia="ru-RU"/>
        </w:rPr>
      </w:pPr>
      <w:r w:rsidRPr="009772A3">
        <w:rPr>
          <w:rFonts w:asciiTheme="majorHAnsi" w:hAnsiTheme="majorHAnsi" w:cstheme="majorHAnsi"/>
          <w:sz w:val="24"/>
          <w:szCs w:val="24"/>
          <w:lang w:val="ro-MD"/>
        </w:rPr>
        <w:t>O s</w:t>
      </w:r>
      <w:r w:rsidR="001B383E" w:rsidRPr="009772A3">
        <w:rPr>
          <w:rFonts w:asciiTheme="majorHAnsi" w:hAnsiTheme="majorHAnsi" w:cstheme="majorHAnsi"/>
          <w:sz w:val="24"/>
          <w:szCs w:val="24"/>
          <w:lang w:val="ro-MD"/>
        </w:rPr>
        <w:t xml:space="preserve">ituație similară se atestă și în cadrul </w:t>
      </w:r>
      <w:r w:rsidR="00AB1355" w:rsidRPr="009772A3">
        <w:rPr>
          <w:rFonts w:asciiTheme="majorHAnsi" w:hAnsiTheme="majorHAnsi" w:cstheme="majorHAnsi"/>
          <w:sz w:val="24"/>
          <w:szCs w:val="24"/>
          <w:lang w:val="ro-MD"/>
        </w:rPr>
        <w:t>SRL Transautogaz, care</w:t>
      </w:r>
      <w:r w:rsidRPr="009772A3">
        <w:rPr>
          <w:rFonts w:asciiTheme="majorHAnsi" w:hAnsiTheme="majorHAnsi" w:cstheme="majorHAnsi"/>
          <w:sz w:val="24"/>
          <w:szCs w:val="24"/>
          <w:lang w:val="ro-MD"/>
        </w:rPr>
        <w:t>,</w:t>
      </w:r>
      <w:r w:rsidR="00AB1355" w:rsidRPr="009772A3">
        <w:rPr>
          <w:rFonts w:asciiTheme="majorHAnsi" w:hAnsiTheme="majorHAnsi" w:cstheme="majorHAnsi"/>
          <w:sz w:val="24"/>
          <w:szCs w:val="24"/>
          <w:lang w:val="ro-MD"/>
        </w:rPr>
        <w:t xml:space="preserve"> deși la 21.08.2020 a aprobat</w:t>
      </w:r>
      <w:r w:rsidR="00AB1355" w:rsidRPr="009772A3">
        <w:rPr>
          <w:rFonts w:asciiTheme="majorHAnsi" w:hAnsiTheme="majorHAnsi" w:cstheme="majorHAnsi"/>
          <w:sz w:val="24"/>
          <w:szCs w:val="24"/>
          <w:lang w:val="ro-MD" w:eastAsia="ru-RU"/>
        </w:rPr>
        <w:t xml:space="preserve"> reglementări interne</w:t>
      </w:r>
      <w:r w:rsidR="00AB1355" w:rsidRPr="009772A3">
        <w:rPr>
          <w:rStyle w:val="FootnoteReference"/>
          <w:rFonts w:asciiTheme="majorHAnsi" w:hAnsiTheme="majorHAnsi" w:cstheme="majorHAnsi"/>
          <w:sz w:val="24"/>
          <w:szCs w:val="24"/>
          <w:lang w:val="ro-MD" w:eastAsia="ru-RU"/>
        </w:rPr>
        <w:footnoteReference w:id="82"/>
      </w:r>
      <w:r w:rsidR="00AB1355" w:rsidRPr="009772A3">
        <w:rPr>
          <w:rFonts w:asciiTheme="majorHAnsi" w:hAnsiTheme="majorHAnsi" w:cstheme="majorHAnsi"/>
          <w:sz w:val="24"/>
          <w:szCs w:val="24"/>
          <w:lang w:val="ro-MD" w:eastAsia="ru-RU"/>
        </w:rPr>
        <w:t xml:space="preserve"> cu referire la procedurile de achiziție a bunurilor, lucrărilor și serviciilor utilizate în activitatea sa, </w:t>
      </w:r>
      <w:r w:rsidR="00885825" w:rsidRPr="009772A3">
        <w:rPr>
          <w:rFonts w:asciiTheme="majorHAnsi" w:hAnsiTheme="majorHAnsi" w:cstheme="majorHAnsi"/>
          <w:sz w:val="24"/>
          <w:szCs w:val="24"/>
          <w:lang w:val="ro-MD" w:eastAsia="ru-RU"/>
        </w:rPr>
        <w:t xml:space="preserve">a prevăzut că </w:t>
      </w:r>
      <w:r w:rsidR="00AB1355" w:rsidRPr="009772A3">
        <w:rPr>
          <w:rFonts w:asciiTheme="majorHAnsi" w:hAnsiTheme="majorHAnsi" w:cstheme="majorHAnsi"/>
          <w:sz w:val="24"/>
          <w:szCs w:val="24"/>
          <w:lang w:val="ro-MD" w:eastAsia="ru-RU"/>
        </w:rPr>
        <w:t xml:space="preserve">Regulamentul respectiv nu se aplică contractelor de achiziții în cazurile în care acestea se atribuie în alte scopuri decât pentru desfășurarea activităților reglementate de ANRE, fiind </w:t>
      </w:r>
      <w:r w:rsidR="00B168E5" w:rsidRPr="009772A3">
        <w:rPr>
          <w:rFonts w:asciiTheme="majorHAnsi" w:hAnsiTheme="majorHAnsi" w:cstheme="majorHAnsi"/>
          <w:sz w:val="24"/>
          <w:szCs w:val="24"/>
          <w:lang w:val="ro-MD" w:eastAsia="ru-RU"/>
        </w:rPr>
        <w:t>astfel complet</w:t>
      </w:r>
      <w:r w:rsidR="00AB1355" w:rsidRPr="009772A3">
        <w:rPr>
          <w:rFonts w:asciiTheme="majorHAnsi" w:hAnsiTheme="majorHAnsi" w:cstheme="majorHAnsi"/>
          <w:sz w:val="24"/>
          <w:szCs w:val="24"/>
          <w:lang w:val="ro-MD" w:eastAsia="ru-RU"/>
        </w:rPr>
        <w:t xml:space="preserve"> inaplicabil</w:t>
      </w:r>
      <w:r w:rsidR="00885825" w:rsidRPr="009772A3">
        <w:rPr>
          <w:rFonts w:asciiTheme="majorHAnsi" w:hAnsiTheme="majorHAnsi" w:cstheme="majorHAnsi"/>
          <w:sz w:val="24"/>
          <w:szCs w:val="24"/>
          <w:lang w:val="ro-MD" w:eastAsia="ru-RU"/>
        </w:rPr>
        <w:t xml:space="preserve"> activității acestei societăți. Se remarcă că activitatea SRL Transautogaz este nereglementată și ține de aprovizionarea consumatorilor cu gaze naturale comprimate și lichefiate, iar achizițiile în activitatea sa au fost semnificative și au însumat </w:t>
      </w:r>
      <w:r w:rsidR="00B168E5" w:rsidRPr="009772A3">
        <w:rPr>
          <w:rFonts w:asciiTheme="majorHAnsi" w:hAnsiTheme="majorHAnsi" w:cstheme="majorHAnsi"/>
          <w:sz w:val="24"/>
          <w:szCs w:val="24"/>
          <w:lang w:val="ro-MD" w:eastAsia="ru-RU"/>
        </w:rPr>
        <w:t>cca</w:t>
      </w:r>
      <w:r w:rsidR="00885825" w:rsidRPr="009772A3">
        <w:rPr>
          <w:rFonts w:asciiTheme="majorHAnsi" w:hAnsiTheme="majorHAnsi" w:cstheme="majorHAnsi"/>
          <w:sz w:val="24"/>
          <w:szCs w:val="24"/>
          <w:lang w:val="ro-MD" w:eastAsia="ru-RU"/>
        </w:rPr>
        <w:t xml:space="preserve"> 971.</w:t>
      </w:r>
      <w:r w:rsidR="00397305" w:rsidRPr="009772A3">
        <w:rPr>
          <w:rFonts w:asciiTheme="majorHAnsi" w:hAnsiTheme="majorHAnsi" w:cstheme="majorHAnsi"/>
          <w:sz w:val="24"/>
          <w:szCs w:val="24"/>
          <w:lang w:val="ro-MD" w:eastAsia="ru-RU"/>
        </w:rPr>
        <w:t>682</w:t>
      </w:r>
      <w:r w:rsidR="00885825" w:rsidRPr="009772A3">
        <w:rPr>
          <w:rFonts w:asciiTheme="majorHAnsi" w:hAnsiTheme="majorHAnsi" w:cstheme="majorHAnsi"/>
          <w:sz w:val="24"/>
          <w:szCs w:val="24"/>
          <w:lang w:val="ro-MD" w:eastAsia="ru-RU"/>
        </w:rPr>
        <w:t>,</w:t>
      </w:r>
      <w:r w:rsidR="00397305" w:rsidRPr="009772A3">
        <w:rPr>
          <w:rFonts w:asciiTheme="majorHAnsi" w:hAnsiTheme="majorHAnsi" w:cstheme="majorHAnsi"/>
          <w:sz w:val="24"/>
          <w:szCs w:val="24"/>
          <w:lang w:val="ro-MD" w:eastAsia="ru-RU"/>
        </w:rPr>
        <w:t xml:space="preserve">8 </w:t>
      </w:r>
      <w:r w:rsidR="00885825" w:rsidRPr="009772A3">
        <w:rPr>
          <w:rFonts w:asciiTheme="majorHAnsi" w:hAnsiTheme="majorHAnsi" w:cstheme="majorHAnsi"/>
          <w:sz w:val="24"/>
          <w:szCs w:val="24"/>
          <w:lang w:val="ro-MD" w:eastAsia="ru-RU"/>
        </w:rPr>
        <w:t>mii lei</w:t>
      </w:r>
      <w:r w:rsidR="00397305" w:rsidRPr="009772A3">
        <w:rPr>
          <w:rFonts w:asciiTheme="majorHAnsi" w:hAnsiTheme="majorHAnsi" w:cstheme="majorHAnsi"/>
          <w:sz w:val="24"/>
          <w:szCs w:val="24"/>
          <w:lang w:val="ro-MD" w:eastAsia="ru-RU"/>
        </w:rPr>
        <w:t>, din care gaze</w:t>
      </w:r>
      <w:r w:rsidRPr="009772A3">
        <w:rPr>
          <w:rFonts w:asciiTheme="majorHAnsi" w:hAnsiTheme="majorHAnsi" w:cstheme="majorHAnsi"/>
          <w:sz w:val="24"/>
          <w:szCs w:val="24"/>
          <w:lang w:val="ro-MD" w:eastAsia="ru-RU"/>
        </w:rPr>
        <w:t>le</w:t>
      </w:r>
      <w:r w:rsidR="00397305" w:rsidRPr="009772A3">
        <w:rPr>
          <w:rFonts w:asciiTheme="majorHAnsi" w:hAnsiTheme="majorHAnsi" w:cstheme="majorHAnsi"/>
          <w:sz w:val="24"/>
          <w:szCs w:val="24"/>
          <w:lang w:val="ro-MD" w:eastAsia="ru-RU"/>
        </w:rPr>
        <w:t xml:space="preserve"> naturale </w:t>
      </w:r>
      <w:r w:rsidRPr="009772A3">
        <w:rPr>
          <w:rFonts w:asciiTheme="majorHAnsi" w:hAnsiTheme="majorHAnsi" w:cstheme="majorHAnsi"/>
          <w:sz w:val="24"/>
          <w:szCs w:val="24"/>
          <w:lang w:val="ro-MD" w:eastAsia="ru-RU"/>
        </w:rPr>
        <w:t>au constituit</w:t>
      </w:r>
      <w:r w:rsidR="00397305" w:rsidRPr="009772A3">
        <w:rPr>
          <w:rFonts w:asciiTheme="majorHAnsi" w:hAnsiTheme="majorHAnsi" w:cstheme="majorHAnsi"/>
          <w:sz w:val="24"/>
          <w:szCs w:val="24"/>
          <w:lang w:val="ro-MD" w:eastAsia="ru-RU"/>
        </w:rPr>
        <w:t xml:space="preserve"> 597.364,7 mii lei</w:t>
      </w:r>
      <w:r w:rsidR="00885825" w:rsidRPr="009772A3">
        <w:rPr>
          <w:rFonts w:asciiTheme="majorHAnsi" w:hAnsiTheme="majorHAnsi" w:cstheme="majorHAnsi"/>
          <w:sz w:val="24"/>
          <w:szCs w:val="24"/>
          <w:lang w:val="ro-MD" w:eastAsia="ru-RU"/>
        </w:rPr>
        <w:t xml:space="preserve">. </w:t>
      </w:r>
    </w:p>
    <w:p w14:paraId="0091F372" w14:textId="77777777" w:rsidR="001B383E" w:rsidRPr="009772A3" w:rsidRDefault="001B383E" w:rsidP="0014477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Nereglementarea armonizată a procedurilor de achiziții a condiționat crearea premiselor și posibilităților de aplicare neuniformă a reglementărilor interne și a actelor legislativ-normative, decizia privind modul de aplicare rămânând la discreția grupului de lucru pentru achiziții, conducătorilor subdiviziunilor sau întreprinderilor, fără criterii clare de considerare.</w:t>
      </w:r>
    </w:p>
    <w:p w14:paraId="062F1794" w14:textId="39392516" w:rsidR="00B168E5" w:rsidRPr="009772A3" w:rsidRDefault="00680D37" w:rsidP="0014477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Având în vedere cele expuse supra, auditul </w:t>
      </w:r>
      <w:r w:rsidR="00A711BE" w:rsidRPr="009772A3">
        <w:rPr>
          <w:rFonts w:asciiTheme="majorHAnsi" w:hAnsiTheme="majorHAnsi" w:cstheme="majorHAnsi"/>
          <w:sz w:val="24"/>
          <w:szCs w:val="24"/>
          <w:lang w:val="ro-MD"/>
        </w:rPr>
        <w:t>denotă lipsa unui cadru exhaustiv intern de reglementare a achizițiilor at</w:t>
      </w:r>
      <w:r w:rsidR="00A66221" w:rsidRPr="009772A3">
        <w:rPr>
          <w:rFonts w:asciiTheme="majorHAnsi" w:hAnsiTheme="majorHAnsi" w:cstheme="majorHAnsi"/>
          <w:sz w:val="24"/>
          <w:szCs w:val="24"/>
          <w:lang w:val="ro-MD"/>
        </w:rPr>
        <w:t>â</w:t>
      </w:r>
      <w:r w:rsidR="00A711BE" w:rsidRPr="009772A3">
        <w:rPr>
          <w:rFonts w:asciiTheme="majorHAnsi" w:hAnsiTheme="majorHAnsi" w:cstheme="majorHAnsi"/>
          <w:sz w:val="24"/>
          <w:szCs w:val="24"/>
          <w:lang w:val="ro-MD"/>
        </w:rPr>
        <w:t>t pentru activitățile reglementate</w:t>
      </w:r>
      <w:r w:rsidR="00A66221" w:rsidRPr="009772A3">
        <w:rPr>
          <w:rFonts w:asciiTheme="majorHAnsi" w:hAnsiTheme="majorHAnsi" w:cstheme="majorHAnsi"/>
          <w:sz w:val="24"/>
          <w:szCs w:val="24"/>
          <w:lang w:val="ro-MD"/>
        </w:rPr>
        <w:t>,</w:t>
      </w:r>
      <w:r w:rsidR="00A711BE" w:rsidRPr="009772A3">
        <w:rPr>
          <w:rFonts w:asciiTheme="majorHAnsi" w:hAnsiTheme="majorHAnsi" w:cstheme="majorHAnsi"/>
          <w:sz w:val="24"/>
          <w:szCs w:val="24"/>
          <w:lang w:val="ro-MD"/>
        </w:rPr>
        <w:t xml:space="preserve"> c</w:t>
      </w:r>
      <w:r w:rsidR="00A66221" w:rsidRPr="009772A3">
        <w:rPr>
          <w:rFonts w:asciiTheme="majorHAnsi" w:hAnsiTheme="majorHAnsi" w:cstheme="majorHAnsi"/>
          <w:sz w:val="24"/>
          <w:szCs w:val="24"/>
          <w:lang w:val="ro-MD"/>
        </w:rPr>
        <w:t>â</w:t>
      </w:r>
      <w:r w:rsidR="00A711BE" w:rsidRPr="009772A3">
        <w:rPr>
          <w:rFonts w:asciiTheme="majorHAnsi" w:hAnsiTheme="majorHAnsi" w:cstheme="majorHAnsi"/>
          <w:sz w:val="24"/>
          <w:szCs w:val="24"/>
          <w:lang w:val="ro-MD"/>
        </w:rPr>
        <w:t xml:space="preserve">t și </w:t>
      </w:r>
      <w:r w:rsidR="00A66221" w:rsidRPr="009772A3">
        <w:rPr>
          <w:rFonts w:asciiTheme="majorHAnsi" w:hAnsiTheme="majorHAnsi" w:cstheme="majorHAnsi"/>
          <w:sz w:val="24"/>
          <w:szCs w:val="24"/>
          <w:lang w:val="ro-MD"/>
        </w:rPr>
        <w:t xml:space="preserve">pentru </w:t>
      </w:r>
      <w:r w:rsidR="00A711BE" w:rsidRPr="009772A3">
        <w:rPr>
          <w:rFonts w:asciiTheme="majorHAnsi" w:hAnsiTheme="majorHAnsi" w:cstheme="majorHAnsi"/>
          <w:sz w:val="24"/>
          <w:szCs w:val="24"/>
          <w:lang w:val="ro-MD"/>
        </w:rPr>
        <w:t>cele nereglementate a</w:t>
      </w:r>
      <w:r w:rsidR="00A66221" w:rsidRPr="009772A3">
        <w:rPr>
          <w:rFonts w:asciiTheme="majorHAnsi" w:hAnsiTheme="majorHAnsi" w:cstheme="majorHAnsi"/>
          <w:sz w:val="24"/>
          <w:szCs w:val="24"/>
          <w:lang w:val="ro-MD"/>
        </w:rPr>
        <w:t>le</w:t>
      </w:r>
      <w:r w:rsidR="00A711BE" w:rsidRPr="009772A3">
        <w:rPr>
          <w:rFonts w:asciiTheme="majorHAnsi" w:hAnsiTheme="majorHAnsi" w:cstheme="majorHAnsi"/>
          <w:sz w:val="24"/>
          <w:szCs w:val="24"/>
          <w:lang w:val="ro-MD"/>
        </w:rPr>
        <w:t xml:space="preserve"> grupului SA Moldovagaz, precum și pentru achizițiile care nu depășesc limitele inferioare a</w:t>
      </w:r>
      <w:r w:rsidR="00A66221" w:rsidRPr="009772A3">
        <w:rPr>
          <w:rFonts w:asciiTheme="majorHAnsi" w:hAnsiTheme="majorHAnsi" w:cstheme="majorHAnsi"/>
          <w:sz w:val="24"/>
          <w:szCs w:val="24"/>
          <w:lang w:val="ro-MD"/>
        </w:rPr>
        <w:t>le</w:t>
      </w:r>
      <w:r w:rsidR="00A711BE" w:rsidRPr="009772A3">
        <w:rPr>
          <w:rFonts w:asciiTheme="majorHAnsi" w:hAnsiTheme="majorHAnsi" w:cstheme="majorHAnsi"/>
          <w:sz w:val="24"/>
          <w:szCs w:val="24"/>
          <w:lang w:val="ro-MD"/>
        </w:rPr>
        <w:t xml:space="preserve"> achizițiilor reglementate de cadrul legal existent. Astfel</w:t>
      </w:r>
      <w:r w:rsidR="00A66221" w:rsidRPr="009772A3">
        <w:rPr>
          <w:rFonts w:asciiTheme="majorHAnsi" w:hAnsiTheme="majorHAnsi" w:cstheme="majorHAnsi"/>
          <w:sz w:val="24"/>
          <w:szCs w:val="24"/>
          <w:lang w:val="ro-MD"/>
        </w:rPr>
        <w:t>,</w:t>
      </w:r>
      <w:r w:rsidR="00A711BE" w:rsidRPr="009772A3">
        <w:rPr>
          <w:rFonts w:asciiTheme="majorHAnsi" w:hAnsiTheme="majorHAnsi" w:cstheme="majorHAnsi"/>
          <w:sz w:val="24"/>
          <w:szCs w:val="24"/>
          <w:lang w:val="ro-MD"/>
        </w:rPr>
        <w:t xml:space="preserve"> nu sunt gestionate corespunzător riscurile de neconformitate, netransparență și ineficiență în procesele de achiziții a</w:t>
      </w:r>
      <w:r w:rsidR="00A66221" w:rsidRPr="009772A3">
        <w:rPr>
          <w:rFonts w:asciiTheme="majorHAnsi" w:hAnsiTheme="majorHAnsi" w:cstheme="majorHAnsi"/>
          <w:sz w:val="24"/>
          <w:szCs w:val="24"/>
          <w:lang w:val="ro-MD"/>
        </w:rPr>
        <w:t>le</w:t>
      </w:r>
      <w:r w:rsidR="00A711BE" w:rsidRPr="009772A3">
        <w:rPr>
          <w:rFonts w:asciiTheme="majorHAnsi" w:hAnsiTheme="majorHAnsi" w:cstheme="majorHAnsi"/>
          <w:sz w:val="24"/>
          <w:szCs w:val="24"/>
          <w:lang w:val="ro-MD"/>
        </w:rPr>
        <w:t xml:space="preserve"> grupului SA Moldovagaz</w:t>
      </w:r>
      <w:r w:rsidRPr="009772A3">
        <w:rPr>
          <w:rFonts w:asciiTheme="majorHAnsi" w:hAnsiTheme="majorHAnsi" w:cstheme="majorHAnsi"/>
          <w:sz w:val="24"/>
          <w:szCs w:val="24"/>
          <w:lang w:val="ro-MD"/>
        </w:rPr>
        <w:t>.</w:t>
      </w:r>
      <w:r w:rsidR="00A711BE" w:rsidRPr="009772A3">
        <w:rPr>
          <w:rFonts w:asciiTheme="majorHAnsi" w:hAnsiTheme="majorHAnsi" w:cstheme="majorHAnsi"/>
          <w:sz w:val="24"/>
          <w:szCs w:val="24"/>
          <w:lang w:val="ro-MD"/>
        </w:rPr>
        <w:t xml:space="preserve"> </w:t>
      </w:r>
    </w:p>
    <w:p w14:paraId="4935E72F" w14:textId="0DF109A3" w:rsidR="00FD1AA6" w:rsidRPr="009772A3" w:rsidRDefault="00726A4E" w:rsidP="00494EC2">
      <w:pPr>
        <w:pStyle w:val="Heading1"/>
        <w:numPr>
          <w:ilvl w:val="3"/>
          <w:numId w:val="2"/>
        </w:numPr>
        <w:tabs>
          <w:tab w:val="left" w:pos="993"/>
        </w:tabs>
        <w:spacing w:line="276" w:lineRule="auto"/>
        <w:ind w:left="0" w:firstLine="0"/>
        <w:jc w:val="both"/>
        <w:rPr>
          <w:i/>
          <w:color w:val="auto"/>
          <w:lang w:val="ro-MD"/>
        </w:rPr>
      </w:pPr>
      <w:bookmarkStart w:id="102" w:name="_Toc117775775"/>
      <w:bookmarkStart w:id="103" w:name="_Toc118297714"/>
      <w:bookmarkStart w:id="104" w:name="_Toc118465742"/>
      <w:bookmarkStart w:id="105" w:name="_Toc119496416"/>
      <w:r w:rsidRPr="009772A3">
        <w:rPr>
          <w:i/>
          <w:color w:val="auto"/>
          <w:lang w:val="ro-MD"/>
        </w:rPr>
        <w:t xml:space="preserve">Nereglementarea </w:t>
      </w:r>
      <w:r w:rsidR="00F95775" w:rsidRPr="009772A3">
        <w:rPr>
          <w:i/>
          <w:color w:val="auto"/>
          <w:lang w:val="ro-MD"/>
        </w:rPr>
        <w:t xml:space="preserve">de către Guvern a </w:t>
      </w:r>
      <w:r w:rsidR="00FD1AA6" w:rsidRPr="009772A3">
        <w:rPr>
          <w:i/>
          <w:color w:val="auto"/>
          <w:lang w:val="ro-MD"/>
        </w:rPr>
        <w:t>achizițiilor aferente activității reglementate în domeniul gazelor naturale</w:t>
      </w:r>
      <w:r w:rsidR="00B5627A" w:rsidRPr="009772A3">
        <w:rPr>
          <w:i/>
          <w:color w:val="auto"/>
          <w:lang w:val="ro-MD"/>
        </w:rPr>
        <w:t>,</w:t>
      </w:r>
      <w:r w:rsidR="00FD1AA6" w:rsidRPr="009772A3">
        <w:rPr>
          <w:i/>
          <w:color w:val="auto"/>
          <w:lang w:val="ro-MD"/>
        </w:rPr>
        <w:t xml:space="preserve"> mai mici de 800,0 mii lei pentru bunuri și servicii și </w:t>
      </w:r>
      <w:r w:rsidR="00B5627A" w:rsidRPr="009772A3">
        <w:rPr>
          <w:i/>
          <w:color w:val="auto"/>
          <w:lang w:val="ro-MD"/>
        </w:rPr>
        <w:t xml:space="preserve">de </w:t>
      </w:r>
      <w:r w:rsidR="00FD1AA6" w:rsidRPr="009772A3">
        <w:rPr>
          <w:i/>
          <w:color w:val="auto"/>
          <w:lang w:val="ro-MD"/>
        </w:rPr>
        <w:t xml:space="preserve">2.000,0 mii lei pentru lucrări, </w:t>
      </w:r>
      <w:r w:rsidR="000B0A7E" w:rsidRPr="009772A3">
        <w:rPr>
          <w:i/>
          <w:color w:val="auto"/>
          <w:lang w:val="ro-MD"/>
        </w:rPr>
        <w:t>diminuează din transparența și eficiența achizițiilor efectuate</w:t>
      </w:r>
      <w:r w:rsidR="00F95775" w:rsidRPr="009772A3">
        <w:rPr>
          <w:i/>
          <w:color w:val="auto"/>
          <w:lang w:val="ro-MD"/>
        </w:rPr>
        <w:t xml:space="preserve"> de grupul SA Moldovagaz</w:t>
      </w:r>
      <w:r w:rsidR="00FD1AA6" w:rsidRPr="009772A3">
        <w:rPr>
          <w:i/>
          <w:color w:val="auto"/>
          <w:lang w:val="ro-MD"/>
        </w:rPr>
        <w:t>.</w:t>
      </w:r>
      <w:bookmarkEnd w:id="102"/>
      <w:bookmarkEnd w:id="103"/>
      <w:bookmarkEnd w:id="104"/>
      <w:bookmarkEnd w:id="105"/>
    </w:p>
    <w:p w14:paraId="00C781B9" w14:textId="3557B749" w:rsidR="00726A4E" w:rsidRPr="009772A3" w:rsidRDefault="00726A4E" w:rsidP="00726A4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Legea nr.74 din 21.05.2020</w:t>
      </w:r>
      <w:r w:rsidRPr="009772A3">
        <w:rPr>
          <w:rFonts w:asciiTheme="majorHAnsi" w:hAnsiTheme="majorHAnsi" w:cstheme="majorHAnsi"/>
          <w:vertAlign w:val="superscript"/>
          <w:lang w:val="ro-MD"/>
        </w:rPr>
        <w:footnoteReference w:id="83"/>
      </w:r>
      <w:r w:rsidRPr="009772A3">
        <w:rPr>
          <w:rFonts w:asciiTheme="majorHAnsi" w:hAnsiTheme="majorHAnsi" w:cstheme="majorHAnsi"/>
          <w:sz w:val="24"/>
          <w:szCs w:val="24"/>
          <w:vertAlign w:val="superscript"/>
          <w:lang w:val="ro-MD"/>
        </w:rPr>
        <w:t xml:space="preserve"> </w:t>
      </w:r>
      <w:r w:rsidRPr="009772A3">
        <w:rPr>
          <w:rFonts w:asciiTheme="majorHAnsi" w:hAnsiTheme="majorHAnsi" w:cstheme="majorHAnsi"/>
          <w:sz w:val="24"/>
          <w:szCs w:val="24"/>
          <w:lang w:val="ro-MD"/>
        </w:rPr>
        <w:t>a fost instituit cadrul juridic general privind organizarea și efectuarea achizițiilor în sectoarele energeticii, apei, transporturilor și serviciilor poștale. Prevederile legii</w:t>
      </w:r>
      <w:r w:rsidRPr="009772A3">
        <w:rPr>
          <w:rFonts w:asciiTheme="majorHAnsi" w:hAnsiTheme="majorHAnsi" w:cstheme="majorHAnsi"/>
          <w:vertAlign w:val="superscript"/>
          <w:lang w:val="ro-MD"/>
        </w:rPr>
        <w:footnoteReference w:id="84"/>
      </w:r>
      <w:r w:rsidRPr="009772A3">
        <w:rPr>
          <w:rFonts w:asciiTheme="majorHAnsi" w:hAnsiTheme="majorHAnsi" w:cstheme="majorHAnsi"/>
          <w:sz w:val="24"/>
          <w:szCs w:val="24"/>
          <w:vertAlign w:val="superscript"/>
          <w:lang w:val="ro-MD"/>
        </w:rPr>
        <w:t xml:space="preserve"> </w:t>
      </w:r>
      <w:r w:rsidRPr="009772A3">
        <w:rPr>
          <w:rFonts w:asciiTheme="majorHAnsi" w:hAnsiTheme="majorHAnsi" w:cstheme="majorHAnsi"/>
          <w:sz w:val="24"/>
          <w:szCs w:val="24"/>
          <w:lang w:val="ro-MD"/>
        </w:rPr>
        <w:t xml:space="preserve">se aplică contractelor de achiziții de bunuri, lucrări și servicii a căror valoare estimată, fără TVA, este egală cu sau mai mare de 800,0 mii lei – pentru contractele de achiziții de bunuri și servicii, și </w:t>
      </w:r>
      <w:r w:rsidR="00B5627A"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2.000,0 mii lei – pentru contractele de achiziții de lucrări. Contractele de achiziții sectoriale</w:t>
      </w:r>
      <w:r w:rsidR="00B5627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căror valoare estimată, fără TVA, nu depășește pragurile menționate</w:t>
      </w:r>
      <w:r w:rsidR="00B5627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sunt reglementate de Guvern. Deși, potrivit normei legale</w:t>
      </w:r>
      <w:r w:rsidRPr="009772A3">
        <w:rPr>
          <w:rFonts w:asciiTheme="majorHAnsi" w:hAnsiTheme="majorHAnsi" w:cstheme="majorHAnsi"/>
          <w:vertAlign w:val="superscript"/>
          <w:lang w:val="ro-MD"/>
        </w:rPr>
        <w:footnoteReference w:id="85"/>
      </w:r>
      <w:r w:rsidRPr="009772A3">
        <w:rPr>
          <w:rFonts w:asciiTheme="majorHAnsi" w:hAnsiTheme="majorHAnsi" w:cstheme="majorHAnsi"/>
          <w:sz w:val="24"/>
          <w:szCs w:val="24"/>
          <w:lang w:val="ro-MD"/>
        </w:rPr>
        <w:t>, în termen de 12 luni de la data publicării acesteia, Guvernul urma să asigure elaborarea și aprobarea actelor normative necesare pentru implementarea ei, de la data intrării acesteia în vigoare (27.06.2021) și p</w:t>
      </w:r>
      <w:r w:rsidR="00B5627A"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nă </w:t>
      </w:r>
      <w:r w:rsidR="003614E3">
        <w:rPr>
          <w:rFonts w:asciiTheme="majorHAnsi" w:hAnsiTheme="majorHAnsi" w:cstheme="majorHAnsi"/>
          <w:sz w:val="24"/>
          <w:szCs w:val="24"/>
          <w:lang w:val="ro-MD"/>
        </w:rPr>
        <w:t>la finele auditului</w:t>
      </w:r>
      <w:r w:rsidRPr="009772A3">
        <w:rPr>
          <w:rFonts w:asciiTheme="majorHAnsi" w:hAnsiTheme="majorHAnsi" w:cstheme="majorHAnsi"/>
          <w:sz w:val="24"/>
          <w:szCs w:val="24"/>
          <w:lang w:val="ro-MD"/>
        </w:rPr>
        <w:t xml:space="preserve"> aceste reglementări lipsesc.</w:t>
      </w:r>
    </w:p>
    <w:p w14:paraId="6463F3BA" w14:textId="77CEE5A3" w:rsidR="00726A4E" w:rsidRPr="009772A3" w:rsidRDefault="00726A4E" w:rsidP="00726A4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Concomitent, se menționează că, urmare </w:t>
      </w:r>
      <w:r w:rsidR="00B5627A"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intrării în vigoare a Legii nr.74 din 21.05.2020</w:t>
      </w:r>
      <w:r w:rsidR="00B5627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abrogată și prevederea din Legea nr.108 din 27.05.2016 cu privire la gazele naturale</w:t>
      </w:r>
      <w:r w:rsidRPr="009772A3">
        <w:rPr>
          <w:rFonts w:asciiTheme="majorHAnsi" w:hAnsiTheme="majorHAnsi" w:cstheme="majorHAnsi"/>
          <w:vertAlign w:val="superscript"/>
          <w:lang w:val="ro-MD"/>
        </w:rPr>
        <w:footnoteReference w:id="86"/>
      </w:r>
      <w:r w:rsidR="00B5627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reglementa atribuția de elaborare și aprobare de către ANRE a regulamentului privind procedurile de achiziție a bunurilor, a lucrărilor și a serviciilor utilizate în activitatea titularilor de licență, ca rezultat fiind abrogat</w:t>
      </w:r>
      <w:r w:rsidRPr="009772A3">
        <w:rPr>
          <w:rFonts w:asciiTheme="majorHAnsi" w:hAnsiTheme="majorHAnsi" w:cstheme="majorHAnsi"/>
          <w:vertAlign w:val="superscript"/>
          <w:lang w:val="ro-MD"/>
        </w:rPr>
        <w:footnoteReference w:id="87"/>
      </w:r>
      <w:r w:rsidRPr="009772A3">
        <w:rPr>
          <w:rFonts w:asciiTheme="majorHAnsi" w:hAnsiTheme="majorHAnsi" w:cstheme="majorHAnsi"/>
          <w:sz w:val="24"/>
          <w:szCs w:val="24"/>
          <w:vertAlign w:val="superscript"/>
          <w:lang w:val="ro-MD"/>
        </w:rPr>
        <w:t xml:space="preserve"> </w:t>
      </w:r>
      <w:r w:rsidRPr="009772A3">
        <w:rPr>
          <w:rFonts w:asciiTheme="majorHAnsi" w:hAnsiTheme="majorHAnsi" w:cstheme="majorHAnsi"/>
          <w:sz w:val="24"/>
          <w:szCs w:val="24"/>
          <w:lang w:val="ro-MD"/>
        </w:rPr>
        <w:t xml:space="preserve">și Regulamentul aprobat prin HANRE nr.24 din 26.01.2017 aplicat la efectuarea achizițiilor în sistemul gazelor naturale în perioada 15.10.2017-06.08.2021. </w:t>
      </w:r>
    </w:p>
    <w:p w14:paraId="74C34FA3" w14:textId="75218E70" w:rsidR="001B383E" w:rsidRPr="009772A3" w:rsidRDefault="001B383E"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asemenea, se remarcă că</w:t>
      </w:r>
      <w:r w:rsidR="00135E2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deși la 27.06.2021 a intrat în vigoare Legea nr.74 din 21.05.2020, SA Moldovagaz nu a efectuat ajustări în Regulamentul intern de achiziții aprobat în anul 2009 în corespundere cu modificările legislației în domeniul achizițiilor publice. </w:t>
      </w:r>
    </w:p>
    <w:p w14:paraId="00C8347B" w14:textId="59E5466C" w:rsidR="00726A4E" w:rsidRPr="009772A3" w:rsidRDefault="001B383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Cele menționate denotă un vid de reglementare a achizițiilor în sectorul gazelor naturale, în vederea implementării prevederilor Legii nr.74 din 21.05.2020, creând premise de aplicare a reglementărilor interne neactualizate.</w:t>
      </w:r>
    </w:p>
    <w:p w14:paraId="3777276D" w14:textId="0E60D3DA" w:rsidR="000A2760" w:rsidRPr="009772A3" w:rsidRDefault="00D32706" w:rsidP="00A41F0F">
      <w:pPr>
        <w:pStyle w:val="Heading1"/>
        <w:numPr>
          <w:ilvl w:val="3"/>
          <w:numId w:val="2"/>
        </w:numPr>
        <w:tabs>
          <w:tab w:val="left" w:pos="851"/>
        </w:tabs>
        <w:spacing w:line="276" w:lineRule="auto"/>
        <w:ind w:left="0" w:firstLine="0"/>
        <w:jc w:val="both"/>
        <w:rPr>
          <w:i/>
          <w:color w:val="auto"/>
          <w:lang w:val="ro-MD"/>
        </w:rPr>
      </w:pPr>
      <w:bookmarkStart w:id="106" w:name="_Toc117775776"/>
      <w:bookmarkStart w:id="107" w:name="_Toc118297715"/>
      <w:bookmarkStart w:id="108" w:name="_Toc118465743"/>
      <w:bookmarkStart w:id="109" w:name="_Toc119496417"/>
      <w:r w:rsidRPr="009772A3">
        <w:rPr>
          <w:i/>
          <w:color w:val="auto"/>
          <w:lang w:val="ro-MD"/>
        </w:rPr>
        <w:t xml:space="preserve">Neestimarea și </w:t>
      </w:r>
      <w:hyperlink w:anchor="_Toc117179032" w:history="1">
        <w:r w:rsidRPr="009772A3">
          <w:rPr>
            <w:i/>
            <w:color w:val="auto"/>
            <w:lang w:val="ro-MD"/>
          </w:rPr>
          <w:t>n</w:t>
        </w:r>
        <w:r w:rsidR="000A2760" w:rsidRPr="009772A3">
          <w:rPr>
            <w:i/>
            <w:color w:val="auto"/>
            <w:lang w:val="ro-MD"/>
          </w:rPr>
          <w:t xml:space="preserve">eindicarea </w:t>
        </w:r>
        <w:r w:rsidR="00BD4C6A" w:rsidRPr="009772A3">
          <w:rPr>
            <w:i/>
            <w:color w:val="auto"/>
            <w:lang w:val="ro-MD"/>
          </w:rPr>
          <w:t>costurilor</w:t>
        </w:r>
        <w:r w:rsidR="000A2760" w:rsidRPr="009772A3">
          <w:rPr>
            <w:i/>
            <w:color w:val="auto"/>
            <w:lang w:val="ro-MD"/>
          </w:rPr>
          <w:t xml:space="preserve"> estimative ale achizițiilor în </w:t>
        </w:r>
        <w:r w:rsidR="00135E26" w:rsidRPr="009772A3">
          <w:rPr>
            <w:i/>
            <w:color w:val="auto"/>
            <w:lang w:val="ro-MD"/>
          </w:rPr>
          <w:t>p</w:t>
        </w:r>
        <w:r w:rsidRPr="009772A3">
          <w:rPr>
            <w:i/>
            <w:color w:val="auto"/>
            <w:lang w:val="ro-MD"/>
          </w:rPr>
          <w:t>lanurile anuale de achiziție</w:t>
        </w:r>
        <w:r w:rsidR="000A2760" w:rsidRPr="009772A3">
          <w:rPr>
            <w:i/>
            <w:color w:val="auto"/>
            <w:lang w:val="ro-MD"/>
          </w:rPr>
          <w:t xml:space="preserve">, </w:t>
        </w:r>
        <w:r w:rsidRPr="009772A3">
          <w:rPr>
            <w:i/>
            <w:color w:val="auto"/>
            <w:lang w:val="ro-MD"/>
          </w:rPr>
          <w:t>contravin normelor legale și afectează transparența, concurența și eficiența procurărilor</w:t>
        </w:r>
        <w:r w:rsidR="000A2760" w:rsidRPr="009772A3">
          <w:rPr>
            <w:i/>
            <w:color w:val="auto"/>
            <w:lang w:val="ro-MD"/>
          </w:rPr>
          <w:t>.</w:t>
        </w:r>
        <w:bookmarkEnd w:id="106"/>
        <w:bookmarkEnd w:id="107"/>
        <w:bookmarkEnd w:id="108"/>
        <w:bookmarkEnd w:id="109"/>
      </w:hyperlink>
    </w:p>
    <w:p w14:paraId="71305B2F" w14:textId="33AC1E2C" w:rsidR="000A2760" w:rsidRPr="009772A3" w:rsidRDefault="000A2760" w:rsidP="000A276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Potrivit Regulamentului aprobat prin HANRE nr.24 din 26.01.2017, planificarea achizițiilor de bunuri, lucrări și servicii este destinată asigurării activității continue a titularilor de licențe din sectorul gazelor naturale. La elaborarea planului de achiziții, în funcție de bunul, lucrarea sau serviciul achiziționat, este necesar de ținut cont, per altera, de prețul estimativ. La determinarea valorii unui contract de achiziții se ia în calcul valoarea totală spre plată, fără TVA, estimată de beneficiar. </w:t>
      </w:r>
    </w:p>
    <w:p w14:paraId="6217F067" w14:textId="29003DC8" w:rsidR="00BD4C6A" w:rsidRPr="009772A3" w:rsidRDefault="00145F05" w:rsidP="000A276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w:t>
      </w:r>
      <w:r w:rsidR="000A2760" w:rsidRPr="009772A3">
        <w:rPr>
          <w:rFonts w:asciiTheme="majorHAnsi" w:hAnsiTheme="majorHAnsi" w:cstheme="majorHAnsi"/>
          <w:sz w:val="24"/>
          <w:szCs w:val="24"/>
          <w:lang w:val="ro-MD"/>
        </w:rPr>
        <w:t>eși pentru anul 2017 SA Moldovagaz a estimat valoarea achizițiilor planificate de 147</w:t>
      </w:r>
      <w:r w:rsidR="001C041A" w:rsidRPr="009772A3">
        <w:rPr>
          <w:rFonts w:asciiTheme="majorHAnsi" w:hAnsiTheme="majorHAnsi" w:cstheme="majorHAnsi"/>
          <w:sz w:val="24"/>
          <w:szCs w:val="24"/>
          <w:lang w:val="ro-MD"/>
        </w:rPr>
        <w:t>.</w:t>
      </w:r>
      <w:r w:rsidR="000A2760" w:rsidRPr="009772A3">
        <w:rPr>
          <w:rFonts w:asciiTheme="majorHAnsi" w:hAnsiTheme="majorHAnsi" w:cstheme="majorHAnsi"/>
          <w:sz w:val="24"/>
          <w:szCs w:val="24"/>
          <w:lang w:val="ro-MD"/>
        </w:rPr>
        <w:t>4</w:t>
      </w:r>
      <w:r w:rsidR="001C041A" w:rsidRPr="009772A3">
        <w:rPr>
          <w:rFonts w:asciiTheme="majorHAnsi" w:hAnsiTheme="majorHAnsi" w:cstheme="majorHAnsi"/>
          <w:sz w:val="24"/>
          <w:szCs w:val="24"/>
          <w:lang w:val="ro-MD"/>
        </w:rPr>
        <w:t>00,0</w:t>
      </w:r>
      <w:r w:rsidR="000A2760" w:rsidRPr="009772A3">
        <w:rPr>
          <w:rFonts w:asciiTheme="majorHAnsi" w:hAnsiTheme="majorHAnsi" w:cstheme="majorHAnsi"/>
          <w:sz w:val="24"/>
          <w:szCs w:val="24"/>
          <w:lang w:val="ro-MD"/>
        </w:rPr>
        <w:t xml:space="preserve"> mi</w:t>
      </w:r>
      <w:r w:rsidR="001C041A" w:rsidRPr="009772A3">
        <w:rPr>
          <w:rFonts w:asciiTheme="majorHAnsi" w:hAnsiTheme="majorHAnsi" w:cstheme="majorHAnsi"/>
          <w:sz w:val="24"/>
          <w:szCs w:val="24"/>
          <w:lang w:val="ro-MD"/>
        </w:rPr>
        <w:t>i</w:t>
      </w:r>
      <w:r w:rsidR="000A2760" w:rsidRPr="009772A3">
        <w:rPr>
          <w:rFonts w:asciiTheme="majorHAnsi" w:hAnsiTheme="majorHAnsi" w:cstheme="majorHAnsi"/>
          <w:sz w:val="24"/>
          <w:szCs w:val="24"/>
          <w:lang w:val="ro-MD"/>
        </w:rPr>
        <w:t xml:space="preserve"> lei și </w:t>
      </w:r>
      <w:r w:rsidR="0040514E" w:rsidRPr="009772A3">
        <w:rPr>
          <w:rFonts w:asciiTheme="majorHAnsi" w:hAnsiTheme="majorHAnsi" w:cstheme="majorHAnsi"/>
          <w:sz w:val="24"/>
          <w:szCs w:val="24"/>
          <w:lang w:val="ro-MD"/>
        </w:rPr>
        <w:t xml:space="preserve">de </w:t>
      </w:r>
      <w:r w:rsidR="000A2760" w:rsidRPr="009772A3">
        <w:rPr>
          <w:rFonts w:asciiTheme="majorHAnsi" w:hAnsiTheme="majorHAnsi" w:cstheme="majorHAnsi"/>
          <w:sz w:val="24"/>
          <w:szCs w:val="24"/>
          <w:lang w:val="ro-MD"/>
        </w:rPr>
        <w:t>1</w:t>
      </w:r>
      <w:r w:rsidR="001C041A" w:rsidRPr="009772A3">
        <w:rPr>
          <w:rFonts w:asciiTheme="majorHAnsi" w:hAnsiTheme="majorHAnsi" w:cstheme="majorHAnsi"/>
          <w:sz w:val="24"/>
          <w:szCs w:val="24"/>
          <w:lang w:val="ro-MD"/>
        </w:rPr>
        <w:t>.</w:t>
      </w:r>
      <w:r w:rsidR="000A2760" w:rsidRPr="009772A3">
        <w:rPr>
          <w:rFonts w:asciiTheme="majorHAnsi" w:hAnsiTheme="majorHAnsi" w:cstheme="majorHAnsi"/>
          <w:sz w:val="24"/>
          <w:szCs w:val="24"/>
          <w:lang w:val="ro-MD"/>
        </w:rPr>
        <w:t>8</w:t>
      </w:r>
      <w:r w:rsidR="001C041A" w:rsidRPr="009772A3">
        <w:rPr>
          <w:rFonts w:asciiTheme="majorHAnsi" w:hAnsiTheme="majorHAnsi" w:cstheme="majorHAnsi"/>
          <w:sz w:val="24"/>
          <w:szCs w:val="24"/>
          <w:lang w:val="ro-MD"/>
        </w:rPr>
        <w:t>00,0</w:t>
      </w:r>
      <w:r w:rsidR="000A2760" w:rsidRPr="009772A3">
        <w:rPr>
          <w:rFonts w:asciiTheme="majorHAnsi" w:hAnsiTheme="majorHAnsi" w:cstheme="majorHAnsi"/>
          <w:sz w:val="24"/>
          <w:szCs w:val="24"/>
          <w:lang w:val="ro-MD"/>
        </w:rPr>
        <w:t xml:space="preserve"> mi</w:t>
      </w:r>
      <w:r w:rsidR="001C041A" w:rsidRPr="009772A3">
        <w:rPr>
          <w:rFonts w:asciiTheme="majorHAnsi" w:hAnsiTheme="majorHAnsi" w:cstheme="majorHAnsi"/>
          <w:sz w:val="24"/>
          <w:szCs w:val="24"/>
          <w:lang w:val="ro-MD"/>
        </w:rPr>
        <w:t>i</w:t>
      </w:r>
      <w:r w:rsidR="000A2760" w:rsidRPr="009772A3">
        <w:rPr>
          <w:rFonts w:asciiTheme="majorHAnsi" w:hAnsiTheme="majorHAnsi" w:cstheme="majorHAnsi"/>
          <w:sz w:val="24"/>
          <w:szCs w:val="24"/>
          <w:lang w:val="ro-MD"/>
        </w:rPr>
        <w:t xml:space="preserve"> </w:t>
      </w:r>
      <w:r w:rsidR="001C041A" w:rsidRPr="009772A3">
        <w:rPr>
          <w:rFonts w:asciiTheme="majorHAnsi" w:hAnsiTheme="majorHAnsi" w:cstheme="majorHAnsi"/>
          <w:sz w:val="24"/>
          <w:szCs w:val="24"/>
          <w:lang w:val="ro-MD"/>
        </w:rPr>
        <w:t>dolari</w:t>
      </w:r>
      <w:r w:rsidR="000A2760" w:rsidRPr="009772A3">
        <w:rPr>
          <w:rFonts w:asciiTheme="majorHAnsi" w:hAnsiTheme="majorHAnsi" w:cstheme="majorHAnsi"/>
          <w:sz w:val="24"/>
          <w:szCs w:val="24"/>
          <w:lang w:val="ro-MD"/>
        </w:rPr>
        <w:t xml:space="preserve"> SUA cu TVA, care a fost inclusă în planul anual de achiziții destinat asigurării activității sale, pentru anii 2018-2021 planurile de achiziții nu </w:t>
      </w:r>
      <w:r w:rsidR="005628F4" w:rsidRPr="009772A3">
        <w:rPr>
          <w:rFonts w:asciiTheme="majorHAnsi" w:hAnsiTheme="majorHAnsi" w:cstheme="majorHAnsi"/>
          <w:sz w:val="24"/>
          <w:szCs w:val="24"/>
          <w:lang w:val="ro-MD"/>
        </w:rPr>
        <w:t xml:space="preserve">au </w:t>
      </w:r>
      <w:r w:rsidR="000A2760" w:rsidRPr="009772A3">
        <w:rPr>
          <w:rFonts w:asciiTheme="majorHAnsi" w:hAnsiTheme="majorHAnsi" w:cstheme="majorHAnsi"/>
          <w:sz w:val="24"/>
          <w:szCs w:val="24"/>
          <w:lang w:val="ro-MD"/>
        </w:rPr>
        <w:t>inclu</w:t>
      </w:r>
      <w:r w:rsidR="005628F4" w:rsidRPr="009772A3">
        <w:rPr>
          <w:rFonts w:asciiTheme="majorHAnsi" w:hAnsiTheme="majorHAnsi" w:cstheme="majorHAnsi"/>
          <w:sz w:val="24"/>
          <w:szCs w:val="24"/>
          <w:lang w:val="ro-MD"/>
        </w:rPr>
        <w:t>s</w:t>
      </w:r>
      <w:r w:rsidR="000A2760" w:rsidRPr="009772A3">
        <w:rPr>
          <w:rFonts w:asciiTheme="majorHAnsi" w:hAnsiTheme="majorHAnsi" w:cstheme="majorHAnsi"/>
          <w:sz w:val="24"/>
          <w:szCs w:val="24"/>
          <w:lang w:val="ro-MD"/>
        </w:rPr>
        <w:t xml:space="preserve"> prețul estimativ al achizițiilor efectuate care au însumat </w:t>
      </w:r>
      <w:r w:rsidR="007230C6" w:rsidRPr="009772A3">
        <w:rPr>
          <w:rFonts w:asciiTheme="majorHAnsi" w:hAnsiTheme="majorHAnsi" w:cstheme="majorHAnsi"/>
          <w:sz w:val="24"/>
          <w:szCs w:val="24"/>
          <w:lang w:val="ro-MD"/>
        </w:rPr>
        <w:t xml:space="preserve">conform procurărilor efective </w:t>
      </w:r>
      <w:r w:rsidR="001C041A" w:rsidRPr="009772A3">
        <w:rPr>
          <w:rFonts w:asciiTheme="majorHAnsi" w:hAnsiTheme="majorHAnsi" w:cstheme="majorHAnsi"/>
          <w:sz w:val="24"/>
          <w:szCs w:val="24"/>
          <w:lang w:val="ro-MD"/>
        </w:rPr>
        <w:t xml:space="preserve">cca </w:t>
      </w:r>
      <w:r w:rsidR="008A1A49" w:rsidRPr="009772A3">
        <w:rPr>
          <w:rFonts w:asciiTheme="majorHAnsi" w:hAnsiTheme="majorHAnsi" w:cstheme="majorHAnsi"/>
          <w:sz w:val="24"/>
          <w:szCs w:val="24"/>
          <w:lang w:val="ro-MD"/>
        </w:rPr>
        <w:t>29</w:t>
      </w:r>
      <w:r w:rsidR="00A24291" w:rsidRPr="009772A3">
        <w:rPr>
          <w:rFonts w:asciiTheme="majorHAnsi" w:hAnsiTheme="majorHAnsi" w:cstheme="majorHAnsi"/>
          <w:sz w:val="24"/>
          <w:szCs w:val="24"/>
          <w:lang w:val="ro-MD"/>
        </w:rPr>
        <w:t>.</w:t>
      </w:r>
      <w:r w:rsidR="008A1A49" w:rsidRPr="009772A3">
        <w:rPr>
          <w:rFonts w:asciiTheme="majorHAnsi" w:hAnsiTheme="majorHAnsi" w:cstheme="majorHAnsi"/>
          <w:sz w:val="24"/>
          <w:szCs w:val="24"/>
          <w:lang w:val="ro-MD"/>
        </w:rPr>
        <w:t>479</w:t>
      </w:r>
      <w:r w:rsidR="00A24291" w:rsidRPr="009772A3">
        <w:rPr>
          <w:rFonts w:asciiTheme="majorHAnsi" w:hAnsiTheme="majorHAnsi" w:cstheme="majorHAnsi"/>
          <w:sz w:val="24"/>
          <w:szCs w:val="24"/>
          <w:lang w:val="ro-MD"/>
        </w:rPr>
        <w:t>,</w:t>
      </w:r>
      <w:r w:rsidR="008A1A49" w:rsidRPr="009772A3">
        <w:rPr>
          <w:rFonts w:asciiTheme="majorHAnsi" w:hAnsiTheme="majorHAnsi" w:cstheme="majorHAnsi"/>
          <w:sz w:val="24"/>
          <w:szCs w:val="24"/>
          <w:lang w:val="ro-MD"/>
        </w:rPr>
        <w:t>9</w:t>
      </w:r>
      <w:r w:rsidR="000A2760" w:rsidRPr="009772A3">
        <w:rPr>
          <w:rFonts w:asciiTheme="majorHAnsi" w:hAnsiTheme="majorHAnsi" w:cstheme="majorHAnsi"/>
          <w:sz w:val="24"/>
          <w:szCs w:val="24"/>
          <w:lang w:val="ro-MD"/>
        </w:rPr>
        <w:t xml:space="preserve"> mi</w:t>
      </w:r>
      <w:r w:rsidR="001C041A" w:rsidRPr="009772A3">
        <w:rPr>
          <w:rFonts w:asciiTheme="majorHAnsi" w:hAnsiTheme="majorHAnsi" w:cstheme="majorHAnsi"/>
          <w:sz w:val="24"/>
          <w:szCs w:val="24"/>
          <w:lang w:val="ro-MD"/>
        </w:rPr>
        <w:t xml:space="preserve">i </w:t>
      </w:r>
      <w:r w:rsidR="000A2760" w:rsidRPr="009772A3">
        <w:rPr>
          <w:rFonts w:asciiTheme="majorHAnsi" w:hAnsiTheme="majorHAnsi" w:cstheme="majorHAnsi"/>
          <w:sz w:val="24"/>
          <w:szCs w:val="24"/>
          <w:lang w:val="ro-MD"/>
        </w:rPr>
        <w:t xml:space="preserve">lei. </w:t>
      </w:r>
      <w:r w:rsidR="007926E9" w:rsidRPr="009772A3">
        <w:rPr>
          <w:rFonts w:asciiTheme="majorHAnsi" w:hAnsiTheme="majorHAnsi" w:cstheme="majorHAnsi"/>
          <w:sz w:val="24"/>
          <w:szCs w:val="24"/>
          <w:lang w:val="ro-MD"/>
        </w:rPr>
        <w:t>De asemenea, s</w:t>
      </w:r>
      <w:r w:rsidR="007230C6" w:rsidRPr="009772A3">
        <w:rPr>
          <w:rFonts w:asciiTheme="majorHAnsi" w:hAnsiTheme="majorHAnsi" w:cstheme="majorHAnsi"/>
          <w:sz w:val="24"/>
          <w:szCs w:val="24"/>
          <w:lang w:val="ro-MD"/>
        </w:rPr>
        <w:t>e remarcă că și</w:t>
      </w:r>
      <w:r w:rsidR="000A2760" w:rsidRPr="009772A3">
        <w:rPr>
          <w:rFonts w:asciiTheme="majorHAnsi" w:hAnsiTheme="majorHAnsi" w:cstheme="majorHAnsi"/>
          <w:sz w:val="24"/>
          <w:szCs w:val="24"/>
          <w:lang w:val="ro-MD"/>
        </w:rPr>
        <w:t xml:space="preserve"> pentru anul 2017 în planul de achiziții nu a fost estimată valoarea unor achiziții</w:t>
      </w:r>
      <w:r w:rsidR="007926E9" w:rsidRPr="009772A3">
        <w:rPr>
          <w:rFonts w:asciiTheme="majorHAnsi" w:hAnsiTheme="majorHAnsi" w:cstheme="majorHAnsi"/>
          <w:sz w:val="24"/>
          <w:szCs w:val="24"/>
          <w:lang w:val="ro-MD"/>
        </w:rPr>
        <w:t xml:space="preserve"> efectuate în sumă totală de </w:t>
      </w:r>
      <w:r w:rsidR="002A0C55" w:rsidRPr="009772A3">
        <w:rPr>
          <w:rFonts w:asciiTheme="majorHAnsi" w:hAnsiTheme="majorHAnsi" w:cstheme="majorHAnsi"/>
          <w:sz w:val="24"/>
          <w:szCs w:val="24"/>
          <w:lang w:val="ro-MD"/>
        </w:rPr>
        <w:t>88.</w:t>
      </w:r>
      <w:r w:rsidR="00891846" w:rsidRPr="009772A3">
        <w:rPr>
          <w:rFonts w:asciiTheme="majorHAnsi" w:hAnsiTheme="majorHAnsi" w:cstheme="majorHAnsi"/>
          <w:sz w:val="24"/>
          <w:szCs w:val="24"/>
          <w:lang w:val="ro-MD"/>
        </w:rPr>
        <w:t>129</w:t>
      </w:r>
      <w:r w:rsidR="002A0C55" w:rsidRPr="009772A3">
        <w:rPr>
          <w:rFonts w:asciiTheme="majorHAnsi" w:hAnsiTheme="majorHAnsi" w:cstheme="majorHAnsi"/>
          <w:sz w:val="24"/>
          <w:szCs w:val="24"/>
          <w:lang w:val="ro-MD"/>
        </w:rPr>
        <w:t>,</w:t>
      </w:r>
      <w:r w:rsidR="00891846" w:rsidRPr="009772A3">
        <w:rPr>
          <w:rFonts w:asciiTheme="majorHAnsi" w:hAnsiTheme="majorHAnsi" w:cstheme="majorHAnsi"/>
          <w:sz w:val="24"/>
          <w:szCs w:val="24"/>
          <w:lang w:val="ro-MD"/>
        </w:rPr>
        <w:t>7</w:t>
      </w:r>
      <w:r w:rsidR="000A2760" w:rsidRPr="009772A3">
        <w:rPr>
          <w:rFonts w:asciiTheme="majorHAnsi" w:hAnsiTheme="majorHAnsi" w:cstheme="majorHAnsi"/>
          <w:sz w:val="24"/>
          <w:szCs w:val="24"/>
          <w:lang w:val="ro-MD"/>
        </w:rPr>
        <w:t xml:space="preserve"> mi</w:t>
      </w:r>
      <w:r w:rsidR="002A0C55" w:rsidRPr="009772A3">
        <w:rPr>
          <w:rFonts w:asciiTheme="majorHAnsi" w:hAnsiTheme="majorHAnsi" w:cstheme="majorHAnsi"/>
          <w:sz w:val="24"/>
          <w:szCs w:val="24"/>
          <w:lang w:val="ro-MD"/>
        </w:rPr>
        <w:t xml:space="preserve">i </w:t>
      </w:r>
      <w:r w:rsidR="000A2760" w:rsidRPr="009772A3">
        <w:rPr>
          <w:rFonts w:asciiTheme="majorHAnsi" w:hAnsiTheme="majorHAnsi" w:cstheme="majorHAnsi"/>
          <w:sz w:val="24"/>
          <w:szCs w:val="24"/>
          <w:lang w:val="ro-MD"/>
        </w:rPr>
        <w:t>lei</w:t>
      </w:r>
      <w:r w:rsidR="000A2760" w:rsidRPr="009772A3">
        <w:rPr>
          <w:rFonts w:asciiTheme="majorHAnsi" w:hAnsiTheme="majorHAnsi" w:cstheme="majorHAnsi"/>
          <w:vertAlign w:val="superscript"/>
          <w:lang w:val="ro-MD"/>
        </w:rPr>
        <w:footnoteReference w:id="88"/>
      </w:r>
      <w:r w:rsidR="000A2760" w:rsidRPr="009772A3">
        <w:rPr>
          <w:rFonts w:asciiTheme="majorHAnsi" w:hAnsiTheme="majorHAnsi" w:cstheme="majorHAnsi"/>
          <w:sz w:val="24"/>
          <w:szCs w:val="24"/>
          <w:lang w:val="ro-MD"/>
        </w:rPr>
        <w:t xml:space="preserve">. </w:t>
      </w:r>
      <w:r w:rsidR="00BD4C6A" w:rsidRPr="009772A3">
        <w:rPr>
          <w:rFonts w:asciiTheme="majorHAnsi" w:hAnsiTheme="majorHAnsi" w:cstheme="majorHAnsi"/>
          <w:sz w:val="24"/>
          <w:szCs w:val="24"/>
          <w:lang w:val="ro-MD"/>
        </w:rPr>
        <w:t xml:space="preserve">Neestimarea costurilor și neindicarea acestora în planurile anuale de achiziții de bunuri, lucrări și servicii eludează cadrul normativ în vigoare. </w:t>
      </w:r>
    </w:p>
    <w:p w14:paraId="3E11A1D1" w14:textId="1BB76013" w:rsidR="000A2760" w:rsidRPr="009772A3" w:rsidRDefault="005628F4" w:rsidP="00A456B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O s</w:t>
      </w:r>
      <w:r w:rsidR="007230C6" w:rsidRPr="009772A3">
        <w:rPr>
          <w:rFonts w:asciiTheme="majorHAnsi" w:hAnsiTheme="majorHAnsi" w:cstheme="majorHAnsi"/>
          <w:sz w:val="24"/>
          <w:szCs w:val="24"/>
          <w:lang w:val="ro-MD"/>
        </w:rPr>
        <w:t>ituație similară se atestă și la</w:t>
      </w:r>
      <w:r w:rsidR="000A2760" w:rsidRPr="009772A3">
        <w:rPr>
          <w:rFonts w:asciiTheme="majorHAnsi" w:hAnsiTheme="majorHAnsi" w:cstheme="majorHAnsi"/>
          <w:sz w:val="24"/>
          <w:szCs w:val="24"/>
          <w:lang w:val="ro-MD"/>
        </w:rPr>
        <w:t xml:space="preserve"> întreprinderi</w:t>
      </w:r>
      <w:r w:rsidR="00422423" w:rsidRPr="009772A3">
        <w:rPr>
          <w:rFonts w:asciiTheme="majorHAnsi" w:hAnsiTheme="majorHAnsi" w:cstheme="majorHAnsi"/>
          <w:sz w:val="24"/>
          <w:szCs w:val="24"/>
          <w:lang w:val="ro-MD"/>
        </w:rPr>
        <w:t>le afiliate</w:t>
      </w:r>
      <w:r w:rsidR="005130E0" w:rsidRPr="009772A3">
        <w:rPr>
          <w:rFonts w:asciiTheme="majorHAnsi" w:hAnsiTheme="majorHAnsi" w:cstheme="majorHAnsi"/>
          <w:sz w:val="24"/>
          <w:szCs w:val="24"/>
          <w:lang w:val="ro-MD"/>
        </w:rPr>
        <w:t>, care</w:t>
      </w:r>
      <w:r w:rsidR="007230C6" w:rsidRPr="009772A3">
        <w:rPr>
          <w:rFonts w:asciiTheme="majorHAnsi" w:hAnsiTheme="majorHAnsi" w:cstheme="majorHAnsi"/>
          <w:sz w:val="24"/>
          <w:szCs w:val="24"/>
          <w:lang w:val="ro-MD"/>
        </w:rPr>
        <w:t xml:space="preserve"> </w:t>
      </w:r>
      <w:r w:rsidR="000A2760" w:rsidRPr="009772A3">
        <w:rPr>
          <w:rFonts w:asciiTheme="majorHAnsi" w:hAnsiTheme="majorHAnsi" w:cstheme="majorHAnsi"/>
          <w:sz w:val="24"/>
          <w:szCs w:val="24"/>
          <w:lang w:val="ro-MD"/>
        </w:rPr>
        <w:t xml:space="preserve">nu </w:t>
      </w:r>
      <w:r w:rsidR="007230C6" w:rsidRPr="009772A3">
        <w:rPr>
          <w:rFonts w:asciiTheme="majorHAnsi" w:hAnsiTheme="majorHAnsi" w:cstheme="majorHAnsi"/>
          <w:sz w:val="24"/>
          <w:szCs w:val="24"/>
          <w:lang w:val="ro-MD"/>
        </w:rPr>
        <w:t>a</w:t>
      </w:r>
      <w:r w:rsidR="005130E0" w:rsidRPr="009772A3">
        <w:rPr>
          <w:rFonts w:asciiTheme="majorHAnsi" w:hAnsiTheme="majorHAnsi" w:cstheme="majorHAnsi"/>
          <w:sz w:val="24"/>
          <w:szCs w:val="24"/>
          <w:lang w:val="ro-MD"/>
        </w:rPr>
        <w:t>u</w:t>
      </w:r>
      <w:r w:rsidR="000A2760" w:rsidRPr="009772A3">
        <w:rPr>
          <w:rFonts w:asciiTheme="majorHAnsi" w:hAnsiTheme="majorHAnsi" w:cstheme="majorHAnsi"/>
          <w:sz w:val="24"/>
          <w:szCs w:val="24"/>
          <w:lang w:val="ro-MD"/>
        </w:rPr>
        <w:t xml:space="preserve"> asigurat planificarea și estimarea conformă a achizițiilor</w:t>
      </w:r>
      <w:r w:rsidR="007230C6" w:rsidRPr="009772A3">
        <w:rPr>
          <w:rFonts w:asciiTheme="majorHAnsi" w:hAnsiTheme="majorHAnsi" w:cstheme="majorHAnsi"/>
          <w:sz w:val="24"/>
          <w:szCs w:val="24"/>
          <w:lang w:val="ro-MD"/>
        </w:rPr>
        <w:t xml:space="preserve">, </w:t>
      </w:r>
      <w:r w:rsidR="000A2760" w:rsidRPr="009772A3">
        <w:rPr>
          <w:rFonts w:asciiTheme="majorHAnsi" w:hAnsiTheme="majorHAnsi" w:cstheme="majorHAnsi"/>
          <w:sz w:val="24"/>
          <w:szCs w:val="24"/>
          <w:lang w:val="ro-MD"/>
        </w:rPr>
        <w:t xml:space="preserve">nu </w:t>
      </w:r>
      <w:r w:rsidR="007230C6" w:rsidRPr="009772A3">
        <w:rPr>
          <w:rFonts w:asciiTheme="majorHAnsi" w:hAnsiTheme="majorHAnsi" w:cstheme="majorHAnsi"/>
          <w:sz w:val="24"/>
          <w:szCs w:val="24"/>
          <w:lang w:val="ro-MD"/>
        </w:rPr>
        <w:t>a</w:t>
      </w:r>
      <w:r w:rsidR="00FF414E" w:rsidRPr="009772A3">
        <w:rPr>
          <w:rFonts w:asciiTheme="majorHAnsi" w:hAnsiTheme="majorHAnsi" w:cstheme="majorHAnsi"/>
          <w:sz w:val="24"/>
          <w:szCs w:val="24"/>
          <w:lang w:val="ro-MD"/>
        </w:rPr>
        <w:t>u</w:t>
      </w:r>
      <w:r w:rsidR="000A2760" w:rsidRPr="009772A3">
        <w:rPr>
          <w:rFonts w:asciiTheme="majorHAnsi" w:hAnsiTheme="majorHAnsi" w:cstheme="majorHAnsi"/>
          <w:sz w:val="24"/>
          <w:szCs w:val="24"/>
          <w:lang w:val="ro-MD"/>
        </w:rPr>
        <w:t xml:space="preserve"> indicat</w:t>
      </w:r>
      <w:r w:rsidR="007230C6" w:rsidRPr="009772A3">
        <w:rPr>
          <w:rFonts w:asciiTheme="majorHAnsi" w:hAnsiTheme="majorHAnsi" w:cstheme="majorHAnsi"/>
          <w:sz w:val="24"/>
          <w:szCs w:val="24"/>
          <w:lang w:val="ro-MD"/>
        </w:rPr>
        <w:t xml:space="preserve"> în unele cazuri</w:t>
      </w:r>
      <w:r w:rsidR="000A2760" w:rsidRPr="009772A3">
        <w:rPr>
          <w:rFonts w:asciiTheme="majorHAnsi" w:hAnsiTheme="majorHAnsi" w:cstheme="majorHAnsi"/>
          <w:sz w:val="24"/>
          <w:szCs w:val="24"/>
          <w:lang w:val="ro-MD"/>
        </w:rPr>
        <w:t xml:space="preserve"> cantitatea și valoarea estimativă a necesităților de achiziții contractate, termen</w:t>
      </w:r>
      <w:r w:rsidRPr="009772A3">
        <w:rPr>
          <w:rFonts w:asciiTheme="majorHAnsi" w:hAnsiTheme="majorHAnsi" w:cstheme="majorHAnsi"/>
          <w:sz w:val="24"/>
          <w:szCs w:val="24"/>
          <w:lang w:val="ro-MD"/>
        </w:rPr>
        <w:t>ele</w:t>
      </w:r>
      <w:r w:rsidR="000A2760" w:rsidRPr="009772A3">
        <w:rPr>
          <w:rFonts w:asciiTheme="majorHAnsi" w:hAnsiTheme="majorHAnsi" w:cstheme="majorHAnsi"/>
          <w:sz w:val="24"/>
          <w:szCs w:val="24"/>
          <w:lang w:val="ro-MD"/>
        </w:rPr>
        <w:t xml:space="preserve"> de livrare/executare</w:t>
      </w:r>
      <w:r w:rsidRPr="009772A3">
        <w:rPr>
          <w:rFonts w:asciiTheme="majorHAnsi" w:hAnsiTheme="majorHAnsi" w:cstheme="majorHAnsi"/>
          <w:sz w:val="24"/>
          <w:szCs w:val="24"/>
          <w:lang w:val="ro-MD"/>
        </w:rPr>
        <w:t>,</w:t>
      </w:r>
      <w:r w:rsidR="000A2760" w:rsidRPr="009772A3">
        <w:rPr>
          <w:rFonts w:asciiTheme="majorHAnsi" w:hAnsiTheme="majorHAnsi" w:cstheme="majorHAnsi"/>
          <w:sz w:val="24"/>
          <w:szCs w:val="24"/>
          <w:lang w:val="ro-MD"/>
        </w:rPr>
        <w:t xml:space="preserve"> precum și perioada de desfășurare a concursurilor de selectare a operatorilor economici, care </w:t>
      </w:r>
      <w:r w:rsidR="007230C6" w:rsidRPr="009772A3">
        <w:rPr>
          <w:rFonts w:asciiTheme="majorHAnsi" w:hAnsiTheme="majorHAnsi" w:cstheme="majorHAnsi"/>
          <w:sz w:val="24"/>
          <w:szCs w:val="24"/>
          <w:lang w:val="ro-MD"/>
        </w:rPr>
        <w:t xml:space="preserve">efectiv </w:t>
      </w:r>
      <w:r w:rsidR="000A2760" w:rsidRPr="009772A3">
        <w:rPr>
          <w:rFonts w:asciiTheme="majorHAnsi" w:hAnsiTheme="majorHAnsi" w:cstheme="majorHAnsi"/>
          <w:sz w:val="24"/>
          <w:szCs w:val="24"/>
          <w:lang w:val="ro-MD"/>
        </w:rPr>
        <w:t>au constituit</w:t>
      </w:r>
      <w:r w:rsidR="00422423" w:rsidRPr="009772A3">
        <w:rPr>
          <w:rFonts w:asciiTheme="majorHAnsi" w:hAnsiTheme="majorHAnsi" w:cstheme="majorHAnsi"/>
          <w:sz w:val="24"/>
          <w:szCs w:val="24"/>
          <w:lang w:val="ro-MD"/>
        </w:rPr>
        <w:t xml:space="preserve"> în perioada auditată</w:t>
      </w:r>
      <w:r w:rsidR="007230C6" w:rsidRPr="009772A3">
        <w:rPr>
          <w:rFonts w:asciiTheme="majorHAnsi" w:hAnsiTheme="majorHAnsi" w:cstheme="majorHAnsi"/>
          <w:sz w:val="24"/>
          <w:szCs w:val="24"/>
          <w:lang w:val="ro-MD"/>
        </w:rPr>
        <w:t>: i)</w:t>
      </w:r>
      <w:r w:rsidR="000A2760" w:rsidRPr="009772A3">
        <w:rPr>
          <w:rFonts w:asciiTheme="majorHAnsi" w:hAnsiTheme="majorHAnsi" w:cstheme="majorHAnsi"/>
          <w:sz w:val="24"/>
          <w:szCs w:val="24"/>
          <w:lang w:val="ro-MD"/>
        </w:rPr>
        <w:t xml:space="preserve"> la </w:t>
      </w:r>
      <w:r w:rsidR="00422423" w:rsidRPr="009772A3">
        <w:rPr>
          <w:rFonts w:asciiTheme="majorHAnsi" w:hAnsiTheme="majorHAnsi" w:cstheme="majorHAnsi"/>
          <w:sz w:val="24"/>
          <w:szCs w:val="24"/>
          <w:lang w:val="ro-MD"/>
        </w:rPr>
        <w:t xml:space="preserve">SRL </w:t>
      </w:r>
      <w:r w:rsidR="000A2760" w:rsidRPr="009772A3">
        <w:rPr>
          <w:rFonts w:asciiTheme="majorHAnsi" w:hAnsiTheme="majorHAnsi" w:cstheme="majorHAnsi"/>
          <w:sz w:val="24"/>
          <w:szCs w:val="24"/>
          <w:lang w:val="ro-MD"/>
        </w:rPr>
        <w:t xml:space="preserve">Transautogaz </w:t>
      </w:r>
      <w:r w:rsidR="00422423" w:rsidRPr="009772A3">
        <w:rPr>
          <w:rFonts w:asciiTheme="majorHAnsi" w:hAnsiTheme="majorHAnsi" w:cstheme="majorHAnsi"/>
          <w:sz w:val="24"/>
          <w:szCs w:val="24"/>
          <w:lang w:val="ro-MD"/>
        </w:rPr>
        <w:t>–</w:t>
      </w:r>
      <w:r w:rsidR="000A2760" w:rsidRPr="009772A3">
        <w:rPr>
          <w:rFonts w:asciiTheme="majorHAnsi" w:hAnsiTheme="majorHAnsi" w:cstheme="majorHAnsi"/>
          <w:sz w:val="24"/>
          <w:szCs w:val="24"/>
          <w:lang w:val="ro-MD"/>
        </w:rPr>
        <w:t xml:space="preserve"> </w:t>
      </w:r>
      <w:r w:rsidR="00422423" w:rsidRPr="009772A3">
        <w:rPr>
          <w:rFonts w:asciiTheme="majorHAnsi" w:hAnsiTheme="majorHAnsi" w:cstheme="majorHAnsi"/>
          <w:sz w:val="24"/>
          <w:szCs w:val="24"/>
          <w:lang w:val="ro-MD"/>
        </w:rPr>
        <w:t>971.</w:t>
      </w:r>
      <w:r w:rsidR="000A2760" w:rsidRPr="009772A3">
        <w:rPr>
          <w:rFonts w:asciiTheme="majorHAnsi" w:hAnsiTheme="majorHAnsi" w:cstheme="majorHAnsi"/>
          <w:sz w:val="24"/>
          <w:szCs w:val="24"/>
          <w:lang w:val="ro-MD"/>
        </w:rPr>
        <w:t>7</w:t>
      </w:r>
      <w:r w:rsidR="00422423" w:rsidRPr="009772A3">
        <w:rPr>
          <w:rFonts w:asciiTheme="majorHAnsi" w:hAnsiTheme="majorHAnsi" w:cstheme="majorHAnsi"/>
          <w:sz w:val="24"/>
          <w:szCs w:val="24"/>
          <w:lang w:val="ro-MD"/>
        </w:rPr>
        <w:t>00,0</w:t>
      </w:r>
      <w:r w:rsidR="000A2760" w:rsidRPr="009772A3">
        <w:rPr>
          <w:rFonts w:asciiTheme="majorHAnsi" w:hAnsiTheme="majorHAnsi" w:cstheme="majorHAnsi"/>
          <w:sz w:val="24"/>
          <w:szCs w:val="24"/>
          <w:lang w:val="ro-MD"/>
        </w:rPr>
        <w:t xml:space="preserve"> mi</w:t>
      </w:r>
      <w:r w:rsidR="00422423" w:rsidRPr="009772A3">
        <w:rPr>
          <w:rFonts w:asciiTheme="majorHAnsi" w:hAnsiTheme="majorHAnsi" w:cstheme="majorHAnsi"/>
          <w:sz w:val="24"/>
          <w:szCs w:val="24"/>
          <w:lang w:val="ro-MD"/>
        </w:rPr>
        <w:t xml:space="preserve">i </w:t>
      </w:r>
      <w:r w:rsidR="000A2760" w:rsidRPr="009772A3">
        <w:rPr>
          <w:rFonts w:asciiTheme="majorHAnsi" w:hAnsiTheme="majorHAnsi" w:cstheme="majorHAnsi"/>
          <w:sz w:val="24"/>
          <w:szCs w:val="24"/>
          <w:lang w:val="ro-MD"/>
        </w:rPr>
        <w:t>lei</w:t>
      </w:r>
      <w:r w:rsidR="000A2760" w:rsidRPr="009772A3">
        <w:rPr>
          <w:rFonts w:asciiTheme="majorHAnsi" w:hAnsiTheme="majorHAnsi" w:cstheme="majorHAnsi"/>
          <w:vertAlign w:val="superscript"/>
          <w:lang w:val="ro-MD"/>
        </w:rPr>
        <w:footnoteReference w:id="89"/>
      </w:r>
      <w:r w:rsidR="000A2760" w:rsidRPr="009772A3">
        <w:rPr>
          <w:rFonts w:asciiTheme="majorHAnsi" w:hAnsiTheme="majorHAnsi" w:cstheme="majorHAnsi"/>
          <w:sz w:val="24"/>
          <w:szCs w:val="24"/>
          <w:lang w:val="ro-MD"/>
        </w:rPr>
        <w:t>,</w:t>
      </w:r>
      <w:r w:rsidR="007230C6" w:rsidRPr="009772A3">
        <w:rPr>
          <w:rFonts w:asciiTheme="majorHAnsi" w:hAnsiTheme="majorHAnsi" w:cstheme="majorHAnsi"/>
          <w:sz w:val="24"/>
          <w:szCs w:val="24"/>
          <w:lang w:val="ro-MD"/>
        </w:rPr>
        <w:t xml:space="preserve"> ii)</w:t>
      </w:r>
      <w:r w:rsidR="000A2760" w:rsidRPr="009772A3">
        <w:rPr>
          <w:rFonts w:asciiTheme="majorHAnsi" w:hAnsiTheme="majorHAnsi" w:cstheme="majorHAnsi"/>
          <w:sz w:val="24"/>
          <w:szCs w:val="24"/>
          <w:lang w:val="ro-MD"/>
        </w:rPr>
        <w:t xml:space="preserve"> la SRL Edineț-gaz</w:t>
      </w:r>
      <w:r w:rsidR="00422423" w:rsidRPr="009772A3">
        <w:rPr>
          <w:rFonts w:asciiTheme="majorHAnsi" w:hAnsiTheme="majorHAnsi" w:cstheme="majorHAnsi"/>
          <w:sz w:val="24"/>
          <w:szCs w:val="24"/>
          <w:lang w:val="ro-MD"/>
        </w:rPr>
        <w:t xml:space="preserve"> –</w:t>
      </w:r>
      <w:r w:rsidR="000A2760" w:rsidRPr="009772A3">
        <w:rPr>
          <w:rFonts w:asciiTheme="majorHAnsi" w:hAnsiTheme="majorHAnsi" w:cstheme="majorHAnsi"/>
          <w:sz w:val="24"/>
          <w:szCs w:val="24"/>
          <w:lang w:val="ro-MD"/>
        </w:rPr>
        <w:t xml:space="preserve"> 19</w:t>
      </w:r>
      <w:r w:rsidR="00422423" w:rsidRPr="009772A3">
        <w:rPr>
          <w:rFonts w:asciiTheme="majorHAnsi" w:hAnsiTheme="majorHAnsi" w:cstheme="majorHAnsi"/>
          <w:sz w:val="24"/>
          <w:szCs w:val="24"/>
          <w:lang w:val="ro-MD"/>
        </w:rPr>
        <w:t>.</w:t>
      </w:r>
      <w:r w:rsidR="000A2760" w:rsidRPr="009772A3">
        <w:rPr>
          <w:rFonts w:asciiTheme="majorHAnsi" w:hAnsiTheme="majorHAnsi" w:cstheme="majorHAnsi"/>
          <w:sz w:val="24"/>
          <w:szCs w:val="24"/>
          <w:lang w:val="ro-MD"/>
        </w:rPr>
        <w:t>9</w:t>
      </w:r>
      <w:r w:rsidR="00422423" w:rsidRPr="009772A3">
        <w:rPr>
          <w:rFonts w:asciiTheme="majorHAnsi" w:hAnsiTheme="majorHAnsi" w:cstheme="majorHAnsi"/>
          <w:sz w:val="24"/>
          <w:szCs w:val="24"/>
          <w:lang w:val="ro-MD"/>
        </w:rPr>
        <w:t>00,0</w:t>
      </w:r>
      <w:r w:rsidR="000A2760" w:rsidRPr="009772A3">
        <w:rPr>
          <w:rFonts w:asciiTheme="majorHAnsi" w:hAnsiTheme="majorHAnsi" w:cstheme="majorHAnsi"/>
          <w:sz w:val="24"/>
          <w:szCs w:val="24"/>
          <w:lang w:val="ro-MD"/>
        </w:rPr>
        <w:t xml:space="preserve"> mi</w:t>
      </w:r>
      <w:r w:rsidR="00422423" w:rsidRPr="009772A3">
        <w:rPr>
          <w:rFonts w:asciiTheme="majorHAnsi" w:hAnsiTheme="majorHAnsi" w:cstheme="majorHAnsi"/>
          <w:sz w:val="24"/>
          <w:szCs w:val="24"/>
          <w:lang w:val="ro-MD"/>
        </w:rPr>
        <w:t xml:space="preserve">i </w:t>
      </w:r>
      <w:r w:rsidR="000A2760" w:rsidRPr="009772A3">
        <w:rPr>
          <w:rFonts w:asciiTheme="majorHAnsi" w:hAnsiTheme="majorHAnsi" w:cstheme="majorHAnsi"/>
          <w:sz w:val="24"/>
          <w:szCs w:val="24"/>
          <w:lang w:val="ro-MD"/>
        </w:rPr>
        <w:t>lei</w:t>
      </w:r>
      <w:r w:rsidR="007230C6" w:rsidRPr="009772A3">
        <w:rPr>
          <w:rFonts w:asciiTheme="majorHAnsi" w:hAnsiTheme="majorHAnsi" w:cstheme="majorHAnsi"/>
          <w:sz w:val="24"/>
          <w:szCs w:val="24"/>
          <w:lang w:val="ro-MD"/>
        </w:rPr>
        <w:t>, iii)</w:t>
      </w:r>
      <w:r w:rsidR="000A2760" w:rsidRPr="009772A3">
        <w:rPr>
          <w:rFonts w:asciiTheme="majorHAnsi" w:hAnsiTheme="majorHAnsi" w:cstheme="majorHAnsi"/>
          <w:sz w:val="24"/>
          <w:szCs w:val="24"/>
          <w:lang w:val="ro-MD"/>
        </w:rPr>
        <w:t xml:space="preserve"> la SRL Chișinău-gaz </w:t>
      </w:r>
      <w:r w:rsidR="00FF414E" w:rsidRPr="009772A3">
        <w:rPr>
          <w:rFonts w:asciiTheme="majorHAnsi" w:hAnsiTheme="majorHAnsi" w:cstheme="majorHAnsi"/>
          <w:sz w:val="24"/>
          <w:szCs w:val="24"/>
          <w:lang w:val="ro-MD"/>
        </w:rPr>
        <w:t>–</w:t>
      </w:r>
      <w:r w:rsidR="007230C6" w:rsidRPr="009772A3">
        <w:rPr>
          <w:rFonts w:asciiTheme="majorHAnsi" w:hAnsiTheme="majorHAnsi" w:cstheme="majorHAnsi"/>
          <w:sz w:val="24"/>
          <w:szCs w:val="24"/>
          <w:lang w:val="ro-MD"/>
        </w:rPr>
        <w:t xml:space="preserve"> </w:t>
      </w:r>
      <w:r w:rsidR="000A2760" w:rsidRPr="009772A3">
        <w:rPr>
          <w:rFonts w:asciiTheme="majorHAnsi" w:hAnsiTheme="majorHAnsi" w:cstheme="majorHAnsi"/>
          <w:sz w:val="24"/>
          <w:szCs w:val="24"/>
          <w:lang w:val="ro-MD"/>
        </w:rPr>
        <w:t>1</w:t>
      </w:r>
      <w:r w:rsidR="007230C6" w:rsidRPr="009772A3">
        <w:rPr>
          <w:rFonts w:asciiTheme="majorHAnsi" w:hAnsiTheme="majorHAnsi" w:cstheme="majorHAnsi"/>
          <w:sz w:val="24"/>
          <w:szCs w:val="24"/>
          <w:lang w:val="ro-MD"/>
        </w:rPr>
        <w:t>.</w:t>
      </w:r>
      <w:r w:rsidR="00422423" w:rsidRPr="009772A3">
        <w:rPr>
          <w:rFonts w:asciiTheme="majorHAnsi" w:hAnsiTheme="majorHAnsi" w:cstheme="majorHAnsi"/>
          <w:sz w:val="24"/>
          <w:szCs w:val="24"/>
          <w:lang w:val="ro-MD"/>
        </w:rPr>
        <w:t>207.</w:t>
      </w:r>
      <w:r w:rsidR="000A2760" w:rsidRPr="009772A3">
        <w:rPr>
          <w:rFonts w:asciiTheme="majorHAnsi" w:hAnsiTheme="majorHAnsi" w:cstheme="majorHAnsi"/>
          <w:sz w:val="24"/>
          <w:szCs w:val="24"/>
          <w:lang w:val="ro-MD"/>
        </w:rPr>
        <w:t>8</w:t>
      </w:r>
      <w:r w:rsidR="00422423" w:rsidRPr="009772A3">
        <w:rPr>
          <w:rFonts w:asciiTheme="majorHAnsi" w:hAnsiTheme="majorHAnsi" w:cstheme="majorHAnsi"/>
          <w:sz w:val="24"/>
          <w:szCs w:val="24"/>
          <w:lang w:val="ro-MD"/>
        </w:rPr>
        <w:t>00,0</w:t>
      </w:r>
      <w:r w:rsidR="000A2760" w:rsidRPr="009772A3">
        <w:rPr>
          <w:rFonts w:asciiTheme="majorHAnsi" w:hAnsiTheme="majorHAnsi" w:cstheme="majorHAnsi"/>
          <w:sz w:val="24"/>
          <w:szCs w:val="24"/>
          <w:lang w:val="ro-MD"/>
        </w:rPr>
        <w:t xml:space="preserve"> mi</w:t>
      </w:r>
      <w:r w:rsidR="00422423" w:rsidRPr="009772A3">
        <w:rPr>
          <w:rFonts w:asciiTheme="majorHAnsi" w:hAnsiTheme="majorHAnsi" w:cstheme="majorHAnsi"/>
          <w:sz w:val="24"/>
          <w:szCs w:val="24"/>
          <w:lang w:val="ro-MD"/>
        </w:rPr>
        <w:t xml:space="preserve">i </w:t>
      </w:r>
      <w:r w:rsidR="000A2760" w:rsidRPr="009772A3">
        <w:rPr>
          <w:rFonts w:asciiTheme="majorHAnsi" w:hAnsiTheme="majorHAnsi" w:cstheme="majorHAnsi"/>
          <w:sz w:val="24"/>
          <w:szCs w:val="24"/>
          <w:lang w:val="ro-MD"/>
        </w:rPr>
        <w:t>lei</w:t>
      </w:r>
      <w:r w:rsidR="00A456B6" w:rsidRPr="009772A3">
        <w:rPr>
          <w:rFonts w:asciiTheme="majorHAnsi" w:hAnsiTheme="majorHAnsi" w:cstheme="majorHAnsi"/>
          <w:sz w:val="24"/>
          <w:szCs w:val="24"/>
          <w:lang w:val="ro-MD"/>
        </w:rPr>
        <w:t xml:space="preserve">, și iv) SRL Moldovatransgaz </w:t>
      </w:r>
      <w:r w:rsidR="00FF414E" w:rsidRPr="009772A3">
        <w:rPr>
          <w:rFonts w:asciiTheme="majorHAnsi" w:hAnsiTheme="majorHAnsi" w:cstheme="majorHAnsi"/>
          <w:sz w:val="24"/>
          <w:szCs w:val="24"/>
          <w:lang w:val="ro-MD"/>
        </w:rPr>
        <w:t>–</w:t>
      </w:r>
      <w:r w:rsidR="00A456B6" w:rsidRPr="009772A3">
        <w:rPr>
          <w:rFonts w:asciiTheme="majorHAnsi" w:hAnsiTheme="majorHAnsi" w:cstheme="majorHAnsi"/>
          <w:sz w:val="24"/>
          <w:szCs w:val="24"/>
          <w:lang w:val="ro-MD"/>
        </w:rPr>
        <w:t xml:space="preserve"> </w:t>
      </w:r>
      <w:r w:rsidR="007230C6" w:rsidRPr="009772A3">
        <w:rPr>
          <w:rFonts w:asciiTheme="majorHAnsi" w:hAnsiTheme="majorHAnsi" w:cstheme="majorHAnsi"/>
          <w:sz w:val="24"/>
          <w:szCs w:val="24"/>
          <w:lang w:val="ro-MD"/>
        </w:rPr>
        <w:t>în anul 2017 a efectuat 8 achiziții în sumă</w:t>
      </w:r>
      <w:r w:rsidR="00504836" w:rsidRPr="009772A3">
        <w:rPr>
          <w:rFonts w:asciiTheme="majorHAnsi" w:hAnsiTheme="majorHAnsi" w:cstheme="majorHAnsi"/>
          <w:sz w:val="24"/>
          <w:szCs w:val="24"/>
          <w:lang w:val="ro-MD"/>
        </w:rPr>
        <w:t xml:space="preserve"> totală de 10</w:t>
      </w:r>
      <w:r w:rsidR="00352A8B" w:rsidRPr="009772A3">
        <w:rPr>
          <w:rFonts w:asciiTheme="majorHAnsi" w:hAnsiTheme="majorHAnsi" w:cstheme="majorHAnsi"/>
          <w:sz w:val="24"/>
          <w:szCs w:val="24"/>
          <w:lang w:val="ro-MD"/>
        </w:rPr>
        <w:t>.</w:t>
      </w:r>
      <w:r w:rsidR="00504836" w:rsidRPr="009772A3">
        <w:rPr>
          <w:rFonts w:asciiTheme="majorHAnsi" w:hAnsiTheme="majorHAnsi" w:cstheme="majorHAnsi"/>
          <w:sz w:val="24"/>
          <w:szCs w:val="24"/>
          <w:lang w:val="ro-MD"/>
        </w:rPr>
        <w:t>6</w:t>
      </w:r>
      <w:r w:rsidR="00352A8B" w:rsidRPr="009772A3">
        <w:rPr>
          <w:rFonts w:asciiTheme="majorHAnsi" w:hAnsiTheme="majorHAnsi" w:cstheme="majorHAnsi"/>
          <w:sz w:val="24"/>
          <w:szCs w:val="24"/>
          <w:lang w:val="ro-MD"/>
        </w:rPr>
        <w:t>00,0</w:t>
      </w:r>
      <w:r w:rsidR="007230C6" w:rsidRPr="009772A3">
        <w:rPr>
          <w:rFonts w:asciiTheme="majorHAnsi" w:hAnsiTheme="majorHAnsi" w:cstheme="majorHAnsi"/>
          <w:sz w:val="24"/>
          <w:szCs w:val="24"/>
          <w:lang w:val="ro-MD"/>
        </w:rPr>
        <w:t xml:space="preserve"> mi</w:t>
      </w:r>
      <w:r w:rsidR="00352A8B" w:rsidRPr="009772A3">
        <w:rPr>
          <w:rFonts w:asciiTheme="majorHAnsi" w:hAnsiTheme="majorHAnsi" w:cstheme="majorHAnsi"/>
          <w:sz w:val="24"/>
          <w:szCs w:val="24"/>
          <w:lang w:val="ro-MD"/>
        </w:rPr>
        <w:t>i</w:t>
      </w:r>
      <w:r w:rsidR="007230C6" w:rsidRPr="009772A3">
        <w:rPr>
          <w:rFonts w:asciiTheme="majorHAnsi" w:hAnsiTheme="majorHAnsi" w:cstheme="majorHAnsi"/>
          <w:sz w:val="24"/>
          <w:szCs w:val="24"/>
          <w:lang w:val="ro-MD"/>
        </w:rPr>
        <w:t xml:space="preserve"> lei, fără estimarea valorii acestora conform planului de achiziții</w:t>
      </w:r>
      <w:r w:rsidR="00FF414E" w:rsidRPr="009772A3">
        <w:rPr>
          <w:rFonts w:asciiTheme="majorHAnsi" w:hAnsiTheme="majorHAnsi" w:cstheme="majorHAnsi"/>
          <w:sz w:val="24"/>
          <w:szCs w:val="24"/>
          <w:lang w:val="ro-MD"/>
        </w:rPr>
        <w:t>,</w:t>
      </w:r>
      <w:r w:rsidR="007230C6" w:rsidRPr="009772A3">
        <w:rPr>
          <w:rFonts w:asciiTheme="majorHAnsi" w:hAnsiTheme="majorHAnsi" w:cstheme="majorHAnsi"/>
          <w:sz w:val="24"/>
          <w:szCs w:val="24"/>
          <w:lang w:val="ro-MD"/>
        </w:rPr>
        <w:t xml:space="preserve"> i</w:t>
      </w:r>
      <w:r w:rsidR="00C721CC" w:rsidRPr="009772A3">
        <w:rPr>
          <w:rFonts w:asciiTheme="majorHAnsi" w:hAnsiTheme="majorHAnsi" w:cstheme="majorHAnsi"/>
          <w:sz w:val="24"/>
          <w:szCs w:val="24"/>
          <w:lang w:val="ro-MD"/>
        </w:rPr>
        <w:t>ar</w:t>
      </w:r>
      <w:r w:rsidR="007230C6" w:rsidRPr="009772A3">
        <w:rPr>
          <w:rFonts w:asciiTheme="majorHAnsi" w:hAnsiTheme="majorHAnsi" w:cstheme="majorHAnsi"/>
          <w:sz w:val="24"/>
          <w:szCs w:val="24"/>
          <w:lang w:val="ro-MD"/>
        </w:rPr>
        <w:t xml:space="preserve"> în anii 2017-</w:t>
      </w:r>
      <w:r w:rsidR="00F66B7B" w:rsidRPr="009772A3">
        <w:rPr>
          <w:rFonts w:asciiTheme="majorHAnsi" w:hAnsiTheme="majorHAnsi" w:cstheme="majorHAnsi"/>
          <w:sz w:val="24"/>
          <w:szCs w:val="24"/>
          <w:lang w:val="ro-MD"/>
        </w:rPr>
        <w:t>20</w:t>
      </w:r>
      <w:r w:rsidR="00F66B7B">
        <w:rPr>
          <w:rFonts w:asciiTheme="majorHAnsi" w:hAnsiTheme="majorHAnsi" w:cstheme="majorHAnsi"/>
          <w:sz w:val="24"/>
          <w:szCs w:val="24"/>
          <w:lang w:val="ro-MD"/>
        </w:rPr>
        <w:t>18</w:t>
      </w:r>
      <w:r w:rsidR="00F66B7B" w:rsidRPr="009772A3">
        <w:rPr>
          <w:rFonts w:asciiTheme="majorHAnsi" w:hAnsiTheme="majorHAnsi" w:cstheme="majorHAnsi"/>
          <w:sz w:val="24"/>
          <w:szCs w:val="24"/>
          <w:lang w:val="ro-MD"/>
        </w:rPr>
        <w:t xml:space="preserve"> </w:t>
      </w:r>
      <w:r w:rsidR="007230C6" w:rsidRPr="009772A3">
        <w:rPr>
          <w:rFonts w:asciiTheme="majorHAnsi" w:hAnsiTheme="majorHAnsi" w:cstheme="majorHAnsi"/>
          <w:sz w:val="24"/>
          <w:szCs w:val="24"/>
          <w:lang w:val="ro-MD"/>
        </w:rPr>
        <w:t>a achiziționat servicii</w:t>
      </w:r>
      <w:r w:rsidR="007230C6" w:rsidRPr="009772A3">
        <w:rPr>
          <w:rFonts w:asciiTheme="majorHAnsi" w:hAnsiTheme="majorHAnsi" w:cstheme="majorHAnsi"/>
          <w:vertAlign w:val="superscript"/>
          <w:lang w:val="ro-MD"/>
        </w:rPr>
        <w:footnoteReference w:id="90"/>
      </w:r>
      <w:r w:rsidR="00352A8B" w:rsidRPr="009772A3">
        <w:rPr>
          <w:rFonts w:asciiTheme="majorHAnsi" w:hAnsiTheme="majorHAnsi" w:cstheme="majorHAnsi"/>
          <w:sz w:val="24"/>
          <w:szCs w:val="24"/>
          <w:lang w:val="ro-MD"/>
        </w:rPr>
        <w:t xml:space="preserve"> în valoare totală de </w:t>
      </w:r>
      <w:r w:rsidR="00F66B7B">
        <w:rPr>
          <w:rFonts w:asciiTheme="majorHAnsi" w:hAnsiTheme="majorHAnsi" w:cstheme="majorHAnsi"/>
          <w:sz w:val="24"/>
          <w:szCs w:val="24"/>
          <w:lang w:val="ro-MD"/>
        </w:rPr>
        <w:t>33</w:t>
      </w:r>
      <w:r w:rsidR="00352A8B" w:rsidRPr="009772A3">
        <w:rPr>
          <w:rFonts w:asciiTheme="majorHAnsi" w:hAnsiTheme="majorHAnsi" w:cstheme="majorHAnsi"/>
          <w:sz w:val="24"/>
          <w:szCs w:val="24"/>
          <w:lang w:val="ro-MD"/>
        </w:rPr>
        <w:t>.</w:t>
      </w:r>
      <w:r w:rsidR="00F66B7B">
        <w:rPr>
          <w:rFonts w:asciiTheme="majorHAnsi" w:hAnsiTheme="majorHAnsi" w:cstheme="majorHAnsi"/>
          <w:sz w:val="24"/>
          <w:szCs w:val="24"/>
          <w:lang w:val="ro-MD"/>
        </w:rPr>
        <w:t>6</w:t>
      </w:r>
      <w:r w:rsidR="00352A8B" w:rsidRPr="009772A3">
        <w:rPr>
          <w:rFonts w:asciiTheme="majorHAnsi" w:hAnsiTheme="majorHAnsi" w:cstheme="majorHAnsi"/>
          <w:sz w:val="24"/>
          <w:szCs w:val="24"/>
          <w:lang w:val="ro-MD"/>
        </w:rPr>
        <w:t>00,0</w:t>
      </w:r>
      <w:r w:rsidR="007230C6" w:rsidRPr="009772A3">
        <w:rPr>
          <w:rFonts w:asciiTheme="majorHAnsi" w:hAnsiTheme="majorHAnsi" w:cstheme="majorHAnsi"/>
          <w:sz w:val="24"/>
          <w:szCs w:val="24"/>
          <w:lang w:val="ro-MD"/>
        </w:rPr>
        <w:t xml:space="preserve"> mi</w:t>
      </w:r>
      <w:r w:rsidR="00352A8B" w:rsidRPr="009772A3">
        <w:rPr>
          <w:rFonts w:asciiTheme="majorHAnsi" w:hAnsiTheme="majorHAnsi" w:cstheme="majorHAnsi"/>
          <w:sz w:val="24"/>
          <w:szCs w:val="24"/>
          <w:lang w:val="ro-MD"/>
        </w:rPr>
        <w:t xml:space="preserve">i </w:t>
      </w:r>
      <w:r w:rsidR="007230C6" w:rsidRPr="009772A3">
        <w:rPr>
          <w:rFonts w:asciiTheme="majorHAnsi" w:hAnsiTheme="majorHAnsi" w:cstheme="majorHAnsi"/>
          <w:sz w:val="24"/>
          <w:szCs w:val="24"/>
          <w:lang w:val="ro-MD"/>
        </w:rPr>
        <w:t xml:space="preserve">lei, neprevăzute în planul de achiziții. </w:t>
      </w:r>
    </w:p>
    <w:p w14:paraId="3E2C5934" w14:textId="707C202A" w:rsidR="0087431A" w:rsidRPr="009772A3" w:rsidRDefault="008C4FE4" w:rsidP="00823577">
      <w:pPr>
        <w:pStyle w:val="Heading1"/>
        <w:numPr>
          <w:ilvl w:val="3"/>
          <w:numId w:val="2"/>
        </w:numPr>
        <w:tabs>
          <w:tab w:val="left" w:pos="851"/>
        </w:tabs>
        <w:spacing w:line="276" w:lineRule="auto"/>
        <w:ind w:left="0" w:firstLine="0"/>
        <w:jc w:val="both"/>
        <w:rPr>
          <w:i/>
          <w:color w:val="auto"/>
          <w:lang w:val="ro-MD"/>
        </w:rPr>
      </w:pPr>
      <w:bookmarkStart w:id="110" w:name="_Toc117775777"/>
      <w:bookmarkStart w:id="111" w:name="_Toc118297716"/>
      <w:bookmarkStart w:id="112" w:name="_Toc118465744"/>
      <w:bookmarkStart w:id="113" w:name="_Toc119496418"/>
      <w:r w:rsidRPr="009772A3">
        <w:rPr>
          <w:i/>
          <w:color w:val="auto"/>
          <w:lang w:val="ro-MD"/>
        </w:rPr>
        <w:t xml:space="preserve">Neîntocmirea conformă a </w:t>
      </w:r>
      <w:r w:rsidR="00A456B6" w:rsidRPr="009772A3">
        <w:rPr>
          <w:i/>
          <w:color w:val="auto"/>
          <w:lang w:val="ro-MD"/>
        </w:rPr>
        <w:t>Catalogul</w:t>
      </w:r>
      <w:r w:rsidRPr="009772A3">
        <w:rPr>
          <w:i/>
          <w:color w:val="auto"/>
          <w:lang w:val="ro-MD"/>
        </w:rPr>
        <w:t>ui</w:t>
      </w:r>
      <w:r w:rsidR="00A456B6" w:rsidRPr="009772A3">
        <w:rPr>
          <w:i/>
          <w:color w:val="auto"/>
          <w:lang w:val="ro-MD"/>
        </w:rPr>
        <w:t xml:space="preserve"> prețurilor</w:t>
      </w:r>
      <w:r w:rsidRPr="009772A3">
        <w:rPr>
          <w:i/>
          <w:color w:val="auto"/>
          <w:lang w:val="ro-MD"/>
        </w:rPr>
        <w:t xml:space="preserve"> </w:t>
      </w:r>
      <w:r w:rsidR="00A77718" w:rsidRPr="009772A3">
        <w:rPr>
          <w:i/>
          <w:color w:val="auto"/>
          <w:lang w:val="ro-MD"/>
        </w:rPr>
        <w:t xml:space="preserve">a afectat </w:t>
      </w:r>
      <w:r w:rsidRPr="009772A3">
        <w:rPr>
          <w:i/>
          <w:color w:val="auto"/>
          <w:lang w:val="ro-MD"/>
        </w:rPr>
        <w:t>elaborarea corespunzătoare a planurilor anuale de achiziții și obținerea economicității și eficienței în procesele de procurări</w:t>
      </w:r>
      <w:r w:rsidR="00537B6D" w:rsidRPr="009772A3">
        <w:rPr>
          <w:i/>
          <w:color w:val="auto"/>
          <w:lang w:val="ro-MD"/>
        </w:rPr>
        <w:t>.</w:t>
      </w:r>
      <w:bookmarkEnd w:id="110"/>
      <w:bookmarkEnd w:id="111"/>
      <w:bookmarkEnd w:id="112"/>
      <w:bookmarkEnd w:id="113"/>
    </w:p>
    <w:p w14:paraId="7F88A6B9" w14:textId="76155723" w:rsidR="007D5DA5" w:rsidRPr="009772A3" w:rsidRDefault="001471C4" w:rsidP="001471C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cadrului normativ în vigoare</w:t>
      </w:r>
      <w:r w:rsidRPr="009772A3">
        <w:rPr>
          <w:rStyle w:val="FootnoteReference"/>
          <w:rFonts w:asciiTheme="majorHAnsi" w:hAnsiTheme="majorHAnsi" w:cstheme="majorHAnsi"/>
          <w:sz w:val="24"/>
          <w:szCs w:val="24"/>
          <w:lang w:val="ro-MD"/>
        </w:rPr>
        <w:footnoteReference w:id="91"/>
      </w:r>
      <w:r w:rsidRPr="009772A3">
        <w:rPr>
          <w:rFonts w:asciiTheme="majorHAnsi" w:hAnsiTheme="majorHAnsi" w:cstheme="majorHAnsi"/>
          <w:sz w:val="24"/>
          <w:szCs w:val="24"/>
          <w:lang w:val="ro-MD"/>
        </w:rPr>
        <w:t xml:space="preserve">, </w:t>
      </w:r>
      <w:r w:rsidR="007D5DA5" w:rsidRPr="009772A3">
        <w:rPr>
          <w:rFonts w:asciiTheme="majorHAnsi" w:hAnsiTheme="majorHAnsi" w:cstheme="majorHAnsi"/>
          <w:sz w:val="24"/>
          <w:szCs w:val="24"/>
          <w:lang w:val="ro-MD"/>
        </w:rPr>
        <w:t>b</w:t>
      </w:r>
      <w:r w:rsidRPr="009772A3">
        <w:rPr>
          <w:rFonts w:asciiTheme="majorHAnsi" w:hAnsiTheme="majorHAnsi" w:cstheme="majorHAnsi"/>
          <w:sz w:val="24"/>
          <w:szCs w:val="24"/>
          <w:lang w:val="ro-MD"/>
        </w:rPr>
        <w:t xml:space="preserve">eneficiarul </w:t>
      </w:r>
      <w:r w:rsidR="007D5DA5" w:rsidRPr="009772A3">
        <w:rPr>
          <w:rFonts w:asciiTheme="majorHAnsi" w:hAnsiTheme="majorHAnsi" w:cstheme="majorHAnsi"/>
          <w:sz w:val="24"/>
          <w:szCs w:val="24"/>
          <w:lang w:val="ro-MD"/>
        </w:rPr>
        <w:t xml:space="preserve">este obligat să </w:t>
      </w:r>
      <w:r w:rsidRPr="009772A3">
        <w:rPr>
          <w:rFonts w:asciiTheme="majorHAnsi" w:hAnsiTheme="majorHAnsi" w:cstheme="majorHAnsi"/>
          <w:sz w:val="24"/>
          <w:szCs w:val="24"/>
          <w:lang w:val="ro-MD"/>
        </w:rPr>
        <w:t>estime</w:t>
      </w:r>
      <w:r w:rsidR="007D5DA5" w:rsidRPr="009772A3">
        <w:rPr>
          <w:rFonts w:asciiTheme="majorHAnsi" w:hAnsiTheme="majorHAnsi" w:cstheme="majorHAnsi"/>
          <w:sz w:val="24"/>
          <w:szCs w:val="24"/>
          <w:lang w:val="ro-MD"/>
        </w:rPr>
        <w:t>ze</w:t>
      </w:r>
      <w:r w:rsidRPr="009772A3">
        <w:rPr>
          <w:rFonts w:asciiTheme="majorHAnsi" w:hAnsiTheme="majorHAnsi" w:cstheme="majorHAnsi"/>
          <w:sz w:val="24"/>
          <w:szCs w:val="24"/>
          <w:lang w:val="ro-MD"/>
        </w:rPr>
        <w:t xml:space="preserve"> valoarea contractului de achiziții de bunuri în baza prețurilor orientative stabilite în catalogul prețurilor</w:t>
      </w:r>
      <w:r w:rsidR="00C721C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este actualizat</w:t>
      </w:r>
      <w:r w:rsidR="007D5DA5"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de către beneficiar în baza unui studiu privind ofertele existente pe piața internă și cea externă</w:t>
      </w:r>
      <w:r w:rsidR="00C721CC" w:rsidRPr="009772A3">
        <w:rPr>
          <w:rFonts w:asciiTheme="majorHAnsi" w:hAnsiTheme="majorHAnsi" w:cstheme="majorHAnsi"/>
          <w:sz w:val="24"/>
          <w:szCs w:val="24"/>
          <w:lang w:val="ro-MD"/>
        </w:rPr>
        <w:t>.</w:t>
      </w:r>
      <w:r w:rsidR="007D5DA5" w:rsidRPr="009772A3">
        <w:rPr>
          <w:rFonts w:asciiTheme="majorHAnsi" w:hAnsiTheme="majorHAnsi" w:cstheme="majorHAnsi"/>
          <w:sz w:val="24"/>
          <w:szCs w:val="24"/>
          <w:lang w:val="ro-MD"/>
        </w:rPr>
        <w:t xml:space="preserve"> </w:t>
      </w:r>
      <w:r w:rsidR="00C721CC" w:rsidRPr="009772A3">
        <w:rPr>
          <w:rFonts w:asciiTheme="majorHAnsi" w:hAnsiTheme="majorHAnsi" w:cstheme="majorHAnsi"/>
          <w:sz w:val="24"/>
          <w:szCs w:val="24"/>
          <w:lang w:val="ro-MD"/>
        </w:rPr>
        <w:t>P</w:t>
      </w:r>
      <w:r w:rsidR="007D5DA5" w:rsidRPr="009772A3">
        <w:rPr>
          <w:rFonts w:asciiTheme="majorHAnsi" w:hAnsiTheme="majorHAnsi" w:cstheme="majorHAnsi"/>
          <w:sz w:val="24"/>
          <w:szCs w:val="24"/>
          <w:lang w:val="ro-MD"/>
        </w:rPr>
        <w:t>robele colectate de audit denotă că SRL Moldovatransgaz nu a elaborat</w:t>
      </w:r>
      <w:r w:rsidR="005A4D91" w:rsidRPr="009772A3">
        <w:rPr>
          <w:rFonts w:asciiTheme="majorHAnsi" w:hAnsiTheme="majorHAnsi" w:cstheme="majorHAnsi"/>
          <w:sz w:val="24"/>
          <w:szCs w:val="24"/>
          <w:lang w:val="ro-MD"/>
        </w:rPr>
        <w:t xml:space="preserve"> pentru anii 2017-2019</w:t>
      </w:r>
      <w:r w:rsidR="007D5DA5" w:rsidRPr="009772A3">
        <w:rPr>
          <w:rFonts w:asciiTheme="majorHAnsi" w:hAnsiTheme="majorHAnsi" w:cstheme="majorHAnsi"/>
          <w:sz w:val="24"/>
          <w:szCs w:val="24"/>
          <w:lang w:val="ro-MD"/>
        </w:rPr>
        <w:t xml:space="preserve"> un catalog al prețurilor estimative, ceea ce nu doar a creat o neconformitate, dar și a generat confuzii privind modul de determinare a valorii unor procurări. </w:t>
      </w:r>
    </w:p>
    <w:p w14:paraId="2A48E669" w14:textId="1AEA14AF" w:rsidR="00A456B6" w:rsidRPr="009772A3" w:rsidRDefault="007D5DA5" w:rsidP="000A276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Se</w:t>
      </w:r>
      <w:r w:rsidR="00A456B6" w:rsidRPr="009772A3">
        <w:rPr>
          <w:rFonts w:asciiTheme="majorHAnsi" w:hAnsiTheme="majorHAnsi" w:cstheme="majorHAnsi"/>
          <w:sz w:val="24"/>
          <w:szCs w:val="24"/>
          <w:lang w:val="ro-MD"/>
        </w:rPr>
        <w:t xml:space="preserve"> remarcă că, în unele cazuri</w:t>
      </w:r>
      <w:r w:rsidR="00C721CC" w:rsidRPr="009772A3">
        <w:rPr>
          <w:rFonts w:asciiTheme="majorHAnsi" w:hAnsiTheme="majorHAnsi" w:cstheme="majorHAnsi"/>
          <w:sz w:val="24"/>
          <w:szCs w:val="24"/>
          <w:lang w:val="ro-MD"/>
        </w:rPr>
        <w:t>,</w:t>
      </w:r>
      <w:r w:rsidR="00A456B6" w:rsidRPr="009772A3">
        <w:rPr>
          <w:rFonts w:asciiTheme="majorHAnsi" w:hAnsiTheme="majorHAnsi" w:cstheme="majorHAnsi"/>
          <w:sz w:val="24"/>
          <w:szCs w:val="24"/>
          <w:lang w:val="ro-MD"/>
        </w:rPr>
        <w:t xml:space="preserve"> valoarea estimată a achiziției diferă de valoarea contractată, fapt ce denotă că valoarea contractului de achiziții n</w:t>
      </w:r>
      <w:r w:rsidR="00C721CC" w:rsidRPr="009772A3">
        <w:rPr>
          <w:rFonts w:asciiTheme="majorHAnsi" w:hAnsiTheme="majorHAnsi" w:cstheme="majorHAnsi"/>
          <w:sz w:val="24"/>
          <w:szCs w:val="24"/>
          <w:lang w:val="ro-MD"/>
        </w:rPr>
        <w:t xml:space="preserve">u </w:t>
      </w:r>
      <w:r w:rsidR="00A456B6" w:rsidRPr="009772A3">
        <w:rPr>
          <w:rFonts w:asciiTheme="majorHAnsi" w:hAnsiTheme="majorHAnsi" w:cstheme="majorHAnsi"/>
          <w:sz w:val="24"/>
          <w:szCs w:val="24"/>
          <w:lang w:val="ro-MD"/>
        </w:rPr>
        <w:t>a fost estimată în baza prețurilor orientative care urmau a fi stabilite în catalogul prețurilor, care de fapt nu a fost întocmit</w:t>
      </w:r>
      <w:r w:rsidR="004D3FB2" w:rsidRPr="009772A3">
        <w:rPr>
          <w:rFonts w:asciiTheme="majorHAnsi" w:hAnsiTheme="majorHAnsi" w:cstheme="majorHAnsi"/>
          <w:sz w:val="24"/>
          <w:szCs w:val="24"/>
          <w:lang w:val="ro-MD"/>
        </w:rPr>
        <w:t xml:space="preserve"> pentru perioada menționată supra</w:t>
      </w:r>
      <w:r w:rsidR="00A456B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Î</w:t>
      </w:r>
      <w:r w:rsidR="00A456B6" w:rsidRPr="009772A3">
        <w:rPr>
          <w:rFonts w:asciiTheme="majorHAnsi" w:hAnsiTheme="majorHAnsi" w:cstheme="majorHAnsi"/>
          <w:sz w:val="24"/>
          <w:szCs w:val="24"/>
          <w:lang w:val="ro-MD"/>
        </w:rPr>
        <w:t xml:space="preserve">n 2017 la SRL </w:t>
      </w:r>
      <w:r w:rsidR="008D4A26" w:rsidRPr="009772A3">
        <w:rPr>
          <w:rFonts w:asciiTheme="majorHAnsi" w:hAnsiTheme="majorHAnsi" w:cstheme="majorHAnsi"/>
          <w:sz w:val="24"/>
          <w:szCs w:val="24"/>
          <w:lang w:val="ro-MD"/>
        </w:rPr>
        <w:t>„</w:t>
      </w:r>
      <w:r w:rsidR="00A456B6" w:rsidRPr="009772A3">
        <w:rPr>
          <w:rFonts w:asciiTheme="majorHAnsi" w:hAnsiTheme="majorHAnsi" w:cstheme="majorHAnsi"/>
          <w:sz w:val="24"/>
          <w:szCs w:val="24"/>
          <w:lang w:val="ro-MD"/>
        </w:rPr>
        <w:t>Moldovatransgaz” se atest</w:t>
      </w:r>
      <w:r w:rsidR="008D4A26" w:rsidRPr="009772A3">
        <w:rPr>
          <w:rFonts w:asciiTheme="majorHAnsi" w:hAnsiTheme="majorHAnsi" w:cstheme="majorHAnsi"/>
          <w:sz w:val="24"/>
          <w:szCs w:val="24"/>
          <w:lang w:val="ro-MD"/>
        </w:rPr>
        <w:t>au</w:t>
      </w:r>
      <w:r w:rsidR="00A456B6" w:rsidRPr="009772A3">
        <w:rPr>
          <w:rFonts w:asciiTheme="majorHAnsi" w:hAnsiTheme="majorHAnsi" w:cstheme="majorHAnsi"/>
          <w:sz w:val="24"/>
          <w:szCs w:val="24"/>
          <w:lang w:val="ro-MD"/>
        </w:rPr>
        <w:t xml:space="preserve"> 11 cazuri în care valoarea contractată </w:t>
      </w:r>
      <w:r w:rsidR="008D4A26" w:rsidRPr="009772A3">
        <w:rPr>
          <w:rFonts w:asciiTheme="majorHAnsi" w:hAnsiTheme="majorHAnsi" w:cstheme="majorHAnsi"/>
          <w:sz w:val="24"/>
          <w:szCs w:val="24"/>
          <w:lang w:val="ro-MD"/>
        </w:rPr>
        <w:t>era</w:t>
      </w:r>
      <w:r w:rsidR="00A456B6" w:rsidRPr="009772A3">
        <w:rPr>
          <w:rFonts w:asciiTheme="majorHAnsi" w:hAnsiTheme="majorHAnsi" w:cstheme="majorHAnsi"/>
          <w:sz w:val="24"/>
          <w:szCs w:val="24"/>
          <w:lang w:val="ro-MD"/>
        </w:rPr>
        <w:t xml:space="preserve"> mai mare decât valoarea estimată cu 20.500,0 mii lei, iar în anul 2020</w:t>
      </w:r>
      <w:r w:rsidR="008D4A26" w:rsidRPr="009772A3">
        <w:rPr>
          <w:rFonts w:asciiTheme="majorHAnsi" w:hAnsiTheme="majorHAnsi" w:cstheme="majorHAnsi"/>
          <w:sz w:val="24"/>
          <w:szCs w:val="24"/>
          <w:lang w:val="ro-MD"/>
        </w:rPr>
        <w:t xml:space="preserve"> –</w:t>
      </w:r>
      <w:r w:rsidR="00A456B6" w:rsidRPr="009772A3">
        <w:rPr>
          <w:rFonts w:asciiTheme="majorHAnsi" w:hAnsiTheme="majorHAnsi" w:cstheme="majorHAnsi"/>
          <w:sz w:val="24"/>
          <w:szCs w:val="24"/>
          <w:lang w:val="ro-MD"/>
        </w:rPr>
        <w:t xml:space="preserve"> în 14 cazuri</w:t>
      </w:r>
      <w:r w:rsidR="008D4A26" w:rsidRPr="009772A3">
        <w:rPr>
          <w:rFonts w:asciiTheme="majorHAnsi" w:hAnsiTheme="majorHAnsi" w:cstheme="majorHAnsi"/>
          <w:sz w:val="24"/>
          <w:szCs w:val="24"/>
          <w:lang w:val="ro-MD"/>
        </w:rPr>
        <w:t>,</w:t>
      </w:r>
      <w:r w:rsidR="00A456B6" w:rsidRPr="009772A3">
        <w:rPr>
          <w:rFonts w:asciiTheme="majorHAnsi" w:hAnsiTheme="majorHAnsi" w:cstheme="majorHAnsi"/>
          <w:sz w:val="24"/>
          <w:szCs w:val="24"/>
          <w:lang w:val="ro-MD"/>
        </w:rPr>
        <w:t xml:space="preserve"> cu 2.900,0 mii lei mai mare. </w:t>
      </w:r>
    </w:p>
    <w:p w14:paraId="0ECE03A3" w14:textId="59447657" w:rsidR="007D5DA5" w:rsidRPr="009772A3" w:rsidRDefault="00823577" w:rsidP="000A2760">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D</w:t>
      </w:r>
      <w:r w:rsidR="007D5DA5" w:rsidRPr="009772A3">
        <w:rPr>
          <w:rFonts w:asciiTheme="majorHAnsi" w:hAnsiTheme="majorHAnsi" w:cstheme="majorHAnsi"/>
          <w:sz w:val="24"/>
          <w:szCs w:val="24"/>
          <w:lang w:val="ro-MD"/>
        </w:rPr>
        <w:t xml:space="preserve">eși SA Moldovagaz a elaborat </w:t>
      </w:r>
      <w:r w:rsidR="00F6240C" w:rsidRPr="009772A3">
        <w:rPr>
          <w:rFonts w:asciiTheme="majorHAnsi" w:hAnsiTheme="majorHAnsi" w:cstheme="majorHAnsi"/>
          <w:sz w:val="24"/>
          <w:szCs w:val="24"/>
          <w:lang w:val="ro-MD"/>
        </w:rPr>
        <w:t xml:space="preserve">pentru perioada 2017-2021 </w:t>
      </w:r>
      <w:r w:rsidR="007D5DA5" w:rsidRPr="009772A3">
        <w:rPr>
          <w:rFonts w:asciiTheme="majorHAnsi" w:hAnsiTheme="majorHAnsi" w:cstheme="majorHAnsi"/>
          <w:sz w:val="24"/>
          <w:szCs w:val="24"/>
          <w:lang w:val="ro-MD"/>
        </w:rPr>
        <w:t xml:space="preserve">un catalog al prețurilor estimative la efectuarea achizițiilor, </w:t>
      </w:r>
      <w:r w:rsidR="00F6240C" w:rsidRPr="009772A3">
        <w:rPr>
          <w:rFonts w:asciiTheme="majorHAnsi" w:hAnsiTheme="majorHAnsi" w:cstheme="majorHAnsi"/>
          <w:sz w:val="24"/>
          <w:szCs w:val="24"/>
          <w:lang w:val="ro-MD"/>
        </w:rPr>
        <w:t xml:space="preserve">actualizat anual, </w:t>
      </w:r>
      <w:r w:rsidR="007D5DA5" w:rsidRPr="009772A3">
        <w:rPr>
          <w:rFonts w:asciiTheme="majorHAnsi" w:hAnsiTheme="majorHAnsi" w:cstheme="majorHAnsi"/>
          <w:sz w:val="24"/>
          <w:szCs w:val="24"/>
          <w:lang w:val="ro-MD"/>
        </w:rPr>
        <w:t xml:space="preserve">acesta nu se referă la </w:t>
      </w:r>
      <w:r w:rsidR="00B305C0" w:rsidRPr="009772A3">
        <w:rPr>
          <w:rFonts w:asciiTheme="majorHAnsi" w:hAnsiTheme="majorHAnsi" w:cstheme="majorHAnsi"/>
          <w:sz w:val="24"/>
          <w:szCs w:val="24"/>
          <w:lang w:val="ro-MD"/>
        </w:rPr>
        <w:t xml:space="preserve">activitatea </w:t>
      </w:r>
      <w:r w:rsidR="007D5DA5" w:rsidRPr="009772A3">
        <w:rPr>
          <w:rFonts w:asciiTheme="majorHAnsi" w:hAnsiTheme="majorHAnsi" w:cstheme="majorHAnsi"/>
          <w:sz w:val="24"/>
          <w:szCs w:val="24"/>
          <w:lang w:val="ro-MD"/>
        </w:rPr>
        <w:t>de furnizare a gazelor naturale,</w:t>
      </w:r>
      <w:r w:rsidR="00560D6F" w:rsidRPr="009772A3">
        <w:rPr>
          <w:rFonts w:asciiTheme="majorHAnsi" w:hAnsiTheme="majorHAnsi" w:cstheme="majorHAnsi"/>
          <w:sz w:val="24"/>
          <w:szCs w:val="24"/>
          <w:lang w:val="ro-MD"/>
        </w:rPr>
        <w:t xml:space="preserve"> dar la cea de distribuție,</w:t>
      </w:r>
      <w:r w:rsidR="007D5DA5" w:rsidRPr="009772A3">
        <w:rPr>
          <w:rFonts w:asciiTheme="majorHAnsi" w:hAnsiTheme="majorHAnsi" w:cstheme="majorHAnsi"/>
          <w:sz w:val="24"/>
          <w:szCs w:val="24"/>
          <w:lang w:val="ro-MD"/>
        </w:rPr>
        <w:t xml:space="preserve"> ceea ce </w:t>
      </w:r>
      <w:r w:rsidR="00560D6F" w:rsidRPr="009772A3">
        <w:rPr>
          <w:rFonts w:asciiTheme="majorHAnsi" w:hAnsiTheme="majorHAnsi" w:cstheme="majorHAnsi"/>
          <w:sz w:val="24"/>
          <w:szCs w:val="24"/>
          <w:lang w:val="ro-MD"/>
        </w:rPr>
        <w:t xml:space="preserve">indică o atitudine </w:t>
      </w:r>
      <w:r w:rsidR="00F6240C" w:rsidRPr="009772A3">
        <w:rPr>
          <w:rFonts w:asciiTheme="majorHAnsi" w:hAnsiTheme="majorHAnsi" w:cstheme="majorHAnsi"/>
          <w:sz w:val="24"/>
          <w:szCs w:val="24"/>
          <w:lang w:val="ro-MD"/>
        </w:rPr>
        <w:t xml:space="preserve">neconformă </w:t>
      </w:r>
      <w:r w:rsidR="00560D6F" w:rsidRPr="009772A3">
        <w:rPr>
          <w:rFonts w:asciiTheme="majorHAnsi" w:hAnsiTheme="majorHAnsi" w:cstheme="majorHAnsi"/>
          <w:sz w:val="24"/>
          <w:szCs w:val="24"/>
          <w:lang w:val="ro-MD"/>
        </w:rPr>
        <w:t>față de studiul pieței pentru obținerea economicității și eficienței.</w:t>
      </w:r>
      <w:r w:rsidR="00312050" w:rsidRPr="009772A3">
        <w:rPr>
          <w:rFonts w:asciiTheme="majorHAnsi" w:hAnsiTheme="majorHAnsi" w:cstheme="majorHAnsi"/>
          <w:sz w:val="24"/>
          <w:szCs w:val="24"/>
          <w:lang w:val="ro-MD"/>
        </w:rPr>
        <w:t xml:space="preserve"> </w:t>
      </w:r>
    </w:p>
    <w:p w14:paraId="3ED3207F" w14:textId="698DF1D1" w:rsidR="00056C4F" w:rsidRPr="009772A3" w:rsidRDefault="00056C4F" w:rsidP="00823577">
      <w:pPr>
        <w:pStyle w:val="Heading1"/>
        <w:numPr>
          <w:ilvl w:val="3"/>
          <w:numId w:val="2"/>
        </w:numPr>
        <w:tabs>
          <w:tab w:val="left" w:pos="851"/>
        </w:tabs>
        <w:spacing w:line="276" w:lineRule="auto"/>
        <w:ind w:left="0" w:firstLine="0"/>
        <w:jc w:val="both"/>
        <w:rPr>
          <w:b w:val="0"/>
          <w:i/>
          <w:color w:val="auto"/>
          <w:lang w:val="ro-MD"/>
        </w:rPr>
      </w:pPr>
      <w:bookmarkStart w:id="114" w:name="_Toc118885314"/>
      <w:bookmarkStart w:id="115" w:name="_Toc118885464"/>
      <w:bookmarkStart w:id="116" w:name="_Toc118886708"/>
      <w:bookmarkStart w:id="117" w:name="_Toc118964622"/>
      <w:bookmarkStart w:id="118" w:name="_Toc118977832"/>
      <w:bookmarkStart w:id="119" w:name="_Toc119245417"/>
      <w:bookmarkStart w:id="120" w:name="_Toc119496419"/>
      <w:bookmarkEnd w:id="114"/>
      <w:bookmarkEnd w:id="115"/>
      <w:bookmarkEnd w:id="116"/>
      <w:bookmarkEnd w:id="117"/>
      <w:bookmarkEnd w:id="118"/>
      <w:bookmarkEnd w:id="119"/>
      <w:r w:rsidRPr="009772A3">
        <w:rPr>
          <w:i/>
          <w:color w:val="auto"/>
          <w:lang w:val="ro-MD"/>
        </w:rPr>
        <w:t xml:space="preserve">Unele procurări de bunuri și servicii în valoare totală de cca </w:t>
      </w:r>
      <w:r w:rsidR="005F58A1" w:rsidRPr="009772A3">
        <w:rPr>
          <w:i/>
          <w:color w:val="auto"/>
          <w:lang w:val="ro-MD"/>
        </w:rPr>
        <w:t>47.</w:t>
      </w:r>
      <w:r w:rsidR="00C611D4" w:rsidRPr="009772A3">
        <w:rPr>
          <w:i/>
          <w:color w:val="auto"/>
          <w:lang w:val="ro-MD"/>
        </w:rPr>
        <w:t>7</w:t>
      </w:r>
      <w:r w:rsidR="00C611D4">
        <w:rPr>
          <w:i/>
          <w:color w:val="auto"/>
          <w:lang w:val="ro-MD"/>
        </w:rPr>
        <w:t>0</w:t>
      </w:r>
      <w:r w:rsidR="00C611D4" w:rsidRPr="009772A3">
        <w:rPr>
          <w:i/>
          <w:color w:val="auto"/>
          <w:lang w:val="ro-MD"/>
        </w:rPr>
        <w:t>3</w:t>
      </w:r>
      <w:r w:rsidR="005F58A1" w:rsidRPr="009772A3">
        <w:rPr>
          <w:i/>
          <w:color w:val="auto"/>
          <w:lang w:val="ro-MD"/>
        </w:rPr>
        <w:t>,</w:t>
      </w:r>
      <w:r w:rsidR="00C611D4">
        <w:rPr>
          <w:i/>
          <w:color w:val="auto"/>
          <w:lang w:val="ro-MD"/>
        </w:rPr>
        <w:t>4</w:t>
      </w:r>
      <w:r w:rsidR="005F58A1" w:rsidRPr="009772A3">
        <w:rPr>
          <w:i/>
          <w:color w:val="auto"/>
          <w:lang w:val="ro-MD"/>
        </w:rPr>
        <w:t xml:space="preserve"> </w:t>
      </w:r>
      <w:r w:rsidRPr="009772A3">
        <w:rPr>
          <w:i/>
          <w:color w:val="auto"/>
          <w:lang w:val="ro-MD"/>
        </w:rPr>
        <w:t xml:space="preserve">mii lei au fost </w:t>
      </w:r>
      <w:r w:rsidR="00823577">
        <w:rPr>
          <w:i/>
          <w:color w:val="auto"/>
          <w:lang w:val="ro-MD"/>
        </w:rPr>
        <w:t>efectu</w:t>
      </w:r>
      <w:r w:rsidR="00823577" w:rsidRPr="009772A3">
        <w:rPr>
          <w:i/>
          <w:color w:val="auto"/>
          <w:lang w:val="ro-MD"/>
        </w:rPr>
        <w:t xml:space="preserve">ate </w:t>
      </w:r>
      <w:r w:rsidRPr="009772A3">
        <w:rPr>
          <w:i/>
          <w:color w:val="auto"/>
          <w:lang w:val="ro-MD"/>
        </w:rPr>
        <w:t>fără organizarea și desfășurarea concursurilor aferente</w:t>
      </w:r>
      <w:r w:rsidR="00224FBC" w:rsidRPr="009772A3">
        <w:rPr>
          <w:i/>
          <w:color w:val="auto"/>
          <w:lang w:val="ro-MD"/>
        </w:rPr>
        <w:t>.</w:t>
      </w:r>
      <w:bookmarkEnd w:id="120"/>
    </w:p>
    <w:p w14:paraId="295FC6AA" w14:textId="595F179E" w:rsidR="00F07049" w:rsidRPr="009772A3" w:rsidRDefault="00F07049" w:rsidP="00F0704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Regulamentul aprobat prin Hotărârea C</w:t>
      </w:r>
      <w:r w:rsidR="00B740BD" w:rsidRPr="009772A3">
        <w:rPr>
          <w:rFonts w:asciiTheme="majorHAnsi" w:hAnsiTheme="majorHAnsi" w:cstheme="majorHAnsi"/>
          <w:sz w:val="24"/>
          <w:szCs w:val="24"/>
          <w:lang w:val="ro-MD"/>
        </w:rPr>
        <w:t xml:space="preserve">onsiliului de </w:t>
      </w:r>
      <w:r w:rsidR="008D4A26" w:rsidRPr="009772A3">
        <w:rPr>
          <w:rFonts w:asciiTheme="majorHAnsi" w:hAnsiTheme="majorHAnsi" w:cstheme="majorHAnsi"/>
          <w:sz w:val="24"/>
          <w:szCs w:val="24"/>
          <w:lang w:val="ro-MD"/>
        </w:rPr>
        <w:t>a</w:t>
      </w:r>
      <w:r w:rsidR="00B740BD" w:rsidRPr="009772A3">
        <w:rPr>
          <w:rFonts w:asciiTheme="majorHAnsi" w:hAnsiTheme="majorHAnsi" w:cstheme="majorHAnsi"/>
          <w:sz w:val="24"/>
          <w:szCs w:val="24"/>
          <w:lang w:val="ro-MD"/>
        </w:rPr>
        <w:t>dministrație a</w:t>
      </w:r>
      <w:r w:rsidR="008D4A26" w:rsidRPr="009772A3">
        <w:rPr>
          <w:rFonts w:asciiTheme="majorHAnsi" w:hAnsiTheme="majorHAnsi" w:cstheme="majorHAnsi"/>
          <w:sz w:val="24"/>
          <w:szCs w:val="24"/>
          <w:lang w:val="ro-MD"/>
        </w:rPr>
        <w:t>l</w:t>
      </w:r>
      <w:r w:rsidR="00B740BD" w:rsidRPr="009772A3">
        <w:rPr>
          <w:rFonts w:asciiTheme="majorHAnsi" w:hAnsiTheme="majorHAnsi" w:cstheme="majorHAnsi"/>
          <w:sz w:val="24"/>
          <w:szCs w:val="24"/>
          <w:lang w:val="ro-MD"/>
        </w:rPr>
        <w:t xml:space="preserve"> S</w:t>
      </w:r>
      <w:r w:rsidRPr="009772A3">
        <w:rPr>
          <w:rFonts w:asciiTheme="majorHAnsi" w:hAnsiTheme="majorHAnsi" w:cstheme="majorHAnsi"/>
          <w:sz w:val="24"/>
          <w:szCs w:val="24"/>
          <w:lang w:val="ro-MD"/>
        </w:rPr>
        <w:t>A Moldovagaz nr.58 din 16.09.2009 stabilește temeiurile juridice pentru organizarea și desfășurarea procedurilor de achiziții de bunuri, lucr</w:t>
      </w:r>
      <w:r w:rsidR="00B740BD" w:rsidRPr="009772A3">
        <w:rPr>
          <w:rFonts w:asciiTheme="majorHAnsi" w:hAnsiTheme="majorHAnsi" w:cstheme="majorHAnsi"/>
          <w:sz w:val="24"/>
          <w:szCs w:val="24"/>
          <w:lang w:val="ro-MD"/>
        </w:rPr>
        <w:t>ări și servicii în sistemul SA Moldovagaz</w:t>
      </w:r>
      <w:r w:rsidR="008D4A2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scopul asigurării transparenței și eficienței achizițiilor, satisfacerii necesităților de bunuri și servicii, execut</w:t>
      </w:r>
      <w:r w:rsidR="008D4A26" w:rsidRPr="009772A3">
        <w:rPr>
          <w:rFonts w:asciiTheme="majorHAnsi" w:hAnsiTheme="majorHAnsi" w:cstheme="majorHAnsi"/>
          <w:sz w:val="24"/>
          <w:szCs w:val="24"/>
          <w:lang w:val="ro-MD"/>
        </w:rPr>
        <w:t>ării</w:t>
      </w:r>
      <w:r w:rsidRPr="009772A3">
        <w:rPr>
          <w:rFonts w:asciiTheme="majorHAnsi" w:hAnsiTheme="majorHAnsi" w:cstheme="majorHAnsi"/>
          <w:sz w:val="24"/>
          <w:szCs w:val="24"/>
          <w:lang w:val="ro-MD"/>
        </w:rPr>
        <w:t xml:space="preserve"> lucrărilor de construcție-montaj, participării largi a furnizorilor/antreprenorilor la procedura de achiziții și dezvoltării concurenței. De asemenea, potrivit Regulamentului aprobat prin HANRE nr.24 din 26.01.2017</w:t>
      </w:r>
      <w:r w:rsidR="007A5A78" w:rsidRPr="009772A3">
        <w:rPr>
          <w:rFonts w:asciiTheme="majorHAnsi" w:hAnsiTheme="majorHAnsi" w:cstheme="majorHAnsi"/>
          <w:sz w:val="24"/>
          <w:szCs w:val="24"/>
          <w:lang w:val="ro-MD"/>
        </w:rPr>
        <w:t xml:space="preserve"> (în vigoare din 14.10.2017</w:t>
      </w:r>
      <w:r w:rsidR="007A5A78" w:rsidRPr="00823577">
        <w:rPr>
          <w:rFonts w:asciiTheme="majorHAnsi" w:hAnsiTheme="majorHAnsi" w:cstheme="majorHAnsi"/>
          <w:sz w:val="24"/>
          <w:szCs w:val="24"/>
          <w:lang w:val="ro-MD"/>
        </w:rPr>
        <w:t>)</w:t>
      </w:r>
      <w:r w:rsidRPr="00823577">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acesta</w:t>
      </w:r>
      <w:r w:rsidRPr="009772A3">
        <w:rPr>
          <w:rFonts w:asciiTheme="majorHAnsi" w:hAnsiTheme="majorHAnsi" w:cstheme="majorHAnsi"/>
          <w:sz w:val="24"/>
          <w:szCs w:val="24"/>
          <w:lang w:val="ro-MD"/>
        </w:rPr>
        <w:t xml:space="preserve"> este obligatoriu pentru titularii de licențe care desfășoară activități reglementate în sectorul gazelor naturale</w:t>
      </w:r>
      <w:r w:rsidR="008D4A2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având ca scop, per altera, stabilirea procedurilor clare și transparente ce urmează a fi respectate în procesul de achiziție, dezvoltare</w:t>
      </w:r>
      <w:r w:rsidR="008D4A2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 concurenței și eficientizare</w:t>
      </w:r>
      <w:r w:rsidR="008D4A2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 achizițiilor, asigurare</w:t>
      </w:r>
      <w:r w:rsidR="008D4A2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 respectării principiilor cheltuielilor minime și eficienței maxime.</w:t>
      </w:r>
    </w:p>
    <w:p w14:paraId="282F382C" w14:textId="0582D218" w:rsidR="00102065" w:rsidRPr="009772A3" w:rsidRDefault="00F07049" w:rsidP="00F0704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Auditul public extern </w:t>
      </w:r>
      <w:r w:rsidR="00B740BD" w:rsidRPr="009772A3">
        <w:rPr>
          <w:rFonts w:asciiTheme="majorHAnsi" w:hAnsiTheme="majorHAnsi" w:cstheme="majorHAnsi"/>
          <w:sz w:val="24"/>
          <w:szCs w:val="24"/>
          <w:lang w:val="ro-MD"/>
        </w:rPr>
        <w:t>a relevat efectuarea de către S</w:t>
      </w:r>
      <w:r w:rsidRPr="009772A3">
        <w:rPr>
          <w:rFonts w:asciiTheme="majorHAnsi" w:hAnsiTheme="majorHAnsi" w:cstheme="majorHAnsi"/>
          <w:sz w:val="24"/>
          <w:szCs w:val="24"/>
          <w:lang w:val="ro-MD"/>
        </w:rPr>
        <w:t xml:space="preserve">A Moldovagaz în perioada auditată a unor cheltuieli în valoare totală de </w:t>
      </w:r>
      <w:r w:rsidR="00C611D4">
        <w:rPr>
          <w:rFonts w:asciiTheme="majorHAnsi" w:hAnsiTheme="majorHAnsi" w:cstheme="majorHAnsi"/>
          <w:sz w:val="24"/>
          <w:szCs w:val="24"/>
          <w:lang w:val="ro-MD"/>
        </w:rPr>
        <w:t>19.809,5</w:t>
      </w:r>
      <w:r w:rsidRPr="009772A3">
        <w:rPr>
          <w:rFonts w:asciiTheme="majorHAnsi" w:hAnsiTheme="majorHAnsi" w:cstheme="majorHAnsi"/>
          <w:sz w:val="24"/>
          <w:szCs w:val="24"/>
          <w:lang w:val="ro-MD"/>
        </w:rPr>
        <w:t xml:space="preserve"> mil.lei</w:t>
      </w:r>
      <w:r w:rsidRPr="009772A3">
        <w:rPr>
          <w:rFonts w:asciiTheme="majorHAnsi" w:hAnsiTheme="majorHAnsi" w:cstheme="majorHAnsi"/>
          <w:sz w:val="24"/>
          <w:szCs w:val="24"/>
          <w:vertAlign w:val="superscript"/>
          <w:lang w:val="ro-MD"/>
        </w:rPr>
        <w:footnoteReference w:id="92"/>
      </w:r>
      <w:r w:rsidRPr="009772A3">
        <w:rPr>
          <w:rFonts w:asciiTheme="majorHAnsi" w:hAnsiTheme="majorHAnsi" w:cstheme="majorHAnsi"/>
          <w:sz w:val="24"/>
          <w:szCs w:val="24"/>
          <w:lang w:val="ro-MD"/>
        </w:rPr>
        <w:t xml:space="preserve"> pentru achiziții de bunuri și servicii, fără organizarea și desfășurarea procedurilor regulamentare, nefiind asigurată astfel transparența și dezvoltarea concurenței prin participarea largă a operatorilor economici în cadrul procedurilor de achiziții. </w:t>
      </w:r>
    </w:p>
    <w:p w14:paraId="5A552FFD" w14:textId="5B555F02" w:rsidR="00F07049" w:rsidRPr="009772A3" w:rsidRDefault="00F07049" w:rsidP="00F0704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Situații similare se atestă și la unele întreprinderi afiliate</w:t>
      </w:r>
      <w:r w:rsidR="00B305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valoarea achizițiilor efectuate fără organizarea procedurilor însumând</w:t>
      </w:r>
      <w:r w:rsidR="000D4AB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w:t>
      </w:r>
      <w:r w:rsidR="00EB11A4" w:rsidRPr="009772A3">
        <w:rPr>
          <w:rFonts w:asciiTheme="majorHAnsi" w:hAnsiTheme="majorHAnsi" w:cstheme="majorHAnsi"/>
          <w:sz w:val="24"/>
          <w:szCs w:val="24"/>
          <w:lang w:val="ro-MD"/>
        </w:rPr>
        <w:t xml:space="preserve"> </w:t>
      </w:r>
      <w:r w:rsidR="001A168E" w:rsidRPr="009772A3">
        <w:rPr>
          <w:rFonts w:asciiTheme="majorHAnsi" w:hAnsiTheme="majorHAnsi" w:cstheme="majorHAnsi"/>
          <w:sz w:val="24"/>
          <w:szCs w:val="24"/>
          <w:lang w:val="ro-MD"/>
        </w:rPr>
        <w:t xml:space="preserve">SRL </w:t>
      </w:r>
      <w:r w:rsidRPr="009772A3">
        <w:rPr>
          <w:rFonts w:asciiTheme="majorHAnsi" w:hAnsiTheme="majorHAnsi" w:cstheme="majorHAnsi"/>
          <w:sz w:val="24"/>
          <w:szCs w:val="24"/>
          <w:lang w:val="ro-MD"/>
        </w:rPr>
        <w:t xml:space="preserve">Ialoveni-gaz </w:t>
      </w:r>
      <w:r w:rsidR="00B52D0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7A5A78" w:rsidRPr="009772A3">
        <w:rPr>
          <w:rFonts w:asciiTheme="majorHAnsi" w:hAnsiTheme="majorHAnsi" w:cstheme="majorHAnsi"/>
          <w:sz w:val="24"/>
          <w:szCs w:val="24"/>
          <w:lang w:val="ro-MD"/>
        </w:rPr>
        <w:t>2.321,8</w:t>
      </w:r>
      <w:r w:rsidR="00B52D02" w:rsidRPr="009772A3">
        <w:rPr>
          <w:rFonts w:asciiTheme="majorHAnsi" w:hAnsiTheme="majorHAnsi" w:cstheme="majorHAnsi"/>
          <w:sz w:val="24"/>
          <w:szCs w:val="24"/>
          <w:lang w:val="ro-MD"/>
        </w:rPr>
        <w:t xml:space="preserve"> mii </w:t>
      </w:r>
      <w:r w:rsidRPr="009772A3">
        <w:rPr>
          <w:rFonts w:asciiTheme="majorHAnsi" w:hAnsiTheme="majorHAnsi" w:cstheme="majorHAnsi"/>
          <w:sz w:val="24"/>
          <w:szCs w:val="24"/>
          <w:lang w:val="ro-MD"/>
        </w:rPr>
        <w:t>lei</w:t>
      </w:r>
      <w:r w:rsidR="001A168E" w:rsidRPr="009772A3">
        <w:rPr>
          <w:rFonts w:asciiTheme="majorHAnsi" w:hAnsiTheme="majorHAnsi" w:cstheme="majorHAnsi"/>
          <w:sz w:val="24"/>
          <w:szCs w:val="24"/>
          <w:lang w:val="ro-MD"/>
        </w:rPr>
        <w:t xml:space="preserve">, la SRL </w:t>
      </w:r>
      <w:r w:rsidRPr="009772A3">
        <w:rPr>
          <w:rFonts w:asciiTheme="majorHAnsi" w:hAnsiTheme="majorHAnsi" w:cstheme="majorHAnsi"/>
          <w:sz w:val="24"/>
          <w:szCs w:val="24"/>
          <w:lang w:val="ro-MD"/>
        </w:rPr>
        <w:t xml:space="preserve">Edineț-gaz </w:t>
      </w:r>
      <w:r w:rsidR="000D145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5F58A1" w:rsidRPr="009772A3">
        <w:rPr>
          <w:rFonts w:asciiTheme="majorHAnsi" w:hAnsiTheme="majorHAnsi" w:cstheme="majorHAnsi"/>
          <w:sz w:val="24"/>
          <w:szCs w:val="24"/>
          <w:lang w:val="ro-MD"/>
        </w:rPr>
        <w:t>5</w:t>
      </w:r>
      <w:r w:rsidR="000D4ABF" w:rsidRPr="009772A3">
        <w:rPr>
          <w:rFonts w:asciiTheme="majorHAnsi" w:hAnsiTheme="majorHAnsi" w:cstheme="majorHAnsi"/>
          <w:sz w:val="24"/>
          <w:szCs w:val="24"/>
          <w:lang w:val="ro-MD"/>
        </w:rPr>
        <w:t>.</w:t>
      </w:r>
      <w:r w:rsidR="005F58A1" w:rsidRPr="009772A3">
        <w:rPr>
          <w:rFonts w:asciiTheme="majorHAnsi" w:hAnsiTheme="majorHAnsi" w:cstheme="majorHAnsi"/>
          <w:sz w:val="24"/>
          <w:szCs w:val="24"/>
          <w:lang w:val="ro-MD"/>
        </w:rPr>
        <w:t>665,5</w:t>
      </w:r>
      <w:r w:rsidRPr="009772A3">
        <w:rPr>
          <w:rFonts w:asciiTheme="majorHAnsi" w:hAnsiTheme="majorHAnsi" w:cstheme="majorHAnsi"/>
          <w:sz w:val="24"/>
          <w:szCs w:val="24"/>
          <w:lang w:val="ro-MD"/>
        </w:rPr>
        <w:t xml:space="preserve"> mi</w:t>
      </w:r>
      <w:r w:rsidR="000D1454"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w:t>
      </w:r>
      <w:r w:rsidR="005F58A1" w:rsidRPr="009772A3">
        <w:rPr>
          <w:rFonts w:asciiTheme="majorHAnsi" w:hAnsiTheme="majorHAnsi" w:cstheme="majorHAnsi"/>
          <w:sz w:val="24"/>
          <w:szCs w:val="24"/>
          <w:lang w:val="ro-MD"/>
        </w:rPr>
        <w:t xml:space="preserve"> (fără TVA)</w:t>
      </w:r>
      <w:r w:rsidRPr="009772A3">
        <w:rPr>
          <w:rFonts w:asciiTheme="majorHAnsi" w:hAnsiTheme="majorHAnsi" w:cstheme="majorHAnsi"/>
          <w:sz w:val="24"/>
          <w:szCs w:val="24"/>
          <w:lang w:val="ro-MD"/>
        </w:rPr>
        <w:t xml:space="preserve">, la SRL Moldovatransgaz </w:t>
      </w:r>
      <w:r w:rsidR="00C1686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5F58A1" w:rsidRPr="009772A3">
        <w:rPr>
          <w:rFonts w:asciiTheme="majorHAnsi" w:hAnsiTheme="majorHAnsi" w:cstheme="majorHAnsi"/>
          <w:sz w:val="24"/>
          <w:szCs w:val="24"/>
          <w:lang w:val="ro-MD"/>
        </w:rPr>
        <w:t>10</w:t>
      </w:r>
      <w:r w:rsidR="00C16865" w:rsidRPr="009772A3">
        <w:rPr>
          <w:rFonts w:asciiTheme="majorHAnsi" w:hAnsiTheme="majorHAnsi" w:cstheme="majorHAnsi"/>
          <w:sz w:val="24"/>
          <w:szCs w:val="24"/>
          <w:lang w:val="ro-MD"/>
        </w:rPr>
        <w:t>.</w:t>
      </w:r>
      <w:r w:rsidR="005F58A1" w:rsidRPr="009772A3">
        <w:rPr>
          <w:rFonts w:asciiTheme="majorHAnsi" w:hAnsiTheme="majorHAnsi" w:cstheme="majorHAnsi"/>
          <w:sz w:val="24"/>
          <w:szCs w:val="24"/>
          <w:lang w:val="ro-MD"/>
        </w:rPr>
        <w:t>266,3</w:t>
      </w:r>
      <w:r w:rsidR="00C16865" w:rsidRPr="009772A3">
        <w:rPr>
          <w:rFonts w:asciiTheme="majorHAnsi" w:hAnsiTheme="majorHAnsi" w:cstheme="majorHAnsi"/>
          <w:sz w:val="24"/>
          <w:szCs w:val="24"/>
          <w:lang w:val="ro-MD"/>
        </w:rPr>
        <w:t xml:space="preserve"> mii </w:t>
      </w:r>
      <w:r w:rsidRPr="009772A3">
        <w:rPr>
          <w:rFonts w:asciiTheme="majorHAnsi" w:hAnsiTheme="majorHAnsi" w:cstheme="majorHAnsi"/>
          <w:sz w:val="24"/>
          <w:szCs w:val="24"/>
          <w:lang w:val="ro-MD"/>
        </w:rPr>
        <w:t xml:space="preserve">lei, </w:t>
      </w:r>
      <w:r w:rsidR="000D4ABF" w:rsidRPr="009772A3">
        <w:rPr>
          <w:rFonts w:asciiTheme="majorHAnsi" w:hAnsiTheme="majorHAnsi" w:cstheme="majorHAnsi"/>
          <w:sz w:val="24"/>
          <w:szCs w:val="24"/>
          <w:lang w:val="ro-MD"/>
        </w:rPr>
        <w:t xml:space="preserve">la </w:t>
      </w:r>
      <w:r w:rsidRPr="009772A3">
        <w:rPr>
          <w:rFonts w:asciiTheme="majorHAnsi" w:hAnsiTheme="majorHAnsi" w:cstheme="majorHAnsi"/>
          <w:sz w:val="24"/>
          <w:szCs w:val="24"/>
          <w:lang w:val="ro-MD"/>
        </w:rPr>
        <w:t xml:space="preserve">SRL Florești-gaz </w:t>
      </w:r>
      <w:r w:rsidR="005C3B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5C3B29" w:rsidRPr="009772A3">
        <w:rPr>
          <w:rFonts w:asciiTheme="majorHAnsi" w:hAnsiTheme="majorHAnsi" w:cstheme="majorHAnsi"/>
          <w:sz w:val="24"/>
          <w:szCs w:val="24"/>
          <w:lang w:val="ro-MD"/>
        </w:rPr>
        <w:t>4.808,2</w:t>
      </w:r>
      <w:r w:rsidRPr="009772A3">
        <w:rPr>
          <w:rFonts w:asciiTheme="majorHAnsi" w:hAnsiTheme="majorHAnsi" w:cstheme="majorHAnsi"/>
          <w:sz w:val="24"/>
          <w:szCs w:val="24"/>
          <w:lang w:val="ro-MD"/>
        </w:rPr>
        <w:t xml:space="preserve"> mi</w:t>
      </w:r>
      <w:r w:rsidR="005C3B29" w:rsidRPr="009772A3">
        <w:rPr>
          <w:rFonts w:asciiTheme="majorHAnsi" w:hAnsiTheme="majorHAnsi" w:cstheme="majorHAnsi"/>
          <w:sz w:val="24"/>
          <w:szCs w:val="24"/>
          <w:lang w:val="ro-MD"/>
        </w:rPr>
        <w:t xml:space="preserve">i </w:t>
      </w:r>
      <w:r w:rsidRPr="009772A3">
        <w:rPr>
          <w:rFonts w:asciiTheme="majorHAnsi" w:hAnsiTheme="majorHAnsi" w:cstheme="majorHAnsi"/>
          <w:sz w:val="24"/>
          <w:szCs w:val="24"/>
          <w:lang w:val="ro-MD"/>
        </w:rPr>
        <w:t>l</w:t>
      </w:r>
      <w:r w:rsidR="001A168E" w:rsidRPr="009772A3">
        <w:rPr>
          <w:rFonts w:asciiTheme="majorHAnsi" w:hAnsiTheme="majorHAnsi" w:cstheme="majorHAnsi"/>
          <w:sz w:val="24"/>
          <w:szCs w:val="24"/>
          <w:lang w:val="ro-MD"/>
        </w:rPr>
        <w:t xml:space="preserve">ei, </w:t>
      </w:r>
      <w:r w:rsidR="00557A6E" w:rsidRPr="009772A3">
        <w:rPr>
          <w:rFonts w:asciiTheme="majorHAnsi" w:hAnsiTheme="majorHAnsi" w:cstheme="majorHAnsi"/>
          <w:sz w:val="24"/>
          <w:szCs w:val="24"/>
          <w:lang w:val="ro-MD"/>
        </w:rPr>
        <w:t xml:space="preserve">și </w:t>
      </w:r>
      <w:r w:rsidR="001A168E" w:rsidRPr="009772A3">
        <w:rPr>
          <w:rFonts w:asciiTheme="majorHAnsi" w:hAnsiTheme="majorHAnsi" w:cstheme="majorHAnsi"/>
          <w:sz w:val="24"/>
          <w:szCs w:val="24"/>
          <w:lang w:val="ro-MD"/>
        </w:rPr>
        <w:t xml:space="preserve">la SRL </w:t>
      </w:r>
      <w:r w:rsidRPr="009772A3">
        <w:rPr>
          <w:rFonts w:asciiTheme="majorHAnsi" w:hAnsiTheme="majorHAnsi" w:cstheme="majorHAnsi"/>
          <w:sz w:val="24"/>
          <w:szCs w:val="24"/>
          <w:lang w:val="ro-MD"/>
        </w:rPr>
        <w:t xml:space="preserve">Bălți-gaz </w:t>
      </w:r>
      <w:r w:rsidR="009C10E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9C10E8" w:rsidRPr="009772A3">
        <w:rPr>
          <w:rFonts w:asciiTheme="majorHAnsi" w:hAnsiTheme="majorHAnsi" w:cstheme="majorHAnsi"/>
          <w:sz w:val="24"/>
          <w:szCs w:val="24"/>
          <w:lang w:val="ro-MD"/>
        </w:rPr>
        <w:t>4.832,1</w:t>
      </w:r>
      <w:r w:rsidRPr="009772A3">
        <w:rPr>
          <w:rFonts w:asciiTheme="majorHAnsi" w:hAnsiTheme="majorHAnsi" w:cstheme="majorHAnsi"/>
          <w:sz w:val="24"/>
          <w:szCs w:val="24"/>
          <w:lang w:val="ro-MD"/>
        </w:rPr>
        <w:t xml:space="preserve"> mi</w:t>
      </w:r>
      <w:r w:rsidR="009C10E8"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w:t>
      </w:r>
    </w:p>
    <w:p w14:paraId="2E9EB2E3" w14:textId="2C54AFA9" w:rsidR="0058236E" w:rsidRPr="009772A3" w:rsidRDefault="0058236E" w:rsidP="0058236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asemenea</w:t>
      </w:r>
      <w:r w:rsidR="00557A6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întreprinderile din grupul SA Moldovagaz au contractat servicii de cleaning în valoare totală de 25.460,1 mii lei</w:t>
      </w:r>
      <w:r w:rsidR="00557A6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fără a purcede la organizarea și desfășurarea unor noi concursuri de selectare. Astfel, procurarea acestor servicii s-a efectuat în cea mai mare parte în baza unor contracte încheiate în anii 2012</w:t>
      </w:r>
      <w:r w:rsidR="00557A6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2013, care au fost prelungite prin acorduri adiționale de mai multe ori.</w:t>
      </w:r>
    </w:p>
    <w:p w14:paraId="4F750AE5" w14:textId="2481E614" w:rsidR="0058236E" w:rsidRPr="009772A3" w:rsidRDefault="00102065" w:rsidP="00F0704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w:t>
      </w:r>
      <w:r w:rsidR="00F07049" w:rsidRPr="009772A3">
        <w:rPr>
          <w:rFonts w:asciiTheme="majorHAnsi" w:hAnsiTheme="majorHAnsi" w:cstheme="majorHAnsi"/>
          <w:sz w:val="24"/>
          <w:szCs w:val="24"/>
          <w:lang w:val="ro-MD"/>
        </w:rPr>
        <w:t>, auditul public extern a relevat organizarea de către SRL Moldovatransgaz a unor proceduri de achiziții prin negocieri directe, cu nerespectarea cadrului legal</w:t>
      </w:r>
      <w:r w:rsidR="00F07049" w:rsidRPr="009772A3">
        <w:rPr>
          <w:rFonts w:asciiTheme="majorHAnsi" w:hAnsiTheme="majorHAnsi" w:cstheme="majorHAnsi"/>
          <w:sz w:val="24"/>
          <w:vertAlign w:val="superscript"/>
          <w:lang w:val="ro-MD"/>
        </w:rPr>
        <w:footnoteReference w:id="93"/>
      </w:r>
      <w:r w:rsidR="00F07049" w:rsidRPr="009772A3">
        <w:rPr>
          <w:rFonts w:asciiTheme="majorHAnsi" w:hAnsiTheme="majorHAnsi" w:cstheme="majorHAnsi"/>
          <w:sz w:val="24"/>
          <w:szCs w:val="24"/>
          <w:lang w:val="ro-MD"/>
        </w:rPr>
        <w:t>, fapt care a generat favorizarea unor operatori economici. Astfel, se menționează achiziționarea prin negocieri directe</w:t>
      </w:r>
      <w:r w:rsidR="00EE2320" w:rsidRPr="009772A3">
        <w:rPr>
          <w:rFonts w:asciiTheme="majorHAnsi" w:hAnsiTheme="majorHAnsi" w:cstheme="majorHAnsi"/>
          <w:sz w:val="24"/>
          <w:szCs w:val="24"/>
          <w:lang w:val="ro-MD"/>
        </w:rPr>
        <w:t xml:space="preserve"> în anul 2020</w:t>
      </w:r>
      <w:r w:rsidR="00F07049" w:rsidRPr="009772A3">
        <w:rPr>
          <w:rFonts w:asciiTheme="majorHAnsi" w:hAnsiTheme="majorHAnsi" w:cstheme="majorHAnsi"/>
          <w:sz w:val="24"/>
          <w:szCs w:val="24"/>
          <w:lang w:val="ro-MD"/>
        </w:rPr>
        <w:t xml:space="preserve"> de la un agent economic a 4 automobile în sumă de </w:t>
      </w:r>
      <w:r w:rsidR="00A34D38" w:rsidRPr="009772A3">
        <w:rPr>
          <w:rFonts w:asciiTheme="majorHAnsi" w:hAnsiTheme="majorHAnsi" w:cstheme="majorHAnsi"/>
          <w:sz w:val="24"/>
          <w:szCs w:val="24"/>
          <w:lang w:val="ro-MD"/>
        </w:rPr>
        <w:t>1.965,1 mii lei (</w:t>
      </w:r>
      <w:r w:rsidR="00F07049" w:rsidRPr="009772A3">
        <w:rPr>
          <w:rFonts w:asciiTheme="majorHAnsi" w:hAnsiTheme="majorHAnsi" w:cstheme="majorHAnsi"/>
          <w:sz w:val="24"/>
          <w:szCs w:val="24"/>
          <w:lang w:val="ro-MD"/>
        </w:rPr>
        <w:t xml:space="preserve">114,6 mii </w:t>
      </w:r>
      <w:r w:rsidR="00A34D38" w:rsidRPr="009772A3">
        <w:rPr>
          <w:rFonts w:asciiTheme="majorHAnsi" w:hAnsiTheme="majorHAnsi" w:cstheme="majorHAnsi"/>
          <w:sz w:val="24"/>
          <w:szCs w:val="24"/>
          <w:lang w:val="ro-MD"/>
        </w:rPr>
        <w:t>dolari SUA)</w:t>
      </w:r>
      <w:r w:rsidR="00F07049" w:rsidRPr="009772A3">
        <w:rPr>
          <w:rFonts w:asciiTheme="majorHAnsi" w:hAnsiTheme="majorHAnsi" w:cstheme="majorHAnsi"/>
          <w:sz w:val="24"/>
          <w:szCs w:val="24"/>
          <w:lang w:val="ro-MD"/>
        </w:rPr>
        <w:t xml:space="preserve">, iar în anul 2021 </w:t>
      </w:r>
      <w:r w:rsidR="00557A6E" w:rsidRPr="009772A3">
        <w:rPr>
          <w:rFonts w:asciiTheme="majorHAnsi" w:hAnsiTheme="majorHAnsi" w:cstheme="majorHAnsi"/>
          <w:sz w:val="24"/>
          <w:szCs w:val="24"/>
          <w:lang w:val="ro-MD"/>
        </w:rPr>
        <w:t xml:space="preserve">– </w:t>
      </w:r>
      <w:r w:rsidR="00F07049" w:rsidRPr="009772A3">
        <w:rPr>
          <w:rFonts w:asciiTheme="majorHAnsi" w:hAnsiTheme="majorHAnsi" w:cstheme="majorHAnsi"/>
          <w:sz w:val="24"/>
          <w:szCs w:val="24"/>
          <w:lang w:val="ro-MD"/>
        </w:rPr>
        <w:t xml:space="preserve">a 3 automobile în sumă de </w:t>
      </w:r>
      <w:r w:rsidR="00A34D38" w:rsidRPr="009772A3">
        <w:rPr>
          <w:rFonts w:asciiTheme="majorHAnsi" w:hAnsiTheme="majorHAnsi" w:cstheme="majorHAnsi"/>
          <w:sz w:val="24"/>
          <w:szCs w:val="24"/>
          <w:lang w:val="ro-MD"/>
        </w:rPr>
        <w:t>2.019,2 mii lei (</w:t>
      </w:r>
      <w:r w:rsidR="00F07049" w:rsidRPr="009772A3">
        <w:rPr>
          <w:rFonts w:asciiTheme="majorHAnsi" w:hAnsiTheme="majorHAnsi" w:cstheme="majorHAnsi"/>
          <w:sz w:val="24"/>
          <w:szCs w:val="24"/>
          <w:lang w:val="ro-MD"/>
        </w:rPr>
        <w:t xml:space="preserve">106,8 mii </w:t>
      </w:r>
      <w:r w:rsidR="00A34D38" w:rsidRPr="009772A3">
        <w:rPr>
          <w:rFonts w:asciiTheme="majorHAnsi" w:hAnsiTheme="majorHAnsi" w:cstheme="majorHAnsi"/>
          <w:sz w:val="24"/>
          <w:szCs w:val="24"/>
          <w:lang w:val="ro-MD"/>
        </w:rPr>
        <w:t>dolari SUA)</w:t>
      </w:r>
      <w:r w:rsidR="00F07049" w:rsidRPr="009772A3">
        <w:rPr>
          <w:rFonts w:asciiTheme="majorHAnsi" w:hAnsiTheme="majorHAnsi" w:cstheme="majorHAnsi"/>
          <w:sz w:val="24"/>
          <w:szCs w:val="24"/>
          <w:lang w:val="ro-MD"/>
        </w:rPr>
        <w:t>. Analogic, în anul 2020 a fost procurat de la un agent economic 8 complexe „Floutec-TM” în sumă de 1</w:t>
      </w:r>
      <w:r w:rsidR="0051459C" w:rsidRPr="009772A3">
        <w:rPr>
          <w:rFonts w:asciiTheme="majorHAnsi" w:hAnsiTheme="majorHAnsi" w:cstheme="majorHAnsi"/>
          <w:sz w:val="24"/>
          <w:szCs w:val="24"/>
          <w:lang w:val="ro-MD"/>
        </w:rPr>
        <w:t>.</w:t>
      </w:r>
      <w:r w:rsidR="00F07049" w:rsidRPr="009772A3">
        <w:rPr>
          <w:rFonts w:asciiTheme="majorHAnsi" w:hAnsiTheme="majorHAnsi" w:cstheme="majorHAnsi"/>
          <w:sz w:val="24"/>
          <w:szCs w:val="24"/>
          <w:lang w:val="ro-MD"/>
        </w:rPr>
        <w:t>1</w:t>
      </w:r>
      <w:r w:rsidR="0051459C" w:rsidRPr="009772A3">
        <w:rPr>
          <w:rFonts w:asciiTheme="majorHAnsi" w:hAnsiTheme="majorHAnsi" w:cstheme="majorHAnsi"/>
          <w:sz w:val="24"/>
          <w:szCs w:val="24"/>
          <w:lang w:val="ro-MD"/>
        </w:rPr>
        <w:t>00,0</w:t>
      </w:r>
      <w:r w:rsidR="00F07049" w:rsidRPr="009772A3">
        <w:rPr>
          <w:rFonts w:asciiTheme="majorHAnsi" w:hAnsiTheme="majorHAnsi" w:cstheme="majorHAnsi"/>
          <w:sz w:val="24"/>
          <w:szCs w:val="24"/>
          <w:lang w:val="ro-MD"/>
        </w:rPr>
        <w:t xml:space="preserve"> mi</w:t>
      </w:r>
      <w:r w:rsidR="0051459C" w:rsidRPr="009772A3">
        <w:rPr>
          <w:rFonts w:asciiTheme="majorHAnsi" w:hAnsiTheme="majorHAnsi" w:cstheme="majorHAnsi"/>
          <w:sz w:val="24"/>
          <w:szCs w:val="24"/>
          <w:lang w:val="ro-MD"/>
        </w:rPr>
        <w:t>i</w:t>
      </w:r>
      <w:r w:rsidR="00F07049" w:rsidRPr="009772A3">
        <w:rPr>
          <w:rFonts w:asciiTheme="majorHAnsi" w:hAnsiTheme="majorHAnsi" w:cstheme="majorHAnsi"/>
          <w:sz w:val="24"/>
          <w:szCs w:val="24"/>
          <w:lang w:val="ro-MD"/>
        </w:rPr>
        <w:t xml:space="preserve"> lei, iar în anul 2021</w:t>
      </w:r>
      <w:r w:rsidR="00557A6E" w:rsidRPr="009772A3">
        <w:rPr>
          <w:rFonts w:asciiTheme="majorHAnsi" w:hAnsiTheme="majorHAnsi" w:cstheme="majorHAnsi"/>
          <w:sz w:val="24"/>
          <w:szCs w:val="24"/>
          <w:lang w:val="ro-MD"/>
        </w:rPr>
        <w:t>,</w:t>
      </w:r>
      <w:r w:rsidR="00F07049" w:rsidRPr="009772A3">
        <w:rPr>
          <w:rFonts w:asciiTheme="majorHAnsi" w:hAnsiTheme="majorHAnsi" w:cstheme="majorHAnsi"/>
          <w:sz w:val="24"/>
          <w:szCs w:val="24"/>
          <w:lang w:val="ro-MD"/>
        </w:rPr>
        <w:t xml:space="preserve"> în baza altui contract</w:t>
      </w:r>
      <w:r w:rsidR="00557A6E" w:rsidRPr="009772A3">
        <w:rPr>
          <w:rFonts w:asciiTheme="majorHAnsi" w:hAnsiTheme="majorHAnsi" w:cstheme="majorHAnsi"/>
          <w:sz w:val="24"/>
          <w:szCs w:val="24"/>
          <w:lang w:val="ro-MD"/>
        </w:rPr>
        <w:t xml:space="preserve"> –</w:t>
      </w:r>
      <w:r w:rsidR="00F07049" w:rsidRPr="009772A3">
        <w:rPr>
          <w:rFonts w:asciiTheme="majorHAnsi" w:hAnsiTheme="majorHAnsi" w:cstheme="majorHAnsi"/>
          <w:sz w:val="24"/>
          <w:szCs w:val="24"/>
          <w:lang w:val="ro-MD"/>
        </w:rPr>
        <w:t xml:space="preserve"> 3 complexe în sumă de 412,5 mii lei.  De asemenea, </w:t>
      </w:r>
      <w:r w:rsidR="00EE2320" w:rsidRPr="009772A3">
        <w:rPr>
          <w:rFonts w:asciiTheme="majorHAnsi" w:hAnsiTheme="majorHAnsi" w:cstheme="majorHAnsi"/>
          <w:sz w:val="24"/>
          <w:szCs w:val="24"/>
          <w:lang w:val="ro-MD"/>
        </w:rPr>
        <w:t>în anul 2021</w:t>
      </w:r>
      <w:r w:rsidR="00557A6E" w:rsidRPr="009772A3">
        <w:rPr>
          <w:rFonts w:asciiTheme="majorHAnsi" w:hAnsiTheme="majorHAnsi" w:cstheme="majorHAnsi"/>
          <w:sz w:val="24"/>
          <w:szCs w:val="24"/>
          <w:lang w:val="ro-MD"/>
        </w:rPr>
        <w:t>,</w:t>
      </w:r>
      <w:r w:rsidR="00EE2320" w:rsidRPr="009772A3">
        <w:rPr>
          <w:rFonts w:asciiTheme="majorHAnsi" w:hAnsiTheme="majorHAnsi" w:cstheme="majorHAnsi"/>
          <w:sz w:val="24"/>
          <w:szCs w:val="24"/>
          <w:lang w:val="ro-MD"/>
        </w:rPr>
        <w:t xml:space="preserve"> </w:t>
      </w:r>
      <w:r w:rsidR="00F07049" w:rsidRPr="009772A3">
        <w:rPr>
          <w:rFonts w:asciiTheme="majorHAnsi" w:hAnsiTheme="majorHAnsi" w:cstheme="majorHAnsi"/>
          <w:sz w:val="24"/>
          <w:szCs w:val="24"/>
          <w:lang w:val="ro-MD"/>
        </w:rPr>
        <w:t>prin ace</w:t>
      </w:r>
      <w:r w:rsidR="00557A6E" w:rsidRPr="009772A3">
        <w:rPr>
          <w:rFonts w:asciiTheme="majorHAnsi" w:hAnsiTheme="majorHAnsi" w:cstheme="majorHAnsi"/>
          <w:sz w:val="24"/>
          <w:szCs w:val="24"/>
          <w:lang w:val="ro-MD"/>
        </w:rPr>
        <w:t>e</w:t>
      </w:r>
      <w:r w:rsidR="00F07049" w:rsidRPr="009772A3">
        <w:rPr>
          <w:rFonts w:asciiTheme="majorHAnsi" w:hAnsiTheme="majorHAnsi" w:cstheme="majorHAnsi"/>
          <w:sz w:val="24"/>
          <w:szCs w:val="24"/>
          <w:lang w:val="ro-MD"/>
        </w:rPr>
        <w:t>ași procedură</w:t>
      </w:r>
      <w:r w:rsidR="00557A6E" w:rsidRPr="009772A3">
        <w:rPr>
          <w:rFonts w:asciiTheme="majorHAnsi" w:hAnsiTheme="majorHAnsi" w:cstheme="majorHAnsi"/>
          <w:sz w:val="24"/>
          <w:szCs w:val="24"/>
          <w:lang w:val="ro-MD"/>
        </w:rPr>
        <w:t>,</w:t>
      </w:r>
      <w:r w:rsidR="00F07049" w:rsidRPr="009772A3">
        <w:rPr>
          <w:rFonts w:asciiTheme="majorHAnsi" w:hAnsiTheme="majorHAnsi" w:cstheme="majorHAnsi"/>
          <w:sz w:val="24"/>
          <w:szCs w:val="24"/>
          <w:lang w:val="ro-MD"/>
        </w:rPr>
        <w:t xml:space="preserve"> a fost achiziționat de la un agent economic un automobil în sumă de </w:t>
      </w:r>
      <w:r w:rsidR="00A34D38" w:rsidRPr="009772A3">
        <w:rPr>
          <w:rFonts w:asciiTheme="majorHAnsi" w:hAnsiTheme="majorHAnsi" w:cstheme="majorHAnsi"/>
          <w:sz w:val="24"/>
          <w:szCs w:val="24"/>
          <w:lang w:val="ro-MD"/>
        </w:rPr>
        <w:t>367,6 mii lei (</w:t>
      </w:r>
      <w:r w:rsidR="00F07049" w:rsidRPr="009772A3">
        <w:rPr>
          <w:rFonts w:asciiTheme="majorHAnsi" w:hAnsiTheme="majorHAnsi" w:cstheme="majorHAnsi"/>
          <w:sz w:val="24"/>
          <w:szCs w:val="24"/>
          <w:lang w:val="ro-MD"/>
        </w:rPr>
        <w:t>17,2 mii euro</w:t>
      </w:r>
      <w:r w:rsidR="00A34D38" w:rsidRPr="009772A3">
        <w:rPr>
          <w:rFonts w:asciiTheme="majorHAnsi" w:hAnsiTheme="majorHAnsi" w:cstheme="majorHAnsi"/>
          <w:sz w:val="24"/>
          <w:szCs w:val="24"/>
          <w:lang w:val="ro-MD"/>
        </w:rPr>
        <w:t>)</w:t>
      </w:r>
      <w:r w:rsidR="00EE2320" w:rsidRPr="009772A3">
        <w:rPr>
          <w:rFonts w:asciiTheme="majorHAnsi" w:hAnsiTheme="majorHAnsi" w:cstheme="majorHAnsi"/>
          <w:sz w:val="24"/>
          <w:szCs w:val="24"/>
          <w:lang w:val="ro-MD"/>
        </w:rPr>
        <w:t>.</w:t>
      </w:r>
    </w:p>
    <w:p w14:paraId="73FD4E5D" w14:textId="723D15C8" w:rsidR="00A401BA" w:rsidRPr="009772A3" w:rsidRDefault="007F5069" w:rsidP="0003314F">
      <w:pPr>
        <w:pStyle w:val="Heading1"/>
        <w:numPr>
          <w:ilvl w:val="3"/>
          <w:numId w:val="2"/>
        </w:numPr>
        <w:tabs>
          <w:tab w:val="left" w:pos="851"/>
        </w:tabs>
        <w:spacing w:line="276" w:lineRule="auto"/>
        <w:ind w:left="0" w:firstLine="0"/>
        <w:jc w:val="both"/>
        <w:rPr>
          <w:i/>
          <w:color w:val="auto"/>
          <w:lang w:val="ro-MD"/>
        </w:rPr>
      </w:pPr>
      <w:bookmarkStart w:id="121" w:name="_Toc118977834"/>
      <w:bookmarkStart w:id="122" w:name="_Toc119245419"/>
      <w:bookmarkStart w:id="123" w:name="_Toc119496420"/>
      <w:bookmarkEnd w:id="121"/>
      <w:bookmarkEnd w:id="122"/>
      <w:r w:rsidRPr="009772A3">
        <w:rPr>
          <w:i/>
          <w:color w:val="auto"/>
          <w:lang w:val="ro-MD"/>
        </w:rPr>
        <w:t>Lipsa informațiilor privind prețurile orientative pentru bunurile aferente activității de transport și distribuție a gazelor naturale produc</w:t>
      </w:r>
      <w:r w:rsidR="00557A6E" w:rsidRPr="009772A3">
        <w:rPr>
          <w:i/>
          <w:color w:val="auto"/>
          <w:lang w:val="ro-MD"/>
        </w:rPr>
        <w:t>e</w:t>
      </w:r>
      <w:r w:rsidRPr="009772A3">
        <w:rPr>
          <w:i/>
          <w:color w:val="auto"/>
          <w:lang w:val="ro-MD"/>
        </w:rPr>
        <w:t xml:space="preserve"> costuri suplimentare.</w:t>
      </w:r>
      <w:bookmarkEnd w:id="123"/>
    </w:p>
    <w:p w14:paraId="38834A76" w14:textId="55385212" w:rsidR="004B074B" w:rsidRPr="009772A3" w:rsidRDefault="004B074B" w:rsidP="004B074B">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Neefectuarea studiilor privind ofertele existente pe piața internă și cea externă în vederea stabilirii unor prețuri orientative pentru bunurile aferente activității de transport și distribuție a gazelor naturale</w:t>
      </w:r>
      <w:r w:rsidR="00557A6E" w:rsidRPr="009772A3">
        <w:rPr>
          <w:rFonts w:asciiTheme="majorHAnsi" w:hAnsiTheme="majorHAnsi" w:cstheme="majorHAnsi"/>
          <w:i/>
          <w:sz w:val="24"/>
          <w:szCs w:val="24"/>
          <w:lang w:val="ro-MD"/>
        </w:rPr>
        <w:t>,</w:t>
      </w:r>
      <w:r w:rsidRPr="009772A3">
        <w:rPr>
          <w:rFonts w:asciiTheme="majorHAnsi" w:hAnsiTheme="majorHAnsi" w:cstheme="majorHAnsi"/>
          <w:i/>
          <w:sz w:val="24"/>
          <w:szCs w:val="24"/>
          <w:lang w:val="ro-MD"/>
        </w:rPr>
        <w:t xml:space="preserve"> a generat efectuarea în perioada 2017-2021 a unor achiziții at</w:t>
      </w:r>
      <w:r w:rsidR="00557A6E" w:rsidRPr="009772A3">
        <w:rPr>
          <w:rFonts w:asciiTheme="majorHAnsi" w:hAnsiTheme="majorHAnsi" w:cstheme="majorHAnsi"/>
          <w:i/>
          <w:sz w:val="24"/>
          <w:szCs w:val="24"/>
          <w:lang w:val="ro-MD"/>
        </w:rPr>
        <w:t>â</w:t>
      </w:r>
      <w:r w:rsidRPr="009772A3">
        <w:rPr>
          <w:rFonts w:asciiTheme="majorHAnsi" w:hAnsiTheme="majorHAnsi" w:cstheme="majorHAnsi"/>
          <w:i/>
          <w:sz w:val="24"/>
          <w:szCs w:val="24"/>
          <w:lang w:val="ro-MD"/>
        </w:rPr>
        <w:t xml:space="preserve">t prin importatori direcți, cât și prin intermediari, valoarea cărora depășește cu </w:t>
      </w:r>
      <w:r w:rsidRPr="009772A3">
        <w:rPr>
          <w:rFonts w:asciiTheme="majorHAnsi" w:hAnsiTheme="majorHAnsi" w:cstheme="majorHAnsi"/>
          <w:b/>
          <w:i/>
          <w:sz w:val="24"/>
          <w:szCs w:val="24"/>
          <w:lang w:val="ro-MD"/>
        </w:rPr>
        <w:t>153.365,8 mii lei</w:t>
      </w:r>
      <w:r w:rsidRPr="009772A3">
        <w:rPr>
          <w:rFonts w:asciiTheme="majorHAnsi" w:hAnsiTheme="majorHAnsi" w:cstheme="majorHAnsi"/>
          <w:i/>
          <w:sz w:val="24"/>
          <w:szCs w:val="24"/>
          <w:lang w:val="ro-MD"/>
        </w:rPr>
        <w:t xml:space="preserve"> valoarea declarată în vamă, fiind aplicate </w:t>
      </w:r>
      <w:r w:rsidRPr="009772A3">
        <w:rPr>
          <w:rFonts w:asciiTheme="majorHAnsi" w:hAnsiTheme="majorHAnsi" w:cstheme="majorHAnsi"/>
          <w:b/>
          <w:i/>
          <w:sz w:val="24"/>
          <w:szCs w:val="24"/>
          <w:lang w:val="ro-MD"/>
        </w:rPr>
        <w:t>adaosuri comerciale</w:t>
      </w:r>
      <w:r w:rsidRPr="009772A3">
        <w:rPr>
          <w:rFonts w:asciiTheme="majorHAnsi" w:hAnsiTheme="majorHAnsi" w:cstheme="majorHAnsi"/>
          <w:i/>
          <w:sz w:val="24"/>
          <w:szCs w:val="24"/>
          <w:lang w:val="ro-MD"/>
        </w:rPr>
        <w:t xml:space="preserve"> de la </w:t>
      </w:r>
      <w:r w:rsidRPr="009772A3">
        <w:rPr>
          <w:rFonts w:asciiTheme="majorHAnsi" w:hAnsiTheme="majorHAnsi" w:cstheme="majorHAnsi"/>
          <w:b/>
          <w:i/>
          <w:sz w:val="24"/>
          <w:szCs w:val="24"/>
          <w:lang w:val="ro-MD"/>
        </w:rPr>
        <w:t>20% p</w:t>
      </w:r>
      <w:r w:rsidR="00557A6E" w:rsidRPr="009772A3">
        <w:rPr>
          <w:rFonts w:asciiTheme="majorHAnsi" w:hAnsiTheme="majorHAnsi" w:cstheme="majorHAnsi"/>
          <w:b/>
          <w:i/>
          <w:sz w:val="24"/>
          <w:szCs w:val="24"/>
          <w:lang w:val="ro-MD"/>
        </w:rPr>
        <w:t>â</w:t>
      </w:r>
      <w:r w:rsidRPr="009772A3">
        <w:rPr>
          <w:rFonts w:asciiTheme="majorHAnsi" w:hAnsiTheme="majorHAnsi" w:cstheme="majorHAnsi"/>
          <w:b/>
          <w:i/>
          <w:sz w:val="24"/>
          <w:szCs w:val="24"/>
          <w:lang w:val="ro-MD"/>
        </w:rPr>
        <w:t>nă la 350%.</w:t>
      </w:r>
    </w:p>
    <w:p w14:paraId="6A6190B3" w14:textId="52F101F5" w:rsidR="004B074B" w:rsidRPr="009772A3" w:rsidRDefault="004B074B" w:rsidP="004B074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Conform pct.36 și pct.37 din Regulamentul privind procedurile de achiziție a bunurilor, lucrărilor și serviciilor, aprobat prin HANRE nr. 24/2017 din 26.01.2017, beneficiarul estimează valoarea contractului de achiziții de bunuri în baza prețurilor orientative stabilite în catalogul prețurilor. Catalogul prețurilor este actualizat anual de către beneficiar </w:t>
      </w:r>
      <w:r w:rsidRPr="009772A3">
        <w:rPr>
          <w:rFonts w:asciiTheme="majorHAnsi" w:hAnsiTheme="majorHAnsi" w:cstheme="majorHAnsi"/>
          <w:b/>
          <w:i/>
          <w:sz w:val="24"/>
          <w:szCs w:val="24"/>
          <w:lang w:val="ro-MD"/>
        </w:rPr>
        <w:t>în baza unui studiu privind ofertele existente pe piața internă și cea externă</w:t>
      </w:r>
      <w:r w:rsidRPr="009772A3">
        <w:rPr>
          <w:rFonts w:asciiTheme="majorHAnsi" w:hAnsiTheme="majorHAnsi" w:cstheme="majorHAnsi"/>
          <w:sz w:val="24"/>
          <w:szCs w:val="24"/>
          <w:lang w:val="ro-MD"/>
        </w:rPr>
        <w:t>. Catalogul include prețurile oferite de producători și reprezentanții oficiali ai acestora pentru bunurile procurate de catre beneficiar în ultimii 3 ani, precum și cele planificate de a fi procurate în anul curent.</w:t>
      </w:r>
    </w:p>
    <w:p w14:paraId="1FCC6E74" w14:textId="3F41A344" w:rsidR="004B074B" w:rsidRPr="009772A3" w:rsidRDefault="004B074B" w:rsidP="004B074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Entitățile</w:t>
      </w:r>
      <w:r w:rsidR="00E242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fiice ale SA Moldovagaz, responsabile de transport</w:t>
      </w:r>
      <w:r w:rsidR="00E24208" w:rsidRPr="009772A3">
        <w:rPr>
          <w:rFonts w:asciiTheme="majorHAnsi" w:hAnsiTheme="majorHAnsi" w:cstheme="majorHAnsi"/>
          <w:sz w:val="24"/>
          <w:szCs w:val="24"/>
          <w:lang w:val="ro-MD"/>
        </w:rPr>
        <w:t>ul</w:t>
      </w:r>
      <w:r w:rsidRPr="009772A3">
        <w:rPr>
          <w:rFonts w:asciiTheme="majorHAnsi" w:hAnsiTheme="majorHAnsi" w:cstheme="majorHAnsi"/>
          <w:sz w:val="24"/>
          <w:szCs w:val="24"/>
          <w:lang w:val="ro-MD"/>
        </w:rPr>
        <w:t xml:space="preserve"> și distribuția gazelor naturale, nu dispun de activități de control privind studierea și monitorizarea pieții comercializării bunurilor necesare pentru realizarea activității de bază. Niciuna din entitățile respective nu a delegat atribuții de serviciu, cu reflectarea în fișa postului ca atribuție de bază</w:t>
      </w:r>
      <w:r w:rsidR="00E242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cel puțin pentru un angajat, a obligațiilor și responsabilităților concrete în acest sens. Prin urmare, conducerea și grupurile de lucru pentru achiziții publice nu dispun de informații actualizate privind situația pe piață internă (ofertele comerciale ale importatorilor, intermediarilor etc.) și </w:t>
      </w:r>
      <w:r w:rsidR="00E24208" w:rsidRPr="009772A3">
        <w:rPr>
          <w:rFonts w:asciiTheme="majorHAnsi" w:hAnsiTheme="majorHAnsi" w:cstheme="majorHAnsi"/>
          <w:sz w:val="24"/>
          <w:szCs w:val="24"/>
          <w:lang w:val="ro-MD"/>
        </w:rPr>
        <w:t xml:space="preserve">cea </w:t>
      </w:r>
      <w:r w:rsidRPr="009772A3">
        <w:rPr>
          <w:rFonts w:asciiTheme="majorHAnsi" w:hAnsiTheme="majorHAnsi" w:cstheme="majorHAnsi"/>
          <w:sz w:val="24"/>
          <w:szCs w:val="24"/>
          <w:lang w:val="ro-MD"/>
        </w:rPr>
        <w:t>externă (prețurile orientative ale producătorilor, dilleri-lor), care le-ar facilita procesul de luare a deciziilor fundamentate din punct</w:t>
      </w:r>
      <w:r w:rsidR="00E24208" w:rsidRPr="009772A3">
        <w:rPr>
          <w:rFonts w:asciiTheme="majorHAnsi" w:hAnsiTheme="majorHAnsi" w:cstheme="majorHAnsi"/>
          <w:sz w:val="24"/>
          <w:szCs w:val="24"/>
          <w:lang w:val="ro-MD"/>
        </w:rPr>
        <w:t>ul</w:t>
      </w:r>
      <w:r w:rsidRPr="009772A3">
        <w:rPr>
          <w:rFonts w:asciiTheme="majorHAnsi" w:hAnsiTheme="majorHAnsi" w:cstheme="majorHAnsi"/>
          <w:sz w:val="24"/>
          <w:szCs w:val="24"/>
          <w:lang w:val="ro-MD"/>
        </w:rPr>
        <w:t xml:space="preserve"> de vedere </w:t>
      </w:r>
      <w:r w:rsidR="00E24208" w:rsidRPr="009772A3">
        <w:rPr>
          <w:rFonts w:asciiTheme="majorHAnsi" w:hAnsiTheme="majorHAnsi" w:cstheme="majorHAnsi"/>
          <w:sz w:val="24"/>
          <w:szCs w:val="24"/>
          <w:lang w:val="ro-MD"/>
        </w:rPr>
        <w:t xml:space="preserve">al </w:t>
      </w:r>
      <w:r w:rsidRPr="009772A3">
        <w:rPr>
          <w:rFonts w:asciiTheme="majorHAnsi" w:hAnsiTheme="majorHAnsi" w:cstheme="majorHAnsi"/>
          <w:sz w:val="24"/>
          <w:szCs w:val="24"/>
          <w:lang w:val="ro-MD"/>
        </w:rPr>
        <w:t>cost/eficienț</w:t>
      </w:r>
      <w:r w:rsidR="00E24208" w:rsidRPr="009772A3">
        <w:rPr>
          <w:rFonts w:asciiTheme="majorHAnsi" w:hAnsiTheme="majorHAnsi" w:cstheme="majorHAnsi"/>
          <w:sz w:val="24"/>
          <w:szCs w:val="24"/>
          <w:lang w:val="ro-MD"/>
        </w:rPr>
        <w:t>ei</w:t>
      </w:r>
      <w:r w:rsidRPr="009772A3">
        <w:rPr>
          <w:rFonts w:asciiTheme="majorHAnsi" w:hAnsiTheme="majorHAnsi" w:cstheme="majorHAnsi"/>
          <w:sz w:val="24"/>
          <w:szCs w:val="24"/>
          <w:lang w:val="ro-MD"/>
        </w:rPr>
        <w:t xml:space="preserve"> racordat</w:t>
      </w:r>
      <w:r w:rsidR="00E24208"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la calitatea necesară. Datele din  Tabelul de mai jos scot în evidență consecințele acestei probleme</w:t>
      </w:r>
      <w:r w:rsidR="00E242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stabilite atât de prezentul audit public extern, cât și de ANRE (153</w:t>
      </w:r>
      <w:r w:rsidR="00E242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387,68 mii lei</w:t>
      </w:r>
      <w:r w:rsidR="00E242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82% - adaosul comercial la valoarea inițială a bunurilor achiziționate, din care cel puțin 32</w:t>
      </w:r>
      <w:r w:rsidR="00E242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931,86 mii lei</w:t>
      </w:r>
      <w:r w:rsidR="00E242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cca 22% sunt cheltuieli ineficiente). </w:t>
      </w:r>
    </w:p>
    <w:p w14:paraId="00B62CF7" w14:textId="06C29D2B" w:rsidR="004B074B" w:rsidRPr="009772A3" w:rsidRDefault="004B074B" w:rsidP="004B074B">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b/>
          <w:sz w:val="24"/>
          <w:szCs w:val="24"/>
          <w:lang w:val="ro-MD"/>
        </w:rPr>
        <w:t>Tabelul nr.</w:t>
      </w:r>
      <w:r w:rsidR="00E24208" w:rsidRPr="009772A3">
        <w:rPr>
          <w:rFonts w:asciiTheme="majorHAnsi" w:hAnsiTheme="majorHAnsi" w:cstheme="majorHAnsi"/>
          <w:b/>
          <w:sz w:val="24"/>
          <w:szCs w:val="24"/>
          <w:lang w:val="ro-MD"/>
        </w:rPr>
        <w:t>4.2.</w:t>
      </w:r>
      <w:r w:rsidR="0003314F">
        <w:rPr>
          <w:rFonts w:asciiTheme="majorHAnsi" w:hAnsiTheme="majorHAnsi" w:cstheme="majorHAnsi"/>
          <w:b/>
          <w:sz w:val="24"/>
          <w:szCs w:val="24"/>
          <w:lang w:val="ro-MD"/>
        </w:rPr>
        <w:t>4.6.1</w:t>
      </w:r>
    </w:p>
    <w:p w14:paraId="67E7A485" w14:textId="18E819AC" w:rsidR="004B074B" w:rsidRPr="009772A3" w:rsidRDefault="004B074B" w:rsidP="004B074B">
      <w:pPr>
        <w:spacing w:after="0" w:line="276" w:lineRule="auto"/>
        <w:jc w:val="center"/>
        <w:rPr>
          <w:rFonts w:asciiTheme="majorHAnsi" w:hAnsiTheme="majorHAnsi" w:cstheme="majorHAnsi"/>
          <w:b/>
          <w:sz w:val="24"/>
          <w:szCs w:val="24"/>
          <w:lang w:val="ro-MD"/>
        </w:rPr>
      </w:pPr>
      <w:r w:rsidRPr="009772A3">
        <w:rPr>
          <w:rFonts w:asciiTheme="majorHAnsi" w:hAnsiTheme="majorHAnsi" w:cstheme="majorHAnsi"/>
          <w:b/>
          <w:sz w:val="24"/>
          <w:szCs w:val="24"/>
          <w:lang w:val="ro-MD"/>
        </w:rPr>
        <w:t>Informați</w:t>
      </w:r>
      <w:r w:rsidR="00E24208" w:rsidRPr="009772A3">
        <w:rPr>
          <w:rFonts w:asciiTheme="majorHAnsi" w:hAnsiTheme="majorHAnsi" w:cstheme="majorHAnsi"/>
          <w:b/>
          <w:sz w:val="24"/>
          <w:szCs w:val="24"/>
          <w:lang w:val="ro-MD"/>
        </w:rPr>
        <w:t>i</w:t>
      </w:r>
      <w:r w:rsidRPr="009772A3">
        <w:rPr>
          <w:rFonts w:asciiTheme="majorHAnsi" w:hAnsiTheme="majorHAnsi" w:cstheme="majorHAnsi"/>
          <w:b/>
          <w:sz w:val="24"/>
          <w:szCs w:val="24"/>
          <w:lang w:val="ro-MD"/>
        </w:rPr>
        <w:t xml:space="preserve"> privind adaosul comercial la bunurile procurate de OST și OSD în perioada 2017-2021</w:t>
      </w:r>
    </w:p>
    <w:tbl>
      <w:tblPr>
        <w:tblStyle w:val="TableGrid"/>
        <w:tblW w:w="9316" w:type="dxa"/>
        <w:tblLook w:val="04A0" w:firstRow="1" w:lastRow="0" w:firstColumn="1" w:lastColumn="0" w:noHBand="0" w:noVBand="1"/>
      </w:tblPr>
      <w:tblGrid>
        <w:gridCol w:w="562"/>
        <w:gridCol w:w="2082"/>
        <w:gridCol w:w="1150"/>
        <w:gridCol w:w="1417"/>
        <w:gridCol w:w="1351"/>
        <w:gridCol w:w="1339"/>
        <w:gridCol w:w="1406"/>
        <w:gridCol w:w="9"/>
      </w:tblGrid>
      <w:tr w:rsidR="004B074B" w:rsidRPr="009772A3" w14:paraId="4CF2DA98" w14:textId="77777777" w:rsidTr="004F4116">
        <w:trPr>
          <w:gridAfter w:val="1"/>
          <w:wAfter w:w="9" w:type="dxa"/>
          <w:trHeight w:val="20"/>
        </w:trPr>
        <w:tc>
          <w:tcPr>
            <w:tcW w:w="562" w:type="dxa"/>
          </w:tcPr>
          <w:p w14:paraId="3C9F6346" w14:textId="43CEA8F6" w:rsidR="004B074B" w:rsidRPr="009772A3" w:rsidRDefault="004B074B" w:rsidP="00E24208">
            <w:pPr>
              <w:jc w:val="center"/>
              <w:rPr>
                <w:rFonts w:eastAsia="Times New Roman" w:cstheme="minorHAnsi"/>
                <w:b/>
                <w:sz w:val="16"/>
                <w:szCs w:val="16"/>
                <w:lang w:val="ro-MD"/>
              </w:rPr>
            </w:pPr>
            <w:r w:rsidRPr="009772A3">
              <w:rPr>
                <w:rFonts w:eastAsia="Times New Roman" w:cstheme="minorHAnsi"/>
                <w:b/>
                <w:sz w:val="16"/>
                <w:szCs w:val="16"/>
                <w:lang w:val="ro-MD"/>
              </w:rPr>
              <w:t xml:space="preserve">Nr. </w:t>
            </w:r>
            <w:r w:rsidR="00E24208" w:rsidRPr="009772A3">
              <w:rPr>
                <w:rFonts w:eastAsia="Times New Roman" w:cstheme="minorHAnsi"/>
                <w:b/>
                <w:sz w:val="16"/>
                <w:szCs w:val="16"/>
                <w:lang w:val="ro-MD"/>
              </w:rPr>
              <w:t>o</w:t>
            </w:r>
            <w:r w:rsidRPr="009772A3">
              <w:rPr>
                <w:rFonts w:eastAsia="Times New Roman" w:cstheme="minorHAnsi"/>
                <w:b/>
                <w:sz w:val="16"/>
                <w:szCs w:val="16"/>
                <w:lang w:val="ro-MD"/>
              </w:rPr>
              <w:t>r</w:t>
            </w:r>
            <w:r w:rsidR="00E24208" w:rsidRPr="009772A3">
              <w:rPr>
                <w:rFonts w:eastAsia="Times New Roman" w:cstheme="minorHAnsi"/>
                <w:b/>
                <w:sz w:val="16"/>
                <w:szCs w:val="16"/>
                <w:lang w:val="ro-MD"/>
              </w:rPr>
              <w:t>d</w:t>
            </w:r>
            <w:r w:rsidRPr="009772A3">
              <w:rPr>
                <w:rFonts w:eastAsia="Times New Roman" w:cstheme="minorHAnsi"/>
                <w:b/>
                <w:sz w:val="16"/>
                <w:szCs w:val="16"/>
                <w:lang w:val="ro-MD"/>
              </w:rPr>
              <w:t>.</w:t>
            </w:r>
          </w:p>
        </w:tc>
        <w:tc>
          <w:tcPr>
            <w:tcW w:w="2082" w:type="dxa"/>
          </w:tcPr>
          <w:p w14:paraId="49B05B62"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Tipul bunurilor</w:t>
            </w:r>
          </w:p>
        </w:tc>
        <w:tc>
          <w:tcPr>
            <w:tcW w:w="1150" w:type="dxa"/>
          </w:tcPr>
          <w:p w14:paraId="0DAE881C"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 xml:space="preserve">Valoarea </w:t>
            </w:r>
          </w:p>
          <w:p w14:paraId="7BA854EA"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bunurilor importate/</w:t>
            </w:r>
          </w:p>
          <w:p w14:paraId="03CE7E70"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 xml:space="preserve">procurate, </w:t>
            </w:r>
          </w:p>
          <w:p w14:paraId="23D531AE" w14:textId="02FD186C" w:rsidR="004B074B" w:rsidRPr="009772A3" w:rsidRDefault="004B074B" w:rsidP="00E24208">
            <w:pPr>
              <w:jc w:val="center"/>
              <w:rPr>
                <w:rFonts w:eastAsia="Times New Roman" w:cstheme="minorHAnsi"/>
                <w:b/>
                <w:sz w:val="16"/>
                <w:szCs w:val="16"/>
                <w:lang w:val="ro-MD"/>
              </w:rPr>
            </w:pPr>
            <w:r w:rsidRPr="009772A3">
              <w:rPr>
                <w:rFonts w:eastAsia="Times New Roman" w:cstheme="minorHAnsi"/>
                <w:b/>
                <w:sz w:val="16"/>
                <w:szCs w:val="16"/>
                <w:lang w:val="ro-MD"/>
              </w:rPr>
              <w:t>mii lei</w:t>
            </w:r>
          </w:p>
        </w:tc>
        <w:tc>
          <w:tcPr>
            <w:tcW w:w="1417" w:type="dxa"/>
          </w:tcPr>
          <w:p w14:paraId="44DFB362"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 xml:space="preserve">Valoarea de livrare a bunurilor către OST și OSD, </w:t>
            </w:r>
          </w:p>
          <w:p w14:paraId="54F181E7" w14:textId="5BA492A4" w:rsidR="004B074B" w:rsidRPr="009772A3" w:rsidRDefault="004B074B" w:rsidP="00E24208">
            <w:pPr>
              <w:jc w:val="center"/>
              <w:rPr>
                <w:rFonts w:eastAsia="Times New Roman" w:cstheme="minorHAnsi"/>
                <w:b/>
                <w:sz w:val="16"/>
                <w:szCs w:val="16"/>
                <w:lang w:val="ro-MD"/>
              </w:rPr>
            </w:pPr>
            <w:r w:rsidRPr="009772A3">
              <w:rPr>
                <w:rFonts w:eastAsia="Times New Roman" w:cstheme="minorHAnsi"/>
                <w:b/>
                <w:sz w:val="16"/>
                <w:szCs w:val="16"/>
                <w:lang w:val="ro-MD"/>
              </w:rPr>
              <w:t>mii lei</w:t>
            </w:r>
          </w:p>
        </w:tc>
        <w:tc>
          <w:tcPr>
            <w:tcW w:w="1351" w:type="dxa"/>
          </w:tcPr>
          <w:p w14:paraId="501169D0"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Diferența,</w:t>
            </w:r>
          </w:p>
          <w:p w14:paraId="471523CF" w14:textId="539A8534"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(adaosul comercial)</w:t>
            </w:r>
            <w:r w:rsidR="00E24208" w:rsidRPr="009772A3">
              <w:rPr>
                <w:rFonts w:eastAsia="Times New Roman" w:cstheme="minorHAnsi"/>
                <w:b/>
                <w:sz w:val="16"/>
                <w:szCs w:val="16"/>
                <w:lang w:val="ro-MD"/>
              </w:rPr>
              <w:t>,</w:t>
            </w:r>
          </w:p>
          <w:p w14:paraId="110B8E79" w14:textId="76B76AC4" w:rsidR="004B074B" w:rsidRPr="009772A3" w:rsidRDefault="004B074B" w:rsidP="00E24208">
            <w:pPr>
              <w:jc w:val="center"/>
              <w:rPr>
                <w:rFonts w:eastAsia="Times New Roman" w:cstheme="minorHAnsi"/>
                <w:b/>
                <w:sz w:val="16"/>
                <w:szCs w:val="16"/>
                <w:lang w:val="ro-MD"/>
              </w:rPr>
            </w:pPr>
            <w:r w:rsidRPr="009772A3">
              <w:rPr>
                <w:rFonts w:eastAsia="Times New Roman" w:cstheme="minorHAnsi"/>
                <w:b/>
                <w:sz w:val="16"/>
                <w:szCs w:val="16"/>
                <w:lang w:val="ro-MD"/>
              </w:rPr>
              <w:t>mii lei</w:t>
            </w:r>
          </w:p>
        </w:tc>
        <w:tc>
          <w:tcPr>
            <w:tcW w:w="1339" w:type="dxa"/>
          </w:tcPr>
          <w:p w14:paraId="03657C5F" w14:textId="7587CDFF"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Cota adaosului comercial, %</w:t>
            </w:r>
          </w:p>
        </w:tc>
        <w:tc>
          <w:tcPr>
            <w:tcW w:w="1406" w:type="dxa"/>
          </w:tcPr>
          <w:p w14:paraId="6760F5C4" w14:textId="75F6A5F2"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Valoarea adaosului comercial ce depășește 50%</w:t>
            </w:r>
            <w:r w:rsidR="00E24208" w:rsidRPr="009772A3">
              <w:rPr>
                <w:rFonts w:eastAsia="Times New Roman" w:cstheme="minorHAnsi"/>
                <w:b/>
                <w:sz w:val="16"/>
                <w:szCs w:val="16"/>
                <w:lang w:val="ro-MD"/>
              </w:rPr>
              <w:t>,</w:t>
            </w:r>
          </w:p>
          <w:p w14:paraId="0DC15552" w14:textId="1C739E10" w:rsidR="004B074B" w:rsidRPr="009772A3" w:rsidRDefault="004B074B" w:rsidP="00E24208">
            <w:pPr>
              <w:jc w:val="center"/>
              <w:rPr>
                <w:rFonts w:eastAsia="Times New Roman" w:cstheme="minorHAnsi"/>
                <w:b/>
                <w:sz w:val="16"/>
                <w:szCs w:val="16"/>
                <w:lang w:val="ro-MD"/>
              </w:rPr>
            </w:pPr>
            <w:r w:rsidRPr="009772A3">
              <w:rPr>
                <w:rFonts w:eastAsia="Times New Roman" w:cstheme="minorHAnsi"/>
                <w:b/>
                <w:sz w:val="16"/>
                <w:szCs w:val="16"/>
                <w:lang w:val="ro-MD"/>
              </w:rPr>
              <w:t>mii lei</w:t>
            </w:r>
          </w:p>
        </w:tc>
      </w:tr>
      <w:tr w:rsidR="004B074B" w:rsidRPr="009772A3" w14:paraId="162DF119" w14:textId="77777777" w:rsidTr="004F4116">
        <w:trPr>
          <w:gridAfter w:val="1"/>
          <w:wAfter w:w="9" w:type="dxa"/>
          <w:trHeight w:val="20"/>
        </w:trPr>
        <w:tc>
          <w:tcPr>
            <w:tcW w:w="562" w:type="dxa"/>
          </w:tcPr>
          <w:p w14:paraId="1BB8CEB7"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1</w:t>
            </w:r>
          </w:p>
        </w:tc>
        <w:tc>
          <w:tcPr>
            <w:tcW w:w="2082" w:type="dxa"/>
          </w:tcPr>
          <w:p w14:paraId="1BDEFFA0"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2</w:t>
            </w:r>
          </w:p>
        </w:tc>
        <w:tc>
          <w:tcPr>
            <w:tcW w:w="1150" w:type="dxa"/>
          </w:tcPr>
          <w:p w14:paraId="550158FE"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3</w:t>
            </w:r>
          </w:p>
        </w:tc>
        <w:tc>
          <w:tcPr>
            <w:tcW w:w="1417" w:type="dxa"/>
          </w:tcPr>
          <w:p w14:paraId="2FBFE722"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4</w:t>
            </w:r>
          </w:p>
        </w:tc>
        <w:tc>
          <w:tcPr>
            <w:tcW w:w="1351" w:type="dxa"/>
          </w:tcPr>
          <w:p w14:paraId="7012DB8A"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5=4-3</w:t>
            </w:r>
          </w:p>
        </w:tc>
        <w:tc>
          <w:tcPr>
            <w:tcW w:w="1339" w:type="dxa"/>
          </w:tcPr>
          <w:p w14:paraId="1E7D3552"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6=5/3x100</w:t>
            </w:r>
          </w:p>
        </w:tc>
        <w:tc>
          <w:tcPr>
            <w:tcW w:w="1406" w:type="dxa"/>
          </w:tcPr>
          <w:p w14:paraId="44734BC0"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7=3x50%-5</w:t>
            </w:r>
          </w:p>
        </w:tc>
      </w:tr>
      <w:tr w:rsidR="004B074B" w:rsidRPr="009772A3" w14:paraId="08C6F76E" w14:textId="77777777" w:rsidTr="004F4116">
        <w:trPr>
          <w:trHeight w:val="20"/>
        </w:trPr>
        <w:tc>
          <w:tcPr>
            <w:tcW w:w="9316" w:type="dxa"/>
            <w:gridSpan w:val="8"/>
          </w:tcPr>
          <w:p w14:paraId="7B871895"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b/>
                <w:sz w:val="16"/>
                <w:szCs w:val="16"/>
                <w:lang w:val="ro-MD"/>
              </w:rPr>
              <w:t>SRL „Chișinău-gaz</w:t>
            </w:r>
            <w:r w:rsidRPr="009772A3">
              <w:rPr>
                <w:rFonts w:eastAsia="Times New Roman" w:cstheme="minorHAnsi"/>
                <w:sz w:val="16"/>
                <w:szCs w:val="16"/>
                <w:lang w:val="ro-MD"/>
              </w:rPr>
              <w:t>”</w:t>
            </w:r>
          </w:p>
        </w:tc>
      </w:tr>
      <w:tr w:rsidR="004B074B" w:rsidRPr="009772A3" w14:paraId="6CEFCC49" w14:textId="77777777" w:rsidTr="004F4116">
        <w:trPr>
          <w:gridAfter w:val="1"/>
          <w:wAfter w:w="9" w:type="dxa"/>
          <w:trHeight w:val="20"/>
        </w:trPr>
        <w:tc>
          <w:tcPr>
            <w:tcW w:w="562" w:type="dxa"/>
          </w:tcPr>
          <w:p w14:paraId="540EEEA2"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sz w:val="16"/>
                <w:szCs w:val="16"/>
                <w:lang w:val="ro-MD"/>
              </w:rPr>
              <w:t>1.</w:t>
            </w:r>
          </w:p>
        </w:tc>
        <w:tc>
          <w:tcPr>
            <w:tcW w:w="2082" w:type="dxa"/>
          </w:tcPr>
          <w:p w14:paraId="5BE5951E" w14:textId="77777777" w:rsidR="004B074B" w:rsidRPr="009772A3" w:rsidRDefault="004B074B" w:rsidP="004B074B">
            <w:pPr>
              <w:rPr>
                <w:rFonts w:eastAsia="Times New Roman" w:cstheme="minorHAnsi"/>
                <w:sz w:val="16"/>
                <w:szCs w:val="16"/>
                <w:lang w:val="ro-MD"/>
              </w:rPr>
            </w:pPr>
            <w:r w:rsidRPr="009772A3">
              <w:rPr>
                <w:rFonts w:eastAsia="Times New Roman" w:cstheme="minorHAnsi"/>
                <w:sz w:val="16"/>
                <w:szCs w:val="16"/>
                <w:lang w:val="ro-MD"/>
              </w:rPr>
              <w:t>Contoare de tip G 4</w:t>
            </w:r>
          </w:p>
        </w:tc>
        <w:tc>
          <w:tcPr>
            <w:tcW w:w="1150" w:type="dxa"/>
          </w:tcPr>
          <w:p w14:paraId="119678B1"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60130,74</w:t>
            </w:r>
          </w:p>
        </w:tc>
        <w:tc>
          <w:tcPr>
            <w:tcW w:w="1417" w:type="dxa"/>
          </w:tcPr>
          <w:p w14:paraId="54A0DB24"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95357,14</w:t>
            </w:r>
          </w:p>
        </w:tc>
        <w:tc>
          <w:tcPr>
            <w:tcW w:w="1351" w:type="dxa"/>
          </w:tcPr>
          <w:p w14:paraId="3A03E0CD" w14:textId="35C1EFD0"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35226,4</w:t>
            </w:r>
            <w:r w:rsidR="0003314F">
              <w:rPr>
                <w:rFonts w:eastAsia="Times New Roman" w:cstheme="minorHAnsi"/>
                <w:sz w:val="16"/>
                <w:szCs w:val="16"/>
                <w:lang w:val="ro-MD"/>
              </w:rPr>
              <w:t>0</w:t>
            </w:r>
          </w:p>
        </w:tc>
        <w:tc>
          <w:tcPr>
            <w:tcW w:w="1339" w:type="dxa"/>
          </w:tcPr>
          <w:p w14:paraId="41D3E174" w14:textId="06DC272A"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58,6</w:t>
            </w:r>
            <w:r w:rsidR="006A3A09" w:rsidRPr="009772A3">
              <w:rPr>
                <w:rFonts w:eastAsia="Times New Roman" w:cstheme="minorHAnsi"/>
                <w:sz w:val="16"/>
                <w:szCs w:val="16"/>
                <w:lang w:val="ro-MD"/>
              </w:rPr>
              <w:t>0</w:t>
            </w:r>
          </w:p>
        </w:tc>
        <w:tc>
          <w:tcPr>
            <w:tcW w:w="1406" w:type="dxa"/>
          </w:tcPr>
          <w:p w14:paraId="787CF5D4"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5161,03</w:t>
            </w:r>
          </w:p>
        </w:tc>
      </w:tr>
      <w:tr w:rsidR="004B074B" w:rsidRPr="009772A3" w14:paraId="2207236C" w14:textId="77777777" w:rsidTr="004F4116">
        <w:trPr>
          <w:gridAfter w:val="1"/>
          <w:wAfter w:w="9" w:type="dxa"/>
          <w:trHeight w:val="20"/>
        </w:trPr>
        <w:tc>
          <w:tcPr>
            <w:tcW w:w="562" w:type="dxa"/>
          </w:tcPr>
          <w:p w14:paraId="467CF98A"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sz w:val="16"/>
                <w:szCs w:val="16"/>
                <w:lang w:val="ro-MD"/>
              </w:rPr>
              <w:t>2.</w:t>
            </w:r>
          </w:p>
        </w:tc>
        <w:tc>
          <w:tcPr>
            <w:tcW w:w="2082" w:type="dxa"/>
          </w:tcPr>
          <w:p w14:paraId="437E0810" w14:textId="77777777" w:rsidR="004B074B" w:rsidRPr="009772A3" w:rsidRDefault="004B074B" w:rsidP="004B074B">
            <w:pPr>
              <w:rPr>
                <w:rFonts w:eastAsia="Times New Roman" w:cstheme="minorHAnsi"/>
                <w:sz w:val="16"/>
                <w:szCs w:val="16"/>
                <w:lang w:val="ro-MD"/>
              </w:rPr>
            </w:pPr>
            <w:r w:rsidRPr="009772A3">
              <w:rPr>
                <w:rFonts w:eastAsia="Times New Roman" w:cstheme="minorHAnsi"/>
                <w:sz w:val="16"/>
                <w:szCs w:val="16"/>
                <w:lang w:val="ro-MD"/>
              </w:rPr>
              <w:t>Contoare de tip G 6</w:t>
            </w:r>
          </w:p>
        </w:tc>
        <w:tc>
          <w:tcPr>
            <w:tcW w:w="1150" w:type="dxa"/>
          </w:tcPr>
          <w:p w14:paraId="55081AFD"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1394,38</w:t>
            </w:r>
          </w:p>
        </w:tc>
        <w:tc>
          <w:tcPr>
            <w:tcW w:w="1417" w:type="dxa"/>
          </w:tcPr>
          <w:p w14:paraId="33003932"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2289,77</w:t>
            </w:r>
          </w:p>
        </w:tc>
        <w:tc>
          <w:tcPr>
            <w:tcW w:w="1351" w:type="dxa"/>
          </w:tcPr>
          <w:p w14:paraId="2A9F1279"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895,39</w:t>
            </w:r>
          </w:p>
        </w:tc>
        <w:tc>
          <w:tcPr>
            <w:tcW w:w="1339" w:type="dxa"/>
          </w:tcPr>
          <w:p w14:paraId="33948798"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64,21</w:t>
            </w:r>
          </w:p>
        </w:tc>
        <w:tc>
          <w:tcPr>
            <w:tcW w:w="1406" w:type="dxa"/>
          </w:tcPr>
          <w:p w14:paraId="6422B1AD" w14:textId="2E290E92"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198,2</w:t>
            </w:r>
            <w:r w:rsidR="006A3A09" w:rsidRPr="009772A3">
              <w:rPr>
                <w:rFonts w:eastAsia="Times New Roman" w:cstheme="minorHAnsi"/>
                <w:sz w:val="16"/>
                <w:szCs w:val="16"/>
                <w:lang w:val="ro-MD"/>
              </w:rPr>
              <w:t>0</w:t>
            </w:r>
          </w:p>
        </w:tc>
      </w:tr>
      <w:tr w:rsidR="004B074B" w:rsidRPr="009772A3" w14:paraId="717F27A7" w14:textId="77777777" w:rsidTr="004F4116">
        <w:trPr>
          <w:gridAfter w:val="1"/>
          <w:wAfter w:w="9" w:type="dxa"/>
          <w:trHeight w:val="20"/>
        </w:trPr>
        <w:tc>
          <w:tcPr>
            <w:tcW w:w="562" w:type="dxa"/>
          </w:tcPr>
          <w:p w14:paraId="06E6BD74"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sz w:val="16"/>
                <w:szCs w:val="16"/>
                <w:lang w:val="ro-MD"/>
              </w:rPr>
              <w:t>3.</w:t>
            </w:r>
          </w:p>
        </w:tc>
        <w:tc>
          <w:tcPr>
            <w:tcW w:w="2082" w:type="dxa"/>
          </w:tcPr>
          <w:p w14:paraId="5CFECF19" w14:textId="77777777" w:rsidR="004B074B" w:rsidRPr="009772A3" w:rsidRDefault="004B074B" w:rsidP="004B074B">
            <w:pPr>
              <w:ind w:right="-102"/>
              <w:rPr>
                <w:rFonts w:eastAsia="Times New Roman" w:cstheme="minorHAnsi"/>
                <w:sz w:val="16"/>
                <w:szCs w:val="16"/>
                <w:lang w:val="ro-MD"/>
              </w:rPr>
            </w:pPr>
            <w:r w:rsidRPr="009772A3">
              <w:rPr>
                <w:rFonts w:eastAsia="Times New Roman" w:cstheme="minorHAnsi"/>
                <w:sz w:val="16"/>
                <w:szCs w:val="16"/>
                <w:lang w:val="ro-MD"/>
              </w:rPr>
              <w:t>Radiomodule BT 100</w:t>
            </w:r>
          </w:p>
        </w:tc>
        <w:tc>
          <w:tcPr>
            <w:tcW w:w="1150" w:type="dxa"/>
          </w:tcPr>
          <w:p w14:paraId="365BE89F"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6358,12</w:t>
            </w:r>
          </w:p>
        </w:tc>
        <w:tc>
          <w:tcPr>
            <w:tcW w:w="1417" w:type="dxa"/>
          </w:tcPr>
          <w:p w14:paraId="7EF7DCDF"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19866,46</w:t>
            </w:r>
          </w:p>
        </w:tc>
        <w:tc>
          <w:tcPr>
            <w:tcW w:w="1351" w:type="dxa"/>
          </w:tcPr>
          <w:p w14:paraId="05E1514C"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13508,34</w:t>
            </w:r>
          </w:p>
        </w:tc>
        <w:tc>
          <w:tcPr>
            <w:tcW w:w="1339" w:type="dxa"/>
          </w:tcPr>
          <w:p w14:paraId="2FF894DF"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212,45</w:t>
            </w:r>
          </w:p>
        </w:tc>
        <w:tc>
          <w:tcPr>
            <w:tcW w:w="1406" w:type="dxa"/>
          </w:tcPr>
          <w:p w14:paraId="6E73F4B1"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10329,28</w:t>
            </w:r>
          </w:p>
        </w:tc>
      </w:tr>
      <w:tr w:rsidR="004B074B" w:rsidRPr="009772A3" w14:paraId="2C60F898" w14:textId="77777777" w:rsidTr="004F4116">
        <w:trPr>
          <w:gridAfter w:val="1"/>
          <w:wAfter w:w="9" w:type="dxa"/>
          <w:trHeight w:val="20"/>
        </w:trPr>
        <w:tc>
          <w:tcPr>
            <w:tcW w:w="562" w:type="dxa"/>
          </w:tcPr>
          <w:p w14:paraId="36212D86"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sz w:val="16"/>
                <w:szCs w:val="16"/>
                <w:lang w:val="ro-MD"/>
              </w:rPr>
              <w:t>4.</w:t>
            </w:r>
          </w:p>
        </w:tc>
        <w:tc>
          <w:tcPr>
            <w:tcW w:w="2082" w:type="dxa"/>
          </w:tcPr>
          <w:p w14:paraId="31DC5143" w14:textId="06B8F362" w:rsidR="004B074B" w:rsidRPr="009772A3" w:rsidRDefault="004B074B" w:rsidP="004B074B">
            <w:pPr>
              <w:rPr>
                <w:rFonts w:eastAsia="Times New Roman" w:cstheme="minorHAnsi"/>
                <w:sz w:val="16"/>
                <w:szCs w:val="16"/>
                <w:lang w:val="ro-MD"/>
              </w:rPr>
            </w:pPr>
            <w:r w:rsidRPr="009772A3">
              <w:rPr>
                <w:rFonts w:eastAsia="Times New Roman" w:cstheme="minorHAnsi"/>
                <w:sz w:val="16"/>
                <w:szCs w:val="16"/>
                <w:lang w:val="ro-MD"/>
              </w:rPr>
              <w:t>Țevi de poli</w:t>
            </w:r>
            <w:r w:rsidR="00BD68B4" w:rsidRPr="009772A3">
              <w:rPr>
                <w:rFonts w:eastAsia="Times New Roman" w:cstheme="minorHAnsi"/>
                <w:sz w:val="16"/>
                <w:szCs w:val="16"/>
                <w:lang w:val="ro-MD"/>
              </w:rPr>
              <w:t>e</w:t>
            </w:r>
            <w:r w:rsidRPr="009772A3">
              <w:rPr>
                <w:rFonts w:eastAsia="Times New Roman" w:cstheme="minorHAnsi"/>
                <w:sz w:val="16"/>
                <w:szCs w:val="16"/>
                <w:lang w:val="ro-MD"/>
              </w:rPr>
              <w:t>tilenă</w:t>
            </w:r>
          </w:p>
        </w:tc>
        <w:tc>
          <w:tcPr>
            <w:tcW w:w="1150" w:type="dxa"/>
          </w:tcPr>
          <w:p w14:paraId="6C263A2C"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7912,03</w:t>
            </w:r>
          </w:p>
        </w:tc>
        <w:tc>
          <w:tcPr>
            <w:tcW w:w="1417" w:type="dxa"/>
          </w:tcPr>
          <w:p w14:paraId="1192AB17"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15225,98</w:t>
            </w:r>
          </w:p>
        </w:tc>
        <w:tc>
          <w:tcPr>
            <w:tcW w:w="1351" w:type="dxa"/>
          </w:tcPr>
          <w:p w14:paraId="42BA43A2"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7313,95</w:t>
            </w:r>
          </w:p>
        </w:tc>
        <w:tc>
          <w:tcPr>
            <w:tcW w:w="1339" w:type="dxa"/>
          </w:tcPr>
          <w:p w14:paraId="7EC1731E"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92,44</w:t>
            </w:r>
          </w:p>
        </w:tc>
        <w:tc>
          <w:tcPr>
            <w:tcW w:w="1406" w:type="dxa"/>
          </w:tcPr>
          <w:p w14:paraId="5E6A3ADC" w14:textId="39300252" w:rsidR="004B074B" w:rsidRPr="009772A3" w:rsidRDefault="004B074B" w:rsidP="00657775">
            <w:pPr>
              <w:jc w:val="right"/>
              <w:rPr>
                <w:rFonts w:eastAsia="Times New Roman" w:cstheme="minorHAnsi"/>
                <w:sz w:val="16"/>
                <w:szCs w:val="16"/>
                <w:lang w:val="ro-MD"/>
              </w:rPr>
            </w:pPr>
            <w:r w:rsidRPr="009772A3">
              <w:rPr>
                <w:rFonts w:eastAsia="Times New Roman" w:cstheme="minorHAnsi"/>
                <w:sz w:val="16"/>
                <w:szCs w:val="16"/>
                <w:lang w:val="ro-MD"/>
              </w:rPr>
              <w:t>3357,9</w:t>
            </w:r>
            <w:r w:rsidR="006A3A09" w:rsidRPr="009772A3">
              <w:rPr>
                <w:rFonts w:eastAsia="Times New Roman" w:cstheme="minorHAnsi"/>
                <w:sz w:val="16"/>
                <w:szCs w:val="16"/>
                <w:lang w:val="ro-MD"/>
              </w:rPr>
              <w:t>4</w:t>
            </w:r>
          </w:p>
        </w:tc>
      </w:tr>
      <w:tr w:rsidR="004B074B" w:rsidRPr="009772A3" w14:paraId="03B1D207" w14:textId="77777777" w:rsidTr="004F4116">
        <w:trPr>
          <w:gridAfter w:val="1"/>
          <w:wAfter w:w="9" w:type="dxa"/>
          <w:trHeight w:val="20"/>
        </w:trPr>
        <w:tc>
          <w:tcPr>
            <w:tcW w:w="2644" w:type="dxa"/>
            <w:gridSpan w:val="2"/>
          </w:tcPr>
          <w:p w14:paraId="1F2D9D90" w14:textId="77777777" w:rsidR="004B074B" w:rsidRPr="009772A3" w:rsidRDefault="004B074B" w:rsidP="004B074B">
            <w:pPr>
              <w:rPr>
                <w:rFonts w:eastAsia="Times New Roman" w:cstheme="minorHAnsi"/>
                <w:b/>
                <w:sz w:val="16"/>
                <w:szCs w:val="16"/>
                <w:lang w:val="ro-MD"/>
              </w:rPr>
            </w:pPr>
            <w:r w:rsidRPr="009772A3">
              <w:rPr>
                <w:rFonts w:eastAsia="Times New Roman" w:cstheme="minorHAnsi"/>
                <w:b/>
                <w:sz w:val="16"/>
                <w:szCs w:val="16"/>
                <w:lang w:val="ro-MD"/>
              </w:rPr>
              <w:t>Total stabilit de audit:</w:t>
            </w:r>
          </w:p>
        </w:tc>
        <w:tc>
          <w:tcPr>
            <w:tcW w:w="1150" w:type="dxa"/>
          </w:tcPr>
          <w:p w14:paraId="34025596"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75795,27</w:t>
            </w:r>
          </w:p>
        </w:tc>
        <w:tc>
          <w:tcPr>
            <w:tcW w:w="1417" w:type="dxa"/>
          </w:tcPr>
          <w:p w14:paraId="589A1EC7"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132739,35</w:t>
            </w:r>
          </w:p>
        </w:tc>
        <w:tc>
          <w:tcPr>
            <w:tcW w:w="1351" w:type="dxa"/>
          </w:tcPr>
          <w:p w14:paraId="2B9B967B"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56944,08</w:t>
            </w:r>
          </w:p>
        </w:tc>
        <w:tc>
          <w:tcPr>
            <w:tcW w:w="1339" w:type="dxa"/>
          </w:tcPr>
          <w:p w14:paraId="0AE8AC87"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x</w:t>
            </w:r>
          </w:p>
        </w:tc>
        <w:tc>
          <w:tcPr>
            <w:tcW w:w="1406" w:type="dxa"/>
          </w:tcPr>
          <w:p w14:paraId="1B2F613B" w14:textId="4EDE9EB7" w:rsidR="004B074B" w:rsidRPr="009772A3" w:rsidRDefault="004B074B" w:rsidP="00657775">
            <w:pPr>
              <w:jc w:val="right"/>
              <w:rPr>
                <w:rFonts w:eastAsia="Times New Roman" w:cstheme="minorHAnsi"/>
                <w:b/>
                <w:sz w:val="16"/>
                <w:szCs w:val="16"/>
                <w:lang w:val="ro-MD"/>
              </w:rPr>
            </w:pPr>
            <w:r w:rsidRPr="009772A3">
              <w:rPr>
                <w:rFonts w:eastAsia="Times New Roman" w:cstheme="minorHAnsi"/>
                <w:b/>
                <w:sz w:val="16"/>
                <w:szCs w:val="16"/>
                <w:lang w:val="ro-MD"/>
              </w:rPr>
              <w:t>19046,45</w:t>
            </w:r>
          </w:p>
        </w:tc>
      </w:tr>
      <w:tr w:rsidR="004B074B" w:rsidRPr="009772A3" w14:paraId="3FCAAE8F" w14:textId="77777777" w:rsidTr="004F4116">
        <w:trPr>
          <w:gridAfter w:val="1"/>
          <w:wAfter w:w="9" w:type="dxa"/>
          <w:trHeight w:val="20"/>
        </w:trPr>
        <w:tc>
          <w:tcPr>
            <w:tcW w:w="562" w:type="dxa"/>
            <w:vMerge w:val="restart"/>
          </w:tcPr>
          <w:p w14:paraId="57D315DB"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sz w:val="16"/>
                <w:szCs w:val="16"/>
                <w:lang w:val="ro-MD"/>
              </w:rPr>
              <w:t>5.</w:t>
            </w:r>
          </w:p>
        </w:tc>
        <w:tc>
          <w:tcPr>
            <w:tcW w:w="2082" w:type="dxa"/>
            <w:vMerge w:val="restart"/>
          </w:tcPr>
          <w:p w14:paraId="57FA5F0E" w14:textId="77777777" w:rsidR="004B074B" w:rsidRPr="009772A3" w:rsidRDefault="004B074B" w:rsidP="004B074B">
            <w:pPr>
              <w:rPr>
                <w:rFonts w:eastAsia="Times New Roman" w:cstheme="minorHAnsi"/>
                <w:sz w:val="16"/>
                <w:szCs w:val="16"/>
                <w:lang w:val="ro-MD"/>
              </w:rPr>
            </w:pPr>
            <w:r w:rsidRPr="009772A3">
              <w:rPr>
                <w:rFonts w:eastAsia="Times New Roman" w:cstheme="minorHAnsi"/>
                <w:sz w:val="16"/>
                <w:szCs w:val="16"/>
                <w:lang w:val="ro-MD"/>
              </w:rPr>
              <w:t xml:space="preserve">HANRE nr. 445/2020 din 25.11.2020 </w:t>
            </w:r>
          </w:p>
        </w:tc>
        <w:tc>
          <w:tcPr>
            <w:tcW w:w="1150" w:type="dxa"/>
            <w:tcBorders>
              <w:bottom w:val="single" w:sz="12" w:space="0" w:color="2E74B5" w:themeColor="accent1" w:themeShade="BF"/>
            </w:tcBorders>
          </w:tcPr>
          <w:p w14:paraId="3B1D7686" w14:textId="70541352"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40108,9</w:t>
            </w:r>
            <w:r w:rsidR="0003314F">
              <w:rPr>
                <w:rFonts w:eastAsia="Times New Roman" w:cstheme="minorHAnsi"/>
                <w:sz w:val="16"/>
                <w:szCs w:val="16"/>
                <w:lang w:val="ro-MD"/>
              </w:rPr>
              <w:t>0</w:t>
            </w:r>
          </w:p>
        </w:tc>
        <w:tc>
          <w:tcPr>
            <w:tcW w:w="1417" w:type="dxa"/>
            <w:tcBorders>
              <w:bottom w:val="single" w:sz="12" w:space="0" w:color="2E74B5" w:themeColor="accent1" w:themeShade="BF"/>
            </w:tcBorders>
          </w:tcPr>
          <w:p w14:paraId="7458D5BB" w14:textId="791BA31F"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79430,6</w:t>
            </w:r>
            <w:r w:rsidR="0003314F">
              <w:rPr>
                <w:rFonts w:eastAsia="Times New Roman" w:cstheme="minorHAnsi"/>
                <w:sz w:val="16"/>
                <w:szCs w:val="16"/>
                <w:lang w:val="ro-MD"/>
              </w:rPr>
              <w:t>0</w:t>
            </w:r>
          </w:p>
        </w:tc>
        <w:tc>
          <w:tcPr>
            <w:tcW w:w="1351" w:type="dxa"/>
            <w:tcBorders>
              <w:bottom w:val="single" w:sz="12" w:space="0" w:color="2E74B5" w:themeColor="accent1" w:themeShade="BF"/>
            </w:tcBorders>
          </w:tcPr>
          <w:p w14:paraId="0F0C6C16" w14:textId="186908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39321,7</w:t>
            </w:r>
            <w:r w:rsidR="0003314F">
              <w:rPr>
                <w:rFonts w:eastAsia="Times New Roman" w:cstheme="minorHAnsi"/>
                <w:sz w:val="16"/>
                <w:szCs w:val="16"/>
                <w:lang w:val="ro-MD"/>
              </w:rPr>
              <w:t>0</w:t>
            </w:r>
          </w:p>
        </w:tc>
        <w:tc>
          <w:tcPr>
            <w:tcW w:w="1339" w:type="dxa"/>
            <w:tcBorders>
              <w:bottom w:val="single" w:sz="12" w:space="0" w:color="2E74B5" w:themeColor="accent1" w:themeShade="BF"/>
            </w:tcBorders>
          </w:tcPr>
          <w:p w14:paraId="6A9B32ED" w14:textId="6877649D"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49,5</w:t>
            </w:r>
            <w:r w:rsidR="006A3A09" w:rsidRPr="009772A3">
              <w:rPr>
                <w:rFonts w:eastAsia="Times New Roman" w:cstheme="minorHAnsi"/>
                <w:sz w:val="16"/>
                <w:szCs w:val="16"/>
                <w:lang w:val="ro-MD"/>
              </w:rPr>
              <w:t>0</w:t>
            </w:r>
          </w:p>
        </w:tc>
        <w:tc>
          <w:tcPr>
            <w:tcW w:w="1406" w:type="dxa"/>
            <w:tcBorders>
              <w:bottom w:val="single" w:sz="12" w:space="0" w:color="2E74B5" w:themeColor="accent1" w:themeShade="BF"/>
            </w:tcBorders>
          </w:tcPr>
          <w:p w14:paraId="5EFD8B02"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0</w:t>
            </w:r>
          </w:p>
        </w:tc>
      </w:tr>
      <w:tr w:rsidR="004B074B" w:rsidRPr="009772A3" w14:paraId="6B67C55B" w14:textId="77777777" w:rsidTr="004F4116">
        <w:trPr>
          <w:trHeight w:val="20"/>
        </w:trPr>
        <w:tc>
          <w:tcPr>
            <w:tcW w:w="562" w:type="dxa"/>
            <w:vMerge/>
          </w:tcPr>
          <w:p w14:paraId="5D976DD4" w14:textId="77777777" w:rsidR="004B074B" w:rsidRPr="009772A3" w:rsidRDefault="004B074B" w:rsidP="004B074B">
            <w:pPr>
              <w:jc w:val="center"/>
              <w:rPr>
                <w:rFonts w:eastAsia="Times New Roman" w:cstheme="minorHAnsi"/>
                <w:sz w:val="16"/>
                <w:szCs w:val="16"/>
                <w:lang w:val="ro-MD"/>
              </w:rPr>
            </w:pPr>
          </w:p>
        </w:tc>
        <w:tc>
          <w:tcPr>
            <w:tcW w:w="2082" w:type="dxa"/>
            <w:vMerge/>
          </w:tcPr>
          <w:p w14:paraId="155D3B9B" w14:textId="77777777" w:rsidR="004B074B" w:rsidRPr="009772A3" w:rsidRDefault="004B074B" w:rsidP="004B074B">
            <w:pPr>
              <w:rPr>
                <w:rFonts w:eastAsia="Times New Roman" w:cstheme="minorHAnsi"/>
                <w:sz w:val="16"/>
                <w:szCs w:val="16"/>
                <w:lang w:val="ro-MD"/>
              </w:rPr>
            </w:pPr>
          </w:p>
        </w:tc>
        <w:tc>
          <w:tcPr>
            <w:tcW w:w="6672" w:type="dxa"/>
            <w:gridSpan w:val="6"/>
            <w:tcBorders>
              <w:top w:val="single" w:sz="12" w:space="0" w:color="2E74B5" w:themeColor="accent1" w:themeShade="BF"/>
            </w:tcBorders>
          </w:tcPr>
          <w:p w14:paraId="34C457C4"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b/>
                <w:sz w:val="16"/>
                <w:szCs w:val="16"/>
                <w:lang w:val="ro-MD"/>
              </w:rPr>
              <w:t>SRL „Chișinău-gaz</w:t>
            </w:r>
            <w:r w:rsidRPr="009772A3">
              <w:rPr>
                <w:rFonts w:eastAsia="Times New Roman" w:cstheme="minorHAnsi"/>
                <w:sz w:val="16"/>
                <w:szCs w:val="16"/>
                <w:lang w:val="ro-MD"/>
              </w:rPr>
              <w:t>”</w:t>
            </w:r>
          </w:p>
        </w:tc>
      </w:tr>
      <w:tr w:rsidR="004B074B" w:rsidRPr="009772A3" w14:paraId="711CF746" w14:textId="77777777" w:rsidTr="004F4116">
        <w:trPr>
          <w:gridAfter w:val="1"/>
          <w:wAfter w:w="9" w:type="dxa"/>
          <w:trHeight w:val="20"/>
        </w:trPr>
        <w:tc>
          <w:tcPr>
            <w:tcW w:w="562" w:type="dxa"/>
            <w:vMerge w:val="restart"/>
          </w:tcPr>
          <w:p w14:paraId="070B1505" w14:textId="77777777" w:rsidR="004B074B" w:rsidRPr="009772A3" w:rsidRDefault="004B074B" w:rsidP="004B074B">
            <w:pPr>
              <w:jc w:val="center"/>
              <w:rPr>
                <w:rFonts w:eastAsia="Times New Roman" w:cstheme="minorHAnsi"/>
                <w:sz w:val="16"/>
                <w:szCs w:val="16"/>
                <w:lang w:val="ro-MD"/>
              </w:rPr>
            </w:pPr>
            <w:r w:rsidRPr="009772A3">
              <w:rPr>
                <w:rFonts w:eastAsia="Times New Roman" w:cstheme="minorHAnsi"/>
                <w:sz w:val="16"/>
                <w:szCs w:val="16"/>
                <w:lang w:val="ro-MD"/>
              </w:rPr>
              <w:t>6.</w:t>
            </w:r>
          </w:p>
        </w:tc>
        <w:tc>
          <w:tcPr>
            <w:tcW w:w="2082" w:type="dxa"/>
            <w:vMerge w:val="restart"/>
          </w:tcPr>
          <w:p w14:paraId="4F321617" w14:textId="77777777" w:rsidR="004B074B" w:rsidRPr="009772A3" w:rsidRDefault="004B074B" w:rsidP="004B074B">
            <w:pPr>
              <w:rPr>
                <w:rFonts w:eastAsia="Times New Roman" w:cstheme="minorHAnsi"/>
                <w:sz w:val="16"/>
                <w:szCs w:val="16"/>
                <w:lang w:val="ro-MD"/>
              </w:rPr>
            </w:pPr>
            <w:r w:rsidRPr="009772A3">
              <w:rPr>
                <w:rFonts w:eastAsia="Times New Roman" w:cstheme="minorHAnsi"/>
                <w:sz w:val="16"/>
                <w:szCs w:val="16"/>
                <w:lang w:val="ro-MD"/>
              </w:rPr>
              <w:t>HANRE  nr.149/2021 din 06.04.2021</w:t>
            </w:r>
          </w:p>
        </w:tc>
        <w:tc>
          <w:tcPr>
            <w:tcW w:w="1150" w:type="dxa"/>
            <w:tcBorders>
              <w:bottom w:val="single" w:sz="12" w:space="0" w:color="2E74B5" w:themeColor="accent1" w:themeShade="BF"/>
            </w:tcBorders>
          </w:tcPr>
          <w:p w14:paraId="4F864FD0" w14:textId="69A69589"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70586,6</w:t>
            </w:r>
            <w:r w:rsidR="0003314F">
              <w:rPr>
                <w:rFonts w:eastAsia="Times New Roman" w:cstheme="minorHAnsi"/>
                <w:sz w:val="16"/>
                <w:szCs w:val="16"/>
                <w:lang w:val="ro-MD"/>
              </w:rPr>
              <w:t>0</w:t>
            </w:r>
          </w:p>
        </w:tc>
        <w:tc>
          <w:tcPr>
            <w:tcW w:w="1417" w:type="dxa"/>
            <w:tcBorders>
              <w:bottom w:val="single" w:sz="12" w:space="0" w:color="2E74B5" w:themeColor="accent1" w:themeShade="BF"/>
            </w:tcBorders>
          </w:tcPr>
          <w:p w14:paraId="6EB0C822" w14:textId="520792D2"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127708,5</w:t>
            </w:r>
            <w:r w:rsidR="0003314F">
              <w:rPr>
                <w:rFonts w:eastAsia="Times New Roman" w:cstheme="minorHAnsi"/>
                <w:sz w:val="16"/>
                <w:szCs w:val="16"/>
                <w:lang w:val="ro-MD"/>
              </w:rPr>
              <w:t>0</w:t>
            </w:r>
          </w:p>
        </w:tc>
        <w:tc>
          <w:tcPr>
            <w:tcW w:w="1351" w:type="dxa"/>
            <w:tcBorders>
              <w:bottom w:val="single" w:sz="12" w:space="0" w:color="2E74B5" w:themeColor="accent1" w:themeShade="BF"/>
            </w:tcBorders>
          </w:tcPr>
          <w:p w14:paraId="0EFABDEF" w14:textId="6BBFF1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57121,9</w:t>
            </w:r>
            <w:r w:rsidR="0003314F">
              <w:rPr>
                <w:rFonts w:eastAsia="Times New Roman" w:cstheme="minorHAnsi"/>
                <w:sz w:val="16"/>
                <w:szCs w:val="16"/>
                <w:lang w:val="ro-MD"/>
              </w:rPr>
              <w:t>0</w:t>
            </w:r>
          </w:p>
        </w:tc>
        <w:tc>
          <w:tcPr>
            <w:tcW w:w="1339" w:type="dxa"/>
            <w:tcBorders>
              <w:bottom w:val="single" w:sz="12" w:space="0" w:color="2E74B5" w:themeColor="accent1" w:themeShade="BF"/>
            </w:tcBorders>
          </w:tcPr>
          <w:p w14:paraId="44553DC9" w14:textId="77777777" w:rsidR="004B074B" w:rsidRPr="009772A3" w:rsidRDefault="004B074B" w:rsidP="004B074B">
            <w:pPr>
              <w:jc w:val="right"/>
              <w:rPr>
                <w:rFonts w:eastAsia="Times New Roman" w:cstheme="minorHAnsi"/>
                <w:sz w:val="16"/>
                <w:szCs w:val="16"/>
                <w:lang w:val="ro-MD"/>
              </w:rPr>
            </w:pPr>
            <w:r w:rsidRPr="009772A3">
              <w:rPr>
                <w:rFonts w:eastAsia="Times New Roman" w:cstheme="minorHAnsi"/>
                <w:sz w:val="16"/>
                <w:szCs w:val="16"/>
                <w:lang w:val="ro-MD"/>
              </w:rPr>
              <w:t>80,92</w:t>
            </w:r>
          </w:p>
        </w:tc>
        <w:tc>
          <w:tcPr>
            <w:tcW w:w="1406" w:type="dxa"/>
            <w:tcBorders>
              <w:bottom w:val="single" w:sz="12" w:space="0" w:color="2E74B5" w:themeColor="accent1" w:themeShade="BF"/>
            </w:tcBorders>
          </w:tcPr>
          <w:p w14:paraId="15301832" w14:textId="3DFDD461" w:rsidR="004B074B" w:rsidRPr="009772A3" w:rsidRDefault="004B074B" w:rsidP="00657775">
            <w:pPr>
              <w:jc w:val="right"/>
              <w:rPr>
                <w:rFonts w:eastAsia="Times New Roman" w:cstheme="minorHAnsi"/>
                <w:sz w:val="16"/>
                <w:szCs w:val="16"/>
                <w:lang w:val="ro-MD"/>
              </w:rPr>
            </w:pPr>
            <w:r w:rsidRPr="009772A3">
              <w:rPr>
                <w:rFonts w:eastAsia="Times New Roman" w:cstheme="minorHAnsi"/>
                <w:sz w:val="16"/>
                <w:szCs w:val="16"/>
                <w:lang w:val="ro-MD"/>
              </w:rPr>
              <w:t>13885,4</w:t>
            </w:r>
            <w:r w:rsidR="006A3A09" w:rsidRPr="009772A3">
              <w:rPr>
                <w:rFonts w:eastAsia="Times New Roman" w:cstheme="minorHAnsi"/>
                <w:sz w:val="16"/>
                <w:szCs w:val="16"/>
                <w:lang w:val="ro-MD"/>
              </w:rPr>
              <w:t>2</w:t>
            </w:r>
          </w:p>
        </w:tc>
      </w:tr>
      <w:tr w:rsidR="004B074B" w:rsidRPr="009772A3" w14:paraId="37CC069E" w14:textId="77777777" w:rsidTr="004F4116">
        <w:trPr>
          <w:trHeight w:val="20"/>
        </w:trPr>
        <w:tc>
          <w:tcPr>
            <w:tcW w:w="562" w:type="dxa"/>
            <w:vMerge/>
          </w:tcPr>
          <w:p w14:paraId="7F4732B6" w14:textId="77777777" w:rsidR="004B074B" w:rsidRPr="009772A3" w:rsidRDefault="004B074B" w:rsidP="004B074B">
            <w:pPr>
              <w:jc w:val="center"/>
              <w:rPr>
                <w:rFonts w:eastAsia="Times New Roman" w:cstheme="minorHAnsi"/>
                <w:sz w:val="16"/>
                <w:szCs w:val="16"/>
                <w:lang w:val="ro-MD"/>
              </w:rPr>
            </w:pPr>
          </w:p>
        </w:tc>
        <w:tc>
          <w:tcPr>
            <w:tcW w:w="2082" w:type="dxa"/>
            <w:vMerge/>
          </w:tcPr>
          <w:p w14:paraId="69715ABD" w14:textId="77777777" w:rsidR="004B074B" w:rsidRPr="009772A3" w:rsidRDefault="004B074B" w:rsidP="004B074B">
            <w:pPr>
              <w:rPr>
                <w:rFonts w:eastAsia="Times New Roman" w:cstheme="minorHAnsi"/>
                <w:sz w:val="16"/>
                <w:szCs w:val="16"/>
                <w:lang w:val="ro-MD"/>
              </w:rPr>
            </w:pPr>
          </w:p>
        </w:tc>
        <w:tc>
          <w:tcPr>
            <w:tcW w:w="6672" w:type="dxa"/>
            <w:gridSpan w:val="6"/>
            <w:tcBorders>
              <w:top w:val="single" w:sz="12" w:space="0" w:color="2E74B5" w:themeColor="accent1" w:themeShade="BF"/>
            </w:tcBorders>
          </w:tcPr>
          <w:p w14:paraId="3CB2F0C8" w14:textId="77777777" w:rsidR="004B074B" w:rsidRPr="009772A3" w:rsidRDefault="004B074B" w:rsidP="004B074B">
            <w:pPr>
              <w:jc w:val="center"/>
              <w:rPr>
                <w:rFonts w:eastAsia="Times New Roman" w:cstheme="minorHAnsi"/>
                <w:b/>
                <w:sz w:val="16"/>
                <w:szCs w:val="16"/>
                <w:lang w:val="ro-MD"/>
              </w:rPr>
            </w:pPr>
            <w:r w:rsidRPr="009772A3">
              <w:rPr>
                <w:rFonts w:asciiTheme="majorHAnsi" w:hAnsiTheme="majorHAnsi" w:cstheme="majorHAnsi"/>
                <w:b/>
                <w:sz w:val="16"/>
                <w:szCs w:val="16"/>
                <w:lang w:val="ro-MD"/>
              </w:rPr>
              <w:t>SRL ,,Moldovatransgaz”</w:t>
            </w:r>
          </w:p>
        </w:tc>
      </w:tr>
      <w:tr w:rsidR="004B074B" w:rsidRPr="009772A3" w14:paraId="194FB999" w14:textId="77777777" w:rsidTr="004F4116">
        <w:trPr>
          <w:gridAfter w:val="1"/>
          <w:wAfter w:w="9" w:type="dxa"/>
          <w:trHeight w:val="20"/>
        </w:trPr>
        <w:tc>
          <w:tcPr>
            <w:tcW w:w="2644" w:type="dxa"/>
            <w:gridSpan w:val="2"/>
          </w:tcPr>
          <w:p w14:paraId="2926ACB3" w14:textId="77777777" w:rsidR="004B074B" w:rsidRPr="009772A3" w:rsidRDefault="004B074B" w:rsidP="004B074B">
            <w:pPr>
              <w:rPr>
                <w:rFonts w:eastAsia="Times New Roman" w:cstheme="minorHAnsi"/>
                <w:b/>
                <w:sz w:val="16"/>
                <w:szCs w:val="16"/>
                <w:lang w:val="ro-MD"/>
              </w:rPr>
            </w:pPr>
            <w:r w:rsidRPr="009772A3">
              <w:rPr>
                <w:rFonts w:eastAsia="Times New Roman" w:cstheme="minorHAnsi"/>
                <w:b/>
                <w:sz w:val="16"/>
                <w:szCs w:val="16"/>
                <w:lang w:val="ro-MD"/>
              </w:rPr>
              <w:t> Total stabilit de ANRE:</w:t>
            </w:r>
          </w:p>
        </w:tc>
        <w:tc>
          <w:tcPr>
            <w:tcW w:w="1150" w:type="dxa"/>
          </w:tcPr>
          <w:p w14:paraId="4BBC0593" w14:textId="30C142F5"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110695,5</w:t>
            </w:r>
            <w:r w:rsidR="0003314F">
              <w:rPr>
                <w:rFonts w:eastAsia="Times New Roman" w:cstheme="minorHAnsi"/>
                <w:b/>
                <w:sz w:val="16"/>
                <w:szCs w:val="16"/>
                <w:lang w:val="ro-MD"/>
              </w:rPr>
              <w:t>0</w:t>
            </w:r>
          </w:p>
        </w:tc>
        <w:tc>
          <w:tcPr>
            <w:tcW w:w="1417" w:type="dxa"/>
          </w:tcPr>
          <w:p w14:paraId="072EBB3D" w14:textId="224A183E"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207139,1</w:t>
            </w:r>
            <w:r w:rsidR="0003314F">
              <w:rPr>
                <w:rFonts w:eastAsia="Times New Roman" w:cstheme="minorHAnsi"/>
                <w:b/>
                <w:sz w:val="16"/>
                <w:szCs w:val="16"/>
                <w:lang w:val="ro-MD"/>
              </w:rPr>
              <w:t>0</w:t>
            </w:r>
          </w:p>
        </w:tc>
        <w:tc>
          <w:tcPr>
            <w:tcW w:w="1351" w:type="dxa"/>
          </w:tcPr>
          <w:p w14:paraId="26D1B6AE" w14:textId="1C521E31"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96443,6</w:t>
            </w:r>
            <w:r w:rsidR="0003314F">
              <w:rPr>
                <w:rFonts w:eastAsia="Times New Roman" w:cstheme="minorHAnsi"/>
                <w:b/>
                <w:sz w:val="16"/>
                <w:szCs w:val="16"/>
                <w:lang w:val="ro-MD"/>
              </w:rPr>
              <w:t>0</w:t>
            </w:r>
          </w:p>
        </w:tc>
        <w:tc>
          <w:tcPr>
            <w:tcW w:w="1339" w:type="dxa"/>
          </w:tcPr>
          <w:p w14:paraId="5659E86F"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x</w:t>
            </w:r>
          </w:p>
        </w:tc>
        <w:tc>
          <w:tcPr>
            <w:tcW w:w="1406" w:type="dxa"/>
          </w:tcPr>
          <w:p w14:paraId="5236BF24" w14:textId="0A3A30D6" w:rsidR="004B074B" w:rsidRPr="009772A3" w:rsidRDefault="004B074B" w:rsidP="00657775">
            <w:pPr>
              <w:jc w:val="right"/>
              <w:rPr>
                <w:rFonts w:eastAsia="Times New Roman" w:cstheme="minorHAnsi"/>
                <w:b/>
                <w:sz w:val="16"/>
                <w:szCs w:val="16"/>
                <w:lang w:val="ro-MD"/>
              </w:rPr>
            </w:pPr>
            <w:r w:rsidRPr="009772A3">
              <w:rPr>
                <w:rFonts w:eastAsia="Times New Roman" w:cstheme="minorHAnsi"/>
                <w:b/>
                <w:sz w:val="16"/>
                <w:szCs w:val="16"/>
                <w:lang w:val="ro-MD"/>
              </w:rPr>
              <w:t>13885,4</w:t>
            </w:r>
            <w:r w:rsidR="006A3A09" w:rsidRPr="009772A3">
              <w:rPr>
                <w:rFonts w:eastAsia="Times New Roman" w:cstheme="minorHAnsi"/>
                <w:b/>
                <w:sz w:val="16"/>
                <w:szCs w:val="16"/>
                <w:lang w:val="ro-MD"/>
              </w:rPr>
              <w:t>2</w:t>
            </w:r>
          </w:p>
        </w:tc>
      </w:tr>
      <w:tr w:rsidR="004B074B" w:rsidRPr="009772A3" w14:paraId="40496E62" w14:textId="77777777" w:rsidTr="004F4116">
        <w:trPr>
          <w:gridAfter w:val="1"/>
          <w:wAfter w:w="9" w:type="dxa"/>
          <w:trHeight w:val="20"/>
        </w:trPr>
        <w:tc>
          <w:tcPr>
            <w:tcW w:w="2644" w:type="dxa"/>
            <w:gridSpan w:val="2"/>
          </w:tcPr>
          <w:p w14:paraId="228FDD2E" w14:textId="77777777" w:rsidR="004B074B" w:rsidRPr="009772A3" w:rsidRDefault="004B074B" w:rsidP="004B074B">
            <w:pPr>
              <w:rPr>
                <w:rFonts w:eastAsia="Times New Roman" w:cstheme="minorHAnsi"/>
                <w:b/>
                <w:sz w:val="16"/>
                <w:szCs w:val="16"/>
                <w:lang w:val="ro-MD"/>
              </w:rPr>
            </w:pPr>
            <w:r w:rsidRPr="009772A3">
              <w:rPr>
                <w:rFonts w:eastAsia="Times New Roman" w:cstheme="minorHAnsi"/>
                <w:b/>
                <w:sz w:val="16"/>
                <w:szCs w:val="16"/>
                <w:lang w:val="ro-MD"/>
              </w:rPr>
              <w:t> Total general:</w:t>
            </w:r>
          </w:p>
        </w:tc>
        <w:tc>
          <w:tcPr>
            <w:tcW w:w="1150" w:type="dxa"/>
          </w:tcPr>
          <w:p w14:paraId="0424E2D7"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186490,77</w:t>
            </w:r>
          </w:p>
        </w:tc>
        <w:tc>
          <w:tcPr>
            <w:tcW w:w="1417" w:type="dxa"/>
          </w:tcPr>
          <w:p w14:paraId="161EFD44"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339878,45</w:t>
            </w:r>
          </w:p>
        </w:tc>
        <w:tc>
          <w:tcPr>
            <w:tcW w:w="1351" w:type="dxa"/>
          </w:tcPr>
          <w:p w14:paraId="3DE6E528"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153387,68</w:t>
            </w:r>
          </w:p>
        </w:tc>
        <w:tc>
          <w:tcPr>
            <w:tcW w:w="1339" w:type="dxa"/>
          </w:tcPr>
          <w:p w14:paraId="5DF205FF" w14:textId="77777777" w:rsidR="004B074B" w:rsidRPr="009772A3" w:rsidRDefault="004B074B" w:rsidP="004B074B">
            <w:pPr>
              <w:jc w:val="center"/>
              <w:rPr>
                <w:rFonts w:eastAsia="Times New Roman" w:cstheme="minorHAnsi"/>
                <w:b/>
                <w:sz w:val="16"/>
                <w:szCs w:val="16"/>
                <w:lang w:val="ro-MD"/>
              </w:rPr>
            </w:pPr>
            <w:r w:rsidRPr="009772A3">
              <w:rPr>
                <w:rFonts w:eastAsia="Times New Roman" w:cstheme="minorHAnsi"/>
                <w:b/>
                <w:sz w:val="16"/>
                <w:szCs w:val="16"/>
                <w:lang w:val="ro-MD"/>
              </w:rPr>
              <w:t>x</w:t>
            </w:r>
          </w:p>
        </w:tc>
        <w:tc>
          <w:tcPr>
            <w:tcW w:w="1406" w:type="dxa"/>
          </w:tcPr>
          <w:p w14:paraId="28DCF901" w14:textId="77777777" w:rsidR="004B074B" w:rsidRPr="009772A3" w:rsidRDefault="004B074B" w:rsidP="004B074B">
            <w:pPr>
              <w:jc w:val="right"/>
              <w:rPr>
                <w:rFonts w:eastAsia="Times New Roman" w:cstheme="minorHAnsi"/>
                <w:b/>
                <w:sz w:val="16"/>
                <w:szCs w:val="16"/>
                <w:lang w:val="ro-MD"/>
              </w:rPr>
            </w:pPr>
            <w:r w:rsidRPr="009772A3">
              <w:rPr>
                <w:rFonts w:eastAsia="Times New Roman" w:cstheme="minorHAnsi"/>
                <w:b/>
                <w:sz w:val="16"/>
                <w:szCs w:val="16"/>
                <w:lang w:val="ro-MD"/>
              </w:rPr>
              <w:t>32931,86</w:t>
            </w:r>
          </w:p>
        </w:tc>
      </w:tr>
    </w:tbl>
    <w:p w14:paraId="5C1C8954" w14:textId="1A8391CC" w:rsidR="004B074B" w:rsidRPr="009772A3" w:rsidRDefault="004B074B" w:rsidP="004B074B">
      <w:pPr>
        <w:spacing w:after="0" w:line="276" w:lineRule="auto"/>
        <w:ind w:firstLine="709"/>
        <w:jc w:val="both"/>
        <w:rPr>
          <w:rFonts w:asciiTheme="majorHAnsi" w:hAnsiTheme="majorHAnsi" w:cstheme="majorHAnsi"/>
          <w:sz w:val="18"/>
          <w:szCs w:val="18"/>
          <w:lang w:val="ro-MD"/>
        </w:rPr>
      </w:pPr>
      <w:r w:rsidRPr="009772A3">
        <w:rPr>
          <w:rFonts w:asciiTheme="majorHAnsi" w:hAnsiTheme="majorHAnsi" w:cstheme="majorHAnsi"/>
          <w:b/>
          <w:i/>
          <w:sz w:val="18"/>
          <w:szCs w:val="18"/>
          <w:lang w:val="ro-MD"/>
        </w:rPr>
        <w:t>Sursa:</w:t>
      </w:r>
      <w:r w:rsidRPr="009772A3">
        <w:rPr>
          <w:rFonts w:asciiTheme="majorHAnsi" w:hAnsiTheme="majorHAnsi" w:cstheme="majorHAnsi"/>
          <w:sz w:val="18"/>
          <w:szCs w:val="18"/>
          <w:lang w:val="ro-MD"/>
        </w:rPr>
        <w:t xml:space="preserve"> Date generalizate de auditori în baza pachetelor de documente privind achizițiile, contractelor, documentelor primare ale SRL „Chișinău-gaz”, datelor oficiale ale Serviciului Vamal, precum și informațiilor oficiale ale ANRE.</w:t>
      </w:r>
    </w:p>
    <w:p w14:paraId="4DCD52A7" w14:textId="26CFEA21" w:rsidR="004B074B" w:rsidRPr="009772A3" w:rsidRDefault="004B074B" w:rsidP="004B074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Auditul a stabilit că</w:t>
      </w:r>
      <w:r w:rsidR="00BD68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perioada 2018-2021, SRL „Chișinău-gaz” a contractat bunuri (contoare</w:t>
      </w:r>
      <w:r w:rsidRPr="009772A3">
        <w:rPr>
          <w:rFonts w:asciiTheme="majorHAnsi" w:hAnsiTheme="majorHAnsi" w:cstheme="majorHAnsi"/>
          <w:sz w:val="24"/>
          <w:szCs w:val="24"/>
          <w:vertAlign w:val="superscript"/>
          <w:lang w:val="ro-MD"/>
        </w:rPr>
        <w:footnoteReference w:id="94"/>
      </w:r>
      <w:r w:rsidRPr="009772A3">
        <w:rPr>
          <w:rFonts w:asciiTheme="majorHAnsi" w:hAnsiTheme="majorHAnsi" w:cstheme="majorHAnsi"/>
          <w:sz w:val="24"/>
          <w:szCs w:val="24"/>
          <w:lang w:val="ro-MD"/>
        </w:rPr>
        <w:t>, radiomodule, țevi</w:t>
      </w:r>
      <w:r w:rsidRPr="009772A3">
        <w:rPr>
          <w:rFonts w:asciiTheme="majorHAnsi" w:hAnsiTheme="majorHAnsi" w:cstheme="majorHAnsi"/>
          <w:sz w:val="24"/>
          <w:szCs w:val="24"/>
          <w:vertAlign w:val="superscript"/>
          <w:lang w:val="ro-MD"/>
        </w:rPr>
        <w:footnoteReference w:id="95"/>
      </w:r>
      <w:r w:rsidRPr="009772A3">
        <w:rPr>
          <w:rFonts w:asciiTheme="majorHAnsi" w:hAnsiTheme="majorHAnsi" w:cstheme="majorHAnsi"/>
          <w:sz w:val="24"/>
          <w:szCs w:val="24"/>
          <w:lang w:val="ro-MD"/>
        </w:rPr>
        <w:t>) atât de la importatori, cât și prin intermediari</w:t>
      </w:r>
      <w:r w:rsidR="00BD68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valoare totală de </w:t>
      </w:r>
      <w:r w:rsidRPr="009772A3">
        <w:rPr>
          <w:rFonts w:asciiTheme="majorHAnsi" w:eastAsia="Times New Roman" w:hAnsiTheme="majorHAnsi" w:cstheme="majorHAnsi"/>
          <w:sz w:val="24"/>
          <w:szCs w:val="24"/>
          <w:lang w:val="ro-MD"/>
        </w:rPr>
        <w:t>132.739,35 mii lei</w:t>
      </w:r>
      <w:r w:rsidR="00BD68B4" w:rsidRPr="009772A3">
        <w:rPr>
          <w:rFonts w:asciiTheme="majorHAnsi" w:eastAsia="Times New Roman" w:hAnsiTheme="majorHAnsi" w:cstheme="majorHAnsi"/>
          <w:sz w:val="24"/>
          <w:szCs w:val="24"/>
          <w:lang w:val="ro-MD"/>
        </w:rPr>
        <w:t>,</w:t>
      </w:r>
      <w:r w:rsidRPr="009772A3">
        <w:rPr>
          <w:rFonts w:asciiTheme="majorHAnsi" w:hAnsiTheme="majorHAnsi" w:cstheme="majorHAnsi"/>
          <w:sz w:val="24"/>
          <w:szCs w:val="24"/>
          <w:lang w:val="ro-MD"/>
        </w:rPr>
        <w:t xml:space="preserve"> sau cu </w:t>
      </w:r>
      <w:r w:rsidRPr="009772A3">
        <w:rPr>
          <w:rFonts w:asciiTheme="majorHAnsi" w:eastAsia="Times New Roman" w:hAnsiTheme="majorHAnsi" w:cstheme="majorHAnsi"/>
          <w:sz w:val="24"/>
          <w:szCs w:val="24"/>
          <w:lang w:val="ro-MD"/>
        </w:rPr>
        <w:t>56.944,08 mii lei mai mult</w:t>
      </w:r>
      <w:r w:rsidRPr="009772A3">
        <w:rPr>
          <w:rFonts w:asciiTheme="majorHAnsi" w:eastAsia="Times New Roman" w:hAnsiTheme="majorHAnsi" w:cstheme="majorHAnsi"/>
          <w:b/>
          <w:sz w:val="24"/>
          <w:szCs w:val="24"/>
          <w:lang w:val="ro-MD"/>
        </w:rPr>
        <w:t xml:space="preserve"> </w:t>
      </w:r>
      <w:r w:rsidRPr="009772A3">
        <w:rPr>
          <w:rFonts w:asciiTheme="majorHAnsi" w:eastAsia="Times New Roman" w:hAnsiTheme="majorHAnsi" w:cstheme="majorHAnsi"/>
          <w:sz w:val="24"/>
          <w:szCs w:val="24"/>
          <w:lang w:val="ro-MD"/>
        </w:rPr>
        <w:t>față de</w:t>
      </w:r>
      <w:r w:rsidRPr="009772A3">
        <w:rPr>
          <w:rFonts w:asciiTheme="majorHAnsi" w:eastAsia="Times New Roman" w:hAnsiTheme="majorHAnsi" w:cstheme="majorHAnsi"/>
          <w:b/>
          <w:sz w:val="24"/>
          <w:szCs w:val="24"/>
          <w:lang w:val="ro-MD"/>
        </w:rPr>
        <w:t xml:space="preserve"> </w:t>
      </w:r>
      <w:r w:rsidRPr="009772A3">
        <w:rPr>
          <w:rFonts w:asciiTheme="majorHAnsi" w:hAnsiTheme="majorHAnsi" w:cstheme="majorHAnsi"/>
          <w:sz w:val="24"/>
          <w:szCs w:val="24"/>
          <w:lang w:val="ro-MD"/>
        </w:rPr>
        <w:t xml:space="preserve">valoarea în vamă/de procurare a bunurilor importate, fiind aplicate adaosuri comerciale de la </w:t>
      </w:r>
      <w:r w:rsidRPr="009772A3">
        <w:rPr>
          <w:rFonts w:asciiTheme="majorHAnsi" w:hAnsiTheme="majorHAnsi" w:cstheme="majorHAnsi"/>
          <w:b/>
          <w:sz w:val="24"/>
          <w:szCs w:val="24"/>
          <w:lang w:val="ro-MD"/>
        </w:rPr>
        <w:t>58,6%</w:t>
      </w:r>
      <w:r w:rsidRPr="009772A3">
        <w:rPr>
          <w:rFonts w:asciiTheme="majorHAnsi" w:hAnsiTheme="majorHAnsi" w:cstheme="majorHAnsi"/>
          <w:sz w:val="24"/>
          <w:szCs w:val="24"/>
          <w:lang w:val="ro-MD"/>
        </w:rPr>
        <w:t xml:space="preserve"> p</w:t>
      </w:r>
      <w:r w:rsidR="00BD68B4"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 xml:space="preserve">nă la </w:t>
      </w:r>
      <w:r w:rsidRPr="009772A3">
        <w:rPr>
          <w:rFonts w:asciiTheme="majorHAnsi" w:hAnsiTheme="majorHAnsi" w:cstheme="majorHAnsi"/>
          <w:b/>
          <w:sz w:val="24"/>
          <w:szCs w:val="24"/>
          <w:lang w:val="ro-MD"/>
        </w:rPr>
        <w:t>212,45%.</w:t>
      </w:r>
      <w:r w:rsidRPr="009772A3">
        <w:rPr>
          <w:rFonts w:asciiTheme="majorHAnsi" w:hAnsiTheme="majorHAnsi" w:cstheme="majorHAnsi"/>
          <w:sz w:val="24"/>
          <w:szCs w:val="24"/>
          <w:lang w:val="ro-MD"/>
        </w:rPr>
        <w:t xml:space="preserve"> </w:t>
      </w:r>
    </w:p>
    <w:p w14:paraId="58E8A32A" w14:textId="7C62145D" w:rsidR="004B074B" w:rsidRPr="009772A3" w:rsidRDefault="004B074B" w:rsidP="004B074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Auditorii au luat în calcul că valoarea în vamă/de procurare nu include toate cheltuielile de formare a costului pentru furnizor (importator sau intermediar), acceptând printr-un exercițiu de corectare o cotă suficientă a adaosului comercial de 50% la valoarea în vamă/de procurare, care acoperă cheltuielile aferente logisticii interne, deservirii post</w:t>
      </w:r>
      <w:r w:rsidR="00BD68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vânzare, acoperir</w:t>
      </w:r>
      <w:r w:rsidR="00BD68B4" w:rsidRPr="009772A3">
        <w:rPr>
          <w:rFonts w:asciiTheme="majorHAnsi" w:hAnsiTheme="majorHAnsi" w:cstheme="majorHAnsi"/>
          <w:sz w:val="24"/>
          <w:szCs w:val="24"/>
          <w:lang w:val="ro-MD"/>
        </w:rPr>
        <w:t>ii</w:t>
      </w:r>
      <w:r w:rsidRPr="009772A3">
        <w:rPr>
          <w:rFonts w:asciiTheme="majorHAnsi" w:hAnsiTheme="majorHAnsi" w:cstheme="majorHAnsi"/>
          <w:sz w:val="24"/>
          <w:szCs w:val="24"/>
          <w:lang w:val="ro-MD"/>
        </w:rPr>
        <w:t xml:space="preserve"> dobânzilor de creditare, cheltuielil</w:t>
      </w:r>
      <w:r w:rsidR="00BD68B4" w:rsidRPr="009772A3">
        <w:rPr>
          <w:rFonts w:asciiTheme="majorHAnsi" w:hAnsiTheme="majorHAnsi" w:cstheme="majorHAnsi"/>
          <w:sz w:val="24"/>
          <w:szCs w:val="24"/>
          <w:lang w:val="ro-MD"/>
        </w:rPr>
        <w:t>or</w:t>
      </w:r>
      <w:r w:rsidRPr="009772A3">
        <w:rPr>
          <w:rFonts w:asciiTheme="majorHAnsi" w:hAnsiTheme="majorHAnsi" w:cstheme="majorHAnsi"/>
          <w:sz w:val="24"/>
          <w:szCs w:val="24"/>
          <w:lang w:val="ro-MD"/>
        </w:rPr>
        <w:t xml:space="preserve"> de regie ale furnizorului și un procent rezonabil de rentabilitate. În aceste condiții, estimările auditorilor atestă majorarea valorii bunurilor sus-menționate</w:t>
      </w:r>
      <w:r w:rsidR="00BD68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procurate de SRL „Chișinău-gaz” cu </w:t>
      </w:r>
      <w:r w:rsidRPr="009772A3">
        <w:rPr>
          <w:rFonts w:asciiTheme="majorHAnsi" w:eastAsia="Times New Roman" w:hAnsiTheme="majorHAnsi" w:cstheme="majorHAnsi"/>
          <w:sz w:val="24"/>
          <w:szCs w:val="24"/>
          <w:lang w:val="ro-MD"/>
        </w:rPr>
        <w:t>19</w:t>
      </w:r>
      <w:r w:rsidR="00BD68B4" w:rsidRPr="009772A3">
        <w:rPr>
          <w:rFonts w:asciiTheme="majorHAnsi" w:eastAsia="Times New Roman" w:hAnsiTheme="majorHAnsi" w:cstheme="majorHAnsi"/>
          <w:sz w:val="24"/>
          <w:szCs w:val="24"/>
          <w:lang w:val="ro-MD"/>
        </w:rPr>
        <w:t>.</w:t>
      </w:r>
      <w:r w:rsidRPr="009772A3">
        <w:rPr>
          <w:rFonts w:asciiTheme="majorHAnsi" w:eastAsia="Times New Roman" w:hAnsiTheme="majorHAnsi" w:cstheme="majorHAnsi"/>
          <w:sz w:val="24"/>
          <w:szCs w:val="24"/>
          <w:lang w:val="ro-MD"/>
        </w:rPr>
        <w:t>046,445 mii lei</w:t>
      </w:r>
      <w:r w:rsidR="00BD68B4" w:rsidRPr="009772A3">
        <w:rPr>
          <w:rFonts w:asciiTheme="majorHAnsi" w:eastAsia="Times New Roman" w:hAnsiTheme="majorHAnsi" w:cstheme="majorHAnsi"/>
          <w:sz w:val="24"/>
          <w:szCs w:val="24"/>
          <w:lang w:val="ro-MD"/>
        </w:rPr>
        <w:t>,</w:t>
      </w:r>
      <w:r w:rsidRPr="009772A3">
        <w:rPr>
          <w:rFonts w:asciiTheme="majorHAnsi" w:eastAsia="Times New Roman" w:hAnsiTheme="majorHAnsi" w:cstheme="majorHAnsi"/>
          <w:sz w:val="24"/>
          <w:szCs w:val="24"/>
          <w:lang w:val="ro-MD"/>
        </w:rPr>
        <w:t xml:space="preserve"> sau </w:t>
      </w:r>
      <w:r w:rsidR="00BD68B4" w:rsidRPr="009772A3">
        <w:rPr>
          <w:rFonts w:asciiTheme="majorHAnsi" w:eastAsia="Times New Roman" w:hAnsiTheme="majorHAnsi" w:cstheme="majorHAnsi"/>
          <w:sz w:val="24"/>
          <w:szCs w:val="24"/>
          <w:lang w:val="ro-MD"/>
        </w:rPr>
        <w:t xml:space="preserve">cu </w:t>
      </w:r>
      <w:r w:rsidRPr="009772A3">
        <w:rPr>
          <w:rFonts w:asciiTheme="majorHAnsi" w:eastAsia="Times New Roman" w:hAnsiTheme="majorHAnsi" w:cstheme="majorHAnsi"/>
          <w:b/>
          <w:sz w:val="24"/>
          <w:szCs w:val="24"/>
          <w:lang w:val="ro-MD"/>
        </w:rPr>
        <w:t>cca 15 la sută</w:t>
      </w:r>
      <w:r w:rsidRPr="009772A3">
        <w:rPr>
          <w:rFonts w:asciiTheme="majorHAnsi" w:eastAsia="Times New Roman" w:hAnsiTheme="majorHAnsi" w:cstheme="majorHAnsi"/>
          <w:sz w:val="24"/>
          <w:szCs w:val="24"/>
          <w:lang w:val="ro-MD"/>
        </w:rPr>
        <w:t xml:space="preserve">, care au </w:t>
      </w:r>
      <w:r w:rsidRPr="009772A3">
        <w:rPr>
          <w:rFonts w:asciiTheme="majorHAnsi" w:hAnsiTheme="majorHAnsi" w:cstheme="majorHAnsi"/>
          <w:sz w:val="24"/>
          <w:szCs w:val="24"/>
          <w:lang w:val="ro-MD"/>
        </w:rPr>
        <w:t>generat majorarea costului investițiilor, consumurilor și cheltuielilor aferente activității de distribuție a gazelor naturale. În cazurile contractării bunurilor de la importatori direcți, parteneri de afaceri solvabil, cu situații financiare pozitive și durabile, adaosul comercial ar pute</w:t>
      </w:r>
      <w:r w:rsidR="00BD68B4"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fi mai mic de 50 la sută, ceea ce ar menține cheltuielile aferente activității de distribuție a gazelor naturale la un nivel de eficiență prognozată.</w:t>
      </w:r>
    </w:p>
    <w:p w14:paraId="6FC85B92" w14:textId="5F085147" w:rsidR="004B074B" w:rsidRPr="009772A3" w:rsidRDefault="004B074B" w:rsidP="004B074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Deficiențele menționate supra sunt abordate frecvent și de ANRE. Potrivit Raportului aprobat prin HANRE nr.445/2020 din 25.11.2020</w:t>
      </w:r>
      <w:r w:rsidRPr="009772A3">
        <w:rPr>
          <w:rFonts w:asciiTheme="majorHAnsi" w:hAnsiTheme="majorHAnsi" w:cstheme="majorHAnsi"/>
          <w:sz w:val="24"/>
          <w:szCs w:val="24"/>
          <w:vertAlign w:val="superscript"/>
          <w:lang w:val="ro-MD"/>
        </w:rPr>
        <w:footnoteReference w:id="96"/>
      </w:r>
      <w:r w:rsidRPr="009772A3">
        <w:rPr>
          <w:rFonts w:asciiTheme="majorHAnsi" w:hAnsiTheme="majorHAnsi" w:cstheme="majorHAnsi"/>
          <w:sz w:val="24"/>
          <w:szCs w:val="24"/>
          <w:lang w:val="ro-MD"/>
        </w:rPr>
        <w:t xml:space="preserve">, în perioada 2017-2019 SRL „Chișinău-Gaz” a admis cazuri de procurare a bunurilor la costuri exagerate în raport cu valorile acestora în vamă, ceea ce a generat suportarea unor cheltuieli ineficiente în sumă totală de 39.321,8 mii lei. De asemenea, potrivit datelor controlului </w:t>
      </w:r>
      <w:r w:rsidR="002B2E84" w:rsidRPr="009772A3">
        <w:rPr>
          <w:rFonts w:asciiTheme="majorHAnsi" w:hAnsiTheme="majorHAnsi" w:cstheme="majorHAnsi"/>
          <w:sz w:val="24"/>
          <w:szCs w:val="24"/>
          <w:lang w:val="ro-MD"/>
        </w:rPr>
        <w:t xml:space="preserve">efectuat de </w:t>
      </w:r>
      <w:r w:rsidRPr="009772A3">
        <w:rPr>
          <w:rFonts w:asciiTheme="majorHAnsi" w:hAnsiTheme="majorHAnsi" w:cstheme="majorHAnsi"/>
          <w:sz w:val="24"/>
          <w:szCs w:val="24"/>
          <w:lang w:val="ro-MD"/>
        </w:rPr>
        <w:t xml:space="preserve">ANRE la SRL </w:t>
      </w:r>
      <w:r w:rsidR="00BD68B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Moldovatransgaz”, în perioada 2017-2019, în cadrul procedurilor de achiziții efectuate în mod centralizat în baza a 30 </w:t>
      </w:r>
      <w:r w:rsidR="00BD68B4"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contracte încheiate cu intermediarii, ultimii au aplicat adaosuri comerciale de la 20% până la 350%, ceea ce în valoare totală absolut</w:t>
      </w:r>
      <w:r w:rsidR="003634B4"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constituie 57.1</w:t>
      </w:r>
      <w:r w:rsidR="00452F68" w:rsidRPr="009772A3">
        <w:rPr>
          <w:rFonts w:asciiTheme="majorHAnsi" w:hAnsiTheme="majorHAnsi" w:cstheme="majorHAnsi"/>
          <w:sz w:val="24"/>
          <w:szCs w:val="24"/>
          <w:lang w:val="ro-MD"/>
        </w:rPr>
        <w:t>21</w:t>
      </w:r>
      <w:r w:rsidRPr="009772A3">
        <w:rPr>
          <w:rFonts w:asciiTheme="majorHAnsi" w:hAnsiTheme="majorHAnsi" w:cstheme="majorHAnsi"/>
          <w:sz w:val="24"/>
          <w:szCs w:val="24"/>
          <w:lang w:val="ro-MD"/>
        </w:rPr>
        <w:t>,</w:t>
      </w:r>
      <w:r w:rsidR="00452F68" w:rsidRPr="009772A3">
        <w:rPr>
          <w:rFonts w:asciiTheme="majorHAnsi" w:hAnsiTheme="majorHAnsi" w:cstheme="majorHAnsi"/>
          <w:sz w:val="24"/>
          <w:szCs w:val="24"/>
          <w:lang w:val="ro-MD"/>
        </w:rPr>
        <w:t>9</w:t>
      </w:r>
      <w:r w:rsidRPr="009772A3">
        <w:rPr>
          <w:rFonts w:asciiTheme="majorHAnsi" w:hAnsiTheme="majorHAnsi" w:cstheme="majorHAnsi"/>
          <w:sz w:val="24"/>
          <w:szCs w:val="24"/>
          <w:lang w:val="ro-MD"/>
        </w:rPr>
        <w:t xml:space="preserve"> mii lei, fără TVA, societatea suportând cheltuieli suplimentare și ineficiente. </w:t>
      </w:r>
    </w:p>
    <w:p w14:paraId="264C3405" w14:textId="616BA810" w:rsidR="004B074B" w:rsidRPr="009772A3" w:rsidRDefault="004B074B" w:rsidP="004F4116">
      <w:pPr>
        <w:ind w:firstLine="709"/>
        <w:jc w:val="both"/>
        <w:rPr>
          <w:rFonts w:asciiTheme="majorHAnsi" w:hAnsiTheme="majorHAnsi" w:cstheme="majorHAnsi"/>
          <w:sz w:val="24"/>
          <w:szCs w:val="24"/>
          <w:lang w:val="ro-MD"/>
        </w:rPr>
      </w:pPr>
      <w:r w:rsidRPr="009772A3">
        <w:rPr>
          <w:rFonts w:asciiTheme="majorHAnsi" w:hAnsiTheme="majorHAnsi" w:cstheme="majorHAnsi"/>
          <w:b/>
          <w:sz w:val="24"/>
          <w:szCs w:val="24"/>
          <w:lang w:val="ro-MD"/>
        </w:rPr>
        <w:t>Concluzionăm că astfel de procurări ineficiente rezultă din lips</w:t>
      </w:r>
      <w:r w:rsidR="002B2E84" w:rsidRPr="009772A3">
        <w:rPr>
          <w:rFonts w:asciiTheme="majorHAnsi" w:hAnsiTheme="majorHAnsi" w:cstheme="majorHAnsi"/>
          <w:b/>
          <w:sz w:val="24"/>
          <w:szCs w:val="24"/>
          <w:lang w:val="ro-MD"/>
        </w:rPr>
        <w:t>a</w:t>
      </w:r>
      <w:r w:rsidRPr="009772A3">
        <w:rPr>
          <w:rFonts w:asciiTheme="majorHAnsi" w:hAnsiTheme="majorHAnsi" w:cstheme="majorHAnsi"/>
          <w:b/>
          <w:sz w:val="24"/>
          <w:szCs w:val="24"/>
          <w:lang w:val="ro-MD"/>
        </w:rPr>
        <w:t xml:space="preserve"> acțiunilor de control privind studierea pieței și oferirea informațiilor utile și la timpul potrivit grupurilor de lucru privind achizițiile</w:t>
      </w:r>
      <w:r w:rsidR="002B2E84"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 xml:space="preserve"> în scopul alegerii celor mai bune oferte, precum și </w:t>
      </w:r>
      <w:r w:rsidR="002B2E84" w:rsidRPr="009772A3">
        <w:rPr>
          <w:rFonts w:asciiTheme="majorHAnsi" w:hAnsiTheme="majorHAnsi" w:cstheme="majorHAnsi"/>
          <w:b/>
          <w:sz w:val="24"/>
          <w:szCs w:val="24"/>
          <w:lang w:val="ro-MD"/>
        </w:rPr>
        <w:t xml:space="preserve">din </w:t>
      </w:r>
      <w:r w:rsidRPr="009772A3">
        <w:rPr>
          <w:rFonts w:asciiTheme="majorHAnsi" w:hAnsiTheme="majorHAnsi" w:cstheme="majorHAnsi"/>
          <w:b/>
          <w:sz w:val="24"/>
          <w:szCs w:val="24"/>
          <w:lang w:val="ro-MD"/>
        </w:rPr>
        <w:t>prezența lacunelor</w:t>
      </w:r>
      <w:r w:rsidR="002B2E84" w:rsidRPr="009772A3">
        <w:rPr>
          <w:rFonts w:asciiTheme="majorHAnsi" w:hAnsiTheme="majorHAnsi" w:cstheme="majorHAnsi"/>
          <w:b/>
          <w:sz w:val="24"/>
          <w:szCs w:val="24"/>
          <w:lang w:val="ro-MD"/>
        </w:rPr>
        <w:t xml:space="preserve"> în</w:t>
      </w:r>
      <w:r w:rsidRPr="009772A3">
        <w:rPr>
          <w:rFonts w:asciiTheme="majorHAnsi" w:hAnsiTheme="majorHAnsi" w:cstheme="majorHAnsi"/>
          <w:b/>
          <w:sz w:val="24"/>
          <w:szCs w:val="24"/>
          <w:lang w:val="ro-MD"/>
        </w:rPr>
        <w:t xml:space="preserve"> reglementăril</w:t>
      </w:r>
      <w:r w:rsidR="002B2E84" w:rsidRPr="009772A3">
        <w:rPr>
          <w:rFonts w:asciiTheme="majorHAnsi" w:hAnsiTheme="majorHAnsi" w:cstheme="majorHAnsi"/>
          <w:b/>
          <w:sz w:val="24"/>
          <w:szCs w:val="24"/>
          <w:lang w:val="ro-MD"/>
        </w:rPr>
        <w:t>e</w:t>
      </w:r>
      <w:r w:rsidRPr="009772A3">
        <w:rPr>
          <w:rFonts w:asciiTheme="majorHAnsi" w:hAnsiTheme="majorHAnsi" w:cstheme="majorHAnsi"/>
          <w:b/>
          <w:sz w:val="24"/>
          <w:szCs w:val="24"/>
          <w:lang w:val="ro-MD"/>
        </w:rPr>
        <w:t xml:space="preserve"> interne privind realizarea procedurilor de achiziții.</w:t>
      </w:r>
    </w:p>
    <w:p w14:paraId="2D075837" w14:textId="17087307" w:rsidR="00FD1AA6" w:rsidRPr="009772A3" w:rsidRDefault="00FD1AA6" w:rsidP="00B10C74">
      <w:pPr>
        <w:pStyle w:val="Heading1"/>
        <w:numPr>
          <w:ilvl w:val="3"/>
          <w:numId w:val="2"/>
        </w:numPr>
        <w:tabs>
          <w:tab w:val="left" w:pos="851"/>
        </w:tabs>
        <w:spacing w:line="276" w:lineRule="auto"/>
        <w:ind w:left="0" w:firstLine="0"/>
        <w:jc w:val="both"/>
        <w:rPr>
          <w:i/>
          <w:color w:val="auto"/>
          <w:lang w:val="ro-MD"/>
        </w:rPr>
      </w:pPr>
      <w:bookmarkStart w:id="124" w:name="_Toc117775780"/>
      <w:bookmarkStart w:id="125" w:name="_Toc118297719"/>
      <w:bookmarkStart w:id="126" w:name="_Toc118465747"/>
      <w:bookmarkStart w:id="127" w:name="_Toc119496421"/>
      <w:r w:rsidRPr="009772A3">
        <w:rPr>
          <w:i/>
          <w:color w:val="auto"/>
          <w:lang w:val="ro-MD"/>
        </w:rPr>
        <w:t xml:space="preserve">Acordarea unor avansuri în proporție de peste 50 la sută din valoarea contractelor de achiziții a bunurilor, </w:t>
      </w:r>
      <w:r w:rsidR="00D176F1" w:rsidRPr="009772A3">
        <w:rPr>
          <w:i/>
          <w:color w:val="auto"/>
          <w:lang w:val="ro-MD"/>
        </w:rPr>
        <w:t>nu este justificată în condițiile existenței unor datorii pentru gazele naturale</w:t>
      </w:r>
      <w:r w:rsidR="009D58CC" w:rsidRPr="009772A3">
        <w:rPr>
          <w:i/>
          <w:color w:val="auto"/>
          <w:lang w:val="ro-MD"/>
        </w:rPr>
        <w:t>.</w:t>
      </w:r>
      <w:bookmarkEnd w:id="124"/>
      <w:bookmarkEnd w:id="125"/>
      <w:bookmarkEnd w:id="126"/>
      <w:bookmarkEnd w:id="127"/>
      <w:r w:rsidRPr="009772A3">
        <w:rPr>
          <w:i/>
          <w:color w:val="auto"/>
          <w:lang w:val="ro-MD"/>
        </w:rPr>
        <w:t xml:space="preserve"> </w:t>
      </w:r>
    </w:p>
    <w:p w14:paraId="1F7EBFD8" w14:textId="454878CA" w:rsidR="009D58CC" w:rsidRPr="009772A3" w:rsidRDefault="009D58CC" w:rsidP="009D58C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Auditul public extern atestă efectuarea de către companiile din sistemul SA Moldovagaz a finanțării prealabile a unor operatori economici, prin achitarea în avans a plăților la încheierea contractelor de procurare a bunurilor și serviciilor cu </w:t>
      </w:r>
      <w:r w:rsidR="00007107" w:rsidRPr="009772A3">
        <w:rPr>
          <w:rFonts w:asciiTheme="majorHAnsi" w:hAnsiTheme="majorHAnsi" w:cstheme="majorHAnsi"/>
          <w:sz w:val="24"/>
          <w:szCs w:val="24"/>
          <w:lang w:val="ro-MD"/>
        </w:rPr>
        <w:t xml:space="preserve">peste </w:t>
      </w:r>
      <w:r w:rsidRPr="009772A3">
        <w:rPr>
          <w:rFonts w:asciiTheme="majorHAnsi" w:hAnsiTheme="majorHAnsi" w:cstheme="majorHAnsi"/>
          <w:sz w:val="24"/>
          <w:szCs w:val="24"/>
          <w:lang w:val="ro-MD"/>
        </w:rPr>
        <w:t xml:space="preserve">50% din valoarea contractului, fiind </w:t>
      </w:r>
      <w:r w:rsidR="002B2E84" w:rsidRPr="009772A3">
        <w:rPr>
          <w:rFonts w:asciiTheme="majorHAnsi" w:hAnsiTheme="majorHAnsi" w:cstheme="majorHAnsi"/>
          <w:sz w:val="24"/>
          <w:szCs w:val="24"/>
          <w:lang w:val="ro-MD"/>
        </w:rPr>
        <w:t xml:space="preserve">astfel </w:t>
      </w:r>
      <w:r w:rsidRPr="009772A3">
        <w:rPr>
          <w:rFonts w:asciiTheme="majorHAnsi" w:hAnsiTheme="majorHAnsi" w:cstheme="majorHAnsi"/>
          <w:sz w:val="24"/>
          <w:szCs w:val="24"/>
          <w:lang w:val="ro-MD"/>
        </w:rPr>
        <w:t xml:space="preserve">dezafectate mijloacele financiare ale companiilor. </w:t>
      </w:r>
      <w:r w:rsidR="002B2E84" w:rsidRPr="009772A3">
        <w:rPr>
          <w:rFonts w:asciiTheme="majorHAnsi" w:hAnsiTheme="majorHAnsi" w:cstheme="majorHAnsi"/>
          <w:sz w:val="24"/>
          <w:szCs w:val="24"/>
          <w:lang w:val="ro-MD"/>
        </w:rPr>
        <w:t xml:space="preserve">De exemplu, </w:t>
      </w:r>
      <w:r w:rsidRPr="009772A3">
        <w:rPr>
          <w:rFonts w:asciiTheme="majorHAnsi" w:hAnsiTheme="majorHAnsi" w:cstheme="majorHAnsi"/>
          <w:sz w:val="24"/>
          <w:szCs w:val="24"/>
          <w:lang w:val="ro-MD"/>
        </w:rPr>
        <w:t xml:space="preserve">SRL Moldovatransgaz, în baza contractului din 13.10.2017, a finanțat </w:t>
      </w:r>
      <w:r w:rsidR="00CB656A" w:rsidRPr="009772A3">
        <w:rPr>
          <w:rFonts w:asciiTheme="majorHAnsi" w:hAnsiTheme="majorHAnsi" w:cstheme="majorHAnsi"/>
          <w:sz w:val="24"/>
          <w:szCs w:val="24"/>
          <w:lang w:val="ro-MD"/>
        </w:rPr>
        <w:t>în prealabil SRL „Omnicom” cu 8.</w:t>
      </w:r>
      <w:r w:rsidRPr="009772A3">
        <w:rPr>
          <w:rFonts w:asciiTheme="majorHAnsi" w:hAnsiTheme="majorHAnsi" w:cstheme="majorHAnsi"/>
          <w:sz w:val="24"/>
          <w:szCs w:val="24"/>
          <w:lang w:val="ro-MD"/>
        </w:rPr>
        <w:t>7</w:t>
      </w:r>
      <w:r w:rsidR="00CB656A" w:rsidRPr="009772A3">
        <w:rPr>
          <w:rFonts w:asciiTheme="majorHAnsi" w:hAnsiTheme="majorHAnsi" w:cstheme="majorHAnsi"/>
          <w:sz w:val="24"/>
          <w:szCs w:val="24"/>
          <w:lang w:val="ro-MD"/>
        </w:rPr>
        <w:t>43,1</w:t>
      </w:r>
      <w:r w:rsidRPr="009772A3">
        <w:rPr>
          <w:rFonts w:asciiTheme="majorHAnsi" w:hAnsiTheme="majorHAnsi" w:cstheme="majorHAnsi"/>
          <w:sz w:val="24"/>
          <w:szCs w:val="24"/>
          <w:lang w:val="ro-MD"/>
        </w:rPr>
        <w:t xml:space="preserve"> mi</w:t>
      </w:r>
      <w:r w:rsidR="00CB656A"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pe un termen de 8 luni, iar în baza co</w:t>
      </w:r>
      <w:r w:rsidR="001865AD" w:rsidRPr="009772A3">
        <w:rPr>
          <w:rFonts w:asciiTheme="majorHAnsi" w:hAnsiTheme="majorHAnsi" w:cstheme="majorHAnsi"/>
          <w:sz w:val="24"/>
          <w:szCs w:val="24"/>
          <w:lang w:val="ro-MD"/>
        </w:rPr>
        <w:t xml:space="preserve">ntractului din 02.02.2017 </w:t>
      </w:r>
      <w:r w:rsidR="002B2E84" w:rsidRPr="009772A3">
        <w:rPr>
          <w:rFonts w:asciiTheme="majorHAnsi" w:hAnsiTheme="majorHAnsi" w:cstheme="majorHAnsi"/>
          <w:sz w:val="24"/>
          <w:szCs w:val="24"/>
          <w:lang w:val="ro-MD"/>
        </w:rPr>
        <w:t xml:space="preserve">– </w:t>
      </w:r>
      <w:r w:rsidR="001865AD" w:rsidRPr="009772A3">
        <w:rPr>
          <w:rFonts w:asciiTheme="majorHAnsi" w:hAnsiTheme="majorHAnsi" w:cstheme="majorHAnsi"/>
          <w:sz w:val="24"/>
          <w:szCs w:val="24"/>
          <w:lang w:val="ro-MD"/>
        </w:rPr>
        <w:t>cu 27.750,</w:t>
      </w:r>
      <w:r w:rsidRPr="009772A3">
        <w:rPr>
          <w:rFonts w:asciiTheme="majorHAnsi" w:hAnsiTheme="majorHAnsi" w:cstheme="majorHAnsi"/>
          <w:sz w:val="24"/>
          <w:szCs w:val="24"/>
          <w:lang w:val="ro-MD"/>
        </w:rPr>
        <w:t>0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timp de 10 luni (143 zile). Analogic, în baza contractului din 22.10.2014</w:t>
      </w:r>
      <w:r w:rsidR="002B2E8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 „Gazprombudmontaj” a fost finanțat</w:t>
      </w:r>
      <w:r w:rsidR="00F63291"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în prealabil la 01.07.2015 cu 2</w:t>
      </w:r>
      <w:r w:rsidR="001865A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w:t>
      </w:r>
      <w:r w:rsidR="001865AD" w:rsidRPr="009772A3">
        <w:rPr>
          <w:rFonts w:asciiTheme="majorHAnsi" w:hAnsiTheme="majorHAnsi" w:cstheme="majorHAnsi"/>
          <w:sz w:val="24"/>
          <w:szCs w:val="24"/>
          <w:lang w:val="ro-MD"/>
        </w:rPr>
        <w:t>44,6</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iar peste 2 ani</w:t>
      </w:r>
      <w:r w:rsidR="002B2E8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17.01.2017</w:t>
      </w:r>
      <w:r w:rsidR="002B2E8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suma de 2</w:t>
      </w:r>
      <w:r w:rsidR="001865AD" w:rsidRPr="009772A3">
        <w:rPr>
          <w:rFonts w:asciiTheme="majorHAnsi" w:hAnsiTheme="majorHAnsi" w:cstheme="majorHAnsi"/>
          <w:sz w:val="24"/>
          <w:szCs w:val="24"/>
          <w:lang w:val="ro-MD"/>
        </w:rPr>
        <w:t>.018,0</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serviciile fiind livrate la 22.12.2017 în sumă de 2</w:t>
      </w:r>
      <w:r w:rsidR="001865A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w:t>
      </w:r>
      <w:r w:rsidR="001865AD" w:rsidRPr="009772A3">
        <w:rPr>
          <w:rFonts w:asciiTheme="majorHAnsi" w:hAnsiTheme="majorHAnsi" w:cstheme="majorHAnsi"/>
          <w:sz w:val="24"/>
          <w:szCs w:val="24"/>
          <w:lang w:val="ro-MD"/>
        </w:rPr>
        <w:t>88,9</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și la 29.05</w:t>
      </w:r>
      <w:r w:rsidR="0000710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2019 în sumă de 1</w:t>
      </w:r>
      <w:r w:rsidR="001865AD" w:rsidRPr="009772A3">
        <w:rPr>
          <w:rFonts w:asciiTheme="majorHAnsi" w:hAnsiTheme="majorHAnsi" w:cstheme="majorHAnsi"/>
          <w:sz w:val="24"/>
          <w:szCs w:val="24"/>
          <w:lang w:val="ro-MD"/>
        </w:rPr>
        <w:t>.736,0</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Astfel, agentul economic a utilizat</w:t>
      </w:r>
      <w:r w:rsidR="001865AD" w:rsidRPr="009772A3">
        <w:rPr>
          <w:rFonts w:asciiTheme="majorHAnsi" w:hAnsiTheme="majorHAnsi" w:cstheme="majorHAnsi"/>
          <w:sz w:val="24"/>
          <w:szCs w:val="24"/>
          <w:lang w:val="ro-MD"/>
        </w:rPr>
        <w:t xml:space="preserve"> 4.</w:t>
      </w:r>
      <w:r w:rsidRPr="009772A3">
        <w:rPr>
          <w:rFonts w:asciiTheme="majorHAnsi" w:hAnsiTheme="majorHAnsi" w:cstheme="majorHAnsi"/>
          <w:sz w:val="24"/>
          <w:szCs w:val="24"/>
          <w:lang w:val="ro-MD"/>
        </w:rPr>
        <w:t>5</w:t>
      </w:r>
      <w:r w:rsidR="001865AD"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timp de 5 ani. Tot acestui agent economic</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contractului din 13.10.2016</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19.10.2016 i-a </w:t>
      </w:r>
      <w:r w:rsidR="00F63291" w:rsidRPr="009772A3">
        <w:rPr>
          <w:rFonts w:asciiTheme="majorHAnsi" w:hAnsiTheme="majorHAnsi" w:cstheme="majorHAnsi"/>
          <w:sz w:val="24"/>
          <w:szCs w:val="24"/>
          <w:lang w:val="ro-MD"/>
        </w:rPr>
        <w:t xml:space="preserve">fost </w:t>
      </w:r>
      <w:r w:rsidRPr="009772A3">
        <w:rPr>
          <w:rFonts w:asciiTheme="majorHAnsi" w:hAnsiTheme="majorHAnsi" w:cstheme="majorHAnsi"/>
          <w:sz w:val="24"/>
          <w:szCs w:val="24"/>
          <w:lang w:val="ro-MD"/>
        </w:rPr>
        <w:t xml:space="preserve">acordat </w:t>
      </w:r>
      <w:r w:rsidR="00F63291"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n avans de 5</w:t>
      </w:r>
      <w:r w:rsidR="001865A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w:t>
      </w:r>
      <w:r w:rsidR="001865AD" w:rsidRPr="009772A3">
        <w:rPr>
          <w:rFonts w:asciiTheme="majorHAnsi" w:hAnsiTheme="majorHAnsi" w:cstheme="majorHAnsi"/>
          <w:sz w:val="24"/>
          <w:szCs w:val="24"/>
          <w:lang w:val="ro-MD"/>
        </w:rPr>
        <w:t>08,7</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la 16.12.2016 </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 4</w:t>
      </w:r>
      <w:r w:rsidR="001865A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w:t>
      </w:r>
      <w:r w:rsidR="001865AD" w:rsidRPr="009772A3">
        <w:rPr>
          <w:rFonts w:asciiTheme="majorHAnsi" w:hAnsiTheme="majorHAnsi" w:cstheme="majorHAnsi"/>
          <w:sz w:val="24"/>
          <w:szCs w:val="24"/>
          <w:lang w:val="ro-MD"/>
        </w:rPr>
        <w:t>17,5</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iar la 23.08.2017 </w:t>
      </w:r>
      <w:r w:rsidR="00F63291"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de 3</w:t>
      </w:r>
      <w:r w:rsidR="001865AD" w:rsidRPr="009772A3">
        <w:rPr>
          <w:rFonts w:asciiTheme="majorHAnsi" w:hAnsiTheme="majorHAnsi" w:cstheme="majorHAnsi"/>
          <w:sz w:val="24"/>
          <w:szCs w:val="24"/>
          <w:lang w:val="ro-MD"/>
        </w:rPr>
        <w:t>.752,2</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Documentele privind lucrările executate au fost prezentate la 27.09.2017 în sumă de 13</w:t>
      </w:r>
      <w:r w:rsidR="001865AD" w:rsidRPr="009772A3">
        <w:rPr>
          <w:rFonts w:asciiTheme="majorHAnsi" w:hAnsiTheme="majorHAnsi" w:cstheme="majorHAnsi"/>
          <w:sz w:val="24"/>
          <w:szCs w:val="24"/>
          <w:lang w:val="ro-MD"/>
        </w:rPr>
        <w:t>.454,8</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agentul economic utilizând în circuitul său economic timp de 11 luni suma de 131</w:t>
      </w:r>
      <w:r w:rsidR="00F63291" w:rsidRPr="009772A3">
        <w:rPr>
          <w:rFonts w:asciiTheme="majorHAnsi" w:hAnsiTheme="majorHAnsi" w:cstheme="majorHAnsi"/>
          <w:sz w:val="24"/>
          <w:szCs w:val="24"/>
          <w:lang w:val="ro-MD"/>
        </w:rPr>
        <w:t>.</w:t>
      </w:r>
      <w:r w:rsidR="001865AD" w:rsidRPr="009772A3">
        <w:rPr>
          <w:rFonts w:asciiTheme="majorHAnsi" w:hAnsiTheme="majorHAnsi" w:cstheme="majorHAnsi"/>
          <w:sz w:val="24"/>
          <w:szCs w:val="24"/>
          <w:lang w:val="ro-MD"/>
        </w:rPr>
        <w:t>788,4</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acordată ca avans de SRL Moldovatransgaz.</w:t>
      </w:r>
    </w:p>
    <w:p w14:paraId="5C929324" w14:textId="731421CE" w:rsidR="009D58CC" w:rsidRPr="009772A3" w:rsidRDefault="009D58CC" w:rsidP="009D58C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Analogic, în baza contractului din 16.07.2015</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 „Telprod-Com” în perioada 2017</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w:t>
      </w:r>
      <w:r w:rsidR="001865AD" w:rsidRPr="009772A3">
        <w:rPr>
          <w:rFonts w:asciiTheme="majorHAnsi" w:hAnsiTheme="majorHAnsi" w:cstheme="majorHAnsi"/>
          <w:sz w:val="24"/>
          <w:szCs w:val="24"/>
          <w:lang w:val="ro-MD"/>
        </w:rPr>
        <w:t>018 a fost avansat</w:t>
      </w:r>
      <w:r w:rsidR="00F63291" w:rsidRPr="009772A3">
        <w:rPr>
          <w:rFonts w:asciiTheme="majorHAnsi" w:hAnsiTheme="majorHAnsi" w:cstheme="majorHAnsi"/>
          <w:sz w:val="24"/>
          <w:szCs w:val="24"/>
          <w:lang w:val="ro-MD"/>
        </w:rPr>
        <w:t>ă</w:t>
      </w:r>
      <w:r w:rsidR="001865AD" w:rsidRPr="009772A3">
        <w:rPr>
          <w:rFonts w:asciiTheme="majorHAnsi" w:hAnsiTheme="majorHAnsi" w:cstheme="majorHAnsi"/>
          <w:sz w:val="24"/>
          <w:szCs w:val="24"/>
          <w:lang w:val="ro-MD"/>
        </w:rPr>
        <w:t xml:space="preserve"> cu suma de 8.</w:t>
      </w:r>
      <w:r w:rsidRPr="009772A3">
        <w:rPr>
          <w:rFonts w:asciiTheme="majorHAnsi" w:hAnsiTheme="majorHAnsi" w:cstheme="majorHAnsi"/>
          <w:sz w:val="24"/>
          <w:szCs w:val="24"/>
          <w:lang w:val="ro-MD"/>
        </w:rPr>
        <w:t>9</w:t>
      </w:r>
      <w:r w:rsidR="001865AD"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totodată în anul 2018 antreprenorul n</w:t>
      </w:r>
      <w:r w:rsidR="00F63291" w:rsidRPr="009772A3">
        <w:rPr>
          <w:rFonts w:asciiTheme="majorHAnsi" w:hAnsiTheme="majorHAnsi" w:cstheme="majorHAnsi"/>
          <w:sz w:val="24"/>
          <w:szCs w:val="24"/>
          <w:lang w:val="ro-MD"/>
        </w:rPr>
        <w:t xml:space="preserve">u </w:t>
      </w:r>
      <w:r w:rsidRPr="009772A3">
        <w:rPr>
          <w:rFonts w:asciiTheme="majorHAnsi" w:hAnsiTheme="majorHAnsi" w:cstheme="majorHAnsi"/>
          <w:sz w:val="24"/>
          <w:szCs w:val="24"/>
          <w:lang w:val="ro-MD"/>
        </w:rPr>
        <w:t>a executat lucrări în baza contractului respectiv din cauza excluderii obiectului din Planul investițional, astfel  folosind până la 16</w:t>
      </w:r>
      <w:r w:rsidR="001865AD" w:rsidRPr="009772A3">
        <w:rPr>
          <w:rFonts w:asciiTheme="majorHAnsi" w:hAnsiTheme="majorHAnsi" w:cstheme="majorHAnsi"/>
          <w:sz w:val="24"/>
          <w:szCs w:val="24"/>
          <w:lang w:val="ro-MD"/>
        </w:rPr>
        <w:t>.05.2022 avansul de 3.</w:t>
      </w:r>
      <w:r w:rsidRPr="009772A3">
        <w:rPr>
          <w:rFonts w:asciiTheme="majorHAnsi" w:hAnsiTheme="majorHAnsi" w:cstheme="majorHAnsi"/>
          <w:sz w:val="24"/>
          <w:szCs w:val="24"/>
          <w:lang w:val="ro-MD"/>
        </w:rPr>
        <w:t>8</w:t>
      </w:r>
      <w:r w:rsidR="001865AD"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Tot acest antreprenor</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contractului din 13.10.2017</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anul 2018 a fost avansat cu suma de 29</w:t>
      </w:r>
      <w:r w:rsidR="001865A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w:t>
      </w:r>
      <w:r w:rsidR="001865AD" w:rsidRPr="009772A3">
        <w:rPr>
          <w:rFonts w:asciiTheme="majorHAnsi" w:hAnsiTheme="majorHAnsi" w:cstheme="majorHAnsi"/>
          <w:sz w:val="24"/>
          <w:szCs w:val="24"/>
          <w:lang w:val="ro-MD"/>
        </w:rPr>
        <w:t>00,0 mii</w:t>
      </w:r>
      <w:r w:rsidRPr="009772A3">
        <w:rPr>
          <w:rFonts w:asciiTheme="majorHAnsi" w:hAnsiTheme="majorHAnsi" w:cstheme="majorHAnsi"/>
          <w:sz w:val="24"/>
          <w:szCs w:val="24"/>
          <w:lang w:val="ro-MD"/>
        </w:rPr>
        <w:t xml:space="preserve"> lei</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iar în baza contractului din 20.07.2015</w:t>
      </w:r>
      <w:r w:rsidR="00F632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perioada 2016-201</w:t>
      </w:r>
      <w:r w:rsidR="001865AD" w:rsidRPr="009772A3">
        <w:rPr>
          <w:rFonts w:asciiTheme="majorHAnsi" w:hAnsiTheme="majorHAnsi" w:cstheme="majorHAnsi"/>
          <w:sz w:val="24"/>
          <w:szCs w:val="24"/>
          <w:lang w:val="ro-MD"/>
        </w:rPr>
        <w:t>8 a fost avansat cu suma de 305.</w:t>
      </w:r>
      <w:r w:rsidRPr="009772A3">
        <w:rPr>
          <w:rFonts w:asciiTheme="majorHAnsi" w:hAnsiTheme="majorHAnsi" w:cstheme="majorHAnsi"/>
          <w:sz w:val="24"/>
          <w:szCs w:val="24"/>
          <w:lang w:val="ro-MD"/>
        </w:rPr>
        <w:t>4</w:t>
      </w:r>
      <w:r w:rsidR="001865AD" w:rsidRPr="009772A3">
        <w:rPr>
          <w:rFonts w:asciiTheme="majorHAnsi" w:hAnsiTheme="majorHAnsi" w:cstheme="majorHAnsi"/>
          <w:sz w:val="24"/>
          <w:szCs w:val="24"/>
          <w:lang w:val="ro-MD"/>
        </w:rPr>
        <w:t>54,6</w:t>
      </w:r>
      <w:r w:rsidRPr="009772A3">
        <w:rPr>
          <w:rFonts w:asciiTheme="majorHAnsi" w:hAnsiTheme="majorHAnsi" w:cstheme="majorHAnsi"/>
          <w:sz w:val="24"/>
          <w:szCs w:val="24"/>
          <w:lang w:val="ro-MD"/>
        </w:rPr>
        <w:t xml:space="preserve"> mi</w:t>
      </w:r>
      <w:r w:rsidR="001865AD"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w:t>
      </w:r>
    </w:p>
    <w:p w14:paraId="7E23A577" w14:textId="449EEA7C" w:rsidR="009D58CC" w:rsidRPr="009772A3" w:rsidRDefault="009D58CC" w:rsidP="009D58C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asemenea, activitățile auditului au relevat o avansare în proporție de 100% a lucrărilor achiziționate, deși contractele prevedeau achitarea avansurilor în baza unor documentări prealabile a lucrărilor efectuate. Astfel, potrivit contractului din 27.02.2019 încheiat cu SRL „Omnicom”</w:t>
      </w:r>
      <w:r w:rsidR="00F63291" w:rsidRPr="009772A3">
        <w:rPr>
          <w:rFonts w:asciiTheme="majorHAnsi" w:hAnsiTheme="majorHAnsi" w:cstheme="majorHAnsi"/>
          <w:sz w:val="24"/>
          <w:szCs w:val="24"/>
          <w:lang w:val="ro-MD"/>
        </w:rPr>
        <w:t>, ca</w:t>
      </w:r>
      <w:r w:rsidRPr="009772A3">
        <w:rPr>
          <w:rFonts w:asciiTheme="majorHAnsi" w:hAnsiTheme="majorHAnsi" w:cstheme="majorHAnsi"/>
          <w:sz w:val="24"/>
          <w:szCs w:val="24"/>
          <w:lang w:val="ro-MD"/>
        </w:rPr>
        <w:t xml:space="preserve"> urmare </w:t>
      </w:r>
      <w:r w:rsidR="00F63291"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procedurii de achiziție </w:t>
      </w:r>
      <w:r w:rsidR="00F63291" w:rsidRPr="009772A3">
        <w:rPr>
          <w:rFonts w:asciiTheme="majorHAnsi" w:hAnsiTheme="majorHAnsi" w:cstheme="majorHAnsi"/>
          <w:sz w:val="24"/>
          <w:szCs w:val="24"/>
          <w:lang w:val="ro-MD"/>
        </w:rPr>
        <w:t xml:space="preserve">a serviciilor </w:t>
      </w:r>
      <w:r w:rsidRPr="009772A3">
        <w:rPr>
          <w:rFonts w:asciiTheme="majorHAnsi" w:hAnsiTheme="majorHAnsi" w:cstheme="majorHAnsi"/>
          <w:sz w:val="24"/>
          <w:szCs w:val="24"/>
          <w:lang w:val="ro-MD"/>
        </w:rPr>
        <w:t xml:space="preserve">privind inspecția conductelor de gaz prin metoda magnetometrică, a fost prevăzută plata în avans la începutul lucrărilor </w:t>
      </w:r>
      <w:r w:rsidR="00F63291" w:rsidRPr="009772A3">
        <w:rPr>
          <w:rFonts w:asciiTheme="majorHAnsi" w:hAnsiTheme="majorHAnsi" w:cstheme="majorHAnsi"/>
          <w:sz w:val="24"/>
          <w:szCs w:val="24"/>
          <w:lang w:val="ro-MD"/>
        </w:rPr>
        <w:t xml:space="preserve">în cuantum </w:t>
      </w:r>
      <w:r w:rsidRPr="009772A3">
        <w:rPr>
          <w:rFonts w:asciiTheme="majorHAnsi" w:hAnsiTheme="majorHAnsi" w:cstheme="majorHAnsi"/>
          <w:sz w:val="24"/>
          <w:szCs w:val="24"/>
          <w:lang w:val="ro-MD"/>
        </w:rPr>
        <w:t xml:space="preserve">de 20%, ulterior </w:t>
      </w:r>
      <w:r w:rsidR="00F63291"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30% timp de 10 zile de la terminarea lucrărilor în câmp, </w:t>
      </w:r>
      <w:r w:rsidR="008947C1"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40% </w:t>
      </w:r>
      <w:r w:rsidR="008947C1" w:rsidRPr="009772A3">
        <w:rPr>
          <w:rFonts w:asciiTheme="majorHAnsi" w:hAnsiTheme="majorHAnsi" w:cstheme="majorHAnsi"/>
          <w:sz w:val="24"/>
          <w:szCs w:val="24"/>
          <w:lang w:val="ro-MD"/>
        </w:rPr>
        <w:t>–</w:t>
      </w:r>
      <w:r w:rsidR="00F63291"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în termen de 10 zile de la data prezentării de către executant a dării de seamă preventive privind executarea complexă a inspecției</w:t>
      </w:r>
      <w:r w:rsidR="008947C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w:t>
      </w:r>
      <w:r w:rsidR="008947C1"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10% </w:t>
      </w:r>
      <w:r w:rsidR="008947C1"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timp de 10 zile din data prezentării de către executor a dării de seamă definitive. De fapt, agentul economic a fost avansat </w:t>
      </w:r>
      <w:r w:rsidR="003D7CB6" w:rsidRPr="009772A3">
        <w:rPr>
          <w:rFonts w:asciiTheme="majorHAnsi" w:hAnsiTheme="majorHAnsi" w:cstheme="majorHAnsi"/>
          <w:sz w:val="24"/>
          <w:szCs w:val="24"/>
          <w:lang w:val="ro-MD"/>
        </w:rPr>
        <w:t>cu suma totală contractată de 2.</w:t>
      </w:r>
      <w:r w:rsidRPr="009772A3">
        <w:rPr>
          <w:rFonts w:asciiTheme="majorHAnsi" w:hAnsiTheme="majorHAnsi" w:cstheme="majorHAnsi"/>
          <w:sz w:val="24"/>
          <w:szCs w:val="24"/>
          <w:lang w:val="ro-MD"/>
        </w:rPr>
        <w:t>3</w:t>
      </w:r>
      <w:r w:rsidR="003D7CB6" w:rsidRPr="009772A3">
        <w:rPr>
          <w:rFonts w:asciiTheme="majorHAnsi" w:hAnsiTheme="majorHAnsi" w:cstheme="majorHAnsi"/>
          <w:sz w:val="24"/>
          <w:szCs w:val="24"/>
          <w:lang w:val="ro-MD"/>
        </w:rPr>
        <w:t>14,2</w:t>
      </w:r>
      <w:r w:rsidRPr="009772A3">
        <w:rPr>
          <w:rFonts w:asciiTheme="majorHAnsi" w:hAnsiTheme="majorHAnsi" w:cstheme="majorHAnsi"/>
          <w:sz w:val="24"/>
          <w:szCs w:val="24"/>
          <w:lang w:val="ro-MD"/>
        </w:rPr>
        <w:t xml:space="preserve"> mi</w:t>
      </w:r>
      <w:r w:rsidR="003D7CB6"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timp de 9 luni, acesta prezentând doar o singură dare de seamă la finisarea lucrărilor, iar plățile în avans erau incluse în planul de plăți și achitate în baza cererii agentului economic și </w:t>
      </w:r>
      <w:r w:rsidR="008947C1" w:rsidRPr="009772A3">
        <w:rPr>
          <w:rFonts w:asciiTheme="majorHAnsi" w:hAnsiTheme="majorHAnsi" w:cstheme="majorHAnsi"/>
          <w:sz w:val="24"/>
          <w:szCs w:val="24"/>
          <w:lang w:val="ro-MD"/>
        </w:rPr>
        <w:t xml:space="preserve">la </w:t>
      </w:r>
      <w:r w:rsidRPr="009772A3">
        <w:rPr>
          <w:rFonts w:asciiTheme="majorHAnsi" w:hAnsiTheme="majorHAnsi" w:cstheme="majorHAnsi"/>
          <w:sz w:val="24"/>
          <w:szCs w:val="24"/>
          <w:lang w:val="ro-MD"/>
        </w:rPr>
        <w:t>indicațiile conducerii SRL Moldovatransgaz. Analogic, agentul economic respectiv</w:t>
      </w:r>
      <w:r w:rsidR="008947C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a 2 contracte</w:t>
      </w:r>
      <w:r w:rsidRPr="009772A3">
        <w:rPr>
          <w:rFonts w:asciiTheme="majorHAnsi" w:hAnsiTheme="majorHAnsi" w:cstheme="majorHAnsi"/>
          <w:vertAlign w:val="superscript"/>
          <w:lang w:val="ro-MD"/>
        </w:rPr>
        <w:footnoteReference w:id="97"/>
      </w:r>
      <w:r w:rsidR="008947C1" w:rsidRPr="009772A3">
        <w:rPr>
          <w:rFonts w:asciiTheme="majorHAnsi" w:hAnsiTheme="majorHAnsi" w:cstheme="majorHAnsi"/>
          <w:sz w:val="24"/>
          <w:szCs w:val="24"/>
          <w:lang w:val="ro-MD"/>
        </w:rPr>
        <w:t>,</w:t>
      </w:r>
      <w:r w:rsidR="003D7CB6" w:rsidRPr="009772A3">
        <w:rPr>
          <w:rFonts w:asciiTheme="majorHAnsi" w:hAnsiTheme="majorHAnsi" w:cstheme="majorHAnsi"/>
          <w:sz w:val="24"/>
          <w:szCs w:val="24"/>
          <w:vertAlign w:val="superscript"/>
          <w:lang w:val="ro-MD"/>
        </w:rPr>
        <w:t xml:space="preserve"> </w:t>
      </w:r>
      <w:r w:rsidR="003D7CB6" w:rsidRPr="009772A3">
        <w:rPr>
          <w:rFonts w:asciiTheme="majorHAnsi" w:hAnsiTheme="majorHAnsi" w:cstheme="majorHAnsi"/>
          <w:sz w:val="24"/>
          <w:szCs w:val="24"/>
          <w:lang w:val="ro-MD"/>
        </w:rPr>
        <w:t>a fost avansat cu suma de 8.</w:t>
      </w:r>
      <w:r w:rsidRPr="009772A3">
        <w:rPr>
          <w:rFonts w:asciiTheme="majorHAnsi" w:hAnsiTheme="majorHAnsi" w:cstheme="majorHAnsi"/>
          <w:sz w:val="24"/>
          <w:szCs w:val="24"/>
          <w:lang w:val="ro-MD"/>
        </w:rPr>
        <w:t>7</w:t>
      </w:r>
      <w:r w:rsidR="003D7CB6" w:rsidRPr="009772A3">
        <w:rPr>
          <w:rFonts w:asciiTheme="majorHAnsi" w:hAnsiTheme="majorHAnsi" w:cstheme="majorHAnsi"/>
          <w:sz w:val="24"/>
          <w:szCs w:val="24"/>
          <w:lang w:val="ro-MD"/>
        </w:rPr>
        <w:t>43,1</w:t>
      </w:r>
      <w:r w:rsidRPr="009772A3">
        <w:rPr>
          <w:rFonts w:asciiTheme="majorHAnsi" w:hAnsiTheme="majorHAnsi" w:cstheme="majorHAnsi"/>
          <w:sz w:val="24"/>
          <w:szCs w:val="24"/>
          <w:lang w:val="ro-MD"/>
        </w:rPr>
        <w:t xml:space="preserve"> mi</w:t>
      </w:r>
      <w:r w:rsidR="003D7CB6"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timp de 8 luni și</w:t>
      </w:r>
      <w:r w:rsidR="008947C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respectiv</w:t>
      </w:r>
      <w:r w:rsidR="008947C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suma de 5</w:t>
      </w:r>
      <w:r w:rsidR="008947C1" w:rsidRPr="009772A3">
        <w:rPr>
          <w:rFonts w:asciiTheme="majorHAnsi" w:hAnsiTheme="majorHAnsi" w:cstheme="majorHAnsi"/>
          <w:sz w:val="24"/>
          <w:szCs w:val="24"/>
          <w:lang w:val="ro-MD"/>
        </w:rPr>
        <w:t>.</w:t>
      </w:r>
      <w:r w:rsidR="003D7CB6" w:rsidRPr="009772A3">
        <w:rPr>
          <w:rFonts w:asciiTheme="majorHAnsi" w:hAnsiTheme="majorHAnsi" w:cstheme="majorHAnsi"/>
          <w:sz w:val="24"/>
          <w:szCs w:val="24"/>
          <w:lang w:val="ro-MD"/>
        </w:rPr>
        <w:t>192,4 mii</w:t>
      </w:r>
      <w:r w:rsidRPr="009772A3">
        <w:rPr>
          <w:rFonts w:asciiTheme="majorHAnsi" w:hAnsiTheme="majorHAnsi" w:cstheme="majorHAnsi"/>
          <w:sz w:val="24"/>
          <w:szCs w:val="24"/>
          <w:lang w:val="ro-MD"/>
        </w:rPr>
        <w:t xml:space="preserve"> lei timp de 11 luni.</w:t>
      </w:r>
    </w:p>
    <w:p w14:paraId="388FBAD2" w14:textId="6AF0F510" w:rsidR="009D58CC" w:rsidRPr="009772A3" w:rsidRDefault="009D58CC" w:rsidP="009D58C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perioada 2017-2018</w:t>
      </w:r>
      <w:r w:rsidR="008947C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 „Chișinău-gaz” a acordat avansuri unor </w:t>
      </w:r>
      <w:r w:rsidR="00F1244B"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genți economici în proporție de 50%-100%</w:t>
      </w:r>
      <w:r w:rsidR="008947C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au însumat în total </w:t>
      </w:r>
      <w:r w:rsidR="00EE7D13" w:rsidRPr="009772A3">
        <w:rPr>
          <w:rFonts w:asciiTheme="majorHAnsi" w:hAnsiTheme="majorHAnsi" w:cstheme="majorHAnsi"/>
          <w:sz w:val="24"/>
          <w:szCs w:val="24"/>
          <w:lang w:val="ro-MD"/>
        </w:rPr>
        <w:t>32.079,2</w:t>
      </w:r>
      <w:r w:rsidRPr="009772A3">
        <w:rPr>
          <w:rFonts w:asciiTheme="majorHAnsi" w:hAnsiTheme="majorHAnsi" w:cstheme="majorHAnsi"/>
          <w:sz w:val="24"/>
          <w:szCs w:val="24"/>
          <w:lang w:val="ro-MD"/>
        </w:rPr>
        <w:t xml:space="preserve"> mii lei, iar în unele cazuri valoarea avansului acordat acoperea valoarea bunurilor importate, care ulterior erau comercializate societăți</w:t>
      </w:r>
      <w:r w:rsidR="008947C1"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ceea ce denotă utilizare</w:t>
      </w:r>
      <w:r w:rsidR="008947C1"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ineficientă a resurselor financiare.</w:t>
      </w:r>
    </w:p>
    <w:p w14:paraId="742FF658" w14:textId="5EC122DF" w:rsidR="001953D0" w:rsidRPr="009772A3" w:rsidRDefault="0059537C" w:rsidP="009D58CC">
      <w:pPr>
        <w:spacing w:after="0" w:line="276" w:lineRule="auto"/>
        <w:ind w:firstLine="709"/>
        <w:jc w:val="both"/>
        <w:rPr>
          <w:rFonts w:asciiTheme="majorHAnsi" w:hAnsiTheme="majorHAnsi" w:cstheme="majorHAnsi"/>
          <w:b/>
          <w:i/>
          <w:sz w:val="24"/>
          <w:szCs w:val="24"/>
          <w:lang w:val="ro-MD"/>
        </w:rPr>
      </w:pPr>
      <w:r w:rsidRPr="009772A3">
        <w:rPr>
          <w:rFonts w:asciiTheme="majorHAnsi" w:hAnsiTheme="majorHAnsi" w:cstheme="majorHAnsi"/>
          <w:b/>
          <w:i/>
          <w:sz w:val="24"/>
          <w:szCs w:val="24"/>
          <w:lang w:val="ro-MD"/>
        </w:rPr>
        <w:t xml:space="preserve">Analiza </w:t>
      </w:r>
      <w:r w:rsidR="008947C1" w:rsidRPr="009772A3">
        <w:rPr>
          <w:rFonts w:asciiTheme="majorHAnsi" w:hAnsiTheme="majorHAnsi" w:cstheme="majorHAnsi"/>
          <w:b/>
          <w:i/>
          <w:sz w:val="24"/>
          <w:szCs w:val="24"/>
          <w:lang w:val="ro-MD"/>
        </w:rPr>
        <w:t xml:space="preserve">în </w:t>
      </w:r>
      <w:r w:rsidRPr="009772A3">
        <w:rPr>
          <w:rFonts w:asciiTheme="majorHAnsi" w:hAnsiTheme="majorHAnsi" w:cstheme="majorHAnsi"/>
          <w:b/>
          <w:i/>
          <w:sz w:val="24"/>
          <w:szCs w:val="24"/>
          <w:lang w:val="ro-MD"/>
        </w:rPr>
        <w:t>dinamic</w:t>
      </w:r>
      <w:r w:rsidR="008947C1" w:rsidRPr="009772A3">
        <w:rPr>
          <w:rFonts w:asciiTheme="majorHAnsi" w:hAnsiTheme="majorHAnsi" w:cstheme="majorHAnsi"/>
          <w:b/>
          <w:i/>
          <w:sz w:val="24"/>
          <w:szCs w:val="24"/>
          <w:lang w:val="ro-MD"/>
        </w:rPr>
        <w:t>ă a</w:t>
      </w:r>
      <w:r w:rsidRPr="009772A3">
        <w:rPr>
          <w:rFonts w:asciiTheme="majorHAnsi" w:hAnsiTheme="majorHAnsi" w:cstheme="majorHAnsi"/>
          <w:b/>
          <w:i/>
          <w:sz w:val="24"/>
          <w:szCs w:val="24"/>
          <w:lang w:val="ro-MD"/>
        </w:rPr>
        <w:t xml:space="preserve"> acordării avansurilor a relevat că </w:t>
      </w:r>
      <w:r w:rsidR="001953D0" w:rsidRPr="009772A3">
        <w:rPr>
          <w:rFonts w:asciiTheme="majorHAnsi" w:hAnsiTheme="majorHAnsi" w:cstheme="majorHAnsi"/>
          <w:b/>
          <w:i/>
          <w:sz w:val="24"/>
          <w:szCs w:val="24"/>
          <w:lang w:val="ro-MD"/>
        </w:rPr>
        <w:t xml:space="preserve">cota </w:t>
      </w:r>
      <w:r w:rsidR="00915A36" w:rsidRPr="009772A3">
        <w:rPr>
          <w:rFonts w:asciiTheme="majorHAnsi" w:hAnsiTheme="majorHAnsi" w:cstheme="majorHAnsi"/>
          <w:b/>
          <w:i/>
          <w:sz w:val="24"/>
          <w:szCs w:val="24"/>
          <w:lang w:val="ro-MD"/>
        </w:rPr>
        <w:t>acestora</w:t>
      </w:r>
      <w:r w:rsidR="001953D0" w:rsidRPr="009772A3">
        <w:rPr>
          <w:rFonts w:asciiTheme="majorHAnsi" w:hAnsiTheme="majorHAnsi" w:cstheme="majorHAnsi"/>
          <w:b/>
          <w:i/>
          <w:sz w:val="24"/>
          <w:szCs w:val="24"/>
          <w:lang w:val="ro-MD"/>
        </w:rPr>
        <w:t>, în perioada 2017-2021</w:t>
      </w:r>
      <w:r w:rsidR="008947C1" w:rsidRPr="009772A3">
        <w:rPr>
          <w:rFonts w:asciiTheme="majorHAnsi" w:hAnsiTheme="majorHAnsi" w:cstheme="majorHAnsi"/>
          <w:b/>
          <w:i/>
          <w:sz w:val="24"/>
          <w:szCs w:val="24"/>
          <w:lang w:val="ro-MD"/>
        </w:rPr>
        <w:t>,</w:t>
      </w:r>
      <w:r w:rsidR="001953D0" w:rsidRPr="009772A3">
        <w:rPr>
          <w:rFonts w:asciiTheme="majorHAnsi" w:hAnsiTheme="majorHAnsi" w:cstheme="majorHAnsi"/>
          <w:b/>
          <w:i/>
          <w:sz w:val="24"/>
          <w:szCs w:val="24"/>
          <w:lang w:val="ro-MD"/>
        </w:rPr>
        <w:t xml:space="preserve"> a fost în permanentă scădere, ajung</w:t>
      </w:r>
      <w:r w:rsidR="008947C1" w:rsidRPr="009772A3">
        <w:rPr>
          <w:rFonts w:asciiTheme="majorHAnsi" w:hAnsiTheme="majorHAnsi" w:cstheme="majorHAnsi"/>
          <w:b/>
          <w:i/>
          <w:sz w:val="24"/>
          <w:szCs w:val="24"/>
          <w:lang w:val="ro-MD"/>
        </w:rPr>
        <w:t>â</w:t>
      </w:r>
      <w:r w:rsidR="001953D0" w:rsidRPr="009772A3">
        <w:rPr>
          <w:rFonts w:asciiTheme="majorHAnsi" w:hAnsiTheme="majorHAnsi" w:cstheme="majorHAnsi"/>
          <w:b/>
          <w:i/>
          <w:sz w:val="24"/>
          <w:szCs w:val="24"/>
          <w:lang w:val="ro-MD"/>
        </w:rPr>
        <w:t>nd în anul 2021 la 0% pentru lucrări și servicii</w:t>
      </w:r>
      <w:r w:rsidR="00915A36" w:rsidRPr="009772A3">
        <w:rPr>
          <w:rFonts w:asciiTheme="majorHAnsi" w:hAnsiTheme="majorHAnsi" w:cstheme="majorHAnsi"/>
          <w:b/>
          <w:i/>
          <w:sz w:val="24"/>
          <w:szCs w:val="24"/>
          <w:lang w:val="ro-MD"/>
        </w:rPr>
        <w:t xml:space="preserve"> și la 20% </w:t>
      </w:r>
      <w:r w:rsidR="008947C1" w:rsidRPr="009772A3">
        <w:rPr>
          <w:rFonts w:asciiTheme="majorHAnsi" w:hAnsiTheme="majorHAnsi" w:cstheme="majorHAnsi"/>
          <w:sz w:val="24"/>
          <w:szCs w:val="24"/>
          <w:lang w:val="ro-MD"/>
        </w:rPr>
        <w:t xml:space="preserve">– </w:t>
      </w:r>
      <w:r w:rsidR="00915A36" w:rsidRPr="009772A3">
        <w:rPr>
          <w:rFonts w:asciiTheme="majorHAnsi" w:hAnsiTheme="majorHAnsi" w:cstheme="majorHAnsi"/>
          <w:b/>
          <w:i/>
          <w:sz w:val="24"/>
          <w:szCs w:val="24"/>
          <w:lang w:val="ro-MD"/>
        </w:rPr>
        <w:t>pentru bunuri</w:t>
      </w:r>
      <w:r w:rsidR="0068537D" w:rsidRPr="009772A3">
        <w:rPr>
          <w:rFonts w:asciiTheme="majorHAnsi" w:hAnsiTheme="majorHAnsi" w:cstheme="majorHAnsi"/>
          <w:b/>
          <w:i/>
          <w:sz w:val="24"/>
          <w:szCs w:val="24"/>
          <w:lang w:val="ro-MD"/>
        </w:rPr>
        <w:t>,</w:t>
      </w:r>
      <w:r w:rsidR="00915A36" w:rsidRPr="009772A3">
        <w:rPr>
          <w:rFonts w:asciiTheme="majorHAnsi" w:hAnsiTheme="majorHAnsi" w:cstheme="majorHAnsi"/>
          <w:b/>
          <w:i/>
          <w:sz w:val="24"/>
          <w:szCs w:val="24"/>
          <w:lang w:val="ro-MD"/>
        </w:rPr>
        <w:t xml:space="preserve"> iar</w:t>
      </w:r>
      <w:r w:rsidR="0068537D" w:rsidRPr="009772A3">
        <w:rPr>
          <w:rFonts w:asciiTheme="majorHAnsi" w:hAnsiTheme="majorHAnsi" w:cstheme="majorHAnsi"/>
          <w:b/>
          <w:i/>
          <w:sz w:val="24"/>
          <w:szCs w:val="24"/>
          <w:lang w:val="ro-MD"/>
        </w:rPr>
        <w:t xml:space="preserve"> în anul 2022 n</w:t>
      </w:r>
      <w:r w:rsidR="00F1244B" w:rsidRPr="009772A3">
        <w:rPr>
          <w:rFonts w:asciiTheme="majorHAnsi" w:hAnsiTheme="majorHAnsi" w:cstheme="majorHAnsi"/>
          <w:b/>
          <w:i/>
          <w:sz w:val="24"/>
          <w:szCs w:val="24"/>
          <w:lang w:val="ro-MD"/>
        </w:rPr>
        <w:t xml:space="preserve">u au mai fost </w:t>
      </w:r>
      <w:r w:rsidR="0068537D" w:rsidRPr="009772A3">
        <w:rPr>
          <w:rFonts w:asciiTheme="majorHAnsi" w:hAnsiTheme="majorHAnsi" w:cstheme="majorHAnsi"/>
          <w:b/>
          <w:i/>
          <w:sz w:val="24"/>
          <w:szCs w:val="24"/>
          <w:lang w:val="ro-MD"/>
        </w:rPr>
        <w:t xml:space="preserve">acordate. </w:t>
      </w:r>
    </w:p>
    <w:p w14:paraId="2F6E6E54" w14:textId="657AB2FF" w:rsidR="008856E0" w:rsidRPr="00CF3AD4" w:rsidRDefault="00F44B5C" w:rsidP="00CF3AD4">
      <w:pPr>
        <w:pStyle w:val="Heading1"/>
        <w:numPr>
          <w:ilvl w:val="3"/>
          <w:numId w:val="2"/>
        </w:numPr>
        <w:tabs>
          <w:tab w:val="left" w:pos="851"/>
        </w:tabs>
        <w:spacing w:line="276" w:lineRule="auto"/>
        <w:ind w:left="0" w:firstLine="0"/>
        <w:jc w:val="both"/>
        <w:rPr>
          <w:i/>
          <w:lang w:val="ro-MD"/>
        </w:rPr>
      </w:pPr>
      <w:bookmarkStart w:id="128" w:name="_Toc117775781"/>
      <w:bookmarkStart w:id="129" w:name="_Toc118297720"/>
      <w:bookmarkStart w:id="130" w:name="_Toc118465748"/>
      <w:bookmarkStart w:id="131" w:name="_Toc119496422"/>
      <w:r w:rsidRPr="00CF3AD4">
        <w:rPr>
          <w:i/>
          <w:color w:val="auto"/>
          <w:lang w:val="ro-MD"/>
        </w:rPr>
        <w:t>Stabilirea adao</w:t>
      </w:r>
      <w:r w:rsidR="00FD1AA6" w:rsidRPr="00CF3AD4">
        <w:rPr>
          <w:i/>
          <w:color w:val="auto"/>
          <w:lang w:val="ro-MD"/>
        </w:rPr>
        <w:t>sului comercial pentru efectuarea centralizată a achizițiilor de bunuri și lucrări, a generat cheltuieli</w:t>
      </w:r>
      <w:r w:rsidR="008856E0" w:rsidRPr="00CF3AD4">
        <w:rPr>
          <w:i/>
          <w:color w:val="auto"/>
          <w:lang w:val="ro-MD"/>
        </w:rPr>
        <w:t xml:space="preserve"> de 8.892,5 mii lei, care puteau fi evitate în cazul fuzionării</w:t>
      </w:r>
      <w:r w:rsidR="008856E0" w:rsidRPr="00CF3AD4" w:rsidDel="008856E0">
        <w:rPr>
          <w:i/>
          <w:color w:val="auto"/>
          <w:lang w:val="ro-MD"/>
        </w:rPr>
        <w:t xml:space="preserve"> </w:t>
      </w:r>
      <w:r w:rsidR="00FD1AA6" w:rsidRPr="00CF3AD4">
        <w:rPr>
          <w:i/>
          <w:color w:val="auto"/>
          <w:lang w:val="ro-MD"/>
        </w:rPr>
        <w:t>întreprinderilor de distribuție a gazelo</w:t>
      </w:r>
      <w:r w:rsidR="009F7C06" w:rsidRPr="00CF3AD4">
        <w:rPr>
          <w:i/>
          <w:color w:val="auto"/>
          <w:lang w:val="ro-MD"/>
        </w:rPr>
        <w:t>r naturale</w:t>
      </w:r>
      <w:r w:rsidR="00FD1AA6" w:rsidRPr="00CF3AD4">
        <w:rPr>
          <w:i/>
          <w:color w:val="auto"/>
          <w:lang w:val="ro-MD"/>
        </w:rPr>
        <w:t>.</w:t>
      </w:r>
      <w:bookmarkEnd w:id="128"/>
      <w:bookmarkEnd w:id="129"/>
      <w:bookmarkEnd w:id="130"/>
      <w:bookmarkEnd w:id="131"/>
      <w:r w:rsidR="008856E0" w:rsidRPr="00CF3AD4">
        <w:rPr>
          <w:i/>
          <w:color w:val="auto"/>
          <w:lang w:val="ro-MD"/>
        </w:rPr>
        <w:t xml:space="preserve"> </w:t>
      </w:r>
    </w:p>
    <w:p w14:paraId="6B4A2780" w14:textId="6F48B901" w:rsidR="007A1572" w:rsidRPr="009772A3" w:rsidRDefault="009F7C06" w:rsidP="009F7C0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Conform dispoziției SA Moldovagaz din 2014</w:t>
      </w:r>
      <w:r w:rsidRPr="009772A3">
        <w:rPr>
          <w:rFonts w:asciiTheme="majorHAnsi" w:hAnsiTheme="majorHAnsi" w:cstheme="majorHAnsi"/>
          <w:sz w:val="24"/>
          <w:szCs w:val="24"/>
          <w:vertAlign w:val="superscript"/>
          <w:lang w:val="ro-MD"/>
        </w:rPr>
        <w:footnoteReference w:id="98"/>
      </w:r>
      <w:r w:rsidRPr="009772A3">
        <w:rPr>
          <w:rFonts w:asciiTheme="majorHAnsi" w:hAnsiTheme="majorHAnsi" w:cstheme="majorHAnsi"/>
          <w:sz w:val="24"/>
          <w:szCs w:val="24"/>
          <w:lang w:val="ro-MD"/>
        </w:rPr>
        <w:t xml:space="preserve">, în scopul îmbunătățirii activității de gestionare a resurselor tehnico-materiale și </w:t>
      </w:r>
      <w:r w:rsidR="008947C1"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furnizare a acestora întreprinderilor de distribuție a gazelor naturale din sistem, s-a dispus planificarea și organizarea centralizată a concursurilor privind procedurile de achiziție a bunurilor, lucrărilor și serviciilor</w:t>
      </w:r>
      <w:r w:rsidR="0095134E" w:rsidRPr="009772A3">
        <w:rPr>
          <w:rFonts w:asciiTheme="majorHAnsi" w:hAnsiTheme="majorHAnsi" w:cstheme="majorHAnsi"/>
          <w:sz w:val="24"/>
          <w:szCs w:val="24"/>
          <w:lang w:val="ro-MD"/>
        </w:rPr>
        <w:t xml:space="preserve"> de către </w:t>
      </w:r>
      <w:r w:rsidR="007A1572" w:rsidRPr="009772A3">
        <w:rPr>
          <w:rFonts w:asciiTheme="majorHAnsi" w:hAnsiTheme="majorHAnsi" w:cstheme="majorHAnsi"/>
          <w:sz w:val="24"/>
          <w:szCs w:val="24"/>
          <w:lang w:val="ro-MD"/>
        </w:rPr>
        <w:t>SRL Moldovatransgaz, SRL Chișinău-gaz și SRL Bălți-gaz</w:t>
      </w:r>
      <w:r w:rsidRPr="009772A3">
        <w:rPr>
          <w:rFonts w:asciiTheme="majorHAnsi" w:hAnsiTheme="majorHAnsi" w:cstheme="majorHAnsi"/>
          <w:sz w:val="24"/>
          <w:szCs w:val="24"/>
          <w:lang w:val="ro-MD"/>
        </w:rPr>
        <w:t xml:space="preserve">. </w:t>
      </w:r>
      <w:r w:rsidR="007A1572" w:rsidRPr="009772A3">
        <w:rPr>
          <w:rFonts w:asciiTheme="majorHAnsi" w:hAnsiTheme="majorHAnsi" w:cstheme="majorHAnsi"/>
          <w:sz w:val="24"/>
          <w:szCs w:val="24"/>
          <w:lang w:val="ro-MD"/>
        </w:rPr>
        <w:t>D</w:t>
      </w:r>
      <w:r w:rsidR="0095134E" w:rsidRPr="009772A3">
        <w:rPr>
          <w:rFonts w:asciiTheme="majorHAnsi" w:hAnsiTheme="majorHAnsi" w:cstheme="majorHAnsi"/>
          <w:sz w:val="24"/>
          <w:szCs w:val="24"/>
          <w:lang w:val="ro-MD"/>
        </w:rPr>
        <w:t xml:space="preserve">in 08.07.2016, </w:t>
      </w:r>
      <w:r w:rsidR="007A1572" w:rsidRPr="009772A3">
        <w:rPr>
          <w:rFonts w:asciiTheme="majorHAnsi" w:hAnsiTheme="majorHAnsi" w:cstheme="majorHAnsi"/>
          <w:sz w:val="24"/>
          <w:szCs w:val="24"/>
          <w:lang w:val="ro-MD"/>
        </w:rPr>
        <w:t>odată</w:t>
      </w:r>
      <w:r w:rsidR="0095134E" w:rsidRPr="009772A3">
        <w:rPr>
          <w:rFonts w:asciiTheme="majorHAnsi" w:hAnsiTheme="majorHAnsi" w:cstheme="majorHAnsi"/>
          <w:sz w:val="24"/>
          <w:szCs w:val="24"/>
          <w:lang w:val="ro-MD"/>
        </w:rPr>
        <w:t xml:space="preserve"> cu intrare</w:t>
      </w:r>
      <w:r w:rsidR="00287A9F" w:rsidRPr="009772A3">
        <w:rPr>
          <w:rFonts w:asciiTheme="majorHAnsi" w:hAnsiTheme="majorHAnsi" w:cstheme="majorHAnsi"/>
          <w:sz w:val="24"/>
          <w:szCs w:val="24"/>
          <w:lang w:val="ro-MD"/>
        </w:rPr>
        <w:t>a</w:t>
      </w:r>
      <w:r w:rsidR="0095134E" w:rsidRPr="009772A3">
        <w:rPr>
          <w:rFonts w:asciiTheme="majorHAnsi" w:hAnsiTheme="majorHAnsi" w:cstheme="majorHAnsi"/>
          <w:sz w:val="24"/>
          <w:szCs w:val="24"/>
          <w:lang w:val="ro-MD"/>
        </w:rPr>
        <w:t xml:space="preserve"> în vigoare a prevederilor Legii nr.108/2016, </w:t>
      </w:r>
      <w:r w:rsidR="008947C1" w:rsidRPr="009772A3">
        <w:rPr>
          <w:rFonts w:asciiTheme="majorHAnsi" w:hAnsiTheme="majorHAnsi" w:cstheme="majorHAnsi"/>
          <w:sz w:val="24"/>
          <w:szCs w:val="24"/>
          <w:lang w:val="ro-MD"/>
        </w:rPr>
        <w:t>d</w:t>
      </w:r>
      <w:r w:rsidR="007A1572" w:rsidRPr="009772A3">
        <w:rPr>
          <w:rFonts w:asciiTheme="majorHAnsi" w:hAnsiTheme="majorHAnsi" w:cstheme="majorHAnsi"/>
          <w:sz w:val="24"/>
          <w:szCs w:val="24"/>
          <w:lang w:val="ro-MD"/>
        </w:rPr>
        <w:t xml:space="preserve">ispozițiile SA </w:t>
      </w:r>
      <w:r w:rsidR="0095134E" w:rsidRPr="009772A3">
        <w:rPr>
          <w:rFonts w:asciiTheme="majorHAnsi" w:hAnsiTheme="majorHAnsi" w:cstheme="majorHAnsi"/>
          <w:sz w:val="24"/>
          <w:szCs w:val="24"/>
          <w:lang w:val="ro-MD"/>
        </w:rPr>
        <w:t xml:space="preserve">Moldovagaz privind organizarea achizițiilor centralizate au fost abrogate. </w:t>
      </w:r>
    </w:p>
    <w:p w14:paraId="18906141" w14:textId="2F31D2C1" w:rsidR="006A0EF0" w:rsidRPr="009772A3" w:rsidRDefault="007A1572" w:rsidP="006A0EF0">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Probele colectate de audit denotă că </w:t>
      </w:r>
      <w:r w:rsidR="006A0EF0" w:rsidRPr="009772A3">
        <w:rPr>
          <w:rFonts w:asciiTheme="majorHAnsi" w:hAnsiTheme="majorHAnsi" w:cstheme="majorHAnsi"/>
          <w:sz w:val="24"/>
          <w:szCs w:val="24"/>
          <w:lang w:val="ro-MD"/>
        </w:rPr>
        <w:t>în perioada 2017</w:t>
      </w:r>
      <w:r w:rsidR="008947C1" w:rsidRPr="009772A3">
        <w:rPr>
          <w:rFonts w:asciiTheme="majorHAnsi" w:hAnsiTheme="majorHAnsi" w:cstheme="majorHAnsi"/>
          <w:sz w:val="24"/>
          <w:szCs w:val="24"/>
          <w:lang w:val="ro-MD"/>
        </w:rPr>
        <w:t>-</w:t>
      </w:r>
      <w:r w:rsidR="006A0EF0" w:rsidRPr="009772A3">
        <w:rPr>
          <w:rFonts w:asciiTheme="majorHAnsi" w:hAnsiTheme="majorHAnsi" w:cstheme="majorHAnsi"/>
          <w:sz w:val="24"/>
          <w:szCs w:val="24"/>
          <w:lang w:val="ro-MD"/>
        </w:rPr>
        <w:t>2018</w:t>
      </w:r>
      <w:r w:rsidR="0007041A" w:rsidRPr="009772A3">
        <w:rPr>
          <w:rFonts w:asciiTheme="majorHAnsi" w:hAnsiTheme="majorHAnsi" w:cstheme="majorHAnsi"/>
          <w:sz w:val="24"/>
          <w:szCs w:val="24"/>
          <w:lang w:val="ro-MD"/>
        </w:rPr>
        <w:t>,</w:t>
      </w:r>
      <w:r w:rsidR="006A0EF0" w:rsidRPr="009772A3">
        <w:rPr>
          <w:rFonts w:asciiTheme="majorHAnsi" w:hAnsiTheme="majorHAnsi" w:cstheme="majorHAnsi"/>
          <w:sz w:val="24"/>
          <w:szCs w:val="24"/>
          <w:lang w:val="ro-MD"/>
        </w:rPr>
        <w:t xml:space="preserve"> SRL Moldovatransgaz a organizat și </w:t>
      </w:r>
      <w:r w:rsidR="008947C1" w:rsidRPr="009772A3">
        <w:rPr>
          <w:rFonts w:asciiTheme="majorHAnsi" w:hAnsiTheme="majorHAnsi" w:cstheme="majorHAnsi"/>
          <w:sz w:val="24"/>
          <w:szCs w:val="24"/>
          <w:lang w:val="ro-MD"/>
        </w:rPr>
        <w:t xml:space="preserve">a </w:t>
      </w:r>
      <w:r w:rsidR="006A0EF0" w:rsidRPr="009772A3">
        <w:rPr>
          <w:rFonts w:asciiTheme="majorHAnsi" w:hAnsiTheme="majorHAnsi" w:cstheme="majorHAnsi"/>
          <w:sz w:val="24"/>
          <w:szCs w:val="24"/>
          <w:lang w:val="ro-MD"/>
        </w:rPr>
        <w:t xml:space="preserve">desfășurat </w:t>
      </w:r>
      <w:r w:rsidR="007A653F" w:rsidRPr="009772A3">
        <w:rPr>
          <w:rFonts w:asciiTheme="majorHAnsi" w:hAnsiTheme="majorHAnsi" w:cstheme="majorHAnsi"/>
          <w:sz w:val="24"/>
          <w:szCs w:val="24"/>
          <w:lang w:val="ro-MD"/>
        </w:rPr>
        <w:t>31</w:t>
      </w:r>
      <w:r w:rsidR="006A0EF0" w:rsidRPr="009772A3">
        <w:rPr>
          <w:rFonts w:asciiTheme="majorHAnsi" w:hAnsiTheme="majorHAnsi" w:cstheme="majorHAnsi"/>
          <w:sz w:val="24"/>
          <w:szCs w:val="24"/>
          <w:lang w:val="ro-MD"/>
        </w:rPr>
        <w:t xml:space="preserve"> proceduri de</w:t>
      </w:r>
      <w:r w:rsidR="007A653F" w:rsidRPr="009772A3">
        <w:rPr>
          <w:rFonts w:asciiTheme="majorHAnsi" w:hAnsiTheme="majorHAnsi" w:cstheme="majorHAnsi"/>
          <w:sz w:val="24"/>
          <w:szCs w:val="24"/>
          <w:lang w:val="ro-MD"/>
        </w:rPr>
        <w:t xml:space="preserve"> achiziții </w:t>
      </w:r>
      <w:r w:rsidR="00287A9F" w:rsidRPr="009772A3">
        <w:rPr>
          <w:rFonts w:asciiTheme="majorHAnsi" w:hAnsiTheme="majorHAnsi" w:cstheme="majorHAnsi"/>
          <w:sz w:val="24"/>
          <w:szCs w:val="24"/>
          <w:lang w:val="ro-MD"/>
        </w:rPr>
        <w:t xml:space="preserve">centralizate </w:t>
      </w:r>
      <w:r w:rsidR="007A653F" w:rsidRPr="009772A3">
        <w:rPr>
          <w:rFonts w:asciiTheme="majorHAnsi" w:hAnsiTheme="majorHAnsi" w:cstheme="majorHAnsi"/>
          <w:sz w:val="24"/>
          <w:szCs w:val="24"/>
          <w:lang w:val="ro-MD"/>
        </w:rPr>
        <w:t>în valoare totală de 183.744,5</w:t>
      </w:r>
      <w:r w:rsidR="006A0EF0" w:rsidRPr="009772A3">
        <w:rPr>
          <w:rFonts w:asciiTheme="majorHAnsi" w:hAnsiTheme="majorHAnsi" w:cstheme="majorHAnsi"/>
          <w:sz w:val="24"/>
          <w:szCs w:val="24"/>
          <w:lang w:val="ro-MD"/>
        </w:rPr>
        <w:t xml:space="preserve"> mii lei, în perioada 2017</w:t>
      </w:r>
      <w:r w:rsidR="00F6763B" w:rsidRPr="009772A3">
        <w:rPr>
          <w:rFonts w:asciiTheme="majorHAnsi" w:hAnsiTheme="majorHAnsi" w:cstheme="majorHAnsi"/>
          <w:sz w:val="24"/>
          <w:szCs w:val="24"/>
          <w:lang w:val="ro-MD"/>
        </w:rPr>
        <w:t>-</w:t>
      </w:r>
      <w:r w:rsidR="006A0EF0" w:rsidRPr="009772A3">
        <w:rPr>
          <w:rFonts w:asciiTheme="majorHAnsi" w:hAnsiTheme="majorHAnsi" w:cstheme="majorHAnsi"/>
          <w:sz w:val="24"/>
          <w:szCs w:val="24"/>
          <w:lang w:val="ro-MD"/>
        </w:rPr>
        <w:t>2021</w:t>
      </w:r>
      <w:r w:rsidR="0007041A" w:rsidRPr="009772A3">
        <w:rPr>
          <w:rFonts w:asciiTheme="majorHAnsi" w:hAnsiTheme="majorHAnsi" w:cstheme="majorHAnsi"/>
          <w:sz w:val="24"/>
          <w:szCs w:val="24"/>
          <w:lang w:val="ro-MD"/>
        </w:rPr>
        <w:t>,</w:t>
      </w:r>
      <w:r w:rsidR="006A0EF0" w:rsidRPr="009772A3">
        <w:rPr>
          <w:rFonts w:asciiTheme="majorHAnsi" w:hAnsiTheme="majorHAnsi" w:cstheme="majorHAnsi"/>
          <w:sz w:val="24"/>
          <w:szCs w:val="24"/>
          <w:lang w:val="ro-MD"/>
        </w:rPr>
        <w:t xml:space="preserve"> SRL Chișinău-gaz a organizat și </w:t>
      </w:r>
      <w:r w:rsidR="00187114" w:rsidRPr="009772A3">
        <w:rPr>
          <w:rFonts w:asciiTheme="majorHAnsi" w:hAnsiTheme="majorHAnsi" w:cstheme="majorHAnsi"/>
          <w:sz w:val="24"/>
          <w:szCs w:val="24"/>
          <w:lang w:val="ro-MD"/>
        </w:rPr>
        <w:t xml:space="preserve">a </w:t>
      </w:r>
      <w:r w:rsidR="006A0EF0" w:rsidRPr="009772A3">
        <w:rPr>
          <w:rFonts w:asciiTheme="majorHAnsi" w:hAnsiTheme="majorHAnsi" w:cstheme="majorHAnsi"/>
          <w:sz w:val="24"/>
          <w:szCs w:val="24"/>
          <w:lang w:val="ro-MD"/>
        </w:rPr>
        <w:t xml:space="preserve">desfășurat 147 proceduri de achizții </w:t>
      </w:r>
      <w:r w:rsidR="00287A9F" w:rsidRPr="009772A3">
        <w:rPr>
          <w:rFonts w:asciiTheme="majorHAnsi" w:hAnsiTheme="majorHAnsi" w:cstheme="majorHAnsi"/>
          <w:sz w:val="24"/>
          <w:szCs w:val="24"/>
          <w:lang w:val="ro-MD"/>
        </w:rPr>
        <w:t xml:space="preserve">centralizate </w:t>
      </w:r>
      <w:r w:rsidR="006A0EF0" w:rsidRPr="009772A3">
        <w:rPr>
          <w:rFonts w:asciiTheme="majorHAnsi" w:hAnsiTheme="majorHAnsi" w:cstheme="majorHAnsi"/>
          <w:sz w:val="24"/>
          <w:szCs w:val="24"/>
          <w:lang w:val="ro-MD"/>
        </w:rPr>
        <w:t>în valoare totală de 677.308,7 mii lei, iar SRL Bălți</w:t>
      </w:r>
      <w:r w:rsidR="00F6763B" w:rsidRPr="009772A3">
        <w:rPr>
          <w:rFonts w:asciiTheme="majorHAnsi" w:hAnsiTheme="majorHAnsi" w:cstheme="majorHAnsi"/>
          <w:sz w:val="24"/>
          <w:szCs w:val="24"/>
          <w:lang w:val="ro-MD"/>
        </w:rPr>
        <w:t>-</w:t>
      </w:r>
      <w:r w:rsidR="006A0EF0" w:rsidRPr="009772A3">
        <w:rPr>
          <w:rFonts w:asciiTheme="majorHAnsi" w:hAnsiTheme="majorHAnsi" w:cstheme="majorHAnsi"/>
          <w:sz w:val="24"/>
          <w:szCs w:val="24"/>
          <w:lang w:val="ro-MD"/>
        </w:rPr>
        <w:t xml:space="preserve">gaz nu a organizat și </w:t>
      </w:r>
      <w:r w:rsidR="00F6763B" w:rsidRPr="009772A3">
        <w:rPr>
          <w:rFonts w:asciiTheme="majorHAnsi" w:hAnsiTheme="majorHAnsi" w:cstheme="majorHAnsi"/>
          <w:sz w:val="24"/>
          <w:szCs w:val="24"/>
          <w:lang w:val="ro-MD"/>
        </w:rPr>
        <w:t xml:space="preserve">nu a </w:t>
      </w:r>
      <w:r w:rsidR="006A0EF0" w:rsidRPr="009772A3">
        <w:rPr>
          <w:rFonts w:asciiTheme="majorHAnsi" w:hAnsiTheme="majorHAnsi" w:cstheme="majorHAnsi"/>
          <w:sz w:val="24"/>
          <w:szCs w:val="24"/>
          <w:lang w:val="ro-MD"/>
        </w:rPr>
        <w:t xml:space="preserve">desfășurat proceduri de achiziții centralizate. </w:t>
      </w:r>
      <w:r w:rsidR="009A7BBA" w:rsidRPr="009772A3">
        <w:rPr>
          <w:rFonts w:asciiTheme="majorHAnsi" w:hAnsiTheme="majorHAnsi" w:cstheme="majorHAnsi"/>
          <w:sz w:val="24"/>
          <w:szCs w:val="24"/>
          <w:lang w:val="ro-MD"/>
        </w:rPr>
        <w:t>L</w:t>
      </w:r>
      <w:r w:rsidR="009F7C06" w:rsidRPr="009772A3">
        <w:rPr>
          <w:rFonts w:asciiTheme="majorHAnsi" w:hAnsiTheme="majorHAnsi" w:cstheme="majorHAnsi"/>
          <w:sz w:val="24"/>
          <w:szCs w:val="24"/>
          <w:lang w:val="ro-MD"/>
        </w:rPr>
        <w:t>a vânzarea mărfurilor și serviciilor achiziționate centralizat pentru întrepr</w:t>
      </w:r>
      <w:r w:rsidRPr="009772A3">
        <w:rPr>
          <w:rFonts w:asciiTheme="majorHAnsi" w:hAnsiTheme="majorHAnsi" w:cstheme="majorHAnsi"/>
          <w:sz w:val="24"/>
          <w:szCs w:val="24"/>
          <w:lang w:val="ro-MD"/>
        </w:rPr>
        <w:t xml:space="preserve">inderile afiliate companiei SA </w:t>
      </w:r>
      <w:r w:rsidR="009F7C06" w:rsidRPr="009772A3">
        <w:rPr>
          <w:rFonts w:asciiTheme="majorHAnsi" w:hAnsiTheme="majorHAnsi" w:cstheme="majorHAnsi"/>
          <w:sz w:val="24"/>
          <w:szCs w:val="24"/>
          <w:lang w:val="ro-MD"/>
        </w:rPr>
        <w:t xml:space="preserve">Moldovagaz, </w:t>
      </w:r>
      <w:r w:rsidRPr="009772A3">
        <w:rPr>
          <w:rFonts w:asciiTheme="majorHAnsi" w:hAnsiTheme="majorHAnsi" w:cstheme="majorHAnsi"/>
          <w:sz w:val="24"/>
          <w:szCs w:val="24"/>
          <w:lang w:val="ro-MD"/>
        </w:rPr>
        <w:t>a fost aplicat un adaos</w:t>
      </w:r>
      <w:r w:rsidR="000B1762" w:rsidRPr="009772A3">
        <w:rPr>
          <w:rFonts w:asciiTheme="majorHAnsi" w:hAnsiTheme="majorHAnsi" w:cstheme="majorHAnsi"/>
          <w:sz w:val="24"/>
          <w:szCs w:val="24"/>
          <w:lang w:val="ro-MD"/>
        </w:rPr>
        <w:t xml:space="preserve"> comercial</w:t>
      </w:r>
      <w:r w:rsidRPr="009772A3">
        <w:rPr>
          <w:rFonts w:asciiTheme="majorHAnsi" w:hAnsiTheme="majorHAnsi" w:cstheme="majorHAnsi"/>
          <w:sz w:val="24"/>
          <w:szCs w:val="24"/>
          <w:lang w:val="ro-MD"/>
        </w:rPr>
        <w:t xml:space="preserve"> de până la 2% la prețul stabilit în contract</w:t>
      </w:r>
      <w:r w:rsidR="000B176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scopul acoperirii cheltuielilor de organizare a concursurilor, de depozitare și transportare, ceea ce a permis încasarea </w:t>
      </w:r>
      <w:r w:rsidR="009F7C06" w:rsidRPr="009772A3">
        <w:rPr>
          <w:rFonts w:asciiTheme="majorHAnsi" w:hAnsiTheme="majorHAnsi" w:cstheme="majorHAnsi"/>
          <w:sz w:val="24"/>
          <w:szCs w:val="24"/>
          <w:lang w:val="ro-MD"/>
        </w:rPr>
        <w:t xml:space="preserve">de către </w:t>
      </w:r>
      <w:r w:rsidR="009456A5" w:rsidRPr="009772A3">
        <w:rPr>
          <w:rFonts w:asciiTheme="majorHAnsi" w:hAnsiTheme="majorHAnsi" w:cstheme="majorHAnsi"/>
          <w:sz w:val="24"/>
          <w:szCs w:val="24"/>
          <w:lang w:val="ro-MD"/>
        </w:rPr>
        <w:t>SRL Moldovatransgaz</w:t>
      </w:r>
      <w:r w:rsidR="000B1762" w:rsidRPr="009772A3">
        <w:rPr>
          <w:rFonts w:asciiTheme="majorHAnsi" w:hAnsiTheme="majorHAnsi" w:cstheme="majorHAnsi"/>
          <w:sz w:val="24"/>
          <w:szCs w:val="24"/>
          <w:lang w:val="ro-MD"/>
        </w:rPr>
        <w:t>, î</w:t>
      </w:r>
      <w:r w:rsidRPr="009772A3">
        <w:rPr>
          <w:rFonts w:asciiTheme="majorHAnsi" w:hAnsiTheme="majorHAnsi" w:cstheme="majorHAnsi"/>
          <w:sz w:val="24"/>
          <w:szCs w:val="24"/>
          <w:lang w:val="ro-MD"/>
        </w:rPr>
        <w:t>n perioada 2017-2018</w:t>
      </w:r>
      <w:r w:rsidR="009A7BB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unui profit de 3.</w:t>
      </w:r>
      <w:r w:rsidR="009E734F" w:rsidRPr="009772A3">
        <w:rPr>
          <w:rFonts w:asciiTheme="majorHAnsi" w:hAnsiTheme="majorHAnsi" w:cstheme="majorHAnsi"/>
          <w:sz w:val="24"/>
          <w:szCs w:val="24"/>
          <w:lang w:val="ro-MD"/>
        </w:rPr>
        <w:t>371,7</w:t>
      </w:r>
      <w:r w:rsidR="009F7C06" w:rsidRPr="009772A3">
        <w:rPr>
          <w:rFonts w:asciiTheme="majorHAnsi" w:hAnsiTheme="majorHAnsi" w:cstheme="majorHAnsi"/>
          <w:sz w:val="24"/>
          <w:szCs w:val="24"/>
          <w:lang w:val="ro-MD"/>
        </w:rPr>
        <w:t xml:space="preserve"> mi</w:t>
      </w:r>
      <w:r w:rsidRPr="009772A3">
        <w:rPr>
          <w:rFonts w:asciiTheme="majorHAnsi" w:hAnsiTheme="majorHAnsi" w:cstheme="majorHAnsi"/>
          <w:sz w:val="24"/>
          <w:szCs w:val="24"/>
          <w:lang w:val="ro-MD"/>
        </w:rPr>
        <w:t>i</w:t>
      </w:r>
      <w:r w:rsidR="008D692A" w:rsidRPr="009772A3">
        <w:rPr>
          <w:rFonts w:asciiTheme="majorHAnsi" w:hAnsiTheme="majorHAnsi" w:cstheme="majorHAnsi"/>
          <w:sz w:val="24"/>
          <w:szCs w:val="24"/>
          <w:lang w:val="ro-MD"/>
        </w:rPr>
        <w:t xml:space="preserve"> </w:t>
      </w:r>
      <w:r w:rsidR="009F7C06" w:rsidRPr="009772A3">
        <w:rPr>
          <w:rFonts w:asciiTheme="majorHAnsi" w:hAnsiTheme="majorHAnsi" w:cstheme="majorHAnsi"/>
          <w:sz w:val="24"/>
          <w:szCs w:val="24"/>
          <w:lang w:val="ro-MD"/>
        </w:rPr>
        <w:t xml:space="preserve">lei, </w:t>
      </w:r>
      <w:r w:rsidRPr="009772A3">
        <w:rPr>
          <w:rFonts w:asciiTheme="majorHAnsi" w:hAnsiTheme="majorHAnsi" w:cstheme="majorHAnsi"/>
          <w:sz w:val="24"/>
          <w:szCs w:val="24"/>
          <w:lang w:val="ro-MD"/>
        </w:rPr>
        <w:t xml:space="preserve">și de către </w:t>
      </w:r>
      <w:r w:rsidR="000B1762" w:rsidRPr="009772A3">
        <w:rPr>
          <w:rFonts w:asciiTheme="majorHAnsi" w:hAnsiTheme="majorHAnsi" w:cstheme="majorHAnsi"/>
          <w:sz w:val="24"/>
          <w:szCs w:val="24"/>
          <w:lang w:val="ro-MD"/>
        </w:rPr>
        <w:t xml:space="preserve">SRL „Chișinău-gaz”, în perioada 2017-2021, </w:t>
      </w:r>
      <w:r w:rsidR="00287A9F" w:rsidRPr="009772A3">
        <w:rPr>
          <w:rFonts w:asciiTheme="majorHAnsi" w:hAnsiTheme="majorHAnsi" w:cstheme="majorHAnsi"/>
          <w:sz w:val="24"/>
          <w:szCs w:val="24"/>
          <w:lang w:val="ro-MD"/>
        </w:rPr>
        <w:t xml:space="preserve">a </w:t>
      </w:r>
      <w:r w:rsidR="000B1762" w:rsidRPr="009772A3">
        <w:rPr>
          <w:rFonts w:asciiTheme="majorHAnsi" w:hAnsiTheme="majorHAnsi" w:cstheme="majorHAnsi"/>
          <w:sz w:val="24"/>
          <w:szCs w:val="24"/>
          <w:lang w:val="ro-MD"/>
        </w:rPr>
        <w:t>unui</w:t>
      </w:r>
      <w:r w:rsidRPr="009772A3">
        <w:rPr>
          <w:rFonts w:asciiTheme="majorHAnsi" w:hAnsiTheme="majorHAnsi" w:cstheme="majorHAnsi"/>
          <w:sz w:val="24"/>
          <w:szCs w:val="24"/>
          <w:lang w:val="ro-MD"/>
        </w:rPr>
        <w:t xml:space="preserve"> profit de 5.492,5 mii lei,</w:t>
      </w:r>
      <w:r w:rsidR="000B1762" w:rsidRPr="009772A3">
        <w:rPr>
          <w:rFonts w:asciiTheme="majorHAnsi" w:hAnsiTheme="majorHAnsi" w:cstheme="majorHAnsi"/>
          <w:sz w:val="24"/>
          <w:szCs w:val="24"/>
          <w:lang w:val="ro-MD"/>
        </w:rPr>
        <w:t xml:space="preserve"> </w:t>
      </w:r>
      <w:r w:rsidR="009F7C06" w:rsidRPr="009772A3">
        <w:rPr>
          <w:rFonts w:asciiTheme="majorHAnsi" w:hAnsiTheme="majorHAnsi" w:cstheme="majorHAnsi"/>
          <w:sz w:val="24"/>
          <w:szCs w:val="24"/>
          <w:lang w:val="ro-MD"/>
        </w:rPr>
        <w:t xml:space="preserve">fiind majorate astfel cheltuielile </w:t>
      </w:r>
      <w:r w:rsidR="00287A9F" w:rsidRPr="009772A3">
        <w:rPr>
          <w:rFonts w:asciiTheme="majorHAnsi" w:hAnsiTheme="majorHAnsi" w:cstheme="majorHAnsi"/>
          <w:sz w:val="24"/>
          <w:szCs w:val="24"/>
          <w:lang w:val="ro-MD"/>
        </w:rPr>
        <w:t xml:space="preserve">ODG de </w:t>
      </w:r>
      <w:r w:rsidR="009F7C06" w:rsidRPr="009772A3">
        <w:rPr>
          <w:rFonts w:asciiTheme="majorHAnsi" w:hAnsiTheme="majorHAnsi" w:cstheme="majorHAnsi"/>
          <w:sz w:val="24"/>
          <w:szCs w:val="24"/>
          <w:lang w:val="ro-MD"/>
        </w:rPr>
        <w:t>la achizițiile</w:t>
      </w:r>
      <w:r w:rsidR="00325719" w:rsidRPr="009772A3">
        <w:rPr>
          <w:rFonts w:asciiTheme="majorHAnsi" w:hAnsiTheme="majorHAnsi" w:cstheme="majorHAnsi"/>
          <w:sz w:val="24"/>
          <w:szCs w:val="24"/>
          <w:lang w:val="ro-MD"/>
        </w:rPr>
        <w:t xml:space="preserve"> efectuate.</w:t>
      </w:r>
      <w:r w:rsidR="006A0EF0" w:rsidRPr="009772A3">
        <w:rPr>
          <w:rFonts w:asciiTheme="majorHAnsi" w:hAnsiTheme="majorHAnsi" w:cstheme="majorHAnsi"/>
          <w:sz w:val="24"/>
          <w:szCs w:val="24"/>
          <w:lang w:val="ro-MD"/>
        </w:rPr>
        <w:t xml:space="preserve"> </w:t>
      </w:r>
      <w:r w:rsidR="00686D54" w:rsidRPr="009772A3">
        <w:rPr>
          <w:rFonts w:asciiTheme="majorHAnsi" w:hAnsiTheme="majorHAnsi" w:cstheme="majorHAnsi"/>
          <w:sz w:val="24"/>
          <w:szCs w:val="24"/>
          <w:lang w:val="ro-MD"/>
        </w:rPr>
        <w:t xml:space="preserve">De menționat că </w:t>
      </w:r>
      <w:r w:rsidR="00287A9F" w:rsidRPr="009772A3">
        <w:rPr>
          <w:rFonts w:asciiTheme="majorHAnsi" w:hAnsiTheme="majorHAnsi" w:cstheme="majorHAnsi"/>
          <w:sz w:val="24"/>
          <w:szCs w:val="24"/>
          <w:lang w:val="ro-MD"/>
        </w:rPr>
        <w:t>SRL Moldovatransgaz și SRL Chișinău-gaz</w:t>
      </w:r>
      <w:r w:rsidR="00287A9F" w:rsidRPr="009772A3" w:rsidDel="00287A9F">
        <w:rPr>
          <w:rFonts w:asciiTheme="majorHAnsi" w:hAnsiTheme="majorHAnsi" w:cstheme="majorHAnsi"/>
          <w:sz w:val="24"/>
          <w:szCs w:val="24"/>
          <w:lang w:val="ro-MD"/>
        </w:rPr>
        <w:t xml:space="preserve"> </w:t>
      </w:r>
      <w:r w:rsidR="00686D54" w:rsidRPr="009772A3">
        <w:rPr>
          <w:rFonts w:asciiTheme="majorHAnsi" w:hAnsiTheme="majorHAnsi" w:cstheme="majorHAnsi"/>
          <w:sz w:val="24"/>
          <w:szCs w:val="24"/>
          <w:lang w:val="ro-MD"/>
        </w:rPr>
        <w:t xml:space="preserve">nu au </w:t>
      </w:r>
      <w:r w:rsidR="009A7BBA" w:rsidRPr="009772A3">
        <w:rPr>
          <w:rFonts w:asciiTheme="majorHAnsi" w:hAnsiTheme="majorHAnsi" w:cstheme="majorHAnsi"/>
          <w:sz w:val="24"/>
          <w:szCs w:val="24"/>
          <w:lang w:val="ro-MD"/>
        </w:rPr>
        <w:t>ținut</w:t>
      </w:r>
      <w:r w:rsidR="00686D54" w:rsidRPr="009772A3">
        <w:rPr>
          <w:rFonts w:asciiTheme="majorHAnsi" w:hAnsiTheme="majorHAnsi" w:cstheme="majorHAnsi"/>
          <w:sz w:val="24"/>
          <w:szCs w:val="24"/>
          <w:lang w:val="ro-MD"/>
        </w:rPr>
        <w:t xml:space="preserve"> o evidență separată a cheltuielilor pentru organizarea procedurilor de achiziție centralizat</w:t>
      </w:r>
      <w:r w:rsidR="009A7BBA" w:rsidRPr="009772A3">
        <w:rPr>
          <w:rFonts w:asciiTheme="majorHAnsi" w:hAnsiTheme="majorHAnsi" w:cstheme="majorHAnsi"/>
          <w:sz w:val="24"/>
          <w:szCs w:val="24"/>
          <w:lang w:val="ro-MD"/>
        </w:rPr>
        <w:t>ă</w:t>
      </w:r>
      <w:r w:rsidR="00686D54" w:rsidRPr="009772A3">
        <w:rPr>
          <w:rFonts w:asciiTheme="majorHAnsi" w:hAnsiTheme="majorHAnsi" w:cstheme="majorHAnsi"/>
          <w:sz w:val="24"/>
          <w:szCs w:val="24"/>
          <w:lang w:val="ro-MD"/>
        </w:rPr>
        <w:t xml:space="preserve">, nefiind posibil de determinat exhaustiv </w:t>
      </w:r>
      <w:r w:rsidR="00B16D10">
        <w:rPr>
          <w:rFonts w:asciiTheme="majorHAnsi" w:hAnsiTheme="majorHAnsi" w:cstheme="majorHAnsi"/>
          <w:sz w:val="24"/>
          <w:szCs w:val="24"/>
          <w:lang w:val="ro-MD"/>
        </w:rPr>
        <w:t>costul</w:t>
      </w:r>
      <w:r w:rsidR="00B16D10" w:rsidRPr="009772A3">
        <w:rPr>
          <w:rFonts w:asciiTheme="majorHAnsi" w:hAnsiTheme="majorHAnsi" w:cstheme="majorHAnsi"/>
          <w:sz w:val="24"/>
          <w:szCs w:val="24"/>
          <w:lang w:val="ro-MD"/>
        </w:rPr>
        <w:t xml:space="preserve"> </w:t>
      </w:r>
      <w:r w:rsidR="00686D54" w:rsidRPr="009772A3">
        <w:rPr>
          <w:rFonts w:asciiTheme="majorHAnsi" w:hAnsiTheme="majorHAnsi" w:cstheme="majorHAnsi"/>
          <w:sz w:val="24"/>
          <w:szCs w:val="24"/>
          <w:lang w:val="ro-MD"/>
        </w:rPr>
        <w:t>acestora.</w:t>
      </w:r>
    </w:p>
    <w:p w14:paraId="0A6C2974" w14:textId="2BC75A91" w:rsidR="00BA136B" w:rsidRPr="009772A3" w:rsidRDefault="00ED2ADE" w:rsidP="00B16D10">
      <w:pPr>
        <w:pStyle w:val="Heading1"/>
        <w:numPr>
          <w:ilvl w:val="3"/>
          <w:numId w:val="2"/>
        </w:numPr>
        <w:tabs>
          <w:tab w:val="left" w:pos="709"/>
          <w:tab w:val="left" w:pos="851"/>
        </w:tabs>
        <w:spacing w:line="276" w:lineRule="auto"/>
        <w:ind w:left="0" w:firstLine="0"/>
        <w:jc w:val="both"/>
        <w:rPr>
          <w:i/>
          <w:color w:val="auto"/>
          <w:lang w:val="ro-MD"/>
        </w:rPr>
      </w:pPr>
      <w:hyperlink w:anchor="_Toc117179022" w:history="1">
        <w:bookmarkStart w:id="132" w:name="_Toc117775782"/>
        <w:bookmarkStart w:id="133" w:name="_Toc118297721"/>
        <w:bookmarkStart w:id="134" w:name="_Toc118465749"/>
        <w:bookmarkStart w:id="135" w:name="_Toc119496423"/>
        <w:r w:rsidR="00BA136B" w:rsidRPr="009772A3">
          <w:rPr>
            <w:i/>
            <w:color w:val="auto"/>
            <w:lang w:val="ro-MD"/>
          </w:rPr>
          <w:t xml:space="preserve">Valoarea </w:t>
        </w:r>
        <w:r w:rsidR="00BA170E" w:rsidRPr="009772A3">
          <w:rPr>
            <w:i/>
            <w:color w:val="auto"/>
            <w:lang w:val="ro-MD"/>
          </w:rPr>
          <w:t>unui contract de achiziții</w:t>
        </w:r>
        <w:r w:rsidR="00BA136B" w:rsidRPr="009772A3">
          <w:rPr>
            <w:i/>
            <w:color w:val="auto"/>
            <w:lang w:val="ro-MD"/>
          </w:rPr>
          <w:t xml:space="preserve"> a fost majorată prin incheierea neconformă a </w:t>
        </w:r>
        <w:r w:rsidR="00BA170E" w:rsidRPr="009772A3">
          <w:rPr>
            <w:i/>
            <w:color w:val="auto"/>
            <w:lang w:val="ro-MD"/>
          </w:rPr>
          <w:t>acordului</w:t>
        </w:r>
        <w:r w:rsidR="00BA136B" w:rsidRPr="009772A3">
          <w:rPr>
            <w:i/>
            <w:color w:val="auto"/>
            <w:lang w:val="ro-MD"/>
          </w:rPr>
          <w:t xml:space="preserve"> adițional</w:t>
        </w:r>
      </w:hyperlink>
      <w:r w:rsidR="00BA136B" w:rsidRPr="009772A3">
        <w:rPr>
          <w:i/>
          <w:color w:val="auto"/>
          <w:lang w:val="ro-MD"/>
        </w:rPr>
        <w:t>.</w:t>
      </w:r>
      <w:bookmarkEnd w:id="132"/>
      <w:bookmarkEnd w:id="133"/>
      <w:bookmarkEnd w:id="134"/>
      <w:bookmarkEnd w:id="135"/>
    </w:p>
    <w:p w14:paraId="2AF7807E" w14:textId="755FDF24" w:rsidR="00586AC4" w:rsidRPr="009772A3" w:rsidRDefault="00586AC4" w:rsidP="00586AC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potrivit cadrului legal</w:t>
      </w:r>
      <w:r w:rsidRPr="009772A3">
        <w:rPr>
          <w:rFonts w:asciiTheme="majorHAnsi" w:hAnsiTheme="majorHAnsi" w:cstheme="majorHAnsi"/>
          <w:vertAlign w:val="superscript"/>
          <w:lang w:val="ro-MD"/>
        </w:rPr>
        <w:footnoteReference w:id="99"/>
      </w:r>
      <w:r w:rsidRPr="009772A3">
        <w:rPr>
          <w:rFonts w:asciiTheme="majorHAnsi" w:hAnsiTheme="majorHAnsi" w:cstheme="majorHAnsi"/>
          <w:sz w:val="24"/>
          <w:szCs w:val="24"/>
          <w:lang w:val="ro-MD"/>
        </w:rPr>
        <w:t>, v</w:t>
      </w:r>
      <w:r w:rsidRPr="009772A3">
        <w:rPr>
          <w:rFonts w:asciiTheme="majorHAnsi" w:hAnsiTheme="majorHAnsi" w:cstheme="majorHAnsi"/>
          <w:sz w:val="24"/>
          <w:szCs w:val="24"/>
          <w:shd w:val="clear" w:color="auto" w:fill="FFFFFF"/>
          <w:lang w:val="ro-MD"/>
        </w:rPr>
        <w:t xml:space="preserve">aloarea cumulată a contractelor atribuite pentru achiziționarea suplimentară de bunuri nu trebuie să fie mai mare de 15% din valoarea contractului initial, </w:t>
      </w:r>
      <w:r w:rsidRPr="009772A3">
        <w:rPr>
          <w:rFonts w:asciiTheme="majorHAnsi" w:hAnsiTheme="majorHAnsi" w:cstheme="majorHAnsi"/>
          <w:sz w:val="24"/>
          <w:szCs w:val="24"/>
          <w:lang w:val="ro-MD"/>
        </w:rPr>
        <w:t>auditul a relevat că SA Moldovagaz a majorat neregulamentar valoarea unui contract de 3.701,4 mii lei</w:t>
      </w:r>
      <w:r w:rsidRPr="009772A3">
        <w:rPr>
          <w:rFonts w:asciiTheme="majorHAnsi" w:hAnsiTheme="majorHAnsi" w:cstheme="majorHAnsi"/>
          <w:sz w:val="24"/>
          <w:vertAlign w:val="superscript"/>
          <w:lang w:val="ro-MD"/>
        </w:rPr>
        <w:footnoteReference w:id="100"/>
      </w:r>
      <w:r w:rsidRPr="009772A3">
        <w:rPr>
          <w:rFonts w:asciiTheme="majorHAnsi" w:hAnsiTheme="majorHAnsi" w:cstheme="majorHAnsi"/>
          <w:sz w:val="24"/>
          <w:szCs w:val="24"/>
          <w:lang w:val="ro-MD"/>
        </w:rPr>
        <w:t xml:space="preserve"> cu 1.022,1 mii lei, ceea ce reprezintă cca 27% din valoarea contractului de achiziții.</w:t>
      </w:r>
    </w:p>
    <w:p w14:paraId="437E6CC4" w14:textId="1BB17F23" w:rsidR="00AB0784" w:rsidRPr="009772A3" w:rsidRDefault="00AB0784" w:rsidP="00B16D10">
      <w:pPr>
        <w:pStyle w:val="Heading1"/>
        <w:numPr>
          <w:ilvl w:val="3"/>
          <w:numId w:val="2"/>
        </w:numPr>
        <w:tabs>
          <w:tab w:val="left" w:pos="993"/>
        </w:tabs>
        <w:spacing w:line="276" w:lineRule="auto"/>
        <w:ind w:left="0" w:firstLine="0"/>
        <w:jc w:val="both"/>
        <w:rPr>
          <w:i/>
          <w:color w:val="auto"/>
          <w:lang w:val="ro-MD"/>
        </w:rPr>
      </w:pPr>
      <w:bookmarkStart w:id="136" w:name="_Toc117775770"/>
      <w:bookmarkStart w:id="137" w:name="_Toc118297709"/>
      <w:bookmarkStart w:id="138" w:name="_Toc118465750"/>
      <w:bookmarkStart w:id="139" w:name="_Toc119496424"/>
      <w:r w:rsidRPr="009772A3">
        <w:rPr>
          <w:i/>
          <w:color w:val="auto"/>
          <w:lang w:val="ro-MD"/>
        </w:rPr>
        <w:t>Operatorul de transport a</w:t>
      </w:r>
      <w:r w:rsidR="009A7BBA" w:rsidRPr="009772A3">
        <w:rPr>
          <w:i/>
          <w:color w:val="auto"/>
          <w:lang w:val="ro-MD"/>
        </w:rPr>
        <w:t>l</w:t>
      </w:r>
      <w:r w:rsidRPr="009772A3">
        <w:rPr>
          <w:i/>
          <w:color w:val="auto"/>
          <w:lang w:val="ro-MD"/>
        </w:rPr>
        <w:t xml:space="preserve"> gazelor naturale evită aplicarea penalităților pentru executarea neconformă a contractelor de achiziție a lucrărilor.</w:t>
      </w:r>
      <w:bookmarkEnd w:id="136"/>
      <w:bookmarkEnd w:id="137"/>
      <w:bookmarkEnd w:id="138"/>
      <w:bookmarkEnd w:id="139"/>
    </w:p>
    <w:p w14:paraId="641F714B" w14:textId="72D75BED" w:rsidR="00AB0784" w:rsidRPr="009772A3" w:rsidRDefault="00AB0784" w:rsidP="00AB078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potrivit clauzelor contractelor încheiate de SRL Moldovatransgaz privind executarea lucrărilor de reparație capitală a gazoductelor de transport, pentru neexecutarea în termen a angajamentelor asumate se prevedea aplicarea unor penalități de 0,1% din valoarea lucrărilor neexecutate pentru fiecare zi de întârziere, probele colectate de audit denotă neaplicarea acestor sancțiuni, pentru un agent economic</w:t>
      </w:r>
      <w:r w:rsidRPr="009772A3">
        <w:rPr>
          <w:rStyle w:val="FootnoteReference"/>
          <w:rFonts w:asciiTheme="majorHAnsi" w:hAnsiTheme="majorHAnsi" w:cstheme="majorHAnsi"/>
          <w:sz w:val="24"/>
          <w:szCs w:val="24"/>
          <w:lang w:val="ro-MD"/>
        </w:rPr>
        <w:footnoteReference w:id="101"/>
      </w:r>
      <w:r w:rsidRPr="009772A3">
        <w:rPr>
          <w:rFonts w:asciiTheme="majorHAnsi" w:hAnsiTheme="majorHAnsi" w:cstheme="majorHAnsi"/>
          <w:sz w:val="24"/>
          <w:szCs w:val="24"/>
          <w:lang w:val="ro-MD"/>
        </w:rPr>
        <w:t>, prin ce societatea a fost lipsită de venituri suplimentare de cca 3.400,0 mii lei.</w:t>
      </w:r>
    </w:p>
    <w:p w14:paraId="2446555A" w14:textId="5EA002D9" w:rsidR="008D7907" w:rsidRPr="009772A3" w:rsidRDefault="00AB0784" w:rsidP="008D790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Analogic, </w:t>
      </w:r>
      <w:r w:rsidR="00875AB1" w:rsidRPr="009772A3">
        <w:rPr>
          <w:rFonts w:asciiTheme="majorHAnsi" w:hAnsiTheme="majorHAnsi" w:cstheme="majorHAnsi"/>
          <w:sz w:val="24"/>
          <w:szCs w:val="24"/>
          <w:lang w:val="ro-MD"/>
        </w:rPr>
        <w:t>în cadrul</w:t>
      </w:r>
      <w:r w:rsidR="008D7907" w:rsidRPr="009772A3">
        <w:rPr>
          <w:rFonts w:asciiTheme="majorHAnsi" w:hAnsiTheme="majorHAnsi" w:cstheme="majorHAnsi"/>
          <w:sz w:val="24"/>
          <w:szCs w:val="24"/>
          <w:lang w:val="ro-MD"/>
        </w:rPr>
        <w:t xml:space="preserve"> procedurii de achiziție pentru livrarea țevilor de polietilenă și </w:t>
      </w:r>
      <w:r w:rsidR="00A26F46" w:rsidRPr="009772A3">
        <w:rPr>
          <w:rFonts w:asciiTheme="majorHAnsi" w:hAnsiTheme="majorHAnsi" w:cstheme="majorHAnsi"/>
          <w:sz w:val="24"/>
          <w:szCs w:val="24"/>
          <w:lang w:val="ro-MD"/>
        </w:rPr>
        <w:t xml:space="preserve">a </w:t>
      </w:r>
      <w:r w:rsidR="008D7907" w:rsidRPr="009772A3">
        <w:rPr>
          <w:rFonts w:asciiTheme="majorHAnsi" w:hAnsiTheme="majorHAnsi" w:cstheme="majorHAnsi"/>
          <w:sz w:val="24"/>
          <w:szCs w:val="24"/>
          <w:lang w:val="ro-MD"/>
        </w:rPr>
        <w:t>confecțiilor prefabricate pentru acestea, a fost încheiat contractul din 13.10.2017 în valoare de 10</w:t>
      </w:r>
      <w:r w:rsidR="0083742C"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735,7 mii lei, cu termenul de livrare 40 </w:t>
      </w:r>
      <w:r w:rsidR="00A26F46" w:rsidRPr="009772A3">
        <w:rPr>
          <w:rFonts w:asciiTheme="majorHAnsi" w:hAnsiTheme="majorHAnsi" w:cstheme="majorHAnsi"/>
          <w:sz w:val="24"/>
          <w:szCs w:val="24"/>
          <w:lang w:val="ro-MD"/>
        </w:rPr>
        <w:t xml:space="preserve">de </w:t>
      </w:r>
      <w:r w:rsidR="008D7907" w:rsidRPr="009772A3">
        <w:rPr>
          <w:rFonts w:asciiTheme="majorHAnsi" w:hAnsiTheme="majorHAnsi" w:cstheme="majorHAnsi"/>
          <w:sz w:val="24"/>
          <w:szCs w:val="24"/>
          <w:lang w:val="ro-MD"/>
        </w:rPr>
        <w:t>zile lucrătoare din data achitării avansului (30.03.2018). Potrivit facturilor fiscale și actului de verificare, până la termenul-limită au fost livrate bunuri în valoare de 8</w:t>
      </w:r>
      <w:r w:rsidR="0083742C"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162,2 mii lei. Diferența a fost livrată la 03.05.2018, sau cu o întârziere de 20 </w:t>
      </w:r>
      <w:r w:rsidR="00A26F46" w:rsidRPr="009772A3">
        <w:rPr>
          <w:rFonts w:asciiTheme="majorHAnsi" w:hAnsiTheme="majorHAnsi" w:cstheme="majorHAnsi"/>
          <w:sz w:val="24"/>
          <w:szCs w:val="24"/>
          <w:lang w:val="ro-MD"/>
        </w:rPr>
        <w:t xml:space="preserve">de </w:t>
      </w:r>
      <w:r w:rsidR="008D7907" w:rsidRPr="009772A3">
        <w:rPr>
          <w:rFonts w:asciiTheme="majorHAnsi" w:hAnsiTheme="majorHAnsi" w:cstheme="majorHAnsi"/>
          <w:sz w:val="24"/>
          <w:szCs w:val="24"/>
          <w:lang w:val="ro-MD"/>
        </w:rPr>
        <w:t xml:space="preserve">zile lucrătoare, nefiind aplicate penalități în sumă de 214,7 mii lei. </w:t>
      </w:r>
      <w:r w:rsidR="00A26F46" w:rsidRPr="009772A3">
        <w:rPr>
          <w:rFonts w:asciiTheme="majorHAnsi" w:hAnsiTheme="majorHAnsi" w:cstheme="majorHAnsi"/>
          <w:sz w:val="24"/>
          <w:szCs w:val="24"/>
          <w:lang w:val="ro-MD"/>
        </w:rPr>
        <w:t>La fel</w:t>
      </w:r>
      <w:r w:rsidR="008D7907" w:rsidRPr="009772A3">
        <w:rPr>
          <w:rFonts w:asciiTheme="majorHAnsi" w:hAnsiTheme="majorHAnsi" w:cstheme="majorHAnsi"/>
          <w:sz w:val="24"/>
          <w:szCs w:val="24"/>
          <w:lang w:val="ro-MD"/>
        </w:rPr>
        <w:t>, la executarea contractului din 2017 în valoare de</w:t>
      </w:r>
      <w:r w:rsidR="009977C2" w:rsidRPr="009772A3">
        <w:rPr>
          <w:rFonts w:asciiTheme="majorHAnsi" w:hAnsiTheme="majorHAnsi" w:cstheme="majorHAnsi"/>
          <w:sz w:val="24"/>
          <w:szCs w:val="24"/>
          <w:lang w:val="ro-MD"/>
        </w:rPr>
        <w:t xml:space="preserve"> 2.280,6 mii lei</w:t>
      </w:r>
      <w:r w:rsidR="008D7907" w:rsidRPr="009772A3">
        <w:rPr>
          <w:rFonts w:asciiTheme="majorHAnsi" w:hAnsiTheme="majorHAnsi" w:cstheme="majorHAnsi"/>
          <w:sz w:val="24"/>
          <w:szCs w:val="24"/>
          <w:lang w:val="ro-MD"/>
        </w:rPr>
        <w:t xml:space="preserve"> </w:t>
      </w:r>
      <w:r w:rsidR="009977C2"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126,0 mii </w:t>
      </w:r>
      <w:r w:rsidR="00A26F46" w:rsidRPr="009772A3">
        <w:rPr>
          <w:rFonts w:asciiTheme="majorHAnsi" w:hAnsiTheme="majorHAnsi" w:cstheme="majorHAnsi"/>
          <w:sz w:val="24"/>
          <w:szCs w:val="24"/>
          <w:lang w:val="ro-MD"/>
        </w:rPr>
        <w:t>dolari SUA</w:t>
      </w:r>
      <w:r w:rsidR="009977C2"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cu termenul de executare </w:t>
      </w:r>
      <w:r w:rsidR="00A26F46" w:rsidRPr="009772A3">
        <w:rPr>
          <w:rFonts w:asciiTheme="majorHAnsi" w:hAnsiTheme="majorHAnsi" w:cstheme="majorHAnsi"/>
          <w:sz w:val="24"/>
          <w:szCs w:val="24"/>
          <w:lang w:val="ro-MD"/>
        </w:rPr>
        <w:t xml:space="preserve">de </w:t>
      </w:r>
      <w:r w:rsidR="008D7907" w:rsidRPr="009772A3">
        <w:rPr>
          <w:rFonts w:asciiTheme="majorHAnsi" w:hAnsiTheme="majorHAnsi" w:cstheme="majorHAnsi"/>
          <w:sz w:val="24"/>
          <w:szCs w:val="24"/>
          <w:lang w:val="ro-MD"/>
        </w:rPr>
        <w:t xml:space="preserve">30 </w:t>
      </w:r>
      <w:r w:rsidR="00A26F46" w:rsidRPr="009772A3">
        <w:rPr>
          <w:rFonts w:asciiTheme="majorHAnsi" w:hAnsiTheme="majorHAnsi" w:cstheme="majorHAnsi"/>
          <w:sz w:val="24"/>
          <w:szCs w:val="24"/>
          <w:lang w:val="ro-MD"/>
        </w:rPr>
        <w:t xml:space="preserve">de </w:t>
      </w:r>
      <w:r w:rsidR="008D7907" w:rsidRPr="009772A3">
        <w:rPr>
          <w:rFonts w:asciiTheme="majorHAnsi" w:hAnsiTheme="majorHAnsi" w:cstheme="majorHAnsi"/>
          <w:sz w:val="24"/>
          <w:szCs w:val="24"/>
          <w:lang w:val="ro-MD"/>
        </w:rPr>
        <w:t>zile calendaristice din data achitării avansului, la momentul expirării termenului-limită, furnizorul a livrat materiale în valoare de 1</w:t>
      </w:r>
      <w:r w:rsidR="00EE6F0E" w:rsidRPr="009772A3">
        <w:rPr>
          <w:rFonts w:asciiTheme="majorHAnsi" w:hAnsiTheme="majorHAnsi" w:cstheme="majorHAnsi"/>
          <w:sz w:val="24"/>
          <w:szCs w:val="24"/>
          <w:lang w:val="ro-MD"/>
        </w:rPr>
        <w:t>.</w:t>
      </w:r>
      <w:r w:rsidR="000F5326" w:rsidRPr="009772A3">
        <w:rPr>
          <w:rFonts w:asciiTheme="majorHAnsi" w:hAnsiTheme="majorHAnsi" w:cstheme="majorHAnsi"/>
          <w:sz w:val="24"/>
          <w:szCs w:val="24"/>
          <w:lang w:val="ro-MD"/>
        </w:rPr>
        <w:t>187</w:t>
      </w:r>
      <w:r w:rsidR="008D7907" w:rsidRPr="009772A3">
        <w:rPr>
          <w:rFonts w:asciiTheme="majorHAnsi" w:hAnsiTheme="majorHAnsi" w:cstheme="majorHAnsi"/>
          <w:sz w:val="24"/>
          <w:szCs w:val="24"/>
          <w:lang w:val="ro-MD"/>
        </w:rPr>
        <w:t>,</w:t>
      </w:r>
      <w:r w:rsidR="000F5326" w:rsidRPr="009772A3">
        <w:rPr>
          <w:rFonts w:asciiTheme="majorHAnsi" w:hAnsiTheme="majorHAnsi" w:cstheme="majorHAnsi"/>
          <w:sz w:val="24"/>
          <w:szCs w:val="24"/>
          <w:lang w:val="ro-MD"/>
        </w:rPr>
        <w:t>4</w:t>
      </w:r>
      <w:r w:rsidR="008D7907" w:rsidRPr="009772A3">
        <w:rPr>
          <w:rFonts w:asciiTheme="majorHAnsi" w:hAnsiTheme="majorHAnsi" w:cstheme="majorHAnsi"/>
          <w:sz w:val="24"/>
          <w:szCs w:val="24"/>
          <w:lang w:val="ro-MD"/>
        </w:rPr>
        <w:t xml:space="preserve"> mii lei, sau circa 65,6 mii </w:t>
      </w:r>
      <w:r w:rsidR="00A26F46" w:rsidRPr="009772A3">
        <w:rPr>
          <w:rFonts w:asciiTheme="majorHAnsi" w:hAnsiTheme="majorHAnsi" w:cstheme="majorHAnsi"/>
          <w:sz w:val="24"/>
          <w:szCs w:val="24"/>
          <w:lang w:val="ro-MD"/>
        </w:rPr>
        <w:t>dolari SUA</w:t>
      </w:r>
      <w:r w:rsidR="008D7907" w:rsidRPr="009772A3">
        <w:rPr>
          <w:rFonts w:asciiTheme="majorHAnsi" w:hAnsiTheme="majorHAnsi" w:cstheme="majorHAnsi"/>
          <w:sz w:val="24"/>
          <w:szCs w:val="24"/>
          <w:lang w:val="ro-MD"/>
        </w:rPr>
        <w:t xml:space="preserve">, diferența fiind livrată cu o întârziere de 67 </w:t>
      </w:r>
      <w:r w:rsidR="00A26F46" w:rsidRPr="009772A3">
        <w:rPr>
          <w:rFonts w:asciiTheme="majorHAnsi" w:hAnsiTheme="majorHAnsi" w:cstheme="majorHAnsi"/>
          <w:sz w:val="24"/>
          <w:szCs w:val="24"/>
          <w:lang w:val="ro-MD"/>
        </w:rPr>
        <w:t xml:space="preserve">de </w:t>
      </w:r>
      <w:r w:rsidR="008D7907" w:rsidRPr="009772A3">
        <w:rPr>
          <w:rFonts w:asciiTheme="majorHAnsi" w:hAnsiTheme="majorHAnsi" w:cstheme="majorHAnsi"/>
          <w:sz w:val="24"/>
          <w:szCs w:val="24"/>
          <w:lang w:val="ro-MD"/>
        </w:rPr>
        <w:t xml:space="preserve">zile calendaristice, nefiind calculată penalitatea de </w:t>
      </w:r>
      <w:r w:rsidR="00E712EC" w:rsidRPr="009772A3">
        <w:rPr>
          <w:rFonts w:asciiTheme="majorHAnsi" w:hAnsiTheme="majorHAnsi" w:cstheme="majorHAnsi"/>
          <w:sz w:val="24"/>
          <w:szCs w:val="24"/>
          <w:lang w:val="ro-MD"/>
        </w:rPr>
        <w:t>152,0 mii lei</w:t>
      </w:r>
      <w:r w:rsidR="008D7907" w:rsidRPr="009772A3">
        <w:rPr>
          <w:rFonts w:asciiTheme="majorHAnsi" w:hAnsiTheme="majorHAnsi" w:cstheme="majorHAnsi"/>
          <w:sz w:val="24"/>
          <w:szCs w:val="24"/>
          <w:lang w:val="ro-MD"/>
        </w:rPr>
        <w:t>.</w:t>
      </w:r>
    </w:p>
    <w:p w14:paraId="0642D24E" w14:textId="657F1F8F" w:rsidR="00BD569C" w:rsidRPr="009772A3" w:rsidRDefault="008D7907" w:rsidP="00B16D10">
      <w:pPr>
        <w:pStyle w:val="Heading1"/>
        <w:numPr>
          <w:ilvl w:val="3"/>
          <w:numId w:val="2"/>
        </w:numPr>
        <w:tabs>
          <w:tab w:val="left" w:pos="993"/>
        </w:tabs>
        <w:spacing w:line="276" w:lineRule="auto"/>
        <w:ind w:left="0" w:firstLine="0"/>
        <w:jc w:val="both"/>
        <w:rPr>
          <w:i/>
          <w:color w:val="auto"/>
          <w:lang w:val="ro-MD"/>
        </w:rPr>
      </w:pPr>
      <w:bookmarkStart w:id="140" w:name="_Toc119496425"/>
      <w:r w:rsidRPr="009772A3">
        <w:rPr>
          <w:i/>
          <w:color w:val="auto"/>
          <w:lang w:val="ro-MD"/>
        </w:rPr>
        <w:t>Neîndeplinirea corespunzătoare a funcțiilor de către comisia de achiziții și nerespectarea cerințelor la întocmirea caietului de sarcini și a specificației tehnice prevăzute de cadrul normativ</w:t>
      </w:r>
      <w:r w:rsidRPr="009772A3">
        <w:rPr>
          <w:i/>
          <w:color w:val="auto"/>
          <w:vertAlign w:val="superscript"/>
          <w:lang w:val="ro-MD"/>
        </w:rPr>
        <w:footnoteReference w:id="102"/>
      </w:r>
      <w:r w:rsidRPr="009772A3">
        <w:rPr>
          <w:i/>
          <w:color w:val="auto"/>
          <w:lang w:val="ro-MD"/>
        </w:rPr>
        <w:t>, a</w:t>
      </w:r>
      <w:r w:rsidR="009419A9" w:rsidRPr="009772A3">
        <w:rPr>
          <w:i/>
          <w:color w:val="auto"/>
          <w:lang w:val="ro-MD"/>
        </w:rPr>
        <w:t>u</w:t>
      </w:r>
      <w:r w:rsidRPr="009772A3">
        <w:rPr>
          <w:i/>
          <w:color w:val="auto"/>
          <w:lang w:val="ro-MD"/>
        </w:rPr>
        <w:t xml:space="preserve"> generat cheltuieli suplimentare pentru întreprinderi.</w:t>
      </w:r>
      <w:bookmarkEnd w:id="140"/>
      <w:r w:rsidRPr="009772A3">
        <w:rPr>
          <w:i/>
          <w:color w:val="auto"/>
          <w:lang w:val="ro-MD"/>
        </w:rPr>
        <w:t xml:space="preserve"> </w:t>
      </w:r>
    </w:p>
    <w:p w14:paraId="39452747" w14:textId="256F0218" w:rsidR="008D7907" w:rsidRPr="009772A3" w:rsidRDefault="008D7907" w:rsidP="008D790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cadrului de reglementare</w:t>
      </w:r>
      <w:r w:rsidRPr="009772A3">
        <w:rPr>
          <w:rFonts w:asciiTheme="majorHAnsi" w:hAnsiTheme="majorHAnsi" w:cstheme="majorHAnsi"/>
          <w:vertAlign w:val="superscript"/>
          <w:lang w:val="ro-MD"/>
        </w:rPr>
        <w:footnoteReference w:id="103"/>
      </w:r>
      <w:r w:rsidRPr="009772A3">
        <w:rPr>
          <w:rFonts w:asciiTheme="majorHAnsi" w:hAnsiTheme="majorHAnsi" w:cstheme="majorHAnsi"/>
          <w:sz w:val="24"/>
          <w:szCs w:val="24"/>
          <w:lang w:val="ro-MD"/>
        </w:rPr>
        <w:t>, beneficiarul</w:t>
      </w:r>
      <w:r w:rsidR="009419A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intermediul Comisii de achiziții</w:t>
      </w:r>
      <w:r w:rsidR="009419A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trebuia să gestioneze realizarea contractelor de achiziții încheiate în termenele și condițiile stabilite. Astfel, cazurile de neexecutare sau prelungire</w:t>
      </w:r>
      <w:r w:rsidR="009419A9"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 termen</w:t>
      </w:r>
      <w:r w:rsidR="009419A9"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lor de executare a contractelor urmau a fi examinate în cadrul ședinței comisiei respective. De fapt, în </w:t>
      </w:r>
      <w:r w:rsidR="009419A9" w:rsidRPr="009772A3">
        <w:rPr>
          <w:rFonts w:asciiTheme="majorHAnsi" w:hAnsiTheme="majorHAnsi" w:cstheme="majorHAnsi"/>
          <w:sz w:val="24"/>
          <w:szCs w:val="24"/>
          <w:lang w:val="ro-MD"/>
        </w:rPr>
        <w:t>anul</w:t>
      </w:r>
      <w:r w:rsidRPr="009772A3">
        <w:rPr>
          <w:rFonts w:asciiTheme="majorHAnsi" w:hAnsiTheme="majorHAnsi" w:cstheme="majorHAnsi"/>
          <w:sz w:val="24"/>
          <w:szCs w:val="24"/>
          <w:lang w:val="ro-MD"/>
        </w:rPr>
        <w:t xml:space="preserve"> 2021 </w:t>
      </w:r>
      <w:r w:rsidR="002C6F1A" w:rsidRPr="009772A3">
        <w:rPr>
          <w:rFonts w:asciiTheme="majorHAnsi" w:hAnsiTheme="majorHAnsi" w:cstheme="majorHAnsi"/>
          <w:sz w:val="24"/>
          <w:szCs w:val="24"/>
          <w:lang w:val="ro-MD"/>
        </w:rPr>
        <w:t xml:space="preserve">în cadrul SRL Moldovatransgaz </w:t>
      </w:r>
      <w:r w:rsidRPr="009772A3">
        <w:rPr>
          <w:rFonts w:asciiTheme="majorHAnsi" w:hAnsiTheme="majorHAnsi" w:cstheme="majorHAnsi"/>
          <w:sz w:val="24"/>
          <w:szCs w:val="24"/>
          <w:lang w:val="ro-MD"/>
        </w:rPr>
        <w:t>această funcție a fost preluată de Comisia privind managementul riscurilor, care pe parcursul anului a prelungit termen</w:t>
      </w:r>
      <w:r w:rsidR="00E66E32" w:rsidRPr="009772A3">
        <w:rPr>
          <w:rFonts w:asciiTheme="majorHAnsi" w:hAnsiTheme="majorHAnsi" w:cstheme="majorHAnsi"/>
          <w:sz w:val="24"/>
          <w:szCs w:val="24"/>
          <w:lang w:val="ro-MD"/>
        </w:rPr>
        <w:t xml:space="preserve">ul de executare la 21 </w:t>
      </w:r>
      <w:r w:rsidR="009419A9" w:rsidRPr="009772A3">
        <w:rPr>
          <w:rFonts w:asciiTheme="majorHAnsi" w:hAnsiTheme="majorHAnsi" w:cstheme="majorHAnsi"/>
          <w:sz w:val="24"/>
          <w:szCs w:val="24"/>
          <w:lang w:val="ro-MD"/>
        </w:rPr>
        <w:t xml:space="preserve">de </w:t>
      </w:r>
      <w:r w:rsidR="00E66E32" w:rsidRPr="009772A3">
        <w:rPr>
          <w:rFonts w:asciiTheme="majorHAnsi" w:hAnsiTheme="majorHAnsi" w:cstheme="majorHAnsi"/>
          <w:sz w:val="24"/>
          <w:szCs w:val="24"/>
          <w:lang w:val="ro-MD"/>
        </w:rPr>
        <w:t>contracte</w:t>
      </w:r>
      <w:r w:rsidRPr="009772A3">
        <w:rPr>
          <w:rFonts w:asciiTheme="majorHAnsi" w:hAnsiTheme="majorHAnsi" w:cstheme="majorHAnsi"/>
          <w:sz w:val="24"/>
          <w:szCs w:val="24"/>
          <w:lang w:val="ro-MD"/>
        </w:rPr>
        <w:t xml:space="preserve">. </w:t>
      </w:r>
    </w:p>
    <w:p w14:paraId="2D009082" w14:textId="2EB00D3D" w:rsidR="008D7907" w:rsidRPr="009772A3" w:rsidRDefault="008D7907" w:rsidP="008D790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 asemenea, auditul a relevant că Comisia privind managementul riscurilor a modificat într-un caz termenul și volumul lucrărilor executate după un an de la primirea lucrărilor conform contractului inițial, situație motivată </w:t>
      </w:r>
      <w:r w:rsidR="00C53549" w:rsidRPr="009772A3">
        <w:rPr>
          <w:rFonts w:asciiTheme="majorHAnsi" w:hAnsiTheme="majorHAnsi" w:cstheme="majorHAnsi"/>
          <w:sz w:val="24"/>
          <w:szCs w:val="24"/>
          <w:lang w:val="ro-MD"/>
        </w:rPr>
        <w:t xml:space="preserve">în procesul-verbal al </w:t>
      </w:r>
      <w:r w:rsidR="00F528EA" w:rsidRPr="009772A3">
        <w:rPr>
          <w:rFonts w:asciiTheme="majorHAnsi" w:hAnsiTheme="majorHAnsi" w:cstheme="majorHAnsi"/>
          <w:sz w:val="24"/>
          <w:szCs w:val="24"/>
          <w:lang w:val="ro-MD"/>
        </w:rPr>
        <w:t xml:space="preserve">comisiei respective </w:t>
      </w:r>
      <w:r w:rsidRPr="009772A3">
        <w:rPr>
          <w:rFonts w:asciiTheme="majorHAnsi" w:hAnsiTheme="majorHAnsi" w:cstheme="majorHAnsi"/>
          <w:sz w:val="24"/>
          <w:szCs w:val="24"/>
          <w:lang w:val="ro-MD"/>
        </w:rPr>
        <w:t>prin faptul că lucrările inițial executate n</w:t>
      </w:r>
      <w:r w:rsidR="009419A9" w:rsidRPr="009772A3">
        <w:rPr>
          <w:rFonts w:asciiTheme="majorHAnsi" w:hAnsiTheme="majorHAnsi" w:cstheme="majorHAnsi"/>
          <w:sz w:val="24"/>
          <w:szCs w:val="24"/>
          <w:lang w:val="ro-MD"/>
        </w:rPr>
        <w:t xml:space="preserve">u </w:t>
      </w:r>
      <w:r w:rsidRPr="009772A3">
        <w:rPr>
          <w:rFonts w:asciiTheme="majorHAnsi" w:hAnsiTheme="majorHAnsi" w:cstheme="majorHAnsi"/>
          <w:sz w:val="24"/>
          <w:szCs w:val="24"/>
          <w:lang w:val="ro-MD"/>
        </w:rPr>
        <w:t>au fost adaptate la specificul de activitate a</w:t>
      </w:r>
      <w:r w:rsidR="009419A9"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societății. Astfel, la 20.09.2020 a fost încheiat contractul nr. MTG 4/20 cu un operator economic având drept obiect livrarea licențelor platformei tehnologice, servicii de instalare, configurare primară și de implementare. Termenul de executare a fost stabilit până </w:t>
      </w:r>
      <w:r w:rsidR="009419A9" w:rsidRPr="009772A3">
        <w:rPr>
          <w:rFonts w:asciiTheme="majorHAnsi" w:hAnsiTheme="majorHAnsi" w:cstheme="majorHAnsi"/>
          <w:sz w:val="24"/>
          <w:szCs w:val="24"/>
          <w:lang w:val="ro-MD"/>
        </w:rPr>
        <w:t xml:space="preserve">la </w:t>
      </w:r>
      <w:r w:rsidRPr="009772A3">
        <w:rPr>
          <w:rFonts w:asciiTheme="majorHAnsi" w:hAnsiTheme="majorHAnsi" w:cstheme="majorHAnsi"/>
          <w:sz w:val="24"/>
          <w:szCs w:val="24"/>
          <w:lang w:val="ro-MD"/>
        </w:rPr>
        <w:t xml:space="preserve">31.12.2020. Lucrările menționate </w:t>
      </w:r>
      <w:r w:rsidR="009419A9" w:rsidRPr="009772A3">
        <w:rPr>
          <w:rFonts w:asciiTheme="majorHAnsi" w:hAnsiTheme="majorHAnsi" w:cstheme="majorHAnsi"/>
          <w:sz w:val="24"/>
          <w:szCs w:val="24"/>
          <w:lang w:val="ro-MD"/>
        </w:rPr>
        <w:t>au fost</w:t>
      </w:r>
      <w:r w:rsidRPr="009772A3">
        <w:rPr>
          <w:rFonts w:asciiTheme="majorHAnsi" w:hAnsiTheme="majorHAnsi" w:cstheme="majorHAnsi"/>
          <w:sz w:val="24"/>
          <w:szCs w:val="24"/>
          <w:lang w:val="ro-MD"/>
        </w:rPr>
        <w:t xml:space="preserve"> executate în termen</w:t>
      </w:r>
      <w:r w:rsidR="009419A9" w:rsidRPr="009772A3">
        <w:rPr>
          <w:rFonts w:asciiTheme="majorHAnsi" w:hAnsiTheme="majorHAnsi" w:cstheme="majorHAnsi"/>
          <w:sz w:val="24"/>
          <w:szCs w:val="24"/>
          <w:lang w:val="ro-MD"/>
        </w:rPr>
        <w:t>ele</w:t>
      </w:r>
      <w:r w:rsidRPr="009772A3">
        <w:rPr>
          <w:rFonts w:asciiTheme="majorHAnsi" w:hAnsiTheme="majorHAnsi" w:cstheme="majorHAnsi"/>
          <w:sz w:val="24"/>
          <w:szCs w:val="24"/>
          <w:lang w:val="ro-MD"/>
        </w:rPr>
        <w:t xml:space="preserve"> prevăzu</w:t>
      </w:r>
      <w:r w:rsidR="009419A9" w:rsidRPr="009772A3">
        <w:rPr>
          <w:rFonts w:asciiTheme="majorHAnsi" w:hAnsiTheme="majorHAnsi" w:cstheme="majorHAnsi"/>
          <w:sz w:val="24"/>
          <w:szCs w:val="24"/>
          <w:lang w:val="ro-MD"/>
        </w:rPr>
        <w:t>te</w:t>
      </w:r>
      <w:r w:rsidRPr="009772A3">
        <w:rPr>
          <w:rFonts w:asciiTheme="majorHAnsi" w:hAnsiTheme="majorHAnsi" w:cstheme="majorHAnsi"/>
          <w:sz w:val="24"/>
          <w:szCs w:val="24"/>
          <w:lang w:val="ro-MD"/>
        </w:rPr>
        <w:t xml:space="preserve"> și achitate conform contractului în sumă de </w:t>
      </w:r>
      <w:r w:rsidR="00601557" w:rsidRPr="009772A3">
        <w:rPr>
          <w:rFonts w:asciiTheme="majorHAnsi" w:hAnsiTheme="majorHAnsi" w:cstheme="majorHAnsi"/>
          <w:sz w:val="24"/>
          <w:szCs w:val="24"/>
          <w:lang w:val="ro-MD"/>
        </w:rPr>
        <w:t>864,4 mii lei (</w:t>
      </w:r>
      <w:r w:rsidRPr="009772A3">
        <w:rPr>
          <w:rFonts w:asciiTheme="majorHAnsi" w:hAnsiTheme="majorHAnsi" w:cstheme="majorHAnsi"/>
          <w:sz w:val="24"/>
          <w:szCs w:val="24"/>
          <w:lang w:val="ro-MD"/>
        </w:rPr>
        <w:t xml:space="preserve">50,55 mii </w:t>
      </w:r>
      <w:r w:rsidR="009419A9" w:rsidRPr="009772A3">
        <w:rPr>
          <w:rFonts w:asciiTheme="majorHAnsi" w:hAnsiTheme="majorHAnsi" w:cstheme="majorHAnsi"/>
          <w:sz w:val="24"/>
          <w:szCs w:val="24"/>
          <w:lang w:val="ro-MD"/>
        </w:rPr>
        <w:t>dolari SUA</w:t>
      </w:r>
      <w:r w:rsidR="006015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Peste un an, conform acordului adițional nr. 1 din 13.12.2021 și Hotărârii comisiei privind examinarea riscurilor</w:t>
      </w:r>
      <w:r w:rsidR="009419A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pr</w:t>
      </w:r>
      <w:r w:rsidR="00A347DC" w:rsidRPr="009772A3">
        <w:rPr>
          <w:rFonts w:asciiTheme="majorHAnsi" w:hAnsiTheme="majorHAnsi" w:cstheme="majorHAnsi"/>
          <w:sz w:val="24"/>
          <w:szCs w:val="24"/>
          <w:lang w:val="ro-MD"/>
        </w:rPr>
        <w:t>elungit termenul până la 31.12.</w:t>
      </w:r>
      <w:r w:rsidRPr="009772A3">
        <w:rPr>
          <w:rFonts w:asciiTheme="majorHAnsi" w:hAnsiTheme="majorHAnsi" w:cstheme="majorHAnsi"/>
          <w:sz w:val="24"/>
          <w:szCs w:val="24"/>
          <w:lang w:val="ro-MD"/>
        </w:rPr>
        <w:t>2021 și majorat costul cu</w:t>
      </w:r>
      <w:r w:rsidR="0046503E" w:rsidRPr="009772A3">
        <w:rPr>
          <w:rFonts w:asciiTheme="majorHAnsi" w:hAnsiTheme="majorHAnsi" w:cstheme="majorHAnsi"/>
          <w:sz w:val="24"/>
          <w:szCs w:val="24"/>
          <w:lang w:val="ro-MD"/>
        </w:rPr>
        <w:t xml:space="preserve"> 135,0 mii lei</w:t>
      </w:r>
      <w:r w:rsidRPr="009772A3">
        <w:rPr>
          <w:rFonts w:asciiTheme="majorHAnsi" w:hAnsiTheme="majorHAnsi" w:cstheme="majorHAnsi"/>
          <w:sz w:val="24"/>
          <w:szCs w:val="24"/>
          <w:lang w:val="ro-MD"/>
        </w:rPr>
        <w:t xml:space="preserve"> </w:t>
      </w:r>
      <w:r w:rsidR="0046503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7,583 mii </w:t>
      </w:r>
      <w:r w:rsidR="009419A9" w:rsidRPr="009772A3">
        <w:rPr>
          <w:rFonts w:asciiTheme="majorHAnsi" w:hAnsiTheme="majorHAnsi" w:cstheme="majorHAnsi"/>
          <w:sz w:val="24"/>
          <w:szCs w:val="24"/>
          <w:lang w:val="ro-MD"/>
        </w:rPr>
        <w:t>dolari SUA</w:t>
      </w:r>
      <w:r w:rsidR="0046503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Modificarea respectivă a fost motivată prin faptul că specificul activității SRL „Moldovatransgaz” nu permite de a folosi versiunea propusă și necesită executarea unor lucrări suplimentare.</w:t>
      </w:r>
    </w:p>
    <w:p w14:paraId="5AE671A4" w14:textId="011F4789" w:rsidR="00BE631C" w:rsidRPr="00D93D05" w:rsidRDefault="00ED2ADE" w:rsidP="00CF3AD4">
      <w:pPr>
        <w:pStyle w:val="Heading1"/>
        <w:numPr>
          <w:ilvl w:val="3"/>
          <w:numId w:val="2"/>
        </w:numPr>
        <w:tabs>
          <w:tab w:val="left" w:pos="851"/>
        </w:tabs>
        <w:spacing w:line="276" w:lineRule="auto"/>
        <w:ind w:left="0" w:firstLine="0"/>
        <w:jc w:val="both"/>
        <w:rPr>
          <w:rFonts w:cstheme="majorHAnsi"/>
          <w:szCs w:val="24"/>
          <w:lang w:val="ro-MD"/>
        </w:rPr>
      </w:pPr>
      <w:hyperlink w:anchor="_Toc117179038" w:history="1">
        <w:bookmarkStart w:id="141" w:name="_Toc119496426"/>
        <w:bookmarkStart w:id="142" w:name="_Toc118465751"/>
        <w:bookmarkStart w:id="143" w:name="_Toc118297723"/>
        <w:bookmarkStart w:id="144" w:name="_Toc117775784"/>
        <w:r w:rsidR="008D7907" w:rsidRPr="009772A3">
          <w:rPr>
            <w:i/>
            <w:color w:val="auto"/>
            <w:lang w:val="ro-MD"/>
          </w:rPr>
          <w:t xml:space="preserve"> </w:t>
        </w:r>
        <w:r w:rsidR="00BE631C">
          <w:rPr>
            <w:i/>
            <w:color w:val="auto"/>
            <w:lang w:val="ro-MD"/>
          </w:rPr>
          <w:t>A</w:t>
        </w:r>
        <w:r w:rsidR="008D7907" w:rsidRPr="009772A3">
          <w:rPr>
            <w:i/>
            <w:color w:val="auto"/>
            <w:lang w:val="ro-MD"/>
          </w:rPr>
          <w:t>sigurare</w:t>
        </w:r>
        <w:r w:rsidR="00BE631C">
          <w:rPr>
            <w:i/>
            <w:color w:val="auto"/>
            <w:lang w:val="ro-MD"/>
          </w:rPr>
          <w:t>a</w:t>
        </w:r>
        <w:r w:rsidR="008D7907" w:rsidRPr="009772A3">
          <w:rPr>
            <w:i/>
            <w:color w:val="auto"/>
            <w:lang w:val="ro-MD"/>
          </w:rPr>
          <w:t xml:space="preserve"> obligatorie a obiectelor industrial periculoase</w:t>
        </w:r>
        <w:r w:rsidR="00BE631C">
          <w:rPr>
            <w:i/>
            <w:color w:val="auto"/>
            <w:lang w:val="ro-MD"/>
          </w:rPr>
          <w:t xml:space="preserve"> s-a efectuat </w:t>
        </w:r>
        <w:r w:rsidR="00E56D77">
          <w:rPr>
            <w:i/>
            <w:color w:val="auto"/>
            <w:lang w:val="ro-MD"/>
          </w:rPr>
          <w:t xml:space="preserve">la </w:t>
        </w:r>
        <w:r w:rsidR="00BE631C">
          <w:rPr>
            <w:i/>
            <w:color w:val="auto"/>
            <w:lang w:val="ro-MD"/>
          </w:rPr>
          <w:t xml:space="preserve">o valoare mai mare </w:t>
        </w:r>
        <w:r w:rsidR="008D7907" w:rsidRPr="009772A3">
          <w:rPr>
            <w:i/>
            <w:color w:val="auto"/>
            <w:lang w:val="ro-MD"/>
          </w:rPr>
          <w:t>decât valoarea reală a bunurilor asigurate,</w:t>
        </w:r>
        <w:r w:rsidR="00BE631C">
          <w:rPr>
            <w:i/>
            <w:color w:val="auto"/>
            <w:lang w:val="ro-MD"/>
          </w:rPr>
          <w:t xml:space="preserve"> ceea ce a generat cheltuieli </w:t>
        </w:r>
        <w:r w:rsidR="00BE631C" w:rsidRPr="00BE631C">
          <w:rPr>
            <w:i/>
            <w:color w:val="auto"/>
            <w:lang w:val="ro-MD"/>
          </w:rPr>
          <w:t xml:space="preserve">mai mari </w:t>
        </w:r>
        <w:r w:rsidR="00BE631C">
          <w:rPr>
            <w:i/>
            <w:color w:val="auto"/>
            <w:lang w:val="ro-MD"/>
          </w:rPr>
          <w:t>pentru</w:t>
        </w:r>
        <w:r w:rsidR="008D7907" w:rsidRPr="009772A3">
          <w:rPr>
            <w:i/>
            <w:color w:val="auto"/>
            <w:lang w:val="ro-MD"/>
          </w:rPr>
          <w:t xml:space="preserve"> operatorul de transport al gazelor naturale.</w:t>
        </w:r>
        <w:bookmarkEnd w:id="141"/>
        <w:bookmarkEnd w:id="142"/>
        <w:bookmarkEnd w:id="143"/>
        <w:bookmarkEnd w:id="144"/>
      </w:hyperlink>
      <w:r w:rsidR="008D7907" w:rsidRPr="009772A3">
        <w:rPr>
          <w:i/>
          <w:color w:val="auto"/>
          <w:lang w:val="ro-MD"/>
        </w:rPr>
        <w:t xml:space="preserve"> </w:t>
      </w:r>
      <w:r w:rsidR="00BE631C" w:rsidRPr="0016625B">
        <w:rPr>
          <w:rFonts w:cstheme="majorHAnsi"/>
          <w:szCs w:val="24"/>
          <w:lang w:val="ro-MD"/>
        </w:rPr>
        <w:t xml:space="preserve"> </w:t>
      </w:r>
    </w:p>
    <w:p w14:paraId="4C25DE98" w14:textId="4CF7D656" w:rsidR="008D7907" w:rsidRPr="009772A3" w:rsidRDefault="008D7907" w:rsidP="008D790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cadrului legal</w:t>
      </w:r>
      <w:r w:rsidRPr="009772A3">
        <w:rPr>
          <w:rFonts w:asciiTheme="majorHAnsi" w:hAnsiTheme="majorHAnsi" w:cstheme="majorHAnsi"/>
          <w:sz w:val="24"/>
          <w:szCs w:val="24"/>
          <w:vertAlign w:val="superscript"/>
          <w:lang w:val="ro-MD"/>
        </w:rPr>
        <w:footnoteReference w:id="104"/>
      </w:r>
      <w:r w:rsidRPr="009772A3">
        <w:rPr>
          <w:rFonts w:asciiTheme="majorHAnsi" w:hAnsiTheme="majorHAnsi" w:cstheme="majorHAnsi"/>
          <w:sz w:val="24"/>
          <w:szCs w:val="24"/>
          <w:lang w:val="ro-MD"/>
        </w:rPr>
        <w:t>, agentul economic care deține un obiect industrial înregistrat periculos este obligat să efectueze asigurarea de răspundere pentru prejudiciile cauzate vieții, sănătății sau bunurilor altor persoane, precum și mediului înconjurător, în caz de avarie la obiectul industrial periculos. Mărimea sumei asigurării de răspundere pentru eventualele prejudicii se stabilește în baza rezultatelor evaluării riscului. Totodată, potrivit Legii cu privire la asigurări</w:t>
      </w:r>
      <w:r w:rsidRPr="009772A3">
        <w:rPr>
          <w:rFonts w:asciiTheme="majorHAnsi" w:hAnsiTheme="majorHAnsi" w:cstheme="majorHAnsi"/>
          <w:sz w:val="24"/>
          <w:szCs w:val="24"/>
          <w:vertAlign w:val="superscript"/>
          <w:lang w:val="ro-MD"/>
        </w:rPr>
        <w:footnoteReference w:id="105"/>
      </w:r>
      <w:r w:rsidR="009419A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suma asigurată nu poate depăși valoarea reală a bunurilor asigurate din momentul încheierii contractului de asigurare. În caz contrar, contractul este nul, în virtutea legii, în partea, din suma asigurată, care depășește valoarea reală a bunurilor la momentul încheierii contractului.  </w:t>
      </w:r>
    </w:p>
    <w:p w14:paraId="0E8988DF" w14:textId="00C00D59" w:rsidR="00AD48DB" w:rsidRPr="009772A3" w:rsidRDefault="004366C4" w:rsidP="008D790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Probele de audit colectate relevă că î</w:t>
      </w:r>
      <w:r w:rsidR="008D7907" w:rsidRPr="009772A3">
        <w:rPr>
          <w:rFonts w:asciiTheme="majorHAnsi" w:hAnsiTheme="majorHAnsi" w:cstheme="majorHAnsi"/>
          <w:sz w:val="24"/>
          <w:szCs w:val="24"/>
          <w:lang w:val="ro-MD"/>
        </w:rPr>
        <w:t>n anii 2016-2020 SRL Moldovatransgaz a contractat servicii de asigurare</w:t>
      </w:r>
      <w:r w:rsidR="009419A9"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indic</w:t>
      </w:r>
      <w:r w:rsidR="009419A9" w:rsidRPr="009772A3">
        <w:rPr>
          <w:rFonts w:asciiTheme="majorHAnsi" w:hAnsiTheme="majorHAnsi" w:cstheme="majorHAnsi"/>
          <w:sz w:val="24"/>
          <w:szCs w:val="24"/>
          <w:lang w:val="ro-MD"/>
        </w:rPr>
        <w:t>ând</w:t>
      </w:r>
      <w:r w:rsidR="008D7907" w:rsidRPr="009772A3">
        <w:rPr>
          <w:rFonts w:asciiTheme="majorHAnsi" w:hAnsiTheme="majorHAnsi" w:cstheme="majorHAnsi"/>
          <w:sz w:val="24"/>
          <w:szCs w:val="24"/>
          <w:lang w:val="ro-MD"/>
        </w:rPr>
        <w:t xml:space="preserve"> valoarea bunurilor asigurate mai mare dec</w:t>
      </w:r>
      <w:r w:rsidR="009419A9" w:rsidRPr="009772A3">
        <w:rPr>
          <w:rFonts w:asciiTheme="majorHAnsi" w:hAnsiTheme="majorHAnsi" w:cstheme="majorHAnsi"/>
          <w:sz w:val="24"/>
          <w:szCs w:val="24"/>
          <w:lang w:val="ro-MD"/>
        </w:rPr>
        <w:t>â</w:t>
      </w:r>
      <w:r w:rsidR="008D7907" w:rsidRPr="009772A3">
        <w:rPr>
          <w:rFonts w:asciiTheme="majorHAnsi" w:hAnsiTheme="majorHAnsi" w:cstheme="majorHAnsi"/>
          <w:sz w:val="24"/>
          <w:szCs w:val="24"/>
          <w:lang w:val="ro-MD"/>
        </w:rPr>
        <w:t>t cea înregistrată în evidența contabilă. Astfel, potrivit datelor evidenței contabile</w:t>
      </w:r>
      <w:r w:rsidR="009419A9"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la 01.01.2017 valoarea rețelelor asigurate însuma 2</w:t>
      </w:r>
      <w:r w:rsidR="007610AD" w:rsidRPr="009772A3">
        <w:rPr>
          <w:rFonts w:asciiTheme="majorHAnsi" w:hAnsiTheme="majorHAnsi" w:cstheme="majorHAnsi"/>
          <w:sz w:val="24"/>
          <w:szCs w:val="24"/>
          <w:lang w:val="ro-MD"/>
        </w:rPr>
        <w:t>.209.</w:t>
      </w:r>
      <w:r w:rsidR="008D7907" w:rsidRPr="009772A3">
        <w:rPr>
          <w:rFonts w:asciiTheme="majorHAnsi" w:hAnsiTheme="majorHAnsi" w:cstheme="majorHAnsi"/>
          <w:sz w:val="24"/>
          <w:szCs w:val="24"/>
          <w:lang w:val="ro-MD"/>
        </w:rPr>
        <w:t>3</w:t>
      </w:r>
      <w:r w:rsidR="007610AD" w:rsidRPr="009772A3">
        <w:rPr>
          <w:rFonts w:asciiTheme="majorHAnsi" w:hAnsiTheme="majorHAnsi" w:cstheme="majorHAnsi"/>
          <w:sz w:val="24"/>
          <w:szCs w:val="24"/>
          <w:lang w:val="ro-MD"/>
        </w:rPr>
        <w:t xml:space="preserve">00,0 mii </w:t>
      </w:r>
      <w:r w:rsidR="008D7907" w:rsidRPr="009772A3">
        <w:rPr>
          <w:rFonts w:asciiTheme="majorHAnsi" w:hAnsiTheme="majorHAnsi" w:cstheme="majorHAnsi"/>
          <w:sz w:val="24"/>
          <w:szCs w:val="24"/>
          <w:lang w:val="ro-MD"/>
        </w:rPr>
        <w:t>lei, iar cuantumul sumei de asigurare în anul 2016</w:t>
      </w:r>
      <w:r w:rsidR="008D7907" w:rsidRPr="009772A3">
        <w:rPr>
          <w:rFonts w:asciiTheme="majorHAnsi" w:hAnsiTheme="majorHAnsi" w:cstheme="majorHAnsi"/>
          <w:sz w:val="24"/>
          <w:szCs w:val="24"/>
          <w:vertAlign w:val="superscript"/>
          <w:lang w:val="ro-MD"/>
        </w:rPr>
        <w:footnoteReference w:id="106"/>
      </w:r>
      <w:r w:rsidR="008D7907" w:rsidRPr="009772A3">
        <w:rPr>
          <w:rFonts w:asciiTheme="majorHAnsi" w:hAnsiTheme="majorHAnsi" w:cstheme="majorHAnsi"/>
          <w:sz w:val="24"/>
          <w:szCs w:val="24"/>
          <w:lang w:val="ro-MD"/>
        </w:rPr>
        <w:t xml:space="preserve"> a însumat 3</w:t>
      </w:r>
      <w:r w:rsidR="007610AD" w:rsidRPr="009772A3">
        <w:rPr>
          <w:rFonts w:asciiTheme="majorHAnsi" w:hAnsiTheme="majorHAnsi" w:cstheme="majorHAnsi"/>
          <w:sz w:val="24"/>
          <w:szCs w:val="24"/>
          <w:lang w:val="ro-MD"/>
        </w:rPr>
        <w:t>.324.</w:t>
      </w:r>
      <w:r w:rsidR="008D7907" w:rsidRPr="009772A3">
        <w:rPr>
          <w:rFonts w:asciiTheme="majorHAnsi" w:hAnsiTheme="majorHAnsi" w:cstheme="majorHAnsi"/>
          <w:sz w:val="24"/>
          <w:szCs w:val="24"/>
          <w:lang w:val="ro-MD"/>
        </w:rPr>
        <w:t>1</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lei, sau cu 1</w:t>
      </w:r>
      <w:r w:rsidR="007610AD" w:rsidRPr="009772A3">
        <w:rPr>
          <w:rFonts w:asciiTheme="majorHAnsi" w:hAnsiTheme="majorHAnsi" w:cstheme="majorHAnsi"/>
          <w:sz w:val="24"/>
          <w:szCs w:val="24"/>
          <w:lang w:val="ro-MD"/>
        </w:rPr>
        <w:t>.114.</w:t>
      </w:r>
      <w:r w:rsidR="008D7907" w:rsidRPr="009772A3">
        <w:rPr>
          <w:rFonts w:asciiTheme="majorHAnsi" w:hAnsiTheme="majorHAnsi" w:cstheme="majorHAnsi"/>
          <w:sz w:val="24"/>
          <w:szCs w:val="24"/>
          <w:lang w:val="ro-MD"/>
        </w:rPr>
        <w:t>8</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lei mai mult, fiind ac</w:t>
      </w:r>
      <w:r w:rsidR="007610AD" w:rsidRPr="009772A3">
        <w:rPr>
          <w:rFonts w:asciiTheme="majorHAnsi" w:hAnsiTheme="majorHAnsi" w:cstheme="majorHAnsi"/>
          <w:sz w:val="24"/>
          <w:szCs w:val="24"/>
          <w:lang w:val="ro-MD"/>
        </w:rPr>
        <w:t>hitată prima de asigurare de 18.</w:t>
      </w:r>
      <w:r w:rsidR="008D7907" w:rsidRPr="009772A3">
        <w:rPr>
          <w:rFonts w:asciiTheme="majorHAnsi" w:hAnsiTheme="majorHAnsi" w:cstheme="majorHAnsi"/>
          <w:sz w:val="24"/>
          <w:szCs w:val="24"/>
          <w:lang w:val="ro-MD"/>
        </w:rPr>
        <w:t>0</w:t>
      </w:r>
      <w:r w:rsidR="007610AD" w:rsidRPr="009772A3">
        <w:rPr>
          <w:rFonts w:asciiTheme="majorHAnsi" w:hAnsiTheme="majorHAnsi" w:cstheme="majorHAnsi"/>
          <w:sz w:val="24"/>
          <w:szCs w:val="24"/>
          <w:lang w:val="ro-MD"/>
        </w:rPr>
        <w:t>05,8</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lei. Analogic, în anii 2018 și 2019</w:t>
      </w:r>
      <w:r w:rsidR="009419A9"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valoarea bunurilor asigurate a însumat 2</w:t>
      </w:r>
      <w:r w:rsidR="007610AD"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138</w:t>
      </w:r>
      <w:r w:rsidR="007610AD"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1</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lei și</w:t>
      </w:r>
      <w:r w:rsidR="009419A9"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respectiv</w:t>
      </w:r>
      <w:r w:rsidR="009419A9"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w:t>
      </w:r>
      <w:r w:rsidR="00316A59" w:rsidRPr="009772A3">
        <w:rPr>
          <w:rFonts w:asciiTheme="majorHAnsi" w:hAnsiTheme="majorHAnsi" w:cstheme="majorHAnsi"/>
          <w:sz w:val="24"/>
          <w:szCs w:val="24"/>
          <w:lang w:val="ro-MD"/>
        </w:rPr>
        <w:t xml:space="preserve">2.293.600,0 </w:t>
      </w:r>
      <w:r w:rsidR="008D7907" w:rsidRPr="009772A3">
        <w:rPr>
          <w:rFonts w:asciiTheme="majorHAnsi" w:hAnsiTheme="majorHAnsi" w:cstheme="majorHAnsi"/>
          <w:sz w:val="24"/>
          <w:szCs w:val="24"/>
          <w:lang w:val="ro-MD"/>
        </w:rPr>
        <w:t>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lei, iar cuantumul sumei de asigurare a însumat 3</w:t>
      </w:r>
      <w:r w:rsidR="007610AD"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243</w:t>
      </w:r>
      <w:r w:rsidR="007610AD"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5</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lei și</w:t>
      </w:r>
      <w:r w:rsidR="009419A9"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respectiv</w:t>
      </w:r>
      <w:r w:rsidR="009419A9"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 xml:space="preserve"> </w:t>
      </w:r>
      <w:r w:rsidR="00316A59" w:rsidRPr="009772A3">
        <w:rPr>
          <w:rFonts w:asciiTheme="majorHAnsi" w:hAnsiTheme="majorHAnsi" w:cstheme="majorHAnsi"/>
          <w:sz w:val="24"/>
          <w:szCs w:val="24"/>
          <w:lang w:val="ro-MD"/>
        </w:rPr>
        <w:t xml:space="preserve">3.100.000,0 </w:t>
      </w:r>
      <w:r w:rsidR="007610AD" w:rsidRPr="009772A3">
        <w:rPr>
          <w:rFonts w:asciiTheme="majorHAnsi" w:hAnsiTheme="majorHAnsi" w:cstheme="majorHAnsi"/>
          <w:sz w:val="24"/>
          <w:szCs w:val="24"/>
          <w:lang w:val="ro-MD"/>
        </w:rPr>
        <w:t xml:space="preserve">mii </w:t>
      </w:r>
      <w:r w:rsidR="008D7907" w:rsidRPr="009772A3">
        <w:rPr>
          <w:rFonts w:asciiTheme="majorHAnsi" w:hAnsiTheme="majorHAnsi" w:cstheme="majorHAnsi"/>
          <w:sz w:val="24"/>
          <w:szCs w:val="24"/>
          <w:lang w:val="ro-MD"/>
        </w:rPr>
        <w:t>lei, sau cu 1</w:t>
      </w:r>
      <w:r w:rsidR="007610AD"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105</w:t>
      </w:r>
      <w:r w:rsidR="007610AD"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4</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i lei și</w:t>
      </w:r>
      <w:r w:rsidR="009419A9" w:rsidRPr="009772A3">
        <w:rPr>
          <w:rFonts w:asciiTheme="majorHAnsi" w:hAnsiTheme="majorHAnsi" w:cstheme="majorHAnsi"/>
          <w:sz w:val="24"/>
          <w:szCs w:val="24"/>
          <w:lang w:val="ro-MD"/>
        </w:rPr>
        <w:t>,</w:t>
      </w:r>
      <w:r w:rsidR="007610AD" w:rsidRPr="009772A3">
        <w:rPr>
          <w:rFonts w:asciiTheme="majorHAnsi" w:hAnsiTheme="majorHAnsi" w:cstheme="majorHAnsi"/>
          <w:sz w:val="24"/>
          <w:szCs w:val="24"/>
          <w:lang w:val="ro-MD"/>
        </w:rPr>
        <w:t xml:space="preserve"> respectiv</w:t>
      </w:r>
      <w:r w:rsidR="009419A9" w:rsidRPr="009772A3">
        <w:rPr>
          <w:rFonts w:asciiTheme="majorHAnsi" w:hAnsiTheme="majorHAnsi" w:cstheme="majorHAnsi"/>
          <w:sz w:val="24"/>
          <w:szCs w:val="24"/>
          <w:lang w:val="ro-MD"/>
        </w:rPr>
        <w:t>,</w:t>
      </w:r>
      <w:r w:rsidR="007610AD" w:rsidRPr="009772A3">
        <w:rPr>
          <w:rFonts w:asciiTheme="majorHAnsi" w:hAnsiTheme="majorHAnsi" w:cstheme="majorHAnsi"/>
          <w:sz w:val="24"/>
          <w:szCs w:val="24"/>
          <w:lang w:val="ro-MD"/>
        </w:rPr>
        <w:t xml:space="preserve"> cu 806.</w:t>
      </w:r>
      <w:r w:rsidR="008D7907" w:rsidRPr="009772A3">
        <w:rPr>
          <w:rFonts w:asciiTheme="majorHAnsi" w:hAnsiTheme="majorHAnsi" w:cstheme="majorHAnsi"/>
          <w:sz w:val="24"/>
          <w:szCs w:val="24"/>
          <w:lang w:val="ro-MD"/>
        </w:rPr>
        <w:t>4</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lei mai mult, fiind ac</w:t>
      </w:r>
      <w:r w:rsidR="007610AD" w:rsidRPr="009772A3">
        <w:rPr>
          <w:rFonts w:asciiTheme="majorHAnsi" w:hAnsiTheme="majorHAnsi" w:cstheme="majorHAnsi"/>
          <w:sz w:val="24"/>
          <w:szCs w:val="24"/>
          <w:lang w:val="ro-MD"/>
        </w:rPr>
        <w:t>hitată prima de asigurare de 16.</w:t>
      </w:r>
      <w:r w:rsidR="008D7907" w:rsidRPr="009772A3">
        <w:rPr>
          <w:rFonts w:asciiTheme="majorHAnsi" w:hAnsiTheme="majorHAnsi" w:cstheme="majorHAnsi"/>
          <w:sz w:val="24"/>
          <w:szCs w:val="24"/>
          <w:lang w:val="ro-MD"/>
        </w:rPr>
        <w:t>6</w:t>
      </w:r>
      <w:r w:rsidR="007610AD" w:rsidRPr="009772A3">
        <w:rPr>
          <w:rFonts w:asciiTheme="majorHAnsi" w:hAnsiTheme="majorHAnsi" w:cstheme="majorHAnsi"/>
          <w:sz w:val="24"/>
          <w:szCs w:val="24"/>
          <w:lang w:val="ro-MD"/>
        </w:rPr>
        <w:t>11,6</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i lei și</w:t>
      </w:r>
      <w:r w:rsidR="009419A9" w:rsidRPr="009772A3">
        <w:rPr>
          <w:rFonts w:asciiTheme="majorHAnsi" w:hAnsiTheme="majorHAnsi" w:cstheme="majorHAnsi"/>
          <w:sz w:val="24"/>
          <w:szCs w:val="24"/>
          <w:lang w:val="ro-MD"/>
        </w:rPr>
        <w:t>,</w:t>
      </w:r>
      <w:r w:rsidR="007610AD" w:rsidRPr="009772A3">
        <w:rPr>
          <w:rFonts w:asciiTheme="majorHAnsi" w:hAnsiTheme="majorHAnsi" w:cstheme="majorHAnsi"/>
          <w:sz w:val="24"/>
          <w:szCs w:val="24"/>
          <w:lang w:val="ro-MD"/>
        </w:rPr>
        <w:t xml:space="preserve"> respectiv</w:t>
      </w:r>
      <w:r w:rsidR="009419A9" w:rsidRPr="009772A3">
        <w:rPr>
          <w:rFonts w:asciiTheme="majorHAnsi" w:hAnsiTheme="majorHAnsi" w:cstheme="majorHAnsi"/>
          <w:sz w:val="24"/>
          <w:szCs w:val="24"/>
          <w:lang w:val="ro-MD"/>
        </w:rPr>
        <w:t>, de</w:t>
      </w:r>
      <w:r w:rsidR="007610AD" w:rsidRPr="009772A3">
        <w:rPr>
          <w:rFonts w:asciiTheme="majorHAnsi" w:hAnsiTheme="majorHAnsi" w:cstheme="majorHAnsi"/>
          <w:sz w:val="24"/>
          <w:szCs w:val="24"/>
          <w:lang w:val="ro-MD"/>
        </w:rPr>
        <w:t xml:space="preserve"> 17.</w:t>
      </w:r>
      <w:r w:rsidR="008D7907" w:rsidRPr="009772A3">
        <w:rPr>
          <w:rFonts w:asciiTheme="majorHAnsi" w:hAnsiTheme="majorHAnsi" w:cstheme="majorHAnsi"/>
          <w:sz w:val="24"/>
          <w:szCs w:val="24"/>
          <w:lang w:val="ro-MD"/>
        </w:rPr>
        <w:t>5</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 xml:space="preserve">i </w:t>
      </w:r>
      <w:r w:rsidR="008D7907" w:rsidRPr="009772A3">
        <w:rPr>
          <w:rFonts w:asciiTheme="majorHAnsi" w:hAnsiTheme="majorHAnsi" w:cstheme="majorHAnsi"/>
          <w:sz w:val="24"/>
          <w:szCs w:val="24"/>
          <w:lang w:val="ro-MD"/>
        </w:rPr>
        <w:t xml:space="preserve">lei. Auditul relevă că, deși în anul 2020 au fost asigurate aceleași rețele, cuantumul sumei asigurate a </w:t>
      </w:r>
      <w:r w:rsidR="009F4985" w:rsidRPr="009772A3">
        <w:rPr>
          <w:rFonts w:asciiTheme="majorHAnsi" w:hAnsiTheme="majorHAnsi" w:cstheme="majorHAnsi"/>
          <w:sz w:val="24"/>
          <w:szCs w:val="24"/>
          <w:lang w:val="ro-MD"/>
        </w:rPr>
        <w:t xml:space="preserve">constituit </w:t>
      </w:r>
      <w:r w:rsidR="008D7907" w:rsidRPr="009772A3">
        <w:rPr>
          <w:rFonts w:asciiTheme="majorHAnsi" w:hAnsiTheme="majorHAnsi" w:cstheme="majorHAnsi"/>
          <w:sz w:val="24"/>
          <w:szCs w:val="24"/>
          <w:lang w:val="ro-MD"/>
        </w:rPr>
        <w:t>doar 2</w:t>
      </w:r>
      <w:r w:rsidR="007610AD" w:rsidRPr="009772A3">
        <w:rPr>
          <w:rFonts w:asciiTheme="majorHAnsi" w:hAnsiTheme="majorHAnsi" w:cstheme="majorHAnsi"/>
          <w:sz w:val="24"/>
          <w:szCs w:val="24"/>
          <w:lang w:val="ro-MD"/>
        </w:rPr>
        <w:t>.</w:t>
      </w:r>
      <w:r w:rsidR="008D7907" w:rsidRPr="009772A3">
        <w:rPr>
          <w:rFonts w:asciiTheme="majorHAnsi" w:hAnsiTheme="majorHAnsi" w:cstheme="majorHAnsi"/>
          <w:sz w:val="24"/>
          <w:szCs w:val="24"/>
          <w:lang w:val="ro-MD"/>
        </w:rPr>
        <w:t>0</w:t>
      </w:r>
      <w:r w:rsidR="007610AD" w:rsidRPr="009772A3">
        <w:rPr>
          <w:rFonts w:asciiTheme="majorHAnsi" w:hAnsiTheme="majorHAnsi" w:cstheme="majorHAnsi"/>
          <w:sz w:val="24"/>
          <w:szCs w:val="24"/>
          <w:lang w:val="ro-MD"/>
        </w:rPr>
        <w:t>00,0</w:t>
      </w:r>
      <w:r w:rsidR="008D7907" w:rsidRPr="009772A3">
        <w:rPr>
          <w:rFonts w:asciiTheme="majorHAnsi" w:hAnsiTheme="majorHAnsi" w:cstheme="majorHAnsi"/>
          <w:sz w:val="24"/>
          <w:szCs w:val="24"/>
          <w:lang w:val="ro-MD"/>
        </w:rPr>
        <w:t xml:space="preserve"> mi</w:t>
      </w:r>
      <w:r w:rsidR="007610AD" w:rsidRPr="009772A3">
        <w:rPr>
          <w:rFonts w:asciiTheme="majorHAnsi" w:hAnsiTheme="majorHAnsi" w:cstheme="majorHAnsi"/>
          <w:sz w:val="24"/>
          <w:szCs w:val="24"/>
          <w:lang w:val="ro-MD"/>
        </w:rPr>
        <w:t>i</w:t>
      </w:r>
      <w:r w:rsidR="008D7907" w:rsidRPr="009772A3">
        <w:rPr>
          <w:rFonts w:asciiTheme="majorHAnsi" w:hAnsiTheme="majorHAnsi" w:cstheme="majorHAnsi"/>
          <w:sz w:val="24"/>
          <w:szCs w:val="24"/>
          <w:lang w:val="ro-MD"/>
        </w:rPr>
        <w:t xml:space="preserve"> lei, iar prima</w:t>
      </w:r>
      <w:r w:rsidR="007610AD" w:rsidRPr="009772A3">
        <w:rPr>
          <w:rFonts w:asciiTheme="majorHAnsi" w:hAnsiTheme="majorHAnsi" w:cstheme="majorHAnsi"/>
          <w:sz w:val="24"/>
          <w:szCs w:val="24"/>
          <w:lang w:val="ro-MD"/>
        </w:rPr>
        <w:t xml:space="preserve"> de asigurare a fost </w:t>
      </w:r>
      <w:r w:rsidR="009F4985" w:rsidRPr="009772A3">
        <w:rPr>
          <w:rFonts w:asciiTheme="majorHAnsi" w:hAnsiTheme="majorHAnsi" w:cstheme="majorHAnsi"/>
          <w:sz w:val="24"/>
          <w:szCs w:val="24"/>
          <w:lang w:val="ro-MD"/>
        </w:rPr>
        <w:t xml:space="preserve">de </w:t>
      </w:r>
      <w:r w:rsidR="007610AD" w:rsidRPr="009772A3">
        <w:rPr>
          <w:rFonts w:asciiTheme="majorHAnsi" w:hAnsiTheme="majorHAnsi" w:cstheme="majorHAnsi"/>
          <w:sz w:val="24"/>
          <w:szCs w:val="24"/>
          <w:lang w:val="ro-MD"/>
        </w:rPr>
        <w:t>doar</w:t>
      </w:r>
      <w:r w:rsidR="00666F06">
        <w:rPr>
          <w:rFonts w:asciiTheme="majorHAnsi" w:hAnsiTheme="majorHAnsi" w:cstheme="majorHAnsi"/>
          <w:sz w:val="24"/>
          <w:szCs w:val="24"/>
          <w:lang w:val="ro-MD"/>
        </w:rPr>
        <w:t xml:space="preserve"> </w:t>
      </w:r>
      <w:r w:rsidR="007610AD" w:rsidRPr="009772A3">
        <w:rPr>
          <w:rFonts w:asciiTheme="majorHAnsi" w:hAnsiTheme="majorHAnsi" w:cstheme="majorHAnsi"/>
          <w:sz w:val="24"/>
          <w:szCs w:val="24"/>
          <w:lang w:val="ro-MD"/>
        </w:rPr>
        <w:t>20,</w:t>
      </w:r>
      <w:r w:rsidR="008D7907" w:rsidRPr="009772A3">
        <w:rPr>
          <w:rFonts w:asciiTheme="majorHAnsi" w:hAnsiTheme="majorHAnsi" w:cstheme="majorHAnsi"/>
          <w:sz w:val="24"/>
          <w:szCs w:val="24"/>
          <w:lang w:val="ro-MD"/>
        </w:rPr>
        <w:t>0 mii lei</w:t>
      </w:r>
      <w:r w:rsidR="00791CC1" w:rsidRPr="009772A3">
        <w:rPr>
          <w:rFonts w:asciiTheme="majorHAnsi" w:hAnsiTheme="majorHAnsi" w:cstheme="majorHAnsi"/>
          <w:sz w:val="24"/>
          <w:szCs w:val="24"/>
          <w:lang w:val="ro-MD"/>
        </w:rPr>
        <w:t>, sau mai puțin cu 17.480,0 mii lei</w:t>
      </w:r>
      <w:r w:rsidR="00857E71" w:rsidRPr="009772A3">
        <w:rPr>
          <w:rFonts w:asciiTheme="majorHAnsi" w:hAnsiTheme="majorHAnsi" w:cstheme="majorHAnsi"/>
          <w:sz w:val="24"/>
          <w:szCs w:val="24"/>
          <w:lang w:val="ro-MD"/>
        </w:rPr>
        <w:t xml:space="preserve"> dec</w:t>
      </w:r>
      <w:r w:rsidR="009F4985" w:rsidRPr="009772A3">
        <w:rPr>
          <w:rFonts w:asciiTheme="majorHAnsi" w:hAnsiTheme="majorHAnsi" w:cstheme="majorHAnsi"/>
          <w:sz w:val="24"/>
          <w:szCs w:val="24"/>
          <w:lang w:val="ro-MD"/>
        </w:rPr>
        <w:t>â</w:t>
      </w:r>
      <w:r w:rsidR="00857E71" w:rsidRPr="009772A3">
        <w:rPr>
          <w:rFonts w:asciiTheme="majorHAnsi" w:hAnsiTheme="majorHAnsi" w:cstheme="majorHAnsi"/>
          <w:sz w:val="24"/>
          <w:szCs w:val="24"/>
          <w:lang w:val="ro-MD"/>
        </w:rPr>
        <w:t>t în anul 2019</w:t>
      </w:r>
      <w:r w:rsidR="008D7907" w:rsidRPr="009772A3">
        <w:rPr>
          <w:rFonts w:asciiTheme="majorHAnsi" w:hAnsiTheme="majorHAnsi" w:cstheme="majorHAnsi"/>
          <w:sz w:val="24"/>
          <w:szCs w:val="24"/>
          <w:lang w:val="ro-MD"/>
        </w:rPr>
        <w:t xml:space="preserve">. Cele menționate denotă că, în cadrul SRL Moldovatransgaz, nu există criterii clare și o modalitate </w:t>
      </w:r>
      <w:r w:rsidR="009F4985" w:rsidRPr="009772A3">
        <w:rPr>
          <w:rFonts w:asciiTheme="majorHAnsi" w:hAnsiTheme="majorHAnsi" w:cstheme="majorHAnsi"/>
          <w:sz w:val="24"/>
          <w:szCs w:val="24"/>
          <w:lang w:val="ro-MD"/>
        </w:rPr>
        <w:t xml:space="preserve">unică </w:t>
      </w:r>
      <w:r w:rsidR="008D7907" w:rsidRPr="009772A3">
        <w:rPr>
          <w:rFonts w:asciiTheme="majorHAnsi" w:hAnsiTheme="majorHAnsi" w:cstheme="majorHAnsi"/>
          <w:sz w:val="24"/>
          <w:szCs w:val="24"/>
          <w:lang w:val="ro-MD"/>
        </w:rPr>
        <w:t xml:space="preserve">de stabilire a limitei de asigurare, fapt ce influențează asupra plății de asigurare și valorii cheltuielilor suportate. </w:t>
      </w:r>
    </w:p>
    <w:p w14:paraId="3CD91FDD" w14:textId="27C92DCB" w:rsidR="00AD48DB" w:rsidRPr="00CF3AD4" w:rsidRDefault="000B11C3" w:rsidP="00666F06">
      <w:pPr>
        <w:pStyle w:val="Heading1"/>
        <w:numPr>
          <w:ilvl w:val="3"/>
          <w:numId w:val="2"/>
        </w:numPr>
        <w:tabs>
          <w:tab w:val="left" w:pos="851"/>
        </w:tabs>
        <w:spacing w:line="276" w:lineRule="auto"/>
        <w:ind w:left="0" w:firstLine="0"/>
        <w:jc w:val="both"/>
        <w:rPr>
          <w:b w:val="0"/>
          <w:i/>
          <w:color w:val="auto"/>
          <w:lang w:val="ro-MD"/>
        </w:rPr>
      </w:pPr>
      <w:bookmarkStart w:id="145" w:name="_Toc119496427"/>
      <w:r w:rsidRPr="00CF3AD4">
        <w:rPr>
          <w:rFonts w:cstheme="majorHAnsi"/>
          <w:i/>
          <w:color w:val="auto"/>
          <w:szCs w:val="24"/>
          <w:shd w:val="clear" w:color="auto" w:fill="FFFFFF"/>
          <w:lang w:val="ro-MD"/>
        </w:rPr>
        <w:t>SRL Bălți-gaz a</w:t>
      </w:r>
      <w:r w:rsidR="00AD48DB" w:rsidRPr="00CF3AD4">
        <w:rPr>
          <w:i/>
          <w:color w:val="auto"/>
          <w:lang w:val="ro-MD"/>
        </w:rPr>
        <w:t xml:space="preserve"> admis divizarea unor contracte de achiziții</w:t>
      </w:r>
      <w:r w:rsidRPr="00CF3AD4">
        <w:rPr>
          <w:i/>
          <w:color w:val="auto"/>
          <w:lang w:val="ro-MD"/>
        </w:rPr>
        <w:t xml:space="preserve"> în valoare totală de </w:t>
      </w:r>
      <w:r w:rsidR="006D60D0" w:rsidRPr="00CF3AD4">
        <w:rPr>
          <w:i/>
          <w:color w:val="auto"/>
          <w:lang w:val="ro-MD"/>
        </w:rPr>
        <w:t>3</w:t>
      </w:r>
      <w:r w:rsidR="009F4985" w:rsidRPr="00CF3AD4">
        <w:rPr>
          <w:i/>
          <w:color w:val="auto"/>
          <w:lang w:val="ro-MD"/>
        </w:rPr>
        <w:t>.</w:t>
      </w:r>
      <w:r w:rsidR="006D60D0" w:rsidRPr="00CF3AD4">
        <w:rPr>
          <w:i/>
          <w:color w:val="auto"/>
          <w:lang w:val="ro-MD"/>
        </w:rPr>
        <w:t>132</w:t>
      </w:r>
      <w:r w:rsidR="009F4985" w:rsidRPr="00CF3AD4">
        <w:rPr>
          <w:i/>
          <w:color w:val="auto"/>
          <w:lang w:val="ro-MD"/>
        </w:rPr>
        <w:t>,</w:t>
      </w:r>
      <w:r w:rsidR="006D60D0" w:rsidRPr="00CF3AD4">
        <w:rPr>
          <w:i/>
          <w:color w:val="auto"/>
          <w:lang w:val="ro-MD"/>
        </w:rPr>
        <w:t>6</w:t>
      </w:r>
      <w:r w:rsidRPr="00CF3AD4">
        <w:rPr>
          <w:i/>
          <w:color w:val="auto"/>
          <w:lang w:val="ro-MD"/>
        </w:rPr>
        <w:t xml:space="preserve"> mii lei</w:t>
      </w:r>
      <w:r w:rsidR="00AD48DB" w:rsidRPr="00CF3AD4">
        <w:rPr>
          <w:i/>
          <w:color w:val="auto"/>
          <w:lang w:val="ro-MD"/>
        </w:rPr>
        <w:t>,</w:t>
      </w:r>
      <w:r w:rsidRPr="00CF3AD4">
        <w:rPr>
          <w:rFonts w:cstheme="majorHAnsi"/>
          <w:i/>
          <w:color w:val="auto"/>
          <w:szCs w:val="24"/>
          <w:shd w:val="clear" w:color="auto" w:fill="FFFFFF"/>
          <w:lang w:val="ro-MD"/>
        </w:rPr>
        <w:t xml:space="preserve"> prin ce nu a asigurat condițiile de transparență și concurență la efectuarea procurărilor</w:t>
      </w:r>
      <w:r w:rsidR="00063CB4" w:rsidRPr="00CF3AD4">
        <w:rPr>
          <w:rFonts w:cstheme="majorHAnsi"/>
          <w:i/>
          <w:color w:val="auto"/>
          <w:szCs w:val="24"/>
          <w:shd w:val="clear" w:color="auto" w:fill="FFFFFF"/>
          <w:lang w:val="ro-MD"/>
        </w:rPr>
        <w:t>.</w:t>
      </w:r>
      <w:bookmarkEnd w:id="145"/>
      <w:r w:rsidR="00AD48DB" w:rsidRPr="00CF3AD4">
        <w:rPr>
          <w:i/>
          <w:color w:val="auto"/>
          <w:lang w:val="ro-MD"/>
        </w:rPr>
        <w:t xml:space="preserve"> </w:t>
      </w:r>
    </w:p>
    <w:p w14:paraId="22847007" w14:textId="4EF58DC9" w:rsidR="00AD48DB" w:rsidRPr="009772A3" w:rsidRDefault="00AD48DB" w:rsidP="004F4116">
      <w:pPr>
        <w:spacing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shd w:val="clear" w:color="auto" w:fill="FFFFFF"/>
          <w:lang w:val="ro-MD"/>
        </w:rPr>
        <w:t xml:space="preserve">Potrivit Regulamentului aprobat prin HANRE nr.24 din 26.01.2017, divizarea achiziţiei prin încheierea mai multor contracte separate în scopul evitării pragurilor valorice de achiziţii prevăzute în </w:t>
      </w:r>
      <w:r w:rsidR="009F4985" w:rsidRPr="009772A3">
        <w:rPr>
          <w:rFonts w:asciiTheme="majorHAnsi" w:hAnsiTheme="majorHAnsi" w:cstheme="majorHAnsi"/>
          <w:sz w:val="24"/>
          <w:szCs w:val="24"/>
          <w:shd w:val="clear" w:color="auto" w:fill="FFFFFF"/>
          <w:lang w:val="ro-MD"/>
        </w:rPr>
        <w:t>R</w:t>
      </w:r>
      <w:r w:rsidRPr="009772A3">
        <w:rPr>
          <w:rFonts w:asciiTheme="majorHAnsi" w:hAnsiTheme="majorHAnsi" w:cstheme="majorHAnsi"/>
          <w:sz w:val="24"/>
          <w:szCs w:val="24"/>
          <w:shd w:val="clear" w:color="auto" w:fill="FFFFFF"/>
          <w:lang w:val="ro-MD"/>
        </w:rPr>
        <w:t>egulament este interzisă</w:t>
      </w:r>
      <w:r w:rsidR="000B11C3" w:rsidRPr="009772A3">
        <w:rPr>
          <w:rFonts w:asciiTheme="majorHAnsi" w:hAnsiTheme="majorHAnsi" w:cstheme="majorHAnsi"/>
          <w:sz w:val="24"/>
          <w:szCs w:val="24"/>
          <w:shd w:val="clear" w:color="auto" w:fill="FFFFFF"/>
          <w:lang w:val="ro-MD"/>
        </w:rPr>
        <w:t>.</w:t>
      </w:r>
      <w:r w:rsidRPr="009772A3">
        <w:rPr>
          <w:rFonts w:asciiTheme="majorHAnsi" w:hAnsiTheme="majorHAnsi" w:cstheme="majorHAnsi"/>
          <w:sz w:val="24"/>
          <w:szCs w:val="24"/>
          <w:shd w:val="clear" w:color="auto" w:fill="FFFFFF"/>
          <w:lang w:val="ro-MD"/>
        </w:rPr>
        <w:t xml:space="preserve"> </w:t>
      </w:r>
      <w:r w:rsidR="000B11C3" w:rsidRPr="009772A3">
        <w:rPr>
          <w:rFonts w:asciiTheme="majorHAnsi" w:hAnsiTheme="majorHAnsi" w:cstheme="majorHAnsi"/>
          <w:sz w:val="24"/>
          <w:szCs w:val="24"/>
          <w:shd w:val="clear" w:color="auto" w:fill="FFFFFF"/>
          <w:lang w:val="ro-MD"/>
        </w:rPr>
        <w:t xml:space="preserve">SRL Bălți-gaz </w:t>
      </w:r>
      <w:r w:rsidRPr="009772A3">
        <w:rPr>
          <w:rFonts w:asciiTheme="majorHAnsi" w:hAnsiTheme="majorHAnsi" w:cstheme="majorHAnsi"/>
          <w:sz w:val="24"/>
          <w:szCs w:val="24"/>
          <w:shd w:val="clear" w:color="auto" w:fill="FFFFFF"/>
          <w:lang w:val="ro-MD"/>
        </w:rPr>
        <w:t>în anul 201</w:t>
      </w:r>
      <w:r w:rsidR="006D60D0" w:rsidRPr="009772A3">
        <w:rPr>
          <w:rFonts w:asciiTheme="majorHAnsi" w:hAnsiTheme="majorHAnsi" w:cstheme="majorHAnsi"/>
          <w:sz w:val="24"/>
          <w:szCs w:val="24"/>
          <w:shd w:val="clear" w:color="auto" w:fill="FFFFFF"/>
          <w:lang w:val="ro-MD"/>
        </w:rPr>
        <w:t xml:space="preserve">8 </w:t>
      </w:r>
      <w:r w:rsidRPr="009772A3">
        <w:rPr>
          <w:rFonts w:asciiTheme="majorHAnsi" w:hAnsiTheme="majorHAnsi" w:cstheme="majorHAnsi"/>
          <w:sz w:val="24"/>
          <w:szCs w:val="24"/>
          <w:shd w:val="clear" w:color="auto" w:fill="FFFFFF"/>
          <w:lang w:val="ro-MD"/>
        </w:rPr>
        <w:t>a procurat piese de schimb pentru autoturisme prin încheierea a 2 contracte în valoare totală de 343,0 mii lei și materiale de construcție prin încheierea a 5 contracte în valoare totală de 1</w:t>
      </w:r>
      <w:r w:rsidR="009F4985" w:rsidRPr="009772A3">
        <w:rPr>
          <w:rFonts w:asciiTheme="majorHAnsi" w:hAnsiTheme="majorHAnsi" w:cstheme="majorHAnsi"/>
          <w:sz w:val="24"/>
          <w:szCs w:val="24"/>
          <w:shd w:val="clear" w:color="auto" w:fill="FFFFFF"/>
          <w:lang w:val="ro-MD"/>
        </w:rPr>
        <w:t>.</w:t>
      </w:r>
      <w:r w:rsidRPr="009772A3">
        <w:rPr>
          <w:rFonts w:asciiTheme="majorHAnsi" w:hAnsiTheme="majorHAnsi" w:cstheme="majorHAnsi"/>
          <w:sz w:val="24"/>
          <w:szCs w:val="24"/>
          <w:shd w:val="clear" w:color="auto" w:fill="FFFFFF"/>
          <w:lang w:val="ro-MD"/>
        </w:rPr>
        <w:t>192,8 mii lei. De asemenea, în anul 2019 au fost achiziționate piese de schimb pentru autoturisme prin încheierea a 5 contracte în valoare totală de 682,8 mii lei și material</w:t>
      </w:r>
      <w:r w:rsidR="006D60D0" w:rsidRPr="009772A3">
        <w:rPr>
          <w:rFonts w:asciiTheme="majorHAnsi" w:hAnsiTheme="majorHAnsi" w:cstheme="majorHAnsi"/>
          <w:sz w:val="24"/>
          <w:szCs w:val="24"/>
          <w:shd w:val="clear" w:color="auto" w:fill="FFFFFF"/>
          <w:lang w:val="ro-MD"/>
        </w:rPr>
        <w:t>e</w:t>
      </w:r>
      <w:r w:rsidRPr="009772A3">
        <w:rPr>
          <w:rFonts w:asciiTheme="majorHAnsi" w:hAnsiTheme="majorHAnsi" w:cstheme="majorHAnsi"/>
          <w:sz w:val="24"/>
          <w:szCs w:val="24"/>
          <w:shd w:val="clear" w:color="auto" w:fill="FFFFFF"/>
          <w:lang w:val="ro-MD"/>
        </w:rPr>
        <w:t xml:space="preserve"> de construcție prin încheierea a 6 contracte în valoare totală de 914,0 mii lei.</w:t>
      </w:r>
      <w:r w:rsidR="000B11C3" w:rsidRPr="009772A3">
        <w:rPr>
          <w:rFonts w:asciiTheme="majorHAnsi" w:hAnsiTheme="majorHAnsi" w:cstheme="majorHAnsi"/>
          <w:sz w:val="24"/>
          <w:szCs w:val="24"/>
          <w:shd w:val="clear" w:color="auto" w:fill="FFFFFF"/>
          <w:lang w:val="ro-MD"/>
        </w:rPr>
        <w:t xml:space="preserve"> Astfel, SRL Bălți-gaz a admis divizarea achizițiilor</w:t>
      </w:r>
      <w:r w:rsidR="009A545D" w:rsidRPr="009772A3">
        <w:rPr>
          <w:rFonts w:asciiTheme="majorHAnsi" w:hAnsiTheme="majorHAnsi" w:cstheme="majorHAnsi"/>
          <w:sz w:val="24"/>
          <w:szCs w:val="24"/>
          <w:shd w:val="clear" w:color="auto" w:fill="FFFFFF"/>
          <w:lang w:val="ro-MD"/>
        </w:rPr>
        <w:t>,</w:t>
      </w:r>
      <w:r w:rsidR="000B11C3" w:rsidRPr="009772A3">
        <w:rPr>
          <w:rFonts w:asciiTheme="majorHAnsi" w:hAnsiTheme="majorHAnsi" w:cstheme="majorHAnsi"/>
          <w:sz w:val="24"/>
          <w:szCs w:val="24"/>
          <w:shd w:val="clear" w:color="auto" w:fill="FFFFFF"/>
          <w:lang w:val="ro-MD"/>
        </w:rPr>
        <w:t xml:space="preserve"> prin ce nu a asigurat condițiile de transparență și concurență la efectuarea procurărilor.</w:t>
      </w:r>
    </w:p>
    <w:p w14:paraId="66CD50B8" w14:textId="55D8FB96" w:rsidR="00A338AE" w:rsidRPr="009772A3" w:rsidRDefault="00A338AE" w:rsidP="004B2EB9">
      <w:pPr>
        <w:pStyle w:val="Heading1"/>
        <w:numPr>
          <w:ilvl w:val="1"/>
          <w:numId w:val="2"/>
        </w:numPr>
        <w:spacing w:line="276" w:lineRule="auto"/>
        <w:ind w:left="0" w:firstLine="0"/>
        <w:jc w:val="both"/>
        <w:rPr>
          <w:rFonts w:cstheme="majorHAnsi"/>
          <w:color w:val="auto"/>
          <w:szCs w:val="24"/>
          <w:lang w:val="ro-MD"/>
        </w:rPr>
      </w:pPr>
      <w:bookmarkStart w:id="146" w:name="_Toc119496428"/>
      <w:r w:rsidRPr="009772A3">
        <w:rPr>
          <w:rFonts w:cstheme="majorHAnsi"/>
          <w:color w:val="auto"/>
          <w:szCs w:val="24"/>
          <w:lang w:val="ro-MD"/>
        </w:rPr>
        <w:t>Planificarea, executarea și raportarea cheltuielilor aferente activității operaționale a întreprinderilor de gaze naturale s-a</w:t>
      </w:r>
      <w:r w:rsidR="009A545D" w:rsidRPr="009772A3">
        <w:rPr>
          <w:rFonts w:cstheme="majorHAnsi"/>
          <w:color w:val="auto"/>
          <w:szCs w:val="24"/>
          <w:lang w:val="ro-MD"/>
        </w:rPr>
        <w:t>u</w:t>
      </w:r>
      <w:r w:rsidRPr="009772A3">
        <w:rPr>
          <w:rFonts w:cstheme="majorHAnsi"/>
          <w:color w:val="auto"/>
          <w:szCs w:val="24"/>
          <w:lang w:val="ro-MD"/>
        </w:rPr>
        <w:t xml:space="preserve"> efectuat în baza principiului eficienței maxime la cheltuieli minime?</w:t>
      </w:r>
      <w:bookmarkEnd w:id="146"/>
    </w:p>
    <w:p w14:paraId="5C64845C" w14:textId="51D56D15" w:rsidR="00F31AF2" w:rsidRPr="009772A3" w:rsidRDefault="00F31AF2" w:rsidP="00F31AF2">
      <w:pPr>
        <w:pStyle w:val="FootnoteText"/>
        <w:spacing w:line="276" w:lineRule="auto"/>
        <w:ind w:firstLine="709"/>
        <w:jc w:val="both"/>
        <w:rPr>
          <w:rFonts w:asciiTheme="majorHAnsi" w:hAnsiTheme="majorHAnsi" w:cstheme="majorHAnsi"/>
          <w:i/>
          <w:sz w:val="24"/>
          <w:szCs w:val="24"/>
          <w:vertAlign w:val="baseline"/>
          <w:lang w:val="ro-MD"/>
        </w:rPr>
      </w:pPr>
      <w:r w:rsidRPr="009772A3">
        <w:rPr>
          <w:rFonts w:asciiTheme="majorHAnsi" w:hAnsiTheme="majorHAnsi" w:cstheme="majorHAnsi"/>
          <w:i/>
          <w:sz w:val="24"/>
          <w:szCs w:val="24"/>
          <w:vertAlign w:val="baseline"/>
          <w:lang w:val="ro-MD"/>
        </w:rPr>
        <w:t xml:space="preserve">Procesul de planificare, executare și raportare a cheltuielilor, în perioada auditată, a fost realizat cu unele abateri de la condițiile și principiile actelor normative în vigoare. Au fost identificate cazuri </w:t>
      </w:r>
      <w:r w:rsidR="005860DC" w:rsidRPr="009772A3">
        <w:rPr>
          <w:rFonts w:asciiTheme="majorHAnsi" w:hAnsiTheme="majorHAnsi" w:cstheme="majorHAnsi"/>
          <w:i/>
          <w:sz w:val="24"/>
          <w:szCs w:val="24"/>
          <w:vertAlign w:val="baseline"/>
          <w:lang w:val="ro-MD"/>
        </w:rPr>
        <w:t xml:space="preserve">de </w:t>
      </w:r>
      <w:r w:rsidRPr="009772A3">
        <w:rPr>
          <w:rFonts w:asciiTheme="majorHAnsi" w:hAnsiTheme="majorHAnsi" w:cstheme="majorHAnsi"/>
          <w:i/>
          <w:sz w:val="24"/>
          <w:szCs w:val="24"/>
          <w:vertAlign w:val="baseline"/>
          <w:lang w:val="ro-MD"/>
        </w:rPr>
        <w:t>asumare</w:t>
      </w:r>
      <w:r w:rsidR="00D358A4" w:rsidRPr="009772A3">
        <w:rPr>
          <w:rFonts w:asciiTheme="majorHAnsi" w:hAnsiTheme="majorHAnsi" w:cstheme="majorHAnsi"/>
          <w:i/>
          <w:sz w:val="24"/>
          <w:szCs w:val="24"/>
          <w:vertAlign w:val="baseline"/>
          <w:lang w:val="ro-MD"/>
        </w:rPr>
        <w:t xml:space="preserve"> </w:t>
      </w:r>
      <w:r w:rsidRPr="009772A3">
        <w:rPr>
          <w:rFonts w:asciiTheme="majorHAnsi" w:hAnsiTheme="majorHAnsi" w:cstheme="majorHAnsi"/>
          <w:i/>
          <w:sz w:val="24"/>
          <w:szCs w:val="24"/>
          <w:vertAlign w:val="baseline"/>
          <w:lang w:val="ro-MD"/>
        </w:rPr>
        <w:t>a unor decizii care au generat costuri suplimentare neprevăzute și cheltu</w:t>
      </w:r>
      <w:r w:rsidR="005860DC" w:rsidRPr="009772A3">
        <w:rPr>
          <w:rFonts w:asciiTheme="majorHAnsi" w:hAnsiTheme="majorHAnsi" w:cstheme="majorHAnsi"/>
          <w:i/>
          <w:sz w:val="24"/>
          <w:szCs w:val="24"/>
          <w:vertAlign w:val="baseline"/>
          <w:lang w:val="ro-MD"/>
        </w:rPr>
        <w:t>ieli neproductive semnificative.</w:t>
      </w:r>
    </w:p>
    <w:p w14:paraId="526A6F16" w14:textId="2F6D1B86" w:rsidR="008F68EE" w:rsidRPr="009772A3" w:rsidRDefault="008F68EE" w:rsidP="008F68EE">
      <w:pPr>
        <w:spacing w:after="0" w:line="276" w:lineRule="auto"/>
        <w:ind w:firstLine="709"/>
        <w:jc w:val="both"/>
        <w:rPr>
          <w:rFonts w:asciiTheme="majorHAnsi" w:hAnsiTheme="majorHAnsi" w:cstheme="majorHAnsi"/>
          <w:sz w:val="24"/>
          <w:lang w:val="ro-MD"/>
        </w:rPr>
      </w:pPr>
      <w:r w:rsidRPr="009772A3">
        <w:rPr>
          <w:rFonts w:asciiTheme="majorHAnsi" w:hAnsiTheme="majorHAnsi" w:cstheme="majorHAnsi"/>
          <w:sz w:val="24"/>
          <w:lang w:val="ro-MD"/>
        </w:rPr>
        <w:t xml:space="preserve">În condițiile </w:t>
      </w:r>
      <w:r w:rsidR="009A545D" w:rsidRPr="009772A3">
        <w:rPr>
          <w:rFonts w:asciiTheme="majorHAnsi" w:hAnsiTheme="majorHAnsi" w:cstheme="majorHAnsi"/>
          <w:sz w:val="24"/>
          <w:lang w:val="ro-MD"/>
        </w:rPr>
        <w:t>în care</w:t>
      </w:r>
      <w:r w:rsidRPr="009772A3">
        <w:rPr>
          <w:rFonts w:asciiTheme="majorHAnsi" w:hAnsiTheme="majorHAnsi" w:cstheme="majorHAnsi"/>
          <w:sz w:val="24"/>
          <w:lang w:val="ro-MD"/>
        </w:rPr>
        <w:t xml:space="preserve"> resursele financiare sunt limitate, iar datoriile consolidate ale grupului sunt la un nivel semnificativ de înalt, urmărirea principiului de atingere a performanței maxime în activitatea operațională ar contribui la diminuarea cheltuielilor </w:t>
      </w:r>
      <w:r w:rsidR="00525138" w:rsidRPr="009772A3">
        <w:rPr>
          <w:rFonts w:asciiTheme="majorHAnsi" w:hAnsiTheme="majorHAnsi" w:cstheme="majorHAnsi"/>
          <w:sz w:val="24"/>
          <w:lang w:val="ro-MD"/>
        </w:rPr>
        <w:t xml:space="preserve">inutile </w:t>
      </w:r>
      <w:r w:rsidRPr="009772A3">
        <w:rPr>
          <w:rFonts w:asciiTheme="majorHAnsi" w:hAnsiTheme="majorHAnsi" w:cstheme="majorHAnsi"/>
          <w:sz w:val="24"/>
          <w:lang w:val="ro-MD"/>
        </w:rPr>
        <w:t>și la consolidarea managementului și spiritului de bună administrare.</w:t>
      </w:r>
    </w:p>
    <w:p w14:paraId="3ED07ECE" w14:textId="03C68E5B" w:rsidR="00687C6D" w:rsidRPr="009772A3" w:rsidRDefault="00D358A4" w:rsidP="00687C6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w:t>
      </w:r>
      <w:r w:rsidR="00687C6D" w:rsidRPr="009772A3">
        <w:rPr>
          <w:rFonts w:asciiTheme="majorHAnsi" w:hAnsiTheme="majorHAnsi" w:cstheme="majorHAnsi"/>
          <w:sz w:val="24"/>
          <w:szCs w:val="24"/>
          <w:lang w:val="ro-MD"/>
        </w:rPr>
        <w:t>n perioada 2017-2021 întreprinderile din sistemul gazelor naturale au efectuat cheltuieli în valoare totală de 7.910.106,0 mii lei</w:t>
      </w:r>
      <w:r w:rsidR="00D90922" w:rsidRPr="009772A3">
        <w:rPr>
          <w:rFonts w:asciiTheme="majorHAnsi" w:hAnsiTheme="majorHAnsi" w:cstheme="majorHAnsi"/>
          <w:sz w:val="24"/>
          <w:szCs w:val="24"/>
          <w:lang w:val="ro-MD"/>
        </w:rPr>
        <w:t>, cu excepția cheltuielilor de procurare a gazelor naturale</w:t>
      </w:r>
      <w:r w:rsidR="00687C6D" w:rsidRPr="009772A3">
        <w:rPr>
          <w:rFonts w:asciiTheme="majorHAnsi" w:hAnsiTheme="majorHAnsi" w:cstheme="majorHAnsi"/>
          <w:sz w:val="24"/>
          <w:szCs w:val="24"/>
          <w:lang w:val="ro-MD"/>
        </w:rPr>
        <w:t xml:space="preserve">. </w:t>
      </w:r>
    </w:p>
    <w:p w14:paraId="006ACD7A" w14:textId="4740F1C8" w:rsidR="00687C6D" w:rsidRPr="009772A3" w:rsidRDefault="00687C6D" w:rsidP="00687C6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Informați</w:t>
      </w:r>
      <w:r w:rsidR="00525138"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detaliat</w:t>
      </w:r>
      <w:r w:rsidR="00525138"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privind structura și ponderea cheltuielilor în sistemul gazelor naturale în perioada 2017-2021 se prezintă în diagram</w:t>
      </w:r>
      <w:r w:rsidR="007C271C" w:rsidRPr="009772A3">
        <w:rPr>
          <w:rFonts w:asciiTheme="majorHAnsi" w:hAnsiTheme="majorHAnsi" w:cstheme="majorHAnsi"/>
          <w:sz w:val="24"/>
          <w:szCs w:val="24"/>
          <w:lang w:val="ro-MD"/>
        </w:rPr>
        <w:t>ele</w:t>
      </w:r>
      <w:r w:rsidRPr="009772A3">
        <w:rPr>
          <w:rFonts w:asciiTheme="majorHAnsi" w:hAnsiTheme="majorHAnsi" w:cstheme="majorHAnsi"/>
          <w:sz w:val="24"/>
          <w:szCs w:val="24"/>
          <w:lang w:val="ro-MD"/>
        </w:rPr>
        <w:t xml:space="preserve"> ce urmează. </w:t>
      </w:r>
    </w:p>
    <w:p w14:paraId="6E1A9048" w14:textId="46F187A7" w:rsidR="00525138" w:rsidRPr="009772A3" w:rsidRDefault="00525138" w:rsidP="008C13ED">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b/>
          <w:sz w:val="24"/>
          <w:szCs w:val="24"/>
          <w:lang w:val="ro-MD"/>
        </w:rPr>
        <w:t>Diagrama nr.4.3.1</w:t>
      </w:r>
    </w:p>
    <w:p w14:paraId="7F55209D" w14:textId="1CF3C539" w:rsidR="007C271C" w:rsidRPr="009772A3" w:rsidRDefault="007C271C" w:rsidP="00687C6D">
      <w:pPr>
        <w:spacing w:after="0" w:line="276" w:lineRule="auto"/>
        <w:ind w:firstLine="709"/>
        <w:jc w:val="both"/>
        <w:rPr>
          <w:rFonts w:asciiTheme="majorHAnsi" w:hAnsiTheme="majorHAnsi" w:cstheme="majorHAnsi"/>
          <w:b/>
          <w:sz w:val="24"/>
          <w:szCs w:val="24"/>
          <w:lang w:val="ro-MD"/>
        </w:rPr>
      </w:pPr>
      <w:r w:rsidRPr="009772A3">
        <w:rPr>
          <w:rFonts w:asciiTheme="majorHAnsi" w:hAnsiTheme="majorHAnsi" w:cstheme="majorHAnsi"/>
          <w:b/>
          <w:sz w:val="24"/>
          <w:szCs w:val="24"/>
          <w:lang w:val="ro-MD"/>
        </w:rPr>
        <w:t>Cheltuielile grupului SA Moldovagaz în perioada 2017-2021</w:t>
      </w:r>
      <w:r w:rsidR="00525138" w:rsidRPr="009772A3">
        <w:rPr>
          <w:rFonts w:asciiTheme="majorHAnsi" w:hAnsiTheme="majorHAnsi" w:cstheme="majorHAnsi"/>
          <w:b/>
          <w:sz w:val="24"/>
          <w:szCs w:val="24"/>
          <w:lang w:val="ro-MD"/>
        </w:rPr>
        <w:t>,</w:t>
      </w:r>
      <w:r w:rsidRPr="009772A3">
        <w:rPr>
          <w:rFonts w:asciiTheme="majorHAnsi" w:hAnsiTheme="majorHAnsi" w:cstheme="majorHAnsi"/>
          <w:b/>
          <w:sz w:val="24"/>
          <w:szCs w:val="24"/>
          <w:lang w:val="ro-MD"/>
        </w:rPr>
        <w:t xml:space="preserve"> pe tipuri de activități</w:t>
      </w:r>
    </w:p>
    <w:p w14:paraId="7F25439A" w14:textId="41D6BCBA" w:rsidR="007C271C" w:rsidRPr="009772A3" w:rsidRDefault="007C271C" w:rsidP="007C271C">
      <w:pPr>
        <w:spacing w:after="0" w:line="276" w:lineRule="auto"/>
        <w:jc w:val="both"/>
        <w:rPr>
          <w:rFonts w:asciiTheme="majorHAnsi" w:hAnsiTheme="majorHAnsi" w:cstheme="majorHAnsi"/>
          <w:sz w:val="24"/>
          <w:szCs w:val="24"/>
          <w:lang w:val="ro-MD"/>
        </w:rPr>
      </w:pPr>
      <w:r w:rsidRPr="009772A3">
        <w:rPr>
          <w:noProof/>
        </w:rPr>
        <w:drawing>
          <wp:inline distT="0" distB="0" distL="0" distR="0" wp14:anchorId="66130602" wp14:editId="0ECDA2F3">
            <wp:extent cx="5939790" cy="2129950"/>
            <wp:effectExtent l="0" t="0" r="381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72F68F" w14:textId="7D15EB31" w:rsidR="00525138" w:rsidRPr="009772A3" w:rsidRDefault="00525138" w:rsidP="008C13ED">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b/>
          <w:sz w:val="24"/>
          <w:szCs w:val="24"/>
          <w:lang w:val="ro-MD"/>
        </w:rPr>
        <w:t>Diagrama nr.4.3.2</w:t>
      </w:r>
    </w:p>
    <w:p w14:paraId="5C5EFEFD" w14:textId="790120F4" w:rsidR="007C271C" w:rsidRPr="009772A3" w:rsidRDefault="007C271C" w:rsidP="00687C6D">
      <w:pPr>
        <w:spacing w:after="0" w:line="276" w:lineRule="auto"/>
        <w:ind w:firstLine="709"/>
        <w:jc w:val="both"/>
        <w:rPr>
          <w:rFonts w:asciiTheme="majorHAnsi" w:hAnsiTheme="majorHAnsi" w:cstheme="majorHAnsi"/>
          <w:b/>
          <w:sz w:val="24"/>
          <w:szCs w:val="24"/>
          <w:lang w:val="ro-MD"/>
        </w:rPr>
      </w:pPr>
      <w:r w:rsidRPr="009772A3">
        <w:rPr>
          <w:rFonts w:asciiTheme="majorHAnsi" w:hAnsiTheme="majorHAnsi" w:cstheme="majorHAnsi"/>
          <w:b/>
          <w:sz w:val="24"/>
          <w:szCs w:val="24"/>
          <w:lang w:val="ro-MD"/>
        </w:rPr>
        <w:t>Componența cheltuielilor grupului SA Moldovagaz în perioada 2017-2021</w:t>
      </w:r>
    </w:p>
    <w:p w14:paraId="631BD54B" w14:textId="297641CB" w:rsidR="00687C6D" w:rsidRPr="009772A3" w:rsidRDefault="000A6A75" w:rsidP="000A6A75">
      <w:pPr>
        <w:spacing w:after="0" w:line="276" w:lineRule="auto"/>
        <w:jc w:val="center"/>
        <w:rPr>
          <w:rFonts w:asciiTheme="majorHAnsi" w:hAnsiTheme="majorHAnsi" w:cstheme="majorHAnsi"/>
          <w:sz w:val="24"/>
          <w:szCs w:val="24"/>
          <w:lang w:val="ro-MD"/>
        </w:rPr>
      </w:pPr>
      <w:r w:rsidRPr="009772A3">
        <w:rPr>
          <w:noProof/>
          <w:sz w:val="16"/>
        </w:rPr>
        <w:drawing>
          <wp:inline distT="0" distB="0" distL="0" distR="0" wp14:anchorId="38C6D147" wp14:editId="2E079DE1">
            <wp:extent cx="5939790" cy="2309446"/>
            <wp:effectExtent l="0" t="0" r="381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597446" w14:textId="1AE00D2C" w:rsidR="00687C6D" w:rsidRPr="009772A3" w:rsidRDefault="00687C6D" w:rsidP="00687C6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Datele prezentate în diagramă relevă că, în structura cheltuielilor efectuate în sistemul gazelor naturale</w:t>
      </w:r>
      <w:r w:rsidR="005251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ponderea majoră o dețin costurile și cheltuielile cu personalul</w:t>
      </w:r>
      <w:r w:rsidR="005251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au însumat 3.555.273 mii lei (44,9%), fiind urmate de cheltuielile privind amortizarea imobilizărilor necorporale și corporale de 1.845.344 mii lei (23,3%), cheltuielile privind contribuțiile de asigurări medicale și sociale obligatorii de 839.072,0 mii lei (10,6%), cheltuieli</w:t>
      </w:r>
      <w:r w:rsidR="00525138"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aferente serviciilor prestate de terți de 682.218,0 mii lei (8,6%), costuri</w:t>
      </w:r>
      <w:r w:rsidR="00525138"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și cheltuieli</w:t>
      </w:r>
      <w:r w:rsidR="00525138"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de materiale de 614.756,0 mii lei (7,8%), alte cheltuieli de 188.437,0 mii lei (2,4%) și alte cheltuieli operaționale de 185.004,0 mii lei (2,3%).</w:t>
      </w:r>
    </w:p>
    <w:p w14:paraId="4DF4DBF2" w14:textId="33617917" w:rsidR="00D81865" w:rsidRPr="009772A3" w:rsidRDefault="00D81865" w:rsidP="00D8186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 în aspectul întreprinderilor din sistemul gazelor naturale, ponderea majoră o dețin cheltuielile efectuate de SRL Moldovatransgaz</w:t>
      </w:r>
      <w:r w:rsidR="0052513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 de 1.954.809,0 mii lei (24,7%), SA Chișinău-gaz </w:t>
      </w:r>
      <w:r w:rsidR="0052513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de 1.119.081,0 mii lei (14,1%), SA Moldovagaz </w:t>
      </w:r>
      <w:r w:rsidR="0052513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de 936.930,0 mii lei (11,8%), SRL Ialoveni-gaz </w:t>
      </w:r>
      <w:r w:rsidR="0052513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de 603.982,0 mii lei (7,6%), SRL Bălți-gaz</w:t>
      </w:r>
      <w:r w:rsidR="0052513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 de 530.931,0 mii lei (6,7%)</w:t>
      </w:r>
      <w:r w:rsidR="005251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alte întreprinderi. Informația cu referire la ponderea cheltuielilor în aspectul întreprinderilor din sistemul gazelor naturale în perioada 2017-2021 se prezintă în diagrama de mai jos. </w:t>
      </w:r>
    </w:p>
    <w:p w14:paraId="20D2547A" w14:textId="39DA9CD2" w:rsidR="00100B88" w:rsidRPr="009772A3" w:rsidRDefault="00100B88" w:rsidP="00CC692C">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sz w:val="24"/>
          <w:szCs w:val="24"/>
          <w:lang w:val="ro-MD"/>
        </w:rPr>
        <w:tab/>
      </w:r>
      <w:r w:rsidRPr="009772A3">
        <w:rPr>
          <w:rFonts w:asciiTheme="majorHAnsi" w:hAnsiTheme="majorHAnsi" w:cstheme="majorHAnsi"/>
          <w:b/>
          <w:sz w:val="24"/>
          <w:szCs w:val="24"/>
          <w:lang w:val="ro-MD"/>
        </w:rPr>
        <w:t>Diagrama nr.4.3.3</w:t>
      </w:r>
    </w:p>
    <w:p w14:paraId="12BEEA0D" w14:textId="36E2FE4A" w:rsidR="00100B88" w:rsidRPr="009772A3" w:rsidRDefault="00E81638" w:rsidP="00CC692C">
      <w:pPr>
        <w:spacing w:after="0" w:line="276" w:lineRule="auto"/>
        <w:ind w:firstLine="709"/>
        <w:jc w:val="center"/>
        <w:rPr>
          <w:rFonts w:asciiTheme="majorHAnsi" w:hAnsiTheme="majorHAnsi" w:cstheme="majorHAnsi"/>
          <w:b/>
          <w:sz w:val="24"/>
          <w:szCs w:val="24"/>
          <w:lang w:val="ro-MD"/>
        </w:rPr>
      </w:pPr>
      <w:r w:rsidRPr="009772A3">
        <w:rPr>
          <w:rFonts w:asciiTheme="majorHAnsi" w:hAnsiTheme="majorHAnsi" w:cstheme="majorHAnsi"/>
          <w:b/>
          <w:sz w:val="24"/>
          <w:szCs w:val="24"/>
          <w:lang w:val="ro-MD"/>
        </w:rPr>
        <w:t>Ponderea cheltuielilor în aspectul întreprinderilor din sistemul gazelor naturale în perioada 2017-2021</w:t>
      </w:r>
    </w:p>
    <w:p w14:paraId="042D125A" w14:textId="22BC1E70" w:rsidR="00D81865" w:rsidRPr="009772A3" w:rsidRDefault="000A6A75" w:rsidP="000A6A75">
      <w:pPr>
        <w:pStyle w:val="FootnoteText"/>
        <w:spacing w:line="276" w:lineRule="auto"/>
        <w:jc w:val="both"/>
        <w:rPr>
          <w:rFonts w:asciiTheme="majorHAnsi" w:hAnsiTheme="majorHAnsi" w:cstheme="majorHAnsi"/>
          <w:i/>
          <w:sz w:val="24"/>
          <w:szCs w:val="24"/>
          <w:vertAlign w:val="baseline"/>
          <w:lang w:val="ro-MD"/>
        </w:rPr>
      </w:pPr>
      <w:r w:rsidRPr="009772A3">
        <w:rPr>
          <w:noProof/>
        </w:rPr>
        <w:drawing>
          <wp:inline distT="0" distB="0" distL="0" distR="0" wp14:anchorId="25E8690F" wp14:editId="5B674A95">
            <wp:extent cx="5939790" cy="2385646"/>
            <wp:effectExtent l="0" t="0" r="381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B43629" w14:textId="5B137362" w:rsidR="00FD1AA6" w:rsidRPr="009772A3" w:rsidRDefault="0037609A" w:rsidP="00CF3AD4">
      <w:pPr>
        <w:pStyle w:val="Heading1"/>
        <w:numPr>
          <w:ilvl w:val="2"/>
          <w:numId w:val="2"/>
        </w:numPr>
        <w:spacing w:before="0" w:line="276" w:lineRule="auto"/>
        <w:ind w:left="0" w:firstLine="0"/>
        <w:jc w:val="both"/>
        <w:rPr>
          <w:color w:val="auto"/>
          <w:lang w:val="ro-MD"/>
        </w:rPr>
      </w:pPr>
      <w:bookmarkStart w:id="147" w:name="_Toc119496429"/>
      <w:r w:rsidRPr="009772A3">
        <w:rPr>
          <w:color w:val="auto"/>
          <w:lang w:val="ro-MD"/>
        </w:rPr>
        <w:t xml:space="preserve">Mecanismul existent de </w:t>
      </w:r>
      <w:r w:rsidR="00745768" w:rsidRPr="009772A3">
        <w:rPr>
          <w:color w:val="auto"/>
          <w:lang w:val="ro-MD"/>
        </w:rPr>
        <w:t xml:space="preserve">determinare a volumului de </w:t>
      </w:r>
      <w:r w:rsidRPr="009772A3">
        <w:rPr>
          <w:color w:val="auto"/>
          <w:lang w:val="ro-MD"/>
        </w:rPr>
        <w:t xml:space="preserve">import, transport și distribuiție a gazelor naturale </w:t>
      </w:r>
      <w:r w:rsidR="00E45A36" w:rsidRPr="009772A3">
        <w:rPr>
          <w:color w:val="auto"/>
          <w:lang w:val="ro-MD"/>
        </w:rPr>
        <w:t xml:space="preserve">relevă unele rezerve </w:t>
      </w:r>
      <w:r w:rsidRPr="009772A3">
        <w:rPr>
          <w:color w:val="auto"/>
          <w:lang w:val="ro-MD"/>
        </w:rPr>
        <w:t xml:space="preserve">privind </w:t>
      </w:r>
      <w:r w:rsidR="00EA37A9" w:rsidRPr="009772A3">
        <w:rPr>
          <w:color w:val="auto"/>
          <w:lang w:val="ro-MD"/>
        </w:rPr>
        <w:t xml:space="preserve">modul </w:t>
      </w:r>
      <w:r w:rsidRPr="009772A3">
        <w:rPr>
          <w:color w:val="auto"/>
          <w:lang w:val="ro-MD"/>
        </w:rPr>
        <w:t>de determinare a volumelor acestora.</w:t>
      </w:r>
      <w:bookmarkEnd w:id="147"/>
    </w:p>
    <w:p w14:paraId="3407EF89" w14:textId="02276AF5" w:rsidR="004945DB" w:rsidRPr="009772A3" w:rsidRDefault="004945DB" w:rsidP="00CF3AD4">
      <w:pPr>
        <w:pStyle w:val="Heading1"/>
        <w:numPr>
          <w:ilvl w:val="3"/>
          <w:numId w:val="2"/>
        </w:numPr>
        <w:tabs>
          <w:tab w:val="left" w:pos="851"/>
        </w:tabs>
        <w:spacing w:before="0" w:line="276" w:lineRule="auto"/>
        <w:ind w:left="0" w:firstLine="0"/>
        <w:jc w:val="both"/>
        <w:rPr>
          <w:i/>
          <w:color w:val="auto"/>
          <w:lang w:val="ro-MD"/>
        </w:rPr>
      </w:pPr>
      <w:bookmarkStart w:id="148" w:name="_Toc119496430"/>
      <w:r w:rsidRPr="009772A3">
        <w:rPr>
          <w:rFonts w:cstheme="majorHAnsi"/>
          <w:i/>
          <w:color w:val="auto"/>
          <w:szCs w:val="24"/>
          <w:lang w:val="ro-MD"/>
        </w:rPr>
        <w:t>Cu privire la modul și locul determinării volumului de gaze naturale importate.</w:t>
      </w:r>
      <w:bookmarkEnd w:id="148"/>
    </w:p>
    <w:p w14:paraId="01A88D12" w14:textId="5833D843" w:rsidR="004945DB" w:rsidRPr="009772A3" w:rsidRDefault="004945DB" w:rsidP="004F4116">
      <w:pPr>
        <w:pStyle w:val="FootnoteText"/>
        <w:spacing w:line="276" w:lineRule="auto"/>
        <w:ind w:firstLine="709"/>
        <w:jc w:val="both"/>
        <w:rPr>
          <w:rFonts w:asciiTheme="majorHAnsi" w:hAnsiTheme="majorHAnsi" w:cstheme="majorHAnsi"/>
          <w:i/>
          <w:sz w:val="24"/>
          <w:szCs w:val="24"/>
          <w:vertAlign w:val="baseline"/>
          <w:lang w:val="ro-MD"/>
        </w:rPr>
      </w:pPr>
      <w:r w:rsidRPr="009772A3">
        <w:rPr>
          <w:rFonts w:asciiTheme="majorHAnsi" w:hAnsiTheme="majorHAnsi" w:cstheme="majorHAnsi"/>
          <w:i/>
          <w:sz w:val="24"/>
          <w:szCs w:val="24"/>
          <w:vertAlign w:val="baseline"/>
          <w:lang w:val="ro-MD"/>
        </w:rPr>
        <w:t xml:space="preserve">Volumul gazelor importate de partea dreaptă a </w:t>
      </w:r>
      <w:r w:rsidR="00E81638" w:rsidRPr="009772A3">
        <w:rPr>
          <w:rFonts w:asciiTheme="majorHAnsi" w:hAnsiTheme="majorHAnsi" w:cstheme="majorHAnsi"/>
          <w:i/>
          <w:sz w:val="24"/>
          <w:szCs w:val="24"/>
          <w:vertAlign w:val="baseline"/>
          <w:lang w:val="ro-MD"/>
        </w:rPr>
        <w:t xml:space="preserve">râului </w:t>
      </w:r>
      <w:r w:rsidRPr="009772A3">
        <w:rPr>
          <w:rFonts w:asciiTheme="majorHAnsi" w:hAnsiTheme="majorHAnsi" w:cstheme="majorHAnsi"/>
          <w:i/>
          <w:sz w:val="24"/>
          <w:szCs w:val="24"/>
          <w:vertAlign w:val="baseline"/>
          <w:lang w:val="ro-MD"/>
        </w:rPr>
        <w:t>Nistru nu reprezintă o valoare măsurată</w:t>
      </w:r>
      <w:r w:rsidR="00E81638" w:rsidRPr="009772A3">
        <w:rPr>
          <w:rFonts w:asciiTheme="majorHAnsi" w:hAnsiTheme="majorHAnsi" w:cstheme="majorHAnsi"/>
          <w:i/>
          <w:sz w:val="24"/>
          <w:szCs w:val="24"/>
          <w:vertAlign w:val="baseline"/>
          <w:lang w:val="ro-MD"/>
        </w:rPr>
        <w:t>,</w:t>
      </w:r>
      <w:r w:rsidRPr="009772A3">
        <w:rPr>
          <w:rFonts w:asciiTheme="majorHAnsi" w:hAnsiTheme="majorHAnsi" w:cstheme="majorHAnsi"/>
          <w:i/>
          <w:sz w:val="24"/>
          <w:szCs w:val="24"/>
          <w:vertAlign w:val="baseline"/>
          <w:lang w:val="ro-MD"/>
        </w:rPr>
        <w:t xml:space="preserve"> ci una calculată, bazată pe datele prezentate de operatorii de transport și de distribuție din RM</w:t>
      </w:r>
      <w:r w:rsidR="0050295F" w:rsidRPr="009772A3">
        <w:rPr>
          <w:rFonts w:asciiTheme="majorHAnsi" w:hAnsiTheme="majorHAnsi" w:cstheme="majorHAnsi"/>
          <w:i/>
          <w:sz w:val="24"/>
          <w:szCs w:val="24"/>
          <w:vertAlign w:val="baseline"/>
          <w:lang w:val="ro-MD"/>
        </w:rPr>
        <w:t xml:space="preserve">, inclusiv </w:t>
      </w:r>
      <w:r w:rsidR="00E81638" w:rsidRPr="009772A3">
        <w:rPr>
          <w:rFonts w:asciiTheme="majorHAnsi" w:hAnsiTheme="majorHAnsi" w:cstheme="majorHAnsi"/>
          <w:i/>
          <w:sz w:val="24"/>
          <w:szCs w:val="24"/>
          <w:vertAlign w:val="baseline"/>
          <w:lang w:val="ro-MD"/>
        </w:rPr>
        <w:t xml:space="preserve">din </w:t>
      </w:r>
      <w:r w:rsidR="0050295F" w:rsidRPr="009772A3">
        <w:rPr>
          <w:rFonts w:asciiTheme="majorHAnsi" w:hAnsiTheme="majorHAnsi" w:cstheme="majorHAnsi"/>
          <w:i/>
          <w:sz w:val="24"/>
          <w:szCs w:val="24"/>
          <w:vertAlign w:val="baseline"/>
          <w:lang w:val="ro-MD"/>
        </w:rPr>
        <w:t xml:space="preserve">regiunea </w:t>
      </w:r>
      <w:r w:rsidRPr="009772A3">
        <w:rPr>
          <w:rFonts w:asciiTheme="majorHAnsi" w:hAnsiTheme="majorHAnsi" w:cstheme="majorHAnsi"/>
          <w:i/>
          <w:sz w:val="24"/>
          <w:szCs w:val="24"/>
          <w:vertAlign w:val="baseline"/>
          <w:lang w:val="ro-MD"/>
        </w:rPr>
        <w:t xml:space="preserve">Transnistreană și </w:t>
      </w:r>
      <w:r w:rsidR="00CC692C" w:rsidRPr="009772A3">
        <w:rPr>
          <w:rFonts w:asciiTheme="majorHAnsi" w:hAnsiTheme="majorHAnsi" w:cstheme="majorHAnsi"/>
          <w:i/>
          <w:sz w:val="24"/>
          <w:szCs w:val="24"/>
          <w:vertAlign w:val="baseline"/>
          <w:lang w:val="ro-MD"/>
        </w:rPr>
        <w:t xml:space="preserve">din </w:t>
      </w:r>
      <w:r w:rsidRPr="009772A3">
        <w:rPr>
          <w:rFonts w:asciiTheme="majorHAnsi" w:hAnsiTheme="majorHAnsi" w:cstheme="majorHAnsi"/>
          <w:i/>
          <w:sz w:val="24"/>
          <w:szCs w:val="24"/>
          <w:vertAlign w:val="baseline"/>
          <w:lang w:val="ro-MD"/>
        </w:rPr>
        <w:t>Ucraina</w:t>
      </w:r>
      <w:r w:rsidR="00E81638" w:rsidRPr="009772A3">
        <w:rPr>
          <w:rFonts w:asciiTheme="majorHAnsi" w:hAnsiTheme="majorHAnsi" w:cstheme="majorHAnsi"/>
          <w:i/>
          <w:sz w:val="24"/>
          <w:szCs w:val="24"/>
          <w:vertAlign w:val="baseline"/>
          <w:lang w:val="ro-MD"/>
        </w:rPr>
        <w:t>.</w:t>
      </w:r>
    </w:p>
    <w:p w14:paraId="269B3C94" w14:textId="03E954C7" w:rsidR="000B69F6" w:rsidRPr="009772A3" w:rsidRDefault="00CE5470" w:rsidP="00CE5470">
      <w:pPr>
        <w:pStyle w:val="FootnoteText"/>
        <w:spacing w:line="276" w:lineRule="auto"/>
        <w:ind w:firstLine="709"/>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Gazoductele magistrale prin care RM efectuează importul sau tranzitul gazelor naturale, ca urmare a construcției acestora în perioada URSS, c</w:t>
      </w:r>
      <w:r w:rsidR="000B69F6"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nd nu s-a ținut cont de hotarele admnistrative între republici, sunt amplasate segmentar at</w:t>
      </w:r>
      <w:r w:rsidR="000B69F6"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t pe teritoriul RM</w:t>
      </w:r>
      <w:r w:rsidR="000B69F6"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w:t>
      </w:r>
      <w:r w:rsidR="000B69F6"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 xml:space="preserve">t și pe teritoriul Ucrainei. Mai mult </w:t>
      </w:r>
      <w:r w:rsidR="000B69F6" w:rsidRPr="009772A3">
        <w:rPr>
          <w:rFonts w:asciiTheme="majorHAnsi" w:hAnsiTheme="majorHAnsi" w:cstheme="majorHAnsi"/>
          <w:sz w:val="24"/>
          <w:szCs w:val="24"/>
          <w:vertAlign w:val="baseline"/>
          <w:lang w:val="ro-MD"/>
        </w:rPr>
        <w:t>decât</w:t>
      </w:r>
      <w:r w:rsidRPr="009772A3">
        <w:rPr>
          <w:rFonts w:asciiTheme="majorHAnsi" w:hAnsiTheme="majorHAnsi" w:cstheme="majorHAnsi"/>
          <w:sz w:val="24"/>
          <w:szCs w:val="24"/>
          <w:vertAlign w:val="baseline"/>
          <w:lang w:val="ro-MD"/>
        </w:rPr>
        <w:t xml:space="preserve"> at</w:t>
      </w:r>
      <w:r w:rsidR="000B69F6"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 xml:space="preserve">t, o parte din aceste rețele </w:t>
      </w:r>
      <w:r w:rsidR="007D3470">
        <w:rPr>
          <w:rFonts w:asciiTheme="majorHAnsi" w:hAnsiTheme="majorHAnsi" w:cstheme="majorHAnsi"/>
          <w:sz w:val="24"/>
          <w:szCs w:val="24"/>
          <w:vertAlign w:val="baseline"/>
          <w:lang w:val="ro-MD"/>
        </w:rPr>
        <w:t>amplasate în stânga r</w:t>
      </w:r>
      <w:r w:rsidR="0048476D">
        <w:rPr>
          <w:rFonts w:asciiTheme="majorHAnsi" w:hAnsiTheme="majorHAnsi" w:cstheme="majorHAnsi"/>
          <w:sz w:val="24"/>
          <w:szCs w:val="24"/>
          <w:vertAlign w:val="baseline"/>
          <w:lang w:val="ro-MD"/>
        </w:rPr>
        <w:t>â</w:t>
      </w:r>
      <w:r w:rsidR="007D3470">
        <w:rPr>
          <w:rFonts w:asciiTheme="majorHAnsi" w:hAnsiTheme="majorHAnsi" w:cstheme="majorHAnsi"/>
          <w:sz w:val="24"/>
          <w:szCs w:val="24"/>
          <w:vertAlign w:val="baseline"/>
          <w:lang w:val="ro-MD"/>
        </w:rPr>
        <w:t xml:space="preserve">ului Nistru </w:t>
      </w:r>
      <w:r w:rsidRPr="009772A3">
        <w:rPr>
          <w:rFonts w:asciiTheme="majorHAnsi" w:hAnsiTheme="majorHAnsi" w:cstheme="majorHAnsi"/>
          <w:sz w:val="24"/>
          <w:szCs w:val="24"/>
          <w:vertAlign w:val="baseline"/>
          <w:lang w:val="ro-MD"/>
        </w:rPr>
        <w:t>nu sunt controlate de SA Moldovagaz. Împărțirea rețelelor magistrale după gestionarii acestora este redată în tabelul următor</w:t>
      </w:r>
      <w:r w:rsidR="000B69F6" w:rsidRPr="009772A3">
        <w:rPr>
          <w:rFonts w:asciiTheme="majorHAnsi" w:hAnsiTheme="majorHAnsi" w:cstheme="majorHAnsi"/>
          <w:sz w:val="24"/>
          <w:szCs w:val="24"/>
          <w:vertAlign w:val="baseline"/>
          <w:lang w:val="ro-MD"/>
        </w:rPr>
        <w:t>.</w:t>
      </w:r>
    </w:p>
    <w:p w14:paraId="73461A2B" w14:textId="34013939" w:rsidR="000B69F6" w:rsidRPr="009772A3" w:rsidRDefault="000B69F6" w:rsidP="00CC692C">
      <w:pPr>
        <w:pStyle w:val="FootnoteText"/>
        <w:spacing w:line="276" w:lineRule="auto"/>
        <w:ind w:firstLine="709"/>
        <w:jc w:val="right"/>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Tabelul 4.3.1</w:t>
      </w:r>
      <w:r w:rsidR="0029478D">
        <w:rPr>
          <w:rFonts w:asciiTheme="majorHAnsi" w:hAnsiTheme="majorHAnsi" w:cstheme="majorHAnsi"/>
          <w:b/>
          <w:sz w:val="24"/>
          <w:szCs w:val="24"/>
          <w:vertAlign w:val="baseline"/>
          <w:lang w:val="ro-MD"/>
        </w:rPr>
        <w:t>.1.1</w:t>
      </w:r>
    </w:p>
    <w:p w14:paraId="2B255615" w14:textId="2966037A" w:rsidR="00FD1AA6" w:rsidRPr="009772A3" w:rsidRDefault="000B69F6" w:rsidP="00CC692C">
      <w:pPr>
        <w:pStyle w:val="FootnoteText"/>
        <w:spacing w:line="276" w:lineRule="auto"/>
        <w:ind w:firstLine="709"/>
        <w:jc w:val="center"/>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Împărțirea rețelelor magistrale de import a gazelor naturale,</w:t>
      </w:r>
      <w:r w:rsidR="00CC692C" w:rsidRPr="009772A3">
        <w:rPr>
          <w:rFonts w:asciiTheme="majorHAnsi" w:hAnsiTheme="majorHAnsi" w:cstheme="majorHAnsi"/>
          <w:b/>
          <w:sz w:val="24"/>
          <w:szCs w:val="24"/>
          <w:vertAlign w:val="baseline"/>
          <w:lang w:val="ro-MD"/>
        </w:rPr>
        <w:t xml:space="preserve"> </w:t>
      </w:r>
      <w:r w:rsidRPr="009772A3">
        <w:rPr>
          <w:rFonts w:asciiTheme="majorHAnsi" w:hAnsiTheme="majorHAnsi" w:cstheme="majorHAnsi"/>
          <w:b/>
          <w:sz w:val="24"/>
          <w:szCs w:val="24"/>
          <w:vertAlign w:val="baseline"/>
          <w:lang w:val="ro-MD"/>
        </w:rPr>
        <w:t>după gestionarii acestora (</w:t>
      </w:r>
      <w:r w:rsidR="00CC692C" w:rsidRPr="009772A3">
        <w:rPr>
          <w:rFonts w:asciiTheme="majorHAnsi" w:hAnsiTheme="majorHAnsi" w:cstheme="majorHAnsi"/>
          <w:b/>
          <w:sz w:val="24"/>
          <w:szCs w:val="24"/>
          <w:vertAlign w:val="baseline"/>
          <w:lang w:val="ro-MD"/>
        </w:rPr>
        <w:t>km</w:t>
      </w:r>
      <w:r w:rsidRPr="009772A3">
        <w:rPr>
          <w:rFonts w:asciiTheme="majorHAnsi" w:hAnsiTheme="majorHAnsi" w:cstheme="majorHAnsi"/>
          <w:b/>
          <w:sz w:val="24"/>
          <w:szCs w:val="24"/>
          <w:vertAlign w:val="baseline"/>
          <w:lang w:val="ro-MD"/>
        </w:rPr>
        <w:t>)</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1701"/>
        <w:gridCol w:w="1134"/>
        <w:gridCol w:w="910"/>
        <w:gridCol w:w="1358"/>
        <w:gridCol w:w="1074"/>
      </w:tblGrid>
      <w:tr w:rsidR="0050295F" w:rsidRPr="009772A3" w14:paraId="7B80A64C" w14:textId="77777777" w:rsidTr="004F4116">
        <w:trPr>
          <w:trHeight w:val="20"/>
        </w:trPr>
        <w:tc>
          <w:tcPr>
            <w:tcW w:w="2547" w:type="dxa"/>
            <w:shd w:val="clear" w:color="000000" w:fill="FFFFFF"/>
            <w:vAlign w:val="center"/>
          </w:tcPr>
          <w:p w14:paraId="37F70D1B" w14:textId="42F27260" w:rsidR="0050295F" w:rsidRPr="009772A3" w:rsidRDefault="0050295F" w:rsidP="0050295F">
            <w:pPr>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b/>
                <w:bCs/>
                <w:sz w:val="16"/>
                <w:szCs w:val="16"/>
                <w:lang w:val="ro-MD"/>
              </w:rPr>
              <w:t>Denumirea gazoductului magistral</w:t>
            </w:r>
          </w:p>
        </w:tc>
        <w:tc>
          <w:tcPr>
            <w:tcW w:w="709" w:type="dxa"/>
            <w:shd w:val="clear" w:color="000000" w:fill="FFFFFF"/>
            <w:vAlign w:val="center"/>
          </w:tcPr>
          <w:p w14:paraId="1BBE9E93" w14:textId="77777777" w:rsidR="0050295F" w:rsidRPr="009772A3" w:rsidRDefault="0050295F" w:rsidP="0050295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b/>
                <w:bCs/>
                <w:sz w:val="16"/>
                <w:szCs w:val="16"/>
                <w:lang w:val="ro-MD"/>
              </w:rPr>
              <w:t>Abrevierea</w:t>
            </w:r>
          </w:p>
        </w:tc>
        <w:tc>
          <w:tcPr>
            <w:tcW w:w="1701" w:type="dxa"/>
            <w:shd w:val="clear" w:color="000000" w:fill="FFFFFF"/>
            <w:vAlign w:val="center"/>
          </w:tcPr>
          <w:p w14:paraId="7AD6381A" w14:textId="63FB4122" w:rsidR="0050295F" w:rsidRPr="009772A3" w:rsidRDefault="0050295F" w:rsidP="000B69F6">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Lungimea totală de la s.Grebeniki p</w:t>
            </w:r>
            <w:r w:rsidR="000B69F6" w:rsidRPr="009772A3">
              <w:rPr>
                <w:rFonts w:asciiTheme="majorHAnsi" w:eastAsia="Times New Roman" w:hAnsiTheme="majorHAnsi" w:cstheme="majorHAnsi"/>
                <w:b/>
                <w:bCs/>
                <w:sz w:val="16"/>
                <w:szCs w:val="16"/>
                <w:lang w:val="ro-MD"/>
              </w:rPr>
              <w:t>â</w:t>
            </w:r>
            <w:r w:rsidRPr="009772A3">
              <w:rPr>
                <w:rFonts w:asciiTheme="majorHAnsi" w:eastAsia="Times New Roman" w:hAnsiTheme="majorHAnsi" w:cstheme="majorHAnsi"/>
                <w:b/>
                <w:bCs/>
                <w:sz w:val="16"/>
                <w:szCs w:val="16"/>
                <w:lang w:val="ro-MD"/>
              </w:rPr>
              <w:t>nă la s.Orlovka, din care:</w:t>
            </w:r>
          </w:p>
        </w:tc>
        <w:tc>
          <w:tcPr>
            <w:tcW w:w="1134" w:type="dxa"/>
            <w:shd w:val="clear" w:color="000000" w:fill="FFFFFF"/>
            <w:vAlign w:val="center"/>
          </w:tcPr>
          <w:p w14:paraId="07334153" w14:textId="5A27E0A8"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b/>
                <w:bCs/>
                <w:sz w:val="16"/>
                <w:szCs w:val="16"/>
                <w:lang w:val="ro-MD"/>
              </w:rPr>
              <w:t>Operator</w:t>
            </w:r>
            <w:r w:rsidR="000B69F6" w:rsidRPr="009772A3">
              <w:rPr>
                <w:rFonts w:asciiTheme="majorHAnsi" w:eastAsia="Times New Roman" w:hAnsiTheme="majorHAnsi" w:cstheme="majorHAnsi"/>
                <w:b/>
                <w:bCs/>
                <w:sz w:val="16"/>
                <w:szCs w:val="16"/>
                <w:lang w:val="ro-MD"/>
              </w:rPr>
              <w:t>ul</w:t>
            </w:r>
            <w:r w:rsidRPr="009772A3">
              <w:rPr>
                <w:rFonts w:asciiTheme="majorHAnsi" w:eastAsia="Times New Roman" w:hAnsiTheme="majorHAnsi" w:cstheme="majorHAnsi"/>
                <w:b/>
                <w:bCs/>
                <w:sz w:val="16"/>
                <w:szCs w:val="16"/>
                <w:lang w:val="ro-MD"/>
              </w:rPr>
              <w:t xml:space="preserve"> de transport a</w:t>
            </w:r>
            <w:r w:rsidR="000B69F6" w:rsidRPr="009772A3">
              <w:rPr>
                <w:rFonts w:asciiTheme="majorHAnsi" w:eastAsia="Times New Roman" w:hAnsiTheme="majorHAnsi" w:cstheme="majorHAnsi"/>
                <w:b/>
                <w:bCs/>
                <w:sz w:val="16"/>
                <w:szCs w:val="16"/>
                <w:lang w:val="ro-MD"/>
              </w:rPr>
              <w:t>l</w:t>
            </w:r>
            <w:r w:rsidRPr="009772A3">
              <w:rPr>
                <w:rFonts w:asciiTheme="majorHAnsi" w:eastAsia="Times New Roman" w:hAnsiTheme="majorHAnsi" w:cstheme="majorHAnsi"/>
                <w:b/>
                <w:bCs/>
                <w:sz w:val="16"/>
                <w:szCs w:val="16"/>
                <w:lang w:val="ro-MD"/>
              </w:rPr>
              <w:t xml:space="preserve"> Ucrainei</w:t>
            </w:r>
          </w:p>
        </w:tc>
        <w:tc>
          <w:tcPr>
            <w:tcW w:w="910" w:type="dxa"/>
            <w:shd w:val="clear" w:color="000000" w:fill="FFFFFF"/>
            <w:vAlign w:val="center"/>
          </w:tcPr>
          <w:p w14:paraId="545DB4A3"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Republica Moldova</w:t>
            </w:r>
          </w:p>
        </w:tc>
        <w:tc>
          <w:tcPr>
            <w:tcW w:w="1358" w:type="dxa"/>
            <w:shd w:val="clear" w:color="000000" w:fill="FFFFFF"/>
            <w:vAlign w:val="center"/>
          </w:tcPr>
          <w:p w14:paraId="0214728A" w14:textId="5675ACB6"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Moldovatransgaz</w:t>
            </w:r>
          </w:p>
        </w:tc>
        <w:tc>
          <w:tcPr>
            <w:tcW w:w="1074" w:type="dxa"/>
            <w:shd w:val="clear" w:color="000000" w:fill="FFFFFF"/>
            <w:vAlign w:val="center"/>
          </w:tcPr>
          <w:p w14:paraId="29E7C6DB" w14:textId="669BCD00"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b/>
                <w:bCs/>
                <w:sz w:val="16"/>
                <w:szCs w:val="16"/>
                <w:lang w:val="ro-MD"/>
              </w:rPr>
              <w:t>Tiraspoltransgaz</w:t>
            </w:r>
          </w:p>
        </w:tc>
      </w:tr>
      <w:tr w:rsidR="0050295F" w:rsidRPr="009772A3" w14:paraId="50D57B03" w14:textId="77777777" w:rsidTr="004F4116">
        <w:trPr>
          <w:trHeight w:val="20"/>
        </w:trPr>
        <w:tc>
          <w:tcPr>
            <w:tcW w:w="2547" w:type="dxa"/>
            <w:shd w:val="clear" w:color="000000" w:fill="FFFFFF"/>
            <w:vAlign w:val="center"/>
            <w:hideMark/>
          </w:tcPr>
          <w:p w14:paraId="1178BE1A" w14:textId="38FEA332" w:rsidR="0050295F" w:rsidRPr="009772A3" w:rsidRDefault="0050295F" w:rsidP="004B74C3">
            <w:pPr>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Ananiev-Tiraspol-I</w:t>
            </w:r>
            <w:r w:rsidR="004B74C3" w:rsidRPr="009772A3">
              <w:rPr>
                <w:rFonts w:asciiTheme="majorHAnsi" w:eastAsia="Times New Roman" w:hAnsiTheme="majorHAnsi" w:cstheme="majorHAnsi"/>
                <w:sz w:val="16"/>
                <w:szCs w:val="16"/>
                <w:lang w:val="ro-MD"/>
              </w:rPr>
              <w:t>s</w:t>
            </w:r>
            <w:r w:rsidRPr="009772A3">
              <w:rPr>
                <w:rFonts w:asciiTheme="majorHAnsi" w:eastAsia="Times New Roman" w:hAnsiTheme="majorHAnsi" w:cstheme="majorHAnsi"/>
                <w:sz w:val="16"/>
                <w:szCs w:val="16"/>
                <w:lang w:val="ro-MD"/>
              </w:rPr>
              <w:t>mail</w:t>
            </w:r>
          </w:p>
        </w:tc>
        <w:tc>
          <w:tcPr>
            <w:tcW w:w="709" w:type="dxa"/>
            <w:shd w:val="clear" w:color="000000" w:fill="FFFFFF"/>
            <w:vAlign w:val="center"/>
            <w:hideMark/>
          </w:tcPr>
          <w:p w14:paraId="6021B519" w14:textId="77777777" w:rsidR="0050295F" w:rsidRPr="009772A3" w:rsidRDefault="0050295F" w:rsidP="0050295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ATI</w:t>
            </w:r>
          </w:p>
        </w:tc>
        <w:tc>
          <w:tcPr>
            <w:tcW w:w="1701" w:type="dxa"/>
            <w:shd w:val="clear" w:color="000000" w:fill="FFFFFF"/>
            <w:vAlign w:val="center"/>
            <w:hideMark/>
          </w:tcPr>
          <w:p w14:paraId="082D6F21"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263,000</w:t>
            </w:r>
          </w:p>
        </w:tc>
        <w:tc>
          <w:tcPr>
            <w:tcW w:w="1134" w:type="dxa"/>
            <w:shd w:val="clear" w:color="000000" w:fill="FFFFFF"/>
            <w:vAlign w:val="center"/>
            <w:hideMark/>
          </w:tcPr>
          <w:p w14:paraId="520CFFCE" w14:textId="77777777"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170,900</w:t>
            </w:r>
          </w:p>
        </w:tc>
        <w:tc>
          <w:tcPr>
            <w:tcW w:w="910" w:type="dxa"/>
            <w:shd w:val="clear" w:color="000000" w:fill="FFFFFF"/>
            <w:vAlign w:val="center"/>
            <w:hideMark/>
          </w:tcPr>
          <w:p w14:paraId="57BE723A"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92,100</w:t>
            </w:r>
          </w:p>
        </w:tc>
        <w:tc>
          <w:tcPr>
            <w:tcW w:w="1358" w:type="dxa"/>
            <w:shd w:val="clear" w:color="000000" w:fill="FFFFFF"/>
            <w:vAlign w:val="center"/>
          </w:tcPr>
          <w:p w14:paraId="30B44A70" w14:textId="7B6FAA90"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62,910</w:t>
            </w:r>
          </w:p>
        </w:tc>
        <w:tc>
          <w:tcPr>
            <w:tcW w:w="1074" w:type="dxa"/>
            <w:shd w:val="clear" w:color="000000" w:fill="FFFFFF"/>
            <w:vAlign w:val="center"/>
            <w:hideMark/>
          </w:tcPr>
          <w:p w14:paraId="40310698" w14:textId="657ABD12"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29,190</w:t>
            </w:r>
          </w:p>
        </w:tc>
      </w:tr>
      <w:tr w:rsidR="0050295F" w:rsidRPr="009772A3" w14:paraId="45DEF701" w14:textId="77777777" w:rsidTr="004F4116">
        <w:trPr>
          <w:trHeight w:val="20"/>
        </w:trPr>
        <w:tc>
          <w:tcPr>
            <w:tcW w:w="2547" w:type="dxa"/>
            <w:shd w:val="clear" w:color="000000" w:fill="FFFFFF"/>
            <w:vAlign w:val="center"/>
            <w:hideMark/>
          </w:tcPr>
          <w:p w14:paraId="28DCFC01" w14:textId="53699827" w:rsidR="0050295F" w:rsidRPr="009772A3" w:rsidRDefault="0050295F" w:rsidP="004B74C3">
            <w:pPr>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Șebelin</w:t>
            </w:r>
            <w:r w:rsidR="004B74C3" w:rsidRPr="009772A3">
              <w:rPr>
                <w:rFonts w:asciiTheme="majorHAnsi" w:eastAsia="Times New Roman" w:hAnsiTheme="majorHAnsi" w:cstheme="majorHAnsi"/>
                <w:sz w:val="16"/>
                <w:szCs w:val="16"/>
                <w:lang w:val="ro-MD"/>
              </w:rPr>
              <w:t>k</w:t>
            </w:r>
            <w:r w:rsidRPr="009772A3">
              <w:rPr>
                <w:rFonts w:asciiTheme="majorHAnsi" w:eastAsia="Times New Roman" w:hAnsiTheme="majorHAnsi" w:cstheme="majorHAnsi"/>
                <w:sz w:val="16"/>
                <w:szCs w:val="16"/>
                <w:lang w:val="ro-MD"/>
              </w:rPr>
              <w:t>a-Donețk-Krivoi Rog-I</w:t>
            </w:r>
            <w:r w:rsidR="004B74C3" w:rsidRPr="009772A3">
              <w:rPr>
                <w:rFonts w:asciiTheme="majorHAnsi" w:eastAsia="Times New Roman" w:hAnsiTheme="majorHAnsi" w:cstheme="majorHAnsi"/>
                <w:sz w:val="16"/>
                <w:szCs w:val="16"/>
                <w:lang w:val="ro-MD"/>
              </w:rPr>
              <w:t>s</w:t>
            </w:r>
            <w:r w:rsidRPr="009772A3">
              <w:rPr>
                <w:rFonts w:asciiTheme="majorHAnsi" w:eastAsia="Times New Roman" w:hAnsiTheme="majorHAnsi" w:cstheme="majorHAnsi"/>
                <w:sz w:val="16"/>
                <w:szCs w:val="16"/>
                <w:lang w:val="ro-MD"/>
              </w:rPr>
              <w:t>mail</w:t>
            </w:r>
          </w:p>
        </w:tc>
        <w:tc>
          <w:tcPr>
            <w:tcW w:w="709" w:type="dxa"/>
            <w:shd w:val="clear" w:color="000000" w:fill="FFFFFF"/>
            <w:vAlign w:val="center"/>
            <w:hideMark/>
          </w:tcPr>
          <w:p w14:paraId="40BC8B01" w14:textId="77777777" w:rsidR="0050295F" w:rsidRPr="009772A3" w:rsidRDefault="0050295F" w:rsidP="0050295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ȘDKRI</w:t>
            </w:r>
          </w:p>
        </w:tc>
        <w:tc>
          <w:tcPr>
            <w:tcW w:w="1701" w:type="dxa"/>
            <w:shd w:val="clear" w:color="000000" w:fill="FFFFFF"/>
            <w:vAlign w:val="center"/>
            <w:hideMark/>
          </w:tcPr>
          <w:p w14:paraId="1C2D7AA2"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251,980</w:t>
            </w:r>
          </w:p>
        </w:tc>
        <w:tc>
          <w:tcPr>
            <w:tcW w:w="1134" w:type="dxa"/>
            <w:shd w:val="clear" w:color="000000" w:fill="FFFFFF"/>
            <w:vAlign w:val="center"/>
            <w:hideMark/>
          </w:tcPr>
          <w:p w14:paraId="17C66774" w14:textId="77777777"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127,400</w:t>
            </w:r>
          </w:p>
        </w:tc>
        <w:tc>
          <w:tcPr>
            <w:tcW w:w="910" w:type="dxa"/>
            <w:shd w:val="clear" w:color="000000" w:fill="FFFFFF"/>
            <w:vAlign w:val="center"/>
            <w:hideMark/>
          </w:tcPr>
          <w:p w14:paraId="317B955F"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124,580</w:t>
            </w:r>
          </w:p>
        </w:tc>
        <w:tc>
          <w:tcPr>
            <w:tcW w:w="1358" w:type="dxa"/>
            <w:shd w:val="clear" w:color="000000" w:fill="FFFFFF"/>
            <w:vAlign w:val="center"/>
          </w:tcPr>
          <w:p w14:paraId="65D6C69B" w14:textId="05EF5E76"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91,817</w:t>
            </w:r>
          </w:p>
        </w:tc>
        <w:tc>
          <w:tcPr>
            <w:tcW w:w="1074" w:type="dxa"/>
            <w:shd w:val="clear" w:color="000000" w:fill="FFFFFF"/>
            <w:vAlign w:val="center"/>
            <w:hideMark/>
          </w:tcPr>
          <w:p w14:paraId="6D1E3B3F" w14:textId="0F986E93"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32,763</w:t>
            </w:r>
          </w:p>
        </w:tc>
      </w:tr>
      <w:tr w:rsidR="0050295F" w:rsidRPr="009772A3" w14:paraId="272A4CAB" w14:textId="77777777" w:rsidTr="004F4116">
        <w:trPr>
          <w:trHeight w:val="20"/>
        </w:trPr>
        <w:tc>
          <w:tcPr>
            <w:tcW w:w="2547" w:type="dxa"/>
            <w:shd w:val="clear" w:color="000000" w:fill="FFFFFF"/>
            <w:vAlign w:val="center"/>
            <w:hideMark/>
          </w:tcPr>
          <w:p w14:paraId="15B6AAA5" w14:textId="14FEF5B3" w:rsidR="0050295F" w:rsidRPr="009772A3" w:rsidRDefault="0050295F" w:rsidP="004B74C3">
            <w:pPr>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Razdelinaia-I</w:t>
            </w:r>
            <w:r w:rsidR="004B74C3" w:rsidRPr="009772A3">
              <w:rPr>
                <w:rFonts w:asciiTheme="majorHAnsi" w:eastAsia="Times New Roman" w:hAnsiTheme="majorHAnsi" w:cstheme="majorHAnsi"/>
                <w:sz w:val="16"/>
                <w:szCs w:val="16"/>
                <w:lang w:val="ro-MD"/>
              </w:rPr>
              <w:t>s</w:t>
            </w:r>
            <w:r w:rsidRPr="009772A3">
              <w:rPr>
                <w:rFonts w:asciiTheme="majorHAnsi" w:eastAsia="Times New Roman" w:hAnsiTheme="majorHAnsi" w:cstheme="majorHAnsi"/>
                <w:sz w:val="16"/>
                <w:szCs w:val="16"/>
                <w:lang w:val="ro-MD"/>
              </w:rPr>
              <w:t>mail</w:t>
            </w:r>
          </w:p>
        </w:tc>
        <w:tc>
          <w:tcPr>
            <w:tcW w:w="709" w:type="dxa"/>
            <w:shd w:val="clear" w:color="000000" w:fill="FFFFFF"/>
            <w:vAlign w:val="center"/>
            <w:hideMark/>
          </w:tcPr>
          <w:p w14:paraId="1BBD4825" w14:textId="77777777" w:rsidR="0050295F" w:rsidRPr="009772A3" w:rsidRDefault="0050295F" w:rsidP="0050295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RI</w:t>
            </w:r>
          </w:p>
        </w:tc>
        <w:tc>
          <w:tcPr>
            <w:tcW w:w="1701" w:type="dxa"/>
            <w:shd w:val="clear" w:color="000000" w:fill="FFFFFF"/>
            <w:vAlign w:val="center"/>
            <w:hideMark/>
          </w:tcPr>
          <w:p w14:paraId="478582DE"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252,992</w:t>
            </w:r>
          </w:p>
        </w:tc>
        <w:tc>
          <w:tcPr>
            <w:tcW w:w="1134" w:type="dxa"/>
            <w:shd w:val="clear" w:color="000000" w:fill="FFFFFF"/>
            <w:vAlign w:val="center"/>
            <w:hideMark/>
          </w:tcPr>
          <w:p w14:paraId="67FA46CD" w14:textId="77777777"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126,532</w:t>
            </w:r>
          </w:p>
        </w:tc>
        <w:tc>
          <w:tcPr>
            <w:tcW w:w="910" w:type="dxa"/>
            <w:shd w:val="clear" w:color="000000" w:fill="FFFFFF"/>
            <w:vAlign w:val="center"/>
            <w:hideMark/>
          </w:tcPr>
          <w:p w14:paraId="077B239B"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126,460</w:t>
            </w:r>
          </w:p>
        </w:tc>
        <w:tc>
          <w:tcPr>
            <w:tcW w:w="1358" w:type="dxa"/>
            <w:shd w:val="clear" w:color="000000" w:fill="FFFFFF"/>
            <w:vAlign w:val="center"/>
          </w:tcPr>
          <w:p w14:paraId="149E7ED4" w14:textId="4B0789FE"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92,240</w:t>
            </w:r>
          </w:p>
        </w:tc>
        <w:tc>
          <w:tcPr>
            <w:tcW w:w="1074" w:type="dxa"/>
            <w:shd w:val="clear" w:color="000000" w:fill="FFFFFF"/>
            <w:vAlign w:val="center"/>
            <w:hideMark/>
          </w:tcPr>
          <w:p w14:paraId="1A11B1D3" w14:textId="7B8E13E7"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34,220</w:t>
            </w:r>
          </w:p>
        </w:tc>
      </w:tr>
      <w:tr w:rsidR="0050295F" w:rsidRPr="009772A3" w14:paraId="47E96503" w14:textId="77777777" w:rsidTr="004F4116">
        <w:trPr>
          <w:trHeight w:val="20"/>
        </w:trPr>
        <w:tc>
          <w:tcPr>
            <w:tcW w:w="2547" w:type="dxa"/>
            <w:shd w:val="clear" w:color="000000" w:fill="FFFFFF"/>
            <w:vAlign w:val="center"/>
            <w:hideMark/>
          </w:tcPr>
          <w:p w14:paraId="1CCBFECF" w14:textId="77777777" w:rsidR="0050295F" w:rsidRPr="009772A3" w:rsidRDefault="0050295F" w:rsidP="0050295F">
            <w:pPr>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Ananiev-Cernăuți-Bogorocianî</w:t>
            </w:r>
          </w:p>
          <w:p w14:paraId="58FB1800" w14:textId="30EF7690" w:rsidR="0050295F" w:rsidRPr="009772A3" w:rsidRDefault="0050295F" w:rsidP="0050295F">
            <w:pPr>
              <w:spacing w:after="0" w:line="240" w:lineRule="auto"/>
              <w:jc w:val="both"/>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618,8</w:t>
            </w:r>
            <w:r w:rsidR="000B69F6" w:rsidRPr="009772A3">
              <w:rPr>
                <w:rFonts w:asciiTheme="majorHAnsi" w:eastAsia="Times New Roman" w:hAnsiTheme="majorHAnsi" w:cstheme="majorHAnsi"/>
                <w:sz w:val="16"/>
                <w:szCs w:val="16"/>
                <w:lang w:val="ro-MD"/>
              </w:rPr>
              <w:t xml:space="preserve"> </w:t>
            </w:r>
            <w:r w:rsidRPr="009772A3">
              <w:rPr>
                <w:rFonts w:asciiTheme="majorHAnsi" w:eastAsia="Times New Roman" w:hAnsiTheme="majorHAnsi" w:cstheme="majorHAnsi"/>
                <w:sz w:val="16"/>
                <w:szCs w:val="16"/>
                <w:lang w:val="ro-MD"/>
              </w:rPr>
              <w:t>km - 419,2</w:t>
            </w:r>
            <w:r w:rsidR="000B69F6" w:rsidRPr="009772A3">
              <w:rPr>
                <w:rFonts w:asciiTheme="majorHAnsi" w:eastAsia="Times New Roman" w:hAnsiTheme="majorHAnsi" w:cstheme="majorHAnsi"/>
                <w:sz w:val="16"/>
                <w:szCs w:val="16"/>
                <w:lang w:val="ro-MD"/>
              </w:rPr>
              <w:t xml:space="preserve"> </w:t>
            </w:r>
            <w:r w:rsidRPr="009772A3">
              <w:rPr>
                <w:rFonts w:asciiTheme="majorHAnsi" w:eastAsia="Times New Roman" w:hAnsiTheme="majorHAnsi" w:cstheme="majorHAnsi"/>
                <w:sz w:val="16"/>
                <w:szCs w:val="16"/>
                <w:lang w:val="ro-MD"/>
              </w:rPr>
              <w:t>km</w:t>
            </w:r>
          </w:p>
        </w:tc>
        <w:tc>
          <w:tcPr>
            <w:tcW w:w="709" w:type="dxa"/>
            <w:shd w:val="clear" w:color="000000" w:fill="FFFFFF"/>
            <w:vAlign w:val="center"/>
            <w:hideMark/>
          </w:tcPr>
          <w:p w14:paraId="33D498CF" w14:textId="77777777" w:rsidR="0050295F" w:rsidRPr="009772A3" w:rsidRDefault="0050295F" w:rsidP="0050295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ACB</w:t>
            </w:r>
            <w:r w:rsidRPr="009772A3">
              <w:rPr>
                <w:rFonts w:asciiTheme="majorHAnsi" w:eastAsia="Times New Roman" w:hAnsiTheme="majorHAnsi" w:cstheme="majorHAnsi"/>
                <w:sz w:val="16"/>
                <w:szCs w:val="16"/>
                <w:lang w:val="ro-MD"/>
              </w:rPr>
              <w:br/>
            </w:r>
          </w:p>
        </w:tc>
        <w:tc>
          <w:tcPr>
            <w:tcW w:w="1701" w:type="dxa"/>
            <w:shd w:val="clear" w:color="000000" w:fill="FFFFFF"/>
            <w:vAlign w:val="center"/>
            <w:hideMark/>
          </w:tcPr>
          <w:p w14:paraId="7DF70ABF"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199,600</w:t>
            </w:r>
          </w:p>
        </w:tc>
        <w:tc>
          <w:tcPr>
            <w:tcW w:w="1134" w:type="dxa"/>
            <w:shd w:val="clear" w:color="000000" w:fill="FFFFFF"/>
            <w:vAlign w:val="center"/>
            <w:hideMark/>
          </w:tcPr>
          <w:p w14:paraId="09644185" w14:textId="77777777"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w:t>
            </w:r>
          </w:p>
        </w:tc>
        <w:tc>
          <w:tcPr>
            <w:tcW w:w="910" w:type="dxa"/>
            <w:shd w:val="clear" w:color="000000" w:fill="FFFFFF"/>
            <w:vAlign w:val="center"/>
            <w:hideMark/>
          </w:tcPr>
          <w:p w14:paraId="66322FCE" w14:textId="77777777" w:rsidR="0050295F" w:rsidRPr="009772A3" w:rsidRDefault="0050295F" w:rsidP="0050295F">
            <w:pPr>
              <w:spacing w:after="0" w:line="240" w:lineRule="auto"/>
              <w:jc w:val="center"/>
              <w:rPr>
                <w:rFonts w:asciiTheme="majorHAnsi" w:eastAsia="Times New Roman" w:hAnsiTheme="majorHAnsi" w:cstheme="majorHAnsi"/>
                <w:b/>
                <w:bCs/>
                <w:sz w:val="16"/>
                <w:szCs w:val="16"/>
                <w:lang w:val="ro-MD"/>
              </w:rPr>
            </w:pPr>
            <w:r w:rsidRPr="009772A3">
              <w:rPr>
                <w:rFonts w:asciiTheme="majorHAnsi" w:eastAsia="Times New Roman" w:hAnsiTheme="majorHAnsi" w:cstheme="majorHAnsi"/>
                <w:b/>
                <w:bCs/>
                <w:sz w:val="16"/>
                <w:szCs w:val="16"/>
                <w:lang w:val="ro-MD"/>
              </w:rPr>
              <w:t>199,600</w:t>
            </w:r>
          </w:p>
        </w:tc>
        <w:tc>
          <w:tcPr>
            <w:tcW w:w="1358" w:type="dxa"/>
            <w:shd w:val="clear" w:color="000000" w:fill="FFFFFF"/>
            <w:vAlign w:val="center"/>
          </w:tcPr>
          <w:p w14:paraId="4C9C1645" w14:textId="7B45A6CB"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184,600</w:t>
            </w:r>
          </w:p>
        </w:tc>
        <w:tc>
          <w:tcPr>
            <w:tcW w:w="1074" w:type="dxa"/>
            <w:shd w:val="clear" w:color="000000" w:fill="FFFFFF"/>
            <w:vAlign w:val="center"/>
            <w:hideMark/>
          </w:tcPr>
          <w:p w14:paraId="2E60DD49" w14:textId="1F7452E0" w:rsidR="0050295F" w:rsidRPr="009772A3" w:rsidRDefault="0050295F" w:rsidP="0050295F">
            <w:pPr>
              <w:spacing w:after="0" w:line="240" w:lineRule="auto"/>
              <w:jc w:val="center"/>
              <w:rPr>
                <w:rFonts w:asciiTheme="majorHAnsi" w:eastAsia="Times New Roman" w:hAnsiTheme="majorHAnsi" w:cstheme="majorHAnsi"/>
                <w:i/>
                <w:iCs/>
                <w:sz w:val="16"/>
                <w:szCs w:val="16"/>
                <w:lang w:val="ro-MD"/>
              </w:rPr>
            </w:pPr>
            <w:r w:rsidRPr="009772A3">
              <w:rPr>
                <w:rFonts w:asciiTheme="majorHAnsi" w:eastAsia="Times New Roman" w:hAnsiTheme="majorHAnsi" w:cstheme="majorHAnsi"/>
                <w:i/>
                <w:iCs/>
                <w:sz w:val="16"/>
                <w:szCs w:val="16"/>
                <w:lang w:val="ro-MD"/>
              </w:rPr>
              <w:t>15,000</w:t>
            </w:r>
          </w:p>
        </w:tc>
      </w:tr>
    </w:tbl>
    <w:p w14:paraId="7DA63457" w14:textId="59244963" w:rsidR="005162E9" w:rsidRPr="009772A3" w:rsidRDefault="005162E9"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Conform prevederilor contractuale</w:t>
      </w:r>
      <w:r w:rsidR="000B69F6"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importul gazelor în RM se efectuează prin 2 puncte </w:t>
      </w:r>
      <w:r w:rsidR="00064618"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stați</w:t>
      </w:r>
      <w:r w:rsidR="00064618" w:rsidRPr="009772A3">
        <w:rPr>
          <w:rFonts w:asciiTheme="majorHAnsi" w:hAnsiTheme="majorHAnsi" w:cstheme="majorHAnsi"/>
          <w:sz w:val="24"/>
          <w:szCs w:val="24"/>
          <w:vertAlign w:val="baseline"/>
          <w:lang w:val="ro-MD"/>
        </w:rPr>
        <w:t xml:space="preserve">ile de măsurare a gazelor (în continuare </w:t>
      </w:r>
      <w:r w:rsidR="000B69F6" w:rsidRPr="009772A3">
        <w:rPr>
          <w:rFonts w:asciiTheme="majorHAnsi" w:hAnsiTheme="majorHAnsi" w:cstheme="majorHAnsi"/>
          <w:sz w:val="24"/>
          <w:szCs w:val="24"/>
          <w:vertAlign w:val="baseline"/>
          <w:lang w:val="ro-MD"/>
        </w:rPr>
        <w:t>–</w:t>
      </w:r>
      <w:r w:rsidR="00064618" w:rsidRPr="009772A3">
        <w:rPr>
          <w:rFonts w:asciiTheme="majorHAnsi" w:hAnsiTheme="majorHAnsi" w:cstheme="majorHAnsi"/>
          <w:sz w:val="24"/>
          <w:szCs w:val="24"/>
          <w:vertAlign w:val="baseline"/>
          <w:lang w:val="ro-MD"/>
        </w:rPr>
        <w:t xml:space="preserve"> SMG) din </w:t>
      </w:r>
      <w:r w:rsidRPr="009772A3">
        <w:rPr>
          <w:rFonts w:asciiTheme="majorHAnsi" w:hAnsiTheme="majorHAnsi" w:cstheme="majorHAnsi"/>
          <w:sz w:val="24"/>
          <w:szCs w:val="24"/>
          <w:vertAlign w:val="baseline"/>
          <w:lang w:val="ro-MD"/>
        </w:rPr>
        <w:t>Grebeniki și Alexeevka din Ucraina.</w:t>
      </w:r>
      <w:r w:rsidR="00064618" w:rsidRPr="009772A3">
        <w:rPr>
          <w:rFonts w:asciiTheme="majorHAnsi" w:hAnsiTheme="majorHAnsi" w:cstheme="majorHAnsi"/>
          <w:sz w:val="24"/>
          <w:szCs w:val="24"/>
          <w:vertAlign w:val="baseline"/>
          <w:lang w:val="ro-MD"/>
        </w:rPr>
        <w:t xml:space="preserve"> Ulterior</w:t>
      </w:r>
      <w:r w:rsidR="000B69F6" w:rsidRPr="009772A3">
        <w:rPr>
          <w:rFonts w:asciiTheme="majorHAnsi" w:hAnsiTheme="majorHAnsi" w:cstheme="majorHAnsi"/>
          <w:sz w:val="24"/>
          <w:szCs w:val="24"/>
          <w:vertAlign w:val="baseline"/>
          <w:lang w:val="ro-MD"/>
        </w:rPr>
        <w:t>,</w:t>
      </w:r>
      <w:r w:rsidR="00064618" w:rsidRPr="009772A3">
        <w:rPr>
          <w:rFonts w:asciiTheme="majorHAnsi" w:hAnsiTheme="majorHAnsi" w:cstheme="majorHAnsi"/>
          <w:sz w:val="24"/>
          <w:szCs w:val="24"/>
          <w:vertAlign w:val="baseline"/>
          <w:lang w:val="ro-MD"/>
        </w:rPr>
        <w:t xml:space="preserve"> acest volum este ajustat cu datele privind consumul de gaze a</w:t>
      </w:r>
      <w:r w:rsidR="000B69F6" w:rsidRPr="009772A3">
        <w:rPr>
          <w:rFonts w:asciiTheme="majorHAnsi" w:hAnsiTheme="majorHAnsi" w:cstheme="majorHAnsi"/>
          <w:sz w:val="24"/>
          <w:szCs w:val="24"/>
          <w:vertAlign w:val="baseline"/>
          <w:lang w:val="ro-MD"/>
        </w:rPr>
        <w:t>l</w:t>
      </w:r>
      <w:r w:rsidR="00064618" w:rsidRPr="009772A3">
        <w:rPr>
          <w:rFonts w:asciiTheme="majorHAnsi" w:hAnsiTheme="majorHAnsi" w:cstheme="majorHAnsi"/>
          <w:sz w:val="24"/>
          <w:szCs w:val="24"/>
          <w:vertAlign w:val="baseline"/>
          <w:lang w:val="ro-MD"/>
        </w:rPr>
        <w:t xml:space="preserve"> localităților or. Briceni (RM) și or. Moghiliov-Podolisk (Ucraina) care sunt conectate la rețelele de </w:t>
      </w:r>
      <w:r w:rsidR="0075206E" w:rsidRPr="009772A3">
        <w:rPr>
          <w:rFonts w:asciiTheme="majorHAnsi" w:hAnsiTheme="majorHAnsi" w:cstheme="majorHAnsi"/>
          <w:sz w:val="24"/>
          <w:szCs w:val="24"/>
          <w:vertAlign w:val="baseline"/>
          <w:lang w:val="ro-MD"/>
        </w:rPr>
        <w:t>transport/</w:t>
      </w:r>
      <w:r w:rsidR="00064618" w:rsidRPr="009772A3">
        <w:rPr>
          <w:rFonts w:asciiTheme="majorHAnsi" w:hAnsiTheme="majorHAnsi" w:cstheme="majorHAnsi"/>
          <w:sz w:val="24"/>
          <w:szCs w:val="24"/>
          <w:vertAlign w:val="baseline"/>
          <w:lang w:val="ro-MD"/>
        </w:rPr>
        <w:t>distribuție de pe teritoriul</w:t>
      </w:r>
      <w:r w:rsidR="00446217" w:rsidRPr="009772A3">
        <w:rPr>
          <w:rFonts w:asciiTheme="majorHAnsi" w:hAnsiTheme="majorHAnsi" w:cstheme="majorHAnsi"/>
          <w:sz w:val="24"/>
          <w:szCs w:val="24"/>
          <w:vertAlign w:val="baseline"/>
          <w:lang w:val="ro-MD"/>
        </w:rPr>
        <w:t>,</w:t>
      </w:r>
      <w:r w:rsidR="00064618" w:rsidRPr="009772A3">
        <w:rPr>
          <w:rFonts w:asciiTheme="majorHAnsi" w:hAnsiTheme="majorHAnsi" w:cstheme="majorHAnsi"/>
          <w:sz w:val="24"/>
          <w:szCs w:val="24"/>
          <w:vertAlign w:val="baseline"/>
          <w:lang w:val="ro-MD"/>
        </w:rPr>
        <w:t xml:space="preserve"> respectiv, a</w:t>
      </w:r>
      <w:r w:rsidR="00446217" w:rsidRPr="009772A3">
        <w:rPr>
          <w:rFonts w:asciiTheme="majorHAnsi" w:hAnsiTheme="majorHAnsi" w:cstheme="majorHAnsi"/>
          <w:sz w:val="24"/>
          <w:szCs w:val="24"/>
          <w:vertAlign w:val="baseline"/>
          <w:lang w:val="ro-MD"/>
        </w:rPr>
        <w:t>l</w:t>
      </w:r>
      <w:r w:rsidR="00064618" w:rsidRPr="009772A3">
        <w:rPr>
          <w:rFonts w:asciiTheme="majorHAnsi" w:hAnsiTheme="majorHAnsi" w:cstheme="majorHAnsi"/>
          <w:sz w:val="24"/>
          <w:szCs w:val="24"/>
          <w:vertAlign w:val="baseline"/>
          <w:lang w:val="ro-MD"/>
        </w:rPr>
        <w:t xml:space="preserve"> Ucrainei și RM.</w:t>
      </w:r>
      <w:r w:rsidRPr="009772A3">
        <w:rPr>
          <w:rFonts w:asciiTheme="majorHAnsi" w:hAnsiTheme="majorHAnsi" w:cstheme="majorHAnsi"/>
          <w:sz w:val="24"/>
          <w:szCs w:val="24"/>
          <w:vertAlign w:val="baseline"/>
          <w:lang w:val="ro-MD"/>
        </w:rPr>
        <w:t xml:space="preserve"> </w:t>
      </w:r>
      <w:r w:rsidR="004F4586" w:rsidRPr="009772A3">
        <w:rPr>
          <w:rFonts w:asciiTheme="majorHAnsi" w:hAnsiTheme="majorHAnsi" w:cstheme="majorHAnsi"/>
          <w:sz w:val="24"/>
          <w:szCs w:val="24"/>
          <w:vertAlign w:val="baseline"/>
          <w:lang w:val="ro-MD"/>
        </w:rPr>
        <w:t>De asemenea</w:t>
      </w:r>
      <w:r w:rsidR="00446217" w:rsidRPr="009772A3">
        <w:rPr>
          <w:rFonts w:asciiTheme="majorHAnsi" w:hAnsiTheme="majorHAnsi" w:cstheme="majorHAnsi"/>
          <w:sz w:val="24"/>
          <w:szCs w:val="24"/>
          <w:vertAlign w:val="baseline"/>
          <w:lang w:val="ro-MD"/>
        </w:rPr>
        <w:t>,</w:t>
      </w:r>
      <w:r w:rsidR="004F4586" w:rsidRPr="009772A3">
        <w:rPr>
          <w:rFonts w:asciiTheme="majorHAnsi" w:hAnsiTheme="majorHAnsi" w:cstheme="majorHAnsi"/>
          <w:sz w:val="24"/>
          <w:szCs w:val="24"/>
          <w:vertAlign w:val="baseline"/>
          <w:lang w:val="ro-MD"/>
        </w:rPr>
        <w:t xml:space="preserve"> și s. Cairaclia este conectat la rețelele de distribuție din Ucraina. </w:t>
      </w:r>
    </w:p>
    <w:p w14:paraId="0B862BD1" w14:textId="5FA9474E" w:rsidR="00064618" w:rsidRPr="009772A3" w:rsidRDefault="001E36C8"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Alte p</w:t>
      </w:r>
      <w:r w:rsidR="00064618" w:rsidRPr="009772A3">
        <w:rPr>
          <w:rFonts w:asciiTheme="majorHAnsi" w:hAnsiTheme="majorHAnsi" w:cstheme="majorHAnsi"/>
          <w:sz w:val="24"/>
          <w:szCs w:val="24"/>
          <w:vertAlign w:val="baseline"/>
          <w:lang w:val="ro-MD"/>
        </w:rPr>
        <w:t xml:space="preserve">uncte de măsurare a gazelor </w:t>
      </w:r>
      <w:r w:rsidRPr="009772A3">
        <w:rPr>
          <w:rFonts w:asciiTheme="majorHAnsi" w:hAnsiTheme="majorHAnsi" w:cstheme="majorHAnsi"/>
          <w:sz w:val="24"/>
          <w:szCs w:val="24"/>
          <w:vertAlign w:val="baseline"/>
          <w:lang w:val="ro-MD"/>
        </w:rPr>
        <w:t xml:space="preserve">pentru determinarea </w:t>
      </w:r>
      <w:r w:rsidR="00064618" w:rsidRPr="009772A3">
        <w:rPr>
          <w:rFonts w:asciiTheme="majorHAnsi" w:hAnsiTheme="majorHAnsi" w:cstheme="majorHAnsi"/>
          <w:sz w:val="24"/>
          <w:szCs w:val="24"/>
          <w:vertAlign w:val="baseline"/>
          <w:lang w:val="ro-MD"/>
        </w:rPr>
        <w:t>tranzit</w:t>
      </w:r>
      <w:r w:rsidRPr="009772A3">
        <w:rPr>
          <w:rFonts w:asciiTheme="majorHAnsi" w:hAnsiTheme="majorHAnsi" w:cstheme="majorHAnsi"/>
          <w:sz w:val="24"/>
          <w:szCs w:val="24"/>
          <w:vertAlign w:val="baseline"/>
          <w:lang w:val="ro-MD"/>
        </w:rPr>
        <w:t>ului de gaze</w:t>
      </w:r>
      <w:r w:rsidR="00064618" w:rsidRPr="009772A3">
        <w:rPr>
          <w:rFonts w:asciiTheme="majorHAnsi" w:hAnsiTheme="majorHAnsi" w:cstheme="majorHAnsi"/>
          <w:sz w:val="24"/>
          <w:szCs w:val="24"/>
          <w:vertAlign w:val="baseline"/>
          <w:lang w:val="ro-MD"/>
        </w:rPr>
        <w:t xml:space="preserve"> sunt SMG din or. Căușeni și s.Orlovka (Ucraina), precum și stația de reglare a g</w:t>
      </w:r>
      <w:r w:rsidRPr="009772A3">
        <w:rPr>
          <w:rFonts w:asciiTheme="majorHAnsi" w:hAnsiTheme="majorHAnsi" w:cstheme="majorHAnsi"/>
          <w:sz w:val="24"/>
          <w:szCs w:val="24"/>
          <w:vertAlign w:val="baseline"/>
          <w:lang w:val="ro-MD"/>
        </w:rPr>
        <w:t>azelor Limanskoie (Ucraina).</w:t>
      </w:r>
      <w:r w:rsidR="00432290" w:rsidRPr="009772A3">
        <w:rPr>
          <w:rFonts w:asciiTheme="majorHAnsi" w:hAnsiTheme="majorHAnsi" w:cstheme="majorHAnsi"/>
          <w:sz w:val="24"/>
          <w:szCs w:val="24"/>
          <w:vertAlign w:val="baseline"/>
          <w:lang w:val="ro-MD"/>
        </w:rPr>
        <w:t xml:space="preserve"> Între SMG Căușeni și Orlovka gazoductele magistrale (ATI, ȘDKRI, RI) intersectează de mai multe ori hotarul RM și Ucrainei</w:t>
      </w:r>
      <w:r w:rsidR="00C43499" w:rsidRPr="009772A3">
        <w:rPr>
          <w:rFonts w:asciiTheme="majorHAnsi" w:hAnsiTheme="majorHAnsi" w:cstheme="majorHAnsi"/>
          <w:sz w:val="24"/>
          <w:szCs w:val="24"/>
          <w:vertAlign w:val="baseline"/>
          <w:lang w:val="ro-MD"/>
        </w:rPr>
        <w:t>,</w:t>
      </w:r>
      <w:r w:rsidR="00432290" w:rsidRPr="009772A3">
        <w:rPr>
          <w:rFonts w:asciiTheme="majorHAnsi" w:hAnsiTheme="majorHAnsi" w:cstheme="majorHAnsi"/>
          <w:sz w:val="24"/>
          <w:szCs w:val="24"/>
          <w:vertAlign w:val="baseline"/>
          <w:lang w:val="ro-MD"/>
        </w:rPr>
        <w:t xml:space="preserve"> la care sunt conectate at</w:t>
      </w:r>
      <w:r w:rsidR="00C43499" w:rsidRPr="009772A3">
        <w:rPr>
          <w:rFonts w:asciiTheme="majorHAnsi" w:hAnsiTheme="majorHAnsi" w:cstheme="majorHAnsi"/>
          <w:sz w:val="24"/>
          <w:szCs w:val="24"/>
          <w:vertAlign w:val="baseline"/>
          <w:lang w:val="ro-MD"/>
        </w:rPr>
        <w:t>â</w:t>
      </w:r>
      <w:r w:rsidR="00432290" w:rsidRPr="009772A3">
        <w:rPr>
          <w:rFonts w:asciiTheme="majorHAnsi" w:hAnsiTheme="majorHAnsi" w:cstheme="majorHAnsi"/>
          <w:sz w:val="24"/>
          <w:szCs w:val="24"/>
          <w:vertAlign w:val="baseline"/>
          <w:lang w:val="ro-MD"/>
        </w:rPr>
        <w:t>t rețelele de distribuție din RM</w:t>
      </w:r>
      <w:r w:rsidR="00C43499" w:rsidRPr="009772A3">
        <w:rPr>
          <w:rFonts w:asciiTheme="majorHAnsi" w:hAnsiTheme="majorHAnsi" w:cstheme="majorHAnsi"/>
          <w:sz w:val="24"/>
          <w:szCs w:val="24"/>
          <w:vertAlign w:val="baseline"/>
          <w:lang w:val="ro-MD"/>
        </w:rPr>
        <w:t>,</w:t>
      </w:r>
      <w:r w:rsidR="00432290" w:rsidRPr="009772A3">
        <w:rPr>
          <w:rFonts w:asciiTheme="majorHAnsi" w:hAnsiTheme="majorHAnsi" w:cstheme="majorHAnsi"/>
          <w:sz w:val="24"/>
          <w:szCs w:val="24"/>
          <w:vertAlign w:val="baseline"/>
          <w:lang w:val="ro-MD"/>
        </w:rPr>
        <w:t xml:space="preserve"> c</w:t>
      </w:r>
      <w:r w:rsidR="00C43499" w:rsidRPr="009772A3">
        <w:rPr>
          <w:rFonts w:asciiTheme="majorHAnsi" w:hAnsiTheme="majorHAnsi" w:cstheme="majorHAnsi"/>
          <w:sz w:val="24"/>
          <w:szCs w:val="24"/>
          <w:vertAlign w:val="baseline"/>
          <w:lang w:val="ro-MD"/>
        </w:rPr>
        <w:t>â</w:t>
      </w:r>
      <w:r w:rsidR="00432290" w:rsidRPr="009772A3">
        <w:rPr>
          <w:rFonts w:asciiTheme="majorHAnsi" w:hAnsiTheme="majorHAnsi" w:cstheme="majorHAnsi"/>
          <w:sz w:val="24"/>
          <w:szCs w:val="24"/>
          <w:vertAlign w:val="baseline"/>
          <w:lang w:val="ro-MD"/>
        </w:rPr>
        <w:t xml:space="preserve">t și cele din Ucraina. Pe segmentul </w:t>
      </w:r>
      <w:r w:rsidR="004F4586" w:rsidRPr="009772A3">
        <w:rPr>
          <w:rFonts w:asciiTheme="majorHAnsi" w:hAnsiTheme="majorHAnsi" w:cstheme="majorHAnsi"/>
          <w:sz w:val="24"/>
          <w:szCs w:val="24"/>
          <w:vertAlign w:val="baseline"/>
          <w:lang w:val="ro-MD"/>
        </w:rPr>
        <w:t>Grebeniki-Căușeni</w:t>
      </w:r>
      <w:r w:rsidR="00C43499" w:rsidRPr="009772A3">
        <w:rPr>
          <w:rFonts w:asciiTheme="majorHAnsi" w:hAnsiTheme="majorHAnsi" w:cstheme="majorHAnsi"/>
          <w:sz w:val="24"/>
          <w:szCs w:val="24"/>
          <w:vertAlign w:val="baseline"/>
          <w:lang w:val="ro-MD"/>
        </w:rPr>
        <w:t>,</w:t>
      </w:r>
      <w:r w:rsidR="004F4586" w:rsidRPr="009772A3">
        <w:rPr>
          <w:rFonts w:asciiTheme="majorHAnsi" w:hAnsiTheme="majorHAnsi" w:cstheme="majorHAnsi"/>
          <w:sz w:val="24"/>
          <w:szCs w:val="24"/>
          <w:vertAlign w:val="baseline"/>
          <w:lang w:val="ro-MD"/>
        </w:rPr>
        <w:t xml:space="preserve"> la </w:t>
      </w:r>
      <w:r w:rsidR="00432290" w:rsidRPr="009772A3">
        <w:rPr>
          <w:rFonts w:asciiTheme="majorHAnsi" w:hAnsiTheme="majorHAnsi" w:cstheme="majorHAnsi"/>
          <w:sz w:val="24"/>
          <w:szCs w:val="24"/>
          <w:vertAlign w:val="baseline"/>
          <w:lang w:val="ro-MD"/>
        </w:rPr>
        <w:t>gazodu</w:t>
      </w:r>
      <w:r w:rsidR="00626670" w:rsidRPr="009772A3">
        <w:rPr>
          <w:rFonts w:asciiTheme="majorHAnsi" w:hAnsiTheme="majorHAnsi" w:cstheme="majorHAnsi"/>
          <w:sz w:val="24"/>
          <w:szCs w:val="24"/>
          <w:vertAlign w:val="baseline"/>
          <w:lang w:val="ro-MD"/>
        </w:rPr>
        <w:t>c</w:t>
      </w:r>
      <w:r w:rsidR="00432290" w:rsidRPr="009772A3">
        <w:rPr>
          <w:rFonts w:asciiTheme="majorHAnsi" w:hAnsiTheme="majorHAnsi" w:cstheme="majorHAnsi"/>
          <w:sz w:val="24"/>
          <w:szCs w:val="24"/>
          <w:vertAlign w:val="baseline"/>
          <w:lang w:val="ro-MD"/>
        </w:rPr>
        <w:t>tel</w:t>
      </w:r>
      <w:r w:rsidR="004F4586" w:rsidRPr="009772A3">
        <w:rPr>
          <w:rFonts w:asciiTheme="majorHAnsi" w:hAnsiTheme="majorHAnsi" w:cstheme="majorHAnsi"/>
          <w:sz w:val="24"/>
          <w:szCs w:val="24"/>
          <w:vertAlign w:val="baseline"/>
          <w:lang w:val="ro-MD"/>
        </w:rPr>
        <w:t>e</w:t>
      </w:r>
      <w:r w:rsidR="00432290" w:rsidRPr="009772A3">
        <w:rPr>
          <w:rFonts w:asciiTheme="majorHAnsi" w:hAnsiTheme="majorHAnsi" w:cstheme="majorHAnsi"/>
          <w:sz w:val="24"/>
          <w:szCs w:val="24"/>
          <w:vertAlign w:val="baseline"/>
          <w:lang w:val="ro-MD"/>
        </w:rPr>
        <w:t xml:space="preserve"> magistrale sunt conectate </w:t>
      </w:r>
      <w:r w:rsidR="00626670" w:rsidRPr="009772A3">
        <w:rPr>
          <w:rFonts w:asciiTheme="majorHAnsi" w:hAnsiTheme="majorHAnsi" w:cstheme="majorHAnsi"/>
          <w:sz w:val="24"/>
          <w:szCs w:val="24"/>
          <w:vertAlign w:val="baseline"/>
          <w:lang w:val="ro-MD"/>
        </w:rPr>
        <w:t xml:space="preserve">și </w:t>
      </w:r>
      <w:r w:rsidR="00432290" w:rsidRPr="009772A3">
        <w:rPr>
          <w:rFonts w:asciiTheme="majorHAnsi" w:hAnsiTheme="majorHAnsi" w:cstheme="majorHAnsi"/>
          <w:sz w:val="24"/>
          <w:szCs w:val="24"/>
          <w:vertAlign w:val="baseline"/>
          <w:lang w:val="ro-MD"/>
        </w:rPr>
        <w:t xml:space="preserve">rețelele de distribuție ale SRL Tiraspoltransgaz. </w:t>
      </w:r>
    </w:p>
    <w:p w14:paraId="30782878" w14:textId="2008EABC" w:rsidR="00097F71" w:rsidRPr="009772A3" w:rsidRDefault="005162E9" w:rsidP="0025578D">
      <w:pPr>
        <w:spacing w:after="0"/>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Volumul gazelor consumate de </w:t>
      </w:r>
      <w:r w:rsidR="0029478D">
        <w:rPr>
          <w:rFonts w:asciiTheme="majorHAnsi" w:hAnsiTheme="majorHAnsi" w:cstheme="majorHAnsi"/>
          <w:sz w:val="24"/>
          <w:szCs w:val="24"/>
          <w:lang w:val="ro-MD"/>
        </w:rPr>
        <w:t>partea stângă a râului Nistru</w:t>
      </w:r>
      <w:r w:rsidRPr="009772A3">
        <w:rPr>
          <w:rFonts w:asciiTheme="majorHAnsi" w:hAnsiTheme="majorHAnsi" w:cstheme="majorHAnsi"/>
          <w:sz w:val="24"/>
          <w:szCs w:val="24"/>
          <w:lang w:val="ro-MD"/>
        </w:rPr>
        <w:t xml:space="preserve"> </w:t>
      </w:r>
      <w:r w:rsidR="00626670" w:rsidRPr="009772A3">
        <w:rPr>
          <w:rFonts w:asciiTheme="majorHAnsi" w:hAnsiTheme="majorHAnsi" w:cstheme="majorHAnsi"/>
          <w:sz w:val="24"/>
          <w:szCs w:val="24"/>
          <w:lang w:val="ro-MD"/>
        </w:rPr>
        <w:t xml:space="preserve">și de Ucraina </w:t>
      </w:r>
      <w:r w:rsidRPr="009772A3">
        <w:rPr>
          <w:rFonts w:asciiTheme="majorHAnsi" w:hAnsiTheme="majorHAnsi" w:cstheme="majorHAnsi"/>
          <w:sz w:val="24"/>
          <w:szCs w:val="24"/>
          <w:lang w:val="ro-MD"/>
        </w:rPr>
        <w:t xml:space="preserve">se determină în baza datelor a 31 </w:t>
      </w:r>
      <w:r w:rsidR="00626670" w:rsidRPr="009772A3">
        <w:rPr>
          <w:rFonts w:asciiTheme="majorHAnsi" w:hAnsiTheme="majorHAnsi" w:cstheme="majorHAnsi"/>
          <w:sz w:val="24"/>
          <w:szCs w:val="24"/>
          <w:lang w:val="ro-MD"/>
        </w:rPr>
        <w:t xml:space="preserve">și, respectiv, 19 </w:t>
      </w:r>
      <w:r w:rsidRPr="009772A3">
        <w:rPr>
          <w:rFonts w:asciiTheme="majorHAnsi" w:hAnsiTheme="majorHAnsi" w:cstheme="majorHAnsi"/>
          <w:sz w:val="24"/>
          <w:szCs w:val="24"/>
          <w:lang w:val="ro-MD"/>
        </w:rPr>
        <w:t xml:space="preserve">puncte de măsurare instalate la </w:t>
      </w:r>
      <w:r w:rsidR="00C43499" w:rsidRPr="009772A3">
        <w:rPr>
          <w:rFonts w:asciiTheme="majorHAnsi" w:hAnsiTheme="majorHAnsi" w:cstheme="majorHAnsi"/>
          <w:sz w:val="24"/>
          <w:szCs w:val="24"/>
          <w:lang w:val="ro-MD"/>
        </w:rPr>
        <w:t>s</w:t>
      </w:r>
      <w:r w:rsidRPr="009772A3">
        <w:rPr>
          <w:rFonts w:asciiTheme="majorHAnsi" w:hAnsiTheme="majorHAnsi" w:cstheme="majorHAnsi"/>
          <w:sz w:val="24"/>
          <w:szCs w:val="24"/>
          <w:lang w:val="ro-MD"/>
        </w:rPr>
        <w:t xml:space="preserve">tațiile de </w:t>
      </w:r>
      <w:r w:rsidR="00C43499" w:rsidRPr="009772A3">
        <w:rPr>
          <w:rFonts w:asciiTheme="majorHAnsi" w:hAnsiTheme="majorHAnsi" w:cstheme="majorHAnsi"/>
          <w:sz w:val="24"/>
          <w:szCs w:val="24"/>
          <w:lang w:val="ro-MD"/>
        </w:rPr>
        <w:t>r</w:t>
      </w:r>
      <w:r w:rsidRPr="009772A3">
        <w:rPr>
          <w:rFonts w:asciiTheme="majorHAnsi" w:hAnsiTheme="majorHAnsi" w:cstheme="majorHAnsi"/>
          <w:sz w:val="24"/>
          <w:szCs w:val="24"/>
          <w:lang w:val="ro-MD"/>
        </w:rPr>
        <w:t xml:space="preserve">eglare a </w:t>
      </w:r>
      <w:r w:rsidR="00C43499"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azelor</w:t>
      </w:r>
      <w:r w:rsidR="00432290" w:rsidRPr="009772A3">
        <w:rPr>
          <w:rFonts w:asciiTheme="majorHAnsi" w:hAnsiTheme="majorHAnsi" w:cstheme="majorHAnsi"/>
          <w:sz w:val="24"/>
          <w:szCs w:val="24"/>
          <w:lang w:val="ro-MD"/>
        </w:rPr>
        <w:t xml:space="preserve"> </w:t>
      </w:r>
      <w:r w:rsidR="00626670" w:rsidRPr="009772A3">
        <w:rPr>
          <w:rFonts w:asciiTheme="majorHAnsi" w:hAnsiTheme="majorHAnsi" w:cstheme="majorHAnsi"/>
          <w:sz w:val="24"/>
          <w:szCs w:val="24"/>
          <w:lang w:val="ro-MD"/>
        </w:rPr>
        <w:t xml:space="preserve">(SRG) </w:t>
      </w:r>
      <w:r w:rsidR="00432290" w:rsidRPr="009772A3">
        <w:rPr>
          <w:rFonts w:asciiTheme="majorHAnsi" w:hAnsiTheme="majorHAnsi" w:cstheme="majorHAnsi"/>
          <w:sz w:val="24"/>
          <w:szCs w:val="24"/>
          <w:lang w:val="ro-MD"/>
        </w:rPr>
        <w:t>și de consum</w:t>
      </w:r>
      <w:r w:rsidR="00626670" w:rsidRPr="009772A3">
        <w:rPr>
          <w:rFonts w:asciiTheme="majorHAnsi" w:hAnsiTheme="majorHAnsi" w:cstheme="majorHAnsi"/>
          <w:sz w:val="24"/>
          <w:szCs w:val="24"/>
          <w:lang w:val="ro-MD"/>
        </w:rPr>
        <w:t xml:space="preserve"> aflate pe teritoriul acestora</w:t>
      </w:r>
      <w:r w:rsidR="00432290" w:rsidRPr="009772A3">
        <w:rPr>
          <w:rFonts w:asciiTheme="majorHAnsi" w:hAnsiTheme="majorHAnsi" w:cstheme="majorHAnsi"/>
          <w:sz w:val="24"/>
          <w:szCs w:val="24"/>
          <w:lang w:val="ro-MD"/>
        </w:rPr>
        <w:t>. Probele de audit acumulate denotă că</w:t>
      </w:r>
      <w:r w:rsidR="00C43499" w:rsidRPr="009772A3">
        <w:rPr>
          <w:rFonts w:asciiTheme="majorHAnsi" w:hAnsiTheme="majorHAnsi" w:cstheme="majorHAnsi"/>
          <w:sz w:val="24"/>
          <w:szCs w:val="24"/>
          <w:lang w:val="ro-MD"/>
        </w:rPr>
        <w:t>,</w:t>
      </w:r>
      <w:r w:rsidR="00432290" w:rsidRPr="009772A3">
        <w:rPr>
          <w:rFonts w:asciiTheme="majorHAnsi" w:hAnsiTheme="majorHAnsi" w:cstheme="majorHAnsi"/>
          <w:sz w:val="24"/>
          <w:szCs w:val="24"/>
          <w:lang w:val="ro-MD"/>
        </w:rPr>
        <w:t xml:space="preserve"> </w:t>
      </w:r>
      <w:r w:rsidR="004529D8" w:rsidRPr="009772A3">
        <w:rPr>
          <w:rFonts w:asciiTheme="majorHAnsi" w:hAnsiTheme="majorHAnsi" w:cstheme="majorHAnsi"/>
          <w:sz w:val="24"/>
          <w:szCs w:val="24"/>
          <w:lang w:val="ro-MD"/>
        </w:rPr>
        <w:t>pe l</w:t>
      </w:r>
      <w:r w:rsidR="00C43499" w:rsidRPr="009772A3">
        <w:rPr>
          <w:rFonts w:asciiTheme="majorHAnsi" w:hAnsiTheme="majorHAnsi" w:cstheme="majorHAnsi"/>
          <w:sz w:val="24"/>
          <w:szCs w:val="24"/>
          <w:lang w:val="ro-MD"/>
        </w:rPr>
        <w:t>â</w:t>
      </w:r>
      <w:r w:rsidR="004529D8" w:rsidRPr="009772A3">
        <w:rPr>
          <w:rFonts w:asciiTheme="majorHAnsi" w:hAnsiTheme="majorHAnsi" w:cstheme="majorHAnsi"/>
          <w:sz w:val="24"/>
          <w:szCs w:val="24"/>
          <w:lang w:val="ro-MD"/>
        </w:rPr>
        <w:t>ngă datele de consum al gazelor</w:t>
      </w:r>
      <w:r w:rsidR="004F458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4F4586" w:rsidRPr="009772A3">
        <w:rPr>
          <w:rFonts w:asciiTheme="majorHAnsi" w:hAnsiTheme="majorHAnsi" w:cstheme="majorHAnsi"/>
          <w:sz w:val="24"/>
          <w:szCs w:val="24"/>
          <w:lang w:val="ro-MD"/>
        </w:rPr>
        <w:t>preluate</w:t>
      </w:r>
      <w:r w:rsidR="004529D8" w:rsidRPr="009772A3">
        <w:rPr>
          <w:rFonts w:asciiTheme="majorHAnsi" w:hAnsiTheme="majorHAnsi" w:cstheme="majorHAnsi"/>
          <w:sz w:val="24"/>
          <w:szCs w:val="24"/>
          <w:lang w:val="ro-MD"/>
        </w:rPr>
        <w:t xml:space="preserve"> de</w:t>
      </w:r>
      <w:r w:rsidR="004F4586" w:rsidRPr="009772A3">
        <w:rPr>
          <w:rFonts w:asciiTheme="majorHAnsi" w:hAnsiTheme="majorHAnsi" w:cstheme="majorHAnsi"/>
          <w:sz w:val="24"/>
          <w:szCs w:val="24"/>
          <w:lang w:val="ro-MD"/>
        </w:rPr>
        <w:t xml:space="preserve"> pe</w:t>
      </w:r>
      <w:r w:rsidR="004529D8" w:rsidRPr="009772A3">
        <w:rPr>
          <w:rFonts w:asciiTheme="majorHAnsi" w:hAnsiTheme="majorHAnsi" w:cstheme="majorHAnsi"/>
          <w:sz w:val="24"/>
          <w:szCs w:val="24"/>
          <w:lang w:val="ro-MD"/>
        </w:rPr>
        <w:t xml:space="preserve"> contoarele instalate la SRG, pe unele segmente se utilizează datele contoarelor instalate la consumatorii gazelor</w:t>
      </w:r>
      <w:r w:rsidR="00EA37A9" w:rsidRPr="009772A3">
        <w:rPr>
          <w:rFonts w:asciiTheme="majorHAnsi" w:hAnsiTheme="majorHAnsi" w:cstheme="majorHAnsi"/>
          <w:sz w:val="24"/>
          <w:szCs w:val="24"/>
          <w:lang w:val="ro-MD"/>
        </w:rPr>
        <w:t xml:space="preserve"> naturale</w:t>
      </w:r>
      <w:r w:rsidR="00626670" w:rsidRPr="009772A3">
        <w:rPr>
          <w:rFonts w:asciiTheme="majorHAnsi" w:hAnsiTheme="majorHAnsi" w:cstheme="majorHAnsi"/>
          <w:sz w:val="24"/>
          <w:szCs w:val="24"/>
          <w:lang w:val="ro-MD"/>
        </w:rPr>
        <w:t>,</w:t>
      </w:r>
      <w:r w:rsidR="004529D8" w:rsidRPr="009772A3">
        <w:rPr>
          <w:rFonts w:asciiTheme="majorHAnsi" w:hAnsiTheme="majorHAnsi" w:cstheme="majorHAnsi"/>
          <w:sz w:val="24"/>
          <w:szCs w:val="24"/>
          <w:lang w:val="ro-MD"/>
        </w:rPr>
        <w:t xml:space="preserve"> precum și calculele </w:t>
      </w:r>
      <w:r w:rsidR="004F4586" w:rsidRPr="009772A3">
        <w:rPr>
          <w:rFonts w:asciiTheme="majorHAnsi" w:hAnsiTheme="majorHAnsi" w:cstheme="majorHAnsi"/>
          <w:sz w:val="24"/>
          <w:szCs w:val="24"/>
          <w:lang w:val="ro-MD"/>
        </w:rPr>
        <w:t xml:space="preserve">manuale ale </w:t>
      </w:r>
      <w:r w:rsidR="004529D8" w:rsidRPr="009772A3">
        <w:rPr>
          <w:rFonts w:asciiTheme="majorHAnsi" w:hAnsiTheme="majorHAnsi" w:cstheme="majorHAnsi"/>
          <w:sz w:val="24"/>
          <w:szCs w:val="24"/>
          <w:lang w:val="ro-MD"/>
        </w:rPr>
        <w:t xml:space="preserve">consumului tehnologic al gazelor. </w:t>
      </w:r>
      <w:r w:rsidR="00097F71" w:rsidRPr="009772A3">
        <w:rPr>
          <w:rFonts w:asciiTheme="majorHAnsi" w:hAnsiTheme="majorHAnsi" w:cstheme="majorHAnsi"/>
          <w:sz w:val="24"/>
          <w:szCs w:val="24"/>
          <w:lang w:val="ro-MD"/>
        </w:rPr>
        <w:t>De menționat că, calculele consumului tehnologic al gazelor realizate de operatorii sistemului de transport din RM și de Ucraina sunt efectuate în conformitate cu metodologiile aprobate de regulatorii țărilor respective (nr.24 din 28.07.2000 și</w:t>
      </w:r>
      <w:r w:rsidR="00C43499" w:rsidRPr="009772A3">
        <w:rPr>
          <w:rFonts w:asciiTheme="majorHAnsi" w:hAnsiTheme="majorHAnsi" w:cstheme="majorHAnsi"/>
          <w:sz w:val="24"/>
          <w:szCs w:val="24"/>
          <w:lang w:val="ro-MD"/>
        </w:rPr>
        <w:t>,</w:t>
      </w:r>
      <w:r w:rsidR="00097F71" w:rsidRPr="009772A3">
        <w:rPr>
          <w:rFonts w:asciiTheme="majorHAnsi" w:hAnsiTheme="majorHAnsi" w:cstheme="majorHAnsi"/>
          <w:sz w:val="24"/>
          <w:szCs w:val="24"/>
          <w:lang w:val="ro-MD"/>
        </w:rPr>
        <w:t xml:space="preserve"> respectiv</w:t>
      </w:r>
      <w:r w:rsidR="00C43499" w:rsidRPr="009772A3">
        <w:rPr>
          <w:rFonts w:asciiTheme="majorHAnsi" w:hAnsiTheme="majorHAnsi" w:cstheme="majorHAnsi"/>
          <w:sz w:val="24"/>
          <w:szCs w:val="24"/>
          <w:lang w:val="ro-MD"/>
        </w:rPr>
        <w:t>,</w:t>
      </w:r>
      <w:r w:rsidR="00097F71" w:rsidRPr="009772A3">
        <w:rPr>
          <w:rFonts w:asciiTheme="majorHAnsi" w:hAnsiTheme="majorHAnsi" w:cstheme="majorHAnsi"/>
          <w:sz w:val="24"/>
          <w:szCs w:val="24"/>
          <w:lang w:val="ro-MD"/>
        </w:rPr>
        <w:t xml:space="preserve"> nr.340 din 23.06.2008). </w:t>
      </w:r>
    </w:p>
    <w:p w14:paraId="75C94DB3" w14:textId="0AAE0807" w:rsidR="00432290" w:rsidRPr="009772A3" w:rsidRDefault="004529D8">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Mai mult </w:t>
      </w:r>
      <w:r w:rsidR="00C43499" w:rsidRPr="009772A3">
        <w:rPr>
          <w:rFonts w:asciiTheme="majorHAnsi" w:hAnsiTheme="majorHAnsi" w:cstheme="majorHAnsi"/>
          <w:sz w:val="24"/>
          <w:szCs w:val="24"/>
          <w:vertAlign w:val="baseline"/>
          <w:lang w:val="ro-MD"/>
        </w:rPr>
        <w:t>decât</w:t>
      </w:r>
      <w:r w:rsidRPr="009772A3">
        <w:rPr>
          <w:rFonts w:asciiTheme="majorHAnsi" w:hAnsiTheme="majorHAnsi" w:cstheme="majorHAnsi"/>
          <w:sz w:val="24"/>
          <w:szCs w:val="24"/>
          <w:vertAlign w:val="baseline"/>
          <w:lang w:val="ro-MD"/>
        </w:rPr>
        <w:t xml:space="preserve"> at</w:t>
      </w:r>
      <w:r w:rsidR="00C43499"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 xml:space="preserve">t, unele localități care sunt deservite de ODG din </w:t>
      </w:r>
      <w:r w:rsidR="0029478D" w:rsidRPr="00CF3AD4">
        <w:rPr>
          <w:rFonts w:asciiTheme="majorHAnsi" w:hAnsiTheme="majorHAnsi" w:cstheme="majorHAnsi"/>
          <w:sz w:val="24"/>
          <w:szCs w:val="24"/>
          <w:vertAlign w:val="baseline"/>
          <w:lang w:val="ro-MD"/>
        </w:rPr>
        <w:t xml:space="preserve">partea </w:t>
      </w:r>
      <w:r w:rsidR="0029478D">
        <w:rPr>
          <w:rFonts w:asciiTheme="majorHAnsi" w:hAnsiTheme="majorHAnsi" w:cstheme="majorHAnsi"/>
          <w:sz w:val="24"/>
          <w:szCs w:val="24"/>
          <w:vertAlign w:val="baseline"/>
          <w:lang w:val="ro-MD"/>
        </w:rPr>
        <w:t>dreapt</w:t>
      </w:r>
      <w:r w:rsidR="0029478D" w:rsidRPr="00CF3AD4">
        <w:rPr>
          <w:rFonts w:asciiTheme="majorHAnsi" w:hAnsiTheme="majorHAnsi" w:cstheme="majorHAnsi"/>
          <w:sz w:val="24"/>
          <w:szCs w:val="24"/>
          <w:vertAlign w:val="baseline"/>
          <w:lang w:val="ro-MD"/>
        </w:rPr>
        <w:t>ă a râului Nistru</w:t>
      </w:r>
      <w:r w:rsidR="0029478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vertAlign w:val="baseline"/>
          <w:lang w:val="ro-MD"/>
        </w:rPr>
        <w:t xml:space="preserve"> sunt conectate la rețelele de distribuție </w:t>
      </w:r>
      <w:r w:rsidR="00300395" w:rsidRPr="009772A3">
        <w:rPr>
          <w:rFonts w:asciiTheme="majorHAnsi" w:hAnsiTheme="majorHAnsi" w:cstheme="majorHAnsi"/>
          <w:sz w:val="24"/>
          <w:szCs w:val="24"/>
          <w:vertAlign w:val="baseline"/>
          <w:lang w:val="ro-MD"/>
        </w:rPr>
        <w:t xml:space="preserve">și de transport </w:t>
      </w:r>
      <w:r w:rsidRPr="009772A3">
        <w:rPr>
          <w:rFonts w:asciiTheme="majorHAnsi" w:hAnsiTheme="majorHAnsi" w:cstheme="majorHAnsi"/>
          <w:sz w:val="24"/>
          <w:szCs w:val="24"/>
          <w:vertAlign w:val="baseline"/>
          <w:lang w:val="ro-MD"/>
        </w:rPr>
        <w:t xml:space="preserve">deservite de ODG </w:t>
      </w:r>
      <w:r w:rsidR="0029478D">
        <w:rPr>
          <w:rFonts w:asciiTheme="majorHAnsi" w:hAnsiTheme="majorHAnsi" w:cstheme="majorHAnsi"/>
          <w:sz w:val="24"/>
          <w:szCs w:val="24"/>
          <w:vertAlign w:val="baseline"/>
          <w:lang w:val="ro-MD"/>
        </w:rPr>
        <w:t xml:space="preserve">din </w:t>
      </w:r>
      <w:r w:rsidR="0029478D" w:rsidRPr="00CF3AD4">
        <w:rPr>
          <w:rFonts w:asciiTheme="majorHAnsi" w:hAnsiTheme="majorHAnsi" w:cstheme="majorHAnsi"/>
          <w:sz w:val="24"/>
          <w:szCs w:val="24"/>
          <w:vertAlign w:val="baseline"/>
          <w:lang w:val="ro-MD"/>
        </w:rPr>
        <w:t>partea stângă a râului Nistru</w:t>
      </w:r>
      <w:r w:rsidR="0029478D"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vertAlign w:val="baseline"/>
          <w:lang w:val="ro-MD"/>
        </w:rPr>
        <w:t xml:space="preserve">, cum ar fi localitățile </w:t>
      </w:r>
      <w:r w:rsidR="00583339" w:rsidRPr="009772A3">
        <w:rPr>
          <w:rFonts w:asciiTheme="majorHAnsi" w:hAnsiTheme="majorHAnsi" w:cstheme="majorHAnsi"/>
          <w:sz w:val="24"/>
          <w:szCs w:val="24"/>
          <w:vertAlign w:val="baseline"/>
          <w:lang w:val="ro-MD"/>
        </w:rPr>
        <w:t xml:space="preserve">Copanca, Hagimus, Fîrlădeni, </w:t>
      </w:r>
      <w:r w:rsidR="00E55848" w:rsidRPr="009772A3">
        <w:rPr>
          <w:rFonts w:asciiTheme="majorHAnsi" w:hAnsiTheme="majorHAnsi" w:cstheme="majorHAnsi"/>
          <w:sz w:val="24"/>
          <w:szCs w:val="24"/>
          <w:vertAlign w:val="baseline"/>
          <w:lang w:val="ro-MD"/>
        </w:rPr>
        <w:t>Hîrbovăț</w:t>
      </w:r>
      <w:r w:rsidR="00300395" w:rsidRPr="009772A3">
        <w:rPr>
          <w:rFonts w:asciiTheme="majorHAnsi" w:hAnsiTheme="majorHAnsi" w:cstheme="majorHAnsi"/>
          <w:sz w:val="24"/>
          <w:szCs w:val="24"/>
          <w:vertAlign w:val="baseline"/>
          <w:lang w:val="ro-MD"/>
        </w:rPr>
        <w:t xml:space="preserve"> și, respectiv, localitățile Doroțcaia, Pîrîta, Coșnița, Pohrebea</w:t>
      </w:r>
      <w:r w:rsidR="00583339" w:rsidRPr="009772A3">
        <w:rPr>
          <w:rFonts w:asciiTheme="majorHAnsi" w:hAnsiTheme="majorHAnsi" w:cstheme="majorHAnsi"/>
          <w:sz w:val="24"/>
          <w:szCs w:val="24"/>
          <w:vertAlign w:val="baseline"/>
          <w:lang w:val="ro-MD"/>
        </w:rPr>
        <w:t xml:space="preserve">. </w:t>
      </w:r>
      <w:r w:rsidR="00863FC6" w:rsidRPr="009772A3">
        <w:rPr>
          <w:rFonts w:asciiTheme="majorHAnsi" w:hAnsiTheme="majorHAnsi" w:cstheme="majorHAnsi"/>
          <w:sz w:val="24"/>
          <w:szCs w:val="24"/>
          <w:vertAlign w:val="baseline"/>
          <w:lang w:val="ro-MD"/>
        </w:rPr>
        <w:t xml:space="preserve">De menționat că ANRE tolerează desfășurarea activităților de distribuție și furnizare a gazelor naturale pe teritoriul localităților com. Cocieri și com. Molovata Nouă din r-nul Dubăsari de companii nelicențiate (SRL Tiraspoltransgaz-Pridnestrovie).  </w:t>
      </w:r>
    </w:p>
    <w:p w14:paraId="59CA8F3D" w14:textId="77648395" w:rsidR="00432290" w:rsidRPr="009772A3" w:rsidRDefault="004529D8"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Din cauza volumului mic de consum al gazelor, în unele cazuri contoarele instalate la SRG nu determină corect volumul gazelor consumate, acestea fiind ajustate </w:t>
      </w:r>
      <w:r w:rsidR="004F4586" w:rsidRPr="009772A3">
        <w:rPr>
          <w:rFonts w:asciiTheme="majorHAnsi" w:hAnsiTheme="majorHAnsi" w:cstheme="majorHAnsi"/>
          <w:sz w:val="24"/>
          <w:szCs w:val="24"/>
          <w:vertAlign w:val="baseline"/>
          <w:lang w:val="ro-MD"/>
        </w:rPr>
        <w:t>cu</w:t>
      </w:r>
      <w:r w:rsidRPr="009772A3">
        <w:rPr>
          <w:rFonts w:asciiTheme="majorHAnsi" w:hAnsiTheme="majorHAnsi" w:cstheme="majorHAnsi"/>
          <w:sz w:val="24"/>
          <w:szCs w:val="24"/>
          <w:vertAlign w:val="baseline"/>
          <w:lang w:val="ro-MD"/>
        </w:rPr>
        <w:t xml:space="preserve"> datele </w:t>
      </w:r>
      <w:r w:rsidR="004F4586" w:rsidRPr="009772A3">
        <w:rPr>
          <w:rFonts w:asciiTheme="majorHAnsi" w:hAnsiTheme="majorHAnsi" w:cstheme="majorHAnsi"/>
          <w:sz w:val="24"/>
          <w:szCs w:val="24"/>
          <w:vertAlign w:val="baseline"/>
          <w:lang w:val="ro-MD"/>
        </w:rPr>
        <w:t>pre</w:t>
      </w:r>
      <w:r w:rsidRPr="009772A3">
        <w:rPr>
          <w:rFonts w:asciiTheme="majorHAnsi" w:hAnsiTheme="majorHAnsi" w:cstheme="majorHAnsi"/>
          <w:sz w:val="24"/>
          <w:szCs w:val="24"/>
          <w:vertAlign w:val="baseline"/>
          <w:lang w:val="ro-MD"/>
        </w:rPr>
        <w:t>luate de la contoarele consumatorilor de gaze (KC-2 Tiraspol – „Gazul comun”)</w:t>
      </w:r>
      <w:r w:rsidR="00583339" w:rsidRPr="009772A3">
        <w:rPr>
          <w:rFonts w:asciiTheme="majorHAnsi" w:hAnsiTheme="majorHAnsi" w:cstheme="majorHAnsi"/>
          <w:sz w:val="24"/>
          <w:szCs w:val="24"/>
          <w:vertAlign w:val="baseline"/>
          <w:lang w:val="ro-MD"/>
        </w:rPr>
        <w:t>.</w:t>
      </w:r>
      <w:r w:rsidR="004F4586" w:rsidRPr="009772A3">
        <w:rPr>
          <w:rFonts w:asciiTheme="majorHAnsi" w:hAnsiTheme="majorHAnsi" w:cstheme="majorHAnsi"/>
          <w:sz w:val="24"/>
          <w:szCs w:val="24"/>
          <w:vertAlign w:val="baseline"/>
          <w:lang w:val="ro-MD"/>
        </w:rPr>
        <w:t xml:space="preserve"> În alte cazuri</w:t>
      </w:r>
      <w:r w:rsidR="00C43499" w:rsidRPr="009772A3">
        <w:rPr>
          <w:rFonts w:asciiTheme="majorHAnsi" w:hAnsiTheme="majorHAnsi" w:cstheme="majorHAnsi"/>
          <w:sz w:val="24"/>
          <w:szCs w:val="24"/>
          <w:vertAlign w:val="baseline"/>
          <w:lang w:val="ro-MD"/>
        </w:rPr>
        <w:t>,</w:t>
      </w:r>
      <w:r w:rsidR="004F4586" w:rsidRPr="009772A3">
        <w:rPr>
          <w:rFonts w:asciiTheme="majorHAnsi" w:hAnsiTheme="majorHAnsi" w:cstheme="majorHAnsi"/>
          <w:sz w:val="24"/>
          <w:szCs w:val="24"/>
          <w:vertAlign w:val="baseline"/>
          <w:lang w:val="ro-MD"/>
        </w:rPr>
        <w:t xml:space="preserve"> consumul tehnologic și pentru necesități proprii este adăugat manual la valoarea gazului măsurat prin contoare (s.Greblești</w:t>
      </w:r>
      <w:r w:rsidR="009D1B93" w:rsidRPr="009772A3">
        <w:rPr>
          <w:rFonts w:asciiTheme="majorHAnsi" w:hAnsiTheme="majorHAnsi" w:cstheme="majorHAnsi"/>
          <w:sz w:val="24"/>
          <w:szCs w:val="24"/>
          <w:vertAlign w:val="baseline"/>
          <w:lang w:val="ro-MD"/>
        </w:rPr>
        <w:t>).</w:t>
      </w:r>
      <w:r w:rsidR="004F4586" w:rsidRPr="009772A3">
        <w:rPr>
          <w:rFonts w:asciiTheme="majorHAnsi" w:hAnsiTheme="majorHAnsi" w:cstheme="majorHAnsi"/>
          <w:sz w:val="24"/>
          <w:szCs w:val="24"/>
          <w:vertAlign w:val="baseline"/>
          <w:lang w:val="ro-MD"/>
        </w:rPr>
        <w:t xml:space="preserve"> </w:t>
      </w:r>
    </w:p>
    <w:p w14:paraId="2D12F003" w14:textId="2BA59BA6" w:rsidR="007C7B5A" w:rsidRPr="009772A3" w:rsidRDefault="004023CD"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L</w:t>
      </w:r>
      <w:r w:rsidR="007C7B5A" w:rsidRPr="009772A3">
        <w:rPr>
          <w:rFonts w:asciiTheme="majorHAnsi" w:hAnsiTheme="majorHAnsi" w:cstheme="majorHAnsi"/>
          <w:sz w:val="24"/>
          <w:szCs w:val="24"/>
          <w:vertAlign w:val="baseline"/>
          <w:lang w:val="ro-MD"/>
        </w:rPr>
        <w:t>a sf</w:t>
      </w:r>
      <w:r w:rsidR="00C43499" w:rsidRPr="009772A3">
        <w:rPr>
          <w:rFonts w:asciiTheme="majorHAnsi" w:hAnsiTheme="majorHAnsi" w:cstheme="majorHAnsi"/>
          <w:sz w:val="24"/>
          <w:szCs w:val="24"/>
          <w:vertAlign w:val="baseline"/>
          <w:lang w:val="ro-MD"/>
        </w:rPr>
        <w:t>â</w:t>
      </w:r>
      <w:r w:rsidR="007C7B5A" w:rsidRPr="009772A3">
        <w:rPr>
          <w:rFonts w:asciiTheme="majorHAnsi" w:hAnsiTheme="majorHAnsi" w:cstheme="majorHAnsi"/>
          <w:sz w:val="24"/>
          <w:szCs w:val="24"/>
          <w:vertAlign w:val="baseline"/>
          <w:lang w:val="ro-MD"/>
        </w:rPr>
        <w:t xml:space="preserve">rșitul perioadei </w:t>
      </w:r>
      <w:r w:rsidRPr="009772A3">
        <w:rPr>
          <w:rFonts w:asciiTheme="majorHAnsi" w:hAnsiTheme="majorHAnsi" w:cstheme="majorHAnsi"/>
          <w:sz w:val="24"/>
          <w:szCs w:val="24"/>
          <w:vertAlign w:val="baseline"/>
          <w:lang w:val="ro-MD"/>
        </w:rPr>
        <w:t xml:space="preserve">de facturare </w:t>
      </w:r>
      <w:r w:rsidR="00AD52C0" w:rsidRPr="009772A3">
        <w:rPr>
          <w:rFonts w:asciiTheme="majorHAnsi" w:hAnsiTheme="majorHAnsi" w:cstheme="majorHAnsi"/>
          <w:sz w:val="24"/>
          <w:szCs w:val="24"/>
          <w:vertAlign w:val="baseline"/>
          <w:lang w:val="ro-MD"/>
        </w:rPr>
        <w:t xml:space="preserve">(lunar) </w:t>
      </w:r>
      <w:r w:rsidR="007C7B5A" w:rsidRPr="009772A3">
        <w:rPr>
          <w:rFonts w:asciiTheme="majorHAnsi" w:hAnsiTheme="majorHAnsi" w:cstheme="majorHAnsi"/>
          <w:sz w:val="24"/>
          <w:szCs w:val="24"/>
          <w:vertAlign w:val="baseline"/>
          <w:lang w:val="ro-MD"/>
        </w:rPr>
        <w:t>se calcul</w:t>
      </w:r>
      <w:r w:rsidR="00C43499" w:rsidRPr="009772A3">
        <w:rPr>
          <w:rFonts w:asciiTheme="majorHAnsi" w:hAnsiTheme="majorHAnsi" w:cstheme="majorHAnsi"/>
          <w:sz w:val="24"/>
          <w:szCs w:val="24"/>
          <w:vertAlign w:val="baseline"/>
          <w:lang w:val="ro-MD"/>
        </w:rPr>
        <w:t>eaz</w:t>
      </w:r>
      <w:r w:rsidR="007C7B5A" w:rsidRPr="009772A3">
        <w:rPr>
          <w:rFonts w:asciiTheme="majorHAnsi" w:hAnsiTheme="majorHAnsi" w:cstheme="majorHAnsi"/>
          <w:sz w:val="24"/>
          <w:szCs w:val="24"/>
          <w:vertAlign w:val="baseline"/>
          <w:lang w:val="ro-MD"/>
        </w:rPr>
        <w:t>ă vo</w:t>
      </w:r>
      <w:r w:rsidR="00C43499" w:rsidRPr="009772A3">
        <w:rPr>
          <w:rFonts w:asciiTheme="majorHAnsi" w:hAnsiTheme="majorHAnsi" w:cstheme="majorHAnsi"/>
          <w:sz w:val="24"/>
          <w:szCs w:val="24"/>
          <w:vertAlign w:val="baseline"/>
          <w:lang w:val="ro-MD"/>
        </w:rPr>
        <w:t>lu</w:t>
      </w:r>
      <w:r w:rsidR="007C7B5A" w:rsidRPr="009772A3">
        <w:rPr>
          <w:rFonts w:asciiTheme="majorHAnsi" w:hAnsiTheme="majorHAnsi" w:cstheme="majorHAnsi"/>
          <w:sz w:val="24"/>
          <w:szCs w:val="24"/>
          <w:vertAlign w:val="baseline"/>
          <w:lang w:val="ro-MD"/>
        </w:rPr>
        <w:t xml:space="preserve">mul gazelor naturale aflate în rețeaua de transport, care </w:t>
      </w:r>
      <w:r w:rsidR="00AD52C0" w:rsidRPr="009772A3">
        <w:rPr>
          <w:rFonts w:asciiTheme="majorHAnsi" w:hAnsiTheme="majorHAnsi" w:cstheme="majorHAnsi"/>
          <w:sz w:val="24"/>
          <w:szCs w:val="24"/>
          <w:vertAlign w:val="baseline"/>
          <w:lang w:val="ro-MD"/>
        </w:rPr>
        <w:t>depinde de presiunea în rețea, temperatura, volumul și lungimea rețelelor etc</w:t>
      </w:r>
      <w:r w:rsidR="00F654A6" w:rsidRPr="009772A3">
        <w:rPr>
          <w:rStyle w:val="FootnoteReference"/>
          <w:rFonts w:asciiTheme="majorHAnsi" w:hAnsiTheme="majorHAnsi" w:cstheme="majorHAnsi"/>
          <w:sz w:val="24"/>
          <w:szCs w:val="24"/>
          <w:lang w:val="ro-MD"/>
        </w:rPr>
        <w:footnoteReference w:id="107"/>
      </w:r>
      <w:r w:rsidR="00AD52C0"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 xml:space="preserve"> De asemenea</w:t>
      </w:r>
      <w:r w:rsidR="00C43499"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se calcul</w:t>
      </w:r>
      <w:r w:rsidR="00C43499" w:rsidRPr="009772A3">
        <w:rPr>
          <w:rFonts w:asciiTheme="majorHAnsi" w:hAnsiTheme="majorHAnsi" w:cstheme="majorHAnsi"/>
          <w:sz w:val="24"/>
          <w:szCs w:val="24"/>
          <w:vertAlign w:val="baseline"/>
          <w:lang w:val="ro-MD"/>
        </w:rPr>
        <w:t>eaz</w:t>
      </w:r>
      <w:r w:rsidRPr="009772A3">
        <w:rPr>
          <w:rFonts w:asciiTheme="majorHAnsi" w:hAnsiTheme="majorHAnsi" w:cstheme="majorHAnsi"/>
          <w:sz w:val="24"/>
          <w:szCs w:val="24"/>
          <w:vertAlign w:val="baseline"/>
          <w:lang w:val="ro-MD"/>
        </w:rPr>
        <w:t>ă consumul tehnologic și pierderile de gaze în rețeaua de transport. Aceste calcule sunt efectuate de toate companiile de transport a</w:t>
      </w:r>
      <w:r w:rsidR="00C43499" w:rsidRPr="009772A3">
        <w:rPr>
          <w:rFonts w:asciiTheme="majorHAnsi" w:hAnsiTheme="majorHAnsi" w:cstheme="majorHAnsi"/>
          <w:sz w:val="24"/>
          <w:szCs w:val="24"/>
          <w:vertAlign w:val="baseline"/>
          <w:lang w:val="ro-MD"/>
        </w:rPr>
        <w:t>l</w:t>
      </w:r>
      <w:r w:rsidRPr="009772A3">
        <w:rPr>
          <w:rFonts w:asciiTheme="majorHAnsi" w:hAnsiTheme="majorHAnsi" w:cstheme="majorHAnsi"/>
          <w:sz w:val="24"/>
          <w:szCs w:val="24"/>
          <w:vertAlign w:val="baseline"/>
          <w:lang w:val="ro-MD"/>
        </w:rPr>
        <w:t xml:space="preserve"> gazelor din </w:t>
      </w:r>
      <w:r w:rsidR="007C7B5A" w:rsidRPr="009772A3">
        <w:rPr>
          <w:rFonts w:asciiTheme="majorHAnsi" w:hAnsiTheme="majorHAnsi" w:cstheme="majorHAnsi"/>
          <w:sz w:val="24"/>
          <w:szCs w:val="24"/>
          <w:vertAlign w:val="baseline"/>
          <w:lang w:val="ro-MD"/>
        </w:rPr>
        <w:t xml:space="preserve">Ucraina </w:t>
      </w:r>
      <w:r w:rsidR="0075206E" w:rsidRPr="009772A3">
        <w:rPr>
          <w:rFonts w:asciiTheme="majorHAnsi" w:hAnsiTheme="majorHAnsi" w:cstheme="majorHAnsi"/>
          <w:sz w:val="24"/>
          <w:szCs w:val="24"/>
          <w:vertAlign w:val="baseline"/>
          <w:lang w:val="ro-MD"/>
        </w:rPr>
        <w:t xml:space="preserve">și </w:t>
      </w:r>
      <w:r w:rsidR="007C7B5A" w:rsidRPr="009772A3">
        <w:rPr>
          <w:rFonts w:asciiTheme="majorHAnsi" w:hAnsiTheme="majorHAnsi" w:cstheme="majorHAnsi"/>
          <w:sz w:val="24"/>
          <w:szCs w:val="24"/>
          <w:vertAlign w:val="baseline"/>
          <w:lang w:val="ro-MD"/>
        </w:rPr>
        <w:t>RM</w:t>
      </w:r>
      <w:r w:rsidR="0075206E" w:rsidRPr="009772A3">
        <w:rPr>
          <w:rFonts w:asciiTheme="majorHAnsi" w:hAnsiTheme="majorHAnsi" w:cstheme="majorHAnsi"/>
          <w:sz w:val="24"/>
          <w:szCs w:val="24"/>
          <w:vertAlign w:val="baseline"/>
          <w:lang w:val="ro-MD"/>
        </w:rPr>
        <w:t xml:space="preserve">, inclusiv </w:t>
      </w:r>
      <w:r w:rsidR="00C43499" w:rsidRPr="009772A3">
        <w:rPr>
          <w:rFonts w:asciiTheme="majorHAnsi" w:hAnsiTheme="majorHAnsi" w:cstheme="majorHAnsi"/>
          <w:sz w:val="24"/>
          <w:szCs w:val="24"/>
          <w:vertAlign w:val="baseline"/>
          <w:lang w:val="ro-MD"/>
        </w:rPr>
        <w:t xml:space="preserve">din </w:t>
      </w:r>
      <w:r w:rsidR="0075206E" w:rsidRPr="009772A3">
        <w:rPr>
          <w:rFonts w:asciiTheme="majorHAnsi" w:hAnsiTheme="majorHAnsi" w:cstheme="majorHAnsi"/>
          <w:sz w:val="24"/>
          <w:szCs w:val="24"/>
          <w:vertAlign w:val="baseline"/>
          <w:lang w:val="ro-MD"/>
        </w:rPr>
        <w:t>regiunea</w:t>
      </w:r>
      <w:r w:rsidR="00E55848" w:rsidRPr="009772A3">
        <w:rPr>
          <w:rFonts w:asciiTheme="majorHAnsi" w:hAnsiTheme="majorHAnsi" w:cstheme="majorHAnsi"/>
          <w:sz w:val="24"/>
          <w:szCs w:val="24"/>
          <w:vertAlign w:val="baseline"/>
          <w:lang w:val="ro-MD"/>
        </w:rPr>
        <w:t xml:space="preserve"> </w:t>
      </w:r>
      <w:r w:rsidR="00C43499" w:rsidRPr="009772A3">
        <w:rPr>
          <w:rFonts w:asciiTheme="majorHAnsi" w:hAnsiTheme="majorHAnsi" w:cstheme="majorHAnsi"/>
          <w:sz w:val="24"/>
          <w:szCs w:val="24"/>
          <w:vertAlign w:val="baseline"/>
          <w:lang w:val="ro-MD"/>
        </w:rPr>
        <w:t>t</w:t>
      </w:r>
      <w:r w:rsidR="007C7B5A" w:rsidRPr="009772A3">
        <w:rPr>
          <w:rFonts w:asciiTheme="majorHAnsi" w:hAnsiTheme="majorHAnsi" w:cstheme="majorHAnsi"/>
          <w:sz w:val="24"/>
          <w:szCs w:val="24"/>
          <w:vertAlign w:val="baseline"/>
          <w:lang w:val="ro-MD"/>
        </w:rPr>
        <w:t>ransnistr</w:t>
      </w:r>
      <w:r w:rsidR="00E55848" w:rsidRPr="009772A3">
        <w:rPr>
          <w:rFonts w:asciiTheme="majorHAnsi" w:hAnsiTheme="majorHAnsi" w:cstheme="majorHAnsi"/>
          <w:sz w:val="24"/>
          <w:szCs w:val="24"/>
          <w:vertAlign w:val="baseline"/>
          <w:lang w:val="ro-MD"/>
        </w:rPr>
        <w:t>eană.</w:t>
      </w:r>
    </w:p>
    <w:p w14:paraId="58FEA757" w14:textId="2C3AC3D1" w:rsidR="00A77C09" w:rsidRPr="009772A3" w:rsidRDefault="00DC07C0"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În baza celor indicate, volumul gazelor importate se determină </w:t>
      </w:r>
      <w:r w:rsidR="000A5A1C" w:rsidRPr="009772A3">
        <w:rPr>
          <w:rFonts w:asciiTheme="majorHAnsi" w:hAnsiTheme="majorHAnsi" w:cstheme="majorHAnsi"/>
          <w:sz w:val="24"/>
          <w:szCs w:val="24"/>
          <w:vertAlign w:val="baseline"/>
          <w:lang w:val="ro-MD"/>
        </w:rPr>
        <w:t>conform</w:t>
      </w:r>
      <w:r w:rsidRPr="009772A3">
        <w:rPr>
          <w:rFonts w:asciiTheme="majorHAnsi" w:hAnsiTheme="majorHAnsi" w:cstheme="majorHAnsi"/>
          <w:sz w:val="24"/>
          <w:szCs w:val="24"/>
          <w:vertAlign w:val="baseline"/>
          <w:lang w:val="ro-MD"/>
        </w:rPr>
        <w:t xml:space="preserve"> datelor și calculelor prezentate de companiile de transport și distribuție a gazelor din RM, </w:t>
      </w:r>
      <w:r w:rsidR="0075206E" w:rsidRPr="009772A3">
        <w:rPr>
          <w:rFonts w:asciiTheme="majorHAnsi" w:hAnsiTheme="majorHAnsi" w:cstheme="majorHAnsi"/>
          <w:sz w:val="24"/>
          <w:szCs w:val="24"/>
          <w:vertAlign w:val="baseline"/>
          <w:lang w:val="ro-MD"/>
        </w:rPr>
        <w:t xml:space="preserve">inclusiv </w:t>
      </w:r>
      <w:r w:rsidR="000A5A1C" w:rsidRPr="009772A3">
        <w:rPr>
          <w:rFonts w:asciiTheme="majorHAnsi" w:hAnsiTheme="majorHAnsi" w:cstheme="majorHAnsi"/>
          <w:sz w:val="24"/>
          <w:szCs w:val="24"/>
          <w:vertAlign w:val="baseline"/>
          <w:lang w:val="ro-MD"/>
        </w:rPr>
        <w:t xml:space="preserve">din </w:t>
      </w:r>
      <w:r w:rsidR="0075206E" w:rsidRPr="009772A3">
        <w:rPr>
          <w:rFonts w:asciiTheme="majorHAnsi" w:hAnsiTheme="majorHAnsi" w:cstheme="majorHAnsi"/>
          <w:sz w:val="24"/>
          <w:szCs w:val="24"/>
          <w:vertAlign w:val="baseline"/>
          <w:lang w:val="ro-MD"/>
        </w:rPr>
        <w:t xml:space="preserve">regiunea </w:t>
      </w:r>
      <w:r w:rsidR="000A5A1C" w:rsidRPr="009772A3">
        <w:rPr>
          <w:rFonts w:asciiTheme="majorHAnsi" w:hAnsiTheme="majorHAnsi" w:cstheme="majorHAnsi"/>
          <w:sz w:val="24"/>
          <w:szCs w:val="24"/>
          <w:vertAlign w:val="baseline"/>
          <w:lang w:val="ro-MD"/>
        </w:rPr>
        <w:t>t</w:t>
      </w:r>
      <w:r w:rsidR="00E55848" w:rsidRPr="009772A3">
        <w:rPr>
          <w:rFonts w:asciiTheme="majorHAnsi" w:hAnsiTheme="majorHAnsi" w:cstheme="majorHAnsi"/>
          <w:sz w:val="24"/>
          <w:szCs w:val="24"/>
          <w:vertAlign w:val="baseline"/>
          <w:lang w:val="ro-MD"/>
        </w:rPr>
        <w:t xml:space="preserve">ransnistreană </w:t>
      </w:r>
      <w:r w:rsidRPr="009772A3">
        <w:rPr>
          <w:rFonts w:asciiTheme="majorHAnsi" w:hAnsiTheme="majorHAnsi" w:cstheme="majorHAnsi"/>
          <w:sz w:val="24"/>
          <w:szCs w:val="24"/>
          <w:vertAlign w:val="baseline"/>
          <w:lang w:val="ro-MD"/>
        </w:rPr>
        <w:t xml:space="preserve">și Ucraina, fiecare parte întocmind propriul </w:t>
      </w:r>
      <w:r w:rsidR="0075206E" w:rsidRPr="009772A3">
        <w:rPr>
          <w:rFonts w:asciiTheme="majorHAnsi" w:hAnsiTheme="majorHAnsi" w:cstheme="majorHAnsi"/>
          <w:sz w:val="24"/>
          <w:szCs w:val="24"/>
          <w:vertAlign w:val="baseline"/>
          <w:lang w:val="ro-MD"/>
        </w:rPr>
        <w:t xml:space="preserve">calcul al </w:t>
      </w:r>
      <w:r w:rsidRPr="009772A3">
        <w:rPr>
          <w:rFonts w:asciiTheme="majorHAnsi" w:hAnsiTheme="majorHAnsi" w:cstheme="majorHAnsi"/>
          <w:sz w:val="24"/>
          <w:szCs w:val="24"/>
          <w:vertAlign w:val="baseline"/>
          <w:lang w:val="ro-MD"/>
        </w:rPr>
        <w:t>stocul</w:t>
      </w:r>
      <w:r w:rsidR="0075206E" w:rsidRPr="009772A3">
        <w:rPr>
          <w:rFonts w:asciiTheme="majorHAnsi" w:hAnsiTheme="majorHAnsi" w:cstheme="majorHAnsi"/>
          <w:sz w:val="24"/>
          <w:szCs w:val="24"/>
          <w:vertAlign w:val="baseline"/>
          <w:lang w:val="ro-MD"/>
        </w:rPr>
        <w:t>ui</w:t>
      </w:r>
      <w:r w:rsidRPr="009772A3">
        <w:rPr>
          <w:rFonts w:asciiTheme="majorHAnsi" w:hAnsiTheme="majorHAnsi" w:cstheme="majorHAnsi"/>
          <w:sz w:val="24"/>
          <w:szCs w:val="24"/>
          <w:vertAlign w:val="baseline"/>
          <w:lang w:val="ro-MD"/>
        </w:rPr>
        <w:t xml:space="preserve"> gazelor naturale la începutul lunii în rețelele companiei de </w:t>
      </w:r>
      <w:r w:rsidR="00E55848" w:rsidRPr="009772A3">
        <w:rPr>
          <w:rFonts w:asciiTheme="majorHAnsi" w:hAnsiTheme="majorHAnsi" w:cstheme="majorHAnsi"/>
          <w:sz w:val="24"/>
          <w:szCs w:val="24"/>
          <w:vertAlign w:val="baseline"/>
          <w:lang w:val="ro-MD"/>
        </w:rPr>
        <w:t>transport</w:t>
      </w:r>
      <w:r w:rsidRPr="009772A3">
        <w:rPr>
          <w:rFonts w:asciiTheme="majorHAnsi" w:hAnsiTheme="majorHAnsi" w:cstheme="majorHAnsi"/>
          <w:sz w:val="24"/>
          <w:szCs w:val="24"/>
          <w:vertAlign w:val="baseline"/>
          <w:lang w:val="ro-MD"/>
        </w:rPr>
        <w:t>. De menționat că Instrucțiunea de întocmire a Balanței gazelor pentru RM a fost aprobată la 15.11.2021 de directorul SRL Moldovatransgaz, auditului fiind</w:t>
      </w:r>
      <w:r w:rsidR="000A5A1C" w:rsidRPr="009772A3">
        <w:rPr>
          <w:rFonts w:asciiTheme="majorHAnsi" w:hAnsiTheme="majorHAnsi" w:cstheme="majorHAnsi"/>
          <w:sz w:val="24"/>
          <w:szCs w:val="24"/>
          <w:vertAlign w:val="baseline"/>
          <w:lang w:val="ro-MD"/>
        </w:rPr>
        <w:t>u-i</w:t>
      </w:r>
      <w:r w:rsidRPr="009772A3">
        <w:rPr>
          <w:rFonts w:asciiTheme="majorHAnsi" w:hAnsiTheme="majorHAnsi" w:cstheme="majorHAnsi"/>
          <w:sz w:val="24"/>
          <w:szCs w:val="24"/>
          <w:vertAlign w:val="baseline"/>
          <w:lang w:val="ro-MD"/>
        </w:rPr>
        <w:t xml:space="preserve"> prezentate 2 variante ale acestei Instrucțiuni. Instrucțiune</w:t>
      </w:r>
      <w:r w:rsidR="000207C4">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 xml:space="preserve"> care a stat la baza întocmirii bilanțului gazelor în perioadele anterioare (</w:t>
      </w:r>
      <w:r w:rsidR="005F24DD">
        <w:rPr>
          <w:rFonts w:asciiTheme="majorHAnsi" w:hAnsiTheme="majorHAnsi" w:cstheme="majorHAnsi"/>
          <w:sz w:val="24"/>
          <w:szCs w:val="24"/>
          <w:vertAlign w:val="baseline"/>
          <w:lang w:val="ro-MD"/>
        </w:rPr>
        <w:t xml:space="preserve">de la 19.01.2009 </w:t>
      </w:r>
      <w:r w:rsidRPr="009772A3">
        <w:rPr>
          <w:rFonts w:asciiTheme="majorHAnsi" w:hAnsiTheme="majorHAnsi" w:cstheme="majorHAnsi"/>
          <w:sz w:val="24"/>
          <w:szCs w:val="24"/>
          <w:vertAlign w:val="baseline"/>
          <w:lang w:val="ro-MD"/>
        </w:rPr>
        <w:t>p</w:t>
      </w:r>
      <w:r w:rsidR="000A5A1C"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 xml:space="preserve">nă la 15.11.2021) </w:t>
      </w:r>
      <w:r w:rsidR="000207C4">
        <w:rPr>
          <w:rFonts w:asciiTheme="majorHAnsi" w:hAnsiTheme="majorHAnsi" w:cstheme="majorHAnsi"/>
          <w:sz w:val="24"/>
          <w:szCs w:val="24"/>
          <w:vertAlign w:val="baseline"/>
          <w:lang w:val="ro-MD"/>
        </w:rPr>
        <w:t>a</w:t>
      </w:r>
      <w:r w:rsidR="000207C4" w:rsidRPr="009772A3">
        <w:rPr>
          <w:rFonts w:asciiTheme="majorHAnsi" w:hAnsiTheme="majorHAnsi" w:cstheme="majorHAnsi"/>
          <w:sz w:val="24"/>
          <w:szCs w:val="24"/>
          <w:vertAlign w:val="baseline"/>
          <w:lang w:val="ro-MD"/>
        </w:rPr>
        <w:t xml:space="preserve"> fost prezentat</w:t>
      </w:r>
      <w:r w:rsidR="000207C4">
        <w:rPr>
          <w:rFonts w:asciiTheme="majorHAnsi" w:hAnsiTheme="majorHAnsi" w:cstheme="majorHAnsi"/>
          <w:sz w:val="24"/>
          <w:szCs w:val="24"/>
          <w:vertAlign w:val="baseline"/>
          <w:lang w:val="ro-MD"/>
        </w:rPr>
        <w:t>ă</w:t>
      </w:r>
      <w:r w:rsidR="000207C4" w:rsidRPr="009772A3">
        <w:rPr>
          <w:rFonts w:asciiTheme="majorHAnsi" w:hAnsiTheme="majorHAnsi" w:cstheme="majorHAnsi"/>
          <w:sz w:val="24"/>
          <w:szCs w:val="24"/>
          <w:vertAlign w:val="baseline"/>
          <w:lang w:val="ro-MD"/>
        </w:rPr>
        <w:t xml:space="preserve"> </w:t>
      </w:r>
      <w:r w:rsidR="000207C4">
        <w:rPr>
          <w:rFonts w:asciiTheme="majorHAnsi" w:hAnsiTheme="majorHAnsi" w:cstheme="majorHAnsi"/>
          <w:sz w:val="24"/>
          <w:szCs w:val="24"/>
          <w:vertAlign w:val="baseline"/>
          <w:lang w:val="ro-MD"/>
        </w:rPr>
        <w:t xml:space="preserve">doar după finalizarea </w:t>
      </w:r>
      <w:r w:rsidRPr="009772A3">
        <w:rPr>
          <w:rFonts w:asciiTheme="majorHAnsi" w:hAnsiTheme="majorHAnsi" w:cstheme="majorHAnsi"/>
          <w:sz w:val="24"/>
          <w:szCs w:val="24"/>
          <w:vertAlign w:val="baseline"/>
          <w:lang w:val="ro-MD"/>
        </w:rPr>
        <w:t xml:space="preserve">auditului </w:t>
      </w:r>
      <w:r w:rsidR="005F24DD">
        <w:rPr>
          <w:rFonts w:asciiTheme="majorHAnsi" w:hAnsiTheme="majorHAnsi" w:cstheme="majorHAnsi"/>
          <w:sz w:val="24"/>
          <w:szCs w:val="24"/>
          <w:vertAlign w:val="baseline"/>
          <w:lang w:val="ro-MD"/>
        </w:rPr>
        <w:t>(15.11.2022)</w:t>
      </w:r>
      <w:r w:rsidRPr="009772A3">
        <w:rPr>
          <w:rFonts w:asciiTheme="majorHAnsi" w:hAnsiTheme="majorHAnsi" w:cstheme="majorHAnsi"/>
          <w:sz w:val="24"/>
          <w:szCs w:val="24"/>
          <w:vertAlign w:val="baseline"/>
          <w:lang w:val="ro-MD"/>
        </w:rPr>
        <w:t xml:space="preserve">. </w:t>
      </w:r>
    </w:p>
    <w:p w14:paraId="0787A6AE" w14:textId="36775287" w:rsidR="00A77C09" w:rsidRPr="009772A3" w:rsidRDefault="00A77C09"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De menționat că ora de întocmire a bilanțului </w:t>
      </w:r>
      <w:r w:rsidR="0029042B" w:rsidRPr="009772A3">
        <w:rPr>
          <w:rFonts w:asciiTheme="majorHAnsi" w:hAnsiTheme="majorHAnsi" w:cstheme="majorHAnsi"/>
          <w:sz w:val="24"/>
          <w:szCs w:val="24"/>
          <w:vertAlign w:val="baseline"/>
          <w:lang w:val="ro-MD"/>
        </w:rPr>
        <w:t xml:space="preserve">aferent </w:t>
      </w:r>
      <w:r w:rsidRPr="009772A3">
        <w:rPr>
          <w:rFonts w:asciiTheme="majorHAnsi" w:hAnsiTheme="majorHAnsi" w:cstheme="majorHAnsi"/>
          <w:sz w:val="24"/>
          <w:szCs w:val="24"/>
          <w:vertAlign w:val="baseline"/>
          <w:lang w:val="ro-MD"/>
        </w:rPr>
        <w:t>gazului și</w:t>
      </w:r>
      <w:r w:rsidR="0029042B" w:rsidRPr="009772A3">
        <w:rPr>
          <w:rFonts w:asciiTheme="majorHAnsi" w:hAnsiTheme="majorHAnsi" w:cstheme="majorHAnsi"/>
          <w:sz w:val="24"/>
          <w:szCs w:val="24"/>
          <w:vertAlign w:val="baseline"/>
          <w:lang w:val="ro-MD"/>
        </w:rPr>
        <w:t xml:space="preserve"> a</w:t>
      </w:r>
      <w:r w:rsidRPr="009772A3">
        <w:rPr>
          <w:rFonts w:asciiTheme="majorHAnsi" w:hAnsiTheme="majorHAnsi" w:cstheme="majorHAnsi"/>
          <w:sz w:val="24"/>
          <w:szCs w:val="24"/>
          <w:vertAlign w:val="baseline"/>
          <w:lang w:val="ro-MD"/>
        </w:rPr>
        <w:t xml:space="preserve"> actelor de predare-primire a gazului diferă, fiind ora 7</w:t>
      </w:r>
      <w:r w:rsidR="00D55C23"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UTC pentru SA Gazprom</w:t>
      </w:r>
      <w:r w:rsidR="00D55C23"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sau </w:t>
      </w:r>
      <w:r w:rsidR="00D55C23" w:rsidRPr="009772A3">
        <w:rPr>
          <w:rFonts w:asciiTheme="majorHAnsi" w:hAnsiTheme="majorHAnsi" w:cstheme="majorHAnsi"/>
          <w:sz w:val="24"/>
          <w:szCs w:val="24"/>
          <w:vertAlign w:val="baseline"/>
          <w:lang w:val="ro-MD"/>
        </w:rPr>
        <w:t xml:space="preserve">ora </w:t>
      </w:r>
      <w:r w:rsidRPr="009772A3">
        <w:rPr>
          <w:rFonts w:asciiTheme="majorHAnsi" w:hAnsiTheme="majorHAnsi" w:cstheme="majorHAnsi"/>
          <w:sz w:val="24"/>
          <w:szCs w:val="24"/>
          <w:vertAlign w:val="baseline"/>
          <w:lang w:val="ro-MD"/>
        </w:rPr>
        <w:t xml:space="preserve">4/5 UTC (vara/iarna) pentru Ucraina și RM. </w:t>
      </w:r>
    </w:p>
    <w:p w14:paraId="39AD1382" w14:textId="7B640487" w:rsidR="00DC07C0" w:rsidRPr="009772A3" w:rsidRDefault="00A77C09"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Astfel, în perioada 2017-2019 bilanțul gazului se întocmea la ora 7 UTC, </w:t>
      </w:r>
      <w:r w:rsidRPr="005F24DD">
        <w:rPr>
          <w:rFonts w:asciiTheme="majorHAnsi" w:hAnsiTheme="majorHAnsi" w:cstheme="majorHAnsi"/>
          <w:sz w:val="24"/>
          <w:szCs w:val="24"/>
          <w:vertAlign w:val="baseline"/>
          <w:lang w:val="ro-MD"/>
        </w:rPr>
        <w:t xml:space="preserve">iar </w:t>
      </w:r>
      <w:r w:rsidR="000207C4" w:rsidRPr="005F24DD">
        <w:rPr>
          <w:rFonts w:asciiTheme="majorHAnsi" w:hAnsiTheme="majorHAnsi" w:cstheme="majorHAnsi"/>
          <w:sz w:val="24"/>
          <w:szCs w:val="24"/>
          <w:vertAlign w:val="baseline"/>
          <w:lang w:val="ro-MD"/>
        </w:rPr>
        <w:t>stocul /</w:t>
      </w:r>
      <w:r w:rsidRPr="00CF3AD4">
        <w:rPr>
          <w:rFonts w:asciiTheme="majorHAnsi" w:hAnsiTheme="majorHAnsi" w:cstheme="majorHAnsi"/>
          <w:sz w:val="24"/>
          <w:szCs w:val="24"/>
          <w:vertAlign w:val="baseline"/>
          <w:lang w:val="ro-MD"/>
        </w:rPr>
        <w:t>soldul</w:t>
      </w:r>
      <w:r w:rsidRPr="009772A3">
        <w:rPr>
          <w:rFonts w:asciiTheme="majorHAnsi" w:hAnsiTheme="majorHAnsi" w:cstheme="majorHAnsi"/>
          <w:sz w:val="24"/>
          <w:szCs w:val="24"/>
          <w:vertAlign w:val="baseline"/>
          <w:lang w:val="ro-MD"/>
        </w:rPr>
        <w:t xml:space="preserve"> gazelor coincidea cu soldul contabil al gazelor rămase în rețea, înregistrat în evidența contabilă a SA Moldovagaz</w:t>
      </w:r>
      <w:r w:rsidR="00E55848" w:rsidRPr="009772A3">
        <w:rPr>
          <w:rFonts w:asciiTheme="majorHAnsi" w:hAnsiTheme="majorHAnsi" w:cstheme="majorHAnsi"/>
          <w:sz w:val="24"/>
          <w:szCs w:val="24"/>
          <w:vertAlign w:val="baseline"/>
          <w:lang w:val="ro-MD"/>
        </w:rPr>
        <w:t>. Ulterior</w:t>
      </w:r>
      <w:r w:rsidR="00D55C23" w:rsidRPr="009772A3">
        <w:rPr>
          <w:rFonts w:asciiTheme="majorHAnsi" w:hAnsiTheme="majorHAnsi" w:cstheme="majorHAnsi"/>
          <w:sz w:val="24"/>
          <w:szCs w:val="24"/>
          <w:vertAlign w:val="baseline"/>
          <w:lang w:val="ro-MD"/>
        </w:rPr>
        <w:t>,</w:t>
      </w:r>
      <w:r w:rsidR="00E55848" w:rsidRPr="009772A3">
        <w:rPr>
          <w:rFonts w:asciiTheme="majorHAnsi" w:hAnsiTheme="majorHAnsi" w:cstheme="majorHAnsi"/>
          <w:sz w:val="24"/>
          <w:szCs w:val="24"/>
          <w:vertAlign w:val="baseline"/>
          <w:lang w:val="ro-MD"/>
        </w:rPr>
        <w:t xml:space="preserve"> </w:t>
      </w:r>
      <w:r w:rsidR="005F24DD">
        <w:rPr>
          <w:rFonts w:asciiTheme="majorHAnsi" w:hAnsiTheme="majorHAnsi" w:cstheme="majorHAnsi"/>
          <w:sz w:val="24"/>
          <w:szCs w:val="24"/>
          <w:vertAlign w:val="baseline"/>
          <w:lang w:val="ro-MD"/>
        </w:rPr>
        <w:t>stocul /</w:t>
      </w:r>
      <w:r w:rsidR="00E55848" w:rsidRPr="009772A3">
        <w:rPr>
          <w:rFonts w:asciiTheme="majorHAnsi" w:hAnsiTheme="majorHAnsi" w:cstheme="majorHAnsi"/>
          <w:sz w:val="24"/>
          <w:szCs w:val="24"/>
          <w:vertAlign w:val="baseline"/>
          <w:lang w:val="ro-MD"/>
        </w:rPr>
        <w:t>soldul gazelor în rețeaua de transport avea date diferite indicate în Bilanțul gazului și în evidența contabilă a SA Moldovagaz, di</w:t>
      </w:r>
      <w:r w:rsidR="00097F71" w:rsidRPr="009772A3">
        <w:rPr>
          <w:rFonts w:asciiTheme="majorHAnsi" w:hAnsiTheme="majorHAnsi" w:cstheme="majorHAnsi"/>
          <w:sz w:val="24"/>
          <w:szCs w:val="24"/>
          <w:vertAlign w:val="baseline"/>
          <w:lang w:val="ro-MD"/>
        </w:rPr>
        <w:t xml:space="preserve">ferențele </w:t>
      </w:r>
      <w:r w:rsidR="00E55848" w:rsidRPr="009772A3">
        <w:rPr>
          <w:rFonts w:asciiTheme="majorHAnsi" w:hAnsiTheme="majorHAnsi" w:cstheme="majorHAnsi"/>
          <w:sz w:val="24"/>
          <w:szCs w:val="24"/>
          <w:vertAlign w:val="baseline"/>
          <w:lang w:val="ro-MD"/>
        </w:rPr>
        <w:t xml:space="preserve">respective nefiind </w:t>
      </w:r>
      <w:r w:rsidR="00097F71" w:rsidRPr="009772A3">
        <w:rPr>
          <w:rFonts w:asciiTheme="majorHAnsi" w:hAnsiTheme="majorHAnsi" w:cstheme="majorHAnsi"/>
          <w:sz w:val="24"/>
          <w:szCs w:val="24"/>
          <w:vertAlign w:val="baseline"/>
          <w:lang w:val="ro-MD"/>
        </w:rPr>
        <w:t xml:space="preserve">confirmate </w:t>
      </w:r>
      <w:r w:rsidR="00E55848" w:rsidRPr="009772A3">
        <w:rPr>
          <w:rFonts w:asciiTheme="majorHAnsi" w:hAnsiTheme="majorHAnsi" w:cstheme="majorHAnsi"/>
          <w:sz w:val="24"/>
          <w:szCs w:val="24"/>
          <w:vertAlign w:val="baseline"/>
          <w:lang w:val="ro-MD"/>
        </w:rPr>
        <w:t>prin documente și calcule.</w:t>
      </w:r>
      <w:r w:rsidRPr="009772A3">
        <w:rPr>
          <w:rFonts w:asciiTheme="majorHAnsi" w:hAnsiTheme="majorHAnsi" w:cstheme="majorHAnsi"/>
          <w:sz w:val="24"/>
          <w:szCs w:val="24"/>
          <w:vertAlign w:val="baseline"/>
          <w:lang w:val="ro-MD"/>
        </w:rPr>
        <w:t xml:space="preserve">  </w:t>
      </w:r>
      <w:r w:rsidR="00DC07C0" w:rsidRPr="009772A3">
        <w:rPr>
          <w:rFonts w:asciiTheme="majorHAnsi" w:hAnsiTheme="majorHAnsi" w:cstheme="majorHAnsi"/>
          <w:sz w:val="24"/>
          <w:szCs w:val="24"/>
          <w:vertAlign w:val="baseline"/>
          <w:lang w:val="ro-MD"/>
        </w:rPr>
        <w:t xml:space="preserve">  </w:t>
      </w:r>
    </w:p>
    <w:p w14:paraId="7A78830B" w14:textId="29AE6E06" w:rsidR="00E55848" w:rsidRPr="009772A3" w:rsidRDefault="005604B5" w:rsidP="00E55848">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 baza calculelor respective se întocme</w:t>
      </w:r>
      <w:r w:rsidR="00D55C23" w:rsidRPr="009772A3">
        <w:rPr>
          <w:rFonts w:asciiTheme="majorHAnsi" w:hAnsiTheme="majorHAnsi" w:cstheme="majorHAnsi"/>
          <w:sz w:val="24"/>
          <w:szCs w:val="24"/>
          <w:vertAlign w:val="baseline"/>
          <w:lang w:val="ro-MD"/>
        </w:rPr>
        <w:t>sc</w:t>
      </w:r>
      <w:r w:rsidRPr="009772A3">
        <w:rPr>
          <w:rFonts w:asciiTheme="majorHAnsi" w:hAnsiTheme="majorHAnsi" w:cstheme="majorHAnsi"/>
          <w:sz w:val="24"/>
          <w:szCs w:val="24"/>
          <w:vertAlign w:val="baseline"/>
          <w:lang w:val="ro-MD"/>
        </w:rPr>
        <w:t xml:space="preserve"> și actele de livrare a gazelor cu SA Gazprom</w:t>
      </w:r>
      <w:r w:rsidR="00D55C23"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r w:rsidR="00E55848" w:rsidRPr="009772A3">
        <w:rPr>
          <w:rFonts w:asciiTheme="majorHAnsi" w:hAnsiTheme="majorHAnsi" w:cstheme="majorHAnsi"/>
          <w:sz w:val="24"/>
          <w:szCs w:val="24"/>
          <w:vertAlign w:val="baseline"/>
          <w:lang w:val="ro-MD"/>
        </w:rPr>
        <w:t xml:space="preserve">și </w:t>
      </w:r>
      <w:r w:rsidRPr="009772A3">
        <w:rPr>
          <w:rFonts w:asciiTheme="majorHAnsi" w:hAnsiTheme="majorHAnsi" w:cstheme="majorHAnsi"/>
          <w:sz w:val="24"/>
          <w:szCs w:val="24"/>
          <w:vertAlign w:val="baseline"/>
          <w:lang w:val="ro-MD"/>
        </w:rPr>
        <w:t xml:space="preserve">declarațiile </w:t>
      </w:r>
      <w:r w:rsidR="00596040" w:rsidRPr="009772A3">
        <w:rPr>
          <w:rFonts w:asciiTheme="majorHAnsi" w:hAnsiTheme="majorHAnsi" w:cstheme="majorHAnsi"/>
          <w:sz w:val="24"/>
          <w:szCs w:val="24"/>
          <w:vertAlign w:val="baseline"/>
          <w:lang w:val="ro-MD"/>
        </w:rPr>
        <w:t>vamale</w:t>
      </w:r>
      <w:r w:rsidR="00E55848" w:rsidRPr="009772A3">
        <w:rPr>
          <w:rFonts w:asciiTheme="majorHAnsi" w:hAnsiTheme="majorHAnsi" w:cstheme="majorHAnsi"/>
          <w:sz w:val="24"/>
          <w:szCs w:val="24"/>
          <w:vertAlign w:val="baseline"/>
          <w:lang w:val="ro-MD"/>
        </w:rPr>
        <w:t xml:space="preserve"> de import</w:t>
      </w:r>
      <w:r w:rsidR="00596040" w:rsidRPr="009772A3">
        <w:rPr>
          <w:rFonts w:asciiTheme="majorHAnsi" w:hAnsiTheme="majorHAnsi" w:cstheme="majorHAnsi"/>
          <w:sz w:val="24"/>
          <w:szCs w:val="24"/>
          <w:vertAlign w:val="baseline"/>
          <w:lang w:val="ro-MD"/>
        </w:rPr>
        <w:t xml:space="preserve">. </w:t>
      </w:r>
      <w:r w:rsidR="00E55848" w:rsidRPr="009772A3">
        <w:rPr>
          <w:rFonts w:asciiTheme="majorHAnsi" w:hAnsiTheme="majorHAnsi" w:cstheme="majorHAnsi"/>
          <w:sz w:val="24"/>
          <w:szCs w:val="24"/>
          <w:vertAlign w:val="baseline"/>
          <w:lang w:val="ro-MD"/>
        </w:rPr>
        <w:t>Valoarea gazului consumat se determină în baza volumului consumat și calității calorice a gazului.</w:t>
      </w:r>
    </w:p>
    <w:p w14:paraId="0D4AB66B" w14:textId="64454957" w:rsidR="005604B5" w:rsidRPr="009772A3" w:rsidRDefault="00596040"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De menționat că doar gazele naturale livrate în partea drepată a </w:t>
      </w:r>
      <w:r w:rsidR="00D55C23" w:rsidRPr="009772A3">
        <w:rPr>
          <w:rFonts w:asciiTheme="majorHAnsi" w:hAnsiTheme="majorHAnsi" w:cstheme="majorHAnsi"/>
          <w:sz w:val="24"/>
          <w:szCs w:val="24"/>
          <w:vertAlign w:val="baseline"/>
          <w:lang w:val="ro-MD"/>
        </w:rPr>
        <w:t xml:space="preserve">râului </w:t>
      </w:r>
      <w:r w:rsidRPr="009772A3">
        <w:rPr>
          <w:rFonts w:asciiTheme="majorHAnsi" w:hAnsiTheme="majorHAnsi" w:cstheme="majorHAnsi"/>
          <w:sz w:val="24"/>
          <w:szCs w:val="24"/>
          <w:vertAlign w:val="baseline"/>
          <w:lang w:val="ro-MD"/>
        </w:rPr>
        <w:t>Nistru</w:t>
      </w:r>
      <w:r w:rsidR="005377B6" w:rsidRPr="009772A3">
        <w:rPr>
          <w:rFonts w:asciiTheme="majorHAnsi" w:hAnsiTheme="majorHAnsi" w:cstheme="majorHAnsi"/>
          <w:sz w:val="24"/>
          <w:szCs w:val="24"/>
          <w:vertAlign w:val="baseline"/>
          <w:lang w:val="ro-MD"/>
        </w:rPr>
        <w:t xml:space="preserve"> sunt declarate </w:t>
      </w:r>
      <w:r w:rsidR="000050E3" w:rsidRPr="009772A3">
        <w:rPr>
          <w:rFonts w:asciiTheme="majorHAnsi" w:hAnsiTheme="majorHAnsi" w:cstheme="majorHAnsi"/>
          <w:sz w:val="24"/>
          <w:szCs w:val="24"/>
          <w:vertAlign w:val="baseline"/>
          <w:lang w:val="ro-MD"/>
        </w:rPr>
        <w:t xml:space="preserve">ca importate </w:t>
      </w:r>
      <w:r w:rsidR="005377B6" w:rsidRPr="009772A3">
        <w:rPr>
          <w:rFonts w:asciiTheme="majorHAnsi" w:hAnsiTheme="majorHAnsi" w:cstheme="majorHAnsi"/>
          <w:sz w:val="24"/>
          <w:szCs w:val="24"/>
          <w:vertAlign w:val="baseline"/>
          <w:lang w:val="ro-MD"/>
        </w:rPr>
        <w:t>la vamă, iar cele livrate în partea st</w:t>
      </w:r>
      <w:r w:rsidR="0034792B" w:rsidRPr="009772A3">
        <w:rPr>
          <w:rFonts w:asciiTheme="majorHAnsi" w:hAnsiTheme="majorHAnsi" w:cstheme="majorHAnsi"/>
          <w:sz w:val="24"/>
          <w:szCs w:val="24"/>
          <w:vertAlign w:val="baseline"/>
          <w:lang w:val="ro-MD"/>
        </w:rPr>
        <w:t>â</w:t>
      </w:r>
      <w:r w:rsidR="005377B6" w:rsidRPr="009772A3">
        <w:rPr>
          <w:rFonts w:asciiTheme="majorHAnsi" w:hAnsiTheme="majorHAnsi" w:cstheme="majorHAnsi"/>
          <w:sz w:val="24"/>
          <w:szCs w:val="24"/>
          <w:vertAlign w:val="baseline"/>
          <w:lang w:val="ro-MD"/>
        </w:rPr>
        <w:t>ngă a Nistrului, în perioada auditată</w:t>
      </w:r>
      <w:r w:rsidR="0034792B" w:rsidRPr="009772A3">
        <w:rPr>
          <w:rFonts w:asciiTheme="majorHAnsi" w:hAnsiTheme="majorHAnsi" w:cstheme="majorHAnsi"/>
          <w:sz w:val="24"/>
          <w:szCs w:val="24"/>
          <w:vertAlign w:val="baseline"/>
          <w:lang w:val="ro-MD"/>
        </w:rPr>
        <w:t>,</w:t>
      </w:r>
      <w:r w:rsidR="005377B6" w:rsidRPr="009772A3">
        <w:rPr>
          <w:rFonts w:asciiTheme="majorHAnsi" w:hAnsiTheme="majorHAnsi" w:cstheme="majorHAnsi"/>
          <w:sz w:val="24"/>
          <w:szCs w:val="24"/>
          <w:vertAlign w:val="baseline"/>
          <w:lang w:val="ro-MD"/>
        </w:rPr>
        <w:t xml:space="preserve"> nu au fost declarate. Serviciul Vamal al RM nu are o procedură bine determinată de verificare a corectitudinii declarării volumului de gaze importate. Auditului </w:t>
      </w:r>
      <w:r w:rsidR="004945DB" w:rsidRPr="009772A3">
        <w:rPr>
          <w:rFonts w:asciiTheme="majorHAnsi" w:hAnsiTheme="majorHAnsi" w:cstheme="majorHAnsi"/>
          <w:sz w:val="24"/>
          <w:szCs w:val="24"/>
          <w:vertAlign w:val="baseline"/>
          <w:lang w:val="ro-MD"/>
        </w:rPr>
        <w:t>i-</w:t>
      </w:r>
      <w:r w:rsidR="005377B6" w:rsidRPr="009772A3">
        <w:rPr>
          <w:rFonts w:asciiTheme="majorHAnsi" w:hAnsiTheme="majorHAnsi" w:cstheme="majorHAnsi"/>
          <w:sz w:val="24"/>
          <w:szCs w:val="24"/>
          <w:vertAlign w:val="baseline"/>
          <w:lang w:val="ro-MD"/>
        </w:rPr>
        <w:t>a fost prezentat doar Proces</w:t>
      </w:r>
      <w:r w:rsidR="0034792B" w:rsidRPr="009772A3">
        <w:rPr>
          <w:rFonts w:asciiTheme="majorHAnsi" w:hAnsiTheme="majorHAnsi" w:cstheme="majorHAnsi"/>
          <w:sz w:val="24"/>
          <w:szCs w:val="24"/>
          <w:vertAlign w:val="baseline"/>
          <w:lang w:val="ro-MD"/>
        </w:rPr>
        <w:t>ul</w:t>
      </w:r>
      <w:r w:rsidR="005377B6" w:rsidRPr="009772A3">
        <w:rPr>
          <w:rFonts w:asciiTheme="majorHAnsi" w:hAnsiTheme="majorHAnsi" w:cstheme="majorHAnsi"/>
          <w:sz w:val="24"/>
          <w:szCs w:val="24"/>
          <w:vertAlign w:val="baseline"/>
          <w:lang w:val="ro-MD"/>
        </w:rPr>
        <w:t>-verbal din 11.11.1999 al înt</w:t>
      </w:r>
      <w:r w:rsidR="0034792B" w:rsidRPr="009772A3">
        <w:rPr>
          <w:rFonts w:asciiTheme="majorHAnsi" w:hAnsiTheme="majorHAnsi" w:cstheme="majorHAnsi"/>
          <w:sz w:val="24"/>
          <w:szCs w:val="24"/>
          <w:vertAlign w:val="baseline"/>
          <w:lang w:val="ro-MD"/>
        </w:rPr>
        <w:t>â</w:t>
      </w:r>
      <w:r w:rsidR="005377B6" w:rsidRPr="009772A3">
        <w:rPr>
          <w:rFonts w:asciiTheme="majorHAnsi" w:hAnsiTheme="majorHAnsi" w:cstheme="majorHAnsi"/>
          <w:sz w:val="24"/>
          <w:szCs w:val="24"/>
          <w:vertAlign w:val="baseline"/>
          <w:lang w:val="ro-MD"/>
        </w:rPr>
        <w:t>lnirii între Serviciul Vamal și SA Moldovagaz</w:t>
      </w:r>
      <w:r w:rsidR="000050E3" w:rsidRPr="009772A3">
        <w:rPr>
          <w:rFonts w:asciiTheme="majorHAnsi" w:hAnsiTheme="majorHAnsi" w:cstheme="majorHAnsi"/>
          <w:sz w:val="24"/>
          <w:szCs w:val="24"/>
          <w:vertAlign w:val="baseline"/>
          <w:lang w:val="ro-MD"/>
        </w:rPr>
        <w:t>,</w:t>
      </w:r>
      <w:r w:rsidR="00BA5414" w:rsidRPr="009772A3">
        <w:rPr>
          <w:rFonts w:asciiTheme="majorHAnsi" w:hAnsiTheme="majorHAnsi" w:cstheme="majorHAnsi"/>
          <w:sz w:val="24"/>
          <w:szCs w:val="24"/>
          <w:vertAlign w:val="baseline"/>
          <w:lang w:val="ro-MD"/>
        </w:rPr>
        <w:t xml:space="preserve"> </w:t>
      </w:r>
      <w:r w:rsidR="000050E3" w:rsidRPr="009772A3">
        <w:rPr>
          <w:rFonts w:asciiTheme="majorHAnsi" w:hAnsiTheme="majorHAnsi" w:cstheme="majorHAnsi"/>
          <w:sz w:val="24"/>
          <w:szCs w:val="24"/>
          <w:vertAlign w:val="baseline"/>
          <w:lang w:val="ro-MD"/>
        </w:rPr>
        <w:t>semnat doar de r</w:t>
      </w:r>
      <w:r w:rsidR="004945DB" w:rsidRPr="009772A3">
        <w:rPr>
          <w:rFonts w:asciiTheme="majorHAnsi" w:hAnsiTheme="majorHAnsi" w:cstheme="majorHAnsi"/>
          <w:sz w:val="24"/>
          <w:szCs w:val="24"/>
          <w:vertAlign w:val="baseline"/>
          <w:lang w:val="ro-MD"/>
        </w:rPr>
        <w:t>eprezentantul Serviciului Vamal</w:t>
      </w:r>
      <w:r w:rsidR="0034792B" w:rsidRPr="009772A3">
        <w:rPr>
          <w:rFonts w:asciiTheme="majorHAnsi" w:hAnsiTheme="majorHAnsi" w:cstheme="majorHAnsi"/>
          <w:sz w:val="24"/>
          <w:szCs w:val="24"/>
          <w:vertAlign w:val="baseline"/>
          <w:lang w:val="ro-MD"/>
        </w:rPr>
        <w:t>,</w:t>
      </w:r>
      <w:r w:rsidR="004945DB" w:rsidRPr="009772A3">
        <w:rPr>
          <w:rFonts w:asciiTheme="majorHAnsi" w:hAnsiTheme="majorHAnsi" w:cstheme="majorHAnsi"/>
          <w:sz w:val="24"/>
          <w:szCs w:val="24"/>
          <w:vertAlign w:val="baseline"/>
          <w:lang w:val="ro-MD"/>
        </w:rPr>
        <w:t xml:space="preserve"> </w:t>
      </w:r>
      <w:r w:rsidR="000050E3" w:rsidRPr="009772A3">
        <w:rPr>
          <w:rFonts w:asciiTheme="majorHAnsi" w:hAnsiTheme="majorHAnsi" w:cstheme="majorHAnsi"/>
          <w:sz w:val="24"/>
          <w:szCs w:val="24"/>
          <w:vertAlign w:val="baseline"/>
          <w:lang w:val="ro-MD"/>
        </w:rPr>
        <w:t xml:space="preserve"> </w:t>
      </w:r>
      <w:r w:rsidR="00BA5414" w:rsidRPr="009772A3">
        <w:rPr>
          <w:rFonts w:asciiTheme="majorHAnsi" w:hAnsiTheme="majorHAnsi" w:cstheme="majorHAnsi"/>
          <w:sz w:val="24"/>
          <w:szCs w:val="24"/>
          <w:vertAlign w:val="baseline"/>
          <w:lang w:val="ro-MD"/>
        </w:rPr>
        <w:t xml:space="preserve">și </w:t>
      </w:r>
      <w:r w:rsidR="004945DB" w:rsidRPr="009772A3">
        <w:rPr>
          <w:rFonts w:asciiTheme="majorHAnsi" w:hAnsiTheme="majorHAnsi" w:cstheme="majorHAnsi"/>
          <w:sz w:val="24"/>
          <w:szCs w:val="24"/>
          <w:vertAlign w:val="baseline"/>
          <w:lang w:val="ro-MD"/>
        </w:rPr>
        <w:t xml:space="preserve"> </w:t>
      </w:r>
      <w:r w:rsidR="00BA5414" w:rsidRPr="009772A3">
        <w:rPr>
          <w:rFonts w:asciiTheme="majorHAnsi" w:hAnsiTheme="majorHAnsi" w:cstheme="majorHAnsi"/>
          <w:sz w:val="24"/>
          <w:szCs w:val="24"/>
          <w:vertAlign w:val="baseline"/>
          <w:lang w:val="ro-MD"/>
        </w:rPr>
        <w:t>Ordinul Biroului Vamal Centru nr.24-0 din 30.01.2020</w:t>
      </w:r>
      <w:r w:rsidR="005377B6" w:rsidRPr="009772A3">
        <w:rPr>
          <w:rFonts w:asciiTheme="majorHAnsi" w:hAnsiTheme="majorHAnsi" w:cstheme="majorHAnsi"/>
          <w:sz w:val="24"/>
          <w:szCs w:val="24"/>
          <w:vertAlign w:val="baseline"/>
          <w:lang w:val="ro-MD"/>
        </w:rPr>
        <w:t xml:space="preserve">, </w:t>
      </w:r>
      <w:r w:rsidR="00BA5414" w:rsidRPr="009772A3">
        <w:rPr>
          <w:rFonts w:asciiTheme="majorHAnsi" w:hAnsiTheme="majorHAnsi" w:cstheme="majorHAnsi"/>
          <w:sz w:val="24"/>
          <w:szCs w:val="24"/>
          <w:vertAlign w:val="baseline"/>
          <w:lang w:val="ro-MD"/>
        </w:rPr>
        <w:t xml:space="preserve">care nu conține </w:t>
      </w:r>
      <w:r w:rsidR="004945DB" w:rsidRPr="009772A3">
        <w:rPr>
          <w:rFonts w:asciiTheme="majorHAnsi" w:hAnsiTheme="majorHAnsi" w:cstheme="majorHAnsi"/>
          <w:sz w:val="24"/>
          <w:szCs w:val="24"/>
          <w:vertAlign w:val="baseline"/>
          <w:lang w:val="ro-MD"/>
        </w:rPr>
        <w:t xml:space="preserve">cerințe privind aplicarea </w:t>
      </w:r>
      <w:r w:rsidR="00BA5414" w:rsidRPr="009772A3">
        <w:rPr>
          <w:rFonts w:asciiTheme="majorHAnsi" w:hAnsiTheme="majorHAnsi" w:cstheme="majorHAnsi"/>
          <w:sz w:val="24"/>
          <w:szCs w:val="24"/>
          <w:vertAlign w:val="baseline"/>
          <w:lang w:val="ro-MD"/>
        </w:rPr>
        <w:t>proceduri</w:t>
      </w:r>
      <w:r w:rsidR="004945DB" w:rsidRPr="009772A3">
        <w:rPr>
          <w:rFonts w:asciiTheme="majorHAnsi" w:hAnsiTheme="majorHAnsi" w:cstheme="majorHAnsi"/>
          <w:sz w:val="24"/>
          <w:szCs w:val="24"/>
          <w:vertAlign w:val="baseline"/>
          <w:lang w:val="ro-MD"/>
        </w:rPr>
        <w:t>lor</w:t>
      </w:r>
      <w:r w:rsidR="00BA5414" w:rsidRPr="009772A3">
        <w:rPr>
          <w:rFonts w:asciiTheme="majorHAnsi" w:hAnsiTheme="majorHAnsi" w:cstheme="majorHAnsi"/>
          <w:sz w:val="24"/>
          <w:szCs w:val="24"/>
          <w:vertAlign w:val="baseline"/>
          <w:lang w:val="ro-MD"/>
        </w:rPr>
        <w:t xml:space="preserve"> de verificare, </w:t>
      </w:r>
      <w:r w:rsidR="004945DB" w:rsidRPr="009772A3">
        <w:rPr>
          <w:rFonts w:asciiTheme="majorHAnsi" w:hAnsiTheme="majorHAnsi" w:cstheme="majorHAnsi"/>
          <w:sz w:val="24"/>
          <w:szCs w:val="24"/>
          <w:vertAlign w:val="baseline"/>
          <w:lang w:val="ro-MD"/>
        </w:rPr>
        <w:t xml:space="preserve">ci doar </w:t>
      </w:r>
      <w:r w:rsidR="00BA5414" w:rsidRPr="009772A3">
        <w:rPr>
          <w:rFonts w:asciiTheme="majorHAnsi" w:hAnsiTheme="majorHAnsi" w:cstheme="majorHAnsi"/>
          <w:sz w:val="24"/>
          <w:szCs w:val="24"/>
          <w:vertAlign w:val="baseline"/>
          <w:lang w:val="ro-MD"/>
        </w:rPr>
        <w:t xml:space="preserve">desemnarea persoanelor ce se vor deplasa la SMG </w:t>
      </w:r>
      <w:r w:rsidR="00014B34" w:rsidRPr="009772A3">
        <w:rPr>
          <w:rFonts w:asciiTheme="majorHAnsi" w:hAnsiTheme="majorHAnsi" w:cstheme="majorHAnsi"/>
          <w:sz w:val="24"/>
          <w:szCs w:val="24"/>
          <w:vertAlign w:val="baseline"/>
          <w:lang w:val="ro-MD"/>
        </w:rPr>
        <w:t xml:space="preserve">Ananiev, </w:t>
      </w:r>
      <w:r w:rsidR="00BA5414" w:rsidRPr="009772A3">
        <w:rPr>
          <w:rFonts w:asciiTheme="majorHAnsi" w:hAnsiTheme="majorHAnsi" w:cstheme="majorHAnsi"/>
          <w:sz w:val="24"/>
          <w:szCs w:val="24"/>
          <w:vertAlign w:val="baseline"/>
          <w:lang w:val="ro-MD"/>
        </w:rPr>
        <w:t>Alexeevka, Grebeniki,</w:t>
      </w:r>
      <w:r w:rsidR="00014B34" w:rsidRPr="009772A3">
        <w:rPr>
          <w:rFonts w:asciiTheme="majorHAnsi" w:hAnsiTheme="majorHAnsi" w:cstheme="majorHAnsi"/>
          <w:sz w:val="24"/>
          <w:szCs w:val="24"/>
          <w:vertAlign w:val="baseline"/>
          <w:lang w:val="ro-MD"/>
        </w:rPr>
        <w:t xml:space="preserve"> Limanskoie, Orlovka și</w:t>
      </w:r>
      <w:r w:rsidR="00BA5414" w:rsidRPr="009772A3">
        <w:rPr>
          <w:rFonts w:asciiTheme="majorHAnsi" w:hAnsiTheme="majorHAnsi" w:cstheme="majorHAnsi"/>
          <w:sz w:val="24"/>
          <w:szCs w:val="24"/>
          <w:vertAlign w:val="baseline"/>
          <w:lang w:val="ro-MD"/>
        </w:rPr>
        <w:t xml:space="preserve"> Căușeni</w:t>
      </w:r>
      <w:r w:rsidR="005377B6" w:rsidRPr="009772A3">
        <w:rPr>
          <w:rFonts w:asciiTheme="majorHAnsi" w:hAnsiTheme="majorHAnsi" w:cstheme="majorHAnsi"/>
          <w:sz w:val="24"/>
          <w:szCs w:val="24"/>
          <w:vertAlign w:val="baseline"/>
          <w:lang w:val="ro-MD"/>
        </w:rPr>
        <w:t xml:space="preserve">. </w:t>
      </w:r>
    </w:p>
    <w:p w14:paraId="1C91A5BE" w14:textId="459E46F3" w:rsidR="00C108A1" w:rsidRPr="009772A3" w:rsidRDefault="00E67B34"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 asemenea</w:t>
      </w:r>
      <w:r w:rsidR="0034792B"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și v</w:t>
      </w:r>
      <w:r w:rsidR="00C108A1" w:rsidRPr="009772A3">
        <w:rPr>
          <w:rFonts w:asciiTheme="majorHAnsi" w:hAnsiTheme="majorHAnsi" w:cstheme="majorHAnsi"/>
          <w:sz w:val="24"/>
          <w:szCs w:val="24"/>
          <w:vertAlign w:val="baseline"/>
          <w:lang w:val="ro-MD"/>
        </w:rPr>
        <w:t>olumul gazelor naturale transportate și distribuite</w:t>
      </w:r>
      <w:r w:rsidRPr="009772A3">
        <w:rPr>
          <w:rFonts w:asciiTheme="majorHAnsi" w:hAnsiTheme="majorHAnsi" w:cstheme="majorHAnsi"/>
          <w:sz w:val="24"/>
          <w:szCs w:val="24"/>
          <w:vertAlign w:val="baseline"/>
          <w:lang w:val="ro-MD"/>
        </w:rPr>
        <w:t>, care stau la baza facturării serviciilor respective de către companiile de transport și distribuție,</w:t>
      </w:r>
      <w:r w:rsidR="00C108A1" w:rsidRPr="009772A3">
        <w:rPr>
          <w:rFonts w:asciiTheme="majorHAnsi" w:hAnsiTheme="majorHAnsi" w:cstheme="majorHAnsi"/>
          <w:sz w:val="24"/>
          <w:szCs w:val="24"/>
          <w:vertAlign w:val="baseline"/>
          <w:lang w:val="ro-MD"/>
        </w:rPr>
        <w:t xml:space="preserve"> </w:t>
      </w:r>
      <w:r w:rsidR="00014B34" w:rsidRPr="009772A3">
        <w:rPr>
          <w:rFonts w:asciiTheme="majorHAnsi" w:hAnsiTheme="majorHAnsi" w:cstheme="majorHAnsi"/>
          <w:sz w:val="24"/>
          <w:szCs w:val="24"/>
          <w:vertAlign w:val="baseline"/>
          <w:lang w:val="ro-MD"/>
        </w:rPr>
        <w:t xml:space="preserve">nu sunt determinate doar </w:t>
      </w:r>
      <w:r w:rsidR="00C108A1" w:rsidRPr="009772A3">
        <w:rPr>
          <w:rFonts w:asciiTheme="majorHAnsi" w:hAnsiTheme="majorHAnsi" w:cstheme="majorHAnsi"/>
          <w:sz w:val="24"/>
          <w:szCs w:val="24"/>
          <w:vertAlign w:val="baseline"/>
          <w:lang w:val="ro-MD"/>
        </w:rPr>
        <w:t xml:space="preserve">conform datelor contoarelor </w:t>
      </w:r>
      <w:r w:rsidR="008412AF" w:rsidRPr="009772A3">
        <w:rPr>
          <w:rFonts w:asciiTheme="majorHAnsi" w:hAnsiTheme="majorHAnsi" w:cstheme="majorHAnsi"/>
          <w:sz w:val="24"/>
          <w:szCs w:val="24"/>
          <w:vertAlign w:val="baseline"/>
          <w:lang w:val="ro-MD"/>
        </w:rPr>
        <w:t>de la</w:t>
      </w:r>
      <w:r w:rsidR="00C108A1" w:rsidRPr="009772A3">
        <w:rPr>
          <w:rFonts w:asciiTheme="majorHAnsi" w:hAnsiTheme="majorHAnsi" w:cstheme="majorHAnsi"/>
          <w:sz w:val="24"/>
          <w:szCs w:val="24"/>
          <w:vertAlign w:val="baseline"/>
          <w:lang w:val="ro-MD"/>
        </w:rPr>
        <w:t xml:space="preserve"> stațiil</w:t>
      </w:r>
      <w:r w:rsidR="005837F8" w:rsidRPr="009772A3">
        <w:rPr>
          <w:rFonts w:asciiTheme="majorHAnsi" w:hAnsiTheme="majorHAnsi" w:cstheme="majorHAnsi"/>
          <w:sz w:val="24"/>
          <w:szCs w:val="24"/>
          <w:vertAlign w:val="baseline"/>
          <w:lang w:val="ro-MD"/>
        </w:rPr>
        <w:t>e</w:t>
      </w:r>
      <w:r w:rsidR="00C108A1" w:rsidRPr="009772A3">
        <w:rPr>
          <w:rFonts w:asciiTheme="majorHAnsi" w:hAnsiTheme="majorHAnsi" w:cstheme="majorHAnsi"/>
          <w:sz w:val="24"/>
          <w:szCs w:val="24"/>
          <w:vertAlign w:val="baseline"/>
          <w:lang w:val="ro-MD"/>
        </w:rPr>
        <w:t xml:space="preserve"> </w:t>
      </w:r>
      <w:r w:rsidR="007C7B5A" w:rsidRPr="009772A3">
        <w:rPr>
          <w:rFonts w:asciiTheme="majorHAnsi" w:hAnsiTheme="majorHAnsi" w:cstheme="majorHAnsi"/>
          <w:sz w:val="24"/>
          <w:szCs w:val="24"/>
          <w:vertAlign w:val="baseline"/>
          <w:lang w:val="ro-MD"/>
        </w:rPr>
        <w:t>de p</w:t>
      </w:r>
      <w:r w:rsidR="00C108A1" w:rsidRPr="009772A3">
        <w:rPr>
          <w:rFonts w:asciiTheme="majorHAnsi" w:hAnsiTheme="majorHAnsi" w:cstheme="majorHAnsi"/>
          <w:sz w:val="24"/>
          <w:szCs w:val="24"/>
          <w:vertAlign w:val="baseline"/>
          <w:lang w:val="ro-MD"/>
        </w:rPr>
        <w:t>redare a gazelor</w:t>
      </w:r>
      <w:r w:rsidR="005837F8"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dar sunt</w:t>
      </w:r>
      <w:r w:rsidR="00C108A1" w:rsidRPr="009772A3">
        <w:rPr>
          <w:rFonts w:asciiTheme="majorHAnsi" w:hAnsiTheme="majorHAnsi" w:cstheme="majorHAnsi"/>
          <w:sz w:val="24"/>
          <w:szCs w:val="24"/>
          <w:vertAlign w:val="baseline"/>
          <w:lang w:val="ro-MD"/>
        </w:rPr>
        <w:t xml:space="preserve"> ajustate cu volumul </w:t>
      </w:r>
      <w:r w:rsidR="000050E3" w:rsidRPr="009772A3">
        <w:rPr>
          <w:rFonts w:asciiTheme="majorHAnsi" w:hAnsiTheme="majorHAnsi" w:cstheme="majorHAnsi"/>
          <w:sz w:val="24"/>
          <w:szCs w:val="24"/>
          <w:vertAlign w:val="baseline"/>
          <w:lang w:val="ro-MD"/>
        </w:rPr>
        <w:t xml:space="preserve">pierderilor și </w:t>
      </w:r>
      <w:r w:rsidR="00C108A1" w:rsidRPr="009772A3">
        <w:rPr>
          <w:rFonts w:asciiTheme="majorHAnsi" w:hAnsiTheme="majorHAnsi" w:cstheme="majorHAnsi"/>
          <w:sz w:val="24"/>
          <w:szCs w:val="24"/>
          <w:vertAlign w:val="baseline"/>
          <w:lang w:val="ro-MD"/>
        </w:rPr>
        <w:t>gazelor consumate pentru necesități</w:t>
      </w:r>
      <w:r w:rsidR="005837F8" w:rsidRPr="009772A3">
        <w:rPr>
          <w:rFonts w:asciiTheme="majorHAnsi" w:hAnsiTheme="majorHAnsi" w:cstheme="majorHAnsi"/>
          <w:sz w:val="24"/>
          <w:szCs w:val="24"/>
          <w:vertAlign w:val="baseline"/>
          <w:lang w:val="ro-MD"/>
        </w:rPr>
        <w:t>le</w:t>
      </w:r>
      <w:r w:rsidR="00C108A1" w:rsidRPr="009772A3">
        <w:rPr>
          <w:rFonts w:asciiTheme="majorHAnsi" w:hAnsiTheme="majorHAnsi" w:cstheme="majorHAnsi"/>
          <w:sz w:val="24"/>
          <w:szCs w:val="24"/>
          <w:vertAlign w:val="baseline"/>
          <w:lang w:val="ro-MD"/>
        </w:rPr>
        <w:t xml:space="preserve"> tehnologice la aceste stații. </w:t>
      </w:r>
      <w:r w:rsidRPr="009772A3">
        <w:rPr>
          <w:rFonts w:asciiTheme="majorHAnsi" w:hAnsiTheme="majorHAnsi" w:cstheme="majorHAnsi"/>
          <w:sz w:val="24"/>
          <w:szCs w:val="24"/>
          <w:vertAlign w:val="baseline"/>
          <w:lang w:val="ro-MD"/>
        </w:rPr>
        <w:t>Ulterior, c</w:t>
      </w:r>
      <w:r w:rsidR="00014B34" w:rsidRPr="009772A3">
        <w:rPr>
          <w:rFonts w:asciiTheme="majorHAnsi" w:hAnsiTheme="majorHAnsi" w:cstheme="majorHAnsi"/>
          <w:sz w:val="24"/>
          <w:szCs w:val="24"/>
          <w:vertAlign w:val="baseline"/>
          <w:lang w:val="ro-MD"/>
        </w:rPr>
        <w:t xml:space="preserve">ompaniile de distribuție, pentru diferite localități, preiau sau predau </w:t>
      </w:r>
      <w:r w:rsidR="000050E3" w:rsidRPr="009772A3">
        <w:rPr>
          <w:rFonts w:asciiTheme="majorHAnsi" w:hAnsiTheme="majorHAnsi" w:cstheme="majorHAnsi"/>
          <w:sz w:val="24"/>
          <w:szCs w:val="24"/>
          <w:vertAlign w:val="baseline"/>
          <w:lang w:val="ro-MD"/>
        </w:rPr>
        <w:t xml:space="preserve">unele de la altele </w:t>
      </w:r>
      <w:r w:rsidR="00014B34" w:rsidRPr="009772A3">
        <w:rPr>
          <w:rFonts w:asciiTheme="majorHAnsi" w:hAnsiTheme="majorHAnsi" w:cstheme="majorHAnsi"/>
          <w:sz w:val="24"/>
          <w:szCs w:val="24"/>
          <w:vertAlign w:val="baseline"/>
          <w:lang w:val="ro-MD"/>
        </w:rPr>
        <w:t xml:space="preserve">gazele naturale, </w:t>
      </w:r>
      <w:r w:rsidR="005837F8" w:rsidRPr="009772A3">
        <w:rPr>
          <w:rFonts w:asciiTheme="majorHAnsi" w:hAnsiTheme="majorHAnsi" w:cstheme="majorHAnsi"/>
          <w:sz w:val="24"/>
          <w:szCs w:val="24"/>
          <w:vertAlign w:val="baseline"/>
          <w:lang w:val="ro-MD"/>
        </w:rPr>
        <w:t xml:space="preserve">al căror </w:t>
      </w:r>
      <w:r w:rsidR="00014B34" w:rsidRPr="009772A3">
        <w:rPr>
          <w:rFonts w:asciiTheme="majorHAnsi" w:hAnsiTheme="majorHAnsi" w:cstheme="majorHAnsi"/>
          <w:sz w:val="24"/>
          <w:szCs w:val="24"/>
          <w:vertAlign w:val="baseline"/>
          <w:lang w:val="ro-MD"/>
        </w:rPr>
        <w:t xml:space="preserve">volum constituie circa 5% din volumul gazelor distribuit. </w:t>
      </w:r>
      <w:r w:rsidR="00C108A1" w:rsidRPr="009772A3">
        <w:rPr>
          <w:rFonts w:asciiTheme="majorHAnsi" w:hAnsiTheme="majorHAnsi" w:cstheme="majorHAnsi"/>
          <w:sz w:val="24"/>
          <w:szCs w:val="24"/>
          <w:vertAlign w:val="baseline"/>
          <w:lang w:val="ro-MD"/>
        </w:rPr>
        <w:t>Actul de predare</w:t>
      </w:r>
      <w:r w:rsidR="00F47185" w:rsidRPr="009772A3">
        <w:rPr>
          <w:rFonts w:asciiTheme="majorHAnsi" w:hAnsiTheme="majorHAnsi" w:cstheme="majorHAnsi"/>
          <w:sz w:val="24"/>
          <w:szCs w:val="24"/>
          <w:vertAlign w:val="baseline"/>
          <w:lang w:val="ro-MD"/>
        </w:rPr>
        <w:t>-</w:t>
      </w:r>
      <w:r w:rsidR="00C108A1" w:rsidRPr="009772A3">
        <w:rPr>
          <w:rFonts w:asciiTheme="majorHAnsi" w:hAnsiTheme="majorHAnsi" w:cstheme="majorHAnsi"/>
          <w:sz w:val="24"/>
          <w:szCs w:val="24"/>
          <w:vertAlign w:val="baseline"/>
          <w:lang w:val="ro-MD"/>
        </w:rPr>
        <w:t>primire respectiv este semnat de reprezentanții SA Moldovagaz, SRL Moldovatransgaz și</w:t>
      </w:r>
      <w:r w:rsidR="006A6D68" w:rsidRPr="009772A3">
        <w:rPr>
          <w:rFonts w:asciiTheme="majorHAnsi" w:hAnsiTheme="majorHAnsi" w:cstheme="majorHAnsi"/>
          <w:sz w:val="24"/>
          <w:szCs w:val="24"/>
          <w:vertAlign w:val="baseline"/>
          <w:lang w:val="ro-MD"/>
        </w:rPr>
        <w:t>/sau</w:t>
      </w:r>
      <w:r w:rsidR="00C108A1" w:rsidRPr="009772A3">
        <w:rPr>
          <w:rFonts w:asciiTheme="majorHAnsi" w:hAnsiTheme="majorHAnsi" w:cstheme="majorHAnsi"/>
          <w:sz w:val="24"/>
          <w:szCs w:val="24"/>
          <w:vertAlign w:val="baseline"/>
          <w:lang w:val="ro-MD"/>
        </w:rPr>
        <w:t xml:space="preserve"> </w:t>
      </w:r>
      <w:r w:rsidR="000050E3" w:rsidRPr="009772A3">
        <w:rPr>
          <w:rFonts w:asciiTheme="majorHAnsi" w:hAnsiTheme="majorHAnsi" w:cstheme="majorHAnsi"/>
          <w:sz w:val="24"/>
          <w:szCs w:val="24"/>
          <w:vertAlign w:val="baseline"/>
          <w:lang w:val="ro-MD"/>
        </w:rPr>
        <w:t xml:space="preserve">ai </w:t>
      </w:r>
      <w:r w:rsidR="00C108A1" w:rsidRPr="009772A3">
        <w:rPr>
          <w:rFonts w:asciiTheme="majorHAnsi" w:hAnsiTheme="majorHAnsi" w:cstheme="majorHAnsi"/>
          <w:sz w:val="24"/>
          <w:szCs w:val="24"/>
          <w:vertAlign w:val="baseline"/>
          <w:lang w:val="ro-MD"/>
        </w:rPr>
        <w:t xml:space="preserve">companiei de distribuție a gazelor. </w:t>
      </w:r>
    </w:p>
    <w:p w14:paraId="606AE26E" w14:textId="1F50864B" w:rsidR="0050295F" w:rsidRPr="009772A3" w:rsidRDefault="0075206E" w:rsidP="005162E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Livrarea gazelor naturale în regiunea </w:t>
      </w:r>
      <w:r w:rsidR="00F47185" w:rsidRPr="009772A3">
        <w:rPr>
          <w:rFonts w:asciiTheme="majorHAnsi" w:hAnsiTheme="majorHAnsi" w:cstheme="majorHAnsi"/>
          <w:sz w:val="24"/>
          <w:szCs w:val="24"/>
          <w:vertAlign w:val="baseline"/>
          <w:lang w:val="ro-MD"/>
        </w:rPr>
        <w:t>t</w:t>
      </w:r>
      <w:r w:rsidRPr="009772A3">
        <w:rPr>
          <w:rFonts w:asciiTheme="majorHAnsi" w:hAnsiTheme="majorHAnsi" w:cstheme="majorHAnsi"/>
          <w:sz w:val="24"/>
          <w:szCs w:val="24"/>
          <w:vertAlign w:val="baseline"/>
          <w:lang w:val="ro-MD"/>
        </w:rPr>
        <w:t xml:space="preserve">ransnistreană se efectuează în baza contractului încheiat </w:t>
      </w:r>
      <w:r w:rsidR="002B2247" w:rsidRPr="009772A3">
        <w:rPr>
          <w:rFonts w:asciiTheme="majorHAnsi" w:hAnsiTheme="majorHAnsi" w:cstheme="majorHAnsi"/>
          <w:sz w:val="24"/>
          <w:szCs w:val="24"/>
          <w:vertAlign w:val="baseline"/>
          <w:lang w:val="ro-MD"/>
        </w:rPr>
        <w:t xml:space="preserve">în anul 2011 </w:t>
      </w:r>
      <w:r w:rsidRPr="009772A3">
        <w:rPr>
          <w:rFonts w:asciiTheme="majorHAnsi" w:hAnsiTheme="majorHAnsi" w:cstheme="majorHAnsi"/>
          <w:sz w:val="24"/>
          <w:szCs w:val="24"/>
          <w:vertAlign w:val="baseline"/>
          <w:lang w:val="ro-MD"/>
        </w:rPr>
        <w:t xml:space="preserve">între SA Moldovagaz și SRL Tiraspoltransgaz, care prevede transmiterea de la SA Moldovagaz către SRL Tiraspoltransgaz a </w:t>
      </w:r>
      <w:r w:rsidR="00667BBB" w:rsidRPr="009772A3">
        <w:rPr>
          <w:rFonts w:asciiTheme="majorHAnsi" w:hAnsiTheme="majorHAnsi" w:cstheme="majorHAnsi"/>
          <w:sz w:val="24"/>
          <w:szCs w:val="24"/>
          <w:vertAlign w:val="baseline"/>
          <w:lang w:val="ro-MD"/>
        </w:rPr>
        <w:t>funcției</w:t>
      </w:r>
      <w:r w:rsidRPr="009772A3">
        <w:rPr>
          <w:rFonts w:asciiTheme="majorHAnsi" w:hAnsiTheme="majorHAnsi" w:cstheme="majorHAnsi"/>
          <w:sz w:val="24"/>
          <w:szCs w:val="24"/>
          <w:vertAlign w:val="baseline"/>
          <w:lang w:val="ro-MD"/>
        </w:rPr>
        <w:t xml:space="preserve"> de </w:t>
      </w:r>
      <w:r w:rsidR="005F24DD">
        <w:rPr>
          <w:rFonts w:asciiTheme="majorHAnsi" w:hAnsiTheme="majorHAnsi" w:cstheme="majorHAnsi"/>
          <w:sz w:val="24"/>
          <w:szCs w:val="24"/>
          <w:vertAlign w:val="baseline"/>
          <w:lang w:val="ro-MD"/>
        </w:rPr>
        <w:t>execut</w:t>
      </w:r>
      <w:r w:rsidR="005F24DD" w:rsidRPr="009772A3">
        <w:rPr>
          <w:rFonts w:asciiTheme="majorHAnsi" w:hAnsiTheme="majorHAnsi" w:cstheme="majorHAnsi"/>
          <w:sz w:val="24"/>
          <w:szCs w:val="24"/>
          <w:vertAlign w:val="baseline"/>
          <w:lang w:val="ro-MD"/>
        </w:rPr>
        <w:t xml:space="preserve">are </w:t>
      </w:r>
      <w:r w:rsidR="00CC692C" w:rsidRPr="00CF3AD4">
        <w:rPr>
          <w:rFonts w:asciiTheme="majorHAnsi" w:hAnsiTheme="majorHAnsi" w:cstheme="majorHAnsi"/>
          <w:sz w:val="24"/>
          <w:szCs w:val="24"/>
          <w:vertAlign w:val="baseline"/>
          <w:lang w:val="ro-MD"/>
        </w:rPr>
        <w:t>în regiunea Transnistreană</w:t>
      </w:r>
      <w:r w:rsidR="00CC692C" w:rsidRPr="0029440D">
        <w:rPr>
          <w:rFonts w:asciiTheme="majorHAnsi" w:hAnsiTheme="majorHAnsi" w:cstheme="majorHAnsi"/>
          <w:sz w:val="24"/>
          <w:szCs w:val="24"/>
          <w:vertAlign w:val="baseline"/>
          <w:lang w:val="ro-MD"/>
        </w:rPr>
        <w:t xml:space="preserve"> </w:t>
      </w:r>
      <w:r w:rsidRPr="0029440D">
        <w:rPr>
          <w:rFonts w:asciiTheme="majorHAnsi" w:hAnsiTheme="majorHAnsi" w:cstheme="majorHAnsi"/>
          <w:sz w:val="24"/>
          <w:szCs w:val="24"/>
          <w:vertAlign w:val="baseline"/>
          <w:lang w:val="ro-MD"/>
        </w:rPr>
        <w:t xml:space="preserve">a contractului de livrare a gazelor </w:t>
      </w:r>
      <w:r w:rsidR="005F24DD" w:rsidRPr="0029440D">
        <w:rPr>
          <w:rFonts w:asciiTheme="majorHAnsi" w:hAnsiTheme="majorHAnsi" w:cstheme="majorHAnsi"/>
          <w:sz w:val="24"/>
          <w:szCs w:val="24"/>
          <w:vertAlign w:val="baseline"/>
          <w:lang w:val="ro-MD"/>
        </w:rPr>
        <w:t xml:space="preserve">naturale </w:t>
      </w:r>
      <w:r w:rsidRPr="00CF3AD4">
        <w:rPr>
          <w:rFonts w:asciiTheme="majorHAnsi" w:hAnsiTheme="majorHAnsi" w:cstheme="majorHAnsi"/>
          <w:sz w:val="24"/>
          <w:szCs w:val="24"/>
          <w:vertAlign w:val="baseline"/>
          <w:lang w:val="ro-MD"/>
        </w:rPr>
        <w:t>încheiat de SA Moldovagaz cu SA Gazprom</w:t>
      </w:r>
      <w:r w:rsidR="00667BBB" w:rsidRPr="0029440D">
        <w:rPr>
          <w:rFonts w:asciiTheme="majorHAnsi" w:hAnsiTheme="majorHAnsi" w:cstheme="majorHAnsi"/>
          <w:sz w:val="24"/>
          <w:szCs w:val="24"/>
          <w:vertAlign w:val="baseline"/>
          <w:lang w:val="ro-MD"/>
        </w:rPr>
        <w:t>,</w:t>
      </w:r>
      <w:r w:rsidR="00667BBB" w:rsidRPr="009772A3">
        <w:rPr>
          <w:rFonts w:asciiTheme="majorHAnsi" w:hAnsiTheme="majorHAnsi" w:cstheme="majorHAnsi"/>
          <w:sz w:val="24"/>
          <w:szCs w:val="24"/>
          <w:vertAlign w:val="baseline"/>
          <w:lang w:val="ro-MD"/>
        </w:rPr>
        <w:t xml:space="preserve"> zona de responsabilitate a SRL Tiraspoltransgaz</w:t>
      </w:r>
      <w:r w:rsidRPr="009772A3">
        <w:rPr>
          <w:rFonts w:asciiTheme="majorHAnsi" w:hAnsiTheme="majorHAnsi" w:cstheme="majorHAnsi"/>
          <w:sz w:val="24"/>
          <w:szCs w:val="24"/>
          <w:vertAlign w:val="baseline"/>
          <w:lang w:val="ro-MD"/>
        </w:rPr>
        <w:t>. Totodată</w:t>
      </w:r>
      <w:r w:rsidR="00F47185"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contractul prevede că </w:t>
      </w:r>
      <w:r w:rsidR="00647C2A" w:rsidRPr="009772A3">
        <w:rPr>
          <w:rFonts w:asciiTheme="majorHAnsi" w:hAnsiTheme="majorHAnsi" w:cstheme="majorHAnsi"/>
          <w:sz w:val="24"/>
          <w:szCs w:val="24"/>
          <w:vertAlign w:val="baseline"/>
          <w:lang w:val="ro-MD"/>
        </w:rPr>
        <w:t>achitarea pentru gazul livrat SRL Tiraspoltransgaz urmează să</w:t>
      </w:r>
      <w:r w:rsidR="00667BBB" w:rsidRPr="009772A3">
        <w:rPr>
          <w:rFonts w:asciiTheme="majorHAnsi" w:hAnsiTheme="majorHAnsi" w:cstheme="majorHAnsi"/>
          <w:sz w:val="24"/>
          <w:szCs w:val="24"/>
          <w:vertAlign w:val="baseline"/>
          <w:lang w:val="ro-MD"/>
        </w:rPr>
        <w:t xml:space="preserve"> se</w:t>
      </w:r>
      <w:r w:rsidR="00647C2A" w:rsidRPr="009772A3">
        <w:rPr>
          <w:rFonts w:asciiTheme="majorHAnsi" w:hAnsiTheme="majorHAnsi" w:cstheme="majorHAnsi"/>
          <w:sz w:val="24"/>
          <w:szCs w:val="24"/>
          <w:vertAlign w:val="baseline"/>
          <w:lang w:val="ro-MD"/>
        </w:rPr>
        <w:t xml:space="preserve"> efectueze pe conturile SA Gazprom</w:t>
      </w:r>
      <w:r w:rsidR="00F47185" w:rsidRPr="009772A3">
        <w:rPr>
          <w:rFonts w:asciiTheme="majorHAnsi" w:hAnsiTheme="majorHAnsi" w:cstheme="majorHAnsi"/>
          <w:sz w:val="24"/>
          <w:szCs w:val="24"/>
          <w:vertAlign w:val="baseline"/>
          <w:lang w:val="ro-MD"/>
        </w:rPr>
        <w:t>,</w:t>
      </w:r>
      <w:r w:rsidR="00667BBB" w:rsidRPr="009772A3">
        <w:rPr>
          <w:rFonts w:asciiTheme="majorHAnsi" w:hAnsiTheme="majorHAnsi" w:cstheme="majorHAnsi"/>
          <w:sz w:val="24"/>
          <w:szCs w:val="24"/>
          <w:vertAlign w:val="baseline"/>
          <w:lang w:val="ro-MD"/>
        </w:rPr>
        <w:t xml:space="preserve"> cu informarea SA Moldovagaz</w:t>
      </w:r>
      <w:r w:rsidR="00647C2A" w:rsidRPr="009772A3">
        <w:rPr>
          <w:rFonts w:asciiTheme="majorHAnsi" w:hAnsiTheme="majorHAnsi" w:cstheme="majorHAnsi"/>
          <w:sz w:val="24"/>
          <w:szCs w:val="24"/>
          <w:vertAlign w:val="baseline"/>
          <w:lang w:val="ro-MD"/>
        </w:rPr>
        <w:t>.</w:t>
      </w:r>
      <w:r w:rsidR="00667BBB" w:rsidRPr="009772A3">
        <w:rPr>
          <w:rFonts w:asciiTheme="majorHAnsi" w:hAnsiTheme="majorHAnsi" w:cstheme="majorHAnsi"/>
          <w:sz w:val="24"/>
          <w:szCs w:val="24"/>
          <w:vertAlign w:val="baseline"/>
          <w:lang w:val="ro-MD"/>
        </w:rPr>
        <w:t xml:space="preserve"> În cazul încălcării de către SRL Tiraspoltransgaz a condițiilor de achitare a gazului livrat, SA Moldovagaz sau SA Gazprom pot introduce limitări privind volumul gazului livrat </w:t>
      </w:r>
      <w:r w:rsidR="00FB16D9" w:rsidRPr="009772A3">
        <w:rPr>
          <w:rFonts w:asciiTheme="majorHAnsi" w:hAnsiTheme="majorHAnsi" w:cstheme="majorHAnsi"/>
          <w:sz w:val="24"/>
          <w:szCs w:val="24"/>
          <w:vertAlign w:val="baseline"/>
          <w:lang w:val="ro-MD"/>
        </w:rPr>
        <w:t>SRL Tiraspoltransgaz.</w:t>
      </w:r>
      <w:r w:rsidR="0050295F" w:rsidRPr="009772A3">
        <w:rPr>
          <w:rFonts w:asciiTheme="majorHAnsi" w:hAnsiTheme="majorHAnsi" w:cstheme="majorHAnsi"/>
          <w:sz w:val="24"/>
          <w:szCs w:val="24"/>
          <w:vertAlign w:val="baseline"/>
          <w:lang w:val="ro-MD"/>
        </w:rPr>
        <w:t xml:space="preserve"> </w:t>
      </w:r>
    </w:p>
    <w:p w14:paraId="52641E4C" w14:textId="34123EB8" w:rsidR="00FD1AA6" w:rsidRPr="009772A3" w:rsidRDefault="00671276" w:rsidP="005F24DD">
      <w:pPr>
        <w:pStyle w:val="Heading1"/>
        <w:numPr>
          <w:ilvl w:val="3"/>
          <w:numId w:val="2"/>
        </w:numPr>
        <w:tabs>
          <w:tab w:val="left" w:pos="851"/>
        </w:tabs>
        <w:spacing w:line="276" w:lineRule="auto"/>
        <w:ind w:left="0" w:firstLine="0"/>
        <w:jc w:val="both"/>
        <w:rPr>
          <w:i/>
          <w:color w:val="auto"/>
          <w:lang w:val="ro-MD"/>
        </w:rPr>
      </w:pPr>
      <w:bookmarkStart w:id="149" w:name="_Toc119496431"/>
      <w:r w:rsidRPr="009772A3">
        <w:rPr>
          <w:rFonts w:cstheme="majorHAnsi"/>
          <w:i/>
          <w:color w:val="auto"/>
          <w:szCs w:val="24"/>
          <w:lang w:val="ro-MD"/>
        </w:rPr>
        <w:t xml:space="preserve">Cu privire la volumul și valoarea </w:t>
      </w:r>
      <w:r w:rsidRPr="009772A3">
        <w:rPr>
          <w:i/>
          <w:color w:val="auto"/>
          <w:lang w:val="ro-MD"/>
        </w:rPr>
        <w:t>pierderilor și consumurilor tehnologice de gaze naturale.</w:t>
      </w:r>
      <w:bookmarkEnd w:id="149"/>
    </w:p>
    <w:p w14:paraId="3AFCE3FF" w14:textId="667CC0C2" w:rsidR="00671276" w:rsidRPr="009772A3" w:rsidRDefault="00671276" w:rsidP="004F4116">
      <w:pPr>
        <w:pStyle w:val="FootnoteText"/>
        <w:spacing w:line="276" w:lineRule="auto"/>
        <w:ind w:firstLine="720"/>
        <w:jc w:val="both"/>
        <w:rPr>
          <w:rFonts w:asciiTheme="majorHAnsi" w:hAnsiTheme="majorHAnsi" w:cstheme="majorHAnsi"/>
          <w:i/>
          <w:sz w:val="24"/>
          <w:szCs w:val="24"/>
          <w:lang w:val="ro-MD"/>
        </w:rPr>
      </w:pPr>
      <w:r w:rsidRPr="009772A3">
        <w:rPr>
          <w:rFonts w:asciiTheme="majorHAnsi" w:hAnsiTheme="majorHAnsi" w:cstheme="majorHAnsi"/>
          <w:i/>
          <w:sz w:val="24"/>
          <w:szCs w:val="24"/>
          <w:vertAlign w:val="baseline"/>
          <w:lang w:val="ro-MD"/>
        </w:rPr>
        <w:t>Volumul și valoarea pierderilor și consumurilor tehnologice de gaze naturale reprezintă o valoare calculată, determinată ca diferență între volumul și valoarea gazelor primite spre transport și, respectiv, spre distribuție</w:t>
      </w:r>
      <w:r w:rsidR="00274515" w:rsidRPr="009772A3">
        <w:rPr>
          <w:rFonts w:asciiTheme="majorHAnsi" w:hAnsiTheme="majorHAnsi" w:cstheme="majorHAnsi"/>
          <w:i/>
          <w:sz w:val="24"/>
          <w:szCs w:val="24"/>
          <w:vertAlign w:val="baseline"/>
          <w:lang w:val="ro-MD"/>
        </w:rPr>
        <w:t>,</w:t>
      </w:r>
      <w:r w:rsidRPr="009772A3">
        <w:rPr>
          <w:rFonts w:asciiTheme="majorHAnsi" w:hAnsiTheme="majorHAnsi" w:cstheme="majorHAnsi"/>
          <w:i/>
          <w:sz w:val="24"/>
          <w:szCs w:val="24"/>
          <w:vertAlign w:val="baseline"/>
          <w:lang w:val="ro-MD"/>
        </w:rPr>
        <w:t xml:space="preserve"> și volumul și valoarea gazelor transmise spre distribuție și furnizate/facturate la consumatori.</w:t>
      </w:r>
    </w:p>
    <w:p w14:paraId="049754D3" w14:textId="77777777" w:rsidR="00B05AC3" w:rsidRPr="009772A3" w:rsidRDefault="00B05AC3" w:rsidP="00C5514F">
      <w:pPr>
        <w:pStyle w:val="FootnoteText"/>
        <w:numPr>
          <w:ilvl w:val="1"/>
          <w:numId w:val="23"/>
        </w:numPr>
        <w:spacing w:line="276" w:lineRule="auto"/>
        <w:ind w:left="0" w:firstLine="426"/>
        <w:jc w:val="both"/>
        <w:rPr>
          <w:rFonts w:asciiTheme="majorHAnsi" w:hAnsiTheme="majorHAnsi" w:cstheme="majorHAnsi"/>
          <w:sz w:val="24"/>
          <w:szCs w:val="24"/>
          <w:vertAlign w:val="baseline"/>
          <w:lang w:val="ro-MD"/>
        </w:rPr>
      </w:pPr>
      <w:bookmarkStart w:id="150" w:name="_Toc117775791"/>
      <w:r w:rsidRPr="009772A3">
        <w:rPr>
          <w:rFonts w:asciiTheme="majorHAnsi" w:hAnsiTheme="majorHAnsi" w:cstheme="majorHAnsi"/>
          <w:sz w:val="24"/>
          <w:szCs w:val="24"/>
          <w:vertAlign w:val="baseline"/>
          <w:lang w:val="ro-MD"/>
        </w:rPr>
        <w:t xml:space="preserve">Potrivit pct. 2 din Regulamentul cu privire la modul de măsurare a gazelor naturale în scopuri comerciale, măsurarea gazelor naturale este efectuată de operatorul rețelei de distribuție și furnizor. </w:t>
      </w:r>
    </w:p>
    <w:p w14:paraId="3C9DCE56" w14:textId="05B7DDF6" w:rsidR="00B05AC3" w:rsidRPr="009772A3" w:rsidRDefault="00B05AC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Astfel, operatorul rețelei de distribuție efectuează citirea indicațiilor echipamentelor de măsurare ale tuturor consumatorilor finali, </w:t>
      </w:r>
      <w:r w:rsidR="00274515" w:rsidRPr="009772A3">
        <w:rPr>
          <w:rFonts w:asciiTheme="majorHAnsi" w:hAnsiTheme="majorHAnsi" w:cstheme="majorHAnsi"/>
          <w:sz w:val="24"/>
          <w:szCs w:val="24"/>
          <w:vertAlign w:val="baseline"/>
          <w:lang w:val="ro-MD"/>
        </w:rPr>
        <w:t xml:space="preserve">ale căror </w:t>
      </w:r>
      <w:r w:rsidRPr="009772A3">
        <w:rPr>
          <w:rFonts w:asciiTheme="majorHAnsi" w:hAnsiTheme="majorHAnsi" w:cstheme="majorHAnsi"/>
          <w:sz w:val="24"/>
          <w:szCs w:val="24"/>
          <w:vertAlign w:val="baseline"/>
          <w:lang w:val="ro-MD"/>
        </w:rPr>
        <w:t>instalații de utilizare sunt racordate la rețeaua de distribuție a gazelor naturale, precum și indicațiile echipamentelor de măsurare instalate în punctele de măsurare comercială</w:t>
      </w:r>
      <w:r w:rsidR="00274515"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amplasate în punctele de delimitare a instalațiilor operatorului rețelei de distribuție și a instalațiilor operatorului rețelei de transport</w:t>
      </w:r>
      <w:r w:rsidRPr="009772A3">
        <w:rPr>
          <w:rFonts w:asciiTheme="majorHAnsi" w:hAnsiTheme="majorHAnsi" w:cstheme="majorHAnsi"/>
          <w:sz w:val="24"/>
          <w:szCs w:val="24"/>
          <w:lang w:val="ro-MD"/>
        </w:rPr>
        <w:footnoteReference w:id="108"/>
      </w:r>
      <w:r w:rsidRPr="009772A3">
        <w:rPr>
          <w:rFonts w:asciiTheme="majorHAnsi" w:hAnsiTheme="majorHAnsi" w:cstheme="majorHAnsi"/>
          <w:sz w:val="24"/>
          <w:szCs w:val="24"/>
          <w:vertAlign w:val="baseline"/>
          <w:lang w:val="ro-MD"/>
        </w:rPr>
        <w:t>.</w:t>
      </w:r>
    </w:p>
    <w:p w14:paraId="0D018F1D" w14:textId="77777777" w:rsidR="00B05AC3" w:rsidRPr="009772A3" w:rsidRDefault="00B05AC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Operatorul rețelei de distribuție este obligat să pună la dispoziția furnizorilor informația solicitată de aceștia cu privire la parametrii gazelor naturale livrate conform contractelor încheiate, datele aferente echipamentului de măsurare și indicațiile echipamentelor de măsurare instalate la consumatorii finali cu care furnizorii au încheiat contracte de furnizare a gazelor naturale.</w:t>
      </w:r>
    </w:p>
    <w:p w14:paraId="0FDC0529" w14:textId="76983F30" w:rsidR="00B05AC3" w:rsidRPr="009772A3" w:rsidRDefault="00B05AC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Potrivit pct. 6  din  Metodologia de calcul al consumurilor tehnologice și a pierderilor tehnice de gaze naturale în rețelele de distribuție</w:t>
      </w:r>
      <w:r w:rsidR="001C100A"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aprobată prin HANRE nr. 398/2010 din 31.12.</w:t>
      </w:r>
      <w:r w:rsidR="0033200B" w:rsidRPr="009772A3">
        <w:rPr>
          <w:rFonts w:asciiTheme="majorHAnsi" w:hAnsiTheme="majorHAnsi" w:cstheme="majorHAnsi"/>
          <w:sz w:val="24"/>
          <w:szCs w:val="24"/>
          <w:vertAlign w:val="baseline"/>
          <w:lang w:val="ro-MD"/>
        </w:rPr>
        <w:t>20</w:t>
      </w:r>
      <w:r w:rsidRPr="009772A3">
        <w:rPr>
          <w:rFonts w:asciiTheme="majorHAnsi" w:hAnsiTheme="majorHAnsi" w:cstheme="majorHAnsi"/>
          <w:sz w:val="24"/>
          <w:szCs w:val="24"/>
          <w:vertAlign w:val="baseline"/>
          <w:lang w:val="ro-MD"/>
        </w:rPr>
        <w:t>10</w:t>
      </w:r>
      <w:r w:rsidR="001C100A"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diferența dintre cantitatea de gaze naturale primită de întreprinderea de distribuție a gazelor naturale de la furnizor și cantitatea de gaze naturale furnizată consumatorilor fi</w:t>
      </w:r>
      <w:r w:rsidR="004E7ADA" w:rsidRPr="009772A3">
        <w:rPr>
          <w:rFonts w:asciiTheme="majorHAnsi" w:hAnsiTheme="majorHAnsi" w:cstheme="majorHAnsi"/>
          <w:sz w:val="24"/>
          <w:szCs w:val="24"/>
          <w:vertAlign w:val="baseline"/>
          <w:lang w:val="ro-MD"/>
        </w:rPr>
        <w:t>nali reprezintă pierderi reale.</w:t>
      </w:r>
    </w:p>
    <w:p w14:paraId="06BE9D29" w14:textId="6F3CBBF1" w:rsidR="00B05AC3" w:rsidRPr="009772A3" w:rsidRDefault="00B05AC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Aceste pierderi se înregistrează după </w:t>
      </w:r>
      <w:r w:rsidR="00E4340A" w:rsidRPr="009772A3">
        <w:rPr>
          <w:rFonts w:asciiTheme="majorHAnsi" w:hAnsiTheme="majorHAnsi" w:cstheme="majorHAnsi"/>
          <w:sz w:val="24"/>
          <w:szCs w:val="24"/>
          <w:vertAlign w:val="baseline"/>
          <w:lang w:val="ro-MD"/>
        </w:rPr>
        <w:t>operatorii sistemelor de distribuție</w:t>
      </w:r>
      <w:r w:rsidRPr="009772A3">
        <w:rPr>
          <w:rFonts w:asciiTheme="majorHAnsi" w:hAnsiTheme="majorHAnsi" w:cstheme="majorHAnsi"/>
          <w:sz w:val="24"/>
          <w:szCs w:val="24"/>
          <w:vertAlign w:val="baseline"/>
          <w:lang w:val="ro-MD"/>
        </w:rPr>
        <w:t xml:space="preserve">, contravaloarea lor fiind achitată SA Moldovagaz în baza contractului de </w:t>
      </w:r>
      <w:r w:rsidR="001C100A" w:rsidRPr="009772A3">
        <w:rPr>
          <w:rFonts w:asciiTheme="majorHAnsi" w:hAnsiTheme="majorHAnsi" w:cstheme="majorHAnsi"/>
          <w:sz w:val="24"/>
          <w:szCs w:val="24"/>
          <w:vertAlign w:val="baseline"/>
          <w:lang w:val="ro-MD"/>
        </w:rPr>
        <w:t>f</w:t>
      </w:r>
      <w:r w:rsidRPr="009772A3">
        <w:rPr>
          <w:rFonts w:asciiTheme="majorHAnsi" w:hAnsiTheme="majorHAnsi" w:cstheme="majorHAnsi"/>
          <w:sz w:val="24"/>
          <w:szCs w:val="24"/>
          <w:vertAlign w:val="baseline"/>
          <w:lang w:val="ro-MD"/>
        </w:rPr>
        <w:t xml:space="preserve">urnizare la prețul de ieșire din rețelele de transport al gazelor naturale. O parte din aceste pierderi apar în urma: </w:t>
      </w:r>
    </w:p>
    <w:p w14:paraId="599FE843" w14:textId="0802FE72" w:rsidR="00B05AC3" w:rsidRPr="009772A3" w:rsidRDefault="00E4340A" w:rsidP="00C9762F">
      <w:pPr>
        <w:pStyle w:val="FootnoteText"/>
        <w:numPr>
          <w:ilvl w:val="0"/>
          <w:numId w:val="24"/>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pierderi</w:t>
      </w:r>
      <w:r w:rsidR="001C100A" w:rsidRPr="009772A3">
        <w:rPr>
          <w:rFonts w:asciiTheme="majorHAnsi" w:hAnsiTheme="majorHAnsi" w:cstheme="majorHAnsi"/>
          <w:sz w:val="24"/>
          <w:szCs w:val="24"/>
          <w:vertAlign w:val="baseline"/>
          <w:lang w:val="ro-MD"/>
        </w:rPr>
        <w:t>lor</w:t>
      </w:r>
      <w:r w:rsidRPr="009772A3">
        <w:rPr>
          <w:rFonts w:asciiTheme="majorHAnsi" w:hAnsiTheme="majorHAnsi" w:cstheme="majorHAnsi"/>
          <w:sz w:val="24"/>
          <w:szCs w:val="24"/>
          <w:vertAlign w:val="baseline"/>
          <w:lang w:val="ro-MD"/>
        </w:rPr>
        <w:t xml:space="preserve"> </w:t>
      </w:r>
      <w:r w:rsidR="00B05AC3" w:rsidRPr="009772A3">
        <w:rPr>
          <w:rFonts w:asciiTheme="majorHAnsi" w:hAnsiTheme="majorHAnsi" w:cstheme="majorHAnsi"/>
          <w:sz w:val="24"/>
          <w:szCs w:val="24"/>
          <w:vertAlign w:val="baseline"/>
          <w:lang w:val="ro-MD"/>
        </w:rPr>
        <w:t xml:space="preserve">de gaze naturale la exploatarea </w:t>
      </w:r>
      <w:r w:rsidR="001C100A" w:rsidRPr="009772A3">
        <w:rPr>
          <w:rFonts w:asciiTheme="majorHAnsi" w:hAnsiTheme="majorHAnsi" w:cstheme="majorHAnsi"/>
          <w:sz w:val="24"/>
          <w:szCs w:val="24"/>
          <w:vertAlign w:val="baseline"/>
          <w:lang w:val="ro-MD"/>
        </w:rPr>
        <w:t>s</w:t>
      </w:r>
      <w:r w:rsidR="003420C2" w:rsidRPr="009772A3">
        <w:rPr>
          <w:rFonts w:asciiTheme="majorHAnsi" w:hAnsiTheme="majorHAnsi" w:cstheme="majorHAnsi"/>
          <w:sz w:val="24"/>
          <w:szCs w:val="24"/>
          <w:vertAlign w:val="baseline"/>
          <w:lang w:val="ro-MD"/>
        </w:rPr>
        <w:t>tație</w:t>
      </w:r>
      <w:r w:rsidR="001C100A" w:rsidRPr="009772A3">
        <w:rPr>
          <w:rFonts w:asciiTheme="majorHAnsi" w:hAnsiTheme="majorHAnsi" w:cstheme="majorHAnsi"/>
          <w:sz w:val="24"/>
          <w:szCs w:val="24"/>
          <w:vertAlign w:val="baseline"/>
          <w:lang w:val="ro-MD"/>
        </w:rPr>
        <w:t>i</w:t>
      </w:r>
      <w:r w:rsidR="003420C2" w:rsidRPr="009772A3">
        <w:rPr>
          <w:rFonts w:asciiTheme="majorHAnsi" w:hAnsiTheme="majorHAnsi" w:cstheme="majorHAnsi"/>
          <w:sz w:val="24"/>
          <w:szCs w:val="24"/>
          <w:vertAlign w:val="baseline"/>
          <w:lang w:val="ro-MD"/>
        </w:rPr>
        <w:t xml:space="preserve"> de </w:t>
      </w:r>
      <w:r w:rsidR="001C100A" w:rsidRPr="009772A3">
        <w:rPr>
          <w:rFonts w:asciiTheme="majorHAnsi" w:hAnsiTheme="majorHAnsi" w:cstheme="majorHAnsi"/>
          <w:sz w:val="24"/>
          <w:szCs w:val="24"/>
          <w:vertAlign w:val="baseline"/>
          <w:lang w:val="ro-MD"/>
        </w:rPr>
        <w:t>r</w:t>
      </w:r>
      <w:r w:rsidR="003420C2" w:rsidRPr="009772A3">
        <w:rPr>
          <w:rFonts w:asciiTheme="majorHAnsi" w:hAnsiTheme="majorHAnsi" w:cstheme="majorHAnsi"/>
          <w:sz w:val="24"/>
          <w:szCs w:val="24"/>
          <w:vertAlign w:val="baseline"/>
          <w:lang w:val="ro-MD"/>
        </w:rPr>
        <w:t>eglare</w:t>
      </w:r>
      <w:r w:rsidR="001C100A" w:rsidRPr="009772A3">
        <w:rPr>
          <w:rFonts w:asciiTheme="majorHAnsi" w:hAnsiTheme="majorHAnsi" w:cstheme="majorHAnsi"/>
          <w:sz w:val="24"/>
          <w:szCs w:val="24"/>
          <w:vertAlign w:val="baseline"/>
          <w:lang w:val="ro-MD"/>
        </w:rPr>
        <w:t>-m</w:t>
      </w:r>
      <w:r w:rsidR="003420C2" w:rsidRPr="009772A3">
        <w:rPr>
          <w:rFonts w:asciiTheme="majorHAnsi" w:hAnsiTheme="majorHAnsi" w:cstheme="majorHAnsi"/>
          <w:sz w:val="24"/>
          <w:szCs w:val="24"/>
          <w:vertAlign w:val="baseline"/>
          <w:lang w:val="ro-MD"/>
        </w:rPr>
        <w:t xml:space="preserve">ăsurare </w:t>
      </w:r>
      <w:r w:rsidR="001C100A" w:rsidRPr="009772A3">
        <w:rPr>
          <w:rFonts w:asciiTheme="majorHAnsi" w:hAnsiTheme="majorHAnsi" w:cstheme="majorHAnsi"/>
          <w:sz w:val="24"/>
          <w:szCs w:val="24"/>
          <w:vertAlign w:val="baseline"/>
          <w:lang w:val="ro-MD"/>
        </w:rPr>
        <w:t xml:space="preserve">a </w:t>
      </w:r>
      <w:r w:rsidR="003420C2" w:rsidRPr="009772A3">
        <w:rPr>
          <w:rFonts w:asciiTheme="majorHAnsi" w:hAnsiTheme="majorHAnsi" w:cstheme="majorHAnsi"/>
          <w:sz w:val="24"/>
          <w:szCs w:val="24"/>
          <w:vertAlign w:val="baseline"/>
          <w:lang w:val="ro-MD"/>
        </w:rPr>
        <w:t>gaze</w:t>
      </w:r>
      <w:r w:rsidR="001C100A" w:rsidRPr="009772A3">
        <w:rPr>
          <w:rFonts w:asciiTheme="majorHAnsi" w:hAnsiTheme="majorHAnsi" w:cstheme="majorHAnsi"/>
          <w:sz w:val="24"/>
          <w:szCs w:val="24"/>
          <w:vertAlign w:val="baseline"/>
          <w:lang w:val="ro-MD"/>
        </w:rPr>
        <w:t>lor</w:t>
      </w:r>
      <w:r w:rsidR="003420C2" w:rsidRPr="009772A3">
        <w:rPr>
          <w:rFonts w:asciiTheme="majorHAnsi" w:hAnsiTheme="majorHAnsi" w:cstheme="majorHAnsi"/>
          <w:sz w:val="24"/>
          <w:szCs w:val="24"/>
          <w:vertAlign w:val="baseline"/>
          <w:lang w:val="ro-MD"/>
        </w:rPr>
        <w:t xml:space="preserve"> naturale</w:t>
      </w:r>
      <w:r w:rsidR="00B05AC3" w:rsidRPr="009772A3">
        <w:rPr>
          <w:rFonts w:asciiTheme="majorHAnsi" w:hAnsiTheme="majorHAnsi" w:cstheme="majorHAnsi"/>
          <w:sz w:val="24"/>
          <w:szCs w:val="24"/>
          <w:vertAlign w:val="baseline"/>
          <w:lang w:val="ro-MD"/>
        </w:rPr>
        <w:t xml:space="preserve"> și/sau </w:t>
      </w:r>
      <w:r w:rsidR="00C9762F">
        <w:rPr>
          <w:rFonts w:asciiTheme="majorHAnsi" w:hAnsiTheme="majorHAnsi" w:cstheme="majorHAnsi"/>
          <w:sz w:val="24"/>
          <w:szCs w:val="24"/>
          <w:vertAlign w:val="baseline"/>
          <w:lang w:val="ro-MD"/>
        </w:rPr>
        <w:t>la</w:t>
      </w:r>
      <w:r w:rsidR="00C9762F" w:rsidRPr="009772A3">
        <w:rPr>
          <w:rFonts w:asciiTheme="majorHAnsi" w:hAnsiTheme="majorHAnsi" w:cstheme="majorHAnsi"/>
          <w:sz w:val="24"/>
          <w:szCs w:val="24"/>
          <w:vertAlign w:val="baseline"/>
          <w:lang w:val="ro-MD"/>
        </w:rPr>
        <w:t xml:space="preserve"> </w:t>
      </w:r>
      <w:r w:rsidR="001C100A" w:rsidRPr="009772A3">
        <w:rPr>
          <w:rFonts w:asciiTheme="majorHAnsi" w:hAnsiTheme="majorHAnsi" w:cstheme="majorHAnsi"/>
          <w:sz w:val="24"/>
          <w:szCs w:val="24"/>
          <w:vertAlign w:val="baseline"/>
          <w:lang w:val="ro-MD"/>
        </w:rPr>
        <w:t>p</w:t>
      </w:r>
      <w:r w:rsidR="003420C2" w:rsidRPr="009772A3">
        <w:rPr>
          <w:rFonts w:asciiTheme="majorHAnsi" w:hAnsiTheme="majorHAnsi" w:cstheme="majorHAnsi"/>
          <w:sz w:val="24"/>
          <w:szCs w:val="24"/>
          <w:vertAlign w:val="baseline"/>
          <w:lang w:val="ro-MD"/>
        </w:rPr>
        <w:t>unct</w:t>
      </w:r>
      <w:r w:rsidR="001C100A" w:rsidRPr="009772A3">
        <w:rPr>
          <w:rFonts w:asciiTheme="majorHAnsi" w:hAnsiTheme="majorHAnsi" w:cstheme="majorHAnsi"/>
          <w:sz w:val="24"/>
          <w:szCs w:val="24"/>
          <w:vertAlign w:val="baseline"/>
          <w:lang w:val="ro-MD"/>
        </w:rPr>
        <w:t>ul</w:t>
      </w:r>
      <w:r w:rsidR="003420C2" w:rsidRPr="009772A3">
        <w:rPr>
          <w:rFonts w:asciiTheme="majorHAnsi" w:hAnsiTheme="majorHAnsi" w:cstheme="majorHAnsi"/>
          <w:sz w:val="24"/>
          <w:szCs w:val="24"/>
          <w:vertAlign w:val="baseline"/>
          <w:lang w:val="ro-MD"/>
        </w:rPr>
        <w:t xml:space="preserve"> de </w:t>
      </w:r>
      <w:r w:rsidR="001C100A" w:rsidRPr="009772A3">
        <w:rPr>
          <w:rFonts w:asciiTheme="majorHAnsi" w:hAnsiTheme="majorHAnsi" w:cstheme="majorHAnsi"/>
          <w:sz w:val="24"/>
          <w:szCs w:val="24"/>
          <w:vertAlign w:val="baseline"/>
          <w:lang w:val="ro-MD"/>
        </w:rPr>
        <w:t>r</w:t>
      </w:r>
      <w:r w:rsidR="003420C2" w:rsidRPr="009772A3">
        <w:rPr>
          <w:rFonts w:asciiTheme="majorHAnsi" w:hAnsiTheme="majorHAnsi" w:cstheme="majorHAnsi"/>
          <w:sz w:val="24"/>
          <w:szCs w:val="24"/>
          <w:vertAlign w:val="baseline"/>
          <w:lang w:val="ro-MD"/>
        </w:rPr>
        <w:t>eglare</w:t>
      </w:r>
      <w:r w:rsidR="001C100A" w:rsidRPr="009772A3">
        <w:rPr>
          <w:rFonts w:asciiTheme="majorHAnsi" w:hAnsiTheme="majorHAnsi" w:cstheme="majorHAnsi"/>
          <w:sz w:val="24"/>
          <w:szCs w:val="24"/>
          <w:vertAlign w:val="baseline"/>
          <w:lang w:val="ro-MD"/>
        </w:rPr>
        <w:t>-m</w:t>
      </w:r>
      <w:r w:rsidR="003420C2" w:rsidRPr="009772A3">
        <w:rPr>
          <w:rFonts w:asciiTheme="majorHAnsi" w:hAnsiTheme="majorHAnsi" w:cstheme="majorHAnsi"/>
          <w:sz w:val="24"/>
          <w:szCs w:val="24"/>
          <w:vertAlign w:val="baseline"/>
          <w:lang w:val="ro-MD"/>
        </w:rPr>
        <w:t xml:space="preserve">ăsurare </w:t>
      </w:r>
      <w:r w:rsidR="001C100A" w:rsidRPr="009772A3">
        <w:rPr>
          <w:rFonts w:asciiTheme="majorHAnsi" w:hAnsiTheme="majorHAnsi" w:cstheme="majorHAnsi"/>
          <w:sz w:val="24"/>
          <w:szCs w:val="24"/>
          <w:vertAlign w:val="baseline"/>
          <w:lang w:val="ro-MD"/>
        </w:rPr>
        <w:t xml:space="preserve">a </w:t>
      </w:r>
      <w:r w:rsidR="003420C2" w:rsidRPr="009772A3">
        <w:rPr>
          <w:rFonts w:asciiTheme="majorHAnsi" w:hAnsiTheme="majorHAnsi" w:cstheme="majorHAnsi"/>
          <w:sz w:val="24"/>
          <w:szCs w:val="24"/>
          <w:vertAlign w:val="baseline"/>
          <w:lang w:val="ro-MD"/>
        </w:rPr>
        <w:t>gaze</w:t>
      </w:r>
      <w:r w:rsidR="001C100A" w:rsidRPr="009772A3">
        <w:rPr>
          <w:rFonts w:asciiTheme="majorHAnsi" w:hAnsiTheme="majorHAnsi" w:cstheme="majorHAnsi"/>
          <w:sz w:val="24"/>
          <w:szCs w:val="24"/>
          <w:vertAlign w:val="baseline"/>
          <w:lang w:val="ro-MD"/>
        </w:rPr>
        <w:t>lor</w:t>
      </w:r>
      <w:r w:rsidR="003420C2" w:rsidRPr="009772A3">
        <w:rPr>
          <w:rFonts w:asciiTheme="majorHAnsi" w:hAnsiTheme="majorHAnsi" w:cstheme="majorHAnsi"/>
          <w:sz w:val="24"/>
          <w:szCs w:val="24"/>
          <w:vertAlign w:val="baseline"/>
          <w:lang w:val="ro-MD"/>
        </w:rPr>
        <w:t xml:space="preserve"> naturale</w:t>
      </w:r>
      <w:r w:rsidR="00B05AC3" w:rsidRPr="009772A3">
        <w:rPr>
          <w:rFonts w:asciiTheme="majorHAnsi" w:hAnsiTheme="majorHAnsi" w:cstheme="majorHAnsi"/>
          <w:sz w:val="24"/>
          <w:szCs w:val="24"/>
          <w:vertAlign w:val="baseline"/>
          <w:lang w:val="ro-MD"/>
        </w:rPr>
        <w:t>;</w:t>
      </w:r>
    </w:p>
    <w:p w14:paraId="669E3F49" w14:textId="13F0FF95" w:rsidR="00B05AC3" w:rsidRPr="009772A3" w:rsidRDefault="00E4340A" w:rsidP="00C9762F">
      <w:pPr>
        <w:pStyle w:val="FootnoteText"/>
        <w:numPr>
          <w:ilvl w:val="0"/>
          <w:numId w:val="24"/>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pierderil</w:t>
      </w:r>
      <w:r w:rsidR="001C100A" w:rsidRPr="009772A3">
        <w:rPr>
          <w:rFonts w:asciiTheme="majorHAnsi" w:hAnsiTheme="majorHAnsi" w:cstheme="majorHAnsi"/>
          <w:sz w:val="24"/>
          <w:szCs w:val="24"/>
          <w:vertAlign w:val="baseline"/>
          <w:lang w:val="ro-MD"/>
        </w:rPr>
        <w:t>or</w:t>
      </w:r>
      <w:r w:rsidRPr="009772A3">
        <w:rPr>
          <w:rFonts w:asciiTheme="majorHAnsi" w:hAnsiTheme="majorHAnsi" w:cstheme="majorHAnsi"/>
          <w:sz w:val="24"/>
          <w:szCs w:val="24"/>
          <w:vertAlign w:val="baseline"/>
          <w:lang w:val="ro-MD"/>
        </w:rPr>
        <w:t xml:space="preserve"> </w:t>
      </w:r>
      <w:r w:rsidR="00B05AC3" w:rsidRPr="009772A3">
        <w:rPr>
          <w:rFonts w:asciiTheme="majorHAnsi" w:hAnsiTheme="majorHAnsi" w:cstheme="majorHAnsi"/>
          <w:sz w:val="24"/>
          <w:szCs w:val="24"/>
          <w:vertAlign w:val="baseline"/>
          <w:lang w:val="ro-MD"/>
        </w:rPr>
        <w:t>în rețelele de distribuție a gazelor;</w:t>
      </w:r>
    </w:p>
    <w:p w14:paraId="5FEEB167" w14:textId="1F89B2C6" w:rsidR="00B05AC3" w:rsidRPr="009772A3" w:rsidRDefault="00E4340A" w:rsidP="00C9762F">
      <w:pPr>
        <w:pStyle w:val="FootnoteText"/>
        <w:numPr>
          <w:ilvl w:val="0"/>
          <w:numId w:val="24"/>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pierderil</w:t>
      </w:r>
      <w:r w:rsidR="001C100A" w:rsidRPr="009772A3">
        <w:rPr>
          <w:rFonts w:asciiTheme="majorHAnsi" w:hAnsiTheme="majorHAnsi" w:cstheme="majorHAnsi"/>
          <w:sz w:val="24"/>
          <w:szCs w:val="24"/>
          <w:vertAlign w:val="baseline"/>
          <w:lang w:val="ro-MD"/>
        </w:rPr>
        <w:t>or</w:t>
      </w:r>
      <w:r w:rsidRPr="009772A3">
        <w:rPr>
          <w:rFonts w:asciiTheme="majorHAnsi" w:hAnsiTheme="majorHAnsi" w:cstheme="majorHAnsi"/>
          <w:sz w:val="24"/>
          <w:szCs w:val="24"/>
          <w:vertAlign w:val="baseline"/>
          <w:lang w:val="ro-MD"/>
        </w:rPr>
        <w:t xml:space="preserve"> </w:t>
      </w:r>
      <w:r w:rsidR="00B05AC3" w:rsidRPr="009772A3">
        <w:rPr>
          <w:rFonts w:asciiTheme="majorHAnsi" w:hAnsiTheme="majorHAnsi" w:cstheme="majorHAnsi"/>
          <w:sz w:val="24"/>
          <w:szCs w:val="24"/>
          <w:vertAlign w:val="baseline"/>
          <w:lang w:val="ro-MD"/>
        </w:rPr>
        <w:t>de gaze naturale în rețelele și în instalațiile de gaze naturale ale consumatorilor finali, proprietari ai rețelelor de gaze naturale;</w:t>
      </w:r>
    </w:p>
    <w:p w14:paraId="6318AD1C" w14:textId="7381CD7C" w:rsidR="00B05AC3" w:rsidRPr="009772A3" w:rsidRDefault="00E4340A" w:rsidP="00C9762F">
      <w:pPr>
        <w:pStyle w:val="FootnoteText"/>
        <w:numPr>
          <w:ilvl w:val="0"/>
          <w:numId w:val="24"/>
        </w:numPr>
        <w:spacing w:line="276" w:lineRule="auto"/>
        <w:ind w:left="709" w:hanging="283"/>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consumuri</w:t>
      </w:r>
      <w:r w:rsidR="001C100A" w:rsidRPr="009772A3">
        <w:rPr>
          <w:rFonts w:asciiTheme="majorHAnsi" w:hAnsiTheme="majorHAnsi" w:cstheme="majorHAnsi"/>
          <w:sz w:val="24"/>
          <w:szCs w:val="24"/>
          <w:vertAlign w:val="baseline"/>
          <w:lang w:val="ro-MD"/>
        </w:rPr>
        <w:t>lor</w:t>
      </w:r>
      <w:r w:rsidRPr="009772A3">
        <w:rPr>
          <w:rFonts w:asciiTheme="majorHAnsi" w:hAnsiTheme="majorHAnsi" w:cstheme="majorHAnsi"/>
          <w:sz w:val="24"/>
          <w:szCs w:val="24"/>
          <w:vertAlign w:val="baseline"/>
          <w:lang w:val="ro-MD"/>
        </w:rPr>
        <w:t xml:space="preserve"> </w:t>
      </w:r>
      <w:r w:rsidR="00B05AC3" w:rsidRPr="009772A3">
        <w:rPr>
          <w:rFonts w:asciiTheme="majorHAnsi" w:hAnsiTheme="majorHAnsi" w:cstheme="majorHAnsi"/>
          <w:sz w:val="24"/>
          <w:szCs w:val="24"/>
          <w:vertAlign w:val="baseline"/>
          <w:lang w:val="ro-MD"/>
        </w:rPr>
        <w:t xml:space="preserve">de gaze naturale pentru necesitățile tehnologice ale </w:t>
      </w:r>
      <w:r w:rsidR="00180382" w:rsidRPr="009772A3">
        <w:rPr>
          <w:rFonts w:asciiTheme="majorHAnsi" w:hAnsiTheme="majorHAnsi" w:cstheme="majorHAnsi"/>
          <w:sz w:val="24"/>
          <w:szCs w:val="24"/>
          <w:vertAlign w:val="baseline"/>
          <w:lang w:val="ro-MD"/>
        </w:rPr>
        <w:t>ODG</w:t>
      </w:r>
      <w:r w:rsidR="00B05AC3" w:rsidRPr="009772A3">
        <w:rPr>
          <w:rFonts w:asciiTheme="majorHAnsi" w:hAnsiTheme="majorHAnsi" w:cstheme="majorHAnsi"/>
          <w:sz w:val="24"/>
          <w:szCs w:val="24"/>
          <w:vertAlign w:val="baseline"/>
          <w:lang w:val="ro-MD"/>
        </w:rPr>
        <w:t>.</w:t>
      </w:r>
    </w:p>
    <w:p w14:paraId="44B5EC34" w14:textId="009C1FE3" w:rsidR="00B05AC3" w:rsidRPr="009772A3" w:rsidRDefault="00B05AC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Acestea reprezintă consumuri tehnologice și pierderi tehnice de gaze naturale care se determină în conformitate cu Metodologia de calcul al consumurilor tehnologice și al pierderilor tehnice de gaze naturale în rețelele de distribuție</w:t>
      </w:r>
      <w:r w:rsidRPr="009772A3">
        <w:rPr>
          <w:rFonts w:asciiTheme="majorHAnsi" w:hAnsiTheme="majorHAnsi"/>
          <w:sz w:val="24"/>
          <w:szCs w:val="24"/>
          <w:lang w:val="ro-MD"/>
        </w:rPr>
        <w:footnoteReference w:id="109"/>
      </w:r>
      <w:r w:rsidRPr="009772A3">
        <w:rPr>
          <w:rFonts w:asciiTheme="majorHAnsi" w:hAnsiTheme="majorHAnsi" w:cstheme="majorHAnsi"/>
          <w:sz w:val="24"/>
          <w:szCs w:val="24"/>
          <w:vertAlign w:val="baseline"/>
          <w:lang w:val="ro-MD"/>
        </w:rPr>
        <w:t>.</w:t>
      </w:r>
    </w:p>
    <w:p w14:paraId="78C53791" w14:textId="01175D0C" w:rsidR="00DE6CE9" w:rsidRPr="009772A3" w:rsidRDefault="00280EF8"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Conform art. 46 alin. 3) din Legea </w:t>
      </w:r>
      <w:r w:rsidR="001C100A" w:rsidRPr="009772A3">
        <w:rPr>
          <w:rFonts w:asciiTheme="majorHAnsi" w:hAnsiTheme="majorHAnsi" w:cstheme="majorHAnsi"/>
          <w:sz w:val="24"/>
          <w:szCs w:val="24"/>
          <w:vertAlign w:val="baseline"/>
          <w:lang w:val="ro-MD"/>
        </w:rPr>
        <w:t>nr.</w:t>
      </w:r>
      <w:r w:rsidRPr="009772A3">
        <w:rPr>
          <w:rFonts w:asciiTheme="majorHAnsi" w:hAnsiTheme="majorHAnsi" w:cstheme="majorHAnsi"/>
          <w:sz w:val="24"/>
          <w:szCs w:val="24"/>
          <w:vertAlign w:val="baseline"/>
          <w:lang w:val="ro-MD"/>
        </w:rPr>
        <w:t>108/2016, operator</w:t>
      </w:r>
      <w:r w:rsidR="001C100A" w:rsidRPr="009772A3">
        <w:rPr>
          <w:rFonts w:asciiTheme="majorHAnsi" w:hAnsiTheme="majorHAnsi" w:cstheme="majorHAnsi"/>
          <w:sz w:val="24"/>
          <w:szCs w:val="24"/>
          <w:vertAlign w:val="baseline"/>
          <w:lang w:val="ro-MD"/>
        </w:rPr>
        <w:t>ul</w:t>
      </w:r>
      <w:r w:rsidRPr="009772A3">
        <w:rPr>
          <w:rFonts w:asciiTheme="majorHAnsi" w:hAnsiTheme="majorHAnsi" w:cstheme="majorHAnsi"/>
          <w:sz w:val="24"/>
          <w:szCs w:val="24"/>
          <w:vertAlign w:val="baseline"/>
          <w:lang w:val="ro-MD"/>
        </w:rPr>
        <w:t xml:space="preserve"> sistemului de distribuție procură gazele naturale necesare pentru a acoperi consumul tehnologic și pierderile de gaze naturale din rețelele de distribuție a gazelor naturale și menține rezerva de capacitate din rețelele sale. Reieșind din cele menționate</w:t>
      </w:r>
      <w:r w:rsidR="001C100A"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se constată că volumul de gaze existent permanent în rețelele de distribuție urmează a fi reflectat în evidența contabilă a </w:t>
      </w:r>
      <w:r w:rsidR="00DE6CE9" w:rsidRPr="009772A3">
        <w:rPr>
          <w:rFonts w:asciiTheme="majorHAnsi" w:hAnsiTheme="majorHAnsi" w:cstheme="majorHAnsi"/>
          <w:sz w:val="24"/>
          <w:szCs w:val="24"/>
          <w:vertAlign w:val="baseline"/>
          <w:lang w:val="ro-MD"/>
        </w:rPr>
        <w:t>OSD, însă aceștia nu contabilizează acest stoc de gaze</w:t>
      </w:r>
      <w:r w:rsidR="00232688" w:rsidRPr="009772A3">
        <w:rPr>
          <w:rFonts w:asciiTheme="majorHAnsi" w:hAnsiTheme="majorHAnsi" w:cstheme="majorHAnsi"/>
          <w:sz w:val="24"/>
          <w:szCs w:val="24"/>
          <w:vertAlign w:val="baseline"/>
          <w:lang w:val="ro-MD"/>
        </w:rPr>
        <w:t xml:space="preserve">, acesta fiind reflectat în evidență contabilă la cheltuieli, </w:t>
      </w:r>
      <w:r w:rsidR="003A5B57" w:rsidRPr="009772A3">
        <w:rPr>
          <w:rFonts w:asciiTheme="majorHAnsi" w:hAnsiTheme="majorHAnsi" w:cstheme="majorHAnsi"/>
          <w:sz w:val="24"/>
          <w:szCs w:val="24"/>
          <w:vertAlign w:val="baseline"/>
          <w:lang w:val="ro-MD"/>
        </w:rPr>
        <w:t xml:space="preserve">ca </w:t>
      </w:r>
      <w:r w:rsidR="00232688" w:rsidRPr="009772A3">
        <w:rPr>
          <w:rFonts w:asciiTheme="majorHAnsi" w:hAnsiTheme="majorHAnsi" w:cstheme="majorHAnsi"/>
          <w:sz w:val="24"/>
          <w:szCs w:val="24"/>
          <w:vertAlign w:val="baseline"/>
          <w:lang w:val="ro-MD"/>
        </w:rPr>
        <w:t>urmare a procurării acestuia ca pierdere și consum tehnologic</w:t>
      </w:r>
      <w:r w:rsidR="00DE6CE9" w:rsidRPr="009772A3">
        <w:rPr>
          <w:rFonts w:asciiTheme="majorHAnsi" w:hAnsiTheme="majorHAnsi" w:cstheme="majorHAnsi"/>
          <w:sz w:val="24"/>
          <w:szCs w:val="24"/>
          <w:vertAlign w:val="baseline"/>
          <w:lang w:val="ro-MD"/>
        </w:rPr>
        <w:t xml:space="preserve">. De exemplu, </w:t>
      </w:r>
      <w:r w:rsidRPr="009772A3">
        <w:rPr>
          <w:rFonts w:asciiTheme="majorHAnsi" w:hAnsiTheme="majorHAnsi" w:cstheme="majorHAnsi"/>
          <w:sz w:val="24"/>
          <w:szCs w:val="24"/>
          <w:vertAlign w:val="baseline"/>
          <w:lang w:val="ro-MD"/>
        </w:rPr>
        <w:t xml:space="preserve">SRL „Chișinău-gaz” </w:t>
      </w:r>
      <w:r w:rsidR="00DE6CE9" w:rsidRPr="009772A3">
        <w:rPr>
          <w:rFonts w:asciiTheme="majorHAnsi" w:hAnsiTheme="majorHAnsi" w:cstheme="majorHAnsi"/>
          <w:sz w:val="24"/>
          <w:szCs w:val="24"/>
          <w:vertAlign w:val="baseline"/>
          <w:lang w:val="ro-MD"/>
        </w:rPr>
        <w:t>la situația din 31.12.2021 avea în rețelele de distribuție</w:t>
      </w:r>
      <w:r w:rsidR="00232688" w:rsidRPr="009772A3">
        <w:rPr>
          <w:rFonts w:asciiTheme="majorHAnsi" w:hAnsiTheme="majorHAnsi" w:cstheme="majorHAnsi"/>
          <w:sz w:val="24"/>
          <w:szCs w:val="24"/>
          <w:vertAlign w:val="baseline"/>
          <w:lang w:val="ro-MD"/>
        </w:rPr>
        <w:t>,</w:t>
      </w:r>
      <w:r w:rsidR="00DE6CE9" w:rsidRPr="009772A3">
        <w:rPr>
          <w:rFonts w:asciiTheme="majorHAnsi" w:hAnsiTheme="majorHAnsi" w:cstheme="majorHAnsi"/>
          <w:sz w:val="24"/>
          <w:szCs w:val="24"/>
          <w:vertAlign w:val="baseline"/>
          <w:lang w:val="ro-MD"/>
        </w:rPr>
        <w:t xml:space="preserve"> gaze naturale </w:t>
      </w:r>
      <w:r w:rsidR="00232688" w:rsidRPr="009772A3">
        <w:rPr>
          <w:rFonts w:asciiTheme="majorHAnsi" w:hAnsiTheme="majorHAnsi" w:cstheme="majorHAnsi"/>
          <w:sz w:val="24"/>
          <w:szCs w:val="24"/>
          <w:vertAlign w:val="baseline"/>
          <w:lang w:val="ro-MD"/>
        </w:rPr>
        <w:t>în</w:t>
      </w:r>
      <w:r w:rsidR="00DE6CE9" w:rsidRPr="009772A3">
        <w:rPr>
          <w:rFonts w:asciiTheme="majorHAnsi" w:hAnsiTheme="majorHAnsi" w:cstheme="majorHAnsi"/>
          <w:sz w:val="24"/>
          <w:szCs w:val="24"/>
          <w:vertAlign w:val="baseline"/>
          <w:lang w:val="ro-MD"/>
        </w:rPr>
        <w:t xml:space="preserve"> volum de 283</w:t>
      </w:r>
      <w:r w:rsidR="000F25B5" w:rsidRPr="009772A3">
        <w:rPr>
          <w:rFonts w:asciiTheme="majorHAnsi" w:hAnsiTheme="majorHAnsi" w:cstheme="majorHAnsi"/>
          <w:sz w:val="24"/>
          <w:szCs w:val="24"/>
          <w:vertAlign w:val="baseline"/>
          <w:lang w:val="ro-MD"/>
        </w:rPr>
        <w:t>.</w:t>
      </w:r>
      <w:r w:rsidR="00DE6CE9" w:rsidRPr="009772A3">
        <w:rPr>
          <w:rFonts w:asciiTheme="majorHAnsi" w:hAnsiTheme="majorHAnsi" w:cstheme="majorHAnsi"/>
          <w:sz w:val="24"/>
          <w:szCs w:val="24"/>
          <w:vertAlign w:val="baseline"/>
          <w:lang w:val="ro-MD"/>
        </w:rPr>
        <w:t>528,53</w:t>
      </w:r>
      <w:r w:rsidR="004C0F8F" w:rsidRPr="009772A3">
        <w:rPr>
          <w:rFonts w:asciiTheme="majorHAnsi" w:hAnsiTheme="majorHAnsi" w:cstheme="majorHAnsi"/>
          <w:sz w:val="24"/>
          <w:szCs w:val="24"/>
          <w:vertAlign w:val="baseline"/>
          <w:lang w:val="ro-MD"/>
        </w:rPr>
        <w:t xml:space="preserve"> </w:t>
      </w:r>
      <w:r w:rsidR="00DE6CE9" w:rsidRPr="009772A3">
        <w:rPr>
          <w:rFonts w:asciiTheme="majorHAnsi" w:hAnsiTheme="majorHAnsi" w:cstheme="majorHAnsi"/>
          <w:sz w:val="24"/>
          <w:szCs w:val="24"/>
          <w:vertAlign w:val="baseline"/>
          <w:lang w:val="ro-MD"/>
        </w:rPr>
        <w:t>m</w:t>
      </w:r>
      <w:r w:rsidR="00DE6CE9" w:rsidRPr="009772A3">
        <w:rPr>
          <w:rFonts w:asciiTheme="majorHAnsi" w:hAnsiTheme="majorHAnsi" w:cstheme="majorHAnsi"/>
          <w:sz w:val="24"/>
          <w:szCs w:val="24"/>
          <w:lang w:val="ro-MD"/>
        </w:rPr>
        <w:t>3</w:t>
      </w:r>
      <w:r w:rsidR="00232688" w:rsidRPr="009772A3">
        <w:rPr>
          <w:rFonts w:asciiTheme="majorHAnsi" w:hAnsiTheme="majorHAnsi" w:cstheme="majorHAnsi"/>
          <w:sz w:val="24"/>
          <w:szCs w:val="24"/>
          <w:vertAlign w:val="baseline"/>
          <w:lang w:val="ro-MD"/>
        </w:rPr>
        <w:t>, în</w:t>
      </w:r>
      <w:r w:rsidR="00DE6CE9" w:rsidRPr="009772A3">
        <w:rPr>
          <w:rFonts w:asciiTheme="majorHAnsi" w:hAnsiTheme="majorHAnsi" w:cstheme="majorHAnsi"/>
          <w:sz w:val="24"/>
          <w:szCs w:val="24"/>
          <w:vertAlign w:val="baseline"/>
          <w:lang w:val="ro-MD"/>
        </w:rPr>
        <w:t xml:space="preserve"> valoare</w:t>
      </w:r>
      <w:r w:rsidR="00232688" w:rsidRPr="009772A3">
        <w:rPr>
          <w:rFonts w:asciiTheme="majorHAnsi" w:hAnsiTheme="majorHAnsi" w:cstheme="majorHAnsi"/>
          <w:sz w:val="24"/>
          <w:szCs w:val="24"/>
          <w:vertAlign w:val="baseline"/>
          <w:lang w:val="ro-MD"/>
        </w:rPr>
        <w:t xml:space="preserve"> de </w:t>
      </w:r>
      <w:r w:rsidR="00DE6CE9" w:rsidRPr="009772A3">
        <w:rPr>
          <w:rFonts w:asciiTheme="majorHAnsi" w:hAnsiTheme="majorHAnsi" w:cstheme="majorHAnsi"/>
          <w:sz w:val="24"/>
          <w:szCs w:val="24"/>
          <w:vertAlign w:val="baseline"/>
          <w:lang w:val="ro-MD"/>
        </w:rPr>
        <w:t>2</w:t>
      </w:r>
      <w:r w:rsidR="00AF42F9" w:rsidRPr="009772A3">
        <w:rPr>
          <w:rFonts w:asciiTheme="majorHAnsi" w:hAnsiTheme="majorHAnsi" w:cstheme="majorHAnsi"/>
          <w:sz w:val="24"/>
          <w:szCs w:val="24"/>
          <w:vertAlign w:val="baseline"/>
          <w:lang w:val="ro-MD"/>
        </w:rPr>
        <w:t>.</w:t>
      </w:r>
      <w:r w:rsidR="00DE6CE9" w:rsidRPr="009772A3">
        <w:rPr>
          <w:rFonts w:asciiTheme="majorHAnsi" w:hAnsiTheme="majorHAnsi" w:cstheme="majorHAnsi"/>
          <w:sz w:val="24"/>
          <w:szCs w:val="24"/>
          <w:vertAlign w:val="baseline"/>
          <w:lang w:val="ro-MD"/>
        </w:rPr>
        <w:t>484,9 mii lei</w:t>
      </w:r>
      <w:r w:rsidR="00DE6CE9" w:rsidRPr="009772A3">
        <w:rPr>
          <w:rFonts w:asciiTheme="majorHAnsi" w:hAnsiTheme="majorHAnsi"/>
          <w:sz w:val="24"/>
          <w:szCs w:val="24"/>
          <w:lang w:val="ro-MD"/>
        </w:rPr>
        <w:footnoteReference w:id="110"/>
      </w:r>
      <w:r w:rsidR="00232688" w:rsidRPr="009772A3">
        <w:rPr>
          <w:rFonts w:asciiTheme="majorHAnsi" w:hAnsiTheme="majorHAnsi" w:cstheme="majorHAnsi"/>
          <w:sz w:val="24"/>
          <w:szCs w:val="24"/>
          <w:vertAlign w:val="baseline"/>
          <w:lang w:val="ro-MD"/>
        </w:rPr>
        <w:t>, care nu este contabilizat</w:t>
      </w:r>
      <w:r w:rsidR="00DE6CE9" w:rsidRPr="009772A3">
        <w:rPr>
          <w:rFonts w:asciiTheme="majorHAnsi" w:hAnsiTheme="majorHAnsi" w:cstheme="majorHAnsi"/>
          <w:sz w:val="24"/>
          <w:szCs w:val="24"/>
          <w:vertAlign w:val="baseline"/>
          <w:lang w:val="ro-MD"/>
        </w:rPr>
        <w:t>.</w:t>
      </w:r>
    </w:p>
    <w:p w14:paraId="6CFE8ED1" w14:textId="548B512F" w:rsidR="00BA3913" w:rsidRPr="009772A3" w:rsidRDefault="00BA391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Procesul de distribuție este însoțit de pierderi inevitabile de gaze naturale. Pierderile de gaze în rețelele de distribuție și instalațiile de utilizare </w:t>
      </w:r>
      <w:r w:rsidR="003A5B57" w:rsidRPr="009772A3">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gaze</w:t>
      </w:r>
      <w:r w:rsidR="003A5B57" w:rsidRPr="009772A3">
        <w:rPr>
          <w:rFonts w:asciiTheme="majorHAnsi" w:hAnsiTheme="majorHAnsi" w:cstheme="majorHAnsi"/>
          <w:sz w:val="24"/>
          <w:szCs w:val="24"/>
          <w:vertAlign w:val="baseline"/>
          <w:lang w:val="ro-MD"/>
        </w:rPr>
        <w:t>lor</w:t>
      </w:r>
      <w:r w:rsidRPr="009772A3">
        <w:rPr>
          <w:rFonts w:asciiTheme="majorHAnsi" w:hAnsiTheme="majorHAnsi" w:cstheme="majorHAnsi"/>
          <w:sz w:val="24"/>
          <w:szCs w:val="24"/>
          <w:vertAlign w:val="baseline"/>
          <w:lang w:val="ro-MD"/>
        </w:rPr>
        <w:t xml:space="preserve"> ale consumatorilor sunt alcătuite din pierderi tehnice și pierderi comerciale.</w:t>
      </w:r>
    </w:p>
    <w:p w14:paraId="7CB9DB16" w14:textId="6E031346" w:rsidR="00BA3913" w:rsidRPr="009772A3" w:rsidRDefault="00BA391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Pierderile tehnice reprezintă volumul emisiilor de gaze din elementele rețelelor de distribuție și instalațiilor de utilizare, cauzate de neetanșeitatea lor (scăpări în urma deteriorărilor), eroarea echipamentelor de măsurare, cât și neestimarea modificării stării gazelor măsurate </w:t>
      </w:r>
      <w:r w:rsidR="003A5B57" w:rsidRPr="009772A3">
        <w:rPr>
          <w:rFonts w:asciiTheme="majorHAnsi" w:hAnsiTheme="majorHAnsi" w:cstheme="majorHAnsi"/>
          <w:sz w:val="24"/>
          <w:szCs w:val="24"/>
          <w:vertAlign w:val="baseline"/>
          <w:lang w:val="ro-MD"/>
        </w:rPr>
        <w:t>ca</w:t>
      </w:r>
      <w:r w:rsidRPr="009772A3">
        <w:rPr>
          <w:rFonts w:asciiTheme="majorHAnsi" w:hAnsiTheme="majorHAnsi" w:cstheme="majorHAnsi"/>
          <w:sz w:val="24"/>
          <w:szCs w:val="24"/>
          <w:vertAlign w:val="baseline"/>
          <w:lang w:val="ro-MD"/>
        </w:rPr>
        <w:t xml:space="preserve"> rezultat</w:t>
      </w:r>
      <w:r w:rsidR="003A5B57" w:rsidRPr="009772A3">
        <w:rPr>
          <w:rFonts w:asciiTheme="majorHAnsi" w:hAnsiTheme="majorHAnsi" w:cstheme="majorHAnsi"/>
          <w:sz w:val="24"/>
          <w:szCs w:val="24"/>
          <w:vertAlign w:val="baseline"/>
          <w:lang w:val="ro-MD"/>
        </w:rPr>
        <w:t xml:space="preserve"> al</w:t>
      </w:r>
      <w:r w:rsidRPr="009772A3">
        <w:rPr>
          <w:rFonts w:asciiTheme="majorHAnsi" w:hAnsiTheme="majorHAnsi" w:cstheme="majorHAnsi"/>
          <w:sz w:val="24"/>
          <w:szCs w:val="24"/>
          <w:vertAlign w:val="baseline"/>
          <w:lang w:val="ro-MD"/>
        </w:rPr>
        <w:t xml:space="preserve"> schimbării factorilor influenți (presiunea și temperatura).</w:t>
      </w:r>
    </w:p>
    <w:p w14:paraId="0116E23E" w14:textId="27266E71" w:rsidR="00BA3913" w:rsidRPr="009772A3" w:rsidRDefault="00BA391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Pierderile comerciale sunt condiționate de trei factori principali: consumul fraudulos de gaze; eficiența scăzută a măsurărilor, care este dictată de nivelul tehnico-științific de dezvoltare a societății la momentul actual; imposibilitatea asigurării la nivelul actual a controlului perfect asupra procesului de utilizare </w:t>
      </w:r>
      <w:r w:rsidR="004C0F8F" w:rsidRPr="009772A3">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gaze</w:t>
      </w:r>
      <w:r w:rsidR="004C0F8F" w:rsidRPr="009772A3">
        <w:rPr>
          <w:rFonts w:asciiTheme="majorHAnsi" w:hAnsiTheme="majorHAnsi" w:cstheme="majorHAnsi"/>
          <w:sz w:val="24"/>
          <w:szCs w:val="24"/>
          <w:vertAlign w:val="baseline"/>
          <w:lang w:val="ro-MD"/>
        </w:rPr>
        <w:t>lor</w:t>
      </w:r>
      <w:r w:rsidRPr="009772A3">
        <w:rPr>
          <w:rFonts w:asciiTheme="majorHAnsi" w:hAnsiTheme="majorHAnsi" w:cstheme="majorHAnsi"/>
          <w:sz w:val="24"/>
          <w:szCs w:val="24"/>
          <w:vertAlign w:val="baseline"/>
          <w:lang w:val="ro-MD"/>
        </w:rPr>
        <w:t xml:space="preserve"> cu metodele disponibile în prezent.</w:t>
      </w:r>
    </w:p>
    <w:p w14:paraId="65F212C1" w14:textId="1F598AC2" w:rsidR="00BA3913" w:rsidRPr="009772A3" w:rsidRDefault="00BA391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În multe cazuri depistarea și demonstrarea în instanța de judecată a consumului fraudulos de gaze este dificilă </w:t>
      </w:r>
      <w:r w:rsidR="003A5B57" w:rsidRPr="009772A3">
        <w:rPr>
          <w:rFonts w:asciiTheme="majorHAnsi" w:hAnsiTheme="majorHAnsi" w:cstheme="majorHAnsi"/>
          <w:sz w:val="24"/>
          <w:szCs w:val="24"/>
          <w:vertAlign w:val="baseline"/>
          <w:lang w:val="ro-MD"/>
        </w:rPr>
        <w:t xml:space="preserve">din cauza </w:t>
      </w:r>
      <w:r w:rsidRPr="009772A3">
        <w:rPr>
          <w:rFonts w:asciiTheme="majorHAnsi" w:hAnsiTheme="majorHAnsi" w:cstheme="majorHAnsi"/>
          <w:sz w:val="24"/>
          <w:szCs w:val="24"/>
          <w:vertAlign w:val="baseline"/>
          <w:lang w:val="ro-MD"/>
        </w:rPr>
        <w:t>metodelor sofisticate utilizate de consumatori (de exemplu</w:t>
      </w:r>
      <w:r w:rsidR="003A5B57"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aplicarea magneților puternici din neodim, contrafacerea/falsificarea sigiliilor aplicate de uzina</w:t>
      </w:r>
      <w:r w:rsidR="003A5B57"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producătoare sau verificatorii de stat etc.).</w:t>
      </w:r>
    </w:p>
    <w:p w14:paraId="12C652BB" w14:textId="0DF872B6" w:rsidR="00BA3913" w:rsidRPr="009772A3" w:rsidRDefault="00BA3913" w:rsidP="008F58F6">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 acest context</w:t>
      </w:r>
      <w:r w:rsidR="003A5B57"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menționăm că </w:t>
      </w:r>
      <w:r w:rsidR="003A5B57" w:rsidRPr="009772A3">
        <w:rPr>
          <w:rFonts w:asciiTheme="majorHAnsi" w:hAnsiTheme="majorHAnsi" w:cstheme="majorHAnsi"/>
          <w:sz w:val="24"/>
          <w:szCs w:val="24"/>
          <w:vertAlign w:val="baseline"/>
          <w:lang w:val="ro-MD"/>
        </w:rPr>
        <w:t>potrivit</w:t>
      </w:r>
      <w:r w:rsidR="00954793" w:rsidRPr="009772A3">
        <w:rPr>
          <w:rFonts w:asciiTheme="majorHAnsi" w:hAnsiTheme="majorHAnsi" w:cstheme="majorHAnsi"/>
          <w:sz w:val="24"/>
          <w:szCs w:val="24"/>
          <w:vertAlign w:val="baseline"/>
          <w:lang w:val="ro-MD"/>
        </w:rPr>
        <w:t xml:space="preserve"> datelor </w:t>
      </w:r>
      <w:r w:rsidR="00CE3597" w:rsidRPr="009772A3">
        <w:rPr>
          <w:rFonts w:asciiTheme="majorHAnsi" w:hAnsiTheme="majorHAnsi" w:cstheme="majorHAnsi"/>
          <w:sz w:val="24"/>
          <w:szCs w:val="24"/>
          <w:vertAlign w:val="baseline"/>
          <w:lang w:val="ro-MD"/>
        </w:rPr>
        <w:t xml:space="preserve">SA Moldovagaz </w:t>
      </w:r>
      <w:r w:rsidRPr="009772A3">
        <w:rPr>
          <w:rFonts w:asciiTheme="majorHAnsi" w:hAnsiTheme="majorHAnsi" w:cstheme="majorHAnsi"/>
          <w:sz w:val="24"/>
          <w:szCs w:val="24"/>
          <w:vertAlign w:val="baseline"/>
          <w:lang w:val="ro-MD"/>
        </w:rPr>
        <w:t>la situația din 31.12.2021</w:t>
      </w:r>
      <w:r w:rsidR="003A5B57"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r w:rsidR="00954793" w:rsidRPr="009772A3">
        <w:rPr>
          <w:rFonts w:asciiTheme="majorHAnsi" w:hAnsiTheme="majorHAnsi" w:cstheme="majorHAnsi"/>
          <w:sz w:val="24"/>
          <w:szCs w:val="24"/>
          <w:vertAlign w:val="baseline"/>
          <w:lang w:val="ro-MD"/>
        </w:rPr>
        <w:t>din 750</w:t>
      </w:r>
      <w:r w:rsidR="003A5B57" w:rsidRPr="009772A3">
        <w:rPr>
          <w:rFonts w:asciiTheme="majorHAnsi" w:hAnsiTheme="majorHAnsi" w:cstheme="majorHAnsi"/>
          <w:sz w:val="24"/>
          <w:szCs w:val="24"/>
          <w:vertAlign w:val="baseline"/>
          <w:lang w:val="ro-MD"/>
        </w:rPr>
        <w:t>.</w:t>
      </w:r>
      <w:r w:rsidR="00954793" w:rsidRPr="009772A3">
        <w:rPr>
          <w:rFonts w:asciiTheme="majorHAnsi" w:hAnsiTheme="majorHAnsi" w:cstheme="majorHAnsi"/>
          <w:sz w:val="24"/>
          <w:szCs w:val="24"/>
          <w:vertAlign w:val="baseline"/>
          <w:lang w:val="ro-MD"/>
        </w:rPr>
        <w:t xml:space="preserve">365 </w:t>
      </w:r>
      <w:r w:rsidR="00071CF2" w:rsidRPr="009772A3">
        <w:rPr>
          <w:rFonts w:asciiTheme="majorHAnsi" w:hAnsiTheme="majorHAnsi" w:cstheme="majorHAnsi"/>
          <w:sz w:val="24"/>
          <w:szCs w:val="24"/>
          <w:vertAlign w:val="baseline"/>
          <w:lang w:val="ro-MD"/>
        </w:rPr>
        <w:t xml:space="preserve">de </w:t>
      </w:r>
      <w:r w:rsidR="00954793" w:rsidRPr="009772A3">
        <w:rPr>
          <w:rFonts w:asciiTheme="majorHAnsi" w:hAnsiTheme="majorHAnsi" w:cstheme="majorHAnsi"/>
          <w:sz w:val="24"/>
          <w:szCs w:val="24"/>
          <w:vertAlign w:val="baseline"/>
          <w:lang w:val="ro-MD"/>
        </w:rPr>
        <w:t>consumatori</w:t>
      </w:r>
      <w:r w:rsidR="00071CF2" w:rsidRPr="009772A3">
        <w:rPr>
          <w:rFonts w:asciiTheme="majorHAnsi" w:hAnsiTheme="majorHAnsi" w:cstheme="majorHAnsi"/>
          <w:sz w:val="24"/>
          <w:szCs w:val="24"/>
          <w:vertAlign w:val="baseline"/>
          <w:lang w:val="ro-MD"/>
        </w:rPr>
        <w:t xml:space="preserve"> nu</w:t>
      </w:r>
      <w:r w:rsidR="00954793" w:rsidRPr="009772A3">
        <w:rPr>
          <w:rFonts w:asciiTheme="majorHAnsi" w:hAnsiTheme="majorHAnsi" w:cstheme="majorHAnsi"/>
          <w:sz w:val="24"/>
          <w:szCs w:val="24"/>
          <w:vertAlign w:val="baseline"/>
          <w:lang w:val="ro-MD"/>
        </w:rPr>
        <w:t xml:space="preserve"> erau contorizați 22</w:t>
      </w:r>
      <w:r w:rsidR="003A5B57" w:rsidRPr="009772A3">
        <w:rPr>
          <w:rFonts w:asciiTheme="majorHAnsi" w:hAnsiTheme="majorHAnsi" w:cstheme="majorHAnsi"/>
          <w:sz w:val="24"/>
          <w:szCs w:val="24"/>
          <w:vertAlign w:val="baseline"/>
          <w:lang w:val="ro-MD"/>
        </w:rPr>
        <w:t>.</w:t>
      </w:r>
      <w:r w:rsidR="00954793" w:rsidRPr="009772A3">
        <w:rPr>
          <w:rFonts w:asciiTheme="majorHAnsi" w:hAnsiTheme="majorHAnsi" w:cstheme="majorHAnsi"/>
          <w:sz w:val="24"/>
          <w:szCs w:val="24"/>
          <w:vertAlign w:val="baseline"/>
          <w:lang w:val="ro-MD"/>
        </w:rPr>
        <w:t xml:space="preserve">136 </w:t>
      </w:r>
      <w:r w:rsidR="003A5B57" w:rsidRPr="009772A3">
        <w:rPr>
          <w:rFonts w:asciiTheme="majorHAnsi" w:hAnsiTheme="majorHAnsi" w:cstheme="majorHAnsi"/>
          <w:sz w:val="24"/>
          <w:szCs w:val="24"/>
          <w:vertAlign w:val="baseline"/>
          <w:lang w:val="ro-MD"/>
        </w:rPr>
        <w:t xml:space="preserve">de </w:t>
      </w:r>
      <w:r w:rsidR="00954793" w:rsidRPr="009772A3">
        <w:rPr>
          <w:rFonts w:asciiTheme="majorHAnsi" w:hAnsiTheme="majorHAnsi" w:cstheme="majorHAnsi"/>
          <w:sz w:val="24"/>
          <w:szCs w:val="24"/>
          <w:vertAlign w:val="baseline"/>
          <w:lang w:val="ro-MD"/>
        </w:rPr>
        <w:t>consumatori</w:t>
      </w:r>
      <w:r w:rsidR="00CE3597" w:rsidRPr="009772A3">
        <w:rPr>
          <w:rFonts w:asciiTheme="majorHAnsi" w:hAnsiTheme="majorHAnsi" w:cstheme="majorHAnsi"/>
          <w:sz w:val="24"/>
          <w:szCs w:val="24"/>
          <w:vertAlign w:val="baseline"/>
          <w:lang w:val="ro-MD"/>
        </w:rPr>
        <w:t xml:space="preserve"> (circa 3%), comparativ cu situația din 31.12.2017 c</w:t>
      </w:r>
      <w:r w:rsidR="003A5B57" w:rsidRPr="009772A3">
        <w:rPr>
          <w:rFonts w:asciiTheme="majorHAnsi" w:hAnsiTheme="majorHAnsi" w:cstheme="majorHAnsi"/>
          <w:sz w:val="24"/>
          <w:szCs w:val="24"/>
          <w:vertAlign w:val="baseline"/>
          <w:lang w:val="ro-MD"/>
        </w:rPr>
        <w:t>â</w:t>
      </w:r>
      <w:r w:rsidR="00CE3597" w:rsidRPr="009772A3">
        <w:rPr>
          <w:rFonts w:asciiTheme="majorHAnsi" w:hAnsiTheme="majorHAnsi" w:cstheme="majorHAnsi"/>
          <w:sz w:val="24"/>
          <w:szCs w:val="24"/>
          <w:vertAlign w:val="baseline"/>
          <w:lang w:val="ro-MD"/>
        </w:rPr>
        <w:t>nd din 691</w:t>
      </w:r>
      <w:r w:rsidR="003A5B57" w:rsidRPr="009772A3">
        <w:rPr>
          <w:rFonts w:asciiTheme="majorHAnsi" w:hAnsiTheme="majorHAnsi" w:cstheme="majorHAnsi"/>
          <w:sz w:val="24"/>
          <w:szCs w:val="24"/>
          <w:vertAlign w:val="baseline"/>
          <w:lang w:val="ro-MD"/>
        </w:rPr>
        <w:t>.</w:t>
      </w:r>
      <w:r w:rsidR="00CE3597" w:rsidRPr="009772A3">
        <w:rPr>
          <w:rFonts w:asciiTheme="majorHAnsi" w:hAnsiTheme="majorHAnsi" w:cstheme="majorHAnsi"/>
          <w:sz w:val="24"/>
          <w:szCs w:val="24"/>
          <w:vertAlign w:val="baseline"/>
          <w:lang w:val="ro-MD"/>
        </w:rPr>
        <w:t xml:space="preserve">578 </w:t>
      </w:r>
      <w:r w:rsidR="003A5B57" w:rsidRPr="009772A3">
        <w:rPr>
          <w:rFonts w:asciiTheme="majorHAnsi" w:hAnsiTheme="majorHAnsi" w:cstheme="majorHAnsi"/>
          <w:sz w:val="24"/>
          <w:szCs w:val="24"/>
          <w:vertAlign w:val="baseline"/>
          <w:lang w:val="ro-MD"/>
        </w:rPr>
        <w:t xml:space="preserve">de </w:t>
      </w:r>
      <w:r w:rsidR="00CE3597" w:rsidRPr="009772A3">
        <w:rPr>
          <w:rFonts w:asciiTheme="majorHAnsi" w:hAnsiTheme="majorHAnsi" w:cstheme="majorHAnsi"/>
          <w:sz w:val="24"/>
          <w:szCs w:val="24"/>
          <w:vertAlign w:val="baseline"/>
          <w:lang w:val="ro-MD"/>
        </w:rPr>
        <w:t>consumatori nu erau contorizați 32</w:t>
      </w:r>
      <w:r w:rsidR="003A5B57" w:rsidRPr="009772A3">
        <w:rPr>
          <w:rFonts w:asciiTheme="majorHAnsi" w:hAnsiTheme="majorHAnsi" w:cstheme="majorHAnsi"/>
          <w:sz w:val="24"/>
          <w:szCs w:val="24"/>
          <w:vertAlign w:val="baseline"/>
          <w:lang w:val="ro-MD"/>
        </w:rPr>
        <w:t>.</w:t>
      </w:r>
      <w:r w:rsidR="00CE3597" w:rsidRPr="009772A3">
        <w:rPr>
          <w:rFonts w:asciiTheme="majorHAnsi" w:hAnsiTheme="majorHAnsi" w:cstheme="majorHAnsi"/>
          <w:sz w:val="24"/>
          <w:szCs w:val="24"/>
          <w:vertAlign w:val="baseline"/>
          <w:lang w:val="ro-MD"/>
        </w:rPr>
        <w:t xml:space="preserve">801 </w:t>
      </w:r>
      <w:r w:rsidR="00092DF2" w:rsidRPr="009772A3">
        <w:rPr>
          <w:rFonts w:asciiTheme="majorHAnsi" w:hAnsiTheme="majorHAnsi" w:cstheme="majorHAnsi"/>
          <w:sz w:val="24"/>
          <w:szCs w:val="24"/>
          <w:vertAlign w:val="baseline"/>
          <w:lang w:val="ro-MD"/>
        </w:rPr>
        <w:t xml:space="preserve">(circa 4,7%) </w:t>
      </w:r>
      <w:r w:rsidR="00CE3597" w:rsidRPr="009772A3">
        <w:rPr>
          <w:rFonts w:asciiTheme="majorHAnsi" w:hAnsiTheme="majorHAnsi" w:cstheme="majorHAnsi"/>
          <w:sz w:val="24"/>
          <w:szCs w:val="24"/>
          <w:vertAlign w:val="baseline"/>
          <w:lang w:val="ro-MD"/>
        </w:rPr>
        <w:t>consumatori</w:t>
      </w:r>
      <w:r w:rsidR="00954793" w:rsidRPr="009772A3">
        <w:rPr>
          <w:rFonts w:asciiTheme="majorHAnsi" w:hAnsiTheme="majorHAnsi" w:cstheme="majorHAnsi"/>
          <w:sz w:val="24"/>
          <w:szCs w:val="24"/>
          <w:vertAlign w:val="baseline"/>
          <w:lang w:val="ro-MD"/>
        </w:rPr>
        <w:t xml:space="preserve">. </w:t>
      </w:r>
      <w:r w:rsidR="00CE3597" w:rsidRPr="009772A3">
        <w:rPr>
          <w:rFonts w:asciiTheme="majorHAnsi" w:hAnsiTheme="majorHAnsi" w:cstheme="majorHAnsi"/>
          <w:sz w:val="24"/>
          <w:szCs w:val="24"/>
          <w:vertAlign w:val="baseline"/>
          <w:lang w:val="ro-MD"/>
        </w:rPr>
        <w:t>De menționat că</w:t>
      </w:r>
      <w:r w:rsidR="003A5B57" w:rsidRPr="009772A3">
        <w:rPr>
          <w:rFonts w:asciiTheme="majorHAnsi" w:hAnsiTheme="majorHAnsi" w:cstheme="majorHAnsi"/>
          <w:sz w:val="24"/>
          <w:szCs w:val="24"/>
          <w:vertAlign w:val="baseline"/>
          <w:lang w:val="ro-MD"/>
        </w:rPr>
        <w:t>,</w:t>
      </w:r>
      <w:r w:rsidR="00CE3597" w:rsidRPr="009772A3">
        <w:rPr>
          <w:rFonts w:asciiTheme="majorHAnsi" w:hAnsiTheme="majorHAnsi" w:cstheme="majorHAnsi"/>
          <w:sz w:val="24"/>
          <w:szCs w:val="24"/>
          <w:vertAlign w:val="baseline"/>
          <w:lang w:val="ro-MD"/>
        </w:rPr>
        <w:t xml:space="preserve"> la situația din 31.12.2021, </w:t>
      </w:r>
      <w:r w:rsidR="00954793" w:rsidRPr="009772A3">
        <w:rPr>
          <w:rFonts w:asciiTheme="majorHAnsi" w:hAnsiTheme="majorHAnsi" w:cstheme="majorHAnsi"/>
          <w:sz w:val="24"/>
          <w:szCs w:val="24"/>
          <w:vertAlign w:val="baseline"/>
          <w:lang w:val="ro-MD"/>
        </w:rPr>
        <w:t>conform datelor</w:t>
      </w:r>
      <w:r w:rsidR="00CE3597" w:rsidRPr="009772A3">
        <w:rPr>
          <w:rFonts w:asciiTheme="majorHAnsi" w:hAnsiTheme="majorHAnsi" w:cstheme="majorHAnsi"/>
          <w:sz w:val="24"/>
          <w:szCs w:val="24"/>
          <w:vertAlign w:val="baseline"/>
          <w:lang w:val="ro-MD"/>
        </w:rPr>
        <w:t xml:space="preserve"> prezentate de</w:t>
      </w:r>
      <w:r w:rsidR="00954793" w:rsidRPr="009772A3">
        <w:rPr>
          <w:rFonts w:asciiTheme="majorHAnsi" w:hAnsiTheme="majorHAnsi" w:cstheme="majorHAnsi"/>
          <w:sz w:val="24"/>
          <w:szCs w:val="24"/>
          <w:vertAlign w:val="baseline"/>
          <w:lang w:val="ro-MD"/>
        </w:rPr>
        <w:t xml:space="preserve"> SRL Chișinău</w:t>
      </w:r>
      <w:r w:rsidR="003A5B57" w:rsidRPr="009772A3">
        <w:rPr>
          <w:rFonts w:asciiTheme="majorHAnsi" w:hAnsiTheme="majorHAnsi" w:cstheme="majorHAnsi"/>
          <w:sz w:val="24"/>
          <w:szCs w:val="24"/>
          <w:vertAlign w:val="baseline"/>
          <w:lang w:val="ro-MD"/>
        </w:rPr>
        <w:t>-</w:t>
      </w:r>
      <w:r w:rsidR="00954793" w:rsidRPr="009772A3">
        <w:rPr>
          <w:rFonts w:asciiTheme="majorHAnsi" w:hAnsiTheme="majorHAnsi" w:cstheme="majorHAnsi"/>
          <w:sz w:val="24"/>
          <w:szCs w:val="24"/>
          <w:vertAlign w:val="baseline"/>
          <w:lang w:val="ro-MD"/>
        </w:rPr>
        <w:t>gaz</w:t>
      </w:r>
      <w:r w:rsidR="003A5B57" w:rsidRPr="009772A3">
        <w:rPr>
          <w:rFonts w:asciiTheme="majorHAnsi" w:hAnsiTheme="majorHAnsi" w:cstheme="majorHAnsi"/>
          <w:sz w:val="24"/>
          <w:szCs w:val="24"/>
          <w:vertAlign w:val="baseline"/>
          <w:lang w:val="ro-MD"/>
        </w:rPr>
        <w:t>,</w:t>
      </w:r>
      <w:r w:rsidR="00954793"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 xml:space="preserve">nu erau contorizați </w:t>
      </w:r>
      <w:r w:rsidR="00967371" w:rsidRPr="009772A3">
        <w:rPr>
          <w:rFonts w:asciiTheme="majorHAnsi" w:hAnsiTheme="majorHAnsi" w:cstheme="majorHAnsi"/>
          <w:sz w:val="24"/>
          <w:szCs w:val="24"/>
          <w:vertAlign w:val="baseline"/>
          <w:lang w:val="ro-MD"/>
        </w:rPr>
        <w:t xml:space="preserve">673 </w:t>
      </w:r>
      <w:r w:rsidRPr="009772A3">
        <w:rPr>
          <w:rFonts w:asciiTheme="majorHAnsi" w:hAnsiTheme="majorHAnsi" w:cstheme="majorHAnsi"/>
          <w:sz w:val="24"/>
          <w:szCs w:val="24"/>
          <w:vertAlign w:val="baseline"/>
          <w:lang w:val="ro-MD"/>
        </w:rPr>
        <w:t xml:space="preserve">de consumatori din sectorul particular și </w:t>
      </w:r>
      <w:r w:rsidR="00967371" w:rsidRPr="009772A3">
        <w:rPr>
          <w:rFonts w:asciiTheme="majorHAnsi" w:hAnsiTheme="majorHAnsi" w:cstheme="majorHAnsi"/>
          <w:sz w:val="24"/>
          <w:szCs w:val="24"/>
          <w:vertAlign w:val="baseline"/>
          <w:lang w:val="ro-MD"/>
        </w:rPr>
        <w:t>15</w:t>
      </w:r>
      <w:r w:rsidR="003A5B57" w:rsidRPr="009772A3">
        <w:rPr>
          <w:rFonts w:asciiTheme="majorHAnsi" w:hAnsiTheme="majorHAnsi" w:cstheme="majorHAnsi"/>
          <w:sz w:val="24"/>
          <w:szCs w:val="24"/>
          <w:vertAlign w:val="baseline"/>
          <w:lang w:val="ro-MD"/>
        </w:rPr>
        <w:t>.</w:t>
      </w:r>
      <w:r w:rsidR="00967371" w:rsidRPr="009772A3">
        <w:rPr>
          <w:rFonts w:asciiTheme="majorHAnsi" w:hAnsiTheme="majorHAnsi" w:cstheme="majorHAnsi"/>
          <w:sz w:val="24"/>
          <w:szCs w:val="24"/>
          <w:vertAlign w:val="baseline"/>
          <w:lang w:val="ro-MD"/>
        </w:rPr>
        <w:t xml:space="preserve">912 </w:t>
      </w:r>
      <w:r w:rsidRPr="009772A3">
        <w:rPr>
          <w:rFonts w:asciiTheme="majorHAnsi" w:hAnsiTheme="majorHAnsi" w:cstheme="majorHAnsi"/>
          <w:sz w:val="24"/>
          <w:szCs w:val="24"/>
          <w:vertAlign w:val="baseline"/>
          <w:lang w:val="ro-MD"/>
        </w:rPr>
        <w:t>de apartamente</w:t>
      </w:r>
      <w:r w:rsidR="00967371" w:rsidRPr="009772A3">
        <w:rPr>
          <w:rFonts w:asciiTheme="majorHAnsi" w:hAnsiTheme="majorHAnsi" w:cstheme="majorHAnsi"/>
          <w:sz w:val="24"/>
          <w:szCs w:val="24"/>
          <w:vertAlign w:val="baseline"/>
          <w:lang w:val="ro-MD"/>
        </w:rPr>
        <w:t>, iar al</w:t>
      </w:r>
      <w:r w:rsidR="003A5B57" w:rsidRPr="009772A3">
        <w:rPr>
          <w:rFonts w:asciiTheme="majorHAnsi" w:hAnsiTheme="majorHAnsi" w:cstheme="majorHAnsi"/>
          <w:sz w:val="24"/>
          <w:szCs w:val="24"/>
          <w:vertAlign w:val="baseline"/>
          <w:lang w:val="ro-MD"/>
        </w:rPr>
        <w:t>ți</w:t>
      </w:r>
      <w:r w:rsidR="00967371" w:rsidRPr="009772A3">
        <w:rPr>
          <w:rFonts w:asciiTheme="majorHAnsi" w:hAnsiTheme="majorHAnsi" w:cstheme="majorHAnsi"/>
          <w:sz w:val="24"/>
          <w:szCs w:val="24"/>
          <w:vertAlign w:val="baseline"/>
          <w:lang w:val="ro-MD"/>
        </w:rPr>
        <w:t xml:space="preserve"> 391 </w:t>
      </w:r>
      <w:r w:rsidR="003A5B57" w:rsidRPr="009772A3">
        <w:rPr>
          <w:rFonts w:asciiTheme="majorHAnsi" w:hAnsiTheme="majorHAnsi" w:cstheme="majorHAnsi"/>
          <w:sz w:val="24"/>
          <w:szCs w:val="24"/>
          <w:vertAlign w:val="baseline"/>
          <w:lang w:val="ro-MD"/>
        </w:rPr>
        <w:t xml:space="preserve">de </w:t>
      </w:r>
      <w:r w:rsidR="00967371" w:rsidRPr="009772A3">
        <w:rPr>
          <w:rFonts w:asciiTheme="majorHAnsi" w:hAnsiTheme="majorHAnsi" w:cstheme="majorHAnsi"/>
          <w:sz w:val="24"/>
          <w:szCs w:val="24"/>
          <w:vertAlign w:val="baseline"/>
          <w:lang w:val="ro-MD"/>
        </w:rPr>
        <w:t>consumatori din sectorul particular și 10</w:t>
      </w:r>
      <w:r w:rsidR="003A5B57" w:rsidRPr="009772A3">
        <w:rPr>
          <w:rFonts w:asciiTheme="majorHAnsi" w:hAnsiTheme="majorHAnsi" w:cstheme="majorHAnsi"/>
          <w:sz w:val="24"/>
          <w:szCs w:val="24"/>
          <w:vertAlign w:val="baseline"/>
          <w:lang w:val="ro-MD"/>
        </w:rPr>
        <w:t>.</w:t>
      </w:r>
      <w:r w:rsidR="00967371" w:rsidRPr="009772A3">
        <w:rPr>
          <w:rFonts w:asciiTheme="majorHAnsi" w:hAnsiTheme="majorHAnsi" w:cstheme="majorHAnsi"/>
          <w:sz w:val="24"/>
          <w:szCs w:val="24"/>
          <w:vertAlign w:val="baseline"/>
          <w:lang w:val="ro-MD"/>
        </w:rPr>
        <w:t>630 de apartamente erau debran</w:t>
      </w:r>
      <w:r w:rsidR="008B3168" w:rsidRPr="009772A3">
        <w:rPr>
          <w:rFonts w:asciiTheme="majorHAnsi" w:hAnsiTheme="majorHAnsi" w:cstheme="majorHAnsi"/>
          <w:sz w:val="24"/>
          <w:szCs w:val="24"/>
          <w:vertAlign w:val="baseline"/>
          <w:lang w:val="ro-MD"/>
        </w:rPr>
        <w:t>ș</w:t>
      </w:r>
      <w:r w:rsidR="00967371" w:rsidRPr="009772A3">
        <w:rPr>
          <w:rFonts w:asciiTheme="majorHAnsi" w:hAnsiTheme="majorHAnsi" w:cstheme="majorHAnsi"/>
          <w:sz w:val="24"/>
          <w:szCs w:val="24"/>
          <w:vertAlign w:val="baseline"/>
          <w:lang w:val="ro-MD"/>
        </w:rPr>
        <w:t>ați de la rețea</w:t>
      </w:r>
      <w:r w:rsidR="00CE3597" w:rsidRPr="009772A3">
        <w:rPr>
          <w:rFonts w:asciiTheme="majorHAnsi" w:hAnsiTheme="majorHAnsi" w:cstheme="majorHAnsi"/>
          <w:sz w:val="24"/>
          <w:szCs w:val="24"/>
          <w:vertAlign w:val="baseline"/>
          <w:lang w:val="ro-MD"/>
        </w:rPr>
        <w:t xml:space="preserve">. Existența consumatorilor necontorizați are un </w:t>
      </w:r>
      <w:r w:rsidRPr="009772A3">
        <w:rPr>
          <w:rFonts w:asciiTheme="majorHAnsi" w:hAnsiTheme="majorHAnsi" w:cstheme="majorHAnsi"/>
          <w:sz w:val="24"/>
          <w:szCs w:val="24"/>
          <w:vertAlign w:val="baseline"/>
          <w:lang w:val="ro-MD"/>
        </w:rPr>
        <w:t>impact</w:t>
      </w:r>
      <w:r w:rsidR="00CE3597" w:rsidRPr="009772A3">
        <w:rPr>
          <w:rFonts w:asciiTheme="majorHAnsi" w:hAnsiTheme="majorHAnsi" w:cstheme="majorHAnsi"/>
          <w:sz w:val="24"/>
          <w:szCs w:val="24"/>
          <w:vertAlign w:val="baseline"/>
          <w:lang w:val="ro-MD"/>
        </w:rPr>
        <w:t xml:space="preserve"> negativ</w:t>
      </w:r>
      <w:r w:rsidRPr="009772A3">
        <w:rPr>
          <w:rFonts w:asciiTheme="majorHAnsi" w:hAnsiTheme="majorHAnsi" w:cstheme="majorHAnsi"/>
          <w:sz w:val="24"/>
          <w:szCs w:val="24"/>
          <w:vertAlign w:val="baseline"/>
          <w:lang w:val="ro-MD"/>
        </w:rPr>
        <w:t xml:space="preserve"> asupra veridicității datelor aferente </w:t>
      </w:r>
      <w:r w:rsidR="0025578D" w:rsidRPr="009772A3">
        <w:rPr>
          <w:rFonts w:asciiTheme="majorHAnsi" w:hAnsiTheme="majorHAnsi" w:cstheme="majorHAnsi"/>
          <w:sz w:val="24"/>
          <w:szCs w:val="24"/>
          <w:vertAlign w:val="baseline"/>
          <w:lang w:val="ro-MD"/>
        </w:rPr>
        <w:t xml:space="preserve">volumului furnizat </w:t>
      </w:r>
      <w:r w:rsidRPr="009772A3">
        <w:rPr>
          <w:rFonts w:asciiTheme="majorHAnsi" w:hAnsiTheme="majorHAnsi" w:cstheme="majorHAnsi"/>
          <w:sz w:val="24"/>
          <w:szCs w:val="24"/>
          <w:vertAlign w:val="baseline"/>
          <w:lang w:val="ro-MD"/>
        </w:rPr>
        <w:t xml:space="preserve">de gaze naturale. </w:t>
      </w:r>
    </w:p>
    <w:p w14:paraId="12106BED" w14:textId="6B0B268A" w:rsidR="0055718F" w:rsidRPr="009772A3" w:rsidRDefault="0055718F" w:rsidP="00C5514F">
      <w:pPr>
        <w:pStyle w:val="FootnoteText"/>
        <w:numPr>
          <w:ilvl w:val="1"/>
          <w:numId w:val="23"/>
        </w:numPr>
        <w:spacing w:line="276" w:lineRule="auto"/>
        <w:ind w:left="0" w:firstLine="426"/>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Pierderile tehnice în rețelele magistrale de transport a</w:t>
      </w:r>
      <w:r w:rsidR="003A5B57" w:rsidRPr="009772A3">
        <w:rPr>
          <w:rFonts w:asciiTheme="majorHAnsi" w:hAnsiTheme="majorHAnsi" w:cstheme="majorHAnsi"/>
          <w:sz w:val="24"/>
          <w:szCs w:val="24"/>
          <w:vertAlign w:val="baseline"/>
          <w:lang w:val="ro-MD"/>
        </w:rPr>
        <w:t>l</w:t>
      </w:r>
      <w:r w:rsidRPr="009772A3">
        <w:rPr>
          <w:rFonts w:asciiTheme="majorHAnsi" w:hAnsiTheme="majorHAnsi" w:cstheme="majorHAnsi"/>
          <w:sz w:val="24"/>
          <w:szCs w:val="24"/>
          <w:vertAlign w:val="baseline"/>
          <w:lang w:val="ro-MD"/>
        </w:rPr>
        <w:t xml:space="preserve"> gazului natural sunt parte a procesului tehnologic de transportare a gazului în regim de tranzit prin teritoriul țării și de predare </w:t>
      </w:r>
      <w:r w:rsidR="00071CF2" w:rsidRPr="009772A3">
        <w:rPr>
          <w:rFonts w:asciiTheme="majorHAnsi" w:hAnsiTheme="majorHAnsi" w:cstheme="majorHAnsi"/>
          <w:sz w:val="24"/>
          <w:szCs w:val="24"/>
          <w:vertAlign w:val="baseline"/>
          <w:lang w:val="ro-MD"/>
        </w:rPr>
        <w:t xml:space="preserve">către </w:t>
      </w:r>
      <w:r w:rsidRPr="009772A3">
        <w:rPr>
          <w:rFonts w:asciiTheme="majorHAnsi" w:hAnsiTheme="majorHAnsi" w:cstheme="majorHAnsi"/>
          <w:sz w:val="24"/>
          <w:szCs w:val="24"/>
          <w:vertAlign w:val="baseline"/>
          <w:lang w:val="ro-MD"/>
        </w:rPr>
        <w:t>consumatori.</w:t>
      </w:r>
    </w:p>
    <w:p w14:paraId="1B090CFC" w14:textId="061C3970" w:rsidR="0055718F" w:rsidRPr="009772A3" w:rsidRDefault="0055718F" w:rsidP="00001384">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 perioada 2017-2021</w:t>
      </w:r>
      <w:r w:rsidR="003A5B57"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normarea pierderilor tehnice și a consumurilor tehnologice s-a efectuat în baza Metodologiei aprobat</w:t>
      </w:r>
      <w:r w:rsidR="00AA3C76" w:rsidRPr="009772A3">
        <w:rPr>
          <w:rFonts w:asciiTheme="majorHAnsi" w:hAnsiTheme="majorHAnsi" w:cstheme="majorHAnsi"/>
          <w:sz w:val="24"/>
          <w:szCs w:val="24"/>
          <w:vertAlign w:val="baseline"/>
          <w:lang w:val="ro-MD"/>
        </w:rPr>
        <w:t>e</w:t>
      </w:r>
      <w:r w:rsidRPr="009772A3">
        <w:rPr>
          <w:rFonts w:asciiTheme="majorHAnsi" w:hAnsiTheme="majorHAnsi" w:cstheme="majorHAnsi"/>
          <w:sz w:val="24"/>
          <w:szCs w:val="24"/>
          <w:vertAlign w:val="baseline"/>
          <w:lang w:val="ro-MD"/>
        </w:rPr>
        <w:t xml:space="preserve"> prin Hotărârea Consiliului de </w:t>
      </w:r>
      <w:r w:rsidR="00AA3C76" w:rsidRPr="009772A3">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 xml:space="preserve">dministrație </w:t>
      </w:r>
      <w:r w:rsidR="00AA3C76" w:rsidRPr="009772A3">
        <w:rPr>
          <w:rFonts w:asciiTheme="majorHAnsi" w:hAnsiTheme="majorHAnsi" w:cstheme="majorHAnsi"/>
          <w:sz w:val="24"/>
          <w:szCs w:val="24"/>
          <w:vertAlign w:val="baseline"/>
          <w:lang w:val="ro-MD"/>
        </w:rPr>
        <w:t xml:space="preserve">al </w:t>
      </w:r>
      <w:r w:rsidRPr="009772A3">
        <w:rPr>
          <w:rFonts w:asciiTheme="majorHAnsi" w:hAnsiTheme="majorHAnsi" w:cstheme="majorHAnsi"/>
          <w:sz w:val="24"/>
          <w:szCs w:val="24"/>
          <w:vertAlign w:val="baseline"/>
          <w:lang w:val="ro-MD"/>
        </w:rPr>
        <w:t>ANRE nr.24 din 28 iulie 2000</w:t>
      </w:r>
      <w:r w:rsidRPr="009772A3">
        <w:rPr>
          <w:rFonts w:asciiTheme="majorHAnsi" w:hAnsiTheme="majorHAnsi" w:cstheme="majorHAnsi"/>
          <w:sz w:val="24"/>
          <w:szCs w:val="24"/>
          <w:lang w:val="ro-MD"/>
        </w:rPr>
        <w:footnoteReference w:id="111"/>
      </w:r>
      <w:r w:rsidRPr="009772A3">
        <w:rPr>
          <w:rFonts w:asciiTheme="majorHAnsi" w:hAnsiTheme="majorHAnsi" w:cstheme="majorHAnsi"/>
          <w:sz w:val="24"/>
          <w:szCs w:val="24"/>
          <w:vertAlign w:val="baseline"/>
          <w:lang w:val="ro-MD"/>
        </w:rPr>
        <w:t>. SRL „Moldovatransgaz” calculează anual volumul normativ a</w:t>
      </w:r>
      <w:r w:rsidR="00AA3C76" w:rsidRPr="009772A3">
        <w:rPr>
          <w:rFonts w:asciiTheme="majorHAnsi" w:hAnsiTheme="majorHAnsi" w:cstheme="majorHAnsi"/>
          <w:sz w:val="24"/>
          <w:szCs w:val="24"/>
          <w:vertAlign w:val="baseline"/>
          <w:lang w:val="ro-MD"/>
        </w:rPr>
        <w:t>l</w:t>
      </w:r>
      <w:r w:rsidRPr="009772A3">
        <w:rPr>
          <w:rFonts w:asciiTheme="majorHAnsi" w:hAnsiTheme="majorHAnsi" w:cstheme="majorHAnsi"/>
          <w:sz w:val="24"/>
          <w:szCs w:val="24"/>
          <w:vertAlign w:val="baseline"/>
          <w:lang w:val="ro-MD"/>
        </w:rPr>
        <w:t xml:space="preserve"> consumurilor tehnologice şi pierderilor tehnice la transportarea gazelor naturale prin conducte</w:t>
      </w:r>
      <w:r w:rsidR="00057E45" w:rsidRPr="009772A3">
        <w:rPr>
          <w:rFonts w:asciiTheme="majorHAnsi" w:hAnsiTheme="majorHAnsi" w:cstheme="majorHAnsi"/>
          <w:sz w:val="24"/>
          <w:szCs w:val="24"/>
          <w:vertAlign w:val="baseline"/>
          <w:lang w:val="ro-MD"/>
        </w:rPr>
        <w:t>le</w:t>
      </w:r>
      <w:r w:rsidRPr="009772A3">
        <w:rPr>
          <w:rFonts w:asciiTheme="majorHAnsi" w:hAnsiTheme="majorHAnsi" w:cstheme="majorHAnsi"/>
          <w:sz w:val="24"/>
          <w:szCs w:val="24"/>
          <w:vertAlign w:val="baseline"/>
          <w:lang w:val="ro-MD"/>
        </w:rPr>
        <w:t xml:space="preserve"> magistrale ale RM, care se aprobă de către ANRE. Informați</w:t>
      </w:r>
      <w:r w:rsidR="00057E45" w:rsidRPr="009772A3">
        <w:rPr>
          <w:rFonts w:asciiTheme="majorHAnsi" w:hAnsiTheme="majorHAnsi" w:cstheme="majorHAnsi"/>
          <w:sz w:val="24"/>
          <w:szCs w:val="24"/>
          <w:vertAlign w:val="baseline"/>
          <w:lang w:val="ro-MD"/>
        </w:rPr>
        <w:t>i</w:t>
      </w:r>
      <w:r w:rsidRPr="009772A3">
        <w:rPr>
          <w:rFonts w:asciiTheme="majorHAnsi" w:hAnsiTheme="majorHAnsi" w:cstheme="majorHAnsi"/>
          <w:sz w:val="24"/>
          <w:szCs w:val="24"/>
          <w:vertAlign w:val="baseline"/>
          <w:lang w:val="ro-MD"/>
        </w:rPr>
        <w:t xml:space="preserve"> privind volumul normativ și efectiv a</w:t>
      </w:r>
      <w:r w:rsidR="00057E45" w:rsidRPr="009772A3">
        <w:rPr>
          <w:rFonts w:asciiTheme="majorHAnsi" w:hAnsiTheme="majorHAnsi" w:cstheme="majorHAnsi"/>
          <w:sz w:val="24"/>
          <w:szCs w:val="24"/>
          <w:vertAlign w:val="baseline"/>
          <w:lang w:val="ro-MD"/>
        </w:rPr>
        <w:t>l</w:t>
      </w:r>
      <w:r w:rsidRPr="009772A3">
        <w:rPr>
          <w:rFonts w:asciiTheme="majorHAnsi" w:hAnsiTheme="majorHAnsi" w:cstheme="majorHAnsi"/>
          <w:sz w:val="24"/>
          <w:szCs w:val="24"/>
          <w:vertAlign w:val="baseline"/>
          <w:lang w:val="ro-MD"/>
        </w:rPr>
        <w:t xml:space="preserve"> consumurilor tehnologice și a</w:t>
      </w:r>
      <w:r w:rsidR="00057E45" w:rsidRPr="009772A3">
        <w:rPr>
          <w:rFonts w:asciiTheme="majorHAnsi" w:hAnsiTheme="majorHAnsi" w:cstheme="majorHAnsi"/>
          <w:sz w:val="24"/>
          <w:szCs w:val="24"/>
          <w:vertAlign w:val="baseline"/>
          <w:lang w:val="ro-MD"/>
        </w:rPr>
        <w:t>l</w:t>
      </w:r>
      <w:r w:rsidRPr="009772A3">
        <w:rPr>
          <w:rFonts w:asciiTheme="majorHAnsi" w:hAnsiTheme="majorHAnsi" w:cstheme="majorHAnsi"/>
          <w:sz w:val="24"/>
          <w:szCs w:val="24"/>
          <w:vertAlign w:val="baseline"/>
          <w:lang w:val="ro-MD"/>
        </w:rPr>
        <w:t xml:space="preserve"> pierderilor tehnice la transportarea gazelor naturale prin conducte</w:t>
      </w:r>
      <w:r w:rsidR="00057E45" w:rsidRPr="009772A3">
        <w:rPr>
          <w:rFonts w:asciiTheme="majorHAnsi" w:hAnsiTheme="majorHAnsi" w:cstheme="majorHAnsi"/>
          <w:sz w:val="24"/>
          <w:szCs w:val="24"/>
          <w:vertAlign w:val="baseline"/>
          <w:lang w:val="ro-MD"/>
        </w:rPr>
        <w:t>le</w:t>
      </w:r>
      <w:r w:rsidRPr="009772A3">
        <w:rPr>
          <w:rFonts w:asciiTheme="majorHAnsi" w:hAnsiTheme="majorHAnsi" w:cstheme="majorHAnsi"/>
          <w:sz w:val="24"/>
          <w:szCs w:val="24"/>
          <w:vertAlign w:val="baseline"/>
          <w:lang w:val="ro-MD"/>
        </w:rPr>
        <w:t xml:space="preserve"> magistrale pentru anii 2017-2021 se prezintă în Tabelul următor.</w:t>
      </w:r>
    </w:p>
    <w:p w14:paraId="34EA1CAF" w14:textId="660CE809" w:rsidR="00C92E2A" w:rsidRPr="009772A3" w:rsidRDefault="00C92E2A" w:rsidP="00CC692C">
      <w:pPr>
        <w:pStyle w:val="FootnoteText"/>
        <w:spacing w:line="276" w:lineRule="auto"/>
        <w:ind w:firstLine="720"/>
        <w:jc w:val="right"/>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Tabelul nr.4.3.</w:t>
      </w:r>
      <w:r w:rsidR="00C9762F">
        <w:rPr>
          <w:rFonts w:asciiTheme="majorHAnsi" w:hAnsiTheme="majorHAnsi" w:cstheme="majorHAnsi"/>
          <w:b/>
          <w:sz w:val="24"/>
          <w:szCs w:val="24"/>
          <w:vertAlign w:val="baseline"/>
          <w:lang w:val="ro-MD"/>
        </w:rPr>
        <w:t>1.</w:t>
      </w:r>
      <w:r w:rsidRPr="009772A3">
        <w:rPr>
          <w:rFonts w:asciiTheme="majorHAnsi" w:hAnsiTheme="majorHAnsi" w:cstheme="majorHAnsi"/>
          <w:b/>
          <w:sz w:val="24"/>
          <w:szCs w:val="24"/>
          <w:vertAlign w:val="baseline"/>
          <w:lang w:val="ro-MD"/>
        </w:rPr>
        <w:t>2</w:t>
      </w:r>
      <w:r w:rsidR="00C9762F">
        <w:rPr>
          <w:rFonts w:asciiTheme="majorHAnsi" w:hAnsiTheme="majorHAnsi" w:cstheme="majorHAnsi"/>
          <w:b/>
          <w:sz w:val="24"/>
          <w:szCs w:val="24"/>
          <w:vertAlign w:val="baseline"/>
          <w:lang w:val="ro-MD"/>
        </w:rPr>
        <w:t>.1</w:t>
      </w:r>
    </w:p>
    <w:p w14:paraId="1A41AF18" w14:textId="224366B3" w:rsidR="00C92E2A" w:rsidRPr="009772A3" w:rsidRDefault="00C92E2A" w:rsidP="00C9762F">
      <w:pPr>
        <w:pStyle w:val="FootnoteText"/>
        <w:spacing w:line="276" w:lineRule="auto"/>
        <w:jc w:val="center"/>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Volumul normativ și efectiv al consumurilor tehnologice și al pierderilor tehnice la transportarea gazelor naturale prin conductele magistrale pentru anii 2017-2021</w:t>
      </w:r>
    </w:p>
    <w:tbl>
      <w:tblPr>
        <w:tblStyle w:val="TableGrid"/>
        <w:tblpPr w:leftFromText="180" w:rightFromText="180" w:vertAnchor="text" w:horzAnchor="margin" w:tblpXSpec="right" w:tblpY="304"/>
        <w:tblW w:w="0" w:type="auto"/>
        <w:tblLook w:val="04A0" w:firstRow="1" w:lastRow="0" w:firstColumn="1" w:lastColumn="0" w:noHBand="0" w:noVBand="1"/>
      </w:tblPr>
      <w:tblGrid>
        <w:gridCol w:w="792"/>
        <w:gridCol w:w="1006"/>
        <w:gridCol w:w="770"/>
        <w:gridCol w:w="744"/>
        <w:gridCol w:w="1007"/>
        <w:gridCol w:w="771"/>
        <w:gridCol w:w="793"/>
        <w:gridCol w:w="1007"/>
        <w:gridCol w:w="744"/>
        <w:gridCol w:w="958"/>
        <w:gridCol w:w="752"/>
      </w:tblGrid>
      <w:tr w:rsidR="0055718F" w:rsidRPr="009772A3" w14:paraId="060C98FC" w14:textId="77777777" w:rsidTr="003E392B">
        <w:trPr>
          <w:trHeight w:val="58"/>
        </w:trPr>
        <w:tc>
          <w:tcPr>
            <w:tcW w:w="1271" w:type="dxa"/>
            <w:vMerge w:val="restart"/>
          </w:tcPr>
          <w:p w14:paraId="4543E7A1" w14:textId="77777777" w:rsidR="0055718F" w:rsidRPr="009772A3" w:rsidRDefault="0055718F" w:rsidP="00724695">
            <w:pPr>
              <w:spacing w:line="240" w:lineRule="auto"/>
              <w:jc w:val="both"/>
              <w:rPr>
                <w:rFonts w:asciiTheme="majorHAnsi" w:hAnsiTheme="majorHAnsi" w:cstheme="majorHAnsi"/>
                <w:b/>
                <w:sz w:val="16"/>
                <w:szCs w:val="16"/>
                <w:lang w:val="ro-MD"/>
              </w:rPr>
            </w:pPr>
            <w:r w:rsidRPr="009772A3">
              <w:rPr>
                <w:rFonts w:asciiTheme="majorHAnsi" w:hAnsiTheme="majorHAnsi" w:cstheme="majorHAnsi"/>
                <w:b/>
                <w:sz w:val="16"/>
                <w:szCs w:val="16"/>
                <w:lang w:val="ro-MD"/>
              </w:rPr>
              <w:t>Anul</w:t>
            </w:r>
          </w:p>
        </w:tc>
        <w:tc>
          <w:tcPr>
            <w:tcW w:w="3402" w:type="dxa"/>
            <w:gridSpan w:val="3"/>
          </w:tcPr>
          <w:p w14:paraId="5919DB49"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Pierderi efective</w:t>
            </w:r>
          </w:p>
        </w:tc>
        <w:tc>
          <w:tcPr>
            <w:tcW w:w="3544" w:type="dxa"/>
            <w:gridSpan w:val="3"/>
          </w:tcPr>
          <w:p w14:paraId="4FFE6A84"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Pierderi normative</w:t>
            </w:r>
          </w:p>
        </w:tc>
        <w:tc>
          <w:tcPr>
            <w:tcW w:w="2268" w:type="dxa"/>
            <w:gridSpan w:val="2"/>
          </w:tcPr>
          <w:p w14:paraId="6E49327A"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Diferență</w:t>
            </w:r>
          </w:p>
        </w:tc>
        <w:tc>
          <w:tcPr>
            <w:tcW w:w="2149" w:type="dxa"/>
            <w:gridSpan w:val="2"/>
          </w:tcPr>
          <w:p w14:paraId="09225B13"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Pierderi și consum tehnologic acceptat de ANRE în tarif</w:t>
            </w:r>
          </w:p>
        </w:tc>
      </w:tr>
      <w:tr w:rsidR="0055718F" w:rsidRPr="009772A3" w14:paraId="095440C9" w14:textId="77777777" w:rsidTr="003E392B">
        <w:trPr>
          <w:trHeight w:val="407"/>
        </w:trPr>
        <w:tc>
          <w:tcPr>
            <w:tcW w:w="1271" w:type="dxa"/>
            <w:vMerge/>
          </w:tcPr>
          <w:p w14:paraId="2C55AE0D" w14:textId="77777777" w:rsidR="0055718F" w:rsidRPr="009772A3" w:rsidRDefault="0055718F" w:rsidP="00724695">
            <w:pPr>
              <w:spacing w:line="240" w:lineRule="auto"/>
              <w:jc w:val="both"/>
              <w:rPr>
                <w:rFonts w:asciiTheme="majorHAnsi" w:hAnsiTheme="majorHAnsi" w:cstheme="majorHAnsi"/>
                <w:sz w:val="16"/>
                <w:szCs w:val="16"/>
                <w:lang w:val="ro-MD"/>
              </w:rPr>
            </w:pPr>
          </w:p>
        </w:tc>
        <w:tc>
          <w:tcPr>
            <w:tcW w:w="1276" w:type="dxa"/>
          </w:tcPr>
          <w:p w14:paraId="6E02EC88" w14:textId="41406EE8" w:rsidR="0055718F" w:rsidRPr="009772A3" w:rsidRDefault="0055718F" w:rsidP="00C92E2A">
            <w:pPr>
              <w:spacing w:line="240" w:lineRule="auto"/>
              <w:jc w:val="center"/>
              <w:rPr>
                <w:rFonts w:asciiTheme="majorHAnsi" w:hAnsiTheme="majorHAnsi" w:cstheme="majorHAnsi"/>
                <w:sz w:val="16"/>
                <w:szCs w:val="16"/>
                <w:vertAlign w:val="superscript"/>
                <w:lang w:val="ro-MD"/>
              </w:rPr>
            </w:pPr>
            <w:r w:rsidRPr="009772A3">
              <w:rPr>
                <w:rFonts w:asciiTheme="majorHAnsi" w:hAnsiTheme="majorHAnsi" w:cstheme="majorHAnsi"/>
                <w:sz w:val="16"/>
                <w:szCs w:val="16"/>
                <w:lang w:val="ro-MD"/>
              </w:rPr>
              <w:t>Volum</w:t>
            </w:r>
            <w:r w:rsidR="00C92E2A" w:rsidRPr="009772A3">
              <w:rPr>
                <w:rFonts w:asciiTheme="majorHAnsi" w:hAnsiTheme="majorHAnsi" w:cstheme="majorHAnsi"/>
                <w:sz w:val="16"/>
                <w:szCs w:val="16"/>
                <w:lang w:val="ro-MD"/>
              </w:rPr>
              <w:t>,</w:t>
            </w:r>
            <w:r w:rsidRPr="009772A3">
              <w:rPr>
                <w:rFonts w:asciiTheme="majorHAnsi" w:hAnsiTheme="majorHAnsi" w:cstheme="majorHAnsi"/>
                <w:sz w:val="16"/>
                <w:szCs w:val="16"/>
                <w:lang w:val="ro-MD"/>
              </w:rPr>
              <w:t xml:space="preserve"> m</w:t>
            </w:r>
            <w:r w:rsidRPr="009772A3">
              <w:rPr>
                <w:rFonts w:asciiTheme="majorHAnsi" w:hAnsiTheme="majorHAnsi" w:cstheme="majorHAnsi"/>
                <w:sz w:val="16"/>
                <w:szCs w:val="16"/>
                <w:vertAlign w:val="superscript"/>
                <w:lang w:val="ro-MD"/>
              </w:rPr>
              <w:t>3</w:t>
            </w:r>
          </w:p>
        </w:tc>
        <w:tc>
          <w:tcPr>
            <w:tcW w:w="1134" w:type="dxa"/>
          </w:tcPr>
          <w:p w14:paraId="01390603" w14:textId="5ED0170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Preț</w:t>
            </w:r>
            <w:r w:rsidR="00C92E2A" w:rsidRPr="009772A3">
              <w:rPr>
                <w:rFonts w:asciiTheme="majorHAnsi" w:hAnsiTheme="majorHAnsi" w:cstheme="majorHAnsi"/>
                <w:sz w:val="16"/>
                <w:szCs w:val="16"/>
                <w:lang w:val="ro-MD"/>
              </w:rPr>
              <w:t>,</w:t>
            </w:r>
          </w:p>
          <w:p w14:paraId="03A84416" w14:textId="68FAB953"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lei</w:t>
            </w:r>
          </w:p>
        </w:tc>
        <w:tc>
          <w:tcPr>
            <w:tcW w:w="992" w:type="dxa"/>
          </w:tcPr>
          <w:p w14:paraId="6948ACCC" w14:textId="40AB23E3"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Suma</w:t>
            </w:r>
            <w:r w:rsidR="00C92E2A" w:rsidRPr="009772A3">
              <w:rPr>
                <w:rFonts w:asciiTheme="majorHAnsi" w:hAnsiTheme="majorHAnsi" w:cstheme="majorHAnsi"/>
                <w:sz w:val="16"/>
                <w:szCs w:val="16"/>
                <w:lang w:val="ro-MD"/>
              </w:rPr>
              <w:t>,</w:t>
            </w:r>
          </w:p>
          <w:p w14:paraId="241A0B46" w14:textId="43FEB88E"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mil. lei</w:t>
            </w:r>
          </w:p>
        </w:tc>
        <w:tc>
          <w:tcPr>
            <w:tcW w:w="1276" w:type="dxa"/>
          </w:tcPr>
          <w:p w14:paraId="162F4C02" w14:textId="7E146C06"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Volum</w:t>
            </w:r>
            <w:r w:rsidR="00C92E2A" w:rsidRPr="009772A3">
              <w:rPr>
                <w:rFonts w:asciiTheme="majorHAnsi" w:hAnsiTheme="majorHAnsi" w:cstheme="majorHAnsi"/>
                <w:sz w:val="16"/>
                <w:szCs w:val="16"/>
                <w:lang w:val="ro-MD"/>
              </w:rPr>
              <w:t>,</w:t>
            </w:r>
          </w:p>
          <w:p w14:paraId="2F839875" w14:textId="41704E90"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m</w:t>
            </w:r>
            <w:r w:rsidRPr="009772A3">
              <w:rPr>
                <w:rFonts w:asciiTheme="majorHAnsi" w:hAnsiTheme="majorHAnsi" w:cstheme="majorHAnsi"/>
                <w:sz w:val="16"/>
                <w:szCs w:val="16"/>
                <w:vertAlign w:val="superscript"/>
                <w:lang w:val="ro-MD"/>
              </w:rPr>
              <w:t>3</w:t>
            </w:r>
          </w:p>
        </w:tc>
        <w:tc>
          <w:tcPr>
            <w:tcW w:w="1134" w:type="dxa"/>
          </w:tcPr>
          <w:p w14:paraId="667C8F07" w14:textId="046EC785"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Preț</w:t>
            </w:r>
            <w:r w:rsidR="00C92E2A" w:rsidRPr="009772A3">
              <w:rPr>
                <w:rFonts w:asciiTheme="majorHAnsi" w:hAnsiTheme="majorHAnsi" w:cstheme="majorHAnsi"/>
                <w:sz w:val="16"/>
                <w:szCs w:val="16"/>
                <w:lang w:val="ro-MD"/>
              </w:rPr>
              <w:t>,</w:t>
            </w:r>
          </w:p>
          <w:p w14:paraId="5387E72B" w14:textId="0D61783A"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lei</w:t>
            </w:r>
          </w:p>
        </w:tc>
        <w:tc>
          <w:tcPr>
            <w:tcW w:w="1134" w:type="dxa"/>
          </w:tcPr>
          <w:p w14:paraId="1FBC3E7B" w14:textId="1627CC72"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Suma</w:t>
            </w:r>
            <w:r w:rsidR="00C92E2A" w:rsidRPr="009772A3">
              <w:rPr>
                <w:rFonts w:asciiTheme="majorHAnsi" w:hAnsiTheme="majorHAnsi" w:cstheme="majorHAnsi"/>
                <w:sz w:val="16"/>
                <w:szCs w:val="16"/>
                <w:lang w:val="ro-MD"/>
              </w:rPr>
              <w:t>,</w:t>
            </w:r>
          </w:p>
          <w:p w14:paraId="13B5B0B4" w14:textId="1D4E9F00"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mil.lei</w:t>
            </w:r>
          </w:p>
        </w:tc>
        <w:tc>
          <w:tcPr>
            <w:tcW w:w="1276" w:type="dxa"/>
          </w:tcPr>
          <w:p w14:paraId="3C48AFD3" w14:textId="321509EA"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Volum</w:t>
            </w:r>
            <w:r w:rsidR="00C92E2A" w:rsidRPr="009772A3">
              <w:rPr>
                <w:rFonts w:asciiTheme="majorHAnsi" w:hAnsiTheme="majorHAnsi" w:cstheme="majorHAnsi"/>
                <w:sz w:val="16"/>
                <w:szCs w:val="16"/>
                <w:lang w:val="ro-MD"/>
              </w:rPr>
              <w:t>,</w:t>
            </w:r>
          </w:p>
          <w:p w14:paraId="4B8E019A" w14:textId="027CE033"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m</w:t>
            </w:r>
            <w:r w:rsidRPr="009772A3">
              <w:rPr>
                <w:rFonts w:asciiTheme="majorHAnsi" w:hAnsiTheme="majorHAnsi" w:cstheme="majorHAnsi"/>
                <w:sz w:val="16"/>
                <w:szCs w:val="16"/>
                <w:vertAlign w:val="superscript"/>
                <w:lang w:val="ro-MD"/>
              </w:rPr>
              <w:t>3</w:t>
            </w:r>
          </w:p>
        </w:tc>
        <w:tc>
          <w:tcPr>
            <w:tcW w:w="992" w:type="dxa"/>
          </w:tcPr>
          <w:p w14:paraId="21E04385" w14:textId="1E2DF11F"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Suma</w:t>
            </w:r>
            <w:r w:rsidR="00C92E2A" w:rsidRPr="009772A3">
              <w:rPr>
                <w:rFonts w:asciiTheme="majorHAnsi" w:hAnsiTheme="majorHAnsi" w:cstheme="majorHAnsi"/>
                <w:sz w:val="16"/>
                <w:szCs w:val="16"/>
                <w:lang w:val="ro-MD"/>
              </w:rPr>
              <w:t>,</w:t>
            </w:r>
          </w:p>
          <w:p w14:paraId="338AFF3D" w14:textId="7EDDD4F7"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mil.lei</w:t>
            </w:r>
          </w:p>
        </w:tc>
        <w:tc>
          <w:tcPr>
            <w:tcW w:w="1134" w:type="dxa"/>
          </w:tcPr>
          <w:p w14:paraId="766E8A4B" w14:textId="79CA978D"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Volum</w:t>
            </w:r>
            <w:r w:rsidR="00C92E2A" w:rsidRPr="009772A3">
              <w:rPr>
                <w:rFonts w:asciiTheme="majorHAnsi" w:hAnsiTheme="majorHAnsi" w:cstheme="majorHAnsi"/>
                <w:sz w:val="16"/>
                <w:szCs w:val="16"/>
                <w:lang w:val="ro-MD"/>
              </w:rPr>
              <w:t>,</w:t>
            </w:r>
          </w:p>
          <w:p w14:paraId="09BC55DC" w14:textId="779CA0A3"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m</w:t>
            </w:r>
            <w:r w:rsidRPr="009772A3">
              <w:rPr>
                <w:rFonts w:asciiTheme="majorHAnsi" w:hAnsiTheme="majorHAnsi" w:cstheme="majorHAnsi"/>
                <w:sz w:val="16"/>
                <w:szCs w:val="16"/>
                <w:vertAlign w:val="superscript"/>
                <w:lang w:val="ro-MD"/>
              </w:rPr>
              <w:t>3</w:t>
            </w:r>
          </w:p>
        </w:tc>
        <w:tc>
          <w:tcPr>
            <w:tcW w:w="1007" w:type="dxa"/>
          </w:tcPr>
          <w:p w14:paraId="1936A115" w14:textId="33EB32DD"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Suma</w:t>
            </w:r>
            <w:r w:rsidR="00C92E2A" w:rsidRPr="009772A3">
              <w:rPr>
                <w:rFonts w:asciiTheme="majorHAnsi" w:hAnsiTheme="majorHAnsi" w:cstheme="majorHAnsi"/>
                <w:sz w:val="16"/>
                <w:szCs w:val="16"/>
                <w:lang w:val="ro-MD"/>
              </w:rPr>
              <w:t>,</w:t>
            </w:r>
          </w:p>
          <w:p w14:paraId="5FCE5308" w14:textId="5E5222A9" w:rsidR="0055718F" w:rsidRPr="009772A3" w:rsidRDefault="0055718F" w:rsidP="00C92E2A">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mil.lei</w:t>
            </w:r>
          </w:p>
        </w:tc>
      </w:tr>
      <w:tr w:rsidR="0055718F" w:rsidRPr="009772A3" w14:paraId="6B95D10C" w14:textId="77777777" w:rsidTr="003E392B">
        <w:tc>
          <w:tcPr>
            <w:tcW w:w="1271" w:type="dxa"/>
          </w:tcPr>
          <w:p w14:paraId="0046218F"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2017</w:t>
            </w:r>
          </w:p>
        </w:tc>
        <w:tc>
          <w:tcPr>
            <w:tcW w:w="1276" w:type="dxa"/>
          </w:tcPr>
          <w:p w14:paraId="1D8229D1"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30976563</w:t>
            </w:r>
          </w:p>
        </w:tc>
        <w:tc>
          <w:tcPr>
            <w:tcW w:w="1134" w:type="dxa"/>
          </w:tcPr>
          <w:p w14:paraId="258AF99E"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4,311</w:t>
            </w:r>
          </w:p>
        </w:tc>
        <w:tc>
          <w:tcPr>
            <w:tcW w:w="992" w:type="dxa"/>
          </w:tcPr>
          <w:p w14:paraId="5F96D739"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133,6</w:t>
            </w:r>
          </w:p>
        </w:tc>
        <w:tc>
          <w:tcPr>
            <w:tcW w:w="1276" w:type="dxa"/>
          </w:tcPr>
          <w:p w14:paraId="38CB81B8"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54210495</w:t>
            </w:r>
          </w:p>
        </w:tc>
        <w:tc>
          <w:tcPr>
            <w:tcW w:w="1134" w:type="dxa"/>
          </w:tcPr>
          <w:p w14:paraId="723C4BC7"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4,311</w:t>
            </w:r>
          </w:p>
        </w:tc>
        <w:tc>
          <w:tcPr>
            <w:tcW w:w="1134" w:type="dxa"/>
          </w:tcPr>
          <w:p w14:paraId="0E340CA1"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233,7</w:t>
            </w:r>
          </w:p>
        </w:tc>
        <w:tc>
          <w:tcPr>
            <w:tcW w:w="1276" w:type="dxa"/>
          </w:tcPr>
          <w:p w14:paraId="7DD52F5C"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23233932</w:t>
            </w:r>
          </w:p>
        </w:tc>
        <w:tc>
          <w:tcPr>
            <w:tcW w:w="992" w:type="dxa"/>
          </w:tcPr>
          <w:p w14:paraId="7686E96F"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100,1</w:t>
            </w:r>
          </w:p>
        </w:tc>
        <w:tc>
          <w:tcPr>
            <w:tcW w:w="1134" w:type="dxa"/>
          </w:tcPr>
          <w:p w14:paraId="30B641D5"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30976563</w:t>
            </w:r>
          </w:p>
        </w:tc>
        <w:tc>
          <w:tcPr>
            <w:tcW w:w="1007" w:type="dxa"/>
          </w:tcPr>
          <w:p w14:paraId="5B08619E"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133,6</w:t>
            </w:r>
          </w:p>
        </w:tc>
      </w:tr>
      <w:tr w:rsidR="0055718F" w:rsidRPr="009772A3" w14:paraId="3928F40E" w14:textId="77777777" w:rsidTr="003E392B">
        <w:tc>
          <w:tcPr>
            <w:tcW w:w="1271" w:type="dxa"/>
          </w:tcPr>
          <w:p w14:paraId="6D81B3B7"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2018</w:t>
            </w:r>
          </w:p>
        </w:tc>
        <w:tc>
          <w:tcPr>
            <w:tcW w:w="1276" w:type="dxa"/>
          </w:tcPr>
          <w:p w14:paraId="23D86526"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20919225</w:t>
            </w:r>
          </w:p>
        </w:tc>
        <w:tc>
          <w:tcPr>
            <w:tcW w:w="1134" w:type="dxa"/>
          </w:tcPr>
          <w:p w14:paraId="3FAD2B69"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2,972</w:t>
            </w:r>
          </w:p>
        </w:tc>
        <w:tc>
          <w:tcPr>
            <w:tcW w:w="992" w:type="dxa"/>
          </w:tcPr>
          <w:p w14:paraId="7167355B"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62,2</w:t>
            </w:r>
          </w:p>
        </w:tc>
        <w:tc>
          <w:tcPr>
            <w:tcW w:w="1276" w:type="dxa"/>
          </w:tcPr>
          <w:p w14:paraId="1F76D893"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52386782</w:t>
            </w:r>
          </w:p>
        </w:tc>
        <w:tc>
          <w:tcPr>
            <w:tcW w:w="1134" w:type="dxa"/>
          </w:tcPr>
          <w:p w14:paraId="2D5F4443"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2,97</w:t>
            </w:r>
          </w:p>
        </w:tc>
        <w:tc>
          <w:tcPr>
            <w:tcW w:w="1134" w:type="dxa"/>
          </w:tcPr>
          <w:p w14:paraId="3ACA9568"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163,4</w:t>
            </w:r>
          </w:p>
        </w:tc>
        <w:tc>
          <w:tcPr>
            <w:tcW w:w="1276" w:type="dxa"/>
          </w:tcPr>
          <w:p w14:paraId="08D2932C"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31467557</w:t>
            </w:r>
          </w:p>
        </w:tc>
        <w:tc>
          <w:tcPr>
            <w:tcW w:w="992" w:type="dxa"/>
          </w:tcPr>
          <w:p w14:paraId="1164B10A"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101,2</w:t>
            </w:r>
          </w:p>
        </w:tc>
        <w:tc>
          <w:tcPr>
            <w:tcW w:w="1134" w:type="dxa"/>
          </w:tcPr>
          <w:p w14:paraId="5EE88CFF"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20919225</w:t>
            </w:r>
          </w:p>
        </w:tc>
        <w:tc>
          <w:tcPr>
            <w:tcW w:w="1007" w:type="dxa"/>
          </w:tcPr>
          <w:p w14:paraId="1A75ED9A"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62,2</w:t>
            </w:r>
          </w:p>
        </w:tc>
      </w:tr>
      <w:tr w:rsidR="0055718F" w:rsidRPr="009772A3" w14:paraId="23F71F75" w14:textId="77777777" w:rsidTr="003E392B">
        <w:tc>
          <w:tcPr>
            <w:tcW w:w="1271" w:type="dxa"/>
          </w:tcPr>
          <w:p w14:paraId="73277F05"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2019</w:t>
            </w:r>
          </w:p>
        </w:tc>
        <w:tc>
          <w:tcPr>
            <w:tcW w:w="1276" w:type="dxa"/>
          </w:tcPr>
          <w:p w14:paraId="4D40DD06"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11383298</w:t>
            </w:r>
          </w:p>
        </w:tc>
        <w:tc>
          <w:tcPr>
            <w:tcW w:w="1134" w:type="dxa"/>
          </w:tcPr>
          <w:p w14:paraId="4C6C12E9"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2,972</w:t>
            </w:r>
          </w:p>
        </w:tc>
        <w:tc>
          <w:tcPr>
            <w:tcW w:w="992" w:type="dxa"/>
          </w:tcPr>
          <w:p w14:paraId="691E456A"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33,8</w:t>
            </w:r>
          </w:p>
        </w:tc>
        <w:tc>
          <w:tcPr>
            <w:tcW w:w="1276" w:type="dxa"/>
          </w:tcPr>
          <w:p w14:paraId="4959EC5E"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51827523</w:t>
            </w:r>
          </w:p>
        </w:tc>
        <w:tc>
          <w:tcPr>
            <w:tcW w:w="1134" w:type="dxa"/>
          </w:tcPr>
          <w:p w14:paraId="19CDAB77"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2,972</w:t>
            </w:r>
          </w:p>
        </w:tc>
        <w:tc>
          <w:tcPr>
            <w:tcW w:w="1134" w:type="dxa"/>
          </w:tcPr>
          <w:p w14:paraId="0237BB7E"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154,0</w:t>
            </w:r>
          </w:p>
        </w:tc>
        <w:tc>
          <w:tcPr>
            <w:tcW w:w="1276" w:type="dxa"/>
          </w:tcPr>
          <w:p w14:paraId="2F207A49"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40444225</w:t>
            </w:r>
          </w:p>
        </w:tc>
        <w:tc>
          <w:tcPr>
            <w:tcW w:w="992" w:type="dxa"/>
          </w:tcPr>
          <w:p w14:paraId="0C000E21"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120,2</w:t>
            </w:r>
          </w:p>
        </w:tc>
        <w:tc>
          <w:tcPr>
            <w:tcW w:w="1134" w:type="dxa"/>
          </w:tcPr>
          <w:p w14:paraId="792AB6AA"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11383298</w:t>
            </w:r>
          </w:p>
        </w:tc>
        <w:tc>
          <w:tcPr>
            <w:tcW w:w="1007" w:type="dxa"/>
          </w:tcPr>
          <w:p w14:paraId="76AE9E2D"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33,8</w:t>
            </w:r>
          </w:p>
        </w:tc>
      </w:tr>
      <w:tr w:rsidR="0055718F" w:rsidRPr="009772A3" w14:paraId="27926D45" w14:textId="77777777" w:rsidTr="003E392B">
        <w:tc>
          <w:tcPr>
            <w:tcW w:w="1271" w:type="dxa"/>
          </w:tcPr>
          <w:p w14:paraId="5A7E8FC3"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2020</w:t>
            </w:r>
          </w:p>
        </w:tc>
        <w:tc>
          <w:tcPr>
            <w:tcW w:w="1276" w:type="dxa"/>
          </w:tcPr>
          <w:p w14:paraId="445E17E3"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 xml:space="preserve"> 5400689</w:t>
            </w:r>
          </w:p>
        </w:tc>
        <w:tc>
          <w:tcPr>
            <w:tcW w:w="1134" w:type="dxa"/>
          </w:tcPr>
          <w:p w14:paraId="68C73674"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2,972</w:t>
            </w:r>
          </w:p>
        </w:tc>
        <w:tc>
          <w:tcPr>
            <w:tcW w:w="992" w:type="dxa"/>
          </w:tcPr>
          <w:p w14:paraId="3D80FBEC"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 xml:space="preserve"> 16,1</w:t>
            </w:r>
          </w:p>
        </w:tc>
        <w:tc>
          <w:tcPr>
            <w:tcW w:w="1276" w:type="dxa"/>
          </w:tcPr>
          <w:p w14:paraId="184D6946"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55804208</w:t>
            </w:r>
          </w:p>
        </w:tc>
        <w:tc>
          <w:tcPr>
            <w:tcW w:w="1134" w:type="dxa"/>
          </w:tcPr>
          <w:p w14:paraId="6CCC626B"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2,97</w:t>
            </w:r>
          </w:p>
        </w:tc>
        <w:tc>
          <w:tcPr>
            <w:tcW w:w="1134" w:type="dxa"/>
          </w:tcPr>
          <w:p w14:paraId="77E8815A"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177,3</w:t>
            </w:r>
          </w:p>
        </w:tc>
        <w:tc>
          <w:tcPr>
            <w:tcW w:w="1276" w:type="dxa"/>
          </w:tcPr>
          <w:p w14:paraId="2DB75BD9"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 xml:space="preserve"> 50403519</w:t>
            </w:r>
          </w:p>
        </w:tc>
        <w:tc>
          <w:tcPr>
            <w:tcW w:w="992" w:type="dxa"/>
          </w:tcPr>
          <w:p w14:paraId="6E4B5AF0"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 xml:space="preserve"> 161,2</w:t>
            </w:r>
          </w:p>
        </w:tc>
        <w:tc>
          <w:tcPr>
            <w:tcW w:w="1134" w:type="dxa"/>
          </w:tcPr>
          <w:p w14:paraId="5BEC917C"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 xml:space="preserve"> 5400689</w:t>
            </w:r>
          </w:p>
        </w:tc>
        <w:tc>
          <w:tcPr>
            <w:tcW w:w="1007" w:type="dxa"/>
          </w:tcPr>
          <w:p w14:paraId="1D963C42"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 xml:space="preserve"> 16,1</w:t>
            </w:r>
          </w:p>
        </w:tc>
      </w:tr>
      <w:tr w:rsidR="0055718F" w:rsidRPr="009772A3" w14:paraId="0EFE2A28" w14:textId="77777777" w:rsidTr="003E392B">
        <w:tc>
          <w:tcPr>
            <w:tcW w:w="1271" w:type="dxa"/>
          </w:tcPr>
          <w:p w14:paraId="3776B9DF"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2021</w:t>
            </w:r>
          </w:p>
        </w:tc>
        <w:tc>
          <w:tcPr>
            <w:tcW w:w="1276" w:type="dxa"/>
          </w:tcPr>
          <w:p w14:paraId="60C576A1"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673336</w:t>
            </w:r>
          </w:p>
        </w:tc>
        <w:tc>
          <w:tcPr>
            <w:tcW w:w="1134" w:type="dxa"/>
          </w:tcPr>
          <w:p w14:paraId="1264D76E"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2,61</w:t>
            </w:r>
          </w:p>
        </w:tc>
        <w:tc>
          <w:tcPr>
            <w:tcW w:w="992" w:type="dxa"/>
          </w:tcPr>
          <w:p w14:paraId="41A961BD"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5,1</w:t>
            </w:r>
          </w:p>
        </w:tc>
        <w:tc>
          <w:tcPr>
            <w:tcW w:w="1276" w:type="dxa"/>
          </w:tcPr>
          <w:p w14:paraId="1A177424"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53080784</w:t>
            </w:r>
          </w:p>
        </w:tc>
        <w:tc>
          <w:tcPr>
            <w:tcW w:w="1134" w:type="dxa"/>
          </w:tcPr>
          <w:p w14:paraId="10CF52D0" w14:textId="77777777" w:rsidR="0055718F" w:rsidRPr="009772A3" w:rsidRDefault="0055718F" w:rsidP="00724695">
            <w:pPr>
              <w:spacing w:line="240" w:lineRule="auto"/>
              <w:rPr>
                <w:rFonts w:asciiTheme="majorHAnsi" w:hAnsiTheme="majorHAnsi" w:cstheme="majorHAnsi"/>
                <w:sz w:val="16"/>
                <w:szCs w:val="16"/>
                <w:lang w:val="ro-MD"/>
              </w:rPr>
            </w:pPr>
            <w:r w:rsidRPr="009772A3">
              <w:rPr>
                <w:rFonts w:asciiTheme="majorHAnsi" w:hAnsiTheme="majorHAnsi" w:cstheme="majorHAnsi"/>
                <w:sz w:val="16"/>
                <w:szCs w:val="16"/>
                <w:lang w:val="ro-MD"/>
              </w:rPr>
              <w:t>2,61</w:t>
            </w:r>
          </w:p>
        </w:tc>
        <w:tc>
          <w:tcPr>
            <w:tcW w:w="1134" w:type="dxa"/>
          </w:tcPr>
          <w:p w14:paraId="7CA89ED8"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194,9</w:t>
            </w:r>
          </w:p>
        </w:tc>
        <w:tc>
          <w:tcPr>
            <w:tcW w:w="1276" w:type="dxa"/>
          </w:tcPr>
          <w:p w14:paraId="6BE2C7E4"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52407448</w:t>
            </w:r>
          </w:p>
        </w:tc>
        <w:tc>
          <w:tcPr>
            <w:tcW w:w="992" w:type="dxa"/>
          </w:tcPr>
          <w:p w14:paraId="761B66BE"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sz w:val="16"/>
                <w:szCs w:val="16"/>
                <w:lang w:val="ro-MD"/>
              </w:rPr>
              <w:t>189,8</w:t>
            </w:r>
          </w:p>
        </w:tc>
        <w:tc>
          <w:tcPr>
            <w:tcW w:w="1134" w:type="dxa"/>
          </w:tcPr>
          <w:p w14:paraId="14417D0A"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673336</w:t>
            </w:r>
          </w:p>
        </w:tc>
        <w:tc>
          <w:tcPr>
            <w:tcW w:w="1007" w:type="dxa"/>
          </w:tcPr>
          <w:p w14:paraId="2F669F68" w14:textId="77777777" w:rsidR="0055718F" w:rsidRPr="009772A3" w:rsidRDefault="0055718F" w:rsidP="00724695">
            <w:pPr>
              <w:spacing w:line="240" w:lineRule="auto"/>
              <w:jc w:val="right"/>
              <w:rPr>
                <w:rFonts w:asciiTheme="majorHAnsi" w:hAnsiTheme="majorHAnsi" w:cstheme="majorHAnsi"/>
                <w:sz w:val="16"/>
                <w:szCs w:val="16"/>
                <w:lang w:val="ro-MD"/>
              </w:rPr>
            </w:pPr>
            <w:r w:rsidRPr="009772A3">
              <w:rPr>
                <w:rFonts w:asciiTheme="majorHAnsi" w:hAnsiTheme="majorHAnsi" w:cstheme="majorHAnsi"/>
                <w:sz w:val="16"/>
                <w:szCs w:val="16"/>
                <w:lang w:val="ro-MD"/>
              </w:rPr>
              <w:t>5,1</w:t>
            </w:r>
          </w:p>
        </w:tc>
      </w:tr>
      <w:tr w:rsidR="0055718F" w:rsidRPr="009772A3" w14:paraId="291D0AB6" w14:textId="77777777" w:rsidTr="003E392B">
        <w:tc>
          <w:tcPr>
            <w:tcW w:w="1271" w:type="dxa"/>
          </w:tcPr>
          <w:p w14:paraId="47A3FE0C"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Total</w:t>
            </w:r>
          </w:p>
        </w:tc>
        <w:tc>
          <w:tcPr>
            <w:tcW w:w="1276" w:type="dxa"/>
          </w:tcPr>
          <w:p w14:paraId="7955F111"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b/>
                <w:sz w:val="16"/>
                <w:szCs w:val="16"/>
                <w:lang w:val="ro-MD"/>
              </w:rPr>
              <w:t>-</w:t>
            </w:r>
          </w:p>
        </w:tc>
        <w:tc>
          <w:tcPr>
            <w:tcW w:w="1134" w:type="dxa"/>
          </w:tcPr>
          <w:p w14:paraId="710E09CA" w14:textId="77777777" w:rsidR="0055718F" w:rsidRPr="009772A3" w:rsidRDefault="0055718F" w:rsidP="00724695">
            <w:pPr>
              <w:spacing w:line="240" w:lineRule="auto"/>
              <w:jc w:val="center"/>
              <w:rPr>
                <w:rFonts w:asciiTheme="majorHAnsi" w:hAnsiTheme="majorHAnsi" w:cstheme="majorHAnsi"/>
                <w:sz w:val="16"/>
                <w:szCs w:val="16"/>
                <w:lang w:val="ro-MD"/>
              </w:rPr>
            </w:pPr>
            <w:r w:rsidRPr="009772A3">
              <w:rPr>
                <w:rFonts w:asciiTheme="majorHAnsi" w:hAnsiTheme="majorHAnsi" w:cstheme="majorHAnsi"/>
                <w:b/>
                <w:sz w:val="16"/>
                <w:szCs w:val="16"/>
                <w:lang w:val="ro-MD"/>
              </w:rPr>
              <w:t>-</w:t>
            </w:r>
          </w:p>
        </w:tc>
        <w:tc>
          <w:tcPr>
            <w:tcW w:w="992" w:type="dxa"/>
          </w:tcPr>
          <w:p w14:paraId="429A8AE3"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250,8</w:t>
            </w:r>
          </w:p>
        </w:tc>
        <w:tc>
          <w:tcPr>
            <w:tcW w:w="1276" w:type="dxa"/>
          </w:tcPr>
          <w:p w14:paraId="3DCEEDB9"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w:t>
            </w:r>
          </w:p>
        </w:tc>
        <w:tc>
          <w:tcPr>
            <w:tcW w:w="1134" w:type="dxa"/>
          </w:tcPr>
          <w:p w14:paraId="4682A215"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w:t>
            </w:r>
          </w:p>
        </w:tc>
        <w:tc>
          <w:tcPr>
            <w:tcW w:w="1134" w:type="dxa"/>
          </w:tcPr>
          <w:p w14:paraId="1C90CB3C"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923,3</w:t>
            </w:r>
          </w:p>
        </w:tc>
        <w:tc>
          <w:tcPr>
            <w:tcW w:w="1276" w:type="dxa"/>
          </w:tcPr>
          <w:p w14:paraId="79D17AD6"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w:t>
            </w:r>
          </w:p>
        </w:tc>
        <w:tc>
          <w:tcPr>
            <w:tcW w:w="992" w:type="dxa"/>
          </w:tcPr>
          <w:p w14:paraId="74624CDD"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672,5</w:t>
            </w:r>
          </w:p>
        </w:tc>
        <w:tc>
          <w:tcPr>
            <w:tcW w:w="1134" w:type="dxa"/>
          </w:tcPr>
          <w:p w14:paraId="7A2BB47D"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w:t>
            </w:r>
          </w:p>
        </w:tc>
        <w:tc>
          <w:tcPr>
            <w:tcW w:w="1007" w:type="dxa"/>
          </w:tcPr>
          <w:p w14:paraId="79B82980" w14:textId="77777777" w:rsidR="0055718F" w:rsidRPr="009772A3" w:rsidRDefault="0055718F" w:rsidP="00724695">
            <w:pPr>
              <w:spacing w:line="240" w:lineRule="auto"/>
              <w:jc w:val="center"/>
              <w:rPr>
                <w:rFonts w:asciiTheme="majorHAnsi" w:hAnsiTheme="majorHAnsi" w:cstheme="majorHAnsi"/>
                <w:b/>
                <w:sz w:val="16"/>
                <w:szCs w:val="16"/>
                <w:lang w:val="ro-MD"/>
              </w:rPr>
            </w:pPr>
            <w:r w:rsidRPr="009772A3">
              <w:rPr>
                <w:rFonts w:asciiTheme="majorHAnsi" w:hAnsiTheme="majorHAnsi" w:cstheme="majorHAnsi"/>
                <w:b/>
                <w:sz w:val="16"/>
                <w:szCs w:val="16"/>
                <w:lang w:val="ro-MD"/>
              </w:rPr>
              <w:t>250,8</w:t>
            </w:r>
          </w:p>
        </w:tc>
      </w:tr>
    </w:tbl>
    <w:p w14:paraId="5A30C1A8" w14:textId="0EF8F2E1" w:rsidR="0055718F" w:rsidRPr="009772A3" w:rsidRDefault="0055718F" w:rsidP="0055718F">
      <w:pPr>
        <w:autoSpaceDE w:val="0"/>
        <w:autoSpaceDN w:val="0"/>
        <w:adjustRightInd w:val="0"/>
        <w:spacing w:after="0" w:line="240" w:lineRule="auto"/>
        <w:ind w:firstLine="567"/>
        <w:jc w:val="both"/>
        <w:rPr>
          <w:rFonts w:asciiTheme="majorHAnsi" w:hAnsiTheme="majorHAnsi" w:cstheme="majorHAnsi"/>
          <w:bCs/>
          <w:sz w:val="24"/>
          <w:szCs w:val="24"/>
          <w:lang w:val="ro-MD"/>
        </w:rPr>
      </w:pPr>
    </w:p>
    <w:p w14:paraId="410D9531" w14:textId="77777777" w:rsidR="00C92E2A" w:rsidRPr="009772A3" w:rsidRDefault="00C92E2A" w:rsidP="0055718F">
      <w:pPr>
        <w:autoSpaceDE w:val="0"/>
        <w:autoSpaceDN w:val="0"/>
        <w:adjustRightInd w:val="0"/>
        <w:spacing w:after="0" w:line="240" w:lineRule="auto"/>
        <w:ind w:firstLine="567"/>
        <w:jc w:val="both"/>
        <w:rPr>
          <w:rFonts w:asciiTheme="majorHAnsi" w:hAnsiTheme="majorHAnsi" w:cstheme="majorHAnsi"/>
          <w:bCs/>
          <w:sz w:val="24"/>
          <w:szCs w:val="24"/>
          <w:lang w:val="ro-MD"/>
        </w:rPr>
      </w:pPr>
    </w:p>
    <w:p w14:paraId="1B822632" w14:textId="35D0B116" w:rsidR="0055718F" w:rsidRPr="009772A3" w:rsidRDefault="0055718F"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Datele prezentate în tabel relevă că volumul gazului calculat (normativ) ca pierderi la consumuri tehnologice şi pierderi tehnice a variat de la 55,8 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în anul 2020 până la 51,8 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în anul 2019. În același timp, pierderile efective în perioada 2017-2021 au înregistrat un trend descrescător. Totodată, diferența între pierderile </w:t>
      </w:r>
      <w:r w:rsidR="00071CF2" w:rsidRPr="009772A3">
        <w:rPr>
          <w:rFonts w:asciiTheme="majorHAnsi" w:hAnsiTheme="majorHAnsi" w:cstheme="majorHAnsi"/>
          <w:sz w:val="24"/>
          <w:szCs w:val="24"/>
          <w:vertAlign w:val="baseline"/>
          <w:lang w:val="ro-MD"/>
        </w:rPr>
        <w:t xml:space="preserve">normative </w:t>
      </w:r>
      <w:r w:rsidRPr="009772A3">
        <w:rPr>
          <w:rFonts w:asciiTheme="majorHAnsi" w:hAnsiTheme="majorHAnsi" w:cstheme="majorHAnsi"/>
          <w:sz w:val="24"/>
          <w:szCs w:val="24"/>
          <w:vertAlign w:val="baseline"/>
          <w:lang w:val="ro-MD"/>
        </w:rPr>
        <w:t>calculate și aprobate de ANRE față de pierderile efective a crescut de la 23,2 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în anul 2017 până la 52,4 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în anul 2021, sau de la 43% până la 97%. </w:t>
      </w:r>
    </w:p>
    <w:p w14:paraId="6B000FAC" w14:textId="75E8127C" w:rsidR="0055718F" w:rsidRPr="009772A3" w:rsidRDefault="0055718F"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Potrivit Metodologiei ANRE, la stabilirea  normelor de pierderi se iau în considera</w:t>
      </w:r>
      <w:r w:rsidR="00C92E2A" w:rsidRPr="009772A3">
        <w:rPr>
          <w:rFonts w:asciiTheme="majorHAnsi" w:hAnsiTheme="majorHAnsi" w:cstheme="majorHAnsi"/>
          <w:sz w:val="24"/>
          <w:szCs w:val="24"/>
          <w:vertAlign w:val="baseline"/>
          <w:lang w:val="ro-MD"/>
        </w:rPr>
        <w:t>r</w:t>
      </w:r>
      <w:r w:rsidRPr="009772A3">
        <w:rPr>
          <w:rFonts w:asciiTheme="majorHAnsi" w:hAnsiTheme="majorHAnsi" w:cstheme="majorHAnsi"/>
          <w:sz w:val="24"/>
          <w:szCs w:val="24"/>
          <w:vertAlign w:val="baseline"/>
          <w:lang w:val="ro-MD"/>
        </w:rPr>
        <w:t>e numai acele pierderi care direct depind de mijloacele tehnice cu ajutorul cărora se realizează transportul gazelor, fără a fi luat în calcul volumul gazelor naturale real transportate</w:t>
      </w:r>
      <w:r w:rsidR="007E0DBA" w:rsidRPr="009772A3">
        <w:rPr>
          <w:rFonts w:asciiTheme="majorHAnsi" w:hAnsiTheme="majorHAnsi" w:cstheme="majorHAnsi"/>
          <w:sz w:val="24"/>
          <w:szCs w:val="24"/>
          <w:vertAlign w:val="baseline"/>
          <w:lang w:val="ro-MD"/>
        </w:rPr>
        <w:t xml:space="preserve"> și erorile admisibile a</w:t>
      </w:r>
      <w:r w:rsidR="00C92E2A" w:rsidRPr="009772A3">
        <w:rPr>
          <w:rFonts w:asciiTheme="majorHAnsi" w:hAnsiTheme="majorHAnsi" w:cstheme="majorHAnsi"/>
          <w:sz w:val="24"/>
          <w:szCs w:val="24"/>
          <w:vertAlign w:val="baseline"/>
          <w:lang w:val="ro-MD"/>
        </w:rPr>
        <w:t>le</w:t>
      </w:r>
      <w:r w:rsidR="007E0DBA" w:rsidRPr="009772A3">
        <w:rPr>
          <w:rFonts w:asciiTheme="majorHAnsi" w:hAnsiTheme="majorHAnsi" w:cstheme="majorHAnsi"/>
          <w:sz w:val="24"/>
          <w:szCs w:val="24"/>
          <w:vertAlign w:val="baseline"/>
          <w:lang w:val="ro-MD"/>
        </w:rPr>
        <w:t xml:space="preserve"> echipamentului de măsurare a gazelor naturale</w:t>
      </w:r>
      <w:r w:rsidRPr="009772A3">
        <w:rPr>
          <w:rFonts w:asciiTheme="majorHAnsi" w:hAnsiTheme="majorHAnsi" w:cstheme="majorHAnsi"/>
          <w:sz w:val="24"/>
          <w:szCs w:val="24"/>
          <w:vertAlign w:val="baseline"/>
          <w:lang w:val="ro-MD"/>
        </w:rPr>
        <w:t xml:space="preserve">. </w:t>
      </w:r>
    </w:p>
    <w:p w14:paraId="7C946AA5" w14:textId="631A0C4A" w:rsidR="001E7423" w:rsidRPr="009772A3" w:rsidRDefault="0055718F" w:rsidP="001E742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 asemenea, se remarcă că</w:t>
      </w:r>
      <w:r w:rsidR="00C92E2A"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deși Metodologia ANRE</w:t>
      </w:r>
      <w:r w:rsidRPr="009772A3">
        <w:rPr>
          <w:rFonts w:asciiTheme="majorHAnsi" w:hAnsiTheme="majorHAnsi" w:cstheme="majorHAnsi"/>
          <w:sz w:val="24"/>
          <w:szCs w:val="24"/>
          <w:lang w:val="ro-MD"/>
        </w:rPr>
        <w:footnoteReference w:id="112"/>
      </w:r>
      <w:r w:rsidRPr="009772A3">
        <w:rPr>
          <w:rFonts w:asciiTheme="majorHAnsi" w:hAnsiTheme="majorHAnsi" w:cstheme="majorHAnsi"/>
          <w:sz w:val="24"/>
          <w:szCs w:val="24"/>
          <w:vertAlign w:val="baseline"/>
          <w:lang w:val="ro-MD"/>
        </w:rPr>
        <w:t xml:space="preserve"> nu stabilește ordinea de normare a consumurilor de gaze pentru executarea şi repararea capitală a conductelor magistrale şi ramificațiilor aferente lor, care se pun în eviden</w:t>
      </w:r>
      <w:r w:rsidR="00C92E2A" w:rsidRPr="009772A3">
        <w:rPr>
          <w:rFonts w:asciiTheme="majorHAnsi" w:hAnsiTheme="majorHAnsi" w:cstheme="majorHAnsi"/>
          <w:sz w:val="24"/>
          <w:szCs w:val="24"/>
          <w:vertAlign w:val="baseline"/>
          <w:lang w:val="ro-MD"/>
        </w:rPr>
        <w:t>ț</w:t>
      </w:r>
      <w:r w:rsidRPr="009772A3">
        <w:rPr>
          <w:rFonts w:asciiTheme="majorHAnsi" w:hAnsiTheme="majorHAnsi" w:cstheme="majorHAnsi"/>
          <w:sz w:val="24"/>
          <w:szCs w:val="24"/>
          <w:vertAlign w:val="baseline"/>
          <w:lang w:val="ro-MD"/>
        </w:rPr>
        <w:t>ă separat şi se stabilesc, după caz, limite corespunzătoare, SRL Moldovatransgaz în perioada 2017-2021 a inclus astfel de consumuri de 3</w:t>
      </w:r>
      <w:r w:rsidR="001E7423" w:rsidRPr="009772A3">
        <w:rPr>
          <w:rFonts w:asciiTheme="majorHAnsi" w:hAnsiTheme="majorHAnsi" w:cstheme="majorHAnsi"/>
          <w:sz w:val="24"/>
          <w:szCs w:val="24"/>
          <w:vertAlign w:val="baseline"/>
          <w:lang w:val="ro-MD"/>
        </w:rPr>
        <w:t>.</w:t>
      </w:r>
      <w:r w:rsidR="008D4317" w:rsidRPr="009772A3">
        <w:rPr>
          <w:rFonts w:asciiTheme="majorHAnsi" w:hAnsiTheme="majorHAnsi" w:cstheme="majorHAnsi"/>
          <w:sz w:val="24"/>
          <w:szCs w:val="24"/>
          <w:vertAlign w:val="baseline"/>
          <w:lang w:val="ro-MD"/>
        </w:rPr>
        <w:t>056</w:t>
      </w:r>
      <w:r w:rsidRPr="009772A3">
        <w:rPr>
          <w:rFonts w:asciiTheme="majorHAnsi" w:hAnsiTheme="majorHAnsi" w:cstheme="majorHAnsi"/>
          <w:sz w:val="24"/>
          <w:szCs w:val="24"/>
          <w:vertAlign w:val="baseline"/>
          <w:lang w:val="ro-MD"/>
        </w:rPr>
        <w:t>,</w:t>
      </w:r>
      <w:r w:rsidR="008D4317" w:rsidRPr="009772A3">
        <w:rPr>
          <w:rFonts w:asciiTheme="majorHAnsi" w:hAnsiTheme="majorHAnsi" w:cstheme="majorHAnsi"/>
          <w:sz w:val="24"/>
          <w:szCs w:val="24"/>
          <w:vertAlign w:val="baseline"/>
          <w:lang w:val="ro-MD"/>
        </w:rPr>
        <w:t>3</w:t>
      </w:r>
      <w:r w:rsidRPr="009772A3">
        <w:rPr>
          <w:rFonts w:asciiTheme="majorHAnsi" w:hAnsiTheme="majorHAnsi" w:cstheme="majorHAnsi"/>
          <w:sz w:val="24"/>
          <w:szCs w:val="24"/>
          <w:vertAlign w:val="baseline"/>
          <w:lang w:val="ro-MD"/>
        </w:rPr>
        <w:t xml:space="preserve"> mii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în calculul de normare a consumurilor tehnologice și </w:t>
      </w:r>
      <w:r w:rsidR="001A2099" w:rsidRPr="009772A3">
        <w:rPr>
          <w:rFonts w:asciiTheme="majorHAnsi" w:hAnsiTheme="majorHAnsi" w:cstheme="majorHAnsi"/>
          <w:sz w:val="24"/>
          <w:szCs w:val="24"/>
          <w:vertAlign w:val="baseline"/>
          <w:lang w:val="ro-MD"/>
        </w:rPr>
        <w:t xml:space="preserve">a </w:t>
      </w:r>
      <w:r w:rsidRPr="009772A3">
        <w:rPr>
          <w:rFonts w:asciiTheme="majorHAnsi" w:hAnsiTheme="majorHAnsi" w:cstheme="majorHAnsi"/>
          <w:sz w:val="24"/>
          <w:szCs w:val="24"/>
          <w:vertAlign w:val="baseline"/>
          <w:lang w:val="ro-MD"/>
        </w:rPr>
        <w:t>pierderilor tehnice. Concomitent, se menționează că</w:t>
      </w:r>
      <w:r w:rsidR="001A2099"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în perioada 2017-2021, SRL Moldovatransgaz a inclus în pierderile efective consumul gazului utilizat la</w:t>
      </w:r>
      <w:r w:rsidR="00915D49" w:rsidRPr="009772A3">
        <w:rPr>
          <w:rFonts w:asciiTheme="majorHAnsi" w:hAnsiTheme="majorHAnsi" w:cstheme="majorHAnsi"/>
          <w:sz w:val="24"/>
          <w:szCs w:val="24"/>
          <w:vertAlign w:val="baseline"/>
          <w:lang w:val="ro-MD"/>
        </w:rPr>
        <w:t xml:space="preserve"> centralele termice pentru </w:t>
      </w:r>
      <w:r w:rsidRPr="009772A3">
        <w:rPr>
          <w:rFonts w:asciiTheme="majorHAnsi" w:hAnsiTheme="majorHAnsi" w:cstheme="majorHAnsi"/>
          <w:sz w:val="24"/>
          <w:szCs w:val="24"/>
          <w:vertAlign w:val="baseline"/>
          <w:lang w:val="ro-MD"/>
        </w:rPr>
        <w:t>necesitățile</w:t>
      </w:r>
      <w:r w:rsidR="00915D49" w:rsidRPr="009772A3">
        <w:rPr>
          <w:rFonts w:asciiTheme="majorHAnsi" w:hAnsiTheme="majorHAnsi" w:cstheme="majorHAnsi"/>
          <w:sz w:val="24"/>
          <w:szCs w:val="24"/>
          <w:vertAlign w:val="baseline"/>
          <w:lang w:val="ro-MD"/>
        </w:rPr>
        <w:t xml:space="preserve"> tehnologice la obiectele aferente rețelelor de transport – stații de compresie, stații de predare, inclusiv pentru încălzirea clădirilor administrative, care</w:t>
      </w:r>
      <w:r w:rsidR="001A2099" w:rsidRPr="009772A3">
        <w:rPr>
          <w:rFonts w:asciiTheme="majorHAnsi" w:hAnsiTheme="majorHAnsi" w:cstheme="majorHAnsi"/>
          <w:sz w:val="24"/>
          <w:szCs w:val="24"/>
          <w:vertAlign w:val="baseline"/>
          <w:lang w:val="ro-MD"/>
        </w:rPr>
        <w:t>,</w:t>
      </w:r>
      <w:r w:rsidR="00915D49" w:rsidRPr="009772A3">
        <w:rPr>
          <w:rFonts w:asciiTheme="majorHAnsi" w:hAnsiTheme="majorHAnsi" w:cstheme="majorHAnsi"/>
          <w:sz w:val="24"/>
          <w:szCs w:val="24"/>
          <w:vertAlign w:val="baseline"/>
          <w:lang w:val="ro-MD"/>
        </w:rPr>
        <w:t xml:space="preserve"> de facto</w:t>
      </w:r>
      <w:r w:rsidR="001A2099" w:rsidRPr="009772A3">
        <w:rPr>
          <w:rFonts w:asciiTheme="majorHAnsi" w:hAnsiTheme="majorHAnsi" w:cstheme="majorHAnsi"/>
          <w:sz w:val="24"/>
          <w:szCs w:val="24"/>
          <w:vertAlign w:val="baseline"/>
          <w:lang w:val="ro-MD"/>
        </w:rPr>
        <w:t>,</w:t>
      </w:r>
      <w:r w:rsidR="00915D49" w:rsidRPr="009772A3">
        <w:rPr>
          <w:rFonts w:asciiTheme="majorHAnsi" w:hAnsiTheme="majorHAnsi" w:cstheme="majorHAnsi"/>
          <w:sz w:val="24"/>
          <w:szCs w:val="24"/>
          <w:vertAlign w:val="baseline"/>
          <w:lang w:val="ro-MD"/>
        </w:rPr>
        <w:t xml:space="preserve"> urma</w:t>
      </w:r>
      <w:r w:rsidR="00EE05E3">
        <w:rPr>
          <w:rFonts w:asciiTheme="majorHAnsi" w:hAnsiTheme="majorHAnsi" w:cstheme="majorHAnsi"/>
          <w:sz w:val="24"/>
          <w:szCs w:val="24"/>
          <w:vertAlign w:val="baseline"/>
          <w:lang w:val="ro-MD"/>
        </w:rPr>
        <w:t>u</w:t>
      </w:r>
      <w:r w:rsidR="00915D49" w:rsidRPr="009772A3">
        <w:rPr>
          <w:rFonts w:asciiTheme="majorHAnsi" w:hAnsiTheme="majorHAnsi" w:cstheme="majorHAnsi"/>
          <w:sz w:val="24"/>
          <w:szCs w:val="24"/>
          <w:vertAlign w:val="baseline"/>
          <w:lang w:val="ro-MD"/>
        </w:rPr>
        <w:t xml:space="preserve"> a fi achitat</w:t>
      </w:r>
      <w:r w:rsidR="00ED7D7D" w:rsidRPr="009772A3">
        <w:rPr>
          <w:rFonts w:asciiTheme="majorHAnsi" w:hAnsiTheme="majorHAnsi" w:cstheme="majorHAnsi"/>
          <w:sz w:val="24"/>
          <w:szCs w:val="24"/>
          <w:vertAlign w:val="baseline"/>
          <w:lang w:val="ro-MD"/>
        </w:rPr>
        <w:t>e</w:t>
      </w:r>
      <w:r w:rsidR="00915D49" w:rsidRPr="009772A3">
        <w:rPr>
          <w:rFonts w:asciiTheme="majorHAnsi" w:hAnsiTheme="majorHAnsi" w:cstheme="majorHAnsi"/>
          <w:sz w:val="24"/>
          <w:szCs w:val="24"/>
          <w:vertAlign w:val="baseline"/>
          <w:lang w:val="ro-MD"/>
        </w:rPr>
        <w:t xml:space="preserve"> și reflectat</w:t>
      </w:r>
      <w:r w:rsidR="001A2099" w:rsidRPr="009772A3">
        <w:rPr>
          <w:rFonts w:asciiTheme="majorHAnsi" w:hAnsiTheme="majorHAnsi" w:cstheme="majorHAnsi"/>
          <w:sz w:val="24"/>
          <w:szCs w:val="24"/>
          <w:vertAlign w:val="baseline"/>
          <w:lang w:val="ro-MD"/>
        </w:rPr>
        <w:t>e</w:t>
      </w:r>
      <w:r w:rsidR="00915D49" w:rsidRPr="009772A3">
        <w:rPr>
          <w:rFonts w:asciiTheme="majorHAnsi" w:hAnsiTheme="majorHAnsi" w:cstheme="majorHAnsi"/>
          <w:sz w:val="24"/>
          <w:szCs w:val="24"/>
          <w:vertAlign w:val="baseline"/>
          <w:lang w:val="ro-MD"/>
        </w:rPr>
        <w:t xml:space="preserve"> la </w:t>
      </w:r>
      <w:r w:rsidR="00ED7D7D" w:rsidRPr="009772A3">
        <w:rPr>
          <w:rFonts w:asciiTheme="majorHAnsi" w:hAnsiTheme="majorHAnsi" w:cstheme="majorHAnsi"/>
          <w:sz w:val="24"/>
          <w:szCs w:val="24"/>
          <w:vertAlign w:val="baseline"/>
          <w:lang w:val="ro-MD"/>
        </w:rPr>
        <w:t>cheltuielile administrative sau de producere</w:t>
      </w:r>
      <w:r w:rsidR="00915D49" w:rsidRPr="009772A3">
        <w:rPr>
          <w:rFonts w:asciiTheme="majorHAnsi" w:hAnsiTheme="majorHAnsi" w:cstheme="majorHAnsi"/>
          <w:sz w:val="24"/>
          <w:szCs w:val="24"/>
          <w:vertAlign w:val="baseline"/>
          <w:lang w:val="ro-MD"/>
        </w:rPr>
        <w:t>.</w:t>
      </w:r>
      <w:r w:rsidR="000C5338" w:rsidRPr="009772A3">
        <w:rPr>
          <w:rFonts w:asciiTheme="majorHAnsi" w:hAnsiTheme="majorHAnsi" w:cstheme="majorHAnsi"/>
          <w:sz w:val="24"/>
          <w:szCs w:val="24"/>
          <w:vertAlign w:val="baseline"/>
          <w:lang w:val="ro-MD"/>
        </w:rPr>
        <w:t xml:space="preserve"> Volumul total al gazelor naturale utilizate la încălzirea obiectelor menționate </w:t>
      </w:r>
      <w:r w:rsidR="00071CF2" w:rsidRPr="009772A3">
        <w:rPr>
          <w:rFonts w:asciiTheme="majorHAnsi" w:hAnsiTheme="majorHAnsi" w:cstheme="majorHAnsi"/>
          <w:sz w:val="24"/>
          <w:szCs w:val="24"/>
          <w:vertAlign w:val="baseline"/>
          <w:lang w:val="ro-MD"/>
        </w:rPr>
        <w:t xml:space="preserve">în perioada </w:t>
      </w:r>
      <w:r w:rsidR="00127C6A" w:rsidRPr="009772A3">
        <w:rPr>
          <w:rFonts w:asciiTheme="majorHAnsi" w:hAnsiTheme="majorHAnsi" w:cstheme="majorHAnsi"/>
          <w:sz w:val="24"/>
          <w:szCs w:val="24"/>
          <w:vertAlign w:val="baseline"/>
          <w:lang w:val="ro-MD"/>
        </w:rPr>
        <w:t>2017-2021</w:t>
      </w:r>
      <w:r w:rsidR="00071CF2" w:rsidRPr="009772A3">
        <w:rPr>
          <w:rFonts w:asciiTheme="majorHAnsi" w:hAnsiTheme="majorHAnsi" w:cstheme="majorHAnsi"/>
          <w:sz w:val="24"/>
          <w:szCs w:val="24"/>
          <w:vertAlign w:val="baseline"/>
          <w:lang w:val="ro-MD"/>
        </w:rPr>
        <w:t xml:space="preserve"> a constituit </w:t>
      </w:r>
      <w:r w:rsidRPr="009772A3">
        <w:rPr>
          <w:rFonts w:asciiTheme="majorHAnsi" w:hAnsiTheme="majorHAnsi" w:cstheme="majorHAnsi"/>
          <w:sz w:val="24"/>
          <w:szCs w:val="24"/>
          <w:vertAlign w:val="baseline"/>
          <w:lang w:val="ro-MD"/>
        </w:rPr>
        <w:t>3</w:t>
      </w:r>
      <w:r w:rsidR="001E7423" w:rsidRPr="009772A3">
        <w:rPr>
          <w:rFonts w:asciiTheme="majorHAnsi" w:hAnsiTheme="majorHAnsi" w:cstheme="majorHAnsi"/>
          <w:sz w:val="24"/>
          <w:szCs w:val="24"/>
          <w:vertAlign w:val="baseline"/>
          <w:lang w:val="ro-MD"/>
        </w:rPr>
        <w:t>.</w:t>
      </w:r>
      <w:r w:rsidR="00FB38A0" w:rsidRPr="009772A3">
        <w:rPr>
          <w:rFonts w:asciiTheme="majorHAnsi" w:hAnsiTheme="majorHAnsi" w:cstheme="majorHAnsi"/>
          <w:sz w:val="24"/>
          <w:szCs w:val="24"/>
          <w:vertAlign w:val="baseline"/>
          <w:lang w:val="ro-MD"/>
        </w:rPr>
        <w:t>072,7 mii m</w:t>
      </w:r>
      <w:r w:rsidR="00FB38A0" w:rsidRPr="009772A3">
        <w:rPr>
          <w:rFonts w:asciiTheme="majorHAnsi" w:hAnsiTheme="majorHAnsi" w:cstheme="majorHAnsi"/>
          <w:sz w:val="24"/>
          <w:szCs w:val="24"/>
          <w:lang w:val="ro-MD"/>
        </w:rPr>
        <w:t>3</w:t>
      </w:r>
      <w:r w:rsidR="00FB38A0" w:rsidRPr="009772A3">
        <w:rPr>
          <w:rFonts w:asciiTheme="majorHAnsi" w:hAnsiTheme="majorHAnsi" w:cstheme="majorHAnsi"/>
          <w:sz w:val="24"/>
          <w:szCs w:val="24"/>
          <w:vertAlign w:val="baseline"/>
          <w:lang w:val="ro-MD"/>
        </w:rPr>
        <w:t xml:space="preserve"> în sumă de 10.</w:t>
      </w:r>
      <w:r w:rsidRPr="009772A3">
        <w:rPr>
          <w:rFonts w:asciiTheme="majorHAnsi" w:hAnsiTheme="majorHAnsi" w:cstheme="majorHAnsi"/>
          <w:sz w:val="24"/>
          <w:szCs w:val="24"/>
          <w:vertAlign w:val="baseline"/>
          <w:lang w:val="ro-MD"/>
        </w:rPr>
        <w:t>5</w:t>
      </w:r>
      <w:r w:rsidR="00FB38A0" w:rsidRPr="009772A3">
        <w:rPr>
          <w:rFonts w:asciiTheme="majorHAnsi" w:hAnsiTheme="majorHAnsi" w:cstheme="majorHAnsi"/>
          <w:sz w:val="24"/>
          <w:szCs w:val="24"/>
          <w:vertAlign w:val="baseline"/>
          <w:lang w:val="ro-MD"/>
        </w:rPr>
        <w:t>63,2</w:t>
      </w:r>
      <w:r w:rsidRPr="009772A3">
        <w:rPr>
          <w:rFonts w:asciiTheme="majorHAnsi" w:hAnsiTheme="majorHAnsi" w:cstheme="majorHAnsi"/>
          <w:sz w:val="24"/>
          <w:szCs w:val="24"/>
          <w:vertAlign w:val="baseline"/>
          <w:lang w:val="ro-MD"/>
        </w:rPr>
        <w:t xml:space="preserve"> mi</w:t>
      </w:r>
      <w:r w:rsidR="00FB38A0" w:rsidRPr="009772A3">
        <w:rPr>
          <w:rFonts w:asciiTheme="majorHAnsi" w:hAnsiTheme="majorHAnsi" w:cstheme="majorHAnsi"/>
          <w:sz w:val="24"/>
          <w:szCs w:val="24"/>
          <w:vertAlign w:val="baseline"/>
          <w:lang w:val="ro-MD"/>
        </w:rPr>
        <w:t xml:space="preserve">i </w:t>
      </w:r>
      <w:r w:rsidR="000C5338" w:rsidRPr="009772A3">
        <w:rPr>
          <w:rFonts w:asciiTheme="majorHAnsi" w:hAnsiTheme="majorHAnsi" w:cstheme="majorHAnsi"/>
          <w:sz w:val="24"/>
          <w:szCs w:val="24"/>
          <w:vertAlign w:val="baseline"/>
          <w:lang w:val="ro-MD"/>
        </w:rPr>
        <w:t>lei.</w:t>
      </w:r>
      <w:r w:rsidRPr="009772A3">
        <w:rPr>
          <w:rFonts w:asciiTheme="majorHAnsi" w:hAnsiTheme="majorHAnsi" w:cstheme="majorHAnsi"/>
          <w:sz w:val="24"/>
          <w:szCs w:val="24"/>
          <w:vertAlign w:val="baseline"/>
          <w:lang w:val="ro-MD"/>
        </w:rPr>
        <w:t xml:space="preserve"> </w:t>
      </w:r>
      <w:r w:rsidR="001E7423" w:rsidRPr="009772A3">
        <w:rPr>
          <w:rFonts w:asciiTheme="majorHAnsi" w:hAnsiTheme="majorHAnsi" w:cstheme="majorHAnsi"/>
          <w:sz w:val="24"/>
          <w:szCs w:val="24"/>
          <w:vertAlign w:val="baseline"/>
          <w:lang w:val="ro-MD"/>
        </w:rPr>
        <w:t>După cum explică responsabilii, Metodologia ANRE nu reflectă normarea consumurilor de gaze în special pentru clădirile administrative,</w:t>
      </w:r>
      <w:r w:rsidR="003C24F0" w:rsidRPr="009772A3">
        <w:rPr>
          <w:rFonts w:asciiTheme="majorHAnsi" w:hAnsiTheme="majorHAnsi" w:cstheme="majorHAnsi"/>
          <w:sz w:val="24"/>
          <w:szCs w:val="24"/>
          <w:vertAlign w:val="baseline"/>
          <w:lang w:val="ro-MD"/>
        </w:rPr>
        <w:t xml:space="preserve"> </w:t>
      </w:r>
      <w:r w:rsidR="001E7423" w:rsidRPr="009772A3">
        <w:rPr>
          <w:rFonts w:asciiTheme="majorHAnsi" w:hAnsiTheme="majorHAnsi" w:cstheme="majorHAnsi"/>
          <w:sz w:val="24"/>
          <w:szCs w:val="24"/>
          <w:vertAlign w:val="baseline"/>
          <w:lang w:val="ro-MD"/>
        </w:rPr>
        <w:t xml:space="preserve">din </w:t>
      </w:r>
      <w:r w:rsidR="001A2099" w:rsidRPr="009772A3">
        <w:rPr>
          <w:rFonts w:asciiTheme="majorHAnsi" w:hAnsiTheme="majorHAnsi" w:cstheme="majorHAnsi"/>
          <w:sz w:val="24"/>
          <w:szCs w:val="24"/>
          <w:vertAlign w:val="baseline"/>
          <w:lang w:val="ro-MD"/>
        </w:rPr>
        <w:t xml:space="preserve">cauza </w:t>
      </w:r>
      <w:r w:rsidR="001E7423" w:rsidRPr="009772A3">
        <w:rPr>
          <w:rFonts w:asciiTheme="majorHAnsi" w:hAnsiTheme="majorHAnsi" w:cstheme="majorHAnsi"/>
          <w:sz w:val="24"/>
          <w:szCs w:val="24"/>
          <w:vertAlign w:val="baseline"/>
          <w:lang w:val="ro-MD"/>
        </w:rPr>
        <w:t xml:space="preserve">amplasării clădirilor </w:t>
      </w:r>
      <w:r w:rsidR="001A2099" w:rsidRPr="009772A3">
        <w:rPr>
          <w:rFonts w:asciiTheme="majorHAnsi" w:hAnsiTheme="majorHAnsi" w:cstheme="majorHAnsi"/>
          <w:sz w:val="24"/>
          <w:szCs w:val="24"/>
          <w:vertAlign w:val="baseline"/>
          <w:lang w:val="ro-MD"/>
        </w:rPr>
        <w:t>respective</w:t>
      </w:r>
      <w:r w:rsidR="001E7423" w:rsidRPr="009772A3">
        <w:rPr>
          <w:rFonts w:asciiTheme="majorHAnsi" w:hAnsiTheme="majorHAnsi" w:cstheme="majorHAnsi"/>
          <w:sz w:val="24"/>
          <w:szCs w:val="24"/>
          <w:vertAlign w:val="baseline"/>
          <w:lang w:val="ro-MD"/>
        </w:rPr>
        <w:t xml:space="preserve"> pe teritoriul stațiilor de compensare sau a</w:t>
      </w:r>
      <w:r w:rsidR="001A2099" w:rsidRPr="009772A3">
        <w:rPr>
          <w:rFonts w:asciiTheme="majorHAnsi" w:hAnsiTheme="majorHAnsi" w:cstheme="majorHAnsi"/>
          <w:sz w:val="24"/>
          <w:szCs w:val="24"/>
          <w:vertAlign w:val="baseline"/>
          <w:lang w:val="ro-MD"/>
        </w:rPr>
        <w:t>l</w:t>
      </w:r>
      <w:r w:rsidR="001E7423" w:rsidRPr="009772A3">
        <w:rPr>
          <w:rFonts w:asciiTheme="majorHAnsi" w:hAnsiTheme="majorHAnsi" w:cstheme="majorHAnsi"/>
          <w:sz w:val="24"/>
          <w:szCs w:val="24"/>
          <w:vertAlign w:val="baseline"/>
          <w:lang w:val="ro-MD"/>
        </w:rPr>
        <w:t xml:space="preserve"> stațiilor de predare aflate în afara razei de așezare (orașe, sate), cu sisteme autonome de lucru și trai, inclusiv cu sistemă unică de încălzire pentru obiectele aferente rețelelor, precum și a încăperilor tehnologice aflate în </w:t>
      </w:r>
      <w:r w:rsidR="001A2099" w:rsidRPr="009772A3">
        <w:rPr>
          <w:rFonts w:asciiTheme="majorHAnsi" w:hAnsiTheme="majorHAnsi" w:cstheme="majorHAnsi"/>
          <w:sz w:val="24"/>
          <w:szCs w:val="24"/>
          <w:vertAlign w:val="baseline"/>
          <w:lang w:val="ro-MD"/>
        </w:rPr>
        <w:t xml:space="preserve">acele </w:t>
      </w:r>
      <w:r w:rsidR="001E7423" w:rsidRPr="009772A3">
        <w:rPr>
          <w:rFonts w:asciiTheme="majorHAnsi" w:hAnsiTheme="majorHAnsi" w:cstheme="majorHAnsi"/>
          <w:sz w:val="24"/>
          <w:szCs w:val="24"/>
          <w:vertAlign w:val="baseline"/>
          <w:lang w:val="ro-MD"/>
        </w:rPr>
        <w:t>clădiri.</w:t>
      </w:r>
      <w:r w:rsidR="008778E2" w:rsidRPr="009772A3">
        <w:rPr>
          <w:rFonts w:asciiTheme="majorHAnsi" w:hAnsiTheme="majorHAnsi" w:cstheme="majorHAnsi"/>
          <w:sz w:val="24"/>
          <w:szCs w:val="24"/>
          <w:vertAlign w:val="baseline"/>
          <w:lang w:val="ro-MD"/>
        </w:rPr>
        <w:t xml:space="preserve"> </w:t>
      </w:r>
    </w:p>
    <w:p w14:paraId="1013CAA9" w14:textId="7BD2208C" w:rsidR="008778E2" w:rsidRPr="009772A3" w:rsidRDefault="00071CF2" w:rsidP="004F4116">
      <w:pPr>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w:t>
      </w:r>
      <w:r w:rsidR="008778E2" w:rsidRPr="009772A3">
        <w:rPr>
          <w:rFonts w:asciiTheme="majorHAnsi" w:hAnsiTheme="majorHAnsi" w:cstheme="majorHAnsi"/>
          <w:sz w:val="24"/>
          <w:szCs w:val="24"/>
          <w:lang w:val="ro-MD"/>
        </w:rPr>
        <w:t>e menționat că</w:t>
      </w:r>
      <w:r w:rsidRPr="009772A3">
        <w:rPr>
          <w:rFonts w:asciiTheme="majorHAnsi" w:hAnsiTheme="majorHAnsi" w:cstheme="majorHAnsi"/>
          <w:sz w:val="24"/>
          <w:szCs w:val="24"/>
          <w:lang w:val="ro-MD"/>
        </w:rPr>
        <w:t>,</w:t>
      </w:r>
      <w:r w:rsidR="008778E2" w:rsidRPr="009772A3">
        <w:rPr>
          <w:rFonts w:asciiTheme="majorHAnsi" w:hAnsiTheme="majorHAnsi" w:cstheme="majorHAnsi"/>
          <w:sz w:val="24"/>
          <w:szCs w:val="24"/>
          <w:lang w:val="ro-MD"/>
        </w:rPr>
        <w:t xml:space="preserve"> potrivit modificărilor la Legea nr.108/2016 cu privire la gaze</w:t>
      </w:r>
      <w:r w:rsidR="001A2099" w:rsidRPr="009772A3">
        <w:rPr>
          <w:rFonts w:asciiTheme="majorHAnsi" w:hAnsiTheme="majorHAnsi" w:cstheme="majorHAnsi"/>
          <w:sz w:val="24"/>
          <w:szCs w:val="24"/>
          <w:lang w:val="ro-MD"/>
        </w:rPr>
        <w:t>le</w:t>
      </w:r>
      <w:r w:rsidR="008778E2" w:rsidRPr="009772A3">
        <w:rPr>
          <w:rFonts w:asciiTheme="majorHAnsi" w:hAnsiTheme="majorHAnsi" w:cstheme="majorHAnsi"/>
          <w:sz w:val="24"/>
          <w:szCs w:val="24"/>
          <w:lang w:val="ro-MD"/>
        </w:rPr>
        <w:t xml:space="preserve"> naturale</w:t>
      </w:r>
      <w:r w:rsidR="001A2099" w:rsidRPr="009772A3">
        <w:rPr>
          <w:rFonts w:asciiTheme="majorHAnsi" w:hAnsiTheme="majorHAnsi" w:cstheme="majorHAnsi"/>
          <w:sz w:val="24"/>
          <w:szCs w:val="24"/>
          <w:lang w:val="ro-MD"/>
        </w:rPr>
        <w:t>,</w:t>
      </w:r>
      <w:r w:rsidR="008778E2" w:rsidRPr="009772A3">
        <w:rPr>
          <w:rFonts w:asciiTheme="majorHAnsi" w:hAnsiTheme="majorHAnsi" w:cstheme="majorHAnsi"/>
          <w:sz w:val="24"/>
          <w:szCs w:val="24"/>
          <w:lang w:val="ro-MD"/>
        </w:rPr>
        <w:t xml:space="preserve"> urmează a fi revizuit modul de determinare a consumului tehnologic și a pierderilor de gaze naturale în rețelele de transport a</w:t>
      </w:r>
      <w:r w:rsidR="001A2099" w:rsidRPr="009772A3">
        <w:rPr>
          <w:rFonts w:asciiTheme="majorHAnsi" w:hAnsiTheme="majorHAnsi" w:cstheme="majorHAnsi"/>
          <w:sz w:val="24"/>
          <w:szCs w:val="24"/>
          <w:lang w:val="ro-MD"/>
        </w:rPr>
        <w:t>l</w:t>
      </w:r>
      <w:r w:rsidR="008778E2" w:rsidRPr="009772A3">
        <w:rPr>
          <w:rFonts w:asciiTheme="majorHAnsi" w:hAnsiTheme="majorHAnsi" w:cstheme="majorHAnsi"/>
          <w:sz w:val="24"/>
          <w:szCs w:val="24"/>
          <w:lang w:val="ro-MD"/>
        </w:rPr>
        <w:t xml:space="preserve"> gazelor naturale, prin stabilirea trendului de reducere a acestora pe perioada valabilității metodologiilor tarifare, pentru a implementa mecanisme de stimulare a eficienței, ținând cont de obiectivele stabilite și de volumele de gaze naturale injectate în rețelele de transport a</w:t>
      </w:r>
      <w:r w:rsidR="001A2099" w:rsidRPr="009772A3">
        <w:rPr>
          <w:rFonts w:asciiTheme="majorHAnsi" w:hAnsiTheme="majorHAnsi" w:cstheme="majorHAnsi"/>
          <w:sz w:val="24"/>
          <w:szCs w:val="24"/>
          <w:lang w:val="ro-MD"/>
        </w:rPr>
        <w:t>l</w:t>
      </w:r>
      <w:r w:rsidR="008778E2" w:rsidRPr="009772A3">
        <w:rPr>
          <w:rFonts w:asciiTheme="majorHAnsi" w:hAnsiTheme="majorHAnsi" w:cstheme="majorHAnsi"/>
          <w:sz w:val="24"/>
          <w:szCs w:val="24"/>
          <w:lang w:val="ro-MD"/>
        </w:rPr>
        <w:t xml:space="preserve"> gazelor naturale.</w:t>
      </w:r>
      <w:r w:rsidRPr="009772A3">
        <w:rPr>
          <w:rFonts w:asciiTheme="majorHAnsi" w:hAnsiTheme="majorHAnsi" w:cstheme="majorHAnsi"/>
          <w:sz w:val="24"/>
          <w:szCs w:val="24"/>
          <w:lang w:val="ro-MD"/>
        </w:rPr>
        <w:t xml:space="preserve"> </w:t>
      </w:r>
    </w:p>
    <w:p w14:paraId="6EB23A3E" w14:textId="0C6BE694" w:rsidR="00977BCF" w:rsidRPr="009772A3" w:rsidRDefault="00FD1AA6" w:rsidP="00EE05E3">
      <w:pPr>
        <w:pStyle w:val="Heading1"/>
        <w:numPr>
          <w:ilvl w:val="3"/>
          <w:numId w:val="2"/>
        </w:numPr>
        <w:tabs>
          <w:tab w:val="left" w:pos="851"/>
        </w:tabs>
        <w:spacing w:line="276" w:lineRule="auto"/>
        <w:ind w:left="0" w:firstLine="0"/>
        <w:jc w:val="both"/>
        <w:rPr>
          <w:i/>
          <w:color w:val="auto"/>
          <w:lang w:val="ro-MD"/>
        </w:rPr>
      </w:pPr>
      <w:bookmarkStart w:id="151" w:name="_Toc119245432"/>
      <w:bookmarkStart w:id="152" w:name="_Toc119496432"/>
      <w:bookmarkStart w:id="153" w:name="_Toc118297729"/>
      <w:bookmarkEnd w:id="151"/>
      <w:r w:rsidRPr="009772A3">
        <w:rPr>
          <w:i/>
          <w:color w:val="auto"/>
          <w:lang w:val="ro-MD"/>
        </w:rPr>
        <w:t xml:space="preserve">Volumul pierderilor efective la distribuția gazelor naturale în perioada 2011-2021 a depășit de </w:t>
      </w:r>
      <w:r w:rsidR="001A2099" w:rsidRPr="009772A3">
        <w:rPr>
          <w:i/>
          <w:color w:val="auto"/>
          <w:lang w:val="ro-MD"/>
        </w:rPr>
        <w:t>două</w:t>
      </w:r>
      <w:r w:rsidRPr="009772A3">
        <w:rPr>
          <w:i/>
          <w:color w:val="auto"/>
          <w:lang w:val="ro-MD"/>
        </w:rPr>
        <w:t xml:space="preserve"> ori volumul pierderilor normative acceptate în scopuri tarifare</w:t>
      </w:r>
      <w:r w:rsidR="00977BCF" w:rsidRPr="009772A3">
        <w:rPr>
          <w:i/>
          <w:color w:val="auto"/>
          <w:lang w:val="ro-MD"/>
        </w:rPr>
        <w:t>.</w:t>
      </w:r>
      <w:bookmarkEnd w:id="152"/>
      <w:r w:rsidR="00977BCF" w:rsidRPr="009772A3">
        <w:rPr>
          <w:i/>
          <w:color w:val="auto"/>
          <w:lang w:val="ro-MD"/>
        </w:rPr>
        <w:t xml:space="preserve"> </w:t>
      </w:r>
    </w:p>
    <w:p w14:paraId="300DDA98" w14:textId="0CE419BE" w:rsidR="00FD1AA6" w:rsidRPr="009772A3" w:rsidRDefault="00977BCF" w:rsidP="004F4116">
      <w:pPr>
        <w:pStyle w:val="FootnoteText"/>
        <w:spacing w:line="276" w:lineRule="auto"/>
        <w:ind w:firstLine="720"/>
        <w:jc w:val="both"/>
        <w:rPr>
          <w:rFonts w:asciiTheme="majorHAnsi" w:hAnsiTheme="majorHAnsi" w:cstheme="majorHAnsi"/>
          <w:i/>
          <w:sz w:val="24"/>
          <w:szCs w:val="24"/>
          <w:lang w:val="ro-MD"/>
        </w:rPr>
      </w:pPr>
      <w:r w:rsidRPr="009772A3">
        <w:rPr>
          <w:rFonts w:asciiTheme="majorHAnsi" w:hAnsiTheme="majorHAnsi" w:cstheme="majorHAnsi"/>
          <w:i/>
          <w:sz w:val="24"/>
          <w:szCs w:val="24"/>
          <w:vertAlign w:val="baseline"/>
          <w:lang w:val="ro-MD"/>
        </w:rPr>
        <w:t>V</w:t>
      </w:r>
      <w:r w:rsidR="00FD1AA6" w:rsidRPr="009772A3">
        <w:rPr>
          <w:rFonts w:asciiTheme="majorHAnsi" w:hAnsiTheme="majorHAnsi" w:cstheme="majorHAnsi"/>
          <w:i/>
          <w:sz w:val="24"/>
          <w:szCs w:val="24"/>
          <w:vertAlign w:val="baseline"/>
          <w:lang w:val="ro-MD"/>
        </w:rPr>
        <w:t xml:space="preserve">aloarea pierderilor la distribuția gazului acceptate în scop tarifar a constituit doar </w:t>
      </w:r>
      <w:r w:rsidR="00EE05E3" w:rsidRPr="009772A3">
        <w:rPr>
          <w:rFonts w:asciiTheme="majorHAnsi" w:hAnsiTheme="majorHAnsi" w:cstheme="majorHAnsi"/>
          <w:i/>
          <w:sz w:val="24"/>
          <w:szCs w:val="24"/>
          <w:vertAlign w:val="baseline"/>
          <w:lang w:val="ro-MD"/>
        </w:rPr>
        <w:t>91</w:t>
      </w:r>
      <w:r w:rsidR="00EE05E3">
        <w:rPr>
          <w:rFonts w:asciiTheme="majorHAnsi" w:hAnsiTheme="majorHAnsi" w:cstheme="majorHAnsi"/>
          <w:i/>
          <w:sz w:val="24"/>
          <w:szCs w:val="24"/>
          <w:vertAlign w:val="baseline"/>
          <w:lang w:val="ro-MD"/>
        </w:rPr>
        <w:t>7</w:t>
      </w:r>
      <w:r w:rsidR="00434A5B">
        <w:rPr>
          <w:rFonts w:asciiTheme="majorHAnsi" w:hAnsiTheme="majorHAnsi" w:cstheme="majorHAnsi"/>
          <w:i/>
          <w:sz w:val="24"/>
          <w:szCs w:val="24"/>
          <w:vertAlign w:val="baseline"/>
          <w:lang w:val="ro-MD"/>
        </w:rPr>
        <w:t>.370,0</w:t>
      </w:r>
      <w:r w:rsidR="00FD1AA6" w:rsidRPr="009772A3">
        <w:rPr>
          <w:rFonts w:asciiTheme="majorHAnsi" w:hAnsiTheme="majorHAnsi" w:cstheme="majorHAnsi"/>
          <w:i/>
          <w:sz w:val="24"/>
          <w:szCs w:val="24"/>
          <w:vertAlign w:val="baseline"/>
          <w:lang w:val="ro-MD"/>
        </w:rPr>
        <w:t xml:space="preserve"> mi</w:t>
      </w:r>
      <w:r w:rsidR="00434A5B">
        <w:rPr>
          <w:rFonts w:asciiTheme="majorHAnsi" w:hAnsiTheme="majorHAnsi" w:cstheme="majorHAnsi"/>
          <w:i/>
          <w:sz w:val="24"/>
          <w:szCs w:val="24"/>
          <w:vertAlign w:val="baseline"/>
          <w:lang w:val="ro-MD"/>
        </w:rPr>
        <w:t xml:space="preserve">i </w:t>
      </w:r>
      <w:r w:rsidR="00FD1AA6" w:rsidRPr="009772A3">
        <w:rPr>
          <w:rFonts w:asciiTheme="majorHAnsi" w:hAnsiTheme="majorHAnsi" w:cstheme="majorHAnsi"/>
          <w:i/>
          <w:sz w:val="24"/>
          <w:szCs w:val="24"/>
          <w:vertAlign w:val="baseline"/>
          <w:lang w:val="ro-MD"/>
        </w:rPr>
        <w:t>lei, iar valoarea pierderilor supranormative a constituit 1</w:t>
      </w:r>
      <w:r w:rsidR="004E210C" w:rsidRPr="009772A3">
        <w:rPr>
          <w:rFonts w:asciiTheme="majorHAnsi" w:hAnsiTheme="majorHAnsi" w:cstheme="majorHAnsi"/>
          <w:i/>
          <w:sz w:val="24"/>
          <w:szCs w:val="24"/>
          <w:vertAlign w:val="baseline"/>
          <w:lang w:val="ro-MD"/>
        </w:rPr>
        <w:t>.</w:t>
      </w:r>
      <w:r w:rsidR="00903803" w:rsidRPr="009772A3">
        <w:rPr>
          <w:rFonts w:asciiTheme="majorHAnsi" w:hAnsiTheme="majorHAnsi" w:cstheme="majorHAnsi"/>
          <w:i/>
          <w:sz w:val="24"/>
          <w:szCs w:val="24"/>
          <w:vertAlign w:val="baseline"/>
          <w:lang w:val="ro-MD"/>
        </w:rPr>
        <w:t>022.761,</w:t>
      </w:r>
      <w:r w:rsidR="00FD1AA6" w:rsidRPr="009772A3">
        <w:rPr>
          <w:rFonts w:asciiTheme="majorHAnsi" w:hAnsiTheme="majorHAnsi" w:cstheme="majorHAnsi"/>
          <w:i/>
          <w:sz w:val="24"/>
          <w:szCs w:val="24"/>
          <w:vertAlign w:val="baseline"/>
          <w:lang w:val="ro-MD"/>
        </w:rPr>
        <w:t>8 mi</w:t>
      </w:r>
      <w:r w:rsidR="00903803" w:rsidRPr="009772A3">
        <w:rPr>
          <w:rFonts w:asciiTheme="majorHAnsi" w:hAnsiTheme="majorHAnsi" w:cstheme="majorHAnsi"/>
          <w:i/>
          <w:sz w:val="24"/>
          <w:szCs w:val="24"/>
          <w:vertAlign w:val="baseline"/>
          <w:lang w:val="ro-MD"/>
        </w:rPr>
        <w:t>i</w:t>
      </w:r>
      <w:r w:rsidR="00FD1AA6" w:rsidRPr="009772A3">
        <w:rPr>
          <w:rFonts w:asciiTheme="majorHAnsi" w:hAnsiTheme="majorHAnsi" w:cstheme="majorHAnsi"/>
          <w:i/>
          <w:sz w:val="24"/>
          <w:szCs w:val="24"/>
          <w:vertAlign w:val="baseline"/>
          <w:lang w:val="ro-MD"/>
        </w:rPr>
        <w:t xml:space="preserve"> lei.</w:t>
      </w:r>
      <w:bookmarkEnd w:id="150"/>
      <w:bookmarkEnd w:id="153"/>
      <w:r w:rsidR="00FD1AA6" w:rsidRPr="009772A3">
        <w:rPr>
          <w:rFonts w:asciiTheme="majorHAnsi" w:hAnsiTheme="majorHAnsi" w:cstheme="majorHAnsi"/>
          <w:i/>
          <w:sz w:val="24"/>
          <w:szCs w:val="24"/>
          <w:vertAlign w:val="baseline"/>
          <w:lang w:val="ro-MD"/>
        </w:rPr>
        <w:t xml:space="preserve"> </w:t>
      </w:r>
    </w:p>
    <w:p w14:paraId="51354C14" w14:textId="77227C10" w:rsidR="00A6181A" w:rsidRPr="009772A3" w:rsidRDefault="00A6181A"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Consumul tehnologic și al pierderilor tehnice de gaze naturale în rețelele de distribuție, pentru OSD, pentru perioada 2011-2019, au fost aprobate de ANRE </w:t>
      </w:r>
      <w:r w:rsidR="0065019A" w:rsidRPr="009772A3">
        <w:rPr>
          <w:rFonts w:asciiTheme="majorHAnsi" w:hAnsiTheme="majorHAnsi" w:cstheme="majorHAnsi"/>
          <w:sz w:val="24"/>
          <w:szCs w:val="24"/>
          <w:vertAlign w:val="baseline"/>
          <w:lang w:val="ro-MD"/>
        </w:rPr>
        <w:t xml:space="preserve">doar </w:t>
      </w:r>
      <w:r w:rsidRPr="009772A3">
        <w:rPr>
          <w:rFonts w:asciiTheme="majorHAnsi" w:hAnsiTheme="majorHAnsi" w:cstheme="majorHAnsi"/>
          <w:sz w:val="24"/>
          <w:szCs w:val="24"/>
          <w:vertAlign w:val="baseline"/>
          <w:lang w:val="ro-MD"/>
        </w:rPr>
        <w:t>în anul 2020</w:t>
      </w:r>
      <w:r w:rsidRPr="009772A3">
        <w:rPr>
          <w:rFonts w:asciiTheme="majorHAnsi" w:hAnsiTheme="majorHAnsi"/>
          <w:sz w:val="24"/>
          <w:szCs w:val="24"/>
          <w:lang w:val="ro-MD"/>
        </w:rPr>
        <w:footnoteReference w:id="113"/>
      </w:r>
      <w:r w:rsidRPr="009772A3">
        <w:rPr>
          <w:rFonts w:asciiTheme="majorHAnsi" w:hAnsiTheme="majorHAnsi" w:cstheme="majorHAnsi"/>
          <w:sz w:val="24"/>
          <w:szCs w:val="24"/>
          <w:vertAlign w:val="baseline"/>
          <w:lang w:val="ro-MD"/>
        </w:rPr>
        <w:t>, ulterior fiind aprobate în următorul an</w:t>
      </w:r>
      <w:r w:rsidRPr="009772A3">
        <w:rPr>
          <w:rFonts w:asciiTheme="majorHAnsi" w:hAnsiTheme="majorHAnsi"/>
          <w:sz w:val="24"/>
          <w:szCs w:val="24"/>
          <w:lang w:val="ro-MD"/>
        </w:rPr>
        <w:footnoteReference w:id="114"/>
      </w:r>
      <w:r w:rsidRPr="009772A3">
        <w:rPr>
          <w:rFonts w:asciiTheme="majorHAnsi" w:hAnsiTheme="majorHAnsi" w:cstheme="majorHAnsi"/>
          <w:sz w:val="24"/>
          <w:szCs w:val="24"/>
          <w:vertAlign w:val="baseline"/>
          <w:lang w:val="ro-MD"/>
        </w:rPr>
        <w:t xml:space="preserve">. </w:t>
      </w:r>
    </w:p>
    <w:p w14:paraId="7CAA2893" w14:textId="42E754A3" w:rsidR="00C85375" w:rsidRPr="009772A3" w:rsidRDefault="00C85375"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w:t>
      </w:r>
      <w:r w:rsidR="00E46427" w:rsidRPr="009772A3">
        <w:rPr>
          <w:rFonts w:asciiTheme="majorHAnsi" w:hAnsiTheme="majorHAnsi" w:cstheme="majorHAnsi"/>
          <w:sz w:val="24"/>
          <w:szCs w:val="24"/>
          <w:vertAlign w:val="baseline"/>
          <w:lang w:val="ro-MD"/>
        </w:rPr>
        <w:t>in totalul consumului tehnologic și pierderil</w:t>
      </w:r>
      <w:r w:rsidR="001A2099" w:rsidRPr="009772A3">
        <w:rPr>
          <w:rFonts w:asciiTheme="majorHAnsi" w:hAnsiTheme="majorHAnsi" w:cstheme="majorHAnsi"/>
          <w:sz w:val="24"/>
          <w:szCs w:val="24"/>
          <w:vertAlign w:val="baseline"/>
          <w:lang w:val="ro-MD"/>
        </w:rPr>
        <w:t>or</w:t>
      </w:r>
      <w:r w:rsidR="00E46427" w:rsidRPr="009772A3">
        <w:rPr>
          <w:rFonts w:asciiTheme="majorHAnsi" w:hAnsiTheme="majorHAnsi" w:cstheme="majorHAnsi"/>
          <w:sz w:val="24"/>
          <w:szCs w:val="24"/>
          <w:vertAlign w:val="baseline"/>
          <w:lang w:val="ro-MD"/>
        </w:rPr>
        <w:t xml:space="preserve"> de gaze naturale </w:t>
      </w:r>
      <w:r w:rsidR="00A6181A" w:rsidRPr="009772A3">
        <w:rPr>
          <w:rFonts w:asciiTheme="majorHAnsi" w:hAnsiTheme="majorHAnsi" w:cstheme="majorHAnsi"/>
          <w:sz w:val="24"/>
          <w:szCs w:val="24"/>
          <w:vertAlign w:val="baseline"/>
          <w:lang w:val="ro-MD"/>
        </w:rPr>
        <w:t>de 446,9 mil.</w:t>
      </w:r>
      <w:r w:rsidR="00E46427" w:rsidRPr="009772A3">
        <w:rPr>
          <w:rFonts w:asciiTheme="majorHAnsi" w:hAnsiTheme="majorHAnsi" w:cstheme="majorHAnsi"/>
          <w:sz w:val="24"/>
          <w:szCs w:val="24"/>
          <w:vertAlign w:val="baseline"/>
          <w:lang w:val="ro-MD"/>
        </w:rPr>
        <w:t xml:space="preserve"> m</w:t>
      </w:r>
      <w:r w:rsidR="00E46427" w:rsidRPr="009772A3">
        <w:rPr>
          <w:rFonts w:asciiTheme="majorHAnsi" w:hAnsiTheme="majorHAnsi" w:cstheme="majorHAnsi"/>
          <w:sz w:val="24"/>
          <w:szCs w:val="24"/>
          <w:lang w:val="ro-MD"/>
        </w:rPr>
        <w:t>3</w:t>
      </w:r>
      <w:r w:rsidR="00E46427" w:rsidRPr="009772A3">
        <w:rPr>
          <w:rFonts w:asciiTheme="majorHAnsi" w:hAnsiTheme="majorHAnsi" w:cstheme="majorHAnsi"/>
          <w:sz w:val="24"/>
          <w:szCs w:val="24"/>
          <w:vertAlign w:val="baseline"/>
          <w:lang w:val="ro-MD"/>
        </w:rPr>
        <w:t xml:space="preserve"> înregistrat</w:t>
      </w:r>
      <w:r w:rsidRPr="009772A3">
        <w:rPr>
          <w:rFonts w:asciiTheme="majorHAnsi" w:hAnsiTheme="majorHAnsi" w:cstheme="majorHAnsi"/>
          <w:sz w:val="24"/>
          <w:szCs w:val="24"/>
          <w:vertAlign w:val="baseline"/>
          <w:lang w:val="ro-MD"/>
        </w:rPr>
        <w:t>e</w:t>
      </w:r>
      <w:r w:rsidR="00E46427" w:rsidRPr="009772A3">
        <w:rPr>
          <w:rFonts w:asciiTheme="majorHAnsi" w:hAnsiTheme="majorHAnsi" w:cstheme="majorHAnsi"/>
          <w:sz w:val="24"/>
          <w:szCs w:val="24"/>
          <w:vertAlign w:val="baseline"/>
          <w:lang w:val="ro-MD"/>
        </w:rPr>
        <w:t xml:space="preserve"> la </w:t>
      </w:r>
      <w:r w:rsidR="00A6181A" w:rsidRPr="009772A3">
        <w:rPr>
          <w:rFonts w:asciiTheme="majorHAnsi" w:hAnsiTheme="majorHAnsi" w:cstheme="majorHAnsi"/>
          <w:sz w:val="24"/>
          <w:szCs w:val="24"/>
          <w:vertAlign w:val="baseline"/>
          <w:lang w:val="ro-MD"/>
        </w:rPr>
        <w:t>ODG</w:t>
      </w:r>
      <w:r w:rsidR="00E46427" w:rsidRPr="009772A3">
        <w:rPr>
          <w:rFonts w:asciiTheme="majorHAnsi" w:hAnsiTheme="majorHAnsi" w:cstheme="majorHAnsi"/>
          <w:sz w:val="24"/>
          <w:szCs w:val="24"/>
          <w:vertAlign w:val="baseline"/>
          <w:lang w:val="ro-MD"/>
        </w:rPr>
        <w:t xml:space="preserve"> în perioada 2011-2021, ANRE a aprobat </w:t>
      </w:r>
      <w:r w:rsidR="00A6181A" w:rsidRPr="009772A3">
        <w:rPr>
          <w:rFonts w:asciiTheme="majorHAnsi" w:hAnsiTheme="majorHAnsi" w:cstheme="majorHAnsi"/>
          <w:sz w:val="24"/>
          <w:szCs w:val="24"/>
          <w:vertAlign w:val="baseline"/>
          <w:lang w:val="ro-MD"/>
        </w:rPr>
        <w:t>215,</w:t>
      </w:r>
      <w:r w:rsidR="00434A5B">
        <w:rPr>
          <w:rFonts w:asciiTheme="majorHAnsi" w:hAnsiTheme="majorHAnsi" w:cstheme="majorHAnsi"/>
          <w:sz w:val="24"/>
          <w:szCs w:val="24"/>
          <w:vertAlign w:val="baseline"/>
          <w:lang w:val="ro-MD"/>
        </w:rPr>
        <w:t>0</w:t>
      </w:r>
      <w:r w:rsidR="00434A5B" w:rsidRPr="009772A3">
        <w:rPr>
          <w:rFonts w:asciiTheme="majorHAnsi" w:hAnsiTheme="majorHAnsi" w:cstheme="majorHAnsi"/>
          <w:sz w:val="24"/>
          <w:szCs w:val="24"/>
          <w:vertAlign w:val="baseline"/>
          <w:lang w:val="ro-MD"/>
        </w:rPr>
        <w:t xml:space="preserve"> </w:t>
      </w:r>
      <w:r w:rsidR="00A6181A" w:rsidRPr="009772A3">
        <w:rPr>
          <w:rFonts w:asciiTheme="majorHAnsi" w:hAnsiTheme="majorHAnsi" w:cstheme="majorHAnsi"/>
          <w:sz w:val="24"/>
          <w:szCs w:val="24"/>
          <w:vertAlign w:val="baseline"/>
          <w:lang w:val="ro-MD"/>
        </w:rPr>
        <w:t>mil.</w:t>
      </w:r>
      <w:r w:rsidR="00E46427" w:rsidRPr="009772A3">
        <w:rPr>
          <w:rFonts w:asciiTheme="majorHAnsi" w:hAnsiTheme="majorHAnsi" w:cstheme="majorHAnsi"/>
          <w:sz w:val="24"/>
          <w:szCs w:val="24"/>
          <w:vertAlign w:val="baseline"/>
          <w:lang w:val="ro-MD"/>
        </w:rPr>
        <w:t xml:space="preserve"> m</w:t>
      </w:r>
      <w:r w:rsidR="00E46427" w:rsidRPr="009772A3">
        <w:rPr>
          <w:rFonts w:asciiTheme="majorHAnsi" w:hAnsiTheme="majorHAnsi" w:cstheme="majorHAnsi"/>
          <w:sz w:val="24"/>
          <w:szCs w:val="24"/>
          <w:lang w:val="ro-MD"/>
        </w:rPr>
        <w:t>3</w:t>
      </w:r>
      <w:r w:rsidR="00E46427"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 xml:space="preserve">de gaze ca </w:t>
      </w:r>
      <w:r w:rsidR="00E46427" w:rsidRPr="009772A3">
        <w:rPr>
          <w:rFonts w:asciiTheme="majorHAnsi" w:hAnsiTheme="majorHAnsi" w:cstheme="majorHAnsi"/>
          <w:sz w:val="24"/>
          <w:szCs w:val="24"/>
          <w:vertAlign w:val="baseline"/>
          <w:lang w:val="ro-MD"/>
        </w:rPr>
        <w:t>consum tehnologic și pierderi tehnice normative de gaze naturale în rețelele de distribuție</w:t>
      </w:r>
      <w:r w:rsidRPr="009772A3">
        <w:rPr>
          <w:rFonts w:asciiTheme="majorHAnsi" w:hAnsiTheme="majorHAnsi" w:cstheme="majorHAnsi"/>
          <w:sz w:val="24"/>
          <w:szCs w:val="24"/>
          <w:vertAlign w:val="baseline"/>
          <w:lang w:val="ro-MD"/>
        </w:rPr>
        <w:t>,</w:t>
      </w:r>
      <w:r w:rsidR="00E46427" w:rsidRPr="009772A3">
        <w:rPr>
          <w:rFonts w:asciiTheme="majorHAnsi" w:hAnsiTheme="majorHAnsi" w:cstheme="majorHAnsi"/>
          <w:sz w:val="24"/>
          <w:szCs w:val="24"/>
          <w:vertAlign w:val="baseline"/>
          <w:lang w:val="ro-MD"/>
        </w:rPr>
        <w:t xml:space="preserve"> ceea ce constituie </w:t>
      </w:r>
      <w:r w:rsidRPr="009772A3">
        <w:rPr>
          <w:rFonts w:asciiTheme="majorHAnsi" w:hAnsiTheme="majorHAnsi" w:cstheme="majorHAnsi"/>
          <w:sz w:val="24"/>
          <w:szCs w:val="24"/>
          <w:vertAlign w:val="baseline"/>
          <w:lang w:val="ro-MD"/>
        </w:rPr>
        <w:t xml:space="preserve">doar </w:t>
      </w:r>
      <w:r w:rsidR="00A6181A" w:rsidRPr="009772A3">
        <w:rPr>
          <w:rFonts w:asciiTheme="majorHAnsi" w:hAnsiTheme="majorHAnsi" w:cstheme="majorHAnsi"/>
          <w:sz w:val="24"/>
          <w:szCs w:val="24"/>
          <w:vertAlign w:val="baseline"/>
          <w:lang w:val="ro-MD"/>
        </w:rPr>
        <w:t>48,2</w:t>
      </w:r>
      <w:r w:rsidR="00E46427"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din cele efectiv înregistrate.</w:t>
      </w:r>
      <w:r w:rsidR="00E46427" w:rsidRPr="009772A3">
        <w:rPr>
          <w:rFonts w:asciiTheme="majorHAnsi" w:hAnsiTheme="majorHAnsi" w:cstheme="majorHAnsi"/>
          <w:sz w:val="24"/>
          <w:szCs w:val="24"/>
          <w:vertAlign w:val="baseline"/>
          <w:lang w:val="ro-MD"/>
        </w:rPr>
        <w:t xml:space="preserve"> </w:t>
      </w:r>
      <w:r w:rsidR="005735DB" w:rsidRPr="009772A3">
        <w:rPr>
          <w:rFonts w:asciiTheme="majorHAnsi" w:hAnsiTheme="majorHAnsi" w:cstheme="majorHAnsi"/>
          <w:sz w:val="24"/>
          <w:szCs w:val="24"/>
          <w:vertAlign w:val="baseline"/>
          <w:lang w:val="ro-MD"/>
        </w:rPr>
        <w:t>Potrivit informațiilor prezentate de SA „Moldovagaz”</w:t>
      </w:r>
      <w:r w:rsidR="00ED06AB" w:rsidRPr="009772A3">
        <w:rPr>
          <w:rFonts w:asciiTheme="majorHAnsi" w:hAnsiTheme="majorHAnsi" w:cstheme="majorHAnsi"/>
          <w:sz w:val="24"/>
          <w:szCs w:val="24"/>
          <w:vertAlign w:val="baseline"/>
          <w:lang w:val="ro-MD"/>
        </w:rPr>
        <w:t>,</w:t>
      </w:r>
      <w:r w:rsidR="005735DB" w:rsidRPr="009772A3">
        <w:rPr>
          <w:rFonts w:asciiTheme="majorHAnsi" w:hAnsiTheme="majorHAnsi" w:cstheme="majorHAnsi"/>
          <w:sz w:val="24"/>
          <w:szCs w:val="24"/>
          <w:vertAlign w:val="baseline"/>
          <w:lang w:val="ro-MD"/>
        </w:rPr>
        <w:t xml:space="preserve"> în perioda 2011-2021 </w:t>
      </w:r>
      <w:r w:rsidRPr="009772A3">
        <w:rPr>
          <w:rFonts w:asciiTheme="majorHAnsi" w:hAnsiTheme="majorHAnsi" w:cstheme="majorHAnsi"/>
          <w:sz w:val="24"/>
          <w:szCs w:val="24"/>
          <w:vertAlign w:val="baseline"/>
          <w:lang w:val="ro-MD"/>
        </w:rPr>
        <w:t>pierderile normative au variat de la 13,91 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(anul 2014) p</w:t>
      </w:r>
      <w:r w:rsidR="00ED06AB"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nă la 26,98  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(anul 2015), în același timp pierderile efective au variat de la 54,</w:t>
      </w:r>
      <w:r w:rsidR="00434A5B" w:rsidRPr="009772A3">
        <w:rPr>
          <w:rFonts w:asciiTheme="majorHAnsi" w:hAnsiTheme="majorHAnsi" w:cstheme="majorHAnsi"/>
          <w:sz w:val="24"/>
          <w:szCs w:val="24"/>
          <w:vertAlign w:val="baseline"/>
          <w:lang w:val="ro-MD"/>
        </w:rPr>
        <w:t>3</w:t>
      </w:r>
      <w:r w:rsidR="00434A5B">
        <w:rPr>
          <w:rFonts w:asciiTheme="majorHAnsi" w:hAnsiTheme="majorHAnsi" w:cstheme="majorHAnsi"/>
          <w:sz w:val="24"/>
          <w:szCs w:val="24"/>
          <w:vertAlign w:val="baseline"/>
          <w:lang w:val="ro-MD"/>
        </w:rPr>
        <w:t>7</w:t>
      </w:r>
      <w:r w:rsidR="00434A5B" w:rsidRPr="009772A3">
        <w:rPr>
          <w:rFonts w:asciiTheme="majorHAnsi" w:hAnsiTheme="majorHAnsi" w:cstheme="majorHAnsi"/>
          <w:sz w:val="24"/>
          <w:szCs w:val="24"/>
          <w:vertAlign w:val="baseline"/>
          <w:lang w:val="ro-MD"/>
        </w:rPr>
        <w:t xml:space="preserve"> </w:t>
      </w:r>
      <w:r w:rsidRPr="009772A3">
        <w:rPr>
          <w:rFonts w:asciiTheme="majorHAnsi" w:hAnsiTheme="majorHAnsi" w:cstheme="majorHAnsi"/>
          <w:sz w:val="24"/>
          <w:szCs w:val="24"/>
          <w:vertAlign w:val="baseline"/>
          <w:lang w:val="ro-MD"/>
        </w:rPr>
        <w:t>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(anul 2011) p</w:t>
      </w:r>
      <w:r w:rsidR="00ED06AB"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nă la 26,86  mil. m</w:t>
      </w:r>
      <w:r w:rsidRPr="009772A3">
        <w:rPr>
          <w:rFonts w:asciiTheme="majorHAnsi" w:hAnsiTheme="majorHAnsi" w:cstheme="majorHAnsi"/>
          <w:sz w:val="24"/>
          <w:szCs w:val="24"/>
          <w:lang w:val="ro-MD"/>
        </w:rPr>
        <w:t>3</w:t>
      </w:r>
      <w:r w:rsidRPr="009772A3">
        <w:rPr>
          <w:rFonts w:asciiTheme="majorHAnsi" w:hAnsiTheme="majorHAnsi" w:cstheme="majorHAnsi"/>
          <w:sz w:val="24"/>
          <w:szCs w:val="24"/>
          <w:vertAlign w:val="baseline"/>
          <w:lang w:val="ro-MD"/>
        </w:rPr>
        <w:t xml:space="preserve"> (anul 2021).  </w:t>
      </w:r>
    </w:p>
    <w:p w14:paraId="1A1E6A8E" w14:textId="62E05AA9" w:rsidR="00C85375" w:rsidRPr="009772A3" w:rsidRDefault="00C85375"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Astfel, </w:t>
      </w:r>
      <w:r w:rsidR="005735DB" w:rsidRPr="009772A3">
        <w:rPr>
          <w:rFonts w:asciiTheme="majorHAnsi" w:hAnsiTheme="majorHAnsi" w:cstheme="majorHAnsi"/>
          <w:sz w:val="24"/>
          <w:szCs w:val="24"/>
          <w:vertAlign w:val="baseline"/>
          <w:lang w:val="ro-MD"/>
        </w:rPr>
        <w:t xml:space="preserve">valoarea pierderilor la distribuția gazului acceptate în scop tarifar a constituit doar </w:t>
      </w:r>
      <w:r w:rsidR="00F454FA" w:rsidRPr="009772A3">
        <w:rPr>
          <w:rFonts w:asciiTheme="majorHAnsi" w:hAnsiTheme="majorHAnsi" w:cstheme="majorHAnsi"/>
          <w:sz w:val="24"/>
          <w:szCs w:val="24"/>
          <w:vertAlign w:val="baseline"/>
          <w:lang w:val="ro-MD"/>
        </w:rPr>
        <w:t>917.</w:t>
      </w:r>
      <w:r w:rsidR="005735DB" w:rsidRPr="009772A3">
        <w:rPr>
          <w:rFonts w:asciiTheme="majorHAnsi" w:hAnsiTheme="majorHAnsi" w:cstheme="majorHAnsi"/>
          <w:sz w:val="24"/>
          <w:szCs w:val="24"/>
          <w:vertAlign w:val="baseline"/>
          <w:lang w:val="ro-MD"/>
        </w:rPr>
        <w:t>3</w:t>
      </w:r>
      <w:r w:rsidR="00F454FA" w:rsidRPr="009772A3">
        <w:rPr>
          <w:rFonts w:asciiTheme="majorHAnsi" w:hAnsiTheme="majorHAnsi" w:cstheme="majorHAnsi"/>
          <w:sz w:val="24"/>
          <w:szCs w:val="24"/>
          <w:vertAlign w:val="baseline"/>
          <w:lang w:val="ro-MD"/>
        </w:rPr>
        <w:t>70,</w:t>
      </w:r>
      <w:r w:rsidR="00F454FA" w:rsidRPr="00434A5B">
        <w:rPr>
          <w:rFonts w:asciiTheme="majorHAnsi" w:hAnsiTheme="majorHAnsi" w:cstheme="majorHAnsi"/>
          <w:sz w:val="24"/>
          <w:szCs w:val="24"/>
          <w:vertAlign w:val="baseline"/>
          <w:lang w:val="ro-MD"/>
        </w:rPr>
        <w:t>0</w:t>
      </w:r>
      <w:r w:rsidR="005735DB" w:rsidRPr="00434A5B">
        <w:rPr>
          <w:rFonts w:asciiTheme="majorHAnsi" w:hAnsiTheme="majorHAnsi" w:cstheme="majorHAnsi"/>
          <w:sz w:val="24"/>
          <w:szCs w:val="24"/>
          <w:vertAlign w:val="baseline"/>
          <w:lang w:val="ro-MD"/>
        </w:rPr>
        <w:t xml:space="preserve"> </w:t>
      </w:r>
      <w:r w:rsidR="00F454FA" w:rsidRPr="00CF3AD4">
        <w:rPr>
          <w:rFonts w:asciiTheme="majorHAnsi" w:hAnsiTheme="majorHAnsi" w:cstheme="majorHAnsi"/>
          <w:sz w:val="24"/>
          <w:szCs w:val="24"/>
          <w:vertAlign w:val="baseline"/>
          <w:lang w:val="ro-MD"/>
        </w:rPr>
        <w:t>mii</w:t>
      </w:r>
      <w:r w:rsidR="00F454FA" w:rsidRPr="00434A5B">
        <w:rPr>
          <w:rFonts w:asciiTheme="majorHAnsi" w:hAnsiTheme="majorHAnsi" w:cstheme="majorHAnsi"/>
          <w:sz w:val="24"/>
          <w:szCs w:val="24"/>
          <w:vertAlign w:val="baseline"/>
          <w:lang w:val="ro-MD"/>
        </w:rPr>
        <w:t xml:space="preserve"> </w:t>
      </w:r>
      <w:r w:rsidR="005735DB" w:rsidRPr="00434A5B">
        <w:rPr>
          <w:rFonts w:asciiTheme="majorHAnsi" w:hAnsiTheme="majorHAnsi" w:cstheme="majorHAnsi"/>
          <w:sz w:val="24"/>
          <w:szCs w:val="24"/>
          <w:vertAlign w:val="baseline"/>
          <w:lang w:val="ro-MD"/>
        </w:rPr>
        <w:t>lei, iar valoarea pierderilor supranormative a constituit 1</w:t>
      </w:r>
      <w:r w:rsidR="00ED06AB" w:rsidRPr="00434A5B">
        <w:rPr>
          <w:rFonts w:asciiTheme="majorHAnsi" w:hAnsiTheme="majorHAnsi" w:cstheme="majorHAnsi"/>
          <w:sz w:val="24"/>
          <w:szCs w:val="24"/>
          <w:vertAlign w:val="baseline"/>
          <w:lang w:val="ro-MD"/>
        </w:rPr>
        <w:t>.</w:t>
      </w:r>
      <w:r w:rsidR="005735DB" w:rsidRPr="00434A5B">
        <w:rPr>
          <w:rFonts w:asciiTheme="majorHAnsi" w:hAnsiTheme="majorHAnsi" w:cstheme="majorHAnsi"/>
          <w:sz w:val="24"/>
          <w:szCs w:val="24"/>
          <w:vertAlign w:val="baseline"/>
          <w:lang w:val="ro-MD"/>
        </w:rPr>
        <w:t>02</w:t>
      </w:r>
      <w:r w:rsidR="00903803" w:rsidRPr="00434A5B">
        <w:rPr>
          <w:rFonts w:asciiTheme="majorHAnsi" w:hAnsiTheme="majorHAnsi" w:cstheme="majorHAnsi"/>
          <w:sz w:val="24"/>
          <w:szCs w:val="24"/>
          <w:vertAlign w:val="baseline"/>
          <w:lang w:val="ro-MD"/>
        </w:rPr>
        <w:t>2.761,</w:t>
      </w:r>
      <w:r w:rsidR="005735DB" w:rsidRPr="00434A5B">
        <w:rPr>
          <w:rFonts w:asciiTheme="majorHAnsi" w:hAnsiTheme="majorHAnsi" w:cstheme="majorHAnsi"/>
          <w:sz w:val="24"/>
          <w:szCs w:val="24"/>
          <w:vertAlign w:val="baseline"/>
          <w:lang w:val="ro-MD"/>
        </w:rPr>
        <w:t xml:space="preserve">8 </w:t>
      </w:r>
      <w:r w:rsidR="005735DB" w:rsidRPr="00CF3AD4">
        <w:rPr>
          <w:rFonts w:asciiTheme="majorHAnsi" w:hAnsiTheme="majorHAnsi" w:cstheme="majorHAnsi"/>
          <w:sz w:val="24"/>
          <w:szCs w:val="24"/>
          <w:vertAlign w:val="baseline"/>
          <w:lang w:val="ro-MD"/>
        </w:rPr>
        <w:t>mi</w:t>
      </w:r>
      <w:r w:rsidR="00903803" w:rsidRPr="00CF3AD4">
        <w:rPr>
          <w:rFonts w:asciiTheme="majorHAnsi" w:hAnsiTheme="majorHAnsi" w:cstheme="majorHAnsi"/>
          <w:sz w:val="24"/>
          <w:szCs w:val="24"/>
          <w:vertAlign w:val="baseline"/>
          <w:lang w:val="ro-MD"/>
        </w:rPr>
        <w:t>i</w:t>
      </w:r>
      <w:r w:rsidR="005735DB" w:rsidRPr="00434A5B">
        <w:rPr>
          <w:rFonts w:asciiTheme="majorHAnsi" w:hAnsiTheme="majorHAnsi" w:cstheme="majorHAnsi"/>
          <w:sz w:val="24"/>
          <w:szCs w:val="24"/>
          <w:vertAlign w:val="baseline"/>
          <w:lang w:val="ro-MD"/>
        </w:rPr>
        <w:t xml:space="preserve"> lei.</w:t>
      </w:r>
      <w:r w:rsidR="005735DB" w:rsidRPr="009772A3">
        <w:rPr>
          <w:rFonts w:asciiTheme="majorHAnsi" w:hAnsiTheme="majorHAnsi" w:cstheme="majorHAnsi"/>
          <w:sz w:val="24"/>
          <w:szCs w:val="24"/>
          <w:vertAlign w:val="baseline"/>
          <w:lang w:val="ro-MD"/>
        </w:rPr>
        <w:t xml:space="preserve"> </w:t>
      </w:r>
    </w:p>
    <w:p w14:paraId="672F1FF2" w14:textId="75B0F82E" w:rsidR="00C85375" w:rsidRPr="009772A3" w:rsidRDefault="00C85375"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Deci, volumul pierderilor efective la distribuția gazelor naturale în perioada 2011-2021 a depășit de 2 ori volumul pierderilor normative acceptate în scopuri tarifare, totuși acestea au avut o tendință de descreștere</w:t>
      </w:r>
      <w:r w:rsidR="00ED06AB"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de la 347% (2014) p</w:t>
      </w:r>
      <w:r w:rsidR="00ED06AB"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 xml:space="preserve">nă la 126% (2021). </w:t>
      </w:r>
    </w:p>
    <w:p w14:paraId="47268A5A" w14:textId="212DE05E" w:rsidR="005735DB" w:rsidRPr="009772A3" w:rsidRDefault="005735DB"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În același timp</w:t>
      </w:r>
      <w:r w:rsidR="00ED06AB"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volumul pierderilor efective la transportarea gazelor naturale în perioada 2011-2021 a depășit volumul pierderilor normative acceptate în scopuri tarifare doar în anul 2011, în restul perioadei fiind mai mici (de la 105,9% - </w:t>
      </w:r>
      <w:r w:rsidR="00ED06AB" w:rsidRPr="009772A3">
        <w:rPr>
          <w:rFonts w:asciiTheme="majorHAnsi" w:hAnsiTheme="majorHAnsi" w:cstheme="majorHAnsi"/>
          <w:sz w:val="24"/>
          <w:szCs w:val="24"/>
          <w:vertAlign w:val="baseline"/>
          <w:lang w:val="ro-MD"/>
        </w:rPr>
        <w:t xml:space="preserve">în </w:t>
      </w:r>
      <w:r w:rsidRPr="009772A3">
        <w:rPr>
          <w:rFonts w:asciiTheme="majorHAnsi" w:hAnsiTheme="majorHAnsi" w:cstheme="majorHAnsi"/>
          <w:sz w:val="24"/>
          <w:szCs w:val="24"/>
          <w:vertAlign w:val="baseline"/>
          <w:lang w:val="ro-MD"/>
        </w:rPr>
        <w:t>2011, p</w:t>
      </w:r>
      <w:r w:rsidR="00ED06AB" w:rsidRPr="009772A3">
        <w:rPr>
          <w:rFonts w:asciiTheme="majorHAnsi" w:hAnsiTheme="majorHAnsi" w:cstheme="majorHAnsi"/>
          <w:sz w:val="24"/>
          <w:szCs w:val="24"/>
          <w:vertAlign w:val="baseline"/>
          <w:lang w:val="ro-MD"/>
        </w:rPr>
        <w:t>â</w:t>
      </w:r>
      <w:r w:rsidRPr="009772A3">
        <w:rPr>
          <w:rFonts w:asciiTheme="majorHAnsi" w:hAnsiTheme="majorHAnsi" w:cstheme="majorHAnsi"/>
          <w:sz w:val="24"/>
          <w:szCs w:val="24"/>
          <w:vertAlign w:val="baseline"/>
          <w:lang w:val="ro-MD"/>
        </w:rPr>
        <w:t xml:space="preserve">nă la 1,3% - </w:t>
      </w:r>
      <w:r w:rsidR="00ED06AB" w:rsidRPr="009772A3">
        <w:rPr>
          <w:rFonts w:asciiTheme="majorHAnsi" w:hAnsiTheme="majorHAnsi" w:cstheme="majorHAnsi"/>
          <w:sz w:val="24"/>
          <w:szCs w:val="24"/>
          <w:vertAlign w:val="baseline"/>
          <w:lang w:val="ro-MD"/>
        </w:rPr>
        <w:t xml:space="preserve">în </w:t>
      </w:r>
      <w:r w:rsidRPr="009772A3">
        <w:rPr>
          <w:rFonts w:asciiTheme="majorHAnsi" w:hAnsiTheme="majorHAnsi" w:cstheme="majorHAnsi"/>
          <w:sz w:val="24"/>
          <w:szCs w:val="24"/>
          <w:vertAlign w:val="baseline"/>
          <w:lang w:val="ro-MD"/>
        </w:rPr>
        <w:t>2021).</w:t>
      </w:r>
    </w:p>
    <w:p w14:paraId="70A93E5B" w14:textId="7C7909FF" w:rsidR="00754C29" w:rsidRPr="009772A3" w:rsidRDefault="00754C29" w:rsidP="00737CE3">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Informații privind pierderile de gaze naturale ale operatorilor sistemelor de distribuție în anii 2011</w:t>
      </w:r>
      <w:r w:rsidR="00ED06AB"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2021 se prezintă în </w:t>
      </w:r>
      <w:r w:rsidR="00ED06AB" w:rsidRPr="009772A3">
        <w:rPr>
          <w:rFonts w:asciiTheme="majorHAnsi" w:hAnsiTheme="majorHAnsi" w:cstheme="majorHAnsi"/>
          <w:sz w:val="24"/>
          <w:szCs w:val="24"/>
          <w:vertAlign w:val="baseline"/>
          <w:lang w:val="ro-MD"/>
        </w:rPr>
        <w:t>A</w:t>
      </w:r>
      <w:r w:rsidRPr="009772A3">
        <w:rPr>
          <w:rFonts w:asciiTheme="majorHAnsi" w:hAnsiTheme="majorHAnsi" w:cstheme="majorHAnsi"/>
          <w:sz w:val="24"/>
          <w:szCs w:val="24"/>
          <w:vertAlign w:val="baseline"/>
          <w:lang w:val="ro-MD"/>
        </w:rPr>
        <w:t>nexa nr.7 la prezentul Raport de audit.</w:t>
      </w:r>
    </w:p>
    <w:p w14:paraId="09C10676" w14:textId="5556C0AC" w:rsidR="008778E2" w:rsidRPr="009772A3" w:rsidRDefault="00571CB6" w:rsidP="004F4116">
      <w:pPr>
        <w:pStyle w:val="FootnoteText"/>
        <w:spacing w:line="276"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vertAlign w:val="baseline"/>
          <w:lang w:val="ro-MD"/>
        </w:rPr>
        <w:t>Conform explicațiilor prezentate de SA Moldovagaz, p</w:t>
      </w:r>
      <w:r w:rsidR="00ED06AB" w:rsidRPr="009772A3">
        <w:rPr>
          <w:rFonts w:asciiTheme="majorHAnsi" w:hAnsiTheme="majorHAnsi" w:cstheme="majorHAnsi"/>
          <w:sz w:val="24"/>
          <w:szCs w:val="24"/>
          <w:vertAlign w:val="baseline"/>
          <w:lang w:val="ro-MD"/>
        </w:rPr>
        <w:t>â</w:t>
      </w:r>
      <w:r w:rsidR="008778E2" w:rsidRPr="009772A3">
        <w:rPr>
          <w:rFonts w:asciiTheme="majorHAnsi" w:hAnsiTheme="majorHAnsi" w:cstheme="majorHAnsi"/>
          <w:sz w:val="24"/>
          <w:szCs w:val="24"/>
          <w:vertAlign w:val="baseline"/>
          <w:lang w:val="ro-MD"/>
        </w:rPr>
        <w:t xml:space="preserve">nă în anul 2010, </w:t>
      </w:r>
      <w:r w:rsidRPr="009772A3">
        <w:rPr>
          <w:rFonts w:asciiTheme="majorHAnsi" w:hAnsiTheme="majorHAnsi" w:cstheme="majorHAnsi"/>
          <w:sz w:val="24"/>
          <w:szCs w:val="24"/>
          <w:vertAlign w:val="baseline"/>
          <w:lang w:val="ro-MD"/>
        </w:rPr>
        <w:t xml:space="preserve">normativele </w:t>
      </w:r>
      <w:r w:rsidR="008778E2" w:rsidRPr="009772A3">
        <w:rPr>
          <w:rFonts w:asciiTheme="majorHAnsi" w:hAnsiTheme="majorHAnsi" w:cstheme="majorHAnsi"/>
          <w:sz w:val="24"/>
          <w:szCs w:val="24"/>
          <w:vertAlign w:val="baseline"/>
          <w:lang w:val="ro-MD"/>
        </w:rPr>
        <w:t>consumuril</w:t>
      </w:r>
      <w:r w:rsidRPr="009772A3">
        <w:rPr>
          <w:rFonts w:asciiTheme="majorHAnsi" w:hAnsiTheme="majorHAnsi" w:cstheme="majorHAnsi"/>
          <w:sz w:val="24"/>
          <w:szCs w:val="24"/>
          <w:vertAlign w:val="baseline"/>
          <w:lang w:val="ro-MD"/>
        </w:rPr>
        <w:t>or</w:t>
      </w:r>
      <w:r w:rsidR="008778E2" w:rsidRPr="009772A3">
        <w:rPr>
          <w:rFonts w:asciiTheme="majorHAnsi" w:hAnsiTheme="majorHAnsi" w:cstheme="majorHAnsi"/>
          <w:sz w:val="24"/>
          <w:szCs w:val="24"/>
          <w:vertAlign w:val="baseline"/>
          <w:lang w:val="ro-MD"/>
        </w:rPr>
        <w:t xml:space="preserve"> tehnologice şi pierderil</w:t>
      </w:r>
      <w:r w:rsidRPr="009772A3">
        <w:rPr>
          <w:rFonts w:asciiTheme="majorHAnsi" w:hAnsiTheme="majorHAnsi" w:cstheme="majorHAnsi"/>
          <w:sz w:val="24"/>
          <w:szCs w:val="24"/>
          <w:vertAlign w:val="baseline"/>
          <w:lang w:val="ro-MD"/>
        </w:rPr>
        <w:t>or</w:t>
      </w:r>
      <w:r w:rsidR="008778E2" w:rsidRPr="009772A3">
        <w:rPr>
          <w:rFonts w:asciiTheme="majorHAnsi" w:hAnsiTheme="majorHAnsi" w:cstheme="majorHAnsi"/>
          <w:sz w:val="24"/>
          <w:szCs w:val="24"/>
          <w:vertAlign w:val="baseline"/>
          <w:lang w:val="ro-MD"/>
        </w:rPr>
        <w:t xml:space="preserve"> tehnice de gaze naturale în reţelele de distribuţie se calculau în conformitate cu Metodologia </w:t>
      </w:r>
      <w:r w:rsidRPr="009772A3">
        <w:rPr>
          <w:rFonts w:asciiTheme="majorHAnsi" w:hAnsiTheme="majorHAnsi" w:cstheme="majorHAnsi"/>
          <w:sz w:val="24"/>
          <w:szCs w:val="24"/>
          <w:vertAlign w:val="baseline"/>
          <w:lang w:val="ro-MD"/>
        </w:rPr>
        <w:t xml:space="preserve">ANRE </w:t>
      </w:r>
      <w:r w:rsidR="008778E2" w:rsidRPr="009772A3">
        <w:rPr>
          <w:rFonts w:asciiTheme="majorHAnsi" w:hAnsiTheme="majorHAnsi" w:cstheme="majorHAnsi"/>
          <w:sz w:val="24"/>
          <w:szCs w:val="24"/>
          <w:vertAlign w:val="baseline"/>
          <w:lang w:val="ro-MD"/>
        </w:rPr>
        <w:t>nr. 33 din 06.02.2001.</w:t>
      </w:r>
      <w:r w:rsidRPr="009772A3">
        <w:rPr>
          <w:rFonts w:asciiTheme="majorHAnsi" w:hAnsiTheme="majorHAnsi" w:cstheme="majorHAnsi"/>
          <w:sz w:val="24"/>
          <w:szCs w:val="24"/>
          <w:vertAlign w:val="baseline"/>
          <w:lang w:val="ro-MD"/>
        </w:rPr>
        <w:t xml:space="preserve"> </w:t>
      </w:r>
      <w:r w:rsidR="008778E2" w:rsidRPr="009772A3">
        <w:rPr>
          <w:rFonts w:asciiTheme="majorHAnsi" w:hAnsiTheme="majorHAnsi" w:cstheme="majorHAnsi"/>
          <w:sz w:val="24"/>
          <w:szCs w:val="24"/>
          <w:vertAlign w:val="baseline"/>
          <w:lang w:val="ro-MD"/>
        </w:rPr>
        <w:t xml:space="preserve">Odată cu intrarea în vigoare a Metodologiei </w:t>
      </w:r>
      <w:r w:rsidRPr="009772A3">
        <w:rPr>
          <w:rFonts w:asciiTheme="majorHAnsi" w:hAnsiTheme="majorHAnsi" w:cstheme="majorHAnsi"/>
          <w:sz w:val="24"/>
          <w:szCs w:val="24"/>
          <w:vertAlign w:val="baseline"/>
          <w:lang w:val="ro-MD"/>
        </w:rPr>
        <w:t>ANRE nr.</w:t>
      </w:r>
      <w:r w:rsidR="008778E2" w:rsidRPr="009772A3">
        <w:rPr>
          <w:rFonts w:asciiTheme="majorHAnsi" w:hAnsiTheme="majorHAnsi" w:cstheme="majorHAnsi"/>
          <w:sz w:val="24"/>
          <w:szCs w:val="24"/>
          <w:vertAlign w:val="baseline"/>
          <w:lang w:val="ro-MD"/>
        </w:rPr>
        <w:t>398/2010, valorile normative calculate ale consumurilor tehnologice şi pierderilor tehnice de gaze s-au redus practic de 3 ori, comparativ cu normativele din perioada anterioară.</w:t>
      </w:r>
      <w:r w:rsidR="008778E2" w:rsidRPr="009772A3">
        <w:rPr>
          <w:rFonts w:asciiTheme="majorHAnsi" w:hAnsiTheme="majorHAnsi" w:cstheme="majorHAnsi"/>
          <w:sz w:val="24"/>
          <w:szCs w:val="24"/>
          <w:lang w:val="ro-MD"/>
        </w:rPr>
        <w:t xml:space="preserve"> </w:t>
      </w:r>
      <w:r w:rsidR="008778E2" w:rsidRPr="009772A3">
        <w:rPr>
          <w:rFonts w:asciiTheme="majorHAnsi" w:hAnsiTheme="majorHAnsi" w:cstheme="majorHAnsi"/>
          <w:sz w:val="24"/>
          <w:szCs w:val="24"/>
          <w:vertAlign w:val="baseline"/>
          <w:lang w:val="ro-MD"/>
        </w:rPr>
        <w:t xml:space="preserve">SA Moldovagaz a contestat </w:t>
      </w:r>
      <w:r w:rsidRPr="009772A3">
        <w:rPr>
          <w:rFonts w:asciiTheme="majorHAnsi" w:hAnsiTheme="majorHAnsi" w:cstheme="majorHAnsi"/>
          <w:sz w:val="24"/>
          <w:szCs w:val="24"/>
          <w:vertAlign w:val="baseline"/>
          <w:lang w:val="ro-MD"/>
        </w:rPr>
        <w:t xml:space="preserve">la ANRE </w:t>
      </w:r>
      <w:r w:rsidR="008778E2" w:rsidRPr="009772A3">
        <w:rPr>
          <w:rFonts w:asciiTheme="majorHAnsi" w:hAnsiTheme="majorHAnsi" w:cstheme="majorHAnsi"/>
          <w:sz w:val="24"/>
          <w:szCs w:val="24"/>
          <w:vertAlign w:val="baseline"/>
          <w:lang w:val="ro-MD"/>
        </w:rPr>
        <w:t>în mai multe rânduri</w:t>
      </w:r>
      <w:r w:rsidRPr="009772A3">
        <w:rPr>
          <w:rFonts w:asciiTheme="majorHAnsi" w:hAnsiTheme="majorHAnsi" w:cstheme="majorHAnsi"/>
          <w:sz w:val="24"/>
          <w:szCs w:val="24"/>
          <w:vertAlign w:val="baseline"/>
          <w:lang w:val="ro-MD"/>
        </w:rPr>
        <w:t xml:space="preserve"> </w:t>
      </w:r>
      <w:r w:rsidR="008778E2" w:rsidRPr="009772A3">
        <w:rPr>
          <w:rFonts w:asciiTheme="majorHAnsi" w:hAnsiTheme="majorHAnsi" w:cstheme="majorHAnsi"/>
          <w:sz w:val="24"/>
          <w:szCs w:val="24"/>
          <w:vertAlign w:val="baseline"/>
          <w:lang w:val="ro-MD"/>
        </w:rPr>
        <w:t xml:space="preserve">faptul că Metodologia </w:t>
      </w:r>
      <w:r w:rsidRPr="009772A3">
        <w:rPr>
          <w:rFonts w:asciiTheme="majorHAnsi" w:hAnsiTheme="majorHAnsi" w:cstheme="majorHAnsi"/>
          <w:sz w:val="24"/>
          <w:szCs w:val="24"/>
          <w:vertAlign w:val="baseline"/>
          <w:lang w:val="ro-MD"/>
        </w:rPr>
        <w:t>ANRE nr.</w:t>
      </w:r>
      <w:r w:rsidR="008778E2" w:rsidRPr="009772A3">
        <w:rPr>
          <w:rFonts w:asciiTheme="majorHAnsi" w:hAnsiTheme="majorHAnsi" w:cstheme="majorHAnsi"/>
          <w:sz w:val="24"/>
          <w:szCs w:val="24"/>
          <w:vertAlign w:val="baseline"/>
          <w:lang w:val="ro-MD"/>
        </w:rPr>
        <w:t>398/2010 nu reflectă în mod real volumul consumului tehnologic și pierderilor tehnice, deoarece conține formule de calcul a</w:t>
      </w:r>
      <w:r w:rsidR="00ED06AB" w:rsidRPr="009772A3">
        <w:rPr>
          <w:rFonts w:asciiTheme="majorHAnsi" w:hAnsiTheme="majorHAnsi" w:cstheme="majorHAnsi"/>
          <w:sz w:val="24"/>
          <w:szCs w:val="24"/>
          <w:vertAlign w:val="baseline"/>
          <w:lang w:val="ro-MD"/>
        </w:rPr>
        <w:t>l</w:t>
      </w:r>
      <w:r w:rsidR="008778E2" w:rsidRPr="009772A3">
        <w:rPr>
          <w:rFonts w:asciiTheme="majorHAnsi" w:hAnsiTheme="majorHAnsi" w:cstheme="majorHAnsi"/>
          <w:sz w:val="24"/>
          <w:szCs w:val="24"/>
          <w:vertAlign w:val="baseline"/>
          <w:lang w:val="ro-MD"/>
        </w:rPr>
        <w:t xml:space="preserve"> căderilor de presiune admisibile, aplicabile doar gazoductel</w:t>
      </w:r>
      <w:r w:rsidR="00ED06AB" w:rsidRPr="009772A3">
        <w:rPr>
          <w:rFonts w:asciiTheme="majorHAnsi" w:hAnsiTheme="majorHAnsi" w:cstheme="majorHAnsi"/>
          <w:sz w:val="24"/>
          <w:szCs w:val="24"/>
          <w:vertAlign w:val="baseline"/>
          <w:lang w:val="ro-MD"/>
        </w:rPr>
        <w:t>or</w:t>
      </w:r>
      <w:r w:rsidR="008778E2" w:rsidRPr="009772A3">
        <w:rPr>
          <w:rFonts w:asciiTheme="majorHAnsi" w:hAnsiTheme="majorHAnsi" w:cstheme="majorHAnsi"/>
          <w:sz w:val="24"/>
          <w:szCs w:val="24"/>
          <w:vertAlign w:val="baseline"/>
          <w:lang w:val="ro-MD"/>
        </w:rPr>
        <w:t xml:space="preserve"> noi, și nu ia în considerare atât starea tehnică efectivă a gazoductelor, cât și a instalațiilor și echipamentelor aferente.</w:t>
      </w:r>
    </w:p>
    <w:p w14:paraId="2C50DF46" w14:textId="4783DB95" w:rsidR="00633E2B" w:rsidRPr="009772A3" w:rsidRDefault="00633E2B" w:rsidP="00434A5B">
      <w:pPr>
        <w:pStyle w:val="Heading1"/>
        <w:numPr>
          <w:ilvl w:val="3"/>
          <w:numId w:val="2"/>
        </w:numPr>
        <w:tabs>
          <w:tab w:val="left" w:pos="851"/>
        </w:tabs>
        <w:spacing w:line="276" w:lineRule="auto"/>
        <w:ind w:left="0" w:firstLine="0"/>
        <w:jc w:val="both"/>
        <w:rPr>
          <w:i/>
          <w:color w:val="auto"/>
          <w:lang w:val="ro-MD"/>
        </w:rPr>
      </w:pPr>
      <w:bookmarkStart w:id="154" w:name="_Toc118297730"/>
      <w:bookmarkStart w:id="155" w:name="_Toc119496433"/>
      <w:r w:rsidRPr="009772A3">
        <w:rPr>
          <w:i/>
          <w:color w:val="auto"/>
          <w:lang w:val="ro-MD"/>
        </w:rPr>
        <w:t xml:space="preserve">Deși se confirmă dependența reciprocă a operatorilor de transport </w:t>
      </w:r>
      <w:r w:rsidR="00571CB6" w:rsidRPr="009772A3">
        <w:rPr>
          <w:i/>
          <w:color w:val="auto"/>
          <w:lang w:val="ro-MD"/>
        </w:rPr>
        <w:t>a</w:t>
      </w:r>
      <w:r w:rsidR="00152CEE" w:rsidRPr="009772A3">
        <w:rPr>
          <w:i/>
          <w:color w:val="auto"/>
          <w:lang w:val="ro-MD"/>
        </w:rPr>
        <w:t>l</w:t>
      </w:r>
      <w:r w:rsidR="00571CB6" w:rsidRPr="009772A3">
        <w:rPr>
          <w:i/>
          <w:color w:val="auto"/>
          <w:lang w:val="ro-MD"/>
        </w:rPr>
        <w:t xml:space="preserve"> </w:t>
      </w:r>
      <w:r w:rsidRPr="009772A3">
        <w:rPr>
          <w:i/>
          <w:color w:val="auto"/>
          <w:lang w:val="ro-MD"/>
        </w:rPr>
        <w:t>gaze</w:t>
      </w:r>
      <w:r w:rsidR="00571CB6" w:rsidRPr="009772A3">
        <w:rPr>
          <w:i/>
          <w:color w:val="auto"/>
          <w:lang w:val="ro-MD"/>
        </w:rPr>
        <w:t>lor</w:t>
      </w:r>
      <w:r w:rsidRPr="009772A3">
        <w:rPr>
          <w:i/>
          <w:color w:val="auto"/>
          <w:lang w:val="ro-MD"/>
        </w:rPr>
        <w:t xml:space="preserve"> naturale de pe ambele </w:t>
      </w:r>
      <w:r w:rsidR="00152CEE" w:rsidRPr="009772A3">
        <w:rPr>
          <w:i/>
          <w:color w:val="auto"/>
          <w:lang w:val="ro-MD"/>
        </w:rPr>
        <w:t xml:space="preserve">maluri </w:t>
      </w:r>
      <w:r w:rsidRPr="009772A3">
        <w:rPr>
          <w:i/>
          <w:color w:val="auto"/>
          <w:lang w:val="ro-MD"/>
        </w:rPr>
        <w:t xml:space="preserve">ale </w:t>
      </w:r>
      <w:r w:rsidR="00152CEE" w:rsidRPr="009772A3">
        <w:rPr>
          <w:i/>
          <w:color w:val="auto"/>
          <w:lang w:val="ro-MD"/>
        </w:rPr>
        <w:t xml:space="preserve">râului </w:t>
      </w:r>
      <w:r w:rsidRPr="009772A3">
        <w:rPr>
          <w:i/>
          <w:color w:val="auto"/>
          <w:lang w:val="ro-MD"/>
        </w:rPr>
        <w:t xml:space="preserve">Nistru, la 31.12.2021 se </w:t>
      </w:r>
      <w:r w:rsidR="00571CB6" w:rsidRPr="009772A3">
        <w:rPr>
          <w:i/>
          <w:color w:val="auto"/>
          <w:lang w:val="ro-MD"/>
        </w:rPr>
        <w:t xml:space="preserve">atesta </w:t>
      </w:r>
      <w:r w:rsidRPr="009772A3">
        <w:rPr>
          <w:i/>
          <w:color w:val="auto"/>
          <w:lang w:val="ro-MD"/>
        </w:rPr>
        <w:t>o datorie de 34.656,27 mii lei a SRL Tiraspoltransgaz</w:t>
      </w:r>
      <w:r w:rsidR="00152CEE" w:rsidRPr="009772A3">
        <w:rPr>
          <w:i/>
          <w:color w:val="auto"/>
          <w:lang w:val="ro-MD"/>
        </w:rPr>
        <w:t>,</w:t>
      </w:r>
      <w:r w:rsidRPr="009772A3">
        <w:rPr>
          <w:i/>
          <w:color w:val="auto"/>
          <w:lang w:val="ro-MD"/>
        </w:rPr>
        <w:t xml:space="preserve"> care la moment se achită eșalonat</w:t>
      </w:r>
      <w:bookmarkEnd w:id="154"/>
      <w:r w:rsidR="00705061" w:rsidRPr="009772A3">
        <w:rPr>
          <w:i/>
          <w:color w:val="auto"/>
          <w:lang w:val="ro-MD"/>
        </w:rPr>
        <w:t>.</w:t>
      </w:r>
      <w:bookmarkEnd w:id="155"/>
    </w:p>
    <w:p w14:paraId="1B629B16" w14:textId="723F2DE7" w:rsidR="00F561BD" w:rsidRPr="009772A3" w:rsidRDefault="00F561BD" w:rsidP="0092735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Conform contractelor încheiate în an</w:t>
      </w:r>
      <w:r w:rsidR="00152CEE" w:rsidRPr="009772A3">
        <w:rPr>
          <w:rFonts w:asciiTheme="majorHAnsi" w:hAnsiTheme="majorHAnsi" w:cstheme="majorHAnsi"/>
          <w:sz w:val="24"/>
          <w:szCs w:val="24"/>
          <w:lang w:val="ro-MD"/>
        </w:rPr>
        <w:t>ii</w:t>
      </w:r>
      <w:r w:rsidRPr="009772A3">
        <w:rPr>
          <w:rFonts w:asciiTheme="majorHAnsi" w:hAnsiTheme="majorHAnsi" w:cstheme="majorHAnsi"/>
          <w:sz w:val="24"/>
          <w:szCs w:val="24"/>
          <w:lang w:val="ro-MD"/>
        </w:rPr>
        <w:t xml:space="preserve"> 2015 și 2020, SRL Moldovatransgaz asigură, prin conductele gestionate, transportul gazelor naturale către consumatorii deserviți de SRL Tiraspoltransgaz, iar SRL Tiraspoltransgaz asigură transportul gazelor naturale prin rețelele deținute către consumatorii deserviți de SRL Moldovatransgaz.</w:t>
      </w:r>
    </w:p>
    <w:p w14:paraId="30E44BFF" w14:textId="1C151928" w:rsidR="00F561BD" w:rsidRPr="009772A3" w:rsidRDefault="00F561BD" w:rsidP="0092735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urma evaluărilor efectuate, se atestă că în perioada 2017-2021 SRL Moldovatransgaz a prestat servicii de transport a</w:t>
      </w:r>
      <w:r w:rsidR="00ED4B85"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gazelor naturale către consumatorii deserviți de SRL T</w:t>
      </w:r>
      <w:r w:rsidR="00E26D6D" w:rsidRPr="009772A3">
        <w:rPr>
          <w:rFonts w:asciiTheme="majorHAnsi" w:hAnsiTheme="majorHAnsi" w:cstheme="majorHAnsi"/>
          <w:sz w:val="24"/>
          <w:szCs w:val="24"/>
          <w:lang w:val="ro-MD"/>
        </w:rPr>
        <w:t>iraspoltransgaz în volum de 818.</w:t>
      </w:r>
      <w:r w:rsidRPr="009772A3">
        <w:rPr>
          <w:rFonts w:asciiTheme="majorHAnsi" w:hAnsiTheme="majorHAnsi" w:cstheme="majorHAnsi"/>
          <w:sz w:val="24"/>
          <w:szCs w:val="24"/>
          <w:lang w:val="ro-MD"/>
        </w:rPr>
        <w:t>226,54 mii m</w:t>
      </w:r>
      <w:r w:rsidRPr="009772A3">
        <w:rPr>
          <w:rFonts w:asciiTheme="majorHAnsi" w:hAnsiTheme="majorHAnsi" w:cstheme="majorHAnsi"/>
          <w:sz w:val="24"/>
          <w:szCs w:val="24"/>
          <w:vertAlign w:val="superscript"/>
          <w:lang w:val="ro-MD"/>
        </w:rPr>
        <w:t>3</w:t>
      </w:r>
      <w:r w:rsidRPr="009772A3">
        <w:rPr>
          <w:rFonts w:asciiTheme="majorHAnsi" w:hAnsiTheme="majorHAnsi" w:cstheme="majorHAnsi"/>
          <w:sz w:val="24"/>
          <w:szCs w:val="24"/>
          <w:lang w:val="ro-MD"/>
        </w:rPr>
        <w:t xml:space="preserve"> pe un tronson de circa 185 km. În același timp, SRL Tiraspoltransgaz a trans</w:t>
      </w:r>
      <w:r w:rsidR="00E26D6D" w:rsidRPr="009772A3">
        <w:rPr>
          <w:rFonts w:asciiTheme="majorHAnsi" w:hAnsiTheme="majorHAnsi" w:cstheme="majorHAnsi"/>
          <w:sz w:val="24"/>
          <w:szCs w:val="24"/>
          <w:lang w:val="ro-MD"/>
        </w:rPr>
        <w:t>portat prin rețelele deținute 2.</w:t>
      </w:r>
      <w:r w:rsidRPr="009772A3">
        <w:rPr>
          <w:rFonts w:asciiTheme="majorHAnsi" w:hAnsiTheme="majorHAnsi" w:cstheme="majorHAnsi"/>
          <w:sz w:val="24"/>
          <w:szCs w:val="24"/>
          <w:lang w:val="ro-MD"/>
        </w:rPr>
        <w:t>267</w:t>
      </w:r>
      <w:r w:rsidR="00E26D6D"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514,88 mii m</w:t>
      </w:r>
      <w:r w:rsidRPr="009772A3">
        <w:rPr>
          <w:rFonts w:asciiTheme="majorHAnsi" w:hAnsiTheme="majorHAnsi" w:cstheme="majorHAnsi"/>
          <w:sz w:val="24"/>
          <w:szCs w:val="24"/>
          <w:vertAlign w:val="superscript"/>
          <w:lang w:val="ro-MD"/>
        </w:rPr>
        <w:t>3</w:t>
      </w:r>
      <w:r w:rsidRPr="009772A3">
        <w:rPr>
          <w:rFonts w:asciiTheme="majorHAnsi" w:hAnsiTheme="majorHAnsi" w:cstheme="majorHAnsi"/>
          <w:sz w:val="24"/>
          <w:szCs w:val="24"/>
          <w:lang w:val="ro-MD"/>
        </w:rPr>
        <w:t xml:space="preserve"> de gaze naturale pe un tronson de circa 35 km. În condițiile în care metoda de calcul a</w:t>
      </w:r>
      <w:r w:rsidR="00ED4B85"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serviciilor prestate depinde direct de lungimea conductelor prin care se efectuează transportul gazelor naturale, se constată că în perioada auditată valoarea serviciilor prestate de către SRL Moldovatransgaz a constitu</w:t>
      </w:r>
      <w:r w:rsidR="00E26D6D" w:rsidRPr="009772A3">
        <w:rPr>
          <w:rFonts w:asciiTheme="majorHAnsi" w:hAnsiTheme="majorHAnsi" w:cstheme="majorHAnsi"/>
          <w:sz w:val="24"/>
          <w:szCs w:val="24"/>
          <w:lang w:val="ro-MD"/>
        </w:rPr>
        <w:t>it 96</w:t>
      </w:r>
      <w:r w:rsidR="00571CB6" w:rsidRPr="009772A3">
        <w:rPr>
          <w:rFonts w:asciiTheme="majorHAnsi" w:hAnsiTheme="majorHAnsi" w:cstheme="majorHAnsi"/>
          <w:sz w:val="24"/>
          <w:szCs w:val="24"/>
          <w:lang w:val="ro-MD"/>
        </w:rPr>
        <w:t>.</w:t>
      </w:r>
      <w:r w:rsidR="00E26D6D" w:rsidRPr="009772A3">
        <w:rPr>
          <w:rFonts w:asciiTheme="majorHAnsi" w:hAnsiTheme="majorHAnsi" w:cstheme="majorHAnsi"/>
          <w:sz w:val="24"/>
          <w:szCs w:val="24"/>
          <w:lang w:val="ro-MD"/>
        </w:rPr>
        <w:t>743,71 mii lei</w:t>
      </w:r>
      <w:r w:rsidR="00ED4B85" w:rsidRPr="009772A3">
        <w:rPr>
          <w:rFonts w:asciiTheme="majorHAnsi" w:hAnsiTheme="majorHAnsi" w:cstheme="majorHAnsi"/>
          <w:sz w:val="24"/>
          <w:szCs w:val="24"/>
          <w:lang w:val="ro-MD"/>
        </w:rPr>
        <w:t>,</w:t>
      </w:r>
      <w:r w:rsidR="00E26D6D" w:rsidRPr="009772A3">
        <w:rPr>
          <w:rFonts w:asciiTheme="majorHAnsi" w:hAnsiTheme="majorHAnsi" w:cstheme="majorHAnsi"/>
          <w:sz w:val="24"/>
          <w:szCs w:val="24"/>
          <w:lang w:val="ro-MD"/>
        </w:rPr>
        <w:t xml:space="preserve"> față de 62.</w:t>
      </w:r>
      <w:r w:rsidRPr="009772A3">
        <w:rPr>
          <w:rFonts w:asciiTheme="majorHAnsi" w:hAnsiTheme="majorHAnsi" w:cstheme="majorHAnsi"/>
          <w:sz w:val="24"/>
          <w:szCs w:val="24"/>
          <w:lang w:val="ro-MD"/>
        </w:rPr>
        <w:t>087,44 mii lei</w:t>
      </w:r>
      <w:r w:rsidR="00ED4B8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serviciile prestate de către SRL Tiraspoltransgaz, înregistrând la 31.12.2021 o datorie a SRL</w:t>
      </w:r>
      <w:r w:rsidR="00E26D6D" w:rsidRPr="009772A3">
        <w:rPr>
          <w:rFonts w:asciiTheme="majorHAnsi" w:hAnsiTheme="majorHAnsi" w:cstheme="majorHAnsi"/>
          <w:sz w:val="24"/>
          <w:szCs w:val="24"/>
          <w:lang w:val="ro-MD"/>
        </w:rPr>
        <w:t xml:space="preserve"> Tiraspoltransgaz în sumă de 34.</w:t>
      </w:r>
      <w:r w:rsidRPr="009772A3">
        <w:rPr>
          <w:rFonts w:asciiTheme="majorHAnsi" w:hAnsiTheme="majorHAnsi" w:cstheme="majorHAnsi"/>
          <w:sz w:val="24"/>
          <w:szCs w:val="24"/>
          <w:lang w:val="ro-MD"/>
        </w:rPr>
        <w:t>656,27 mii lei. Se menționează că datoria respectivă s-a format în urma aplicării tarifului pentru transport</w:t>
      </w:r>
      <w:r w:rsidR="00ED4B85" w:rsidRPr="009772A3">
        <w:rPr>
          <w:rFonts w:asciiTheme="majorHAnsi" w:hAnsiTheme="majorHAnsi" w:cstheme="majorHAnsi"/>
          <w:sz w:val="24"/>
          <w:szCs w:val="24"/>
          <w:lang w:val="ro-MD"/>
        </w:rPr>
        <w:t>ul</w:t>
      </w:r>
      <w:r w:rsidRPr="009772A3">
        <w:rPr>
          <w:rFonts w:asciiTheme="majorHAnsi" w:hAnsiTheme="majorHAnsi" w:cstheme="majorHAnsi"/>
          <w:sz w:val="24"/>
          <w:szCs w:val="24"/>
          <w:lang w:val="ro-MD"/>
        </w:rPr>
        <w:t xml:space="preserve"> gazelor naturale conform prevederilor HANRE nr.536/19 din 03.01.2020</w:t>
      </w:r>
      <w:r w:rsidR="00ED4B8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nu prin prisma prețului stabilit între părțile vizate (fapt redat </w:t>
      </w:r>
      <w:r w:rsidR="0092735B" w:rsidRPr="009772A3">
        <w:rPr>
          <w:rFonts w:asciiTheme="majorHAnsi" w:hAnsiTheme="majorHAnsi" w:cstheme="majorHAnsi"/>
          <w:sz w:val="24"/>
          <w:szCs w:val="24"/>
          <w:lang w:val="ro-MD"/>
        </w:rPr>
        <w:t>mai detaliat în următoarea constatare</w:t>
      </w:r>
      <w:r w:rsidRPr="009772A3">
        <w:rPr>
          <w:rFonts w:asciiTheme="majorHAnsi" w:hAnsiTheme="majorHAnsi" w:cstheme="majorHAnsi"/>
          <w:sz w:val="24"/>
          <w:szCs w:val="24"/>
          <w:lang w:val="ro-MD"/>
        </w:rPr>
        <w:t>). La data de 22.09.2022, a fost semnat un acord de eșalonare a datoriei respective, aceasta fiind repartizată în 4 tranșe lunare, dintre care 2 deja au fost achitate. L</w:t>
      </w:r>
      <w:r w:rsidR="00E26D6D" w:rsidRPr="009772A3">
        <w:rPr>
          <w:rFonts w:asciiTheme="majorHAnsi" w:hAnsiTheme="majorHAnsi" w:cstheme="majorHAnsi"/>
          <w:sz w:val="24"/>
          <w:szCs w:val="24"/>
          <w:lang w:val="ro-MD"/>
        </w:rPr>
        <w:t>a moment, datoria constituie 17.</w:t>
      </w:r>
      <w:r w:rsidRPr="009772A3">
        <w:rPr>
          <w:rFonts w:asciiTheme="majorHAnsi" w:hAnsiTheme="majorHAnsi" w:cstheme="majorHAnsi"/>
          <w:sz w:val="24"/>
          <w:szCs w:val="24"/>
          <w:lang w:val="ro-MD"/>
        </w:rPr>
        <w:t>956,99 mii lei.</w:t>
      </w:r>
    </w:p>
    <w:p w14:paraId="41444789" w14:textId="7072C8BA" w:rsidR="00F561BD" w:rsidRPr="009772A3" w:rsidRDefault="00F561BD" w:rsidP="0092735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urmare, deși se confirmă dependența reciprocă a entităților vizate</w:t>
      </w:r>
      <w:r w:rsidR="00ED4B8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se reiterează necesitatea respectării termen</w:t>
      </w:r>
      <w:r w:rsidR="00ED4B85"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lor de achitare a datoriilor și neadmiterea formării acestora pentru a nu afecta activitatea financiară a SRL Moldovatransgaz.</w:t>
      </w:r>
    </w:p>
    <w:p w14:paraId="1BFA0387" w14:textId="691C7A2D" w:rsidR="00A51268" w:rsidRPr="009772A3" w:rsidRDefault="00A51268" w:rsidP="00434A5B">
      <w:pPr>
        <w:pStyle w:val="Heading1"/>
        <w:numPr>
          <w:ilvl w:val="3"/>
          <w:numId w:val="2"/>
        </w:numPr>
        <w:tabs>
          <w:tab w:val="left" w:pos="851"/>
        </w:tabs>
        <w:spacing w:line="276" w:lineRule="auto"/>
        <w:ind w:left="0" w:firstLine="0"/>
        <w:jc w:val="both"/>
        <w:rPr>
          <w:i/>
          <w:color w:val="auto"/>
          <w:lang w:val="ro-MD"/>
        </w:rPr>
      </w:pPr>
      <w:bookmarkStart w:id="156" w:name="_Toc118297731"/>
      <w:bookmarkStart w:id="157" w:name="_Toc119496434"/>
      <w:r w:rsidRPr="009772A3">
        <w:rPr>
          <w:i/>
          <w:color w:val="auto"/>
          <w:lang w:val="ro-MD"/>
        </w:rPr>
        <w:t>Neaplicarea în activitatea reglementată a tarifelor aprobate de către</w:t>
      </w:r>
      <w:r w:rsidR="00B76488" w:rsidRPr="009772A3">
        <w:rPr>
          <w:i/>
          <w:color w:val="auto"/>
          <w:lang w:val="ro-MD"/>
        </w:rPr>
        <w:t xml:space="preserve"> ANRE</w:t>
      </w:r>
      <w:r w:rsidRPr="009772A3">
        <w:rPr>
          <w:i/>
          <w:color w:val="auto"/>
          <w:lang w:val="ro-MD"/>
        </w:rPr>
        <w:t xml:space="preserve">, a </w:t>
      </w:r>
      <w:r w:rsidR="00B76488" w:rsidRPr="009772A3">
        <w:rPr>
          <w:i/>
          <w:color w:val="auto"/>
          <w:lang w:val="ro-MD"/>
        </w:rPr>
        <w:t xml:space="preserve">afectat </w:t>
      </w:r>
      <w:r w:rsidRPr="009772A3">
        <w:rPr>
          <w:i/>
          <w:color w:val="auto"/>
          <w:lang w:val="ro-MD"/>
        </w:rPr>
        <w:t xml:space="preserve">performanța financiară a </w:t>
      </w:r>
      <w:r w:rsidR="0010649F" w:rsidRPr="009772A3">
        <w:rPr>
          <w:i/>
          <w:color w:val="auto"/>
          <w:lang w:val="ro-MD"/>
        </w:rPr>
        <w:t>entităților vizate</w:t>
      </w:r>
      <w:r w:rsidRPr="009772A3">
        <w:rPr>
          <w:i/>
          <w:color w:val="auto"/>
          <w:lang w:val="ro-MD"/>
        </w:rPr>
        <w:t>.</w:t>
      </w:r>
      <w:bookmarkEnd w:id="156"/>
      <w:bookmarkEnd w:id="157"/>
    </w:p>
    <w:p w14:paraId="443DF2E1" w14:textId="63E3E27D" w:rsidR="00BB69CF" w:rsidRPr="009772A3" w:rsidRDefault="00BB69CF" w:rsidP="00BB69C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conformitate cu prevederile legale</w:t>
      </w:r>
      <w:r w:rsidR="00C44BDE" w:rsidRPr="009772A3">
        <w:rPr>
          <w:rStyle w:val="FootnoteReference"/>
          <w:rFonts w:cstheme="majorHAnsi"/>
          <w:sz w:val="24"/>
          <w:szCs w:val="24"/>
          <w:lang w:val="ro-MD"/>
        </w:rPr>
        <w:footnoteReference w:id="115"/>
      </w:r>
      <w:r w:rsidRPr="009772A3">
        <w:rPr>
          <w:rFonts w:asciiTheme="majorHAnsi" w:hAnsiTheme="majorHAnsi" w:cstheme="majorHAnsi"/>
          <w:sz w:val="24"/>
          <w:szCs w:val="24"/>
          <w:lang w:val="ro-MD"/>
        </w:rPr>
        <w:t xml:space="preserve">, </w:t>
      </w:r>
      <w:r w:rsidR="00C44BDE" w:rsidRPr="009772A3">
        <w:rPr>
          <w:rFonts w:asciiTheme="majorHAnsi" w:hAnsiTheme="majorHAnsi" w:cstheme="majorHAnsi"/>
          <w:sz w:val="24"/>
          <w:szCs w:val="24"/>
          <w:lang w:val="ro-MD"/>
        </w:rPr>
        <w:t>ANRE</w:t>
      </w:r>
      <w:r w:rsidRPr="009772A3">
        <w:rPr>
          <w:rFonts w:asciiTheme="majorHAnsi" w:hAnsiTheme="majorHAnsi" w:cstheme="majorHAnsi"/>
          <w:sz w:val="24"/>
          <w:szCs w:val="24"/>
          <w:lang w:val="ro-MD"/>
        </w:rPr>
        <w:t xml:space="preserve"> elaborează și aprobă metodologiile de calculare, de aprobare și de aplicare a tarifelor reglementate pentru serviciul de transport al gazelor naturale. La fel, monitorizează corectitudinea aplicării de către titularii de licențe a metodologiilor aprobate, a prețurilor și a tarifelor reglementate, aprobate în conformitate cu metodologiile respective.</w:t>
      </w:r>
    </w:p>
    <w:p w14:paraId="179B6B19" w14:textId="36AE0196" w:rsidR="00BB69CF" w:rsidRPr="009772A3" w:rsidRDefault="00861152" w:rsidP="00BB69C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Se denotă că în perioada auditată, SRL Moldovatransgaz nu a aplicat pe deplin tarifele aprobate de către ANRE, în unele cazuri fiind utilizat prețul stabilit în contracte</w:t>
      </w:r>
      <w:r w:rsidR="00ED4B85"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semnate încă în anul 2015, care deși erau mai mici decât tarifele aprobate periodic de Agenție, nu s-au modificat până în anul 2020. </w:t>
      </w:r>
      <w:r w:rsidR="00BB69CF" w:rsidRPr="009772A3">
        <w:rPr>
          <w:rFonts w:asciiTheme="majorHAnsi" w:hAnsiTheme="majorHAnsi" w:cstheme="majorHAnsi"/>
          <w:sz w:val="24"/>
          <w:szCs w:val="24"/>
          <w:lang w:val="ro-MD"/>
        </w:rPr>
        <w:t xml:space="preserve">Prin urmare, se atestă că pentru volumul gazelor transportate consumatorilor din Republica Moldova se aplica tariful stabilit de ANRE, </w:t>
      </w:r>
      <w:r w:rsidR="00ED4B85" w:rsidRPr="009772A3">
        <w:rPr>
          <w:rFonts w:asciiTheme="majorHAnsi" w:hAnsiTheme="majorHAnsi" w:cstheme="majorHAnsi"/>
          <w:sz w:val="24"/>
          <w:szCs w:val="24"/>
          <w:lang w:val="ro-MD"/>
        </w:rPr>
        <w:t>iar</w:t>
      </w:r>
      <w:r w:rsidR="00BB69CF" w:rsidRPr="009772A3">
        <w:rPr>
          <w:rFonts w:asciiTheme="majorHAnsi" w:hAnsiTheme="majorHAnsi" w:cstheme="majorHAnsi"/>
          <w:sz w:val="24"/>
          <w:szCs w:val="24"/>
          <w:lang w:val="ro-MD"/>
        </w:rPr>
        <w:t xml:space="preserve"> pentru volumele de gaze naturale transportate în regim de tranzit către țările </w:t>
      </w:r>
      <w:r w:rsidR="00ED4B85" w:rsidRPr="009772A3">
        <w:rPr>
          <w:rFonts w:asciiTheme="majorHAnsi" w:hAnsiTheme="majorHAnsi" w:cstheme="majorHAnsi"/>
          <w:sz w:val="24"/>
          <w:szCs w:val="24"/>
          <w:lang w:val="ro-MD"/>
        </w:rPr>
        <w:t>e</w:t>
      </w:r>
      <w:r w:rsidR="00BB69CF" w:rsidRPr="009772A3">
        <w:rPr>
          <w:rFonts w:asciiTheme="majorHAnsi" w:hAnsiTheme="majorHAnsi" w:cstheme="majorHAnsi"/>
          <w:sz w:val="24"/>
          <w:szCs w:val="24"/>
          <w:lang w:val="ro-MD"/>
        </w:rPr>
        <w:t>uropene, consumatori</w:t>
      </w:r>
      <w:r w:rsidRPr="009772A3">
        <w:rPr>
          <w:rFonts w:asciiTheme="majorHAnsi" w:hAnsiTheme="majorHAnsi" w:cstheme="majorHAnsi"/>
          <w:sz w:val="24"/>
          <w:szCs w:val="24"/>
          <w:lang w:val="ro-MD"/>
        </w:rPr>
        <w:t>i din Ucraina și consumatorii S</w:t>
      </w:r>
      <w:r w:rsidR="00BB69CF" w:rsidRPr="009772A3">
        <w:rPr>
          <w:rFonts w:asciiTheme="majorHAnsi" w:hAnsiTheme="majorHAnsi" w:cstheme="majorHAnsi"/>
          <w:sz w:val="24"/>
          <w:szCs w:val="24"/>
          <w:lang w:val="ro-MD"/>
        </w:rPr>
        <w:t>RL Tiraspoltran</w:t>
      </w:r>
      <w:r w:rsidRPr="009772A3">
        <w:rPr>
          <w:rFonts w:asciiTheme="majorHAnsi" w:hAnsiTheme="majorHAnsi" w:cstheme="majorHAnsi"/>
          <w:sz w:val="24"/>
          <w:szCs w:val="24"/>
          <w:lang w:val="ro-MD"/>
        </w:rPr>
        <w:t>sgaz</w:t>
      </w:r>
      <w:r w:rsidR="00BB69CF" w:rsidRPr="009772A3">
        <w:rPr>
          <w:rFonts w:asciiTheme="majorHAnsi" w:hAnsiTheme="majorHAnsi" w:cstheme="majorHAnsi"/>
          <w:sz w:val="24"/>
          <w:szCs w:val="24"/>
          <w:lang w:val="ro-MD"/>
        </w:rPr>
        <w:t xml:space="preserve"> se aplicau prețurile stabilite prin prisma clauzelor incluse în contractele încheiate între părțile vizate. Acest fapt a fost expus și în Raportul privind controlul activității li</w:t>
      </w:r>
      <w:r w:rsidRPr="009772A3">
        <w:rPr>
          <w:rFonts w:asciiTheme="majorHAnsi" w:hAnsiTheme="majorHAnsi" w:cstheme="majorHAnsi"/>
          <w:sz w:val="24"/>
          <w:szCs w:val="24"/>
          <w:lang w:val="ro-MD"/>
        </w:rPr>
        <w:t>cențiate desfășurate de către S</w:t>
      </w:r>
      <w:r w:rsidR="00BB69CF" w:rsidRPr="009772A3">
        <w:rPr>
          <w:rFonts w:asciiTheme="majorHAnsi" w:hAnsiTheme="majorHAnsi" w:cstheme="majorHAnsi"/>
          <w:sz w:val="24"/>
          <w:szCs w:val="24"/>
          <w:lang w:val="ro-MD"/>
        </w:rPr>
        <w:t xml:space="preserve">RL </w:t>
      </w:r>
      <w:r w:rsidRPr="009772A3">
        <w:rPr>
          <w:rFonts w:asciiTheme="majorHAnsi" w:hAnsiTheme="majorHAnsi" w:cstheme="majorHAnsi"/>
          <w:sz w:val="24"/>
          <w:szCs w:val="24"/>
          <w:lang w:val="ro-MD"/>
        </w:rPr>
        <w:t>Moldovatransgaz</w:t>
      </w:r>
      <w:r w:rsidR="00BB69CF" w:rsidRPr="009772A3">
        <w:rPr>
          <w:rFonts w:asciiTheme="majorHAnsi" w:hAnsiTheme="majorHAnsi" w:cstheme="majorHAnsi"/>
          <w:sz w:val="24"/>
          <w:szCs w:val="24"/>
          <w:lang w:val="ro-MD"/>
        </w:rPr>
        <w:t xml:space="preserve"> efectuat de către ANRE pentru perioada 2017-2019</w:t>
      </w:r>
      <w:r w:rsidR="004A7EDC" w:rsidRPr="009772A3">
        <w:rPr>
          <w:rFonts w:asciiTheme="majorHAnsi" w:hAnsiTheme="majorHAnsi" w:cstheme="majorHAnsi"/>
          <w:sz w:val="24"/>
          <w:szCs w:val="24"/>
          <w:lang w:val="ro-MD"/>
        </w:rPr>
        <w:t>,</w:t>
      </w:r>
      <w:r w:rsidR="00BB69CF" w:rsidRPr="009772A3">
        <w:rPr>
          <w:rFonts w:asciiTheme="majorHAnsi" w:hAnsiTheme="majorHAnsi" w:cstheme="majorHAnsi"/>
          <w:sz w:val="24"/>
          <w:szCs w:val="24"/>
          <w:lang w:val="ro-MD"/>
        </w:rPr>
        <w:t xml:space="preserve"> aprobat prin H</w:t>
      </w:r>
      <w:r w:rsidR="00046F67" w:rsidRPr="009772A3">
        <w:rPr>
          <w:rFonts w:asciiTheme="majorHAnsi" w:hAnsiTheme="majorHAnsi" w:cstheme="majorHAnsi"/>
          <w:sz w:val="24"/>
          <w:szCs w:val="24"/>
          <w:lang w:val="ro-MD"/>
        </w:rPr>
        <w:t xml:space="preserve">ANRE </w:t>
      </w:r>
      <w:r w:rsidR="00BB69CF" w:rsidRPr="009772A3">
        <w:rPr>
          <w:rFonts w:asciiTheme="majorHAnsi" w:hAnsiTheme="majorHAnsi" w:cstheme="majorHAnsi"/>
          <w:sz w:val="24"/>
          <w:szCs w:val="24"/>
          <w:lang w:val="ro-MD"/>
        </w:rPr>
        <w:t>nr.149 din 06.04.2021. Diferențele sunt prezentate în</w:t>
      </w:r>
      <w:r w:rsidR="004A7EDC" w:rsidRPr="009772A3">
        <w:rPr>
          <w:rFonts w:asciiTheme="majorHAnsi" w:hAnsiTheme="majorHAnsi" w:cstheme="majorHAnsi"/>
          <w:sz w:val="24"/>
          <w:szCs w:val="24"/>
          <w:lang w:val="ro-MD"/>
        </w:rPr>
        <w:t xml:space="preserve"> următorul</w:t>
      </w:r>
      <w:r w:rsidR="00BB69CF" w:rsidRPr="009772A3">
        <w:rPr>
          <w:rFonts w:asciiTheme="majorHAnsi" w:hAnsiTheme="majorHAnsi" w:cstheme="majorHAnsi"/>
          <w:sz w:val="24"/>
          <w:szCs w:val="24"/>
          <w:lang w:val="ro-MD"/>
        </w:rPr>
        <w:t xml:space="preserve"> tabel.</w:t>
      </w:r>
    </w:p>
    <w:p w14:paraId="0B64543E" w14:textId="3FA6C728" w:rsidR="004A7EDC" w:rsidRPr="009772A3" w:rsidRDefault="004A7EDC" w:rsidP="004A7EDC">
      <w:pPr>
        <w:pStyle w:val="FootnoteText"/>
        <w:spacing w:line="276" w:lineRule="auto"/>
        <w:ind w:firstLine="720"/>
        <w:jc w:val="right"/>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Tabelul nr.4.3.</w:t>
      </w:r>
      <w:r w:rsidR="000E66B1">
        <w:rPr>
          <w:rFonts w:asciiTheme="majorHAnsi" w:hAnsiTheme="majorHAnsi" w:cstheme="majorHAnsi"/>
          <w:b/>
          <w:sz w:val="24"/>
          <w:szCs w:val="24"/>
          <w:vertAlign w:val="baseline"/>
          <w:lang w:val="ro-MD"/>
        </w:rPr>
        <w:t>1.5.1</w:t>
      </w:r>
    </w:p>
    <w:p w14:paraId="58FC1CDD" w14:textId="7C33307B" w:rsidR="004A7EDC" w:rsidRPr="009772A3" w:rsidRDefault="000E66B1" w:rsidP="00CF3AD4">
      <w:pPr>
        <w:pStyle w:val="FootnoteText"/>
        <w:spacing w:line="276" w:lineRule="auto"/>
        <w:jc w:val="center"/>
        <w:rPr>
          <w:rFonts w:asciiTheme="majorHAnsi" w:hAnsiTheme="majorHAnsi" w:cstheme="majorHAnsi"/>
          <w:b/>
          <w:sz w:val="24"/>
          <w:szCs w:val="24"/>
          <w:vertAlign w:val="baseline"/>
          <w:lang w:val="ro-MD"/>
        </w:rPr>
      </w:pPr>
      <w:r>
        <w:rPr>
          <w:rFonts w:asciiTheme="majorHAnsi" w:hAnsiTheme="majorHAnsi" w:cstheme="majorHAnsi"/>
          <w:b/>
          <w:sz w:val="24"/>
          <w:szCs w:val="24"/>
          <w:vertAlign w:val="baseline"/>
          <w:lang w:val="ro-MD"/>
        </w:rPr>
        <w:t>Informație privind tarifele aplicate de SRL Moldovatransgaz</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268"/>
        <w:gridCol w:w="1320"/>
      </w:tblGrid>
      <w:tr w:rsidR="00BB69CF" w:rsidRPr="009772A3" w14:paraId="2C7937B8" w14:textId="77777777" w:rsidTr="00CF3AD4">
        <w:trPr>
          <w:trHeight w:val="20"/>
        </w:trPr>
        <w:tc>
          <w:tcPr>
            <w:tcW w:w="2972" w:type="dxa"/>
            <w:shd w:val="clear" w:color="000000" w:fill="DDEBF7"/>
            <w:noWrap/>
            <w:vAlign w:val="center"/>
            <w:hideMark/>
          </w:tcPr>
          <w:p w14:paraId="40684AE4" w14:textId="77777777"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Perioada de aplicare a tarifului</w:t>
            </w:r>
          </w:p>
          <w:p w14:paraId="7C0DD821" w14:textId="59706603" w:rsidR="00BB69CF" w:rsidRPr="009772A3" w:rsidRDefault="00BB69CF" w:rsidP="004A7EDC">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01.01.2017-31.12.2017</w:t>
            </w:r>
          </w:p>
        </w:tc>
        <w:tc>
          <w:tcPr>
            <w:tcW w:w="2835" w:type="dxa"/>
            <w:shd w:val="clear" w:color="000000" w:fill="DDEBF7"/>
            <w:vAlign w:val="center"/>
            <w:hideMark/>
          </w:tcPr>
          <w:p w14:paraId="3A2958E2" w14:textId="2D67E3F2"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 xml:space="preserve">Tarif aprobat prin HANRE </w:t>
            </w:r>
            <w:r w:rsidR="004A7EDC" w:rsidRPr="009772A3">
              <w:rPr>
                <w:rFonts w:asciiTheme="majorHAnsi" w:eastAsia="Times New Roman" w:hAnsiTheme="majorHAnsi" w:cstheme="majorHAnsi"/>
                <w:b/>
                <w:sz w:val="16"/>
                <w:szCs w:val="16"/>
                <w:lang w:val="ro-MD"/>
              </w:rPr>
              <w:t>nr.</w:t>
            </w:r>
            <w:r w:rsidRPr="009772A3">
              <w:rPr>
                <w:rFonts w:asciiTheme="majorHAnsi" w:eastAsia="Times New Roman" w:hAnsiTheme="majorHAnsi" w:cstheme="majorHAnsi"/>
                <w:b/>
                <w:sz w:val="16"/>
                <w:szCs w:val="16"/>
                <w:lang w:val="ro-MD"/>
              </w:rPr>
              <w:t>19/2016 din 26.01.2016 pentru 1000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m</w:t>
            </w:r>
            <w:r w:rsidRPr="009772A3">
              <w:rPr>
                <w:rFonts w:asciiTheme="majorHAnsi" w:eastAsia="Times New Roman" w:hAnsiTheme="majorHAnsi" w:cstheme="majorHAnsi"/>
                <w:b/>
                <w:sz w:val="16"/>
                <w:szCs w:val="16"/>
                <w:vertAlign w:val="superscript"/>
                <w:lang w:val="ro-MD"/>
              </w:rPr>
              <w:t>3</w:t>
            </w:r>
            <w:r w:rsidRPr="009772A3">
              <w:rPr>
                <w:rFonts w:asciiTheme="majorHAnsi" w:eastAsia="Times New Roman" w:hAnsiTheme="majorHAnsi" w:cstheme="majorHAnsi"/>
                <w:b/>
                <w:sz w:val="16"/>
                <w:szCs w:val="16"/>
                <w:lang w:val="ro-MD"/>
              </w:rPr>
              <w:t xml:space="preserve"> gaze naturale</w:t>
            </w:r>
            <w:r w:rsidR="000E66B1">
              <w:rPr>
                <w:rFonts w:asciiTheme="majorHAnsi" w:eastAsia="Times New Roman" w:hAnsiTheme="majorHAnsi" w:cstheme="majorHAnsi"/>
                <w:b/>
                <w:sz w:val="16"/>
                <w:szCs w:val="16"/>
                <w:lang w:val="ro-MD"/>
              </w:rPr>
              <w:t xml:space="preserve"> (lei)</w:t>
            </w:r>
          </w:p>
        </w:tc>
        <w:tc>
          <w:tcPr>
            <w:tcW w:w="2268" w:type="dxa"/>
            <w:shd w:val="clear" w:color="000000" w:fill="DDEBF7"/>
            <w:vAlign w:val="center"/>
            <w:hideMark/>
          </w:tcPr>
          <w:p w14:paraId="5F43A958" w14:textId="3BF5076E"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Tarif mediu efectiv aplicat, recalculat de ANRE pentru 1000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m</w:t>
            </w:r>
            <w:r w:rsidRPr="009772A3">
              <w:rPr>
                <w:rFonts w:asciiTheme="majorHAnsi" w:eastAsia="Times New Roman" w:hAnsiTheme="majorHAnsi" w:cstheme="majorHAnsi"/>
                <w:b/>
                <w:sz w:val="16"/>
                <w:szCs w:val="16"/>
                <w:vertAlign w:val="superscript"/>
                <w:lang w:val="ro-MD"/>
              </w:rPr>
              <w:t>3</w:t>
            </w:r>
            <w:r w:rsidRPr="009772A3">
              <w:rPr>
                <w:rFonts w:asciiTheme="majorHAnsi" w:eastAsia="Times New Roman" w:hAnsiTheme="majorHAnsi" w:cstheme="majorHAnsi"/>
                <w:b/>
                <w:sz w:val="16"/>
                <w:szCs w:val="16"/>
                <w:lang w:val="ro-MD"/>
              </w:rPr>
              <w:t xml:space="preserve"> gaze naturale</w:t>
            </w:r>
            <w:r w:rsidR="000E66B1">
              <w:rPr>
                <w:rFonts w:asciiTheme="majorHAnsi" w:eastAsia="Times New Roman" w:hAnsiTheme="majorHAnsi" w:cstheme="majorHAnsi"/>
                <w:b/>
                <w:sz w:val="16"/>
                <w:szCs w:val="16"/>
                <w:lang w:val="ro-MD"/>
              </w:rPr>
              <w:t xml:space="preserve"> </w:t>
            </w:r>
            <w:r w:rsidR="000E66B1" w:rsidRPr="000E66B1">
              <w:rPr>
                <w:rFonts w:asciiTheme="majorHAnsi" w:eastAsia="Times New Roman" w:hAnsiTheme="majorHAnsi" w:cstheme="majorHAnsi"/>
                <w:b/>
                <w:sz w:val="16"/>
                <w:szCs w:val="16"/>
                <w:lang w:val="ro-MD"/>
              </w:rPr>
              <w:t>(lei)</w:t>
            </w:r>
          </w:p>
        </w:tc>
        <w:tc>
          <w:tcPr>
            <w:tcW w:w="1320" w:type="dxa"/>
            <w:shd w:val="clear" w:color="000000" w:fill="DDEBF7"/>
            <w:noWrap/>
            <w:vAlign w:val="center"/>
            <w:hideMark/>
          </w:tcPr>
          <w:p w14:paraId="62E19C27" w14:textId="77777777" w:rsidR="00BB69CF"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Diferența</w:t>
            </w:r>
          </w:p>
          <w:p w14:paraId="41C48D9A" w14:textId="02C88040" w:rsidR="000E66B1" w:rsidRPr="009772A3" w:rsidRDefault="000E66B1" w:rsidP="00BB69CF">
            <w:pPr>
              <w:spacing w:after="0" w:line="240" w:lineRule="auto"/>
              <w:jc w:val="center"/>
              <w:rPr>
                <w:rFonts w:asciiTheme="majorHAnsi" w:eastAsia="Times New Roman" w:hAnsiTheme="majorHAnsi" w:cstheme="majorHAnsi"/>
                <w:b/>
                <w:sz w:val="16"/>
                <w:szCs w:val="16"/>
                <w:lang w:val="ro-MD"/>
              </w:rPr>
            </w:pPr>
            <w:r>
              <w:rPr>
                <w:rFonts w:asciiTheme="majorHAnsi" w:eastAsia="Times New Roman" w:hAnsiTheme="majorHAnsi" w:cstheme="majorHAnsi"/>
                <w:b/>
                <w:sz w:val="16"/>
                <w:szCs w:val="16"/>
                <w:lang w:val="ro-MD"/>
              </w:rPr>
              <w:t>(lei)</w:t>
            </w:r>
          </w:p>
        </w:tc>
      </w:tr>
      <w:tr w:rsidR="00BB69CF" w:rsidRPr="009772A3" w14:paraId="51E589F1" w14:textId="77777777" w:rsidTr="00CF3AD4">
        <w:trPr>
          <w:trHeight w:val="20"/>
        </w:trPr>
        <w:tc>
          <w:tcPr>
            <w:tcW w:w="2972" w:type="dxa"/>
            <w:shd w:val="clear" w:color="auto" w:fill="auto"/>
            <w:noWrap/>
            <w:vAlign w:val="center"/>
            <w:hideMark/>
          </w:tcPr>
          <w:p w14:paraId="415B6177" w14:textId="0EBC0181" w:rsidR="00BB69CF" w:rsidRPr="009772A3" w:rsidRDefault="00BB69CF" w:rsidP="00532F72">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532F72"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consumatorii RM</w:t>
            </w:r>
          </w:p>
        </w:tc>
        <w:tc>
          <w:tcPr>
            <w:tcW w:w="2835" w:type="dxa"/>
            <w:shd w:val="clear" w:color="auto" w:fill="auto"/>
            <w:noWrap/>
            <w:vAlign w:val="center"/>
            <w:hideMark/>
          </w:tcPr>
          <w:p w14:paraId="69B6E0FA"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32,76</w:t>
            </w:r>
          </w:p>
        </w:tc>
        <w:tc>
          <w:tcPr>
            <w:tcW w:w="2268" w:type="dxa"/>
            <w:shd w:val="clear" w:color="auto" w:fill="auto"/>
            <w:noWrap/>
            <w:vAlign w:val="center"/>
            <w:hideMark/>
          </w:tcPr>
          <w:p w14:paraId="27E1D35A" w14:textId="77777777" w:rsidR="00BB69CF" w:rsidRPr="009772A3" w:rsidRDefault="00BB69C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32,76</w:t>
            </w:r>
          </w:p>
        </w:tc>
        <w:tc>
          <w:tcPr>
            <w:tcW w:w="1320" w:type="dxa"/>
            <w:shd w:val="clear" w:color="auto" w:fill="auto"/>
            <w:noWrap/>
            <w:vAlign w:val="center"/>
            <w:hideMark/>
          </w:tcPr>
          <w:p w14:paraId="1D75F931"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w:t>
            </w:r>
          </w:p>
        </w:tc>
      </w:tr>
      <w:tr w:rsidR="00BB69CF" w:rsidRPr="009772A3" w14:paraId="485E6599" w14:textId="77777777" w:rsidTr="00CF3AD4">
        <w:trPr>
          <w:trHeight w:val="20"/>
        </w:trPr>
        <w:tc>
          <w:tcPr>
            <w:tcW w:w="2972" w:type="dxa"/>
            <w:shd w:val="clear" w:color="auto" w:fill="auto"/>
            <w:noWrap/>
            <w:vAlign w:val="center"/>
            <w:hideMark/>
          </w:tcPr>
          <w:p w14:paraId="6DE9C4C7" w14:textId="59AF5DAB" w:rsidR="00BB69CF" w:rsidRPr="009772A3" w:rsidRDefault="00BB69CF" w:rsidP="00532F72">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532F72"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tranzitare în UE</w:t>
            </w:r>
          </w:p>
        </w:tc>
        <w:tc>
          <w:tcPr>
            <w:tcW w:w="2835" w:type="dxa"/>
            <w:shd w:val="clear" w:color="auto" w:fill="auto"/>
            <w:noWrap/>
            <w:vAlign w:val="center"/>
            <w:hideMark/>
          </w:tcPr>
          <w:p w14:paraId="3C2F0B84"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32,76</w:t>
            </w:r>
          </w:p>
        </w:tc>
        <w:tc>
          <w:tcPr>
            <w:tcW w:w="2268" w:type="dxa"/>
            <w:shd w:val="clear" w:color="auto" w:fill="auto"/>
            <w:noWrap/>
            <w:vAlign w:val="center"/>
            <w:hideMark/>
          </w:tcPr>
          <w:p w14:paraId="73D99F4A" w14:textId="4E54E916" w:rsidR="00BB69CF" w:rsidRPr="009772A3" w:rsidRDefault="00BB69C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27,3</w:t>
            </w:r>
            <w:r w:rsidR="00046F67" w:rsidRPr="009772A3">
              <w:rPr>
                <w:rFonts w:asciiTheme="majorHAnsi" w:eastAsia="Times New Roman" w:hAnsiTheme="majorHAnsi" w:cstheme="majorHAnsi"/>
                <w:sz w:val="16"/>
                <w:szCs w:val="16"/>
                <w:lang w:val="ro-MD"/>
              </w:rPr>
              <w:t>0</w:t>
            </w:r>
          </w:p>
        </w:tc>
        <w:tc>
          <w:tcPr>
            <w:tcW w:w="1320" w:type="dxa"/>
            <w:shd w:val="clear" w:color="auto" w:fill="auto"/>
            <w:noWrap/>
            <w:vAlign w:val="center"/>
            <w:hideMark/>
          </w:tcPr>
          <w:p w14:paraId="7EC0E000"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5,46</w:t>
            </w:r>
          </w:p>
        </w:tc>
      </w:tr>
      <w:tr w:rsidR="00BB69CF" w:rsidRPr="009772A3" w14:paraId="261CDDC8" w14:textId="77777777" w:rsidTr="00CF3AD4">
        <w:trPr>
          <w:trHeight w:val="20"/>
        </w:trPr>
        <w:tc>
          <w:tcPr>
            <w:tcW w:w="2972" w:type="dxa"/>
            <w:shd w:val="clear" w:color="auto" w:fill="auto"/>
            <w:noWrap/>
            <w:vAlign w:val="center"/>
            <w:hideMark/>
          </w:tcPr>
          <w:p w14:paraId="686C7353" w14:textId="214811B8" w:rsidR="00BB69CF" w:rsidRPr="009772A3" w:rsidRDefault="00BB69CF" w:rsidP="00532F72">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532F72"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consumatorii din Ucraina</w:t>
            </w:r>
          </w:p>
        </w:tc>
        <w:tc>
          <w:tcPr>
            <w:tcW w:w="2835" w:type="dxa"/>
            <w:shd w:val="clear" w:color="auto" w:fill="auto"/>
            <w:noWrap/>
            <w:vAlign w:val="center"/>
            <w:hideMark/>
          </w:tcPr>
          <w:p w14:paraId="239121B4"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32,76</w:t>
            </w:r>
          </w:p>
        </w:tc>
        <w:tc>
          <w:tcPr>
            <w:tcW w:w="2268" w:type="dxa"/>
            <w:shd w:val="clear" w:color="auto" w:fill="auto"/>
            <w:noWrap/>
            <w:vAlign w:val="center"/>
            <w:hideMark/>
          </w:tcPr>
          <w:p w14:paraId="11C6B51C" w14:textId="77777777" w:rsidR="00BB69CF" w:rsidRPr="009772A3" w:rsidRDefault="00BB69C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21,94</w:t>
            </w:r>
          </w:p>
        </w:tc>
        <w:tc>
          <w:tcPr>
            <w:tcW w:w="1320" w:type="dxa"/>
            <w:shd w:val="clear" w:color="auto" w:fill="auto"/>
            <w:noWrap/>
            <w:vAlign w:val="center"/>
            <w:hideMark/>
          </w:tcPr>
          <w:p w14:paraId="0F1EA7ED"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10,82</w:t>
            </w:r>
          </w:p>
        </w:tc>
      </w:tr>
      <w:tr w:rsidR="00BB69CF" w:rsidRPr="009772A3" w14:paraId="15D6F129" w14:textId="77777777" w:rsidTr="00CF3AD4">
        <w:trPr>
          <w:trHeight w:val="20"/>
        </w:trPr>
        <w:tc>
          <w:tcPr>
            <w:tcW w:w="2972" w:type="dxa"/>
            <w:shd w:val="clear" w:color="auto" w:fill="auto"/>
            <w:vAlign w:val="center"/>
            <w:hideMark/>
          </w:tcPr>
          <w:p w14:paraId="3C74FB5A" w14:textId="038C2C16" w:rsidR="00BB69CF" w:rsidRPr="009772A3" w:rsidRDefault="00532F72" w:rsidP="00B473E9">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Pentru consumatorii SRL Tiraspoltransgaz</w:t>
            </w:r>
          </w:p>
        </w:tc>
        <w:tc>
          <w:tcPr>
            <w:tcW w:w="2835" w:type="dxa"/>
            <w:shd w:val="clear" w:color="auto" w:fill="auto"/>
            <w:noWrap/>
            <w:vAlign w:val="center"/>
            <w:hideMark/>
          </w:tcPr>
          <w:p w14:paraId="6EDB8049"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32,76</w:t>
            </w:r>
          </w:p>
        </w:tc>
        <w:tc>
          <w:tcPr>
            <w:tcW w:w="2268" w:type="dxa"/>
            <w:shd w:val="clear" w:color="auto" w:fill="auto"/>
            <w:noWrap/>
            <w:vAlign w:val="center"/>
            <w:hideMark/>
          </w:tcPr>
          <w:p w14:paraId="75D5737E" w14:textId="128D35C8" w:rsidR="00BB69CF" w:rsidRPr="009772A3" w:rsidRDefault="00BB69CF">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9,47</w:t>
            </w:r>
          </w:p>
        </w:tc>
        <w:tc>
          <w:tcPr>
            <w:tcW w:w="1320" w:type="dxa"/>
            <w:shd w:val="clear" w:color="auto" w:fill="auto"/>
            <w:noWrap/>
            <w:vAlign w:val="center"/>
            <w:hideMark/>
          </w:tcPr>
          <w:p w14:paraId="18BC9619"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23,29</w:t>
            </w:r>
          </w:p>
        </w:tc>
      </w:tr>
      <w:tr w:rsidR="00BB69CF" w:rsidRPr="009772A3" w14:paraId="76567B15" w14:textId="77777777" w:rsidTr="00CF3AD4">
        <w:trPr>
          <w:trHeight w:val="20"/>
        </w:trPr>
        <w:tc>
          <w:tcPr>
            <w:tcW w:w="2972" w:type="dxa"/>
            <w:shd w:val="clear" w:color="000000" w:fill="DDEBF7"/>
            <w:noWrap/>
            <w:vAlign w:val="center"/>
            <w:hideMark/>
          </w:tcPr>
          <w:p w14:paraId="3B8207A6" w14:textId="77777777"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Perioada de aplicare a tarifului</w:t>
            </w:r>
          </w:p>
          <w:p w14:paraId="066C490B" w14:textId="39FA4A2E" w:rsidR="00BB69CF" w:rsidRPr="009772A3" w:rsidRDefault="00BB69CF" w:rsidP="004A7EDC">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01.01.2018-31.12.2019</w:t>
            </w:r>
          </w:p>
        </w:tc>
        <w:tc>
          <w:tcPr>
            <w:tcW w:w="2835" w:type="dxa"/>
            <w:shd w:val="clear" w:color="000000" w:fill="DDEBF7"/>
            <w:vAlign w:val="center"/>
            <w:hideMark/>
          </w:tcPr>
          <w:p w14:paraId="033AE764" w14:textId="1590466C"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 xml:space="preserve">Tarif aprobat prin HANRE </w:t>
            </w:r>
            <w:r w:rsidR="004A7EDC" w:rsidRPr="009772A3">
              <w:rPr>
                <w:rFonts w:asciiTheme="majorHAnsi" w:eastAsia="Times New Roman" w:hAnsiTheme="majorHAnsi" w:cstheme="majorHAnsi"/>
                <w:b/>
                <w:sz w:val="16"/>
                <w:szCs w:val="16"/>
                <w:lang w:val="ro-MD"/>
              </w:rPr>
              <w:t>nr.</w:t>
            </w:r>
            <w:r w:rsidRPr="009772A3">
              <w:rPr>
                <w:rFonts w:asciiTheme="majorHAnsi" w:eastAsia="Times New Roman" w:hAnsiTheme="majorHAnsi" w:cstheme="majorHAnsi"/>
                <w:b/>
                <w:sz w:val="16"/>
                <w:szCs w:val="16"/>
                <w:lang w:val="ro-MD"/>
              </w:rPr>
              <w:t>88/2018 din 16.03.2018 pentru 1000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m</w:t>
            </w:r>
            <w:r w:rsidRPr="009772A3">
              <w:rPr>
                <w:rFonts w:asciiTheme="majorHAnsi" w:eastAsia="Times New Roman" w:hAnsiTheme="majorHAnsi" w:cstheme="majorHAnsi"/>
                <w:b/>
                <w:sz w:val="16"/>
                <w:szCs w:val="16"/>
                <w:vertAlign w:val="superscript"/>
                <w:lang w:val="ro-MD"/>
              </w:rPr>
              <w:t>3</w:t>
            </w:r>
            <w:r w:rsidRPr="009772A3">
              <w:rPr>
                <w:rFonts w:asciiTheme="majorHAnsi" w:eastAsia="Times New Roman" w:hAnsiTheme="majorHAnsi" w:cstheme="majorHAnsi"/>
                <w:b/>
                <w:sz w:val="16"/>
                <w:szCs w:val="16"/>
                <w:lang w:val="ro-MD"/>
              </w:rPr>
              <w:t xml:space="preserve"> gaze naturale</w:t>
            </w:r>
            <w:r w:rsidR="000E66B1">
              <w:rPr>
                <w:rFonts w:asciiTheme="majorHAnsi" w:eastAsia="Times New Roman" w:hAnsiTheme="majorHAnsi" w:cstheme="majorHAnsi"/>
                <w:b/>
                <w:sz w:val="16"/>
                <w:szCs w:val="16"/>
                <w:lang w:val="ro-MD"/>
              </w:rPr>
              <w:t xml:space="preserve"> (lei)</w:t>
            </w:r>
          </w:p>
        </w:tc>
        <w:tc>
          <w:tcPr>
            <w:tcW w:w="2268" w:type="dxa"/>
            <w:shd w:val="clear" w:color="000000" w:fill="DDEBF7"/>
            <w:vAlign w:val="center"/>
            <w:hideMark/>
          </w:tcPr>
          <w:p w14:paraId="05CBAA3E" w14:textId="64D25691"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Tarif mediu efectiv aplicat, recalculat de ANRE pentru 1000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m</w:t>
            </w:r>
            <w:r w:rsidRPr="009772A3">
              <w:rPr>
                <w:rFonts w:asciiTheme="majorHAnsi" w:eastAsia="Times New Roman" w:hAnsiTheme="majorHAnsi" w:cstheme="majorHAnsi"/>
                <w:b/>
                <w:sz w:val="16"/>
                <w:szCs w:val="16"/>
                <w:vertAlign w:val="superscript"/>
                <w:lang w:val="ro-MD"/>
              </w:rPr>
              <w:t>3</w:t>
            </w:r>
            <w:r w:rsidRPr="009772A3">
              <w:rPr>
                <w:rFonts w:asciiTheme="majorHAnsi" w:eastAsia="Times New Roman" w:hAnsiTheme="majorHAnsi" w:cstheme="majorHAnsi"/>
                <w:b/>
                <w:sz w:val="16"/>
                <w:szCs w:val="16"/>
                <w:lang w:val="ro-MD"/>
              </w:rPr>
              <w:t xml:space="preserve"> gaze naturale</w:t>
            </w:r>
            <w:r w:rsidR="000E66B1">
              <w:rPr>
                <w:rFonts w:asciiTheme="majorHAnsi" w:eastAsia="Times New Roman" w:hAnsiTheme="majorHAnsi" w:cstheme="majorHAnsi"/>
                <w:b/>
                <w:sz w:val="16"/>
                <w:szCs w:val="16"/>
                <w:lang w:val="ro-MD"/>
              </w:rPr>
              <w:t xml:space="preserve"> (lei)</w:t>
            </w:r>
          </w:p>
        </w:tc>
        <w:tc>
          <w:tcPr>
            <w:tcW w:w="1320" w:type="dxa"/>
            <w:shd w:val="clear" w:color="000000" w:fill="DDEBF7"/>
            <w:noWrap/>
            <w:vAlign w:val="center"/>
            <w:hideMark/>
          </w:tcPr>
          <w:p w14:paraId="214D70D0" w14:textId="77777777" w:rsidR="00BB69CF"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Diferența</w:t>
            </w:r>
          </w:p>
          <w:p w14:paraId="714EC7DE" w14:textId="195EAD9E" w:rsidR="000E66B1" w:rsidRPr="009772A3" w:rsidRDefault="000E66B1" w:rsidP="00BB69CF">
            <w:pPr>
              <w:spacing w:after="0" w:line="240" w:lineRule="auto"/>
              <w:jc w:val="center"/>
              <w:rPr>
                <w:rFonts w:asciiTheme="majorHAnsi" w:eastAsia="Times New Roman" w:hAnsiTheme="majorHAnsi" w:cstheme="majorHAnsi"/>
                <w:b/>
                <w:sz w:val="16"/>
                <w:szCs w:val="16"/>
                <w:lang w:val="ro-MD"/>
              </w:rPr>
            </w:pPr>
            <w:r>
              <w:rPr>
                <w:rFonts w:asciiTheme="majorHAnsi" w:eastAsia="Times New Roman" w:hAnsiTheme="majorHAnsi" w:cstheme="majorHAnsi"/>
                <w:b/>
                <w:sz w:val="16"/>
                <w:szCs w:val="16"/>
                <w:lang w:val="ro-MD"/>
              </w:rPr>
              <w:t>(lei)</w:t>
            </w:r>
          </w:p>
        </w:tc>
      </w:tr>
      <w:tr w:rsidR="00BB69CF" w:rsidRPr="009772A3" w14:paraId="79F42471" w14:textId="77777777" w:rsidTr="00CF3AD4">
        <w:trPr>
          <w:trHeight w:val="20"/>
        </w:trPr>
        <w:tc>
          <w:tcPr>
            <w:tcW w:w="2972" w:type="dxa"/>
            <w:shd w:val="clear" w:color="auto" w:fill="auto"/>
            <w:noWrap/>
            <w:vAlign w:val="center"/>
            <w:hideMark/>
          </w:tcPr>
          <w:p w14:paraId="6EBCD7D3" w14:textId="64C7734C" w:rsidR="00BB69CF" w:rsidRPr="009772A3" w:rsidRDefault="00BB69CF" w:rsidP="00973C5B">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973C5B"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consumatorii RM</w:t>
            </w:r>
          </w:p>
        </w:tc>
        <w:tc>
          <w:tcPr>
            <w:tcW w:w="2835" w:type="dxa"/>
            <w:shd w:val="clear" w:color="auto" w:fill="auto"/>
            <w:noWrap/>
            <w:vAlign w:val="center"/>
            <w:hideMark/>
          </w:tcPr>
          <w:p w14:paraId="5DB0BBF3"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32,32</w:t>
            </w:r>
          </w:p>
        </w:tc>
        <w:tc>
          <w:tcPr>
            <w:tcW w:w="2268" w:type="dxa"/>
            <w:shd w:val="clear" w:color="auto" w:fill="auto"/>
            <w:noWrap/>
            <w:vAlign w:val="center"/>
            <w:hideMark/>
          </w:tcPr>
          <w:p w14:paraId="602754AF"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32,32</w:t>
            </w:r>
          </w:p>
        </w:tc>
        <w:tc>
          <w:tcPr>
            <w:tcW w:w="1320" w:type="dxa"/>
            <w:shd w:val="clear" w:color="auto" w:fill="auto"/>
            <w:noWrap/>
            <w:vAlign w:val="center"/>
            <w:hideMark/>
          </w:tcPr>
          <w:p w14:paraId="5FE89DA1"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w:t>
            </w:r>
          </w:p>
        </w:tc>
      </w:tr>
      <w:tr w:rsidR="00BB69CF" w:rsidRPr="009772A3" w14:paraId="0E5C3E6C" w14:textId="77777777" w:rsidTr="00CF3AD4">
        <w:trPr>
          <w:trHeight w:val="20"/>
        </w:trPr>
        <w:tc>
          <w:tcPr>
            <w:tcW w:w="2972" w:type="dxa"/>
            <w:shd w:val="clear" w:color="auto" w:fill="auto"/>
            <w:noWrap/>
            <w:vAlign w:val="center"/>
            <w:hideMark/>
          </w:tcPr>
          <w:p w14:paraId="26270607" w14:textId="62320774" w:rsidR="00BB69CF" w:rsidRPr="009772A3" w:rsidRDefault="00BB69CF" w:rsidP="00973C5B">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973C5B"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tranzitare în UE</w:t>
            </w:r>
          </w:p>
        </w:tc>
        <w:tc>
          <w:tcPr>
            <w:tcW w:w="2835" w:type="dxa"/>
            <w:shd w:val="clear" w:color="auto" w:fill="auto"/>
            <w:noWrap/>
            <w:vAlign w:val="center"/>
            <w:hideMark/>
          </w:tcPr>
          <w:p w14:paraId="421F0180"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32,32</w:t>
            </w:r>
          </w:p>
        </w:tc>
        <w:tc>
          <w:tcPr>
            <w:tcW w:w="2268" w:type="dxa"/>
            <w:shd w:val="clear" w:color="auto" w:fill="auto"/>
            <w:noWrap/>
            <w:vAlign w:val="center"/>
            <w:hideMark/>
          </w:tcPr>
          <w:p w14:paraId="3A8965DD" w14:textId="2A7ECA02"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24,6</w:t>
            </w:r>
            <w:r w:rsidR="00046F67" w:rsidRPr="009772A3">
              <w:rPr>
                <w:rFonts w:asciiTheme="majorHAnsi" w:eastAsia="Times New Roman" w:hAnsiTheme="majorHAnsi" w:cstheme="majorHAnsi"/>
                <w:sz w:val="16"/>
                <w:szCs w:val="16"/>
                <w:lang w:val="ro-MD"/>
              </w:rPr>
              <w:t>0</w:t>
            </w:r>
          </w:p>
        </w:tc>
        <w:tc>
          <w:tcPr>
            <w:tcW w:w="1320" w:type="dxa"/>
            <w:shd w:val="clear" w:color="auto" w:fill="auto"/>
            <w:noWrap/>
            <w:vAlign w:val="center"/>
            <w:hideMark/>
          </w:tcPr>
          <w:p w14:paraId="4415AB5F"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7,72</w:t>
            </w:r>
          </w:p>
        </w:tc>
      </w:tr>
      <w:tr w:rsidR="00BB69CF" w:rsidRPr="009772A3" w14:paraId="35691101" w14:textId="77777777" w:rsidTr="00CF3AD4">
        <w:trPr>
          <w:trHeight w:val="20"/>
        </w:trPr>
        <w:tc>
          <w:tcPr>
            <w:tcW w:w="2972" w:type="dxa"/>
            <w:shd w:val="clear" w:color="auto" w:fill="auto"/>
            <w:noWrap/>
            <w:vAlign w:val="center"/>
            <w:hideMark/>
          </w:tcPr>
          <w:p w14:paraId="03D35FB9" w14:textId="04B55062" w:rsidR="00BB69CF" w:rsidRPr="009772A3" w:rsidRDefault="00973C5B" w:rsidP="00B473E9">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Pentru</w:t>
            </w:r>
            <w:r w:rsidR="00BB69CF" w:rsidRPr="009772A3">
              <w:rPr>
                <w:rFonts w:asciiTheme="majorHAnsi" w:eastAsia="Times New Roman" w:hAnsiTheme="majorHAnsi" w:cstheme="majorHAnsi"/>
                <w:sz w:val="16"/>
                <w:szCs w:val="16"/>
                <w:lang w:val="ro-MD"/>
              </w:rPr>
              <w:t xml:space="preserve"> consumatorii din Ucraina</w:t>
            </w:r>
          </w:p>
        </w:tc>
        <w:tc>
          <w:tcPr>
            <w:tcW w:w="2835" w:type="dxa"/>
            <w:shd w:val="clear" w:color="auto" w:fill="auto"/>
            <w:noWrap/>
            <w:vAlign w:val="center"/>
            <w:hideMark/>
          </w:tcPr>
          <w:p w14:paraId="5F0BEF4E"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32,32</w:t>
            </w:r>
          </w:p>
        </w:tc>
        <w:tc>
          <w:tcPr>
            <w:tcW w:w="2268" w:type="dxa"/>
            <w:shd w:val="clear" w:color="auto" w:fill="auto"/>
            <w:noWrap/>
            <w:vAlign w:val="center"/>
            <w:hideMark/>
          </w:tcPr>
          <w:p w14:paraId="67E87EE4"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20,43</w:t>
            </w:r>
          </w:p>
        </w:tc>
        <w:tc>
          <w:tcPr>
            <w:tcW w:w="1320" w:type="dxa"/>
            <w:shd w:val="clear" w:color="auto" w:fill="auto"/>
            <w:noWrap/>
            <w:vAlign w:val="center"/>
            <w:hideMark/>
          </w:tcPr>
          <w:p w14:paraId="5D58DED2"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11,89</w:t>
            </w:r>
          </w:p>
        </w:tc>
      </w:tr>
      <w:tr w:rsidR="00BB69CF" w:rsidRPr="009772A3" w14:paraId="51CEAC7E" w14:textId="77777777" w:rsidTr="00CF3AD4">
        <w:trPr>
          <w:trHeight w:val="20"/>
        </w:trPr>
        <w:tc>
          <w:tcPr>
            <w:tcW w:w="2972" w:type="dxa"/>
            <w:shd w:val="clear" w:color="auto" w:fill="auto"/>
            <w:vAlign w:val="center"/>
            <w:hideMark/>
          </w:tcPr>
          <w:p w14:paraId="52C6D50F" w14:textId="77777777" w:rsidR="00BB69CF" w:rsidRPr="009772A3" w:rsidRDefault="00BB69CF" w:rsidP="00973C5B">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973C5B" w:rsidRPr="009772A3">
              <w:rPr>
                <w:rFonts w:asciiTheme="majorHAnsi" w:eastAsia="Times New Roman" w:hAnsiTheme="majorHAnsi" w:cstheme="majorHAnsi"/>
                <w:sz w:val="16"/>
                <w:szCs w:val="16"/>
                <w:lang w:val="ro-MD"/>
              </w:rPr>
              <w:t>entru consumatorii SRL Tiraspoltransgaz</w:t>
            </w:r>
          </w:p>
          <w:p w14:paraId="1ABE30BA" w14:textId="0858D3ED" w:rsidR="000606D1" w:rsidRPr="009772A3" w:rsidRDefault="000606D1" w:rsidP="00973C5B">
            <w:pPr>
              <w:spacing w:after="0" w:line="240" w:lineRule="auto"/>
              <w:rPr>
                <w:rFonts w:asciiTheme="majorHAnsi" w:eastAsia="Times New Roman" w:hAnsiTheme="majorHAnsi" w:cstheme="majorHAnsi"/>
                <w:sz w:val="16"/>
                <w:szCs w:val="16"/>
                <w:lang w:val="ro-MD"/>
              </w:rPr>
            </w:pPr>
          </w:p>
        </w:tc>
        <w:tc>
          <w:tcPr>
            <w:tcW w:w="2835" w:type="dxa"/>
            <w:shd w:val="clear" w:color="auto" w:fill="auto"/>
            <w:noWrap/>
            <w:vAlign w:val="center"/>
            <w:hideMark/>
          </w:tcPr>
          <w:p w14:paraId="0D600F7D"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32,32</w:t>
            </w:r>
          </w:p>
        </w:tc>
        <w:tc>
          <w:tcPr>
            <w:tcW w:w="2268" w:type="dxa"/>
            <w:shd w:val="clear" w:color="auto" w:fill="auto"/>
            <w:noWrap/>
            <w:vAlign w:val="center"/>
            <w:hideMark/>
          </w:tcPr>
          <w:p w14:paraId="393EDF90"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8,94</w:t>
            </w:r>
          </w:p>
        </w:tc>
        <w:tc>
          <w:tcPr>
            <w:tcW w:w="1320" w:type="dxa"/>
            <w:shd w:val="clear" w:color="auto" w:fill="auto"/>
            <w:noWrap/>
            <w:vAlign w:val="center"/>
            <w:hideMark/>
          </w:tcPr>
          <w:p w14:paraId="3C137725"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23,38</w:t>
            </w:r>
          </w:p>
        </w:tc>
      </w:tr>
      <w:tr w:rsidR="00BB69CF" w:rsidRPr="009772A3" w14:paraId="5C1BC610" w14:textId="77777777" w:rsidTr="00CF3AD4">
        <w:trPr>
          <w:trHeight w:val="20"/>
        </w:trPr>
        <w:tc>
          <w:tcPr>
            <w:tcW w:w="2972" w:type="dxa"/>
            <w:shd w:val="clear" w:color="000000" w:fill="DDEBF7"/>
            <w:noWrap/>
            <w:vAlign w:val="center"/>
            <w:hideMark/>
          </w:tcPr>
          <w:p w14:paraId="76F1B198" w14:textId="77777777"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Perioada de aplicare a tarifului</w:t>
            </w:r>
          </w:p>
          <w:p w14:paraId="3136FEB1" w14:textId="64600A9E" w:rsidR="00BB69CF" w:rsidRPr="009772A3" w:rsidRDefault="00BB69CF" w:rsidP="004A7EDC">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01.01.2020-01.03.2022</w:t>
            </w:r>
          </w:p>
        </w:tc>
        <w:tc>
          <w:tcPr>
            <w:tcW w:w="2835" w:type="dxa"/>
            <w:shd w:val="clear" w:color="000000" w:fill="DDEBF7"/>
            <w:vAlign w:val="center"/>
            <w:hideMark/>
          </w:tcPr>
          <w:p w14:paraId="25D5AA7D" w14:textId="5D58B7F3" w:rsidR="00BB69CF" w:rsidRPr="009772A3"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Tarif aprobat prin HANRE</w:t>
            </w:r>
            <w:r w:rsidR="004A7EDC" w:rsidRPr="009772A3">
              <w:rPr>
                <w:rFonts w:asciiTheme="majorHAnsi" w:eastAsia="Times New Roman" w:hAnsiTheme="majorHAnsi" w:cstheme="majorHAnsi"/>
                <w:b/>
                <w:sz w:val="16"/>
                <w:szCs w:val="16"/>
                <w:lang w:val="ro-MD"/>
              </w:rPr>
              <w:t xml:space="preserve"> nr.</w:t>
            </w:r>
            <w:r w:rsidRPr="009772A3">
              <w:rPr>
                <w:rFonts w:asciiTheme="majorHAnsi" w:eastAsia="Times New Roman" w:hAnsiTheme="majorHAnsi" w:cstheme="majorHAnsi"/>
                <w:b/>
                <w:sz w:val="16"/>
                <w:szCs w:val="16"/>
                <w:lang w:val="ro-MD"/>
              </w:rPr>
              <w:t xml:space="preserve"> 536/2019 din 27.12.2019 pentru 1000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m</w:t>
            </w:r>
            <w:r w:rsidRPr="009772A3">
              <w:rPr>
                <w:rFonts w:asciiTheme="majorHAnsi" w:eastAsia="Times New Roman" w:hAnsiTheme="majorHAnsi" w:cstheme="majorHAnsi"/>
                <w:b/>
                <w:sz w:val="16"/>
                <w:szCs w:val="16"/>
                <w:vertAlign w:val="superscript"/>
                <w:lang w:val="ro-MD"/>
              </w:rPr>
              <w:t>3</w:t>
            </w:r>
            <w:r w:rsidRPr="009772A3">
              <w:rPr>
                <w:rFonts w:asciiTheme="majorHAnsi" w:eastAsia="Times New Roman" w:hAnsiTheme="majorHAnsi" w:cstheme="majorHAnsi"/>
                <w:b/>
                <w:sz w:val="16"/>
                <w:szCs w:val="16"/>
                <w:lang w:val="ro-MD"/>
              </w:rPr>
              <w:t>/100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km gaze naturale (tranzit</w:t>
            </w:r>
            <w:r w:rsidR="00795EDD" w:rsidRPr="009772A3">
              <w:rPr>
                <w:rFonts w:asciiTheme="majorHAnsi" w:eastAsia="Times New Roman" w:hAnsiTheme="majorHAnsi" w:cstheme="majorHAnsi"/>
                <w:b/>
                <w:sz w:val="16"/>
                <w:szCs w:val="16"/>
                <w:lang w:val="ro-MD"/>
              </w:rPr>
              <w:t xml:space="preserve"> și consumatorii Ucraina, SRL Tiraspoltransgaz</w:t>
            </w:r>
            <w:r w:rsidRPr="009772A3">
              <w:rPr>
                <w:rFonts w:asciiTheme="majorHAnsi" w:eastAsia="Times New Roman" w:hAnsiTheme="majorHAnsi" w:cstheme="majorHAnsi"/>
                <w:b/>
                <w:sz w:val="16"/>
                <w:szCs w:val="16"/>
                <w:lang w:val="ro-MD"/>
              </w:rPr>
              <w:t>)</w:t>
            </w:r>
            <w:r w:rsidR="000E66B1">
              <w:rPr>
                <w:rFonts w:asciiTheme="majorHAnsi" w:eastAsia="Times New Roman" w:hAnsiTheme="majorHAnsi" w:cstheme="majorHAnsi"/>
                <w:b/>
                <w:sz w:val="16"/>
                <w:szCs w:val="16"/>
                <w:lang w:val="ro-MD"/>
              </w:rPr>
              <w:t xml:space="preserve"> (lei)</w:t>
            </w:r>
          </w:p>
        </w:tc>
        <w:tc>
          <w:tcPr>
            <w:tcW w:w="2268" w:type="dxa"/>
            <w:shd w:val="clear" w:color="000000" w:fill="DDEBF7"/>
            <w:vAlign w:val="center"/>
            <w:hideMark/>
          </w:tcPr>
          <w:p w14:paraId="10FA3D41" w14:textId="78BA6088" w:rsidR="00BB69CF" w:rsidRPr="009772A3" w:rsidRDefault="00BB69CF" w:rsidP="004A7EDC">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Tarif mediu efectiv aplicat conform actelor de predare-primire a serviciilor 1000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m</w:t>
            </w:r>
            <w:r w:rsidRPr="009772A3">
              <w:rPr>
                <w:rFonts w:asciiTheme="majorHAnsi" w:eastAsia="Times New Roman" w:hAnsiTheme="majorHAnsi" w:cstheme="majorHAnsi"/>
                <w:b/>
                <w:sz w:val="16"/>
                <w:szCs w:val="16"/>
                <w:vertAlign w:val="superscript"/>
                <w:lang w:val="ro-MD"/>
              </w:rPr>
              <w:t>3</w:t>
            </w:r>
            <w:r w:rsidR="004A7EDC" w:rsidRPr="009772A3">
              <w:rPr>
                <w:rFonts w:asciiTheme="majorHAnsi" w:eastAsia="Times New Roman" w:hAnsiTheme="majorHAnsi" w:cstheme="majorHAnsi"/>
                <w:b/>
                <w:sz w:val="16"/>
                <w:szCs w:val="16"/>
                <w:vertAlign w:val="superscript"/>
                <w:lang w:val="ro-MD"/>
              </w:rPr>
              <w:t xml:space="preserve"> </w:t>
            </w:r>
            <w:r w:rsidRPr="009772A3">
              <w:rPr>
                <w:rFonts w:asciiTheme="majorHAnsi" w:eastAsia="Times New Roman" w:hAnsiTheme="majorHAnsi" w:cstheme="majorHAnsi"/>
                <w:b/>
                <w:sz w:val="16"/>
                <w:szCs w:val="16"/>
                <w:lang w:val="ro-MD"/>
              </w:rPr>
              <w:t>/100</w:t>
            </w:r>
            <w:r w:rsidR="004A7EDC" w:rsidRPr="009772A3">
              <w:rPr>
                <w:rFonts w:asciiTheme="majorHAnsi" w:eastAsia="Times New Roman" w:hAnsiTheme="majorHAnsi" w:cstheme="majorHAnsi"/>
                <w:b/>
                <w:sz w:val="16"/>
                <w:szCs w:val="16"/>
                <w:lang w:val="ro-MD"/>
              </w:rPr>
              <w:t xml:space="preserve"> </w:t>
            </w:r>
            <w:r w:rsidRPr="009772A3">
              <w:rPr>
                <w:rFonts w:asciiTheme="majorHAnsi" w:eastAsia="Times New Roman" w:hAnsiTheme="majorHAnsi" w:cstheme="majorHAnsi"/>
                <w:b/>
                <w:sz w:val="16"/>
                <w:szCs w:val="16"/>
                <w:lang w:val="ro-MD"/>
              </w:rPr>
              <w:t>km gaze naturale</w:t>
            </w:r>
            <w:r w:rsidR="000E66B1">
              <w:rPr>
                <w:rFonts w:asciiTheme="majorHAnsi" w:eastAsia="Times New Roman" w:hAnsiTheme="majorHAnsi" w:cstheme="majorHAnsi"/>
                <w:b/>
                <w:sz w:val="16"/>
                <w:szCs w:val="16"/>
                <w:lang w:val="ro-MD"/>
              </w:rPr>
              <w:t xml:space="preserve"> (lei)</w:t>
            </w:r>
          </w:p>
        </w:tc>
        <w:tc>
          <w:tcPr>
            <w:tcW w:w="1320" w:type="dxa"/>
            <w:shd w:val="clear" w:color="000000" w:fill="DDEBF7"/>
            <w:noWrap/>
            <w:vAlign w:val="center"/>
            <w:hideMark/>
          </w:tcPr>
          <w:p w14:paraId="35F656CF" w14:textId="77777777" w:rsidR="00BB69CF" w:rsidRDefault="00BB69CF" w:rsidP="00BB69CF">
            <w:pPr>
              <w:spacing w:after="0" w:line="240" w:lineRule="auto"/>
              <w:jc w:val="center"/>
              <w:rPr>
                <w:rFonts w:asciiTheme="majorHAnsi" w:eastAsia="Times New Roman" w:hAnsiTheme="majorHAnsi" w:cstheme="majorHAnsi"/>
                <w:b/>
                <w:sz w:val="16"/>
                <w:szCs w:val="16"/>
                <w:lang w:val="ro-MD"/>
              </w:rPr>
            </w:pPr>
            <w:r w:rsidRPr="009772A3">
              <w:rPr>
                <w:rFonts w:asciiTheme="majorHAnsi" w:eastAsia="Times New Roman" w:hAnsiTheme="majorHAnsi" w:cstheme="majorHAnsi"/>
                <w:b/>
                <w:sz w:val="16"/>
                <w:szCs w:val="16"/>
                <w:lang w:val="ro-MD"/>
              </w:rPr>
              <w:t>Diferența</w:t>
            </w:r>
          </w:p>
          <w:p w14:paraId="6B0C90CC" w14:textId="75195AD5" w:rsidR="000E66B1" w:rsidRPr="009772A3" w:rsidRDefault="000E66B1" w:rsidP="00BB69CF">
            <w:pPr>
              <w:spacing w:after="0" w:line="240" w:lineRule="auto"/>
              <w:jc w:val="center"/>
              <w:rPr>
                <w:rFonts w:asciiTheme="majorHAnsi" w:eastAsia="Times New Roman" w:hAnsiTheme="majorHAnsi" w:cstheme="majorHAnsi"/>
                <w:b/>
                <w:sz w:val="16"/>
                <w:szCs w:val="16"/>
                <w:lang w:val="ro-MD"/>
              </w:rPr>
            </w:pPr>
            <w:r>
              <w:rPr>
                <w:rFonts w:asciiTheme="majorHAnsi" w:eastAsia="Times New Roman" w:hAnsiTheme="majorHAnsi" w:cstheme="majorHAnsi"/>
                <w:b/>
                <w:sz w:val="16"/>
                <w:szCs w:val="16"/>
                <w:lang w:val="ro-MD"/>
              </w:rPr>
              <w:t>(lei)</w:t>
            </w:r>
          </w:p>
        </w:tc>
      </w:tr>
      <w:tr w:rsidR="00BB69CF" w:rsidRPr="009772A3" w14:paraId="2E686014" w14:textId="77777777" w:rsidTr="00CF3AD4">
        <w:trPr>
          <w:trHeight w:val="20"/>
        </w:trPr>
        <w:tc>
          <w:tcPr>
            <w:tcW w:w="2972" w:type="dxa"/>
            <w:shd w:val="clear" w:color="auto" w:fill="auto"/>
            <w:noWrap/>
            <w:vAlign w:val="center"/>
            <w:hideMark/>
          </w:tcPr>
          <w:p w14:paraId="308A39A4" w14:textId="66B9110F" w:rsidR="00BB69CF" w:rsidRPr="009772A3" w:rsidRDefault="00BB69CF" w:rsidP="00D245B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D245B0"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consumatorii RM (1000</w:t>
            </w:r>
            <w:r w:rsidR="004A7EDC" w:rsidRPr="009772A3">
              <w:rPr>
                <w:rFonts w:asciiTheme="majorHAnsi" w:eastAsia="Times New Roman" w:hAnsiTheme="majorHAnsi" w:cstheme="majorHAnsi"/>
                <w:sz w:val="16"/>
                <w:szCs w:val="16"/>
                <w:lang w:val="ro-MD"/>
              </w:rPr>
              <w:t xml:space="preserve"> </w:t>
            </w:r>
            <w:r w:rsidRPr="009772A3">
              <w:rPr>
                <w:rFonts w:asciiTheme="majorHAnsi" w:eastAsia="Times New Roman" w:hAnsiTheme="majorHAnsi" w:cstheme="majorHAnsi"/>
                <w:sz w:val="16"/>
                <w:szCs w:val="16"/>
                <w:lang w:val="ro-MD"/>
              </w:rPr>
              <w:t>m</w:t>
            </w:r>
            <w:r w:rsidRPr="009772A3">
              <w:rPr>
                <w:rFonts w:asciiTheme="majorHAnsi" w:eastAsia="Times New Roman" w:hAnsiTheme="majorHAnsi" w:cstheme="majorHAnsi"/>
                <w:sz w:val="16"/>
                <w:szCs w:val="16"/>
                <w:vertAlign w:val="superscript"/>
                <w:lang w:val="ro-MD"/>
              </w:rPr>
              <w:t>3</w:t>
            </w:r>
            <w:r w:rsidRPr="009772A3">
              <w:rPr>
                <w:rFonts w:asciiTheme="majorHAnsi" w:eastAsia="Times New Roman" w:hAnsiTheme="majorHAnsi" w:cstheme="majorHAnsi"/>
                <w:sz w:val="16"/>
                <w:szCs w:val="16"/>
                <w:lang w:val="ro-MD"/>
              </w:rPr>
              <w:t>)</w:t>
            </w:r>
          </w:p>
        </w:tc>
        <w:tc>
          <w:tcPr>
            <w:tcW w:w="2835" w:type="dxa"/>
            <w:shd w:val="clear" w:color="auto" w:fill="auto"/>
            <w:noWrap/>
            <w:vAlign w:val="center"/>
            <w:hideMark/>
          </w:tcPr>
          <w:p w14:paraId="41D21CA6"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251,67</w:t>
            </w:r>
          </w:p>
        </w:tc>
        <w:tc>
          <w:tcPr>
            <w:tcW w:w="2268" w:type="dxa"/>
            <w:shd w:val="clear" w:color="auto" w:fill="auto"/>
            <w:noWrap/>
            <w:vAlign w:val="center"/>
            <w:hideMark/>
          </w:tcPr>
          <w:p w14:paraId="34A1DE81"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251,67</w:t>
            </w:r>
          </w:p>
        </w:tc>
        <w:tc>
          <w:tcPr>
            <w:tcW w:w="1320" w:type="dxa"/>
            <w:shd w:val="clear" w:color="auto" w:fill="auto"/>
            <w:noWrap/>
            <w:vAlign w:val="center"/>
            <w:hideMark/>
          </w:tcPr>
          <w:p w14:paraId="40E1B84E"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w:t>
            </w:r>
          </w:p>
        </w:tc>
      </w:tr>
      <w:tr w:rsidR="00BB69CF" w:rsidRPr="009772A3" w14:paraId="26C4FD2D" w14:textId="77777777" w:rsidTr="00CF3AD4">
        <w:trPr>
          <w:trHeight w:val="20"/>
        </w:trPr>
        <w:tc>
          <w:tcPr>
            <w:tcW w:w="2972" w:type="dxa"/>
            <w:shd w:val="clear" w:color="auto" w:fill="auto"/>
            <w:noWrap/>
            <w:vAlign w:val="center"/>
            <w:hideMark/>
          </w:tcPr>
          <w:p w14:paraId="753AADA3" w14:textId="7CA1623D" w:rsidR="00BB69CF" w:rsidRPr="009772A3" w:rsidRDefault="00BB69CF" w:rsidP="00D245B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D245B0"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tranzitare în UE</w:t>
            </w:r>
            <w:r w:rsidR="004A7EDC" w:rsidRPr="009772A3">
              <w:rPr>
                <w:rFonts w:asciiTheme="majorHAnsi" w:eastAsia="Times New Roman" w:hAnsiTheme="majorHAnsi" w:cstheme="majorHAnsi"/>
                <w:sz w:val="16"/>
                <w:szCs w:val="16"/>
                <w:lang w:val="ro-MD"/>
              </w:rPr>
              <w:t xml:space="preserve"> </w:t>
            </w:r>
          </w:p>
        </w:tc>
        <w:tc>
          <w:tcPr>
            <w:tcW w:w="2835" w:type="dxa"/>
            <w:shd w:val="clear" w:color="auto" w:fill="auto"/>
            <w:noWrap/>
            <w:vAlign w:val="center"/>
            <w:hideMark/>
          </w:tcPr>
          <w:p w14:paraId="67244644"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205,55</w:t>
            </w:r>
          </w:p>
        </w:tc>
        <w:tc>
          <w:tcPr>
            <w:tcW w:w="2268" w:type="dxa"/>
            <w:shd w:val="clear" w:color="auto" w:fill="auto"/>
            <w:noWrap/>
            <w:vAlign w:val="center"/>
            <w:hideMark/>
          </w:tcPr>
          <w:p w14:paraId="75A888E0"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205,55</w:t>
            </w:r>
          </w:p>
        </w:tc>
        <w:tc>
          <w:tcPr>
            <w:tcW w:w="1320" w:type="dxa"/>
            <w:shd w:val="clear" w:color="auto" w:fill="auto"/>
            <w:noWrap/>
            <w:vAlign w:val="center"/>
            <w:hideMark/>
          </w:tcPr>
          <w:p w14:paraId="5D97E1F9"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w:t>
            </w:r>
          </w:p>
        </w:tc>
      </w:tr>
      <w:tr w:rsidR="00BB69CF" w:rsidRPr="009772A3" w14:paraId="601780CE" w14:textId="77777777" w:rsidTr="00CF3AD4">
        <w:trPr>
          <w:trHeight w:val="20"/>
        </w:trPr>
        <w:tc>
          <w:tcPr>
            <w:tcW w:w="2972" w:type="dxa"/>
            <w:shd w:val="clear" w:color="auto" w:fill="auto"/>
            <w:noWrap/>
            <w:vAlign w:val="center"/>
            <w:hideMark/>
          </w:tcPr>
          <w:p w14:paraId="6E317A84" w14:textId="478DADD3" w:rsidR="00BB69CF" w:rsidRPr="009772A3" w:rsidRDefault="00BB69CF" w:rsidP="00D245B0">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D245B0" w:rsidRPr="009772A3">
              <w:rPr>
                <w:rFonts w:asciiTheme="majorHAnsi" w:eastAsia="Times New Roman" w:hAnsiTheme="majorHAnsi" w:cstheme="majorHAnsi"/>
                <w:sz w:val="16"/>
                <w:szCs w:val="16"/>
                <w:lang w:val="ro-MD"/>
              </w:rPr>
              <w:t>entru</w:t>
            </w:r>
            <w:r w:rsidRPr="009772A3">
              <w:rPr>
                <w:rFonts w:asciiTheme="majorHAnsi" w:eastAsia="Times New Roman" w:hAnsiTheme="majorHAnsi" w:cstheme="majorHAnsi"/>
                <w:sz w:val="16"/>
                <w:szCs w:val="16"/>
                <w:lang w:val="ro-MD"/>
              </w:rPr>
              <w:t xml:space="preserve"> consumatorii din Ucraina</w:t>
            </w:r>
          </w:p>
        </w:tc>
        <w:tc>
          <w:tcPr>
            <w:tcW w:w="2835" w:type="dxa"/>
            <w:shd w:val="clear" w:color="auto" w:fill="auto"/>
            <w:noWrap/>
            <w:vAlign w:val="center"/>
            <w:hideMark/>
          </w:tcPr>
          <w:p w14:paraId="7B360B9E"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205,55</w:t>
            </w:r>
          </w:p>
        </w:tc>
        <w:tc>
          <w:tcPr>
            <w:tcW w:w="2268" w:type="dxa"/>
            <w:shd w:val="clear" w:color="auto" w:fill="auto"/>
            <w:noWrap/>
            <w:vAlign w:val="center"/>
            <w:hideMark/>
          </w:tcPr>
          <w:p w14:paraId="63689B5E"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205,55</w:t>
            </w:r>
          </w:p>
        </w:tc>
        <w:tc>
          <w:tcPr>
            <w:tcW w:w="1320" w:type="dxa"/>
            <w:shd w:val="clear" w:color="auto" w:fill="auto"/>
            <w:noWrap/>
            <w:vAlign w:val="center"/>
            <w:hideMark/>
          </w:tcPr>
          <w:p w14:paraId="3F1D3F70"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0</w:t>
            </w:r>
          </w:p>
        </w:tc>
      </w:tr>
      <w:tr w:rsidR="00BB69CF" w:rsidRPr="009772A3" w14:paraId="71B2D084" w14:textId="77777777" w:rsidTr="00CF3AD4">
        <w:trPr>
          <w:trHeight w:val="20"/>
        </w:trPr>
        <w:tc>
          <w:tcPr>
            <w:tcW w:w="2972" w:type="dxa"/>
            <w:shd w:val="clear" w:color="auto" w:fill="auto"/>
            <w:vAlign w:val="center"/>
            <w:hideMark/>
          </w:tcPr>
          <w:p w14:paraId="00B545DE" w14:textId="01DA7DD9" w:rsidR="00BB69CF" w:rsidRPr="009772A3" w:rsidRDefault="00BB69CF" w:rsidP="00C30D7B">
            <w:pPr>
              <w:spacing w:after="0" w:line="240" w:lineRule="auto"/>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P</w:t>
            </w:r>
            <w:r w:rsidR="00D245B0" w:rsidRPr="009772A3">
              <w:rPr>
                <w:rFonts w:asciiTheme="majorHAnsi" w:eastAsia="Times New Roman" w:hAnsiTheme="majorHAnsi" w:cstheme="majorHAnsi"/>
                <w:sz w:val="16"/>
                <w:szCs w:val="16"/>
                <w:lang w:val="ro-MD"/>
              </w:rPr>
              <w:t>entru</w:t>
            </w:r>
            <w:r w:rsidR="00C30D7B" w:rsidRPr="009772A3">
              <w:rPr>
                <w:rFonts w:asciiTheme="majorHAnsi" w:eastAsia="Times New Roman" w:hAnsiTheme="majorHAnsi" w:cstheme="majorHAnsi"/>
                <w:sz w:val="16"/>
                <w:szCs w:val="16"/>
                <w:lang w:val="ro-MD"/>
              </w:rPr>
              <w:t xml:space="preserve"> consumatorii SRL </w:t>
            </w:r>
            <w:r w:rsidRPr="009772A3">
              <w:rPr>
                <w:rFonts w:asciiTheme="majorHAnsi" w:eastAsia="Times New Roman" w:hAnsiTheme="majorHAnsi" w:cstheme="majorHAnsi"/>
                <w:sz w:val="16"/>
                <w:szCs w:val="16"/>
                <w:lang w:val="ro-MD"/>
              </w:rPr>
              <w:t>Tiraspoltransgaz, în perioada 01.01.2020 - 30.09.2020</w:t>
            </w:r>
          </w:p>
        </w:tc>
        <w:tc>
          <w:tcPr>
            <w:tcW w:w="2835" w:type="dxa"/>
            <w:shd w:val="clear" w:color="auto" w:fill="auto"/>
            <w:noWrap/>
            <w:vAlign w:val="center"/>
            <w:hideMark/>
          </w:tcPr>
          <w:p w14:paraId="52810C17"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205,55</w:t>
            </w:r>
          </w:p>
        </w:tc>
        <w:tc>
          <w:tcPr>
            <w:tcW w:w="2268" w:type="dxa"/>
            <w:shd w:val="clear" w:color="auto" w:fill="auto"/>
            <w:noWrap/>
            <w:vAlign w:val="center"/>
            <w:hideMark/>
          </w:tcPr>
          <w:p w14:paraId="3BB9C1F8" w14:textId="77777777" w:rsidR="00BB69CF" w:rsidRPr="009772A3" w:rsidRDefault="00BB69CF" w:rsidP="00B473E9">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5,074</w:t>
            </w:r>
          </w:p>
        </w:tc>
        <w:tc>
          <w:tcPr>
            <w:tcW w:w="1320" w:type="dxa"/>
            <w:shd w:val="clear" w:color="auto" w:fill="auto"/>
            <w:noWrap/>
            <w:vAlign w:val="center"/>
            <w:hideMark/>
          </w:tcPr>
          <w:p w14:paraId="60532B59" w14:textId="7B1A477C" w:rsidR="00BB69CF" w:rsidRPr="009772A3" w:rsidRDefault="00BB69CF" w:rsidP="00A51268">
            <w:pPr>
              <w:spacing w:after="0" w:line="240" w:lineRule="auto"/>
              <w:jc w:val="center"/>
              <w:rPr>
                <w:rFonts w:asciiTheme="majorHAnsi" w:eastAsia="Times New Roman" w:hAnsiTheme="majorHAnsi" w:cstheme="majorHAnsi"/>
                <w:sz w:val="16"/>
                <w:szCs w:val="16"/>
                <w:lang w:val="ro-MD"/>
              </w:rPr>
            </w:pPr>
            <w:r w:rsidRPr="009772A3">
              <w:rPr>
                <w:rFonts w:asciiTheme="majorHAnsi" w:eastAsia="Times New Roman" w:hAnsiTheme="majorHAnsi" w:cstheme="majorHAnsi"/>
                <w:sz w:val="16"/>
                <w:szCs w:val="16"/>
                <w:lang w:val="ro-MD"/>
              </w:rPr>
              <w:t>200,4</w:t>
            </w:r>
            <w:r w:rsidR="00A51268" w:rsidRPr="009772A3">
              <w:rPr>
                <w:rFonts w:asciiTheme="majorHAnsi" w:eastAsia="Times New Roman" w:hAnsiTheme="majorHAnsi" w:cstheme="majorHAnsi"/>
                <w:sz w:val="16"/>
                <w:szCs w:val="16"/>
                <w:lang w:val="ro-MD"/>
              </w:rPr>
              <w:t>8</w:t>
            </w:r>
          </w:p>
        </w:tc>
      </w:tr>
    </w:tbl>
    <w:p w14:paraId="4CF42474" w14:textId="508ADD8D" w:rsidR="00BB69CF" w:rsidRPr="009772A3" w:rsidRDefault="00BB69CF" w:rsidP="00CF3AD4">
      <w:pPr>
        <w:spacing w:after="0" w:line="276" w:lineRule="auto"/>
        <w:jc w:val="both"/>
        <w:rPr>
          <w:rFonts w:asciiTheme="majorHAnsi" w:hAnsiTheme="majorHAnsi" w:cstheme="majorHAnsi"/>
          <w:i/>
          <w:sz w:val="16"/>
          <w:szCs w:val="16"/>
          <w:lang w:val="ro-MD"/>
        </w:rPr>
      </w:pPr>
      <w:r w:rsidRPr="009772A3">
        <w:rPr>
          <w:rFonts w:asciiTheme="majorHAnsi" w:hAnsiTheme="majorHAnsi" w:cstheme="majorHAnsi"/>
          <w:i/>
          <w:sz w:val="16"/>
          <w:szCs w:val="16"/>
          <w:lang w:val="ro-MD"/>
        </w:rPr>
        <w:t>Sursa: Raportul privind controlul activității licențiate desfășurate de către</w:t>
      </w:r>
      <w:r w:rsidR="00861152" w:rsidRPr="009772A3">
        <w:rPr>
          <w:rFonts w:asciiTheme="majorHAnsi" w:hAnsiTheme="majorHAnsi" w:cstheme="majorHAnsi"/>
          <w:i/>
          <w:sz w:val="16"/>
          <w:szCs w:val="16"/>
          <w:lang w:val="ro-MD"/>
        </w:rPr>
        <w:t xml:space="preserve"> titularul Moldovatransgaz S</w:t>
      </w:r>
      <w:r w:rsidRPr="009772A3">
        <w:rPr>
          <w:rFonts w:asciiTheme="majorHAnsi" w:hAnsiTheme="majorHAnsi" w:cstheme="majorHAnsi"/>
          <w:i/>
          <w:sz w:val="16"/>
          <w:szCs w:val="16"/>
          <w:lang w:val="ro-MD"/>
        </w:rPr>
        <w:t>RL pentru perioada anilor 2017-2019, aprobat prin Hotăr</w:t>
      </w:r>
      <w:r w:rsidR="004A7EDC" w:rsidRPr="009772A3">
        <w:rPr>
          <w:rFonts w:asciiTheme="majorHAnsi" w:hAnsiTheme="majorHAnsi" w:cstheme="majorHAnsi"/>
          <w:i/>
          <w:sz w:val="16"/>
          <w:szCs w:val="16"/>
          <w:lang w:val="ro-MD"/>
        </w:rPr>
        <w:t>â</w:t>
      </w:r>
      <w:r w:rsidRPr="009772A3">
        <w:rPr>
          <w:rFonts w:asciiTheme="majorHAnsi" w:hAnsiTheme="majorHAnsi" w:cstheme="majorHAnsi"/>
          <w:i/>
          <w:sz w:val="16"/>
          <w:szCs w:val="16"/>
          <w:lang w:val="ro-MD"/>
        </w:rPr>
        <w:t>rea ANRE nr.149 din 06.04.2021, Contractele încheiate cu SRL Tiraspoltransgaz</w:t>
      </w:r>
      <w:r w:rsidR="00861152" w:rsidRPr="009772A3">
        <w:rPr>
          <w:rFonts w:asciiTheme="majorHAnsi" w:hAnsiTheme="majorHAnsi" w:cstheme="majorHAnsi"/>
          <w:i/>
          <w:sz w:val="16"/>
          <w:szCs w:val="16"/>
          <w:lang w:val="ro-MD"/>
        </w:rPr>
        <w:t>, S</w:t>
      </w:r>
      <w:r w:rsidRPr="009772A3">
        <w:rPr>
          <w:rFonts w:asciiTheme="majorHAnsi" w:hAnsiTheme="majorHAnsi" w:cstheme="majorHAnsi"/>
          <w:i/>
          <w:sz w:val="16"/>
          <w:szCs w:val="16"/>
          <w:lang w:val="ro-MD"/>
        </w:rPr>
        <w:t xml:space="preserve">A </w:t>
      </w:r>
      <w:r w:rsidR="00861152" w:rsidRPr="009772A3">
        <w:rPr>
          <w:rFonts w:asciiTheme="majorHAnsi" w:hAnsiTheme="majorHAnsi" w:cstheme="majorHAnsi"/>
          <w:i/>
          <w:sz w:val="16"/>
          <w:szCs w:val="16"/>
          <w:lang w:val="ro-MD"/>
        </w:rPr>
        <w:t>Moldovagaz</w:t>
      </w:r>
      <w:r w:rsidRPr="009772A3">
        <w:rPr>
          <w:rFonts w:asciiTheme="majorHAnsi" w:hAnsiTheme="majorHAnsi" w:cstheme="majorHAnsi"/>
          <w:i/>
          <w:sz w:val="16"/>
          <w:szCs w:val="16"/>
          <w:lang w:val="ro-MD"/>
        </w:rPr>
        <w:t xml:space="preserve">, </w:t>
      </w:r>
      <w:r w:rsidR="00861152" w:rsidRPr="009772A3">
        <w:rPr>
          <w:rFonts w:asciiTheme="majorHAnsi" w:hAnsiTheme="majorHAnsi" w:cstheme="majorHAnsi"/>
          <w:i/>
          <w:sz w:val="16"/>
          <w:szCs w:val="16"/>
          <w:lang w:val="ro-MD"/>
        </w:rPr>
        <w:t>a</w:t>
      </w:r>
      <w:r w:rsidRPr="009772A3">
        <w:rPr>
          <w:rFonts w:asciiTheme="majorHAnsi" w:hAnsiTheme="majorHAnsi" w:cstheme="majorHAnsi"/>
          <w:i/>
          <w:sz w:val="16"/>
          <w:szCs w:val="16"/>
          <w:lang w:val="ro-MD"/>
        </w:rPr>
        <w:t>ctele de predare</w:t>
      </w:r>
      <w:r w:rsidR="004A7EDC" w:rsidRPr="009772A3">
        <w:rPr>
          <w:rFonts w:asciiTheme="majorHAnsi" w:hAnsiTheme="majorHAnsi" w:cstheme="majorHAnsi"/>
          <w:i/>
          <w:sz w:val="16"/>
          <w:szCs w:val="16"/>
          <w:lang w:val="ro-MD"/>
        </w:rPr>
        <w:t>-</w:t>
      </w:r>
      <w:r w:rsidRPr="009772A3">
        <w:rPr>
          <w:rFonts w:asciiTheme="majorHAnsi" w:hAnsiTheme="majorHAnsi" w:cstheme="majorHAnsi"/>
          <w:i/>
          <w:sz w:val="16"/>
          <w:szCs w:val="16"/>
          <w:lang w:val="ro-MD"/>
        </w:rPr>
        <w:t xml:space="preserve"> primire a serviciilor prestate în perioada anilor 2019-2020.</w:t>
      </w:r>
    </w:p>
    <w:p w14:paraId="386312E0" w14:textId="682CF018" w:rsidR="004A7EDC" w:rsidRPr="009772A3" w:rsidRDefault="00BB69CF" w:rsidP="00BB69C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urmare, ANRE a stabilit că neaplicarea tarifelor aprobate pentru volumul integral al gazelor naturale transportate în perioada menționată a diminuat veniturile reglementate ale ent</w:t>
      </w:r>
      <w:r w:rsidR="006554B3" w:rsidRPr="009772A3">
        <w:rPr>
          <w:rFonts w:asciiTheme="majorHAnsi" w:hAnsiTheme="majorHAnsi" w:cstheme="majorHAnsi"/>
          <w:sz w:val="24"/>
          <w:szCs w:val="24"/>
          <w:lang w:val="ro-MD"/>
        </w:rPr>
        <w:t>ității cu 346.</w:t>
      </w:r>
      <w:r w:rsidRPr="009772A3">
        <w:rPr>
          <w:rFonts w:asciiTheme="majorHAnsi" w:hAnsiTheme="majorHAnsi" w:cstheme="majorHAnsi"/>
          <w:sz w:val="24"/>
          <w:szCs w:val="24"/>
          <w:lang w:val="ro-MD"/>
        </w:rPr>
        <w:t xml:space="preserve">890,09 mii lei. În urma controlului menționat, deși SRL Moldovatransgaz a început să aplice tarifele corespunzătoare pentru transportarea gazelor naturale, concomitent a semnat </w:t>
      </w:r>
      <w:r w:rsidR="004A7EDC"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ontractul nr.011/2021 din 23.04.2021 cu SR</w:t>
      </w:r>
      <w:r w:rsidR="006554B3"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Vernon David</w:t>
      </w:r>
      <w:r w:rsidR="006554B3"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privind prestarea serviciilor de consultanță și asistență juridică specifice îndreptate spre contestarea rezultatelor controlului menționat. În pofida faptului că din cont</w:t>
      </w:r>
      <w:r w:rsidR="006554B3" w:rsidRPr="009772A3">
        <w:rPr>
          <w:rFonts w:asciiTheme="majorHAnsi" w:hAnsiTheme="majorHAnsi" w:cstheme="majorHAnsi"/>
          <w:sz w:val="24"/>
          <w:szCs w:val="24"/>
          <w:lang w:val="ro-MD"/>
        </w:rPr>
        <w:t>ul entității au fost achita</w:t>
      </w:r>
      <w:r w:rsidR="004A7EDC" w:rsidRPr="009772A3">
        <w:rPr>
          <w:rFonts w:asciiTheme="majorHAnsi" w:hAnsiTheme="majorHAnsi" w:cstheme="majorHAnsi"/>
          <w:sz w:val="24"/>
          <w:szCs w:val="24"/>
          <w:lang w:val="ro-MD"/>
        </w:rPr>
        <w:t>te</w:t>
      </w:r>
      <w:r w:rsidR="006554B3" w:rsidRPr="009772A3">
        <w:rPr>
          <w:rFonts w:asciiTheme="majorHAnsi" w:hAnsiTheme="majorHAnsi" w:cstheme="majorHAnsi"/>
          <w:sz w:val="24"/>
          <w:szCs w:val="24"/>
          <w:lang w:val="ro-MD"/>
        </w:rPr>
        <w:t xml:space="preserve"> 1.</w:t>
      </w:r>
      <w:r w:rsidRPr="009772A3">
        <w:rPr>
          <w:rFonts w:asciiTheme="majorHAnsi" w:hAnsiTheme="majorHAnsi" w:cstheme="majorHAnsi"/>
          <w:sz w:val="24"/>
          <w:szCs w:val="24"/>
          <w:lang w:val="ro-MD"/>
        </w:rPr>
        <w:t>035,92 mii lei în acest sens, se atestă că până la moment atât Judecătoria Chișinău, cât și Curtea de</w:t>
      </w:r>
      <w:r w:rsidR="006554B3" w:rsidRPr="009772A3">
        <w:rPr>
          <w:rFonts w:asciiTheme="majorHAnsi" w:hAnsiTheme="majorHAnsi" w:cstheme="majorHAnsi"/>
          <w:sz w:val="24"/>
          <w:szCs w:val="24"/>
          <w:lang w:val="ro-MD"/>
        </w:rPr>
        <w:t xml:space="preserve"> Apel au respins solicitările S</w:t>
      </w:r>
      <w:r w:rsidRPr="009772A3">
        <w:rPr>
          <w:rFonts w:asciiTheme="majorHAnsi" w:hAnsiTheme="majorHAnsi" w:cstheme="majorHAnsi"/>
          <w:sz w:val="24"/>
          <w:szCs w:val="24"/>
          <w:lang w:val="ro-MD"/>
        </w:rPr>
        <w:t>RL Moldovatransgaz de a suspenda actul administrativ vizat, ca fiind neîntemeiate</w:t>
      </w:r>
      <w:r w:rsidR="00046F67" w:rsidRPr="009772A3">
        <w:rPr>
          <w:rFonts w:asciiTheme="majorHAnsi" w:hAnsiTheme="majorHAnsi" w:cstheme="majorHAnsi"/>
          <w:sz w:val="24"/>
          <w:szCs w:val="24"/>
          <w:lang w:val="ro-MD"/>
        </w:rPr>
        <w:t>, e</w:t>
      </w:r>
      <w:r w:rsidRPr="009772A3">
        <w:rPr>
          <w:rFonts w:asciiTheme="majorHAnsi" w:hAnsiTheme="majorHAnsi" w:cstheme="majorHAnsi"/>
          <w:sz w:val="24"/>
          <w:szCs w:val="24"/>
          <w:lang w:val="ro-MD"/>
        </w:rPr>
        <w:t xml:space="preserve">xaminarea dosarului în fond </w:t>
      </w:r>
      <w:r w:rsidR="006554B3" w:rsidRPr="009772A3">
        <w:rPr>
          <w:rFonts w:asciiTheme="majorHAnsi" w:hAnsiTheme="majorHAnsi" w:cstheme="majorHAnsi"/>
          <w:sz w:val="24"/>
          <w:szCs w:val="24"/>
          <w:lang w:val="ro-MD"/>
        </w:rPr>
        <w:t>la moment fiind în derulare.</w:t>
      </w:r>
      <w:r w:rsidR="0025578D" w:rsidRPr="009772A3">
        <w:rPr>
          <w:rFonts w:asciiTheme="majorHAnsi" w:hAnsiTheme="majorHAnsi" w:cstheme="majorHAnsi"/>
          <w:sz w:val="24"/>
          <w:szCs w:val="24"/>
          <w:lang w:val="ro-MD"/>
        </w:rPr>
        <w:t xml:space="preserve"> </w:t>
      </w:r>
    </w:p>
    <w:p w14:paraId="4D274B2F" w14:textId="6DB8E8FE" w:rsidR="00BB69CF" w:rsidRPr="009772A3" w:rsidRDefault="0025578D" w:rsidP="00BB69C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Concomitent, SRL Moldovatransgaz se află în litigiu cu ANRE referitor la excluderea din componenta devierilor tarifare aplicate pentru perioada 2011-2019 a sumei </w:t>
      </w:r>
      <w:r w:rsidR="004A7EDC"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346.890,1 mii lei</w:t>
      </w:r>
      <w:r w:rsidR="006E6669" w:rsidRPr="009772A3">
        <w:rPr>
          <w:rFonts w:asciiTheme="majorHAnsi" w:hAnsiTheme="majorHAnsi" w:cstheme="majorHAnsi"/>
          <w:sz w:val="24"/>
          <w:szCs w:val="24"/>
          <w:lang w:val="ro-MD"/>
        </w:rPr>
        <w:t xml:space="preserve"> aferente veniturilor din tranzitul gazelor naturale</w:t>
      </w:r>
      <w:r w:rsidRPr="009772A3">
        <w:rPr>
          <w:rFonts w:asciiTheme="majorHAnsi" w:hAnsiTheme="majorHAnsi" w:cstheme="majorHAnsi"/>
          <w:sz w:val="24"/>
          <w:szCs w:val="24"/>
          <w:lang w:val="ro-MD"/>
        </w:rPr>
        <w:t xml:space="preserve">, aprobate prin HANRE nr.351 din 06.08.2021, care </w:t>
      </w:r>
      <w:r w:rsidR="006E6669"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a 19.05.2022 a fost suspendat</w:t>
      </w:r>
      <w:r w:rsidR="004A7EDC"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w:t>
      </w:r>
      <w:r w:rsidR="006E6669" w:rsidRPr="009772A3">
        <w:rPr>
          <w:rFonts w:asciiTheme="majorHAnsi" w:hAnsiTheme="majorHAnsi" w:cstheme="majorHAnsi"/>
          <w:sz w:val="24"/>
          <w:szCs w:val="24"/>
          <w:lang w:val="ro-MD"/>
        </w:rPr>
        <w:t>prin Decizia</w:t>
      </w:r>
      <w:r w:rsidRPr="009772A3">
        <w:rPr>
          <w:rFonts w:asciiTheme="majorHAnsi" w:hAnsiTheme="majorHAnsi" w:cstheme="majorHAnsi"/>
          <w:sz w:val="24"/>
          <w:szCs w:val="24"/>
          <w:lang w:val="ro-MD"/>
        </w:rPr>
        <w:t xml:space="preserve"> Cur</w:t>
      </w:r>
      <w:r w:rsidR="006E6669" w:rsidRPr="009772A3">
        <w:rPr>
          <w:rFonts w:asciiTheme="majorHAnsi" w:hAnsiTheme="majorHAnsi" w:cstheme="majorHAnsi"/>
          <w:sz w:val="24"/>
          <w:szCs w:val="24"/>
          <w:lang w:val="ro-MD"/>
        </w:rPr>
        <w:t>ții</w:t>
      </w:r>
      <w:r w:rsidRPr="009772A3">
        <w:rPr>
          <w:rFonts w:asciiTheme="majorHAnsi" w:hAnsiTheme="majorHAnsi" w:cstheme="majorHAnsi"/>
          <w:sz w:val="24"/>
          <w:szCs w:val="24"/>
          <w:lang w:val="ro-MD"/>
        </w:rPr>
        <w:t xml:space="preserve"> de </w:t>
      </w:r>
      <w:r w:rsidR="006E6669"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pel Chisinău.</w:t>
      </w:r>
    </w:p>
    <w:p w14:paraId="61159B3D" w14:textId="5031ECB5" w:rsidR="0061741D" w:rsidRPr="009772A3" w:rsidRDefault="00BB69CF" w:rsidP="0061741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Se relevă că SRL Moldovatransgaz a aplicat de la 01.01.2020 tarifele stabilite de ANRE pentru volumele de gaze naturale transportate în regim de tranzit către țările </w:t>
      </w:r>
      <w:r w:rsidR="00F0505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uropene și consumatorii din Ucraina, dar </w:t>
      </w:r>
      <w:r w:rsidR="0045230A" w:rsidRPr="009772A3">
        <w:rPr>
          <w:rFonts w:asciiTheme="majorHAnsi" w:hAnsiTheme="majorHAnsi" w:cstheme="majorHAnsi"/>
          <w:sz w:val="24"/>
          <w:szCs w:val="24"/>
          <w:lang w:val="ro-MD"/>
        </w:rPr>
        <w:t>în cazul consumatorilor SR</w:t>
      </w:r>
      <w:r w:rsidRPr="009772A3">
        <w:rPr>
          <w:rFonts w:asciiTheme="majorHAnsi" w:hAnsiTheme="majorHAnsi" w:cstheme="majorHAnsi"/>
          <w:sz w:val="24"/>
          <w:szCs w:val="24"/>
          <w:lang w:val="ro-MD"/>
        </w:rPr>
        <w:t>L Tiraspoltransgaz tarifele au fost aplicate doar din data de 01.10.2020, ceea ce a generat neîncasarea încă a</w:t>
      </w:r>
      <w:r w:rsidR="0045230A" w:rsidRPr="009772A3">
        <w:rPr>
          <w:rFonts w:asciiTheme="majorHAnsi" w:hAnsiTheme="majorHAnsi" w:cstheme="majorHAnsi"/>
          <w:sz w:val="24"/>
          <w:szCs w:val="24"/>
          <w:lang w:val="ro-MD"/>
        </w:rPr>
        <w:t xml:space="preserve"> circa 43.</w:t>
      </w:r>
      <w:r w:rsidRPr="009772A3">
        <w:rPr>
          <w:rFonts w:asciiTheme="majorHAnsi" w:hAnsiTheme="majorHAnsi" w:cstheme="majorHAnsi"/>
          <w:sz w:val="24"/>
          <w:szCs w:val="24"/>
          <w:lang w:val="ro-MD"/>
        </w:rPr>
        <w:t xml:space="preserve">422,38 mii lei. </w:t>
      </w:r>
      <w:r w:rsidR="0061741D" w:rsidRPr="009772A3">
        <w:rPr>
          <w:rFonts w:asciiTheme="majorHAnsi" w:hAnsiTheme="majorHAnsi" w:cstheme="majorHAnsi"/>
          <w:sz w:val="24"/>
          <w:szCs w:val="24"/>
          <w:lang w:val="ro-MD"/>
        </w:rPr>
        <w:t>Totodată, se menționează că, în cazul prestării serviciilor de transportare a gazelor naturale de către SRL Tiraspoltransgaz pentru consumatorii SRL Moldovatransgaz, se aplica același preț ca în cazul transportării gazelor naturale de către SRL Moldovatransgaz pentru consumatorii Tiraspoltransgaz, iar din cauza neaplicării corespunzătoare a tarifului, cheltuielile entității la fel au fost diminuate cu circa 13.979,93 mii lei.</w:t>
      </w:r>
    </w:p>
    <w:p w14:paraId="71692EF1" w14:textId="5953A27D" w:rsidR="00BB69CF" w:rsidRPr="009772A3" w:rsidRDefault="00F0505E" w:rsidP="00BB69C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Astfel, </w:t>
      </w:r>
      <w:r w:rsidR="00BB69CF" w:rsidRPr="009772A3">
        <w:rPr>
          <w:rFonts w:asciiTheme="majorHAnsi" w:hAnsiTheme="majorHAnsi" w:cstheme="majorHAnsi"/>
          <w:sz w:val="24"/>
          <w:szCs w:val="24"/>
          <w:lang w:val="ro-MD"/>
        </w:rPr>
        <w:t>din cauza neaplicării tarifului stabilit de către autoritatea abilitată în acest sens, se relevă că</w:t>
      </w:r>
      <w:r w:rsidRPr="009772A3">
        <w:rPr>
          <w:rFonts w:asciiTheme="majorHAnsi" w:hAnsiTheme="majorHAnsi" w:cstheme="majorHAnsi"/>
          <w:sz w:val="24"/>
          <w:szCs w:val="24"/>
          <w:lang w:val="ro-MD"/>
        </w:rPr>
        <w:t>,</w:t>
      </w:r>
      <w:r w:rsidR="00BB69CF" w:rsidRPr="009772A3">
        <w:rPr>
          <w:rFonts w:asciiTheme="majorHAnsi" w:hAnsiTheme="majorHAnsi" w:cstheme="majorHAnsi"/>
          <w:sz w:val="24"/>
          <w:szCs w:val="24"/>
          <w:lang w:val="ro-MD"/>
        </w:rPr>
        <w:t xml:space="preserve"> pe lângă posibilele venituri neîncasate calculate de Agenție în sumă de 346</w:t>
      </w:r>
      <w:r w:rsidR="00E176C1" w:rsidRPr="009772A3">
        <w:rPr>
          <w:rFonts w:asciiTheme="majorHAnsi" w:hAnsiTheme="majorHAnsi" w:cstheme="majorHAnsi"/>
          <w:sz w:val="24"/>
          <w:szCs w:val="24"/>
          <w:lang w:val="ro-MD"/>
        </w:rPr>
        <w:t>.</w:t>
      </w:r>
      <w:r w:rsidR="00BB69CF" w:rsidRPr="009772A3">
        <w:rPr>
          <w:rFonts w:asciiTheme="majorHAnsi" w:hAnsiTheme="majorHAnsi" w:cstheme="majorHAnsi"/>
          <w:sz w:val="24"/>
          <w:szCs w:val="24"/>
          <w:lang w:val="ro-MD"/>
        </w:rPr>
        <w:t xml:space="preserve">890,09 mii lei, dar și </w:t>
      </w:r>
      <w:r w:rsidRPr="009772A3">
        <w:rPr>
          <w:rFonts w:asciiTheme="majorHAnsi" w:hAnsiTheme="majorHAnsi" w:cstheme="majorHAnsi"/>
          <w:sz w:val="24"/>
          <w:szCs w:val="24"/>
          <w:lang w:val="ro-MD"/>
        </w:rPr>
        <w:t xml:space="preserve">a </w:t>
      </w:r>
      <w:r w:rsidR="00BB69CF" w:rsidRPr="009772A3">
        <w:rPr>
          <w:rFonts w:asciiTheme="majorHAnsi" w:hAnsiTheme="majorHAnsi" w:cstheme="majorHAnsi"/>
          <w:sz w:val="24"/>
          <w:szCs w:val="24"/>
          <w:lang w:val="ro-MD"/>
        </w:rPr>
        <w:t>cel</w:t>
      </w:r>
      <w:r w:rsidRPr="009772A3">
        <w:rPr>
          <w:rFonts w:asciiTheme="majorHAnsi" w:hAnsiTheme="majorHAnsi" w:cstheme="majorHAnsi"/>
          <w:sz w:val="24"/>
          <w:szCs w:val="24"/>
          <w:lang w:val="ro-MD"/>
        </w:rPr>
        <w:t>or</w:t>
      </w:r>
      <w:r w:rsidR="00BB69CF" w:rsidRPr="009772A3">
        <w:rPr>
          <w:rFonts w:asciiTheme="majorHAnsi" w:hAnsiTheme="majorHAnsi" w:cstheme="majorHAnsi"/>
          <w:sz w:val="24"/>
          <w:szCs w:val="24"/>
          <w:lang w:val="ro-MD"/>
        </w:rPr>
        <w:t xml:space="preserve"> de circa 43</w:t>
      </w:r>
      <w:r w:rsidR="00E176C1" w:rsidRPr="009772A3">
        <w:rPr>
          <w:rFonts w:asciiTheme="majorHAnsi" w:hAnsiTheme="majorHAnsi" w:cstheme="majorHAnsi"/>
          <w:sz w:val="24"/>
          <w:szCs w:val="24"/>
          <w:lang w:val="ro-MD"/>
        </w:rPr>
        <w:t>.</w:t>
      </w:r>
      <w:r w:rsidR="00BB69CF" w:rsidRPr="009772A3">
        <w:rPr>
          <w:rFonts w:asciiTheme="majorHAnsi" w:hAnsiTheme="majorHAnsi" w:cstheme="majorHAnsi"/>
          <w:sz w:val="24"/>
          <w:szCs w:val="24"/>
          <w:lang w:val="ro-MD"/>
        </w:rPr>
        <w:t>422,38 mii lei calculate pentru 9 luni ale anului 2020</w:t>
      </w:r>
      <w:r w:rsidR="00E176C1" w:rsidRPr="009772A3">
        <w:rPr>
          <w:rFonts w:asciiTheme="majorHAnsi" w:hAnsiTheme="majorHAnsi" w:cstheme="majorHAnsi"/>
          <w:sz w:val="24"/>
          <w:szCs w:val="24"/>
          <w:lang w:val="ro-MD"/>
        </w:rPr>
        <w:t xml:space="preserve"> în cazul consumatorilor S</w:t>
      </w:r>
      <w:r w:rsidR="00BB69CF" w:rsidRPr="009772A3">
        <w:rPr>
          <w:rFonts w:asciiTheme="majorHAnsi" w:hAnsiTheme="majorHAnsi" w:cstheme="majorHAnsi"/>
          <w:sz w:val="24"/>
          <w:szCs w:val="24"/>
          <w:lang w:val="ro-MD"/>
        </w:rPr>
        <w:t>RL Tiraspoltransgaz, entitatea deja a efectuat cheltuieli</w:t>
      </w:r>
      <w:r w:rsidR="00E176C1" w:rsidRPr="009772A3">
        <w:rPr>
          <w:rFonts w:asciiTheme="majorHAnsi" w:hAnsiTheme="majorHAnsi" w:cstheme="majorHAnsi"/>
          <w:sz w:val="24"/>
          <w:szCs w:val="24"/>
          <w:lang w:val="ro-MD"/>
        </w:rPr>
        <w:t xml:space="preserve"> de 1.</w:t>
      </w:r>
      <w:r w:rsidR="00BB69CF" w:rsidRPr="009772A3">
        <w:rPr>
          <w:rFonts w:asciiTheme="majorHAnsi" w:hAnsiTheme="majorHAnsi" w:cstheme="majorHAnsi"/>
          <w:sz w:val="24"/>
          <w:szCs w:val="24"/>
          <w:lang w:val="ro-MD"/>
        </w:rPr>
        <w:t>035,92 mii lei pentru contestarea deciziei ANRE, până la moment nefiind emisă o hotărâre definitivă în acest sens. Acest fapt influențează direct performanța entității și nu contribuie la un management financiar eficient.</w:t>
      </w:r>
    </w:p>
    <w:p w14:paraId="394A3164" w14:textId="3C1BD868" w:rsidR="00AB7269" w:rsidRPr="00CE0182" w:rsidRDefault="00AB7269" w:rsidP="00A01729">
      <w:pPr>
        <w:pStyle w:val="FootnoteText"/>
        <w:numPr>
          <w:ilvl w:val="1"/>
          <w:numId w:val="23"/>
        </w:numPr>
        <w:spacing w:line="276" w:lineRule="auto"/>
        <w:ind w:left="0" w:firstLine="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De menționat că</w:t>
      </w:r>
      <w:r w:rsidR="00F0505E"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conform </w:t>
      </w:r>
      <w:r w:rsidR="00046F67" w:rsidRPr="009772A3">
        <w:rPr>
          <w:rFonts w:asciiTheme="majorHAnsi" w:hAnsiTheme="majorHAnsi" w:cstheme="majorHAnsi"/>
          <w:sz w:val="24"/>
          <w:szCs w:val="24"/>
          <w:vertAlign w:val="baseline"/>
          <w:lang w:val="ro-MD"/>
        </w:rPr>
        <w:t>H</w:t>
      </w:r>
      <w:r w:rsidRPr="009772A3">
        <w:rPr>
          <w:rFonts w:asciiTheme="majorHAnsi" w:hAnsiTheme="majorHAnsi" w:cstheme="majorHAnsi"/>
          <w:sz w:val="24"/>
          <w:szCs w:val="24"/>
          <w:vertAlign w:val="baseline"/>
          <w:lang w:val="ro-MD"/>
        </w:rPr>
        <w:t>ANRE</w:t>
      </w:r>
      <w:r w:rsidRPr="009772A3">
        <w:rPr>
          <w:rFonts w:asciiTheme="majorHAnsi" w:hAnsiTheme="majorHAnsi" w:cstheme="majorHAnsi"/>
          <w:sz w:val="24"/>
          <w:szCs w:val="24"/>
          <w:lang w:val="ro-MD"/>
        </w:rPr>
        <w:t xml:space="preserve"> </w:t>
      </w:r>
      <w:r w:rsidRPr="009772A3">
        <w:rPr>
          <w:rFonts w:asciiTheme="majorHAnsi" w:eastAsia="Times New Roman" w:hAnsiTheme="majorHAnsi" w:cstheme="majorHAnsi"/>
          <w:sz w:val="24"/>
          <w:szCs w:val="24"/>
          <w:vertAlign w:val="baseline"/>
          <w:lang w:val="ro-MD"/>
        </w:rPr>
        <w:t>nr.19/2016 din 26.01.2016</w:t>
      </w:r>
      <w:r w:rsidR="00046F67" w:rsidRPr="009772A3">
        <w:rPr>
          <w:rStyle w:val="FootnoteReference"/>
          <w:rFonts w:asciiTheme="majorHAnsi" w:hAnsiTheme="majorHAnsi" w:cstheme="majorHAnsi"/>
          <w:sz w:val="24"/>
          <w:szCs w:val="24"/>
          <w:lang w:val="ro-MD"/>
        </w:rPr>
        <w:footnoteReference w:id="116"/>
      </w:r>
      <w:r w:rsidRPr="009772A3">
        <w:rPr>
          <w:rFonts w:asciiTheme="majorHAnsi" w:eastAsia="Times New Roman" w:hAnsiTheme="majorHAnsi" w:cstheme="majorHAnsi"/>
          <w:sz w:val="24"/>
          <w:szCs w:val="24"/>
          <w:vertAlign w:val="baseline"/>
          <w:lang w:val="ro-MD"/>
        </w:rPr>
        <w:t xml:space="preserve"> și HANRE nr.</w:t>
      </w:r>
      <w:r w:rsidRPr="009772A3">
        <w:rPr>
          <w:rFonts w:asciiTheme="majorHAnsi" w:hAnsiTheme="majorHAnsi" w:cstheme="majorHAnsi"/>
          <w:sz w:val="24"/>
          <w:szCs w:val="24"/>
          <w:vertAlign w:val="baseline"/>
          <w:lang w:val="ro-MD"/>
        </w:rPr>
        <w:t>88 din 26.03.2018</w:t>
      </w:r>
      <w:r w:rsidRPr="009772A3">
        <w:rPr>
          <w:rStyle w:val="FootnoteReference"/>
          <w:rFonts w:asciiTheme="majorHAnsi" w:hAnsiTheme="majorHAnsi" w:cstheme="majorHAnsi"/>
          <w:sz w:val="24"/>
          <w:szCs w:val="24"/>
          <w:lang w:val="ro-MD"/>
        </w:rPr>
        <w:footnoteReference w:id="117"/>
      </w:r>
      <w:r w:rsidR="00F0505E"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w:t>
      </w:r>
      <w:r w:rsidRPr="009772A3">
        <w:rPr>
          <w:rFonts w:asciiTheme="majorHAnsi" w:eastAsia="Times New Roman" w:hAnsiTheme="majorHAnsi" w:cstheme="majorHAnsi"/>
          <w:sz w:val="24"/>
          <w:szCs w:val="24"/>
          <w:vertAlign w:val="baseline"/>
          <w:lang w:val="ro-MD"/>
        </w:rPr>
        <w:t xml:space="preserve">„tarifele pentru serviciul de distribuţie şi de furnizare a gazelor naturale sunt medii şi pot fi diferenţiate pentru întreprinderile înrudite prin decizia S.A. „Moldovagaz””. Acordarea de către ANRE a dreptului </w:t>
      </w:r>
      <w:r w:rsidR="00F0505E" w:rsidRPr="009772A3">
        <w:rPr>
          <w:rFonts w:asciiTheme="majorHAnsi" w:eastAsia="Times New Roman" w:hAnsiTheme="majorHAnsi" w:cstheme="majorHAnsi"/>
          <w:sz w:val="24"/>
          <w:szCs w:val="24"/>
          <w:vertAlign w:val="baseline"/>
          <w:lang w:val="ro-MD"/>
        </w:rPr>
        <w:t xml:space="preserve">SA Moldovagaz </w:t>
      </w:r>
      <w:r w:rsidRPr="009772A3">
        <w:rPr>
          <w:rFonts w:asciiTheme="majorHAnsi" w:eastAsia="Times New Roman" w:hAnsiTheme="majorHAnsi" w:cstheme="majorHAnsi"/>
          <w:sz w:val="24"/>
          <w:szCs w:val="24"/>
          <w:vertAlign w:val="baseline"/>
          <w:lang w:val="ro-MD"/>
        </w:rPr>
        <w:t xml:space="preserve">de a aproba tarife diferentiate </w:t>
      </w:r>
      <w:r w:rsidR="00232B3F" w:rsidRPr="009772A3">
        <w:rPr>
          <w:rFonts w:asciiTheme="majorHAnsi" w:eastAsia="Times New Roman" w:hAnsiTheme="majorHAnsi" w:cstheme="majorHAnsi"/>
          <w:sz w:val="24"/>
          <w:szCs w:val="24"/>
          <w:vertAlign w:val="baseline"/>
          <w:lang w:val="ro-MD"/>
        </w:rPr>
        <w:t>la</w:t>
      </w:r>
      <w:r w:rsidRPr="009772A3">
        <w:rPr>
          <w:rFonts w:asciiTheme="majorHAnsi" w:eastAsia="Times New Roman" w:hAnsiTheme="majorHAnsi" w:cstheme="majorHAnsi"/>
          <w:sz w:val="24"/>
          <w:szCs w:val="24"/>
          <w:vertAlign w:val="baseline"/>
          <w:lang w:val="ro-MD"/>
        </w:rPr>
        <w:t xml:space="preserve"> distribuția gazelor naturale pentru întreprinderile </w:t>
      </w:r>
      <w:r w:rsidRPr="00CE0182">
        <w:rPr>
          <w:rFonts w:asciiTheme="majorHAnsi" w:eastAsia="Times New Roman" w:hAnsiTheme="majorHAnsi" w:cstheme="majorHAnsi"/>
          <w:sz w:val="24"/>
          <w:szCs w:val="24"/>
          <w:vertAlign w:val="baseline"/>
          <w:lang w:val="ro-MD"/>
        </w:rPr>
        <w:t>sale nu are suportul legal necesar și reprezintă o el</w:t>
      </w:r>
      <w:r w:rsidR="00DF31F3" w:rsidRPr="00CE0182">
        <w:rPr>
          <w:rFonts w:asciiTheme="majorHAnsi" w:eastAsia="Times New Roman" w:hAnsiTheme="majorHAnsi" w:cstheme="majorHAnsi"/>
          <w:sz w:val="24"/>
          <w:szCs w:val="24"/>
          <w:vertAlign w:val="baseline"/>
          <w:lang w:val="ro-MD"/>
        </w:rPr>
        <w:t>u</w:t>
      </w:r>
      <w:r w:rsidRPr="00CE0182">
        <w:rPr>
          <w:rFonts w:asciiTheme="majorHAnsi" w:eastAsia="Times New Roman" w:hAnsiTheme="majorHAnsi" w:cstheme="majorHAnsi"/>
          <w:sz w:val="24"/>
          <w:szCs w:val="24"/>
          <w:vertAlign w:val="baseline"/>
          <w:lang w:val="ro-MD"/>
        </w:rPr>
        <w:t xml:space="preserve">dare a ANRE de la atribuțiile sale </w:t>
      </w:r>
      <w:r w:rsidR="00000F30" w:rsidRPr="00CF3AD4">
        <w:rPr>
          <w:rFonts w:asciiTheme="majorHAnsi" w:eastAsia="Times New Roman" w:hAnsiTheme="majorHAnsi" w:cstheme="majorHAnsi"/>
          <w:sz w:val="24"/>
          <w:szCs w:val="24"/>
          <w:vertAlign w:val="baseline"/>
          <w:lang w:val="ro-MD"/>
        </w:rPr>
        <w:t xml:space="preserve">stabilite în art.7 alin. (2) lit.d-e din Legea nr.108/2016 </w:t>
      </w:r>
      <w:r w:rsidR="00CE0182" w:rsidRPr="00CF3AD4">
        <w:rPr>
          <w:rFonts w:asciiTheme="majorHAnsi" w:eastAsia="Times New Roman" w:hAnsiTheme="majorHAnsi" w:cstheme="majorHAnsi"/>
          <w:sz w:val="24"/>
          <w:szCs w:val="24"/>
          <w:vertAlign w:val="baseline"/>
          <w:lang w:val="ro-MD"/>
        </w:rPr>
        <w:t>privind</w:t>
      </w:r>
      <w:r w:rsidR="00CE0182" w:rsidRPr="00CE0182">
        <w:rPr>
          <w:rFonts w:asciiTheme="majorHAnsi" w:eastAsia="Times New Roman" w:hAnsiTheme="majorHAnsi" w:cstheme="majorHAnsi"/>
          <w:sz w:val="24"/>
          <w:szCs w:val="24"/>
          <w:vertAlign w:val="baseline"/>
          <w:lang w:val="ro-MD"/>
        </w:rPr>
        <w:t xml:space="preserve"> </w:t>
      </w:r>
      <w:r w:rsidRPr="00CE0182">
        <w:rPr>
          <w:rFonts w:asciiTheme="majorHAnsi" w:eastAsia="Times New Roman" w:hAnsiTheme="majorHAnsi" w:cstheme="majorHAnsi"/>
          <w:sz w:val="24"/>
          <w:szCs w:val="24"/>
          <w:vertAlign w:val="baseline"/>
          <w:lang w:val="ro-MD"/>
        </w:rPr>
        <w:t>aproba</w:t>
      </w:r>
      <w:r w:rsidR="00F0505E" w:rsidRPr="00CE0182">
        <w:rPr>
          <w:rFonts w:asciiTheme="majorHAnsi" w:eastAsia="Times New Roman" w:hAnsiTheme="majorHAnsi" w:cstheme="majorHAnsi"/>
          <w:sz w:val="24"/>
          <w:szCs w:val="24"/>
          <w:vertAlign w:val="baseline"/>
          <w:lang w:val="ro-MD"/>
        </w:rPr>
        <w:t>rea</w:t>
      </w:r>
      <w:r w:rsidRPr="00CE0182">
        <w:rPr>
          <w:rFonts w:asciiTheme="majorHAnsi" w:eastAsia="Times New Roman" w:hAnsiTheme="majorHAnsi" w:cstheme="majorHAnsi"/>
          <w:sz w:val="24"/>
          <w:szCs w:val="24"/>
          <w:vertAlign w:val="baseline"/>
          <w:lang w:val="ro-MD"/>
        </w:rPr>
        <w:t xml:space="preserve"> tarife</w:t>
      </w:r>
      <w:r w:rsidR="00F0505E" w:rsidRPr="00CE0182">
        <w:rPr>
          <w:rFonts w:asciiTheme="majorHAnsi" w:eastAsia="Times New Roman" w:hAnsiTheme="majorHAnsi" w:cstheme="majorHAnsi"/>
          <w:sz w:val="24"/>
          <w:szCs w:val="24"/>
          <w:vertAlign w:val="baseline"/>
          <w:lang w:val="ro-MD"/>
        </w:rPr>
        <w:t>lor</w:t>
      </w:r>
      <w:r w:rsidRPr="00CE0182">
        <w:rPr>
          <w:rFonts w:asciiTheme="majorHAnsi" w:eastAsia="Times New Roman" w:hAnsiTheme="majorHAnsi" w:cstheme="majorHAnsi"/>
          <w:sz w:val="24"/>
          <w:szCs w:val="24"/>
          <w:vertAlign w:val="baseline"/>
          <w:lang w:val="ro-MD"/>
        </w:rPr>
        <w:t xml:space="preserve"> pentru orice distribuitor de gaze natural</w:t>
      </w:r>
      <w:r w:rsidR="00DF31F3" w:rsidRPr="00CE0182">
        <w:rPr>
          <w:rFonts w:asciiTheme="majorHAnsi" w:eastAsia="Times New Roman" w:hAnsiTheme="majorHAnsi" w:cstheme="majorHAnsi"/>
          <w:sz w:val="24"/>
          <w:szCs w:val="24"/>
          <w:vertAlign w:val="baseline"/>
          <w:lang w:val="ro-MD"/>
        </w:rPr>
        <w:t>e</w:t>
      </w:r>
      <w:r w:rsidRPr="00CE0182">
        <w:rPr>
          <w:rFonts w:asciiTheme="majorHAnsi" w:eastAsia="Times New Roman" w:hAnsiTheme="majorHAnsi" w:cstheme="majorHAnsi"/>
          <w:sz w:val="24"/>
          <w:szCs w:val="24"/>
          <w:vertAlign w:val="baseline"/>
          <w:lang w:val="ro-MD"/>
        </w:rPr>
        <w:t xml:space="preserve"> ce deține licența respectivă. </w:t>
      </w:r>
    </w:p>
    <w:p w14:paraId="0AAD6C9C" w14:textId="6AA49015" w:rsidR="00AB7269" w:rsidRPr="009772A3" w:rsidRDefault="00AB7269" w:rsidP="00A01729">
      <w:pPr>
        <w:pStyle w:val="FootnoteText"/>
        <w:spacing w:line="276" w:lineRule="auto"/>
        <w:ind w:firstLine="720"/>
        <w:jc w:val="both"/>
        <w:rPr>
          <w:rFonts w:asciiTheme="majorHAnsi" w:eastAsia="Times New Roman" w:hAnsiTheme="majorHAnsi" w:cstheme="majorHAnsi"/>
          <w:sz w:val="24"/>
          <w:szCs w:val="24"/>
          <w:vertAlign w:val="baseline"/>
          <w:lang w:val="ro-MD"/>
        </w:rPr>
      </w:pPr>
      <w:r w:rsidRPr="009772A3">
        <w:rPr>
          <w:rFonts w:asciiTheme="majorHAnsi" w:eastAsia="Times New Roman" w:hAnsiTheme="majorHAnsi" w:cstheme="majorHAnsi"/>
          <w:sz w:val="24"/>
          <w:szCs w:val="24"/>
          <w:vertAlign w:val="baseline"/>
          <w:lang w:val="ro-MD"/>
        </w:rPr>
        <w:t>Ca urmare a aplicării de către SA Moldovagaz a tarifelor diferențiate</w:t>
      </w:r>
      <w:r w:rsidR="00DF31F3" w:rsidRPr="009772A3">
        <w:rPr>
          <w:rFonts w:asciiTheme="majorHAnsi" w:eastAsia="Times New Roman" w:hAnsiTheme="majorHAnsi" w:cstheme="majorHAnsi"/>
          <w:sz w:val="24"/>
          <w:szCs w:val="24"/>
          <w:vertAlign w:val="baseline"/>
          <w:lang w:val="ro-MD"/>
        </w:rPr>
        <w:t>, revizuite de regulă semestrial,</w:t>
      </w:r>
      <w:r w:rsidRPr="009772A3">
        <w:rPr>
          <w:rFonts w:asciiTheme="majorHAnsi" w:eastAsia="Times New Roman" w:hAnsiTheme="majorHAnsi" w:cstheme="majorHAnsi"/>
          <w:sz w:val="24"/>
          <w:szCs w:val="24"/>
          <w:vertAlign w:val="baseline"/>
          <w:lang w:val="ro-MD"/>
        </w:rPr>
        <w:t xml:space="preserve"> pentru distribuția gazelor naturale de către întreprinderile sale</w:t>
      </w:r>
      <w:r w:rsidR="00232B3F" w:rsidRPr="009772A3">
        <w:rPr>
          <w:rFonts w:asciiTheme="majorHAnsi" w:eastAsia="Times New Roman" w:hAnsiTheme="majorHAnsi" w:cstheme="majorHAnsi"/>
          <w:sz w:val="24"/>
          <w:szCs w:val="24"/>
          <w:vertAlign w:val="baseline"/>
          <w:lang w:val="ro-MD"/>
        </w:rPr>
        <w:t>,</w:t>
      </w:r>
      <w:r w:rsidRPr="009772A3">
        <w:rPr>
          <w:rFonts w:asciiTheme="majorHAnsi" w:eastAsia="Times New Roman" w:hAnsiTheme="majorHAnsi" w:cstheme="majorHAnsi"/>
          <w:sz w:val="24"/>
          <w:szCs w:val="24"/>
          <w:vertAlign w:val="baseline"/>
          <w:lang w:val="ro-MD"/>
        </w:rPr>
        <w:t xml:space="preserve"> </w:t>
      </w:r>
      <w:r w:rsidR="00DF31F3" w:rsidRPr="009772A3">
        <w:rPr>
          <w:rFonts w:asciiTheme="majorHAnsi" w:eastAsia="Times New Roman" w:hAnsiTheme="majorHAnsi" w:cstheme="majorHAnsi"/>
          <w:sz w:val="24"/>
          <w:szCs w:val="24"/>
          <w:vertAlign w:val="baseline"/>
          <w:lang w:val="ro-MD"/>
        </w:rPr>
        <w:t xml:space="preserve">a dus la denaturarea rezultatelor financiare anuale ale SA Moldovagaz și </w:t>
      </w:r>
      <w:r w:rsidR="00232B3F" w:rsidRPr="009772A3">
        <w:rPr>
          <w:rFonts w:asciiTheme="majorHAnsi" w:eastAsia="Times New Roman" w:hAnsiTheme="majorHAnsi" w:cstheme="majorHAnsi"/>
          <w:sz w:val="24"/>
          <w:szCs w:val="24"/>
          <w:vertAlign w:val="baseline"/>
          <w:lang w:val="ro-MD"/>
        </w:rPr>
        <w:t xml:space="preserve">ale </w:t>
      </w:r>
      <w:r w:rsidR="00DF31F3" w:rsidRPr="009772A3">
        <w:rPr>
          <w:rFonts w:asciiTheme="majorHAnsi" w:eastAsia="Times New Roman" w:hAnsiTheme="majorHAnsi" w:cstheme="majorHAnsi"/>
          <w:sz w:val="24"/>
          <w:szCs w:val="24"/>
          <w:vertAlign w:val="baseline"/>
          <w:lang w:val="ro-MD"/>
        </w:rPr>
        <w:t>companiilor de distribuție a gazului, prin majorarea și diminuarea cheltuielilor SA Moldovagaz și, respectiv, a veniturilor companiilor de distribuție a gazului.</w:t>
      </w:r>
      <w:r w:rsidRPr="009772A3">
        <w:rPr>
          <w:rFonts w:asciiTheme="majorHAnsi" w:eastAsia="Times New Roman" w:hAnsiTheme="majorHAnsi" w:cstheme="majorHAnsi"/>
          <w:sz w:val="24"/>
          <w:szCs w:val="24"/>
          <w:vertAlign w:val="baseline"/>
          <w:lang w:val="ro-MD"/>
        </w:rPr>
        <w:t xml:space="preserve"> </w:t>
      </w:r>
    </w:p>
    <w:p w14:paraId="4D9E0CC1" w14:textId="1349D7D0" w:rsidR="00232B3F" w:rsidRPr="009772A3" w:rsidRDefault="00232B3F" w:rsidP="00232B3F">
      <w:pPr>
        <w:pStyle w:val="FootnoteText"/>
        <w:spacing w:line="276" w:lineRule="auto"/>
        <w:ind w:firstLine="720"/>
        <w:jc w:val="right"/>
        <w:rPr>
          <w:rFonts w:asciiTheme="majorHAnsi" w:hAnsiTheme="majorHAnsi" w:cstheme="majorHAnsi"/>
          <w:b/>
          <w:sz w:val="24"/>
          <w:szCs w:val="24"/>
          <w:vertAlign w:val="baseline"/>
          <w:lang w:val="ro-MD"/>
        </w:rPr>
      </w:pPr>
      <w:r w:rsidRPr="009772A3">
        <w:rPr>
          <w:rFonts w:asciiTheme="majorHAnsi" w:hAnsiTheme="majorHAnsi" w:cstheme="majorHAnsi"/>
          <w:b/>
          <w:sz w:val="24"/>
          <w:szCs w:val="24"/>
          <w:vertAlign w:val="baseline"/>
          <w:lang w:val="ro-MD"/>
        </w:rPr>
        <w:t>Tabelul nr.4.3.</w:t>
      </w:r>
      <w:r w:rsidR="00677582">
        <w:rPr>
          <w:rFonts w:asciiTheme="majorHAnsi" w:hAnsiTheme="majorHAnsi" w:cstheme="majorHAnsi"/>
          <w:b/>
          <w:sz w:val="24"/>
          <w:szCs w:val="24"/>
          <w:vertAlign w:val="baseline"/>
          <w:lang w:val="ro-MD"/>
        </w:rPr>
        <w:t>1.5.2</w:t>
      </w:r>
    </w:p>
    <w:p w14:paraId="435C2A58" w14:textId="12E90BB9" w:rsidR="00232B3F" w:rsidRPr="009772A3" w:rsidRDefault="00677582" w:rsidP="00CF3AD4">
      <w:pPr>
        <w:pStyle w:val="FootnoteText"/>
        <w:spacing w:line="276" w:lineRule="auto"/>
        <w:jc w:val="center"/>
        <w:rPr>
          <w:rFonts w:asciiTheme="majorHAnsi" w:hAnsiTheme="majorHAnsi" w:cstheme="majorHAnsi"/>
          <w:b/>
          <w:sz w:val="24"/>
          <w:szCs w:val="24"/>
          <w:vertAlign w:val="baseline"/>
          <w:lang w:val="ro-MD"/>
        </w:rPr>
      </w:pPr>
      <w:r>
        <w:rPr>
          <w:rFonts w:asciiTheme="majorHAnsi" w:hAnsiTheme="majorHAnsi" w:cstheme="majorHAnsi"/>
          <w:b/>
          <w:sz w:val="24"/>
          <w:szCs w:val="24"/>
          <w:vertAlign w:val="baseline"/>
          <w:lang w:val="ro-MD"/>
        </w:rPr>
        <w:t>Valoarea cheltuielilor SA Moldovagaz pentru serviciile de distribuție a gazelor naturale</w:t>
      </w:r>
    </w:p>
    <w:tbl>
      <w:tblPr>
        <w:tblW w:w="86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2268"/>
        <w:gridCol w:w="2268"/>
        <w:gridCol w:w="1609"/>
      </w:tblGrid>
      <w:tr w:rsidR="00DF31F3" w:rsidRPr="009772A3" w14:paraId="60F24EC1" w14:textId="77777777" w:rsidTr="00A01729">
        <w:trPr>
          <w:trHeight w:val="20"/>
        </w:trPr>
        <w:tc>
          <w:tcPr>
            <w:tcW w:w="850" w:type="dxa"/>
            <w:shd w:val="clear" w:color="auto" w:fill="auto"/>
            <w:vAlign w:val="bottom"/>
            <w:hideMark/>
          </w:tcPr>
          <w:p w14:paraId="7B5CD88C" w14:textId="6F5E0C7A" w:rsidR="00DF31F3" w:rsidRPr="009772A3" w:rsidRDefault="00DF31F3" w:rsidP="00BC19DB">
            <w:pPr>
              <w:spacing w:after="0" w:line="240" w:lineRule="auto"/>
              <w:jc w:val="center"/>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Anul</w:t>
            </w:r>
          </w:p>
        </w:tc>
        <w:tc>
          <w:tcPr>
            <w:tcW w:w="1701" w:type="dxa"/>
            <w:shd w:val="clear" w:color="auto" w:fill="auto"/>
            <w:vAlign w:val="bottom"/>
            <w:hideMark/>
          </w:tcPr>
          <w:p w14:paraId="33EC7F20" w14:textId="40BF387D" w:rsidR="00DF31F3" w:rsidRPr="009772A3" w:rsidRDefault="00DF31F3" w:rsidP="00BC19DB">
            <w:pPr>
              <w:spacing w:after="0" w:line="240" w:lineRule="auto"/>
              <w:jc w:val="center"/>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Volum transportat</w:t>
            </w:r>
            <w:r w:rsidR="00232B3F" w:rsidRPr="009772A3">
              <w:rPr>
                <w:rFonts w:asciiTheme="majorHAnsi" w:eastAsia="Times New Roman" w:hAnsiTheme="majorHAnsi" w:cs="Calibri"/>
                <w:b/>
                <w:sz w:val="18"/>
                <w:szCs w:val="18"/>
                <w:lang w:val="ro-MD"/>
              </w:rPr>
              <w:t>,</w:t>
            </w:r>
            <w:r w:rsidRPr="009772A3">
              <w:rPr>
                <w:rFonts w:asciiTheme="majorHAnsi" w:eastAsia="Times New Roman" w:hAnsiTheme="majorHAnsi" w:cs="Calibri"/>
                <w:b/>
                <w:sz w:val="18"/>
                <w:szCs w:val="18"/>
                <w:lang w:val="ro-MD"/>
              </w:rPr>
              <w:t xml:space="preserve"> mii m</w:t>
            </w:r>
            <w:r w:rsidRPr="009772A3">
              <w:rPr>
                <w:rFonts w:asciiTheme="majorHAnsi" w:eastAsia="Times New Roman" w:hAnsiTheme="majorHAnsi" w:cs="Calibri"/>
                <w:b/>
                <w:sz w:val="18"/>
                <w:szCs w:val="18"/>
                <w:vertAlign w:val="superscript"/>
                <w:lang w:val="ro-MD"/>
              </w:rPr>
              <w:t>3</w:t>
            </w:r>
          </w:p>
        </w:tc>
        <w:tc>
          <w:tcPr>
            <w:tcW w:w="2268" w:type="dxa"/>
            <w:shd w:val="clear" w:color="auto" w:fill="auto"/>
            <w:vAlign w:val="bottom"/>
            <w:hideMark/>
          </w:tcPr>
          <w:p w14:paraId="12D5C9AA" w14:textId="3CEE26AB" w:rsidR="00DF31F3" w:rsidRPr="009772A3" w:rsidRDefault="00DF31F3" w:rsidP="00BC19DB">
            <w:pPr>
              <w:spacing w:after="0" w:line="240" w:lineRule="auto"/>
              <w:jc w:val="center"/>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Valoare</w:t>
            </w:r>
            <w:r w:rsidR="00232B3F" w:rsidRPr="009772A3">
              <w:rPr>
                <w:rFonts w:asciiTheme="majorHAnsi" w:eastAsia="Times New Roman" w:hAnsiTheme="majorHAnsi" w:cs="Calibri"/>
                <w:b/>
                <w:sz w:val="18"/>
                <w:szCs w:val="18"/>
                <w:lang w:val="ro-MD"/>
              </w:rPr>
              <w:t>a</w:t>
            </w:r>
            <w:r w:rsidRPr="009772A3">
              <w:rPr>
                <w:rFonts w:asciiTheme="majorHAnsi" w:eastAsia="Times New Roman" w:hAnsiTheme="majorHAnsi" w:cs="Calibri"/>
                <w:b/>
                <w:sz w:val="18"/>
                <w:szCs w:val="18"/>
                <w:lang w:val="ro-MD"/>
              </w:rPr>
              <w:t xml:space="preserve"> facturată conform tarifelor diferențiate</w:t>
            </w:r>
            <w:r w:rsidR="00232B3F" w:rsidRPr="009772A3">
              <w:rPr>
                <w:rFonts w:asciiTheme="majorHAnsi" w:eastAsia="Times New Roman" w:hAnsiTheme="majorHAnsi" w:cs="Calibri"/>
                <w:b/>
                <w:sz w:val="18"/>
                <w:szCs w:val="18"/>
                <w:lang w:val="ro-MD"/>
              </w:rPr>
              <w:t>, lei</w:t>
            </w:r>
          </w:p>
        </w:tc>
        <w:tc>
          <w:tcPr>
            <w:tcW w:w="2268" w:type="dxa"/>
            <w:shd w:val="clear" w:color="auto" w:fill="auto"/>
            <w:vAlign w:val="bottom"/>
            <w:hideMark/>
          </w:tcPr>
          <w:p w14:paraId="3CDE6B8F" w14:textId="40933101" w:rsidR="00DF31F3" w:rsidRPr="009772A3" w:rsidRDefault="00DF31F3" w:rsidP="00BC19DB">
            <w:pPr>
              <w:spacing w:after="0" w:line="240" w:lineRule="auto"/>
              <w:jc w:val="center"/>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Valoare</w:t>
            </w:r>
            <w:r w:rsidR="00BC0EAC" w:rsidRPr="009772A3">
              <w:rPr>
                <w:rFonts w:asciiTheme="majorHAnsi" w:eastAsia="Times New Roman" w:hAnsiTheme="majorHAnsi" w:cs="Calibri"/>
                <w:b/>
                <w:sz w:val="18"/>
                <w:szCs w:val="18"/>
                <w:lang w:val="ro-MD"/>
              </w:rPr>
              <w:t>a</w:t>
            </w:r>
            <w:r w:rsidRPr="009772A3">
              <w:rPr>
                <w:rFonts w:asciiTheme="majorHAnsi" w:eastAsia="Times New Roman" w:hAnsiTheme="majorHAnsi" w:cs="Calibri"/>
                <w:b/>
                <w:sz w:val="18"/>
                <w:szCs w:val="18"/>
                <w:lang w:val="ro-MD"/>
              </w:rPr>
              <w:t xml:space="preserve"> ce trebuia facturată conform tarifelor ANRE</w:t>
            </w:r>
            <w:r w:rsidR="00BC0EAC" w:rsidRPr="009772A3">
              <w:rPr>
                <w:rFonts w:asciiTheme="majorHAnsi" w:eastAsia="Times New Roman" w:hAnsiTheme="majorHAnsi" w:cs="Calibri"/>
                <w:b/>
                <w:sz w:val="18"/>
                <w:szCs w:val="18"/>
                <w:lang w:val="ro-MD"/>
              </w:rPr>
              <w:t>, lei</w:t>
            </w:r>
          </w:p>
        </w:tc>
        <w:tc>
          <w:tcPr>
            <w:tcW w:w="1609" w:type="dxa"/>
            <w:shd w:val="clear" w:color="auto" w:fill="auto"/>
            <w:vAlign w:val="bottom"/>
            <w:hideMark/>
          </w:tcPr>
          <w:p w14:paraId="3BD1212B" w14:textId="17735C33" w:rsidR="00DF31F3" w:rsidRPr="009772A3" w:rsidRDefault="00DF31F3" w:rsidP="00BC19DB">
            <w:pPr>
              <w:spacing w:after="0" w:line="240" w:lineRule="auto"/>
              <w:jc w:val="center"/>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Diferenț</w:t>
            </w:r>
            <w:r w:rsidR="00BC0EAC" w:rsidRPr="009772A3">
              <w:rPr>
                <w:rFonts w:asciiTheme="majorHAnsi" w:eastAsia="Times New Roman" w:hAnsiTheme="majorHAnsi" w:cs="Calibri"/>
                <w:b/>
                <w:sz w:val="18"/>
                <w:szCs w:val="18"/>
                <w:lang w:val="ro-MD"/>
              </w:rPr>
              <w:t>a, lei</w:t>
            </w:r>
          </w:p>
        </w:tc>
      </w:tr>
      <w:tr w:rsidR="00DF31F3" w:rsidRPr="009772A3" w14:paraId="198428C7" w14:textId="77777777" w:rsidTr="00A01729">
        <w:trPr>
          <w:trHeight w:val="20"/>
        </w:trPr>
        <w:tc>
          <w:tcPr>
            <w:tcW w:w="850" w:type="dxa"/>
            <w:shd w:val="clear" w:color="auto" w:fill="auto"/>
            <w:noWrap/>
            <w:vAlign w:val="bottom"/>
            <w:hideMark/>
          </w:tcPr>
          <w:p w14:paraId="15C25D43" w14:textId="755608B8" w:rsidR="00DF31F3" w:rsidRPr="009772A3" w:rsidRDefault="00DF31F3" w:rsidP="00AB7269">
            <w:pPr>
              <w:spacing w:after="0" w:line="240" w:lineRule="auto"/>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2017</w:t>
            </w:r>
          </w:p>
        </w:tc>
        <w:tc>
          <w:tcPr>
            <w:tcW w:w="1701" w:type="dxa"/>
            <w:shd w:val="clear" w:color="auto" w:fill="auto"/>
            <w:noWrap/>
            <w:vAlign w:val="bottom"/>
            <w:hideMark/>
          </w:tcPr>
          <w:p w14:paraId="5C809367"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938.426,58</w:t>
            </w:r>
          </w:p>
        </w:tc>
        <w:tc>
          <w:tcPr>
            <w:tcW w:w="2268" w:type="dxa"/>
            <w:shd w:val="clear" w:color="auto" w:fill="auto"/>
            <w:noWrap/>
            <w:vAlign w:val="bottom"/>
            <w:hideMark/>
          </w:tcPr>
          <w:p w14:paraId="4BA3BBDF"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1.046.405.665,81</w:t>
            </w:r>
          </w:p>
        </w:tc>
        <w:tc>
          <w:tcPr>
            <w:tcW w:w="2268" w:type="dxa"/>
            <w:shd w:val="clear" w:color="auto" w:fill="auto"/>
            <w:noWrap/>
            <w:vAlign w:val="bottom"/>
            <w:hideMark/>
          </w:tcPr>
          <w:p w14:paraId="225AC7C0"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1.018.781.722,47</w:t>
            </w:r>
          </w:p>
        </w:tc>
        <w:tc>
          <w:tcPr>
            <w:tcW w:w="1609" w:type="dxa"/>
            <w:shd w:val="clear" w:color="auto" w:fill="auto"/>
            <w:noWrap/>
            <w:vAlign w:val="bottom"/>
            <w:hideMark/>
          </w:tcPr>
          <w:p w14:paraId="0FADCC52"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-27.623.943,34</w:t>
            </w:r>
          </w:p>
        </w:tc>
      </w:tr>
      <w:tr w:rsidR="00DF31F3" w:rsidRPr="009772A3" w14:paraId="0AB1FAE6" w14:textId="77777777" w:rsidTr="00A01729">
        <w:trPr>
          <w:trHeight w:val="20"/>
        </w:trPr>
        <w:tc>
          <w:tcPr>
            <w:tcW w:w="850" w:type="dxa"/>
            <w:shd w:val="clear" w:color="auto" w:fill="auto"/>
            <w:noWrap/>
            <w:vAlign w:val="bottom"/>
          </w:tcPr>
          <w:p w14:paraId="29332192" w14:textId="1F37D714" w:rsidR="00DF31F3" w:rsidRPr="009772A3" w:rsidRDefault="00DF31F3" w:rsidP="00AB7269">
            <w:pPr>
              <w:spacing w:after="0" w:line="240" w:lineRule="auto"/>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2018</w:t>
            </w:r>
          </w:p>
        </w:tc>
        <w:tc>
          <w:tcPr>
            <w:tcW w:w="1701" w:type="dxa"/>
            <w:shd w:val="clear" w:color="auto" w:fill="auto"/>
            <w:noWrap/>
            <w:vAlign w:val="bottom"/>
            <w:hideMark/>
          </w:tcPr>
          <w:p w14:paraId="299BB69B"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1.036.804,10</w:t>
            </w:r>
          </w:p>
        </w:tc>
        <w:tc>
          <w:tcPr>
            <w:tcW w:w="2268" w:type="dxa"/>
            <w:shd w:val="clear" w:color="auto" w:fill="auto"/>
            <w:noWrap/>
            <w:vAlign w:val="bottom"/>
            <w:hideMark/>
          </w:tcPr>
          <w:p w14:paraId="55B9269C"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1.207.725.572,11</w:t>
            </w:r>
          </w:p>
        </w:tc>
        <w:tc>
          <w:tcPr>
            <w:tcW w:w="2268" w:type="dxa"/>
            <w:shd w:val="clear" w:color="auto" w:fill="auto"/>
            <w:noWrap/>
            <w:vAlign w:val="bottom"/>
            <w:hideMark/>
          </w:tcPr>
          <w:p w14:paraId="3041478D"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1.208.431.715,47</w:t>
            </w:r>
          </w:p>
        </w:tc>
        <w:tc>
          <w:tcPr>
            <w:tcW w:w="1609" w:type="dxa"/>
            <w:shd w:val="clear" w:color="auto" w:fill="auto"/>
            <w:noWrap/>
            <w:vAlign w:val="bottom"/>
            <w:hideMark/>
          </w:tcPr>
          <w:p w14:paraId="5362A71E"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706.143,36</w:t>
            </w:r>
          </w:p>
        </w:tc>
      </w:tr>
      <w:tr w:rsidR="00DF31F3" w:rsidRPr="009772A3" w14:paraId="06B5735C" w14:textId="77777777" w:rsidTr="00A01729">
        <w:trPr>
          <w:trHeight w:val="20"/>
        </w:trPr>
        <w:tc>
          <w:tcPr>
            <w:tcW w:w="850" w:type="dxa"/>
            <w:shd w:val="clear" w:color="auto" w:fill="auto"/>
            <w:noWrap/>
            <w:vAlign w:val="bottom"/>
          </w:tcPr>
          <w:p w14:paraId="3426CEA8" w14:textId="3D39E9DC" w:rsidR="00DF31F3" w:rsidRPr="009772A3" w:rsidRDefault="00DF31F3" w:rsidP="00AB7269">
            <w:pPr>
              <w:spacing w:after="0" w:line="240" w:lineRule="auto"/>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2019</w:t>
            </w:r>
          </w:p>
        </w:tc>
        <w:tc>
          <w:tcPr>
            <w:tcW w:w="1701" w:type="dxa"/>
            <w:shd w:val="clear" w:color="auto" w:fill="auto"/>
            <w:noWrap/>
            <w:vAlign w:val="bottom"/>
            <w:hideMark/>
          </w:tcPr>
          <w:p w14:paraId="4FD2E1D1"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978.272,72</w:t>
            </w:r>
          </w:p>
        </w:tc>
        <w:tc>
          <w:tcPr>
            <w:tcW w:w="2268" w:type="dxa"/>
            <w:shd w:val="clear" w:color="auto" w:fill="auto"/>
            <w:noWrap/>
            <w:vAlign w:val="bottom"/>
            <w:hideMark/>
          </w:tcPr>
          <w:p w14:paraId="682DE025"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1.219.387.209,26</w:t>
            </w:r>
          </w:p>
        </w:tc>
        <w:tc>
          <w:tcPr>
            <w:tcW w:w="2268" w:type="dxa"/>
            <w:shd w:val="clear" w:color="auto" w:fill="auto"/>
            <w:noWrap/>
            <w:vAlign w:val="bottom"/>
            <w:hideMark/>
          </w:tcPr>
          <w:p w14:paraId="7B537156"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1.179.759.860,81</w:t>
            </w:r>
          </w:p>
        </w:tc>
        <w:tc>
          <w:tcPr>
            <w:tcW w:w="1609" w:type="dxa"/>
            <w:shd w:val="clear" w:color="auto" w:fill="auto"/>
            <w:noWrap/>
            <w:vAlign w:val="bottom"/>
            <w:hideMark/>
          </w:tcPr>
          <w:p w14:paraId="4B2FE01C"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-39.627.348,45</w:t>
            </w:r>
          </w:p>
        </w:tc>
      </w:tr>
      <w:tr w:rsidR="00DF31F3" w:rsidRPr="009772A3" w14:paraId="72F13F85" w14:textId="77777777" w:rsidTr="00A01729">
        <w:trPr>
          <w:trHeight w:val="20"/>
        </w:trPr>
        <w:tc>
          <w:tcPr>
            <w:tcW w:w="850" w:type="dxa"/>
            <w:shd w:val="clear" w:color="auto" w:fill="auto"/>
            <w:noWrap/>
            <w:vAlign w:val="bottom"/>
          </w:tcPr>
          <w:p w14:paraId="6FF6FCB2" w14:textId="762E9060" w:rsidR="00DF31F3" w:rsidRPr="009772A3" w:rsidRDefault="00DF31F3" w:rsidP="00AB7269">
            <w:pPr>
              <w:spacing w:after="0" w:line="240" w:lineRule="auto"/>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2020</w:t>
            </w:r>
          </w:p>
        </w:tc>
        <w:tc>
          <w:tcPr>
            <w:tcW w:w="1701" w:type="dxa"/>
            <w:shd w:val="clear" w:color="auto" w:fill="auto"/>
            <w:noWrap/>
            <w:vAlign w:val="bottom"/>
            <w:hideMark/>
          </w:tcPr>
          <w:p w14:paraId="71491AE4"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949.821,60</w:t>
            </w:r>
          </w:p>
        </w:tc>
        <w:tc>
          <w:tcPr>
            <w:tcW w:w="2268" w:type="dxa"/>
            <w:shd w:val="clear" w:color="auto" w:fill="auto"/>
            <w:noWrap/>
            <w:vAlign w:val="bottom"/>
            <w:hideMark/>
          </w:tcPr>
          <w:p w14:paraId="1C99A221"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1.246.646.770,88</w:t>
            </w:r>
          </w:p>
        </w:tc>
        <w:tc>
          <w:tcPr>
            <w:tcW w:w="2268" w:type="dxa"/>
            <w:shd w:val="clear" w:color="auto" w:fill="auto"/>
            <w:noWrap/>
            <w:vAlign w:val="bottom"/>
            <w:hideMark/>
          </w:tcPr>
          <w:p w14:paraId="4F0EC097"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1.195.860.316,50</w:t>
            </w:r>
          </w:p>
        </w:tc>
        <w:tc>
          <w:tcPr>
            <w:tcW w:w="1609" w:type="dxa"/>
            <w:shd w:val="clear" w:color="auto" w:fill="auto"/>
            <w:noWrap/>
            <w:vAlign w:val="bottom"/>
            <w:hideMark/>
          </w:tcPr>
          <w:p w14:paraId="03FF4470"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-50.786.454,38</w:t>
            </w:r>
          </w:p>
        </w:tc>
      </w:tr>
      <w:tr w:rsidR="00DF31F3" w:rsidRPr="009772A3" w14:paraId="14E1DC23" w14:textId="77777777" w:rsidTr="00A01729">
        <w:trPr>
          <w:trHeight w:val="20"/>
        </w:trPr>
        <w:tc>
          <w:tcPr>
            <w:tcW w:w="850" w:type="dxa"/>
            <w:shd w:val="clear" w:color="auto" w:fill="auto"/>
            <w:noWrap/>
            <w:vAlign w:val="bottom"/>
            <w:hideMark/>
          </w:tcPr>
          <w:p w14:paraId="0CA445F8" w14:textId="503E05A8" w:rsidR="00DF31F3" w:rsidRPr="009772A3" w:rsidRDefault="00DF31F3" w:rsidP="00AB7269">
            <w:pPr>
              <w:spacing w:after="0" w:line="240" w:lineRule="auto"/>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2021</w:t>
            </w:r>
          </w:p>
        </w:tc>
        <w:tc>
          <w:tcPr>
            <w:tcW w:w="1701" w:type="dxa"/>
            <w:shd w:val="clear" w:color="auto" w:fill="auto"/>
            <w:noWrap/>
            <w:vAlign w:val="bottom"/>
            <w:hideMark/>
          </w:tcPr>
          <w:p w14:paraId="151CE030"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1.092.901,29</w:t>
            </w:r>
          </w:p>
        </w:tc>
        <w:tc>
          <w:tcPr>
            <w:tcW w:w="2268" w:type="dxa"/>
            <w:shd w:val="clear" w:color="auto" w:fill="auto"/>
            <w:noWrap/>
            <w:vAlign w:val="bottom"/>
            <w:hideMark/>
          </w:tcPr>
          <w:p w14:paraId="0FD1418B"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1.297.676.017,42</w:t>
            </w:r>
          </w:p>
        </w:tc>
        <w:tc>
          <w:tcPr>
            <w:tcW w:w="2268" w:type="dxa"/>
            <w:shd w:val="clear" w:color="auto" w:fill="auto"/>
            <w:noWrap/>
            <w:vAlign w:val="bottom"/>
            <w:hideMark/>
          </w:tcPr>
          <w:p w14:paraId="5B39CD85"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1.436.697.156,14</w:t>
            </w:r>
          </w:p>
        </w:tc>
        <w:tc>
          <w:tcPr>
            <w:tcW w:w="1609" w:type="dxa"/>
            <w:shd w:val="clear" w:color="auto" w:fill="auto"/>
            <w:noWrap/>
            <w:vAlign w:val="bottom"/>
            <w:hideMark/>
          </w:tcPr>
          <w:p w14:paraId="538E4B0C"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139.021.138,72</w:t>
            </w:r>
          </w:p>
        </w:tc>
      </w:tr>
      <w:tr w:rsidR="00DF31F3" w:rsidRPr="009772A3" w14:paraId="6CD9AF8B" w14:textId="77777777" w:rsidTr="00A01729">
        <w:trPr>
          <w:trHeight w:val="20"/>
        </w:trPr>
        <w:tc>
          <w:tcPr>
            <w:tcW w:w="850" w:type="dxa"/>
            <w:shd w:val="clear" w:color="auto" w:fill="auto"/>
            <w:noWrap/>
            <w:vAlign w:val="bottom"/>
            <w:hideMark/>
          </w:tcPr>
          <w:p w14:paraId="37C6D6D9" w14:textId="77777777" w:rsidR="00DF31F3" w:rsidRPr="009772A3" w:rsidRDefault="00DF31F3" w:rsidP="00AB7269">
            <w:pPr>
              <w:spacing w:after="0" w:line="240" w:lineRule="auto"/>
              <w:rPr>
                <w:rFonts w:asciiTheme="majorHAnsi" w:eastAsia="Times New Roman" w:hAnsiTheme="majorHAnsi" w:cs="Calibri"/>
                <w:b/>
                <w:sz w:val="18"/>
                <w:szCs w:val="18"/>
                <w:lang w:val="ro-MD"/>
              </w:rPr>
            </w:pPr>
            <w:r w:rsidRPr="009772A3">
              <w:rPr>
                <w:rFonts w:asciiTheme="majorHAnsi" w:eastAsia="Times New Roman" w:hAnsiTheme="majorHAnsi" w:cs="Calibri"/>
                <w:b/>
                <w:sz w:val="18"/>
                <w:szCs w:val="18"/>
                <w:lang w:val="ro-MD"/>
              </w:rPr>
              <w:t>În total</w:t>
            </w:r>
          </w:p>
        </w:tc>
        <w:tc>
          <w:tcPr>
            <w:tcW w:w="1701" w:type="dxa"/>
            <w:shd w:val="clear" w:color="auto" w:fill="auto"/>
            <w:noWrap/>
            <w:vAlign w:val="bottom"/>
            <w:hideMark/>
          </w:tcPr>
          <w:p w14:paraId="622D1C25"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4.996.226,29</w:t>
            </w:r>
          </w:p>
        </w:tc>
        <w:tc>
          <w:tcPr>
            <w:tcW w:w="2268" w:type="dxa"/>
            <w:shd w:val="clear" w:color="auto" w:fill="auto"/>
            <w:noWrap/>
            <w:vAlign w:val="bottom"/>
            <w:hideMark/>
          </w:tcPr>
          <w:p w14:paraId="779DA50F"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6.017.841.235,48</w:t>
            </w:r>
          </w:p>
        </w:tc>
        <w:tc>
          <w:tcPr>
            <w:tcW w:w="2268" w:type="dxa"/>
            <w:shd w:val="clear" w:color="auto" w:fill="auto"/>
            <w:noWrap/>
            <w:vAlign w:val="bottom"/>
            <w:hideMark/>
          </w:tcPr>
          <w:p w14:paraId="1A22F9B1"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6.039.530.771,40</w:t>
            </w:r>
          </w:p>
        </w:tc>
        <w:tc>
          <w:tcPr>
            <w:tcW w:w="1609" w:type="dxa"/>
            <w:shd w:val="clear" w:color="auto" w:fill="auto"/>
            <w:noWrap/>
            <w:vAlign w:val="bottom"/>
            <w:hideMark/>
          </w:tcPr>
          <w:p w14:paraId="4AD1C75A" w14:textId="77777777" w:rsidR="00DF31F3" w:rsidRPr="009772A3" w:rsidRDefault="00DF31F3" w:rsidP="00AB7269">
            <w:pPr>
              <w:spacing w:after="0" w:line="240" w:lineRule="auto"/>
              <w:jc w:val="right"/>
              <w:rPr>
                <w:rFonts w:asciiTheme="majorHAnsi" w:eastAsia="Times New Roman" w:hAnsiTheme="majorHAnsi" w:cs="Calibri"/>
                <w:sz w:val="18"/>
                <w:szCs w:val="18"/>
                <w:lang w:val="ro-MD"/>
              </w:rPr>
            </w:pPr>
            <w:r w:rsidRPr="009772A3">
              <w:rPr>
                <w:rFonts w:asciiTheme="majorHAnsi" w:eastAsia="Times New Roman" w:hAnsiTheme="majorHAnsi" w:cs="Calibri"/>
                <w:sz w:val="18"/>
                <w:szCs w:val="18"/>
                <w:lang w:val="ro-MD"/>
              </w:rPr>
              <w:t>21.689.535,92</w:t>
            </w:r>
          </w:p>
        </w:tc>
      </w:tr>
    </w:tbl>
    <w:p w14:paraId="216551DC" w14:textId="77777777" w:rsidR="00716271" w:rsidRPr="009772A3" w:rsidRDefault="00716271" w:rsidP="00A01729">
      <w:pPr>
        <w:spacing w:after="0" w:line="276" w:lineRule="auto"/>
        <w:jc w:val="both"/>
        <w:rPr>
          <w:rFonts w:asciiTheme="majorHAnsi" w:hAnsiTheme="majorHAnsi" w:cstheme="majorHAnsi"/>
          <w:sz w:val="24"/>
          <w:szCs w:val="24"/>
          <w:lang w:val="ro-MD"/>
        </w:rPr>
      </w:pPr>
    </w:p>
    <w:p w14:paraId="02FC0B49" w14:textId="1668CAFA" w:rsidR="00716271" w:rsidRPr="009772A3" w:rsidRDefault="00716271" w:rsidP="00A01729">
      <w:pPr>
        <w:pStyle w:val="ListParagraph"/>
        <w:numPr>
          <w:ilvl w:val="1"/>
          <w:numId w:val="23"/>
        </w:numPr>
        <w:spacing w:after="0" w:line="276" w:lineRule="auto"/>
        <w:ind w:left="0" w:firstLine="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asemenea</w:t>
      </w:r>
      <w:r w:rsidR="00024FEE" w:rsidRPr="009772A3">
        <w:rPr>
          <w:rFonts w:asciiTheme="majorHAnsi" w:hAnsiTheme="majorHAnsi" w:cstheme="majorHAnsi"/>
          <w:sz w:val="24"/>
          <w:szCs w:val="24"/>
          <w:lang w:val="ro-MD"/>
        </w:rPr>
        <w:t>,</w:t>
      </w:r>
      <w:r w:rsidRPr="009772A3">
        <w:rPr>
          <w:rFonts w:asciiTheme="majorHAnsi" w:eastAsia="Times New Roman" w:hAnsiTheme="majorHAnsi" w:cstheme="majorHAnsi"/>
          <w:sz w:val="24"/>
          <w:szCs w:val="24"/>
          <w:lang w:val="ro-MD"/>
        </w:rPr>
        <w:t xml:space="preserve"> SA Moldovagaz a denaturat rezultatele sale financiare anuale prin reflectarea ajustării cheltuielilor aferente decontării gazelor naturale în cazul diferențelor negative de devieri tarifare la prețul gazelor naturale incluse în calculul tarifelor de furnizare a gazului.</w:t>
      </w:r>
    </w:p>
    <w:p w14:paraId="0F228BF6" w14:textId="40784575" w:rsidR="00CE2BE6" w:rsidRPr="009772A3" w:rsidRDefault="00CE2BE6" w:rsidP="00A01729">
      <w:pPr>
        <w:spacing w:after="0"/>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La 08.05.2018 SA Moldovagaz s-a adresat către MF pentru acordarea asistenței metodologice necesare </w:t>
      </w:r>
      <w:r w:rsidR="00024FEE" w:rsidRPr="009772A3">
        <w:rPr>
          <w:rFonts w:asciiTheme="majorHAnsi" w:hAnsiTheme="majorHAnsi" w:cstheme="majorHAnsi"/>
          <w:sz w:val="24"/>
          <w:szCs w:val="24"/>
          <w:lang w:val="ro-MD"/>
        </w:rPr>
        <w:t>la</w:t>
      </w:r>
      <w:r w:rsidRPr="009772A3">
        <w:rPr>
          <w:rFonts w:asciiTheme="majorHAnsi" w:hAnsiTheme="majorHAnsi" w:cstheme="majorHAnsi"/>
          <w:sz w:val="24"/>
          <w:szCs w:val="24"/>
          <w:lang w:val="ro-MD"/>
        </w:rPr>
        <w:t xml:space="preserve"> definitivarea modului de contabilizare a devierilor tarifare (at</w:t>
      </w:r>
      <w:r w:rsidR="00024FEE"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 pozitive</w:t>
      </w:r>
      <w:r w:rsidR="00024FE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w:t>
      </w:r>
      <w:r w:rsidR="00024FEE"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t și negative)</w:t>
      </w:r>
      <w:r w:rsidR="00024FE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formate </w:t>
      </w:r>
      <w:r w:rsidR="00024FEE" w:rsidRPr="009772A3">
        <w:rPr>
          <w:rFonts w:asciiTheme="majorHAnsi" w:hAnsiTheme="majorHAnsi" w:cstheme="majorHAnsi"/>
          <w:sz w:val="24"/>
          <w:szCs w:val="24"/>
          <w:lang w:val="ro-MD"/>
        </w:rPr>
        <w:t xml:space="preserve">ca </w:t>
      </w:r>
      <w:r w:rsidRPr="009772A3">
        <w:rPr>
          <w:rFonts w:asciiTheme="majorHAnsi" w:hAnsiTheme="majorHAnsi" w:cstheme="majorHAnsi"/>
          <w:sz w:val="24"/>
          <w:szCs w:val="24"/>
          <w:lang w:val="ro-MD"/>
        </w:rPr>
        <w:t xml:space="preserve">urmare a reglementării prețurilor de furnizare a gazelor naturale conform metodologiei ANRE. </w:t>
      </w:r>
      <w:r w:rsidR="00024FEE" w:rsidRPr="009772A3">
        <w:rPr>
          <w:rFonts w:asciiTheme="majorHAnsi" w:hAnsiTheme="majorHAnsi" w:cstheme="majorHAnsi"/>
          <w:sz w:val="24"/>
          <w:szCs w:val="24"/>
          <w:lang w:val="ro-MD"/>
        </w:rPr>
        <w:t>În</w:t>
      </w:r>
      <w:r w:rsidRPr="009772A3">
        <w:rPr>
          <w:rFonts w:asciiTheme="majorHAnsi" w:hAnsiTheme="majorHAnsi" w:cstheme="majorHAnsi"/>
          <w:sz w:val="24"/>
          <w:szCs w:val="24"/>
          <w:lang w:val="ro-MD"/>
        </w:rPr>
        <w:t xml:space="preserve"> </w:t>
      </w:r>
      <w:r w:rsidR="00024FEE" w:rsidRPr="009772A3">
        <w:rPr>
          <w:rFonts w:asciiTheme="majorHAnsi" w:hAnsiTheme="majorHAnsi" w:cstheme="majorHAnsi"/>
          <w:sz w:val="24"/>
          <w:szCs w:val="24"/>
          <w:lang w:val="ro-MD"/>
        </w:rPr>
        <w:t>scrisoarea</w:t>
      </w:r>
      <w:r w:rsidRPr="009772A3">
        <w:rPr>
          <w:rFonts w:asciiTheme="majorHAnsi" w:hAnsiTheme="majorHAnsi" w:cstheme="majorHAnsi"/>
          <w:sz w:val="24"/>
          <w:szCs w:val="24"/>
          <w:lang w:val="ro-MD"/>
        </w:rPr>
        <w:t xml:space="preserve"> nr.09/2-06/195 din 29.05.2018, MF a indicat că „în scopuri fiscale persoanele juridice vor determina venitul impozabil prin aplicarea contabilității de angajamente”, precum și că „entitatea va stabili de sine stătător modul de contabilizare a diferențelor obținute ca urmare a aplicării tarifului reglementat în politicile contabile a acesteia”.</w:t>
      </w:r>
    </w:p>
    <w:p w14:paraId="3038975D" w14:textId="34352C39" w:rsidR="00BF4AA3" w:rsidRPr="009772A3" w:rsidRDefault="00CE2BE6" w:rsidP="00A01729">
      <w:pPr>
        <w:spacing w:after="0"/>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 urmare, SA Moldovagaz a aprobat propriile regulamente de reflectare a de</w:t>
      </w:r>
      <w:r w:rsidR="00F81436" w:rsidRPr="009772A3">
        <w:rPr>
          <w:rFonts w:asciiTheme="majorHAnsi" w:hAnsiTheme="majorHAnsi" w:cstheme="majorHAnsi"/>
          <w:sz w:val="24"/>
          <w:szCs w:val="24"/>
          <w:lang w:val="ro-MD"/>
        </w:rPr>
        <w:t>vierilor</w:t>
      </w:r>
      <w:r w:rsidRPr="009772A3">
        <w:rPr>
          <w:rFonts w:asciiTheme="majorHAnsi" w:hAnsiTheme="majorHAnsi" w:cstheme="majorHAnsi"/>
          <w:sz w:val="24"/>
          <w:szCs w:val="24"/>
          <w:lang w:val="ro-MD"/>
        </w:rPr>
        <w:t xml:space="preserve"> tarifare</w:t>
      </w:r>
      <w:r w:rsidR="003420C2" w:rsidRPr="009772A3">
        <w:rPr>
          <w:rFonts w:asciiTheme="majorHAnsi" w:hAnsiTheme="majorHAnsi" w:cstheme="majorHAnsi"/>
          <w:sz w:val="24"/>
          <w:szCs w:val="24"/>
          <w:lang w:val="ro-MD"/>
        </w:rPr>
        <w:t>, inclusiv</w:t>
      </w:r>
      <w:r w:rsidR="00855851" w:rsidRPr="009772A3">
        <w:rPr>
          <w:rFonts w:asciiTheme="majorHAnsi" w:hAnsiTheme="majorHAnsi" w:cstheme="majorHAnsi"/>
          <w:sz w:val="24"/>
          <w:szCs w:val="24"/>
          <w:lang w:val="ro-MD"/>
        </w:rPr>
        <w:t xml:space="preserve"> </w:t>
      </w:r>
      <w:r w:rsidR="00024FEE" w:rsidRPr="009772A3">
        <w:rPr>
          <w:rFonts w:asciiTheme="majorHAnsi" w:hAnsiTheme="majorHAnsi" w:cstheme="majorHAnsi"/>
          <w:sz w:val="24"/>
          <w:szCs w:val="24"/>
          <w:lang w:val="ro-MD"/>
        </w:rPr>
        <w:t xml:space="preserve">a celor </w:t>
      </w:r>
      <w:r w:rsidR="00855851" w:rsidRPr="009772A3">
        <w:rPr>
          <w:rFonts w:asciiTheme="majorHAnsi" w:hAnsiTheme="majorHAnsi" w:cstheme="majorHAnsi"/>
          <w:sz w:val="24"/>
          <w:szCs w:val="24"/>
          <w:lang w:val="ro-MD"/>
        </w:rPr>
        <w:t>negative</w:t>
      </w:r>
      <w:r w:rsidRPr="009772A3">
        <w:rPr>
          <w:rFonts w:asciiTheme="majorHAnsi" w:hAnsiTheme="majorHAnsi" w:cstheme="majorHAnsi"/>
          <w:sz w:val="24"/>
          <w:szCs w:val="24"/>
          <w:lang w:val="ro-MD"/>
        </w:rPr>
        <w:t>. Astfel, în baza acestor prevederi, SA Moldovagaz</w:t>
      </w:r>
      <w:r w:rsidR="00024FE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F81436" w:rsidRPr="009772A3">
        <w:rPr>
          <w:rFonts w:asciiTheme="majorHAnsi" w:hAnsiTheme="majorHAnsi" w:cstheme="majorHAnsi"/>
          <w:sz w:val="24"/>
          <w:szCs w:val="24"/>
          <w:lang w:val="ro-MD"/>
        </w:rPr>
        <w:t>pentru devierile tarifare po</w:t>
      </w:r>
      <w:r w:rsidR="00024FEE" w:rsidRPr="009772A3">
        <w:rPr>
          <w:rFonts w:asciiTheme="majorHAnsi" w:hAnsiTheme="majorHAnsi" w:cstheme="majorHAnsi"/>
          <w:sz w:val="24"/>
          <w:szCs w:val="24"/>
          <w:lang w:val="ro-MD"/>
        </w:rPr>
        <w:t>z</w:t>
      </w:r>
      <w:r w:rsidR="00F81436" w:rsidRPr="009772A3">
        <w:rPr>
          <w:rFonts w:asciiTheme="majorHAnsi" w:hAnsiTheme="majorHAnsi" w:cstheme="majorHAnsi"/>
          <w:sz w:val="24"/>
          <w:szCs w:val="24"/>
          <w:lang w:val="ro-MD"/>
        </w:rPr>
        <w:t>itive</w:t>
      </w:r>
      <w:r w:rsidR="00024FEE" w:rsidRPr="009772A3">
        <w:rPr>
          <w:rFonts w:asciiTheme="majorHAnsi" w:hAnsiTheme="majorHAnsi" w:cstheme="majorHAnsi"/>
          <w:sz w:val="24"/>
          <w:szCs w:val="24"/>
          <w:lang w:val="ro-MD"/>
        </w:rPr>
        <w:t>,</w:t>
      </w:r>
      <w:r w:rsidR="00F8143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a </w:t>
      </w:r>
      <w:r w:rsidR="003420C2" w:rsidRPr="009772A3">
        <w:rPr>
          <w:rFonts w:asciiTheme="majorHAnsi" w:hAnsiTheme="majorHAnsi" w:cstheme="majorHAnsi"/>
          <w:sz w:val="24"/>
          <w:szCs w:val="24"/>
          <w:lang w:val="ro-MD"/>
        </w:rPr>
        <w:t>format în an</w:t>
      </w:r>
      <w:r w:rsidR="00024FEE" w:rsidRPr="009772A3">
        <w:rPr>
          <w:rFonts w:asciiTheme="majorHAnsi" w:hAnsiTheme="majorHAnsi" w:cstheme="majorHAnsi"/>
          <w:sz w:val="24"/>
          <w:szCs w:val="24"/>
          <w:lang w:val="ro-MD"/>
        </w:rPr>
        <w:t>ii</w:t>
      </w:r>
      <w:r w:rsidR="003420C2" w:rsidRPr="009772A3">
        <w:rPr>
          <w:rFonts w:asciiTheme="majorHAnsi" w:hAnsiTheme="majorHAnsi" w:cstheme="majorHAnsi"/>
          <w:sz w:val="24"/>
          <w:szCs w:val="24"/>
          <w:lang w:val="ro-MD"/>
        </w:rPr>
        <w:t xml:space="preserve"> 2017 </w:t>
      </w:r>
      <w:r w:rsidR="00F81436" w:rsidRPr="009772A3">
        <w:rPr>
          <w:rFonts w:asciiTheme="majorHAnsi" w:hAnsiTheme="majorHAnsi" w:cstheme="majorHAnsi"/>
          <w:sz w:val="24"/>
          <w:szCs w:val="24"/>
          <w:lang w:val="ro-MD"/>
        </w:rPr>
        <w:t xml:space="preserve">și 2020 </w:t>
      </w:r>
      <w:r w:rsidR="003420C2" w:rsidRPr="009772A3">
        <w:rPr>
          <w:rFonts w:asciiTheme="majorHAnsi" w:hAnsiTheme="majorHAnsi" w:cstheme="majorHAnsi"/>
          <w:sz w:val="24"/>
          <w:szCs w:val="24"/>
          <w:lang w:val="ro-MD"/>
        </w:rPr>
        <w:t>un provision de 1</w:t>
      </w:r>
      <w:r w:rsidR="00F81436" w:rsidRPr="009772A3">
        <w:rPr>
          <w:rFonts w:asciiTheme="majorHAnsi" w:hAnsiTheme="majorHAnsi" w:cstheme="majorHAnsi"/>
          <w:sz w:val="24"/>
          <w:szCs w:val="24"/>
          <w:lang w:val="ro-MD"/>
        </w:rPr>
        <w:t>.</w:t>
      </w:r>
      <w:r w:rsidR="003420C2" w:rsidRPr="009772A3">
        <w:rPr>
          <w:rFonts w:asciiTheme="majorHAnsi" w:hAnsiTheme="majorHAnsi" w:cstheme="majorHAnsi"/>
          <w:sz w:val="24"/>
          <w:szCs w:val="24"/>
          <w:lang w:val="ro-MD"/>
        </w:rPr>
        <w:t>229</w:t>
      </w:r>
      <w:r w:rsidR="00F81436" w:rsidRPr="009772A3">
        <w:rPr>
          <w:rFonts w:asciiTheme="majorHAnsi" w:hAnsiTheme="majorHAnsi" w:cstheme="majorHAnsi"/>
          <w:sz w:val="24"/>
          <w:szCs w:val="24"/>
          <w:lang w:val="ro-MD"/>
        </w:rPr>
        <w:t>.</w:t>
      </w:r>
      <w:r w:rsidR="003420C2" w:rsidRPr="009772A3">
        <w:rPr>
          <w:rFonts w:asciiTheme="majorHAnsi" w:hAnsiTheme="majorHAnsi" w:cstheme="majorHAnsi"/>
          <w:sz w:val="24"/>
          <w:szCs w:val="24"/>
          <w:lang w:val="ro-MD"/>
        </w:rPr>
        <w:t>002,2 mii lei</w:t>
      </w:r>
      <w:r w:rsidR="00F81436" w:rsidRPr="009772A3">
        <w:rPr>
          <w:rFonts w:asciiTheme="majorHAnsi" w:hAnsiTheme="majorHAnsi" w:cstheme="majorHAnsi"/>
          <w:sz w:val="24"/>
          <w:szCs w:val="24"/>
          <w:lang w:val="ro-MD"/>
        </w:rPr>
        <w:t xml:space="preserve"> și</w:t>
      </w:r>
      <w:r w:rsidR="00024FEE" w:rsidRPr="009772A3">
        <w:rPr>
          <w:rFonts w:asciiTheme="majorHAnsi" w:hAnsiTheme="majorHAnsi" w:cstheme="majorHAnsi"/>
          <w:sz w:val="24"/>
          <w:szCs w:val="24"/>
          <w:lang w:val="ro-MD"/>
        </w:rPr>
        <w:t>,</w:t>
      </w:r>
      <w:r w:rsidR="00F81436" w:rsidRPr="009772A3">
        <w:rPr>
          <w:rFonts w:asciiTheme="majorHAnsi" w:hAnsiTheme="majorHAnsi" w:cstheme="majorHAnsi"/>
          <w:sz w:val="24"/>
          <w:szCs w:val="24"/>
          <w:lang w:val="ro-MD"/>
        </w:rPr>
        <w:t xml:space="preserve"> respectiv</w:t>
      </w:r>
      <w:r w:rsidR="00024FEE" w:rsidRPr="009772A3">
        <w:rPr>
          <w:rFonts w:asciiTheme="majorHAnsi" w:hAnsiTheme="majorHAnsi" w:cstheme="majorHAnsi"/>
          <w:sz w:val="24"/>
          <w:szCs w:val="24"/>
          <w:lang w:val="ro-MD"/>
        </w:rPr>
        <w:t>,</w:t>
      </w:r>
      <w:r w:rsidR="00F81436" w:rsidRPr="009772A3">
        <w:rPr>
          <w:rFonts w:asciiTheme="majorHAnsi" w:hAnsiTheme="majorHAnsi" w:cstheme="majorHAnsi"/>
          <w:sz w:val="24"/>
          <w:szCs w:val="24"/>
          <w:lang w:val="ro-MD"/>
        </w:rPr>
        <w:t xml:space="preserve"> de 130.625,2 mii lei</w:t>
      </w:r>
      <w:r w:rsidR="003420C2" w:rsidRPr="009772A3">
        <w:rPr>
          <w:rFonts w:asciiTheme="majorHAnsi" w:hAnsiTheme="majorHAnsi" w:cstheme="majorHAnsi"/>
          <w:sz w:val="24"/>
          <w:szCs w:val="24"/>
          <w:lang w:val="ro-MD"/>
        </w:rPr>
        <w:t xml:space="preserve">, precum și a </w:t>
      </w:r>
      <w:r w:rsidRPr="009772A3">
        <w:rPr>
          <w:rFonts w:asciiTheme="majorHAnsi" w:hAnsiTheme="majorHAnsi" w:cstheme="majorHAnsi"/>
          <w:sz w:val="24"/>
          <w:szCs w:val="24"/>
          <w:lang w:val="ro-MD"/>
        </w:rPr>
        <w:t xml:space="preserve">diminuat cheltuielile aferente gazelor naturale </w:t>
      </w:r>
      <w:r w:rsidR="00855851" w:rsidRPr="009772A3">
        <w:rPr>
          <w:rFonts w:asciiTheme="majorHAnsi" w:hAnsiTheme="majorHAnsi" w:cstheme="majorHAnsi"/>
          <w:sz w:val="24"/>
          <w:szCs w:val="24"/>
          <w:lang w:val="ro-MD"/>
        </w:rPr>
        <w:t>pentru</w:t>
      </w:r>
      <w:r w:rsidR="00F81436" w:rsidRPr="009772A3">
        <w:rPr>
          <w:rFonts w:asciiTheme="majorHAnsi" w:hAnsiTheme="majorHAnsi" w:cstheme="majorHAnsi"/>
          <w:sz w:val="24"/>
          <w:szCs w:val="24"/>
          <w:lang w:val="ro-MD"/>
        </w:rPr>
        <w:t xml:space="preserve"> devierile tarifare negative</w:t>
      </w:r>
      <w:r w:rsidR="00855851" w:rsidRPr="009772A3">
        <w:rPr>
          <w:rFonts w:asciiTheme="majorHAnsi" w:hAnsiTheme="majorHAnsi" w:cstheme="majorHAnsi"/>
          <w:sz w:val="24"/>
          <w:szCs w:val="24"/>
          <w:lang w:val="ro-MD"/>
        </w:rPr>
        <w:t xml:space="preserve"> </w:t>
      </w:r>
      <w:r w:rsidR="00024FEE" w:rsidRPr="009772A3">
        <w:rPr>
          <w:rFonts w:asciiTheme="majorHAnsi" w:hAnsiTheme="majorHAnsi" w:cstheme="majorHAnsi"/>
          <w:sz w:val="24"/>
          <w:szCs w:val="24"/>
          <w:lang w:val="ro-MD"/>
        </w:rPr>
        <w:t>din</w:t>
      </w:r>
      <w:r w:rsidR="00F81436" w:rsidRPr="009772A3">
        <w:rPr>
          <w:rFonts w:asciiTheme="majorHAnsi" w:hAnsiTheme="majorHAnsi" w:cstheme="majorHAnsi"/>
          <w:sz w:val="24"/>
          <w:szCs w:val="24"/>
          <w:lang w:val="ro-MD"/>
        </w:rPr>
        <w:t xml:space="preserve"> anii </w:t>
      </w:r>
      <w:r w:rsidRPr="009772A3">
        <w:rPr>
          <w:rFonts w:asciiTheme="majorHAnsi" w:hAnsiTheme="majorHAnsi" w:cstheme="majorHAnsi"/>
          <w:sz w:val="24"/>
          <w:szCs w:val="24"/>
          <w:lang w:val="ro-MD"/>
        </w:rPr>
        <w:t>2018</w:t>
      </w:r>
      <w:r w:rsidR="00F81436" w:rsidRPr="009772A3">
        <w:rPr>
          <w:rFonts w:asciiTheme="majorHAnsi" w:hAnsiTheme="majorHAnsi" w:cstheme="majorHAnsi"/>
          <w:sz w:val="24"/>
          <w:szCs w:val="24"/>
          <w:lang w:val="ro-MD"/>
        </w:rPr>
        <w:t xml:space="preserve">, 2019 și </w:t>
      </w:r>
      <w:r w:rsidR="00855851" w:rsidRPr="009772A3">
        <w:rPr>
          <w:rFonts w:asciiTheme="majorHAnsi" w:hAnsiTheme="majorHAnsi" w:cstheme="majorHAnsi"/>
          <w:sz w:val="24"/>
          <w:szCs w:val="24"/>
          <w:lang w:val="ro-MD"/>
        </w:rPr>
        <w:t>2021</w:t>
      </w:r>
      <w:r w:rsidRPr="009772A3">
        <w:rPr>
          <w:rFonts w:asciiTheme="majorHAnsi" w:hAnsiTheme="majorHAnsi" w:cstheme="majorHAnsi"/>
          <w:sz w:val="24"/>
          <w:szCs w:val="24"/>
          <w:lang w:val="ro-MD"/>
        </w:rPr>
        <w:t xml:space="preserve"> cu </w:t>
      </w:r>
      <w:r w:rsidR="00F81436" w:rsidRPr="009772A3">
        <w:rPr>
          <w:rFonts w:asciiTheme="majorHAnsi" w:hAnsiTheme="majorHAnsi" w:cstheme="majorHAnsi"/>
          <w:sz w:val="24"/>
          <w:szCs w:val="24"/>
          <w:lang w:val="ro-MD"/>
        </w:rPr>
        <w:t xml:space="preserve">suma totală de 3.827.893,5 </w:t>
      </w:r>
      <w:r w:rsidR="00855851" w:rsidRPr="009772A3">
        <w:rPr>
          <w:rFonts w:asciiTheme="majorHAnsi" w:hAnsiTheme="majorHAnsi" w:cstheme="majorHAnsi"/>
          <w:sz w:val="24"/>
          <w:szCs w:val="24"/>
          <w:lang w:val="ro-MD"/>
        </w:rPr>
        <w:t>mii lei</w:t>
      </w:r>
      <w:r w:rsidR="00855851" w:rsidRPr="009772A3">
        <w:rPr>
          <w:rStyle w:val="FootnoteReference"/>
          <w:rFonts w:asciiTheme="majorHAnsi" w:hAnsiTheme="majorHAnsi" w:cstheme="majorHAnsi"/>
          <w:sz w:val="24"/>
          <w:szCs w:val="24"/>
          <w:lang w:val="ro-MD"/>
        </w:rPr>
        <w:footnoteReference w:id="118"/>
      </w:r>
      <w:r w:rsidR="00F81436" w:rsidRPr="009772A3">
        <w:rPr>
          <w:rFonts w:asciiTheme="majorHAnsi" w:hAnsiTheme="majorHAnsi" w:cstheme="majorHAnsi"/>
          <w:sz w:val="24"/>
          <w:szCs w:val="24"/>
          <w:lang w:val="ro-MD"/>
        </w:rPr>
        <w:t xml:space="preserve">. </w:t>
      </w:r>
    </w:p>
    <w:p w14:paraId="4A9ADF05" w14:textId="2EFB2F10" w:rsidR="00F11F4C" w:rsidRPr="009772A3" w:rsidRDefault="00BF4AA3" w:rsidP="00F11F4C">
      <w:pPr>
        <w:spacing w:after="0"/>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perioada 2011-2021</w:t>
      </w:r>
      <w:r w:rsidR="00024FE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Moldovagaz a înregistrat devieri tarifare </w:t>
      </w:r>
      <w:r w:rsidR="00F11F4C" w:rsidRPr="009772A3">
        <w:rPr>
          <w:rFonts w:asciiTheme="majorHAnsi" w:hAnsiTheme="majorHAnsi" w:cstheme="majorHAnsi"/>
          <w:sz w:val="24"/>
          <w:szCs w:val="24"/>
          <w:lang w:val="ro-MD"/>
        </w:rPr>
        <w:t xml:space="preserve">negative </w:t>
      </w:r>
      <w:r w:rsidRPr="009772A3">
        <w:rPr>
          <w:rFonts w:asciiTheme="majorHAnsi" w:hAnsiTheme="majorHAnsi" w:cstheme="majorHAnsi"/>
          <w:sz w:val="24"/>
          <w:szCs w:val="24"/>
          <w:lang w:val="ro-MD"/>
        </w:rPr>
        <w:t xml:space="preserve">aferente prețului </w:t>
      </w:r>
      <w:r w:rsidR="00024FEE" w:rsidRPr="009772A3">
        <w:rPr>
          <w:rFonts w:asciiTheme="majorHAnsi" w:hAnsiTheme="majorHAnsi" w:cstheme="majorHAnsi"/>
          <w:sz w:val="24"/>
          <w:szCs w:val="24"/>
          <w:lang w:val="ro-MD"/>
        </w:rPr>
        <w:t xml:space="preserve">la </w:t>
      </w:r>
      <w:r w:rsidRPr="009772A3">
        <w:rPr>
          <w:rFonts w:asciiTheme="majorHAnsi" w:hAnsiTheme="majorHAnsi" w:cstheme="majorHAnsi"/>
          <w:sz w:val="24"/>
          <w:szCs w:val="24"/>
          <w:lang w:val="ro-MD"/>
        </w:rPr>
        <w:t xml:space="preserve">gaz în sumă de </w:t>
      </w:r>
      <w:r w:rsidR="00F11F4C" w:rsidRPr="009772A3">
        <w:rPr>
          <w:rFonts w:asciiTheme="majorHAnsi" w:hAnsiTheme="majorHAnsi" w:cstheme="majorHAnsi"/>
          <w:sz w:val="24"/>
          <w:szCs w:val="24"/>
          <w:lang w:val="ro-MD"/>
        </w:rPr>
        <w:t xml:space="preserve">1.876.796,4 </w:t>
      </w:r>
      <w:r w:rsidR="00D03E23" w:rsidRPr="009772A3">
        <w:rPr>
          <w:rFonts w:asciiTheme="majorHAnsi" w:hAnsiTheme="majorHAnsi" w:cstheme="majorHAnsi"/>
          <w:sz w:val="24"/>
          <w:szCs w:val="24"/>
          <w:lang w:val="ro-MD"/>
        </w:rPr>
        <w:t xml:space="preserve">mii lei și aferente diminuării tarifelor cu devierea pozitivă a valorii gazelor </w:t>
      </w:r>
      <w:r w:rsidR="00024FEE" w:rsidRPr="009772A3">
        <w:rPr>
          <w:rFonts w:asciiTheme="majorHAnsi" w:hAnsiTheme="majorHAnsi" w:cstheme="majorHAnsi"/>
          <w:sz w:val="24"/>
          <w:szCs w:val="24"/>
          <w:lang w:val="ro-MD"/>
        </w:rPr>
        <w:t xml:space="preserve">de </w:t>
      </w:r>
      <w:r w:rsidR="00D03E23" w:rsidRPr="009772A3">
        <w:rPr>
          <w:rFonts w:asciiTheme="majorHAnsi" w:hAnsiTheme="majorHAnsi" w:cstheme="majorHAnsi"/>
          <w:sz w:val="24"/>
          <w:szCs w:val="24"/>
          <w:lang w:val="ro-MD"/>
        </w:rPr>
        <w:t xml:space="preserve">774.911,9 mii lei. </w:t>
      </w:r>
      <w:r w:rsidR="00F81436" w:rsidRPr="009772A3">
        <w:rPr>
          <w:rFonts w:asciiTheme="majorHAnsi" w:hAnsiTheme="majorHAnsi" w:cstheme="majorHAnsi"/>
          <w:sz w:val="24"/>
          <w:szCs w:val="24"/>
          <w:lang w:val="ro-MD"/>
        </w:rPr>
        <w:t>De menționat că la 31.12.2021 SA Moldovagaz avea format un provizion negativ de</w:t>
      </w:r>
      <w:r w:rsidR="00855851" w:rsidRPr="009772A3">
        <w:rPr>
          <w:rFonts w:asciiTheme="majorHAnsi" w:hAnsiTheme="majorHAnsi" w:cstheme="majorHAnsi"/>
          <w:sz w:val="24"/>
          <w:szCs w:val="24"/>
          <w:lang w:val="ro-MD"/>
        </w:rPr>
        <w:t xml:space="preserve"> </w:t>
      </w:r>
      <w:r w:rsidR="00F81436" w:rsidRPr="009772A3">
        <w:rPr>
          <w:rFonts w:asciiTheme="majorHAnsi" w:hAnsiTheme="majorHAnsi" w:cstheme="majorHAnsi"/>
          <w:sz w:val="24"/>
          <w:szCs w:val="24"/>
          <w:lang w:val="ro-MD"/>
        </w:rPr>
        <w:t xml:space="preserve">1.882.782,9 mii lei aferent devierilor tarifare negative, </w:t>
      </w:r>
      <w:r w:rsidR="00855851" w:rsidRPr="009772A3">
        <w:rPr>
          <w:rFonts w:asciiTheme="majorHAnsi" w:hAnsiTheme="majorHAnsi" w:cstheme="majorHAnsi"/>
          <w:sz w:val="24"/>
          <w:szCs w:val="24"/>
          <w:lang w:val="ro-MD"/>
        </w:rPr>
        <w:t xml:space="preserve">acesta fiind reflectat la contul bilanțier 161 „Alte creanțe pe termen lung”.  </w:t>
      </w:r>
    </w:p>
    <w:p w14:paraId="537784DE" w14:textId="14476DB0" w:rsidR="006F7818" w:rsidRPr="009772A3" w:rsidRDefault="009C060C" w:rsidP="00E14D3D">
      <w:pPr>
        <w:pStyle w:val="Heading1"/>
        <w:numPr>
          <w:ilvl w:val="3"/>
          <w:numId w:val="2"/>
        </w:numPr>
        <w:tabs>
          <w:tab w:val="left" w:pos="851"/>
        </w:tabs>
        <w:spacing w:line="276" w:lineRule="auto"/>
        <w:ind w:left="0" w:firstLine="0"/>
        <w:jc w:val="both"/>
        <w:rPr>
          <w:i/>
          <w:color w:val="auto"/>
          <w:lang w:val="ro-MD"/>
        </w:rPr>
      </w:pPr>
      <w:bookmarkStart w:id="158" w:name="_Toc119496435"/>
      <w:r w:rsidRPr="009772A3">
        <w:rPr>
          <w:i/>
          <w:color w:val="auto"/>
          <w:lang w:val="ro-MD"/>
        </w:rPr>
        <w:t>C</w:t>
      </w:r>
      <w:r w:rsidR="006F7818" w:rsidRPr="009772A3">
        <w:rPr>
          <w:i/>
          <w:color w:val="auto"/>
          <w:lang w:val="ro-MD"/>
        </w:rPr>
        <w:t xml:space="preserve">alcularea </w:t>
      </w:r>
      <w:r w:rsidRPr="009772A3">
        <w:rPr>
          <w:i/>
          <w:color w:val="auto"/>
          <w:lang w:val="ro-MD"/>
        </w:rPr>
        <w:t>ne</w:t>
      </w:r>
      <w:r w:rsidR="006F7818" w:rsidRPr="009772A3">
        <w:rPr>
          <w:i/>
          <w:color w:val="auto"/>
          <w:lang w:val="ro-MD"/>
        </w:rPr>
        <w:t>corespunzătoare a TVA în cazul serviciilor de transport a</w:t>
      </w:r>
      <w:r w:rsidR="00D94F3C" w:rsidRPr="009772A3">
        <w:rPr>
          <w:i/>
          <w:color w:val="auto"/>
          <w:lang w:val="ro-MD"/>
        </w:rPr>
        <w:t>l</w:t>
      </w:r>
      <w:r w:rsidR="006F7818" w:rsidRPr="009772A3">
        <w:rPr>
          <w:i/>
          <w:color w:val="auto"/>
          <w:lang w:val="ro-MD"/>
        </w:rPr>
        <w:t xml:space="preserve"> gaz</w:t>
      </w:r>
      <w:r w:rsidR="00D94F3C" w:rsidRPr="009772A3">
        <w:rPr>
          <w:i/>
          <w:color w:val="auto"/>
          <w:lang w:val="ro-MD"/>
        </w:rPr>
        <w:t>elor naturale</w:t>
      </w:r>
      <w:r w:rsidR="006F7818" w:rsidRPr="009772A3">
        <w:rPr>
          <w:i/>
          <w:color w:val="auto"/>
          <w:lang w:val="ro-MD"/>
        </w:rPr>
        <w:t xml:space="preserve"> în regim de tranzit s-a soldat cu aplicarea și plata unor penalități în sumă totală de 39.274,48 mii lei.</w:t>
      </w:r>
      <w:bookmarkEnd w:id="158"/>
      <w:r w:rsidR="006F7818" w:rsidRPr="009772A3">
        <w:rPr>
          <w:i/>
          <w:color w:val="auto"/>
          <w:lang w:val="ro-MD"/>
        </w:rPr>
        <w:t xml:space="preserve"> </w:t>
      </w:r>
    </w:p>
    <w:p w14:paraId="15207144" w14:textId="17B9DEED" w:rsidR="006F7818" w:rsidRPr="009772A3" w:rsidRDefault="006F7818" w:rsidP="006F7818">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Potrivit </w:t>
      </w:r>
      <w:r w:rsidRPr="009772A3">
        <w:rPr>
          <w:rFonts w:asciiTheme="majorHAnsi" w:eastAsia="Times New Roman" w:hAnsiTheme="majorHAnsi" w:cstheme="majorHAnsi"/>
          <w:sz w:val="24"/>
          <w:szCs w:val="24"/>
          <w:lang w:val="ro-MD"/>
        </w:rPr>
        <w:t xml:space="preserve">Deciziei </w:t>
      </w:r>
      <w:r w:rsidR="008B1C95">
        <w:rPr>
          <w:rFonts w:asciiTheme="majorHAnsi" w:eastAsia="Times New Roman" w:hAnsiTheme="majorHAnsi" w:cstheme="majorHAnsi"/>
          <w:sz w:val="24"/>
          <w:szCs w:val="24"/>
          <w:lang w:val="ro-MD"/>
        </w:rPr>
        <w:t>Servici</w:t>
      </w:r>
      <w:r w:rsidR="008B1C95" w:rsidRPr="009772A3">
        <w:rPr>
          <w:rFonts w:asciiTheme="majorHAnsi" w:eastAsia="Times New Roman" w:hAnsiTheme="majorHAnsi" w:cstheme="majorHAnsi"/>
          <w:sz w:val="24"/>
          <w:szCs w:val="24"/>
          <w:lang w:val="ro-MD"/>
        </w:rPr>
        <w:t xml:space="preserve">ului </w:t>
      </w:r>
      <w:r w:rsidRPr="009772A3">
        <w:rPr>
          <w:rFonts w:asciiTheme="majorHAnsi" w:eastAsia="Times New Roman" w:hAnsiTheme="majorHAnsi" w:cstheme="majorHAnsi"/>
          <w:sz w:val="24"/>
          <w:szCs w:val="24"/>
          <w:lang w:val="ro-MD"/>
        </w:rPr>
        <w:t>Fiscal de Stat</w:t>
      </w:r>
      <w:r w:rsidR="008B1C95">
        <w:rPr>
          <w:rFonts w:asciiTheme="majorHAnsi" w:eastAsia="Times New Roman" w:hAnsiTheme="majorHAnsi" w:cstheme="majorHAnsi"/>
          <w:sz w:val="24"/>
          <w:szCs w:val="24"/>
          <w:lang w:val="ro-MD"/>
        </w:rPr>
        <w:t xml:space="preserve"> (SFS)</w:t>
      </w:r>
      <w:r w:rsidRPr="009772A3">
        <w:rPr>
          <w:rFonts w:asciiTheme="majorHAnsi" w:eastAsia="Times New Roman" w:hAnsiTheme="majorHAnsi" w:cstheme="majorHAnsi"/>
          <w:sz w:val="24"/>
          <w:szCs w:val="24"/>
          <w:lang w:val="ro-MD"/>
        </w:rPr>
        <w:t>, menținută prin hotărârea Curții de Apel Chișinău din 20.02.2018 și Decizia Curții Supreme de Justiție din 11.07.2018, s</w:t>
      </w:r>
      <w:r w:rsidRPr="009772A3">
        <w:rPr>
          <w:rFonts w:asciiTheme="majorHAnsi" w:hAnsiTheme="majorHAnsi" w:cstheme="majorHAnsi"/>
          <w:sz w:val="24"/>
          <w:szCs w:val="24"/>
          <w:lang w:val="ro-MD"/>
        </w:rPr>
        <w:t>e constată că</w:t>
      </w:r>
      <w:r w:rsidR="004963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perioada 2015</w:t>
      </w:r>
      <w:r w:rsidR="004963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iunie 2016, SRL Moldovatransgaz nu a aplicat tax</w:t>
      </w:r>
      <w:r w:rsidR="00496308"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pe valoarea adăugată</w:t>
      </w:r>
      <w:r w:rsidR="00FD24D8" w:rsidRPr="009772A3">
        <w:rPr>
          <w:rStyle w:val="FootnoteReference"/>
          <w:rFonts w:asciiTheme="majorHAnsi" w:hAnsiTheme="majorHAnsi" w:cstheme="majorHAnsi"/>
          <w:lang w:val="ro-MD"/>
        </w:rPr>
        <w:footnoteReference w:id="119"/>
      </w:r>
      <w:r w:rsidRPr="009772A3">
        <w:rPr>
          <w:rFonts w:asciiTheme="majorHAnsi" w:hAnsiTheme="majorHAnsi" w:cstheme="majorHAnsi"/>
          <w:sz w:val="24"/>
          <w:szCs w:val="24"/>
          <w:lang w:val="ro-MD"/>
        </w:rPr>
        <w:t xml:space="preserve"> la transportarea gazelor naturale în regim de tranzit, aceasta constituind 145.785,07 mii lei. În consecință, </w:t>
      </w:r>
      <w:r w:rsidR="008B1C95">
        <w:rPr>
          <w:rFonts w:asciiTheme="majorHAnsi" w:hAnsiTheme="majorHAnsi" w:cstheme="majorHAnsi"/>
          <w:sz w:val="24"/>
          <w:szCs w:val="24"/>
          <w:lang w:val="ro-MD"/>
        </w:rPr>
        <w:t>SFS</w:t>
      </w:r>
      <w:r w:rsidRPr="009772A3">
        <w:rPr>
          <w:rFonts w:asciiTheme="majorHAnsi" w:hAnsiTheme="majorHAnsi" w:cstheme="majorHAnsi"/>
          <w:sz w:val="24"/>
          <w:szCs w:val="24"/>
          <w:lang w:val="ro-MD"/>
        </w:rPr>
        <w:t xml:space="preserve"> a impus entitatea să achite în bugetul public național suma aferentă taxei restante și a aplicat o penalitate pentru toată perioada de întârziere în valoare de 39.274,48 mii lei (2015 – 725,28 mii lei; 2016 – 19 521,04 mii lei; 2017 – 12 836,73 mii lei; 2018 – 6 191,43 mii lei).</w:t>
      </w:r>
    </w:p>
    <w:p w14:paraId="7061D780" w14:textId="10984A8D" w:rsidR="0012645E" w:rsidRPr="009772A3" w:rsidRDefault="006F7818" w:rsidP="00C230C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Astfel, din cauza lacunelor </w:t>
      </w:r>
      <w:r w:rsidR="00496308" w:rsidRPr="009772A3">
        <w:rPr>
          <w:rFonts w:asciiTheme="majorHAnsi" w:hAnsiTheme="majorHAnsi" w:cstheme="majorHAnsi"/>
          <w:sz w:val="24"/>
          <w:szCs w:val="24"/>
          <w:lang w:val="ro-MD"/>
        </w:rPr>
        <w:t>î</w:t>
      </w:r>
      <w:r w:rsidRPr="009772A3">
        <w:rPr>
          <w:rFonts w:asciiTheme="majorHAnsi" w:hAnsiTheme="majorHAnsi" w:cstheme="majorHAnsi"/>
          <w:sz w:val="24"/>
          <w:szCs w:val="24"/>
          <w:lang w:val="ro-MD"/>
        </w:rPr>
        <w:t>n sistemul de control intern managerial, necalcularea în timp util a taxei pe valoarea adăugată pentru serviciile prestate, a impus un efort suplimentar pentru entitate de a achita într-o anumită perioadă de gestiune impozitul restant de 145.785,07 mii lei și penalitatea aplicată în sumă totală de 39.274,48 mii lei</w:t>
      </w:r>
      <w:r w:rsidR="0049630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ceea ce a influențat semnificativ performanța financiară a întreprinderii</w:t>
      </w:r>
      <w:bookmarkStart w:id="159" w:name="_Toc118885330"/>
      <w:bookmarkStart w:id="160" w:name="_Toc118885480"/>
      <w:bookmarkStart w:id="161" w:name="_Toc118886724"/>
      <w:bookmarkStart w:id="162" w:name="_Toc118964638"/>
      <w:bookmarkStart w:id="163" w:name="_Toc118977849"/>
      <w:bookmarkStart w:id="164" w:name="_Toc119245437"/>
      <w:bookmarkEnd w:id="159"/>
      <w:bookmarkEnd w:id="160"/>
      <w:bookmarkEnd w:id="161"/>
      <w:bookmarkEnd w:id="162"/>
      <w:bookmarkEnd w:id="163"/>
      <w:bookmarkEnd w:id="164"/>
      <w:r w:rsidR="0012645E" w:rsidRPr="009772A3">
        <w:rPr>
          <w:rFonts w:asciiTheme="majorHAnsi" w:hAnsiTheme="majorHAnsi" w:cstheme="majorHAnsi"/>
          <w:sz w:val="24"/>
          <w:szCs w:val="24"/>
          <w:lang w:val="ro-MD"/>
        </w:rPr>
        <w:t>.</w:t>
      </w:r>
    </w:p>
    <w:p w14:paraId="1E8B5280" w14:textId="50A9DDA6" w:rsidR="00FD1AA6" w:rsidRPr="005142F3" w:rsidRDefault="00FD1AA6" w:rsidP="00C230C2">
      <w:pPr>
        <w:spacing w:after="0" w:line="276" w:lineRule="auto"/>
        <w:ind w:firstLine="709"/>
        <w:jc w:val="both"/>
        <w:rPr>
          <w:rFonts w:asciiTheme="majorHAnsi" w:hAnsiTheme="majorHAnsi" w:cstheme="majorHAnsi"/>
          <w:sz w:val="16"/>
          <w:szCs w:val="16"/>
          <w:lang w:val="ro-MD"/>
        </w:rPr>
      </w:pPr>
    </w:p>
    <w:p w14:paraId="73B6B435" w14:textId="188EBDCF" w:rsidR="008B1C95" w:rsidRPr="008B1C95" w:rsidRDefault="008B1C95" w:rsidP="00CF3AD4">
      <w:pPr>
        <w:pStyle w:val="Heading1"/>
        <w:numPr>
          <w:ilvl w:val="2"/>
          <w:numId w:val="2"/>
        </w:numPr>
        <w:spacing w:before="0" w:line="276" w:lineRule="auto"/>
        <w:ind w:left="0" w:firstLine="0"/>
        <w:jc w:val="both"/>
        <w:rPr>
          <w:color w:val="auto"/>
          <w:lang w:val="ro-MD"/>
        </w:rPr>
      </w:pPr>
      <w:bookmarkStart w:id="165" w:name="_Toc119496436"/>
      <w:bookmarkStart w:id="166" w:name="_Toc117179047"/>
      <w:bookmarkStart w:id="167" w:name="_Toc118442562"/>
      <w:r w:rsidRPr="00CF3AD4">
        <w:rPr>
          <w:rFonts w:cstheme="majorHAnsi"/>
          <w:color w:val="auto"/>
          <w:szCs w:val="24"/>
          <w:lang w:val="ro-MD"/>
        </w:rPr>
        <w:t xml:space="preserve">Sistemul de remunerare a muncii </w:t>
      </w:r>
      <w:r>
        <w:rPr>
          <w:rFonts w:cstheme="majorHAnsi"/>
          <w:color w:val="auto"/>
          <w:szCs w:val="24"/>
          <w:lang w:val="ro-MD"/>
        </w:rPr>
        <w:t xml:space="preserve">a </w:t>
      </w:r>
      <w:r w:rsidRPr="00CF3AD4">
        <w:rPr>
          <w:rFonts w:cstheme="majorHAnsi"/>
          <w:color w:val="auto"/>
          <w:szCs w:val="24"/>
          <w:lang w:val="ro-MD"/>
        </w:rPr>
        <w:t>angajaților din domeniul gazelor naturale este parțial conform reglementărilor în vigoare.</w:t>
      </w:r>
    </w:p>
    <w:p w14:paraId="6B828639" w14:textId="21812D61" w:rsidR="00D524FC" w:rsidRPr="00CF3AD4" w:rsidRDefault="00D524FC" w:rsidP="00CF3AD4">
      <w:pPr>
        <w:spacing w:after="0" w:line="276" w:lineRule="auto"/>
        <w:ind w:firstLine="709"/>
        <w:jc w:val="both"/>
        <w:rPr>
          <w:rFonts w:cstheme="majorHAnsi"/>
          <w:i/>
          <w:szCs w:val="24"/>
          <w:lang w:val="ro-MD"/>
        </w:rPr>
      </w:pPr>
      <w:r w:rsidRPr="00CF3AD4">
        <w:rPr>
          <w:rFonts w:asciiTheme="majorHAnsi" w:hAnsiTheme="majorHAnsi" w:cstheme="majorHAnsi"/>
          <w:b/>
          <w:i/>
          <w:sz w:val="24"/>
          <w:szCs w:val="24"/>
          <w:lang w:val="ro-MD"/>
        </w:rPr>
        <w:t>Nejustificarea conformă a normativelor de muncă, de timp și produc</w:t>
      </w:r>
      <w:r w:rsidR="00954D91" w:rsidRPr="00CF3AD4">
        <w:rPr>
          <w:rFonts w:asciiTheme="majorHAnsi" w:hAnsiTheme="majorHAnsi" w:cstheme="majorHAnsi"/>
          <w:b/>
          <w:i/>
          <w:sz w:val="24"/>
          <w:szCs w:val="24"/>
          <w:lang w:val="ro-MD"/>
        </w:rPr>
        <w:t>ți</w:t>
      </w:r>
      <w:r w:rsidRPr="00CF3AD4">
        <w:rPr>
          <w:rFonts w:asciiTheme="majorHAnsi" w:hAnsiTheme="majorHAnsi" w:cstheme="majorHAnsi"/>
          <w:b/>
          <w:i/>
          <w:sz w:val="24"/>
          <w:szCs w:val="24"/>
          <w:lang w:val="ro-MD"/>
        </w:rPr>
        <w:t>e la stabilirea numărului de personal necesar pentru desfășurarea activității reglementate de furnizare, distribuție și transport al gazelor naturale, a generat neac</w:t>
      </w:r>
      <w:r w:rsidR="00035959" w:rsidRPr="00CF3AD4">
        <w:rPr>
          <w:rFonts w:asciiTheme="majorHAnsi" w:hAnsiTheme="majorHAnsi" w:cstheme="majorHAnsi"/>
          <w:b/>
          <w:i/>
          <w:sz w:val="24"/>
          <w:szCs w:val="24"/>
          <w:lang w:val="ro-MD"/>
        </w:rPr>
        <w:t>c</w:t>
      </w:r>
      <w:r w:rsidRPr="00CF3AD4">
        <w:rPr>
          <w:rFonts w:asciiTheme="majorHAnsi" w:hAnsiTheme="majorHAnsi" w:cstheme="majorHAnsi"/>
          <w:b/>
          <w:i/>
          <w:sz w:val="24"/>
          <w:szCs w:val="24"/>
          <w:lang w:val="ro-MD"/>
        </w:rPr>
        <w:t xml:space="preserve">eptarea spre recuperare prin tarif a cheltuielilor de remunerare a muncii, în sumă totală de </w:t>
      </w:r>
      <w:r w:rsidR="00F41A2C" w:rsidRPr="00CF3AD4">
        <w:rPr>
          <w:rFonts w:asciiTheme="majorHAnsi" w:hAnsiTheme="majorHAnsi" w:cstheme="majorHAnsi"/>
          <w:b/>
          <w:i/>
          <w:sz w:val="24"/>
          <w:szCs w:val="24"/>
          <w:lang w:val="ro-MD"/>
        </w:rPr>
        <w:t xml:space="preserve">246.180,8 </w:t>
      </w:r>
      <w:r w:rsidRPr="00CF3AD4">
        <w:rPr>
          <w:rFonts w:asciiTheme="majorHAnsi" w:hAnsiTheme="majorHAnsi" w:cstheme="majorHAnsi"/>
          <w:b/>
          <w:i/>
          <w:sz w:val="24"/>
          <w:szCs w:val="24"/>
          <w:lang w:val="ro-MD"/>
        </w:rPr>
        <w:t>mii lei.</w:t>
      </w:r>
      <w:bookmarkEnd w:id="165"/>
    </w:p>
    <w:bookmarkEnd w:id="166"/>
    <w:p w14:paraId="09642A87" w14:textId="65CE2E4E" w:rsidR="00D524FC" w:rsidRPr="009772A3" w:rsidRDefault="00D524FC" w:rsidP="00D524F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În </w:t>
      </w:r>
      <w:r w:rsidRPr="009772A3">
        <w:rPr>
          <w:rFonts w:asciiTheme="majorHAnsi" w:hAnsiTheme="majorHAnsi" w:cstheme="majorHAnsi"/>
          <w:noProof/>
          <w:sz w:val="24"/>
          <w:szCs w:val="24"/>
          <w:lang w:val="ro-MD"/>
        </w:rPr>
        <w:t>perioada</w:t>
      </w:r>
      <w:r w:rsidRPr="009772A3">
        <w:rPr>
          <w:rFonts w:asciiTheme="majorHAnsi" w:hAnsiTheme="majorHAnsi" w:cstheme="majorHAnsi"/>
          <w:sz w:val="24"/>
          <w:szCs w:val="24"/>
          <w:lang w:val="ro-MD"/>
        </w:rPr>
        <w:t xml:space="preserve"> auditată 2017-2021, cheltuielile de remunerare a muncii în cadrul întreprinderilor din domeniul gazelor naturale au </w:t>
      </w:r>
      <w:r w:rsidR="00954D91" w:rsidRPr="009772A3">
        <w:rPr>
          <w:rFonts w:asciiTheme="majorHAnsi" w:hAnsiTheme="majorHAnsi" w:cstheme="majorHAnsi"/>
          <w:sz w:val="24"/>
          <w:szCs w:val="24"/>
          <w:lang w:val="ro-MD"/>
        </w:rPr>
        <w:t xml:space="preserve">constituit </w:t>
      </w:r>
      <w:r w:rsidRPr="009772A3">
        <w:rPr>
          <w:rFonts w:asciiTheme="majorHAnsi" w:hAnsiTheme="majorHAnsi" w:cstheme="majorHAnsi"/>
          <w:sz w:val="24"/>
          <w:szCs w:val="24"/>
          <w:lang w:val="ro-MD"/>
        </w:rPr>
        <w:t xml:space="preserve">suma de </w:t>
      </w:r>
      <w:r w:rsidR="00F41A2C" w:rsidRPr="009772A3">
        <w:rPr>
          <w:rFonts w:asciiTheme="majorHAnsi" w:hAnsiTheme="majorHAnsi" w:cstheme="majorHAnsi"/>
          <w:sz w:val="24"/>
          <w:szCs w:val="24"/>
          <w:lang w:val="ro-MD"/>
        </w:rPr>
        <w:t xml:space="preserve">3.798.065,9 </w:t>
      </w:r>
      <w:r w:rsidRPr="009772A3">
        <w:rPr>
          <w:rFonts w:asciiTheme="majorHAnsi" w:hAnsiTheme="majorHAnsi" w:cstheme="majorHAnsi"/>
          <w:sz w:val="24"/>
          <w:szCs w:val="24"/>
          <w:lang w:val="ro-MD"/>
        </w:rPr>
        <w:t xml:space="preserve">mii lei (inclusiv: 473.522,6 mii lei pentru asigurarea activității de furnizare a gazelor naturale, </w:t>
      </w:r>
      <w:r w:rsidR="00F41A2C" w:rsidRPr="009772A3">
        <w:rPr>
          <w:rFonts w:asciiTheme="majorHAnsi" w:hAnsiTheme="majorHAnsi" w:cstheme="majorHAnsi"/>
          <w:sz w:val="24"/>
          <w:szCs w:val="24"/>
          <w:lang w:val="ro-MD"/>
        </w:rPr>
        <w:t xml:space="preserve">2.785.034,0 </w:t>
      </w:r>
      <w:r w:rsidRPr="009772A3">
        <w:rPr>
          <w:rFonts w:asciiTheme="majorHAnsi" w:hAnsiTheme="majorHAnsi" w:cstheme="majorHAnsi"/>
          <w:sz w:val="24"/>
          <w:szCs w:val="24"/>
          <w:lang w:val="ro-MD"/>
        </w:rPr>
        <w:t>mii lei pentru asigurarea activității de distribuție a gazelor naturale, 539.509,7 mii lei pentru asigurarea activității de transport a</w:t>
      </w:r>
      <w:r w:rsidR="00954D91"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gazelor naturale). Numărul mediu de angajați ai întreprinderilor din domeniu a constituit 6.081 </w:t>
      </w:r>
      <w:r w:rsidR="00954D91"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angajați în anul 2017 și 5.568 </w:t>
      </w:r>
      <w:r w:rsidR="00954D91"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angajați în anul 2021. Creșterea cheltuielilor de salarizare în perioada 2017-2021 a fost condiționată și de creșterea salariul</w:t>
      </w:r>
      <w:r w:rsidR="00954D91"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minim garantat în sectorul real</w:t>
      </w:r>
      <w:r w:rsidR="00954D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ținând cont de factorul de complexitate pentru întreprinderile din sectorul de gaze</w:t>
      </w:r>
      <w:r w:rsidRPr="009772A3">
        <w:rPr>
          <w:rFonts w:asciiTheme="majorHAnsi" w:hAnsiTheme="majorHAnsi"/>
          <w:sz w:val="24"/>
          <w:szCs w:val="24"/>
          <w:vertAlign w:val="superscript"/>
          <w:lang w:val="ro-MD"/>
        </w:rPr>
        <w:footnoteReference w:id="120"/>
      </w:r>
      <w:r w:rsidRPr="009772A3">
        <w:rPr>
          <w:rFonts w:asciiTheme="majorHAnsi" w:hAnsiTheme="majorHAnsi" w:cstheme="majorHAnsi"/>
          <w:sz w:val="24"/>
          <w:szCs w:val="24"/>
          <w:lang w:val="ro-MD"/>
        </w:rPr>
        <w:t xml:space="preserve">. </w:t>
      </w:r>
    </w:p>
    <w:p w14:paraId="62C02D38" w14:textId="4D13AE08" w:rsidR="00D524FC" w:rsidRPr="009772A3" w:rsidRDefault="00D524FC" w:rsidP="00D524F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noProof/>
          <w:sz w:val="24"/>
          <w:szCs w:val="24"/>
          <w:lang w:val="ro-MD"/>
        </w:rPr>
        <w:t>Probele colectate de audit</w:t>
      </w:r>
      <w:r w:rsidRPr="009772A3">
        <w:rPr>
          <w:rFonts w:asciiTheme="majorHAnsi" w:hAnsiTheme="majorHAnsi" w:cstheme="majorHAnsi"/>
          <w:sz w:val="24"/>
          <w:szCs w:val="24"/>
          <w:lang w:val="ro-MD"/>
        </w:rPr>
        <w:t xml:space="preserve"> atestă că structura componentelor salariale în cadrul întreprinderilor din domeniul gazelor naturale include cca 45 de elemente salariale, inclusiv: salariul de funcție, prime (lunare, trimestriale, anuale, cu alte ocazii), plățile pentru concedii (anual, suplimentar, medical ș.a.), indemnizații (de concediere, de invaliditate ș.a.), ajutoare materiale, sporuri, precum și alte suplimente financiare (pentru intensitatea muncii, pentru ore suplimentare lucrate, pentru munca neîntreruptă în ramura de gaze etc.). Conform informațiilor din registrele electronice de evidență a retribuțiilor (perioada 2017-2021)</w:t>
      </w:r>
      <w:r w:rsidR="00954D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din totalul cheltuielilor privind remunerarea muncii (</w:t>
      </w:r>
      <w:r w:rsidR="00F41A2C" w:rsidRPr="009772A3">
        <w:rPr>
          <w:rFonts w:asciiTheme="majorHAnsi" w:hAnsiTheme="majorHAnsi" w:cstheme="majorHAnsi"/>
          <w:sz w:val="24"/>
          <w:szCs w:val="24"/>
          <w:lang w:val="ro-MD"/>
        </w:rPr>
        <w:t xml:space="preserve">3.798.065,9 </w:t>
      </w:r>
      <w:r w:rsidRPr="009772A3">
        <w:rPr>
          <w:rFonts w:asciiTheme="majorHAnsi" w:hAnsiTheme="majorHAnsi" w:cstheme="majorHAnsi"/>
          <w:sz w:val="24"/>
          <w:szCs w:val="24"/>
          <w:lang w:val="ro-MD"/>
        </w:rPr>
        <w:t>mii lei)</w:t>
      </w:r>
      <w:r w:rsidR="00954D9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salariul de bază constituie 48% (1.</w:t>
      </w:r>
      <w:r w:rsidR="00F41A2C" w:rsidRPr="009772A3">
        <w:rPr>
          <w:rFonts w:asciiTheme="majorHAnsi" w:hAnsiTheme="majorHAnsi" w:cstheme="majorHAnsi"/>
          <w:sz w:val="24"/>
          <w:szCs w:val="24"/>
          <w:lang w:val="ro-MD"/>
        </w:rPr>
        <w:t>823</w:t>
      </w:r>
      <w:r w:rsidRPr="009772A3">
        <w:rPr>
          <w:rFonts w:asciiTheme="majorHAnsi" w:hAnsiTheme="majorHAnsi" w:cstheme="majorHAnsi"/>
          <w:sz w:val="24"/>
          <w:szCs w:val="24"/>
          <w:lang w:val="ro-MD"/>
        </w:rPr>
        <w:t>.0</w:t>
      </w:r>
      <w:r w:rsidR="00F41A2C" w:rsidRPr="009772A3">
        <w:rPr>
          <w:rFonts w:asciiTheme="majorHAnsi" w:hAnsiTheme="majorHAnsi" w:cstheme="majorHAnsi"/>
          <w:sz w:val="24"/>
          <w:szCs w:val="24"/>
          <w:lang w:val="ro-MD"/>
        </w:rPr>
        <w:t>71</w:t>
      </w:r>
      <w:r w:rsidRPr="009772A3">
        <w:rPr>
          <w:rFonts w:asciiTheme="majorHAnsi" w:hAnsiTheme="majorHAnsi" w:cstheme="majorHAnsi"/>
          <w:sz w:val="24"/>
          <w:szCs w:val="24"/>
          <w:lang w:val="ro-MD"/>
        </w:rPr>
        <w:t>,</w:t>
      </w:r>
      <w:r w:rsidR="00F41A2C" w:rsidRPr="009772A3">
        <w:rPr>
          <w:rFonts w:asciiTheme="majorHAnsi" w:hAnsiTheme="majorHAnsi" w:cstheme="majorHAnsi"/>
          <w:sz w:val="24"/>
          <w:szCs w:val="24"/>
          <w:lang w:val="ro-MD"/>
        </w:rPr>
        <w:t>6</w:t>
      </w:r>
      <w:r w:rsidRPr="009772A3">
        <w:rPr>
          <w:rFonts w:asciiTheme="majorHAnsi" w:hAnsiTheme="majorHAnsi" w:cstheme="majorHAnsi"/>
          <w:sz w:val="24"/>
          <w:szCs w:val="24"/>
          <w:lang w:val="ro-MD"/>
        </w:rPr>
        <w:t xml:space="preserve"> mii lei), celelalte 52% (1.9</w:t>
      </w:r>
      <w:r w:rsidR="00F41A2C" w:rsidRPr="009772A3">
        <w:rPr>
          <w:rFonts w:asciiTheme="majorHAnsi" w:hAnsiTheme="majorHAnsi" w:cstheme="majorHAnsi"/>
          <w:sz w:val="24"/>
          <w:szCs w:val="24"/>
          <w:lang w:val="ro-MD"/>
        </w:rPr>
        <w:t>74</w:t>
      </w:r>
      <w:r w:rsidRPr="009772A3">
        <w:rPr>
          <w:rFonts w:asciiTheme="majorHAnsi" w:hAnsiTheme="majorHAnsi" w:cstheme="majorHAnsi"/>
          <w:sz w:val="24"/>
          <w:szCs w:val="24"/>
          <w:lang w:val="ro-MD"/>
        </w:rPr>
        <w:t>.</w:t>
      </w:r>
      <w:r w:rsidR="00F41A2C" w:rsidRPr="009772A3">
        <w:rPr>
          <w:rFonts w:asciiTheme="majorHAnsi" w:hAnsiTheme="majorHAnsi" w:cstheme="majorHAnsi"/>
          <w:sz w:val="24"/>
          <w:szCs w:val="24"/>
          <w:lang w:val="ro-MD"/>
        </w:rPr>
        <w:t>994</w:t>
      </w:r>
      <w:r w:rsidRPr="009772A3">
        <w:rPr>
          <w:rFonts w:asciiTheme="majorHAnsi" w:hAnsiTheme="majorHAnsi" w:cstheme="majorHAnsi"/>
          <w:sz w:val="24"/>
          <w:szCs w:val="24"/>
          <w:lang w:val="ro-MD"/>
        </w:rPr>
        <w:t>,</w:t>
      </w:r>
      <w:r w:rsidR="00F41A2C" w:rsidRPr="009772A3">
        <w:rPr>
          <w:rFonts w:asciiTheme="majorHAnsi" w:hAnsiTheme="majorHAnsi" w:cstheme="majorHAnsi"/>
          <w:sz w:val="24"/>
          <w:szCs w:val="24"/>
          <w:lang w:val="ro-MD"/>
        </w:rPr>
        <w:t>3</w:t>
      </w:r>
      <w:r w:rsidRPr="009772A3">
        <w:rPr>
          <w:rFonts w:asciiTheme="majorHAnsi" w:hAnsiTheme="majorHAnsi" w:cstheme="majorHAnsi"/>
          <w:sz w:val="24"/>
          <w:szCs w:val="24"/>
          <w:lang w:val="ro-MD"/>
        </w:rPr>
        <w:t xml:space="preserve"> mii lei) sunt sporuri și suplimente plătite angajaților în domeniu. </w:t>
      </w:r>
    </w:p>
    <w:p w14:paraId="0193B5AF" w14:textId="797FA9C8" w:rsidR="00D524FC" w:rsidRPr="009772A3" w:rsidRDefault="00D524FC" w:rsidP="00D524FC">
      <w:pPr>
        <w:spacing w:after="0" w:line="276" w:lineRule="auto"/>
        <w:ind w:firstLine="709"/>
        <w:jc w:val="both"/>
        <w:rPr>
          <w:rFonts w:asciiTheme="majorHAnsi" w:hAnsiTheme="majorHAnsi" w:cstheme="majorHAnsi"/>
          <w:noProof/>
          <w:sz w:val="24"/>
          <w:szCs w:val="24"/>
          <w:lang w:val="ro-MD"/>
        </w:rPr>
      </w:pPr>
      <w:r w:rsidRPr="009772A3">
        <w:rPr>
          <w:rFonts w:asciiTheme="majorHAnsi" w:hAnsiTheme="majorHAnsi" w:cstheme="majorHAnsi"/>
          <w:sz w:val="24"/>
          <w:szCs w:val="24"/>
          <w:lang w:val="ro-MD"/>
        </w:rPr>
        <w:t>Totodată</w:t>
      </w:r>
      <w:r w:rsidR="00F43F5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examinările de audit denotă că</w:t>
      </w:r>
      <w:r w:rsidR="00F43F59" w:rsidRPr="009772A3">
        <w:rPr>
          <w:rFonts w:asciiTheme="majorHAnsi" w:hAnsiTheme="majorHAnsi" w:cstheme="majorHAnsi"/>
          <w:sz w:val="24"/>
          <w:szCs w:val="24"/>
          <w:lang w:val="ro-MD"/>
        </w:rPr>
        <w:t>,</w:t>
      </w:r>
      <w:r w:rsidRPr="009772A3">
        <w:rPr>
          <w:rFonts w:asciiTheme="majorHAnsi" w:hAnsiTheme="majorHAnsi" w:cstheme="majorHAnsi"/>
          <w:noProof/>
          <w:sz w:val="24"/>
          <w:szCs w:val="24"/>
          <w:lang w:val="ro-MD"/>
        </w:rPr>
        <w:t xml:space="preserve"> deși SA Moldovagaz și întreprinderile sale de transport și distribuție elaborează, aprobă și actualizează statele </w:t>
      </w:r>
      <w:r w:rsidR="00F43F59" w:rsidRPr="009772A3">
        <w:rPr>
          <w:rFonts w:asciiTheme="majorHAnsi" w:hAnsiTheme="majorHAnsi" w:cstheme="majorHAnsi"/>
          <w:noProof/>
          <w:sz w:val="24"/>
          <w:szCs w:val="24"/>
          <w:lang w:val="ro-MD"/>
        </w:rPr>
        <w:t xml:space="preserve">lor </w:t>
      </w:r>
      <w:r w:rsidRPr="009772A3">
        <w:rPr>
          <w:rFonts w:asciiTheme="majorHAnsi" w:hAnsiTheme="majorHAnsi" w:cstheme="majorHAnsi"/>
          <w:noProof/>
          <w:sz w:val="24"/>
          <w:szCs w:val="24"/>
          <w:lang w:val="ro-MD"/>
        </w:rPr>
        <w:t>de personal, acestea nu sunt bazate pe justificări ale normativelor de muncă, de timp și produc</w:t>
      </w:r>
      <w:r w:rsidR="00F43F59" w:rsidRPr="009772A3">
        <w:rPr>
          <w:rFonts w:asciiTheme="majorHAnsi" w:hAnsiTheme="majorHAnsi" w:cstheme="majorHAnsi"/>
          <w:noProof/>
          <w:sz w:val="24"/>
          <w:szCs w:val="24"/>
          <w:lang w:val="ro-MD"/>
        </w:rPr>
        <w:t>ție</w:t>
      </w:r>
      <w:r w:rsidRPr="009772A3">
        <w:rPr>
          <w:rFonts w:asciiTheme="majorHAnsi" w:hAnsiTheme="majorHAnsi" w:cstheme="majorHAnsi"/>
          <w:noProof/>
          <w:sz w:val="24"/>
          <w:szCs w:val="24"/>
          <w:lang w:val="ro-MD"/>
        </w:rPr>
        <w:t xml:space="preserve"> elaborate în conformitate cu reglementările aplicabile în vigoare</w:t>
      </w:r>
      <w:r w:rsidRPr="009772A3">
        <w:rPr>
          <w:rFonts w:asciiTheme="majorHAnsi" w:hAnsiTheme="majorHAnsi" w:cstheme="majorHAnsi"/>
          <w:noProof/>
          <w:sz w:val="24"/>
          <w:szCs w:val="24"/>
          <w:vertAlign w:val="superscript"/>
          <w:lang w:val="ro-MD"/>
        </w:rPr>
        <w:footnoteReference w:id="121"/>
      </w:r>
      <w:r w:rsidRPr="009772A3">
        <w:rPr>
          <w:rFonts w:asciiTheme="majorHAnsi" w:hAnsiTheme="majorHAnsi" w:cstheme="majorHAnsi"/>
          <w:noProof/>
          <w:sz w:val="24"/>
          <w:szCs w:val="24"/>
          <w:lang w:val="ro-MD"/>
        </w:rPr>
        <w:t xml:space="preserve">. De menționat că doar pentru aprobarea statelor de personal, în partea ce ține de muncitori, întreprinderile se conduc de prevederile </w:t>
      </w:r>
      <w:r w:rsidR="00F43F59" w:rsidRPr="009772A3">
        <w:rPr>
          <w:rFonts w:asciiTheme="majorHAnsi" w:hAnsiTheme="majorHAnsi" w:cstheme="majorHAnsi"/>
          <w:noProof/>
          <w:sz w:val="24"/>
          <w:szCs w:val="24"/>
          <w:lang w:val="ro-MD"/>
        </w:rPr>
        <w:t>O</w:t>
      </w:r>
      <w:r w:rsidRPr="009772A3">
        <w:rPr>
          <w:rFonts w:asciiTheme="majorHAnsi" w:hAnsiTheme="majorHAnsi" w:cstheme="majorHAnsi"/>
          <w:noProof/>
          <w:sz w:val="24"/>
          <w:szCs w:val="24"/>
          <w:lang w:val="ro-MD"/>
        </w:rPr>
        <w:t xml:space="preserve">rdinului </w:t>
      </w:r>
      <w:r w:rsidR="00F43F59" w:rsidRPr="009772A3">
        <w:rPr>
          <w:rFonts w:asciiTheme="majorHAnsi" w:hAnsiTheme="majorHAnsi" w:cstheme="majorHAnsi"/>
          <w:noProof/>
          <w:sz w:val="24"/>
          <w:szCs w:val="24"/>
          <w:lang w:val="ro-MD"/>
        </w:rPr>
        <w:t>m</w:t>
      </w:r>
      <w:r w:rsidRPr="009772A3">
        <w:rPr>
          <w:rFonts w:asciiTheme="majorHAnsi" w:hAnsiTheme="majorHAnsi" w:cstheme="majorHAnsi"/>
          <w:noProof/>
          <w:sz w:val="24"/>
          <w:szCs w:val="24"/>
          <w:lang w:val="ro-MD"/>
        </w:rPr>
        <w:t>inistrului Economiei și Comerțului nr.135 din 14.09.2006, prin care se reglementează normele de timp necesare pentru deservirea tehnică şi reparația rețelelor de distribuție a gazelor</w:t>
      </w:r>
      <w:r w:rsidR="00F43F59" w:rsidRPr="009772A3">
        <w:rPr>
          <w:rFonts w:asciiTheme="majorHAnsi" w:hAnsiTheme="majorHAnsi" w:cstheme="majorHAnsi"/>
          <w:noProof/>
          <w:sz w:val="24"/>
          <w:szCs w:val="24"/>
          <w:lang w:val="ro-MD"/>
        </w:rPr>
        <w:t>, inclusiv</w:t>
      </w:r>
      <w:r w:rsidRPr="009772A3">
        <w:rPr>
          <w:rFonts w:asciiTheme="majorHAnsi" w:hAnsiTheme="majorHAnsi" w:cstheme="majorHAnsi"/>
          <w:noProof/>
          <w:sz w:val="24"/>
          <w:szCs w:val="24"/>
          <w:lang w:val="ro-MD"/>
        </w:rPr>
        <w:t xml:space="preserve"> lista efectivului de lucrători pentru activitatea de bază/reglementată.</w:t>
      </w:r>
    </w:p>
    <w:p w14:paraId="075B3E7E" w14:textId="37D8A47F" w:rsidR="00C32F1D" w:rsidRPr="009772A3" w:rsidRDefault="00C32F1D" w:rsidP="00D524FC">
      <w:pPr>
        <w:spacing w:after="0" w:line="276" w:lineRule="auto"/>
        <w:ind w:firstLine="709"/>
        <w:jc w:val="both"/>
        <w:rPr>
          <w:rFonts w:asciiTheme="majorHAnsi" w:hAnsiTheme="majorHAnsi" w:cstheme="majorHAnsi"/>
          <w:sz w:val="28"/>
          <w:szCs w:val="24"/>
          <w:lang w:val="ro-MD"/>
        </w:rPr>
      </w:pPr>
      <w:r w:rsidRPr="009772A3">
        <w:rPr>
          <w:rFonts w:asciiTheme="majorHAnsi" w:hAnsiTheme="majorHAnsi" w:cstheme="majorHAnsi"/>
          <w:sz w:val="24"/>
          <w:lang w:val="ro-MD"/>
        </w:rPr>
        <w:t xml:space="preserve">Salariul personalului antrenat în activitatea de bază (activitatea reglementată) a întreprinderilor din domeniul gazelor naturale a constituit (în perioada 2017-2021) </w:t>
      </w:r>
      <w:r w:rsidR="00F43F59" w:rsidRPr="009772A3">
        <w:rPr>
          <w:rFonts w:asciiTheme="majorHAnsi" w:hAnsiTheme="majorHAnsi" w:cstheme="majorHAnsi"/>
          <w:sz w:val="24"/>
          <w:lang w:val="ro-MD"/>
        </w:rPr>
        <w:t xml:space="preserve">suma de </w:t>
      </w:r>
      <w:r w:rsidRPr="009772A3">
        <w:rPr>
          <w:rFonts w:asciiTheme="majorHAnsi" w:hAnsiTheme="majorHAnsi" w:cstheme="majorHAnsi"/>
          <w:sz w:val="24"/>
          <w:lang w:val="ro-MD"/>
        </w:rPr>
        <w:t>3.427.586,4 mii lei</w:t>
      </w:r>
      <w:r w:rsidR="00F43F59" w:rsidRPr="009772A3">
        <w:rPr>
          <w:rFonts w:asciiTheme="majorHAnsi" w:hAnsiTheme="majorHAnsi" w:cstheme="majorHAnsi"/>
          <w:sz w:val="24"/>
          <w:lang w:val="ro-MD"/>
        </w:rPr>
        <w:t>,</w:t>
      </w:r>
      <w:r w:rsidRPr="009772A3">
        <w:rPr>
          <w:rFonts w:asciiTheme="majorHAnsi" w:hAnsiTheme="majorHAnsi" w:cstheme="majorHAnsi"/>
          <w:sz w:val="24"/>
          <w:lang w:val="ro-MD"/>
        </w:rPr>
        <w:t xml:space="preserve"> sau 90,2% din total</w:t>
      </w:r>
      <w:r w:rsidR="00F43F59" w:rsidRPr="009772A3">
        <w:rPr>
          <w:rFonts w:asciiTheme="majorHAnsi" w:hAnsiTheme="majorHAnsi" w:cstheme="majorHAnsi"/>
          <w:sz w:val="24"/>
          <w:lang w:val="ro-MD"/>
        </w:rPr>
        <w:t>ul</w:t>
      </w:r>
      <w:r w:rsidRPr="009772A3">
        <w:rPr>
          <w:rFonts w:asciiTheme="majorHAnsi" w:hAnsiTheme="majorHAnsi" w:cstheme="majorHAnsi"/>
          <w:sz w:val="24"/>
          <w:lang w:val="ro-MD"/>
        </w:rPr>
        <w:t xml:space="preserve"> cheltuieli</w:t>
      </w:r>
      <w:r w:rsidR="00F43F59" w:rsidRPr="009772A3">
        <w:rPr>
          <w:rFonts w:asciiTheme="majorHAnsi" w:hAnsiTheme="majorHAnsi" w:cstheme="majorHAnsi"/>
          <w:sz w:val="24"/>
          <w:lang w:val="ro-MD"/>
        </w:rPr>
        <w:t>lor</w:t>
      </w:r>
      <w:r w:rsidRPr="009772A3">
        <w:rPr>
          <w:rFonts w:asciiTheme="majorHAnsi" w:hAnsiTheme="majorHAnsi" w:cstheme="majorHAnsi"/>
          <w:sz w:val="24"/>
          <w:lang w:val="ro-MD"/>
        </w:rPr>
        <w:t xml:space="preserve"> salariale, inclusiv: </w:t>
      </w:r>
      <w:r w:rsidR="00130413" w:rsidRPr="009772A3">
        <w:rPr>
          <w:rFonts w:asciiTheme="majorHAnsi" w:hAnsiTheme="majorHAnsi" w:cstheme="majorHAnsi"/>
          <w:sz w:val="24"/>
          <w:lang w:val="ro-MD"/>
        </w:rPr>
        <w:t>la</w:t>
      </w:r>
      <w:r w:rsidRPr="009772A3">
        <w:rPr>
          <w:rFonts w:asciiTheme="majorHAnsi" w:hAnsiTheme="majorHAnsi" w:cstheme="majorHAnsi"/>
          <w:sz w:val="24"/>
          <w:lang w:val="ro-MD"/>
        </w:rPr>
        <w:t xml:space="preserve"> SA Moldovagaz</w:t>
      </w:r>
      <w:r w:rsidR="00130413" w:rsidRPr="009772A3">
        <w:rPr>
          <w:rFonts w:asciiTheme="majorHAnsi" w:hAnsiTheme="majorHAnsi" w:cstheme="majorHAnsi"/>
          <w:sz w:val="24"/>
          <w:lang w:val="ro-MD"/>
        </w:rPr>
        <w:t xml:space="preserve"> – 355.587,4 mii lei</w:t>
      </w:r>
      <w:r w:rsidRPr="009772A3">
        <w:rPr>
          <w:rFonts w:asciiTheme="majorHAnsi" w:hAnsiTheme="majorHAnsi" w:cstheme="majorHAnsi"/>
          <w:sz w:val="24"/>
          <w:lang w:val="ro-MD"/>
        </w:rPr>
        <w:t xml:space="preserve">, </w:t>
      </w:r>
      <w:r w:rsidR="00130413" w:rsidRPr="009772A3">
        <w:rPr>
          <w:rFonts w:asciiTheme="majorHAnsi" w:hAnsiTheme="majorHAnsi" w:cstheme="majorHAnsi"/>
          <w:sz w:val="24"/>
          <w:lang w:val="ro-MD"/>
        </w:rPr>
        <w:t>OSD –</w:t>
      </w:r>
      <w:r w:rsidR="00F43F59" w:rsidRPr="009772A3">
        <w:rPr>
          <w:rFonts w:asciiTheme="majorHAnsi" w:hAnsiTheme="majorHAnsi" w:cstheme="majorHAnsi"/>
          <w:sz w:val="24"/>
          <w:lang w:val="ro-MD"/>
        </w:rPr>
        <w:t xml:space="preserve"> </w:t>
      </w:r>
      <w:r w:rsidRPr="009772A3">
        <w:rPr>
          <w:rFonts w:asciiTheme="majorHAnsi" w:hAnsiTheme="majorHAnsi" w:cstheme="majorHAnsi"/>
          <w:sz w:val="24"/>
          <w:lang w:val="ro-MD"/>
        </w:rPr>
        <w:t>2.569.136,6 mii lei,</w:t>
      </w:r>
      <w:r w:rsidR="00130413" w:rsidRPr="009772A3">
        <w:rPr>
          <w:rFonts w:asciiTheme="majorHAnsi" w:hAnsiTheme="majorHAnsi" w:cstheme="majorHAnsi"/>
          <w:sz w:val="24"/>
          <w:lang w:val="ro-MD"/>
        </w:rPr>
        <w:t xml:space="preserve"> OST</w:t>
      </w:r>
      <w:r w:rsidR="00F43F59" w:rsidRPr="009772A3">
        <w:rPr>
          <w:rFonts w:asciiTheme="majorHAnsi" w:hAnsiTheme="majorHAnsi" w:cstheme="majorHAnsi"/>
          <w:sz w:val="24"/>
          <w:lang w:val="ro-MD"/>
        </w:rPr>
        <w:t xml:space="preserve"> </w:t>
      </w:r>
      <w:r w:rsidR="00130413" w:rsidRPr="009772A3">
        <w:rPr>
          <w:rFonts w:asciiTheme="majorHAnsi" w:hAnsiTheme="majorHAnsi" w:cstheme="majorHAnsi"/>
          <w:sz w:val="24"/>
          <w:lang w:val="ro-MD"/>
        </w:rPr>
        <w:t xml:space="preserve">– </w:t>
      </w:r>
      <w:r w:rsidRPr="009772A3">
        <w:rPr>
          <w:rFonts w:asciiTheme="majorHAnsi" w:hAnsiTheme="majorHAnsi" w:cstheme="majorHAnsi"/>
          <w:sz w:val="24"/>
          <w:lang w:val="ro-MD"/>
        </w:rPr>
        <w:t xml:space="preserve"> 502.862,4 mii lei.  </w:t>
      </w:r>
    </w:p>
    <w:p w14:paraId="1AADA31D" w14:textId="1C51A362" w:rsidR="00D524FC" w:rsidRPr="009772A3" w:rsidRDefault="00D524FC" w:rsidP="00D524F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Lipsa justificărilor corespunzătoare și exhaustive a</w:t>
      </w:r>
      <w:r w:rsidR="00F43F59"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normativelor de muncă, de timp și produc</w:t>
      </w:r>
      <w:r w:rsidR="00F43F59" w:rsidRPr="009772A3">
        <w:rPr>
          <w:rFonts w:asciiTheme="majorHAnsi" w:hAnsiTheme="majorHAnsi" w:cstheme="majorHAnsi"/>
          <w:sz w:val="24"/>
          <w:szCs w:val="24"/>
          <w:lang w:val="ro-MD"/>
        </w:rPr>
        <w:t>ție</w:t>
      </w:r>
      <w:r w:rsidRPr="009772A3">
        <w:rPr>
          <w:rFonts w:asciiTheme="majorHAnsi" w:hAnsiTheme="majorHAnsi" w:cstheme="majorHAnsi"/>
          <w:sz w:val="24"/>
          <w:szCs w:val="24"/>
          <w:lang w:val="ro-MD"/>
        </w:rPr>
        <w:t xml:space="preserve"> la stabilirea numărului de personal necesar pentru desfășurarea activității reglementate de furnizare, transport și distribuție a gazelor naturale, a generat acceptarea pentru anii 2017</w:t>
      </w:r>
      <w:r w:rsidR="00F43F5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de către ANRE spre recuperare prin tarif a cheltuielilor privind retribuirea muncii:  i) la furnizare în proporție de doar 68,5%</w:t>
      </w:r>
      <w:r w:rsidR="00FE455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în sumă totală de 324.281,5 mii lei din totalul de 473.522,6 mii lei, ii) la transport – 81,6%</w:t>
      </w:r>
      <w:r w:rsidR="00FE455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în sumă de 440.002,8 mii lei din total</w:t>
      </w:r>
      <w:r w:rsidR="00FE455E" w:rsidRPr="009772A3">
        <w:rPr>
          <w:rFonts w:asciiTheme="majorHAnsi" w:hAnsiTheme="majorHAnsi" w:cstheme="majorHAnsi"/>
          <w:sz w:val="24"/>
          <w:szCs w:val="24"/>
          <w:lang w:val="ro-MD"/>
        </w:rPr>
        <w:t>ul</w:t>
      </w:r>
      <w:r w:rsidRPr="009772A3">
        <w:rPr>
          <w:rFonts w:asciiTheme="majorHAnsi" w:hAnsiTheme="majorHAnsi" w:cstheme="majorHAnsi"/>
          <w:sz w:val="24"/>
          <w:szCs w:val="24"/>
          <w:lang w:val="ro-MD"/>
        </w:rPr>
        <w:t xml:space="preserve"> </w:t>
      </w:r>
      <w:r w:rsidR="00FE455E"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539.509,7 mii lei</w:t>
      </w:r>
      <w:r w:rsidR="00FE455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iii) la distribuție </w:t>
      </w:r>
      <w:r w:rsidR="00FE455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130413" w:rsidRPr="009772A3">
        <w:rPr>
          <w:rFonts w:asciiTheme="majorHAnsi" w:hAnsiTheme="majorHAnsi" w:cstheme="majorHAnsi"/>
          <w:sz w:val="24"/>
          <w:szCs w:val="24"/>
          <w:lang w:val="ro-MD"/>
        </w:rPr>
        <w:t>100</w:t>
      </w:r>
      <w:r w:rsidRPr="009772A3">
        <w:rPr>
          <w:rFonts w:asciiTheme="majorHAnsi" w:hAnsiTheme="majorHAnsi" w:cstheme="majorHAnsi"/>
          <w:sz w:val="24"/>
          <w:szCs w:val="24"/>
          <w:lang w:val="ro-MD"/>
        </w:rPr>
        <w:t>,</w:t>
      </w:r>
      <w:r w:rsidR="00130413" w:rsidRPr="009772A3">
        <w:rPr>
          <w:rFonts w:asciiTheme="majorHAnsi" w:hAnsiTheme="majorHAnsi" w:cstheme="majorHAnsi"/>
          <w:sz w:val="24"/>
          <w:szCs w:val="24"/>
          <w:lang w:val="ro-MD"/>
        </w:rPr>
        <w:t>1</w:t>
      </w:r>
      <w:r w:rsidRPr="009772A3">
        <w:rPr>
          <w:rFonts w:asciiTheme="majorHAnsi" w:hAnsiTheme="majorHAnsi" w:cstheme="majorHAnsi"/>
          <w:sz w:val="24"/>
          <w:szCs w:val="24"/>
          <w:lang w:val="ro-MD"/>
        </w:rPr>
        <w:t>%</w:t>
      </w:r>
      <w:r w:rsidR="00FE455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2.787.600,9 mii lei din </w:t>
      </w:r>
      <w:r w:rsidR="00FE455E" w:rsidRPr="009772A3">
        <w:rPr>
          <w:rFonts w:asciiTheme="majorHAnsi" w:hAnsiTheme="majorHAnsi" w:cstheme="majorHAnsi"/>
          <w:sz w:val="24"/>
          <w:szCs w:val="24"/>
          <w:lang w:val="ro-MD"/>
        </w:rPr>
        <w:t xml:space="preserve">totalul de </w:t>
      </w:r>
      <w:r w:rsidRPr="009772A3">
        <w:rPr>
          <w:rFonts w:asciiTheme="majorHAnsi" w:hAnsiTheme="majorHAnsi" w:cstheme="majorHAnsi"/>
          <w:sz w:val="24"/>
          <w:szCs w:val="24"/>
          <w:lang w:val="ro-MD"/>
        </w:rPr>
        <w:t>2.</w:t>
      </w:r>
      <w:r w:rsidR="00175041" w:rsidRPr="009772A3">
        <w:rPr>
          <w:rFonts w:asciiTheme="majorHAnsi" w:hAnsiTheme="majorHAnsi" w:cstheme="majorHAnsi"/>
          <w:sz w:val="24"/>
          <w:szCs w:val="24"/>
          <w:lang w:val="ro-MD"/>
        </w:rPr>
        <w:t>785</w:t>
      </w:r>
      <w:r w:rsidRPr="009772A3">
        <w:rPr>
          <w:rFonts w:asciiTheme="majorHAnsi" w:hAnsiTheme="majorHAnsi" w:cstheme="majorHAnsi"/>
          <w:sz w:val="24"/>
          <w:szCs w:val="24"/>
          <w:lang w:val="ro-MD"/>
        </w:rPr>
        <w:t>.</w:t>
      </w:r>
      <w:r w:rsidR="00175041" w:rsidRPr="009772A3">
        <w:rPr>
          <w:rFonts w:asciiTheme="majorHAnsi" w:hAnsiTheme="majorHAnsi" w:cstheme="majorHAnsi"/>
          <w:sz w:val="24"/>
          <w:szCs w:val="24"/>
          <w:lang w:val="ro-MD"/>
        </w:rPr>
        <w:t>034</w:t>
      </w:r>
      <w:r w:rsidRPr="009772A3">
        <w:rPr>
          <w:rFonts w:asciiTheme="majorHAnsi" w:hAnsiTheme="majorHAnsi" w:cstheme="majorHAnsi"/>
          <w:sz w:val="24"/>
          <w:szCs w:val="24"/>
          <w:lang w:val="ro-MD"/>
        </w:rPr>
        <w:t>,</w:t>
      </w:r>
      <w:r w:rsidR="00175041" w:rsidRPr="009772A3">
        <w:rPr>
          <w:rFonts w:asciiTheme="majorHAnsi" w:hAnsiTheme="majorHAnsi" w:cstheme="majorHAnsi"/>
          <w:sz w:val="24"/>
          <w:szCs w:val="24"/>
          <w:lang w:val="ro-MD"/>
        </w:rPr>
        <w:t>0</w:t>
      </w:r>
      <w:r w:rsidRPr="009772A3">
        <w:rPr>
          <w:rFonts w:asciiTheme="majorHAnsi" w:hAnsiTheme="majorHAnsi" w:cstheme="majorHAnsi"/>
          <w:sz w:val="24"/>
          <w:szCs w:val="24"/>
          <w:lang w:val="ro-MD"/>
        </w:rPr>
        <w:t xml:space="preserve"> mii lei.</w:t>
      </w:r>
    </w:p>
    <w:p w14:paraId="12574D48" w14:textId="6D6D55E7" w:rsidR="00D524FC" w:rsidRPr="009772A3" w:rsidRDefault="00D524FC" w:rsidP="00D524FC">
      <w:pPr>
        <w:spacing w:after="0" w:line="276" w:lineRule="auto"/>
        <w:ind w:firstLine="709"/>
        <w:jc w:val="both"/>
        <w:rPr>
          <w:rFonts w:asciiTheme="majorHAnsi" w:hAnsiTheme="majorHAnsi" w:cstheme="majorHAnsi"/>
          <w:noProof/>
          <w:sz w:val="24"/>
          <w:szCs w:val="24"/>
          <w:lang w:val="ro-MD"/>
        </w:rPr>
      </w:pPr>
      <w:r w:rsidRPr="009772A3">
        <w:rPr>
          <w:rFonts w:asciiTheme="majorHAnsi" w:hAnsiTheme="majorHAnsi" w:cstheme="majorHAnsi"/>
          <w:noProof/>
          <w:sz w:val="24"/>
          <w:szCs w:val="24"/>
          <w:lang w:val="ro-MD"/>
        </w:rPr>
        <w:t>Mai mult decât atât, în condițiile nejustificării corespunzătoare a numărului de personal și performanț</w:t>
      </w:r>
      <w:r w:rsidR="00FE455E" w:rsidRPr="009772A3">
        <w:rPr>
          <w:rFonts w:asciiTheme="majorHAnsi" w:hAnsiTheme="majorHAnsi" w:cstheme="majorHAnsi"/>
          <w:noProof/>
          <w:sz w:val="24"/>
          <w:szCs w:val="24"/>
          <w:lang w:val="ro-MD"/>
        </w:rPr>
        <w:t>ei</w:t>
      </w:r>
      <w:r w:rsidRPr="009772A3">
        <w:rPr>
          <w:rFonts w:asciiTheme="majorHAnsi" w:hAnsiTheme="majorHAnsi" w:cstheme="majorHAnsi"/>
          <w:noProof/>
          <w:sz w:val="24"/>
          <w:szCs w:val="24"/>
          <w:lang w:val="ro-MD"/>
        </w:rPr>
        <w:t xml:space="preserve"> financiar</w:t>
      </w:r>
      <w:r w:rsidR="00FE455E" w:rsidRPr="009772A3">
        <w:rPr>
          <w:rFonts w:asciiTheme="majorHAnsi" w:hAnsiTheme="majorHAnsi" w:cstheme="majorHAnsi"/>
          <w:noProof/>
          <w:sz w:val="24"/>
          <w:szCs w:val="24"/>
          <w:lang w:val="ro-MD"/>
        </w:rPr>
        <w:t>e</w:t>
      </w:r>
      <w:r w:rsidRPr="009772A3">
        <w:rPr>
          <w:rFonts w:asciiTheme="majorHAnsi" w:hAnsiTheme="majorHAnsi" w:cstheme="majorHAnsi"/>
          <w:noProof/>
          <w:sz w:val="24"/>
          <w:szCs w:val="24"/>
          <w:lang w:val="ro-MD"/>
        </w:rPr>
        <w:t xml:space="preserve"> consolidat</w:t>
      </w:r>
      <w:r w:rsidR="00FE455E" w:rsidRPr="009772A3">
        <w:rPr>
          <w:rFonts w:asciiTheme="majorHAnsi" w:hAnsiTheme="majorHAnsi" w:cstheme="majorHAnsi"/>
          <w:noProof/>
          <w:sz w:val="24"/>
          <w:szCs w:val="24"/>
          <w:lang w:val="ro-MD"/>
        </w:rPr>
        <w:t>e</w:t>
      </w:r>
      <w:r w:rsidRPr="009772A3">
        <w:rPr>
          <w:rFonts w:asciiTheme="majorHAnsi" w:hAnsiTheme="majorHAnsi" w:cstheme="majorHAnsi"/>
          <w:noProof/>
          <w:sz w:val="24"/>
          <w:szCs w:val="24"/>
          <w:lang w:val="ro-MD"/>
        </w:rPr>
        <w:t xml:space="preserve"> negativ</w:t>
      </w:r>
      <w:r w:rsidR="00FE455E" w:rsidRPr="009772A3">
        <w:rPr>
          <w:rFonts w:asciiTheme="majorHAnsi" w:hAnsiTheme="majorHAnsi" w:cstheme="majorHAnsi"/>
          <w:noProof/>
          <w:sz w:val="24"/>
          <w:szCs w:val="24"/>
          <w:lang w:val="ro-MD"/>
        </w:rPr>
        <w:t>e</w:t>
      </w:r>
      <w:r w:rsidRPr="009772A3">
        <w:rPr>
          <w:rFonts w:asciiTheme="majorHAnsi" w:hAnsiTheme="majorHAnsi" w:cstheme="majorHAnsi"/>
          <w:noProof/>
          <w:sz w:val="24"/>
          <w:szCs w:val="24"/>
          <w:lang w:val="ro-MD"/>
        </w:rPr>
        <w:t xml:space="preserve"> </w:t>
      </w:r>
      <w:r w:rsidRPr="008279EB">
        <w:rPr>
          <w:rFonts w:asciiTheme="majorHAnsi" w:hAnsiTheme="majorHAnsi" w:cstheme="majorHAnsi"/>
          <w:noProof/>
          <w:sz w:val="24"/>
          <w:szCs w:val="24"/>
          <w:lang w:val="ro-MD"/>
        </w:rPr>
        <w:t>în ultimii doi ani auditați</w:t>
      </w:r>
      <w:r w:rsidR="00FE455E" w:rsidRPr="009772A3">
        <w:rPr>
          <w:rFonts w:asciiTheme="majorHAnsi" w:hAnsiTheme="majorHAnsi" w:cstheme="majorHAnsi"/>
          <w:noProof/>
          <w:sz w:val="24"/>
          <w:szCs w:val="24"/>
          <w:lang w:val="ro-MD"/>
        </w:rPr>
        <w:t>,</w:t>
      </w:r>
      <w:r w:rsidRPr="009772A3">
        <w:rPr>
          <w:rFonts w:asciiTheme="majorHAnsi" w:hAnsiTheme="majorHAnsi" w:cstheme="majorHAnsi"/>
          <w:noProof/>
          <w:sz w:val="24"/>
          <w:szCs w:val="24"/>
          <w:lang w:val="ro-MD"/>
        </w:rPr>
        <w:t xml:space="preserve"> </w:t>
      </w:r>
      <w:r w:rsidR="00FE455E" w:rsidRPr="009772A3">
        <w:rPr>
          <w:rFonts w:asciiTheme="majorHAnsi" w:hAnsiTheme="majorHAnsi" w:cstheme="majorHAnsi"/>
          <w:noProof/>
          <w:sz w:val="24"/>
          <w:szCs w:val="24"/>
          <w:lang w:val="ro-MD"/>
        </w:rPr>
        <w:t>l</w:t>
      </w:r>
      <w:r w:rsidRPr="009772A3">
        <w:rPr>
          <w:rFonts w:asciiTheme="majorHAnsi" w:hAnsiTheme="majorHAnsi" w:cstheme="majorHAnsi"/>
          <w:noProof/>
          <w:sz w:val="24"/>
          <w:szCs w:val="24"/>
          <w:lang w:val="ro-MD"/>
        </w:rPr>
        <w:t xml:space="preserve">a grupul SA Moldovagaz </w:t>
      </w:r>
      <w:r w:rsidR="00FE455E" w:rsidRPr="009772A3">
        <w:rPr>
          <w:rFonts w:asciiTheme="majorHAnsi" w:hAnsiTheme="majorHAnsi" w:cstheme="majorHAnsi"/>
          <w:noProof/>
          <w:sz w:val="24"/>
          <w:szCs w:val="24"/>
          <w:lang w:val="ro-MD"/>
        </w:rPr>
        <w:t>s-</w:t>
      </w:r>
      <w:r w:rsidRPr="009772A3">
        <w:rPr>
          <w:rFonts w:asciiTheme="majorHAnsi" w:hAnsiTheme="majorHAnsi" w:cstheme="majorHAnsi"/>
          <w:noProof/>
          <w:sz w:val="24"/>
          <w:szCs w:val="24"/>
          <w:lang w:val="ro-MD"/>
        </w:rPr>
        <w:t>a</w:t>
      </w:r>
      <w:r w:rsidR="00FE455E" w:rsidRPr="009772A3">
        <w:rPr>
          <w:rFonts w:asciiTheme="majorHAnsi" w:hAnsiTheme="majorHAnsi" w:cstheme="majorHAnsi"/>
          <w:noProof/>
          <w:sz w:val="24"/>
          <w:szCs w:val="24"/>
          <w:lang w:val="ro-MD"/>
        </w:rPr>
        <w:t>u</w:t>
      </w:r>
      <w:r w:rsidRPr="009772A3">
        <w:rPr>
          <w:rFonts w:asciiTheme="majorHAnsi" w:hAnsiTheme="majorHAnsi" w:cstheme="majorHAnsi"/>
          <w:noProof/>
          <w:sz w:val="24"/>
          <w:szCs w:val="24"/>
          <w:lang w:val="ro-MD"/>
        </w:rPr>
        <w:t xml:space="preserve"> </w:t>
      </w:r>
      <w:r w:rsidR="00FE455E" w:rsidRPr="009772A3">
        <w:rPr>
          <w:rFonts w:asciiTheme="majorHAnsi" w:hAnsiTheme="majorHAnsi" w:cstheme="majorHAnsi"/>
          <w:noProof/>
          <w:sz w:val="24"/>
          <w:szCs w:val="24"/>
          <w:lang w:val="ro-MD"/>
        </w:rPr>
        <w:t>constatat</w:t>
      </w:r>
      <w:r w:rsidRPr="009772A3">
        <w:rPr>
          <w:rFonts w:asciiTheme="majorHAnsi" w:hAnsiTheme="majorHAnsi" w:cstheme="majorHAnsi"/>
          <w:noProof/>
          <w:sz w:val="24"/>
          <w:szCs w:val="24"/>
          <w:lang w:val="ro-MD"/>
        </w:rPr>
        <w:t>:</w:t>
      </w:r>
    </w:p>
    <w:p w14:paraId="3A3C758C" w14:textId="096C4419" w:rsidR="00D524FC" w:rsidRPr="009772A3" w:rsidRDefault="00D524FC" w:rsidP="008B1C95">
      <w:pPr>
        <w:pStyle w:val="ListParagraph"/>
        <w:numPr>
          <w:ilvl w:val="0"/>
          <w:numId w:val="3"/>
        </w:numPr>
        <w:spacing w:after="0" w:line="276" w:lineRule="auto"/>
        <w:ind w:left="709" w:hanging="283"/>
        <w:jc w:val="both"/>
        <w:rPr>
          <w:rFonts w:asciiTheme="majorHAnsi" w:hAnsiTheme="majorHAnsi" w:cstheme="majorHAnsi"/>
          <w:noProof/>
          <w:sz w:val="24"/>
          <w:szCs w:val="24"/>
          <w:lang w:val="ro-MD"/>
        </w:rPr>
      </w:pPr>
      <w:r w:rsidRPr="009772A3">
        <w:rPr>
          <w:rFonts w:asciiTheme="majorHAnsi" w:hAnsiTheme="majorHAnsi" w:cstheme="majorHAnsi"/>
          <w:noProof/>
          <w:sz w:val="24"/>
          <w:szCs w:val="24"/>
          <w:lang w:val="ro-MD"/>
        </w:rPr>
        <w:t xml:space="preserve">neconsiderarea veniturilor limitate din activitatea reglementată la stabilirea remunerațiilor organelor de conducere ale SA Moldovagaz. Doar în perioada 2017-2021, acestea au constituit cca </w:t>
      </w:r>
      <w:r w:rsidR="000078A3" w:rsidRPr="009772A3">
        <w:rPr>
          <w:rFonts w:asciiTheme="majorHAnsi" w:hAnsiTheme="majorHAnsi" w:cstheme="majorHAnsi"/>
          <w:noProof/>
          <w:sz w:val="24"/>
          <w:szCs w:val="24"/>
          <w:lang w:val="ro-MD"/>
        </w:rPr>
        <w:t>109.939,1</w:t>
      </w:r>
      <w:r w:rsidRPr="009772A3">
        <w:rPr>
          <w:rFonts w:asciiTheme="majorHAnsi" w:hAnsiTheme="majorHAnsi" w:cstheme="majorHAnsi"/>
          <w:noProof/>
          <w:sz w:val="24"/>
          <w:szCs w:val="24"/>
          <w:lang w:val="ro-MD"/>
        </w:rPr>
        <w:t xml:space="preserve"> mii lei</w:t>
      </w:r>
      <w:r w:rsidR="00FE455E" w:rsidRPr="009772A3">
        <w:rPr>
          <w:rFonts w:asciiTheme="majorHAnsi" w:hAnsiTheme="majorHAnsi" w:cstheme="majorHAnsi"/>
          <w:noProof/>
          <w:sz w:val="24"/>
          <w:szCs w:val="24"/>
          <w:lang w:val="ro-MD"/>
        </w:rPr>
        <w:t>,</w:t>
      </w:r>
      <w:r w:rsidRPr="009772A3">
        <w:rPr>
          <w:rFonts w:asciiTheme="majorHAnsi" w:hAnsiTheme="majorHAnsi" w:cstheme="majorHAnsi"/>
          <w:noProof/>
          <w:sz w:val="24"/>
          <w:szCs w:val="24"/>
          <w:lang w:val="ro-MD"/>
        </w:rPr>
        <w:t xml:space="preserve"> sau cca 23% din totalul cheltuielilor prvind remunerarea muncii aferente furnizării gazelor naturale;</w:t>
      </w:r>
    </w:p>
    <w:p w14:paraId="25BC21E4" w14:textId="1FA901F2" w:rsidR="00D524FC" w:rsidRPr="009772A3" w:rsidRDefault="00D524FC" w:rsidP="008B1C95">
      <w:pPr>
        <w:pStyle w:val="ListParagraph"/>
        <w:numPr>
          <w:ilvl w:val="0"/>
          <w:numId w:val="3"/>
        </w:numPr>
        <w:spacing w:after="0" w:line="276" w:lineRule="auto"/>
        <w:ind w:left="709" w:hanging="283"/>
        <w:jc w:val="both"/>
        <w:rPr>
          <w:rFonts w:asciiTheme="majorHAnsi" w:hAnsiTheme="majorHAnsi" w:cstheme="majorHAnsi"/>
          <w:bCs/>
          <w:noProof/>
          <w:sz w:val="24"/>
          <w:szCs w:val="24"/>
          <w:lang w:val="ro-MD"/>
        </w:rPr>
      </w:pPr>
      <w:r w:rsidRPr="009772A3">
        <w:rPr>
          <w:rFonts w:asciiTheme="majorHAnsi" w:hAnsiTheme="majorHAnsi" w:cstheme="majorHAnsi"/>
          <w:bCs/>
          <w:noProof/>
          <w:sz w:val="24"/>
          <w:szCs w:val="24"/>
          <w:lang w:val="ro-MD"/>
        </w:rPr>
        <w:t xml:space="preserve">depășirea nejustificată și cu regularitate a statelor de personal aprobate pentru funcțiile de consilieri ai președintelui și vicepreședintelui Consiliului de </w:t>
      </w:r>
      <w:r w:rsidR="007048D5" w:rsidRPr="009772A3">
        <w:rPr>
          <w:rFonts w:asciiTheme="majorHAnsi" w:hAnsiTheme="majorHAnsi" w:cstheme="majorHAnsi"/>
          <w:bCs/>
          <w:noProof/>
          <w:sz w:val="24"/>
          <w:szCs w:val="24"/>
          <w:lang w:val="ro-MD"/>
        </w:rPr>
        <w:t>a</w:t>
      </w:r>
      <w:r w:rsidRPr="009772A3">
        <w:rPr>
          <w:rFonts w:asciiTheme="majorHAnsi" w:hAnsiTheme="majorHAnsi" w:cstheme="majorHAnsi"/>
          <w:bCs/>
          <w:noProof/>
          <w:sz w:val="24"/>
          <w:szCs w:val="24"/>
          <w:lang w:val="ro-MD"/>
        </w:rPr>
        <w:t>dministrație al Societății (de 2-3 ori), fiind angajate persoane pe o perioadă determinată (de regulă</w:t>
      </w:r>
      <w:r w:rsidR="007048D5" w:rsidRPr="009772A3">
        <w:rPr>
          <w:rFonts w:asciiTheme="majorHAnsi" w:hAnsiTheme="majorHAnsi" w:cstheme="majorHAnsi"/>
          <w:bCs/>
          <w:noProof/>
          <w:sz w:val="24"/>
          <w:szCs w:val="24"/>
          <w:lang w:val="ro-MD"/>
        </w:rPr>
        <w:t>,</w:t>
      </w:r>
      <w:r w:rsidRPr="009772A3">
        <w:rPr>
          <w:rFonts w:asciiTheme="majorHAnsi" w:hAnsiTheme="majorHAnsi" w:cstheme="majorHAnsi"/>
          <w:bCs/>
          <w:noProof/>
          <w:sz w:val="24"/>
          <w:szCs w:val="24"/>
          <w:lang w:val="ro-MD"/>
        </w:rPr>
        <w:t xml:space="preserve"> 1 an) în bază de contract individual de muncă, cu salarii similare celor aprobate în statele de personal sau chiar și mai mari, fără ca aceștia să dispună de activități clar </w:t>
      </w:r>
      <w:r w:rsidR="008279EB">
        <w:rPr>
          <w:rFonts w:asciiTheme="majorHAnsi" w:hAnsiTheme="majorHAnsi" w:cstheme="majorHAnsi"/>
          <w:bCs/>
          <w:noProof/>
          <w:sz w:val="24"/>
          <w:szCs w:val="24"/>
          <w:lang w:val="ro-MD"/>
        </w:rPr>
        <w:t>stabili</w:t>
      </w:r>
      <w:r w:rsidR="008279EB" w:rsidRPr="009772A3">
        <w:rPr>
          <w:rFonts w:asciiTheme="majorHAnsi" w:hAnsiTheme="majorHAnsi" w:cstheme="majorHAnsi"/>
          <w:bCs/>
          <w:noProof/>
          <w:sz w:val="24"/>
          <w:szCs w:val="24"/>
          <w:lang w:val="ro-MD"/>
        </w:rPr>
        <w:t>te</w:t>
      </w:r>
      <w:r w:rsidRPr="009772A3">
        <w:rPr>
          <w:rFonts w:asciiTheme="majorHAnsi" w:hAnsiTheme="majorHAnsi" w:cstheme="majorHAnsi"/>
          <w:bCs/>
          <w:noProof/>
          <w:sz w:val="24"/>
          <w:szCs w:val="24"/>
          <w:lang w:val="ro-MD"/>
        </w:rPr>
        <w:t>. Pentru remunerarea muncii acestora au fost suportate cheltuieli salariale în sumă de 15.585,7 mii lei;</w:t>
      </w:r>
    </w:p>
    <w:p w14:paraId="3D6CEF29" w14:textId="77777777" w:rsidR="00D524FC" w:rsidRPr="009772A3" w:rsidRDefault="00D524FC" w:rsidP="008B1C95">
      <w:pPr>
        <w:pStyle w:val="ListParagraph"/>
        <w:numPr>
          <w:ilvl w:val="0"/>
          <w:numId w:val="3"/>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acordarea plăților de stimulare și compensare financiară angajaților întreprinderilor din domeniul gazelor naturale în lipsa unor surse suplimentare de venituri nereglementate pentru acoperirea lor;</w:t>
      </w:r>
    </w:p>
    <w:p w14:paraId="171FCEBD" w14:textId="256233DA" w:rsidR="00D524FC" w:rsidRPr="009772A3" w:rsidRDefault="00D524FC" w:rsidP="008B1C95">
      <w:pPr>
        <w:pStyle w:val="ListParagraph"/>
        <w:numPr>
          <w:ilvl w:val="0"/>
          <w:numId w:val="3"/>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noProof/>
          <w:sz w:val="24"/>
          <w:szCs w:val="24"/>
          <w:lang w:val="ro-MD"/>
        </w:rPr>
        <w:t>necorelarea plăților de stimulare și compensare financiară a angajaților cu rezultatele economico-financiare anuale ale soci</w:t>
      </w:r>
      <w:r w:rsidR="00EC4131">
        <w:rPr>
          <w:rFonts w:asciiTheme="majorHAnsi" w:hAnsiTheme="majorHAnsi" w:cstheme="majorHAnsi"/>
          <w:noProof/>
          <w:sz w:val="24"/>
          <w:szCs w:val="24"/>
          <w:lang w:val="ro-MD"/>
        </w:rPr>
        <w:t>e</w:t>
      </w:r>
      <w:r w:rsidRPr="009772A3">
        <w:rPr>
          <w:rFonts w:asciiTheme="majorHAnsi" w:hAnsiTheme="majorHAnsi" w:cstheme="majorHAnsi"/>
          <w:noProof/>
          <w:sz w:val="24"/>
          <w:szCs w:val="24"/>
          <w:lang w:val="ro-MD"/>
        </w:rPr>
        <w:t>tăților, inclusiv la nivel de reglementări interne, țin</w:t>
      </w:r>
      <w:r w:rsidR="007048D5" w:rsidRPr="009772A3">
        <w:rPr>
          <w:rFonts w:asciiTheme="majorHAnsi" w:hAnsiTheme="majorHAnsi" w:cstheme="majorHAnsi"/>
          <w:noProof/>
          <w:sz w:val="24"/>
          <w:szCs w:val="24"/>
          <w:lang w:val="ro-MD"/>
        </w:rPr>
        <w:t>â</w:t>
      </w:r>
      <w:r w:rsidRPr="009772A3">
        <w:rPr>
          <w:rFonts w:asciiTheme="majorHAnsi" w:hAnsiTheme="majorHAnsi" w:cstheme="majorHAnsi"/>
          <w:noProof/>
          <w:sz w:val="24"/>
          <w:szCs w:val="24"/>
          <w:lang w:val="ro-MD"/>
        </w:rPr>
        <w:t>nd cont și de ajustări</w:t>
      </w:r>
      <w:r w:rsidR="007048D5" w:rsidRPr="009772A3">
        <w:rPr>
          <w:rFonts w:asciiTheme="majorHAnsi" w:hAnsiTheme="majorHAnsi" w:cstheme="majorHAnsi"/>
          <w:noProof/>
          <w:sz w:val="24"/>
          <w:szCs w:val="24"/>
          <w:lang w:val="ro-MD"/>
        </w:rPr>
        <w:t>le</w:t>
      </w:r>
      <w:r w:rsidRPr="009772A3">
        <w:rPr>
          <w:rFonts w:asciiTheme="majorHAnsi" w:hAnsiTheme="majorHAnsi" w:cstheme="majorHAnsi"/>
          <w:noProof/>
          <w:sz w:val="24"/>
          <w:szCs w:val="24"/>
          <w:lang w:val="ro-MD"/>
        </w:rPr>
        <w:t xml:space="preserve"> nejustificate spre diminuare a cheltuielilor și spre majorare a veniturilor a</w:t>
      </w:r>
      <w:r w:rsidR="007048D5" w:rsidRPr="009772A3">
        <w:rPr>
          <w:rFonts w:asciiTheme="majorHAnsi" w:hAnsiTheme="majorHAnsi" w:cstheme="majorHAnsi"/>
          <w:noProof/>
          <w:sz w:val="24"/>
          <w:szCs w:val="24"/>
          <w:lang w:val="ro-MD"/>
        </w:rPr>
        <w:t>le</w:t>
      </w:r>
      <w:r w:rsidRPr="009772A3">
        <w:rPr>
          <w:rFonts w:asciiTheme="majorHAnsi" w:hAnsiTheme="majorHAnsi" w:cstheme="majorHAnsi"/>
          <w:noProof/>
          <w:sz w:val="24"/>
          <w:szCs w:val="24"/>
          <w:lang w:val="ro-MD"/>
        </w:rPr>
        <w:t xml:space="preserve"> întreprinderilor din sistemul SA Moldovagaz;</w:t>
      </w:r>
    </w:p>
    <w:p w14:paraId="3A4AF024" w14:textId="26C78EAD" w:rsidR="00D524FC" w:rsidRPr="009772A3" w:rsidRDefault="00D524FC" w:rsidP="008B1C95">
      <w:pPr>
        <w:pStyle w:val="ListParagraph"/>
        <w:numPr>
          <w:ilvl w:val="0"/>
          <w:numId w:val="3"/>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acordarea plăților de stimulare în lipsa unui sistem de evaluare a performanțelor, care ar justifica și </w:t>
      </w:r>
      <w:r w:rsidR="007048D5" w:rsidRPr="009772A3">
        <w:rPr>
          <w:rFonts w:asciiTheme="majorHAnsi" w:hAnsiTheme="majorHAnsi" w:cstheme="majorHAnsi"/>
          <w:sz w:val="24"/>
          <w:szCs w:val="24"/>
          <w:lang w:val="ro-MD"/>
        </w:rPr>
        <w:t xml:space="preserve">ar </w:t>
      </w:r>
      <w:r w:rsidRPr="009772A3">
        <w:rPr>
          <w:rFonts w:asciiTheme="majorHAnsi" w:hAnsiTheme="majorHAnsi" w:cstheme="majorHAnsi"/>
          <w:sz w:val="24"/>
          <w:szCs w:val="24"/>
          <w:lang w:val="ro-MD"/>
        </w:rPr>
        <w:t xml:space="preserve">documenta rezultatele remarcabile obținute de unii angajați. </w:t>
      </w:r>
      <w:r w:rsidRPr="009772A3">
        <w:rPr>
          <w:rFonts w:asciiTheme="majorHAnsi" w:hAnsiTheme="majorHAnsi" w:cstheme="majorHAnsi"/>
          <w:noProof/>
          <w:sz w:val="24"/>
          <w:szCs w:val="24"/>
          <w:lang w:val="ro-MD"/>
        </w:rPr>
        <w:t xml:space="preserve">În </w:t>
      </w:r>
      <w:r w:rsidR="007048D5" w:rsidRPr="009772A3">
        <w:rPr>
          <w:rFonts w:asciiTheme="majorHAnsi" w:hAnsiTheme="majorHAnsi" w:cstheme="majorHAnsi"/>
          <w:noProof/>
          <w:sz w:val="24"/>
          <w:szCs w:val="24"/>
          <w:lang w:val="ro-MD"/>
        </w:rPr>
        <w:t xml:space="preserve">acest </w:t>
      </w:r>
      <w:r w:rsidRPr="009772A3">
        <w:rPr>
          <w:rFonts w:asciiTheme="majorHAnsi" w:hAnsiTheme="majorHAnsi" w:cstheme="majorHAnsi"/>
          <w:noProof/>
          <w:sz w:val="24"/>
          <w:szCs w:val="24"/>
          <w:lang w:val="ro-MD"/>
        </w:rPr>
        <w:t xml:space="preserve">context se exemplifică că la </w:t>
      </w:r>
      <w:r w:rsidRPr="009772A3">
        <w:rPr>
          <w:rFonts w:asciiTheme="majorHAnsi" w:hAnsiTheme="majorHAnsi" w:cstheme="majorHAnsi"/>
          <w:sz w:val="24"/>
          <w:szCs w:val="24"/>
          <w:lang w:val="ro-MD"/>
        </w:rPr>
        <w:t>SRL Ialoveni-gaz s-a</w:t>
      </w:r>
      <w:r w:rsidR="007048D5"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acordat plăți stimulatorii</w:t>
      </w:r>
      <w:r w:rsidRPr="009772A3">
        <w:rPr>
          <w:rFonts w:asciiTheme="majorHAnsi" w:hAnsiTheme="majorHAnsi" w:cstheme="majorHAnsi"/>
          <w:sz w:val="24"/>
          <w:vertAlign w:val="superscript"/>
          <w:lang w:val="ro-MD"/>
        </w:rPr>
        <w:footnoteReference w:id="122"/>
      </w:r>
      <w:r w:rsidRPr="009772A3">
        <w:rPr>
          <w:rFonts w:asciiTheme="majorHAnsi" w:hAnsiTheme="majorHAnsi" w:cstheme="majorHAnsi"/>
          <w:sz w:val="24"/>
          <w:szCs w:val="24"/>
          <w:lang w:val="ro-MD"/>
        </w:rPr>
        <w:t xml:space="preserve"> în lipsa unor indicatori exhaustivi și evaluări</w:t>
      </w:r>
      <w:r w:rsidR="007048D5"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justificate măsurabile în acest sens, fapt care a permis utilizarea resurselor din Fondul </w:t>
      </w:r>
      <w:r w:rsidR="007048D5" w:rsidRPr="009772A3">
        <w:rPr>
          <w:rFonts w:asciiTheme="majorHAnsi" w:hAnsiTheme="majorHAnsi" w:cstheme="majorHAnsi"/>
          <w:sz w:val="24"/>
          <w:szCs w:val="24"/>
          <w:lang w:val="ro-MD"/>
        </w:rPr>
        <w:t>d</w:t>
      </w:r>
      <w:r w:rsidRPr="009772A3">
        <w:rPr>
          <w:rFonts w:asciiTheme="majorHAnsi" w:hAnsiTheme="majorHAnsi" w:cstheme="majorHAnsi"/>
          <w:sz w:val="24"/>
          <w:szCs w:val="24"/>
          <w:lang w:val="ro-MD"/>
        </w:rPr>
        <w:t>irectorului pentru premierea doar a unora și acelorași angajați</w:t>
      </w:r>
      <w:r w:rsidR="007048D5" w:rsidRPr="009772A3">
        <w:rPr>
          <w:rFonts w:asciiTheme="majorHAnsi" w:hAnsiTheme="majorHAnsi" w:cstheme="majorHAnsi"/>
          <w:sz w:val="24"/>
          <w:szCs w:val="24"/>
          <w:lang w:val="ro-MD"/>
        </w:rPr>
        <w:t>;</w:t>
      </w:r>
    </w:p>
    <w:p w14:paraId="67EB79DB" w14:textId="77777777" w:rsidR="00D524FC" w:rsidRPr="009772A3" w:rsidRDefault="00D524FC" w:rsidP="008B1C95">
      <w:pPr>
        <w:pStyle w:val="ListParagraph"/>
        <w:numPr>
          <w:ilvl w:val="0"/>
          <w:numId w:val="3"/>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alte iregularități în domeniul remunerării muncii care au fost aduse la cunoștința entităților auditate.</w:t>
      </w:r>
    </w:p>
    <w:p w14:paraId="4FAEAC29" w14:textId="77777777" w:rsidR="00D524FC" w:rsidRPr="009772A3" w:rsidRDefault="00D524FC" w:rsidP="00D524FC">
      <w:pPr>
        <w:spacing w:after="0" w:line="276" w:lineRule="auto"/>
        <w:ind w:firstLine="709"/>
        <w:jc w:val="both"/>
        <w:rPr>
          <w:rFonts w:asciiTheme="majorHAnsi" w:hAnsiTheme="majorHAnsi" w:cstheme="majorHAnsi"/>
          <w:bCs/>
          <w:noProof/>
          <w:sz w:val="24"/>
          <w:szCs w:val="24"/>
          <w:lang w:val="ro-MD"/>
        </w:rPr>
      </w:pPr>
      <w:r w:rsidRPr="009772A3">
        <w:rPr>
          <w:rFonts w:asciiTheme="majorHAnsi" w:hAnsiTheme="majorHAnsi" w:cstheme="majorHAnsi"/>
          <w:bCs/>
          <w:i/>
          <w:noProof/>
          <w:sz w:val="24"/>
          <w:szCs w:val="24"/>
          <w:lang w:val="ro-MD"/>
        </w:rPr>
        <w:t>Notă:</w:t>
      </w:r>
      <w:r w:rsidRPr="009772A3">
        <w:rPr>
          <w:rFonts w:asciiTheme="majorHAnsi" w:hAnsiTheme="majorHAnsi" w:cstheme="majorHAnsi"/>
          <w:bCs/>
          <w:noProof/>
          <w:sz w:val="24"/>
          <w:szCs w:val="24"/>
          <w:lang w:val="ro-MD"/>
        </w:rPr>
        <w:t xml:space="preserve"> Se menționează că pe parcursul realizării misiunii de audit, conform noilor state aprobate</w:t>
      </w:r>
      <w:r w:rsidRPr="009772A3">
        <w:rPr>
          <w:rStyle w:val="FootnoteReference"/>
          <w:rFonts w:asciiTheme="majorHAnsi" w:hAnsiTheme="majorHAnsi" w:cstheme="majorHAnsi"/>
          <w:bCs/>
          <w:noProof/>
          <w:sz w:val="24"/>
          <w:szCs w:val="24"/>
          <w:lang w:val="ro-MD"/>
        </w:rPr>
        <w:footnoteReference w:id="123"/>
      </w:r>
      <w:r w:rsidRPr="009772A3">
        <w:rPr>
          <w:rFonts w:asciiTheme="majorHAnsi" w:hAnsiTheme="majorHAnsi" w:cstheme="majorHAnsi"/>
          <w:bCs/>
          <w:noProof/>
          <w:sz w:val="24"/>
          <w:szCs w:val="24"/>
          <w:lang w:val="ro-MD"/>
        </w:rPr>
        <w:t xml:space="preserve">, în cadrul aparatului administrativ al SA Moldovagaz au fost reduse 6 unități de personal, inclusiv a fost lichidată Secția insolvabilitate și executarea hotărârilor judecătorești din cadrul Direcției juridice, ceea ce a produs o optimizare a numărului de angajați în cadrul subdiviziunii. </w:t>
      </w:r>
    </w:p>
    <w:p w14:paraId="7B0F866B" w14:textId="1DA93015" w:rsidR="00D524FC" w:rsidRPr="009772A3" w:rsidRDefault="00D524FC" w:rsidP="00D524F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Totodată, </w:t>
      </w:r>
      <w:bookmarkEnd w:id="167"/>
      <w:r w:rsidRPr="009772A3">
        <w:rPr>
          <w:rFonts w:asciiTheme="majorHAnsi" w:hAnsiTheme="majorHAnsi" w:cstheme="majorHAnsi"/>
          <w:sz w:val="24"/>
          <w:szCs w:val="24"/>
          <w:lang w:val="ro-MD"/>
        </w:rPr>
        <w:t>auditul menționează că numărul de angajați efectiv încadrați în activitatea întreprinderilor de distribuție auditate</w:t>
      </w:r>
      <w:r w:rsidRPr="009772A3">
        <w:rPr>
          <w:rFonts w:asciiTheme="majorHAnsi" w:hAnsiTheme="majorHAnsi" w:cstheme="majorHAnsi"/>
          <w:sz w:val="24"/>
          <w:szCs w:val="24"/>
          <w:vertAlign w:val="superscript"/>
          <w:lang w:val="ro-MD"/>
        </w:rPr>
        <w:footnoteReference w:id="124"/>
      </w:r>
      <w:r w:rsidRPr="009772A3">
        <w:rPr>
          <w:rFonts w:asciiTheme="majorHAnsi" w:hAnsiTheme="majorHAnsi" w:cstheme="majorHAnsi"/>
          <w:sz w:val="24"/>
          <w:szCs w:val="24"/>
          <w:lang w:val="ro-MD"/>
        </w:rPr>
        <w:t xml:space="preserve"> este</w:t>
      </w:r>
      <w:r w:rsidR="007048D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 regulă</w:t>
      </w:r>
      <w:r w:rsidR="007048D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mai mic decât cel aprobat conform statelor de personal, fapt ce denotă că fundamentarea conformă a statelor de personal poate genera optimizarea cheltuielilor privind remunerarea muncii și </w:t>
      </w:r>
      <w:r w:rsidR="007048D5" w:rsidRPr="009772A3">
        <w:rPr>
          <w:rFonts w:asciiTheme="majorHAnsi" w:hAnsiTheme="majorHAnsi" w:cstheme="majorHAnsi"/>
          <w:sz w:val="24"/>
          <w:szCs w:val="24"/>
          <w:lang w:val="ro-MD"/>
        </w:rPr>
        <w:t xml:space="preserve">poate </w:t>
      </w:r>
      <w:r w:rsidRPr="009772A3">
        <w:rPr>
          <w:rFonts w:asciiTheme="majorHAnsi" w:hAnsiTheme="majorHAnsi" w:cstheme="majorHAnsi"/>
          <w:sz w:val="24"/>
          <w:szCs w:val="24"/>
          <w:lang w:val="ro-MD"/>
        </w:rPr>
        <w:t>păstra eficiența operațională așteptată a întreprinderilor. De asemenea, și în cadrul activității de transport a</w:t>
      </w:r>
      <w:r w:rsidR="007048D5"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gazelor naturale (SRL Moldovatransgaz)</w:t>
      </w:r>
      <w:r w:rsidR="007048D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auditul a observat că</w:t>
      </w:r>
      <w:r w:rsidR="007048D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deși numărul unităților de personal aprobate a fost într-o descreștere nesemnificativă</w:t>
      </w:r>
      <w:r w:rsidR="007048D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11 unități în anul 2021 față de anul 2017, numărul de funcții vacante a înregistrat o creștere continuă (de la 40,5 în anul 2017 la 90,5 pentru anul 2021). Entitatea de transport nu deține reglementări cu privire la modul de recrutare/angajare a personalului, anunțurile privind disponibilitatea de funcții vacante fiind plasate, la necesitate, în diferite surse de informare. Auditul a verificat informațiile disponibile pe pagina oficială a entității și, deși entitatea înregistrează circa 90 de unități vacante, anunțuri sunt publicate doar pentru 6 funcții. Această situație este cauzată de lacunele existente în procesul de elaborare a statelor de personal</w:t>
      </w:r>
      <w:r w:rsidR="008F3D7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precum și </w:t>
      </w:r>
      <w:r w:rsidR="00EC4131">
        <w:rPr>
          <w:rFonts w:asciiTheme="majorHAnsi" w:hAnsiTheme="majorHAnsi" w:cstheme="majorHAnsi"/>
          <w:sz w:val="24"/>
          <w:szCs w:val="24"/>
          <w:lang w:val="ro-MD"/>
        </w:rPr>
        <w:t xml:space="preserve">în procesul </w:t>
      </w:r>
      <w:r w:rsidRPr="009772A3">
        <w:rPr>
          <w:rFonts w:asciiTheme="majorHAnsi" w:hAnsiTheme="majorHAnsi" w:cstheme="majorHAnsi"/>
          <w:sz w:val="24"/>
          <w:szCs w:val="24"/>
          <w:lang w:val="ro-MD"/>
        </w:rPr>
        <w:t>de angajare/recrutare a personalului necesar asigurării realizării activității de transport a</w:t>
      </w:r>
      <w:r w:rsidR="008F3D74"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gazelor naturale, ceea ce poate afecta activitatea întreprinderii.</w:t>
      </w:r>
    </w:p>
    <w:p w14:paraId="2530EF9B" w14:textId="0758B709" w:rsidR="00BD3777" w:rsidRPr="009772A3" w:rsidRDefault="008F3D74" w:rsidP="00D524F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w:t>
      </w:r>
      <w:r w:rsidR="00BD3777" w:rsidRPr="009772A3">
        <w:rPr>
          <w:rFonts w:asciiTheme="majorHAnsi" w:hAnsiTheme="majorHAnsi" w:cstheme="majorHAnsi"/>
          <w:sz w:val="24"/>
          <w:szCs w:val="24"/>
          <w:lang w:val="ro-MD"/>
        </w:rPr>
        <w:t>heltuielile privind remunerarea muncii acceptate de ANRE în scopuri tarifare</w:t>
      </w:r>
      <w:r w:rsidR="005647D5" w:rsidRPr="009772A3">
        <w:rPr>
          <w:rFonts w:asciiTheme="majorHAnsi" w:hAnsiTheme="majorHAnsi" w:cstheme="majorHAnsi"/>
          <w:sz w:val="24"/>
          <w:szCs w:val="24"/>
          <w:lang w:val="ro-MD"/>
        </w:rPr>
        <w:t xml:space="preserve"> se prezintă în A</w:t>
      </w:r>
      <w:r w:rsidR="00BD3777" w:rsidRPr="009772A3">
        <w:rPr>
          <w:rFonts w:asciiTheme="majorHAnsi" w:hAnsiTheme="majorHAnsi" w:cstheme="majorHAnsi"/>
          <w:sz w:val="24"/>
          <w:szCs w:val="24"/>
          <w:lang w:val="ro-MD"/>
        </w:rPr>
        <w:t>nexa nr.8 la prezentul Raport de audit.</w:t>
      </w:r>
    </w:p>
    <w:p w14:paraId="76253584" w14:textId="7EA64CFF" w:rsidR="00FA7A2D" w:rsidRPr="009772A3" w:rsidRDefault="00FA7A2D" w:rsidP="00EC4131">
      <w:pPr>
        <w:pStyle w:val="Heading1"/>
        <w:numPr>
          <w:ilvl w:val="3"/>
          <w:numId w:val="2"/>
        </w:numPr>
        <w:tabs>
          <w:tab w:val="left" w:pos="851"/>
        </w:tabs>
        <w:spacing w:line="276" w:lineRule="auto"/>
        <w:ind w:left="0" w:firstLine="0"/>
        <w:jc w:val="both"/>
        <w:rPr>
          <w:i/>
          <w:color w:val="auto"/>
          <w:lang w:val="ro-MD"/>
        </w:rPr>
      </w:pPr>
      <w:bookmarkStart w:id="168" w:name="_Toc119496437"/>
      <w:r w:rsidRPr="009772A3">
        <w:rPr>
          <w:i/>
          <w:color w:val="auto"/>
          <w:lang w:val="ro-MD"/>
        </w:rPr>
        <w:t>Deși în perioada 2017-2021 au fost înregistrate cheltuieli în valoare totală de 3.337,1 mii lei</w:t>
      </w:r>
      <w:r w:rsidRPr="009772A3">
        <w:rPr>
          <w:i/>
          <w:color w:val="auto"/>
          <w:vertAlign w:val="superscript"/>
          <w:lang w:val="ro-MD"/>
        </w:rPr>
        <w:footnoteReference w:id="125"/>
      </w:r>
      <w:r w:rsidRPr="009772A3">
        <w:rPr>
          <w:i/>
          <w:color w:val="auto"/>
          <w:lang w:val="ro-MD"/>
        </w:rPr>
        <w:t xml:space="preserve"> pentru remunerarea agentului de conformitate, activitatea acestuia este una formală.</w:t>
      </w:r>
      <w:bookmarkEnd w:id="168"/>
    </w:p>
    <w:p w14:paraId="0C82EE7C" w14:textId="4C120C5F" w:rsidR="00FA7A2D" w:rsidRPr="009772A3" w:rsidRDefault="00FA7A2D" w:rsidP="00FA7A2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Conform prevederilor din Legea nr.108/2016</w:t>
      </w:r>
      <w:r w:rsidRPr="009772A3">
        <w:rPr>
          <w:rFonts w:asciiTheme="majorHAnsi" w:hAnsiTheme="majorHAnsi" w:cstheme="majorHAnsi"/>
          <w:sz w:val="24"/>
          <w:szCs w:val="24"/>
          <w:vertAlign w:val="superscript"/>
          <w:lang w:val="ro-MD"/>
        </w:rPr>
        <w:footnoteReference w:id="126"/>
      </w:r>
      <w:r w:rsidRPr="009772A3">
        <w:rPr>
          <w:rFonts w:asciiTheme="majorHAnsi" w:hAnsiTheme="majorHAnsi" w:cstheme="majorHAnsi"/>
          <w:sz w:val="24"/>
          <w:szCs w:val="24"/>
          <w:lang w:val="ro-MD"/>
        </w:rPr>
        <w:t>, OST și OSD urmează să elaboreze anual Programul de conformitate care să conțină măsurile întreprinse pentru a garanta excluderea de comportament și de practici discriminatorii (față de furnizor), precum și pentru a asigura monitorizarea corespunzătoare a respectării acestui program. Monitorizarea programului de conformitate se efectuează de către agentul de conformitate</w:t>
      </w:r>
      <w:r w:rsidR="008F3D7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selectat de titularul de licență, care trebuie să fie aprobat de ANRE. </w:t>
      </w:r>
    </w:p>
    <w:p w14:paraId="1603C352" w14:textId="657429DD" w:rsidR="00FA7A2D" w:rsidRPr="009772A3" w:rsidRDefault="00FA7A2D" w:rsidP="00FA7A2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cadrul legal</w:t>
      </w:r>
      <w:r w:rsidRPr="009772A3">
        <w:rPr>
          <w:rFonts w:asciiTheme="majorHAnsi" w:hAnsiTheme="majorHAnsi" w:cstheme="majorHAnsi"/>
          <w:sz w:val="24"/>
          <w:szCs w:val="24"/>
          <w:vertAlign w:val="superscript"/>
          <w:lang w:val="ro-MD"/>
        </w:rPr>
        <w:footnoteReference w:id="127"/>
      </w:r>
      <w:r w:rsidRPr="009772A3">
        <w:rPr>
          <w:rFonts w:asciiTheme="majorHAnsi" w:hAnsiTheme="majorHAnsi" w:cstheme="majorHAnsi"/>
          <w:sz w:val="24"/>
          <w:szCs w:val="24"/>
          <w:lang w:val="ro-MD"/>
        </w:rPr>
        <w:t xml:space="preserve"> prevede că agentul de conformitate notifică ANRE cu privire la orice încălcare gravă a punerii în aplicare a programului de conformitate în termen de 7 zile calendaristice din ziua în care a aflat despre încălcarea respectiv</w:t>
      </w:r>
      <w:r w:rsidR="00835E47"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și raportează ANRE cu privire la orice relații comerciale sau financiare dintre OST și OSD și întreprinderea de gaze naturale integrată pe verticală, în perioada auditată nu a parvenit nicio sesizare către ANRE din partea agentului de conformitate.</w:t>
      </w:r>
    </w:p>
    <w:p w14:paraId="2968E414" w14:textId="52DC5A74" w:rsidR="00FA7A2D" w:rsidRPr="009772A3" w:rsidRDefault="00FA7A2D" w:rsidP="00FA7A2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w:t>
      </w:r>
      <w:r w:rsidR="008F3D7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ANRE a constatat o încălcare a cerințelor programului de conformitate cu privire la suplinirea funcție</w:t>
      </w:r>
      <w:r w:rsidR="008F3D74"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de către una și ace</w:t>
      </w:r>
      <w:r w:rsidR="008F3D74"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ași persoană care a fost angajată în cadrul SRL „Chișinău-gaz” și la SA „Moldovagaz”</w:t>
      </w:r>
      <w:r w:rsidRPr="009772A3">
        <w:rPr>
          <w:rFonts w:asciiTheme="majorHAnsi" w:hAnsiTheme="majorHAnsi" w:cstheme="majorHAnsi"/>
          <w:sz w:val="24"/>
          <w:szCs w:val="24"/>
          <w:vertAlign w:val="superscript"/>
          <w:lang w:val="ro-MD"/>
        </w:rPr>
        <w:footnoteReference w:id="128"/>
      </w:r>
      <w:r w:rsidRPr="009772A3">
        <w:rPr>
          <w:rFonts w:asciiTheme="majorHAnsi" w:hAnsiTheme="majorHAnsi" w:cstheme="majorHAnsi"/>
          <w:sz w:val="24"/>
          <w:szCs w:val="24"/>
          <w:lang w:val="ro-MD"/>
        </w:rPr>
        <w:t>.</w:t>
      </w:r>
    </w:p>
    <w:p w14:paraId="38028B17" w14:textId="152D00E6" w:rsidR="00FA7A2D" w:rsidRPr="009772A3" w:rsidRDefault="00FA7A2D" w:rsidP="00FA7A2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perioada 2017-2021</w:t>
      </w:r>
      <w:r w:rsidR="008F3D7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valoarea serviciilor prestate de agentul de conformitate în cadru</w:t>
      </w:r>
      <w:r w:rsidR="008F3D74"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OST și OSD a constituit 3</w:t>
      </w:r>
      <w:r w:rsidR="008F3D7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337,10 mii lei</w:t>
      </w:r>
      <w:r w:rsidRPr="009772A3">
        <w:rPr>
          <w:rFonts w:asciiTheme="majorHAnsi" w:hAnsiTheme="majorHAnsi" w:cstheme="majorHAnsi"/>
          <w:sz w:val="24"/>
          <w:szCs w:val="24"/>
          <w:vertAlign w:val="superscript"/>
          <w:lang w:val="ro-MD"/>
        </w:rPr>
        <w:footnoteReference w:id="129"/>
      </w:r>
      <w:r w:rsidRPr="009772A3">
        <w:rPr>
          <w:rFonts w:asciiTheme="majorHAnsi" w:hAnsiTheme="majorHAnsi" w:cstheme="majorHAnsi"/>
          <w:sz w:val="24"/>
          <w:szCs w:val="24"/>
          <w:lang w:val="ro-MD"/>
        </w:rPr>
        <w:t>. Auditul denotă că plata pentru serviciile prestate de agentul de conformitate se efectuează lunar conform cuantumului stabilit în contract și variază de la 3</w:t>
      </w:r>
      <w:r w:rsidR="008F3D7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400 lei până la 18</w:t>
      </w:r>
      <w:r w:rsidR="008F3D7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463 lei. </w:t>
      </w:r>
    </w:p>
    <w:p w14:paraId="549EB132" w14:textId="58AEC1F6" w:rsidR="00FA7A2D" w:rsidRPr="009772A3" w:rsidRDefault="00FA7A2D" w:rsidP="00FA7A2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urma analizei actelor de prestare a serviciilor și</w:t>
      </w:r>
      <w:r w:rsidR="008F3D74" w:rsidRPr="009772A3">
        <w:rPr>
          <w:rFonts w:asciiTheme="majorHAnsi" w:hAnsiTheme="majorHAnsi" w:cstheme="majorHAnsi"/>
          <w:sz w:val="24"/>
          <w:szCs w:val="24"/>
          <w:lang w:val="ro-MD"/>
        </w:rPr>
        <w:t xml:space="preserve"> a</w:t>
      </w:r>
      <w:r w:rsidRPr="009772A3">
        <w:rPr>
          <w:rFonts w:asciiTheme="majorHAnsi" w:hAnsiTheme="majorHAnsi" w:cstheme="majorHAnsi"/>
          <w:sz w:val="24"/>
          <w:szCs w:val="24"/>
          <w:lang w:val="ro-MD"/>
        </w:rPr>
        <w:t xml:space="preserve"> rapoartelor agentului de conformitate, perfectate de către </w:t>
      </w:r>
      <w:r w:rsidR="00835E47" w:rsidRPr="009772A3">
        <w:rPr>
          <w:rFonts w:asciiTheme="majorHAnsi" w:hAnsiTheme="majorHAnsi" w:cstheme="majorHAnsi"/>
          <w:sz w:val="24"/>
          <w:szCs w:val="24"/>
          <w:lang w:val="ro-MD"/>
        </w:rPr>
        <w:t>acesta</w:t>
      </w:r>
      <w:r w:rsidRPr="009772A3">
        <w:rPr>
          <w:rFonts w:asciiTheme="majorHAnsi" w:hAnsiTheme="majorHAnsi" w:cstheme="majorHAnsi"/>
          <w:sz w:val="24"/>
          <w:szCs w:val="24"/>
          <w:lang w:val="ro-MD"/>
        </w:rPr>
        <w:t>, auditul a constatat că lunar se prestează aceleași tipuri de servicii, totodată nefiind clar stabilite tipul și volumul serviciilor prestate, precum și impactul acestora asupra implementării programului de conformitate pe principii de obiectivitate, transparență, nediscriminare</w:t>
      </w:r>
      <w:r w:rsidR="008F3D74" w:rsidRPr="009772A3">
        <w:rPr>
          <w:rFonts w:asciiTheme="majorHAnsi" w:hAnsiTheme="majorHAnsi" w:cstheme="majorHAnsi"/>
          <w:sz w:val="24"/>
          <w:szCs w:val="24"/>
          <w:lang w:val="ro-MD"/>
        </w:rPr>
        <w:t xml:space="preserve"> și</w:t>
      </w:r>
      <w:r w:rsidRPr="009772A3">
        <w:rPr>
          <w:rFonts w:asciiTheme="majorHAnsi" w:hAnsiTheme="majorHAnsi" w:cstheme="majorHAnsi"/>
          <w:sz w:val="24"/>
          <w:szCs w:val="24"/>
          <w:lang w:val="ro-MD"/>
        </w:rPr>
        <w:t xml:space="preserve"> confidențialitate</w:t>
      </w:r>
      <w:r w:rsidRPr="009772A3">
        <w:rPr>
          <w:rFonts w:asciiTheme="majorHAnsi" w:hAnsiTheme="majorHAnsi" w:cstheme="majorHAnsi"/>
          <w:sz w:val="24"/>
          <w:szCs w:val="24"/>
          <w:vertAlign w:val="superscript"/>
          <w:lang w:val="ro-MD"/>
        </w:rPr>
        <w:footnoteReference w:id="130"/>
      </w:r>
      <w:r w:rsidRPr="009772A3">
        <w:rPr>
          <w:rFonts w:asciiTheme="majorHAnsi" w:hAnsiTheme="majorHAnsi" w:cstheme="majorHAnsi"/>
          <w:sz w:val="24"/>
          <w:szCs w:val="24"/>
          <w:lang w:val="ro-MD"/>
        </w:rPr>
        <w:t>.</w:t>
      </w:r>
    </w:p>
    <w:p w14:paraId="5EDE2C50" w14:textId="7A102F54" w:rsidR="00283EF2" w:rsidRPr="009772A3" w:rsidRDefault="00835E47" w:rsidP="007F5605">
      <w:pPr>
        <w:pStyle w:val="Heading1"/>
        <w:numPr>
          <w:ilvl w:val="3"/>
          <w:numId w:val="2"/>
        </w:numPr>
        <w:tabs>
          <w:tab w:val="left" w:pos="851"/>
        </w:tabs>
        <w:spacing w:line="276" w:lineRule="auto"/>
        <w:ind w:left="0" w:firstLine="0"/>
        <w:jc w:val="both"/>
        <w:rPr>
          <w:i/>
          <w:color w:val="auto"/>
          <w:lang w:val="ro-MD"/>
        </w:rPr>
      </w:pPr>
      <w:bookmarkStart w:id="169" w:name="_Toc118885345"/>
      <w:bookmarkStart w:id="170" w:name="_Toc118885495"/>
      <w:bookmarkStart w:id="171" w:name="_Toc118886739"/>
      <w:bookmarkStart w:id="172" w:name="_Toc118964653"/>
      <w:bookmarkStart w:id="173" w:name="_Toc118977864"/>
      <w:bookmarkStart w:id="174" w:name="_Toc119245452"/>
      <w:bookmarkStart w:id="175" w:name="_Toc119496438"/>
      <w:bookmarkEnd w:id="169"/>
      <w:bookmarkEnd w:id="170"/>
      <w:bookmarkEnd w:id="171"/>
      <w:bookmarkEnd w:id="172"/>
      <w:bookmarkEnd w:id="173"/>
      <w:bookmarkEnd w:id="174"/>
      <w:r w:rsidRPr="009772A3">
        <w:rPr>
          <w:i/>
          <w:color w:val="auto"/>
          <w:lang w:val="ro-MD"/>
        </w:rPr>
        <w:t>Instituirea Comitet</w:t>
      </w:r>
      <w:r w:rsidR="008F3D74" w:rsidRPr="009772A3">
        <w:rPr>
          <w:i/>
          <w:color w:val="auto"/>
          <w:lang w:val="ro-MD"/>
        </w:rPr>
        <w:t>ului</w:t>
      </w:r>
      <w:r w:rsidRPr="009772A3">
        <w:rPr>
          <w:i/>
          <w:color w:val="auto"/>
          <w:lang w:val="ro-MD"/>
        </w:rPr>
        <w:t xml:space="preserve"> coordonator a fost efectuată de SRL Transautogaz în lipsa unor </w:t>
      </w:r>
      <w:bookmarkStart w:id="176" w:name="_Toc118297738"/>
      <w:r w:rsidRPr="009772A3">
        <w:rPr>
          <w:i/>
          <w:color w:val="auto"/>
          <w:lang w:val="ro-MD"/>
        </w:rPr>
        <w:t>justificări economic fundamentate.</w:t>
      </w:r>
      <w:bookmarkEnd w:id="175"/>
      <w:r w:rsidRPr="009772A3">
        <w:rPr>
          <w:i/>
          <w:color w:val="auto"/>
          <w:lang w:val="ro-MD"/>
        </w:rPr>
        <w:t xml:space="preserve"> </w:t>
      </w:r>
      <w:bookmarkEnd w:id="176"/>
    </w:p>
    <w:p w14:paraId="6A9CEC7C" w14:textId="612C2D19" w:rsidR="00EF563C" w:rsidRPr="009772A3" w:rsidRDefault="00EF563C" w:rsidP="004F4116">
      <w:pPr>
        <w:pStyle w:val="ListParagraph"/>
        <w:spacing w:after="0" w:line="276" w:lineRule="auto"/>
        <w:ind w:left="0" w:firstLine="720"/>
        <w:jc w:val="both"/>
        <w:rPr>
          <w:rFonts w:ascii="Calibri Light" w:hAnsi="Calibri Light"/>
          <w:sz w:val="24"/>
          <w:szCs w:val="24"/>
          <w:lang w:val="ro-MD" w:eastAsia="ar-SA"/>
        </w:rPr>
      </w:pPr>
      <w:r w:rsidRPr="009772A3">
        <w:rPr>
          <w:rFonts w:ascii="Calibri Light" w:hAnsi="Calibri Light"/>
          <w:sz w:val="24"/>
          <w:szCs w:val="24"/>
          <w:lang w:val="ro-MD" w:eastAsia="ar-SA"/>
        </w:rPr>
        <w:t>Inițierea de către SRL Transautogaz a unor activități economice care se suprapuneau cu activitatea SA Moldovagaz privind furnizarea gazelor natural</w:t>
      </w:r>
      <w:r w:rsidR="008F3D74" w:rsidRPr="009772A3">
        <w:rPr>
          <w:rFonts w:ascii="Calibri Light" w:hAnsi="Calibri Light"/>
          <w:sz w:val="24"/>
          <w:szCs w:val="24"/>
          <w:lang w:val="ro-MD" w:eastAsia="ar-SA"/>
        </w:rPr>
        <w:t>e</w:t>
      </w:r>
      <w:r w:rsidR="00F65CBC" w:rsidRPr="009772A3">
        <w:rPr>
          <w:rFonts w:ascii="Calibri Light" w:hAnsi="Calibri Light"/>
          <w:sz w:val="24"/>
          <w:szCs w:val="24"/>
          <w:lang w:val="ro-MD" w:eastAsia="ar-SA"/>
        </w:rPr>
        <w:t xml:space="preserve"> (care ulterior au fost sistate)</w:t>
      </w:r>
      <w:r w:rsidRPr="009772A3">
        <w:rPr>
          <w:rFonts w:ascii="Calibri Light" w:hAnsi="Calibri Light"/>
          <w:sz w:val="24"/>
          <w:szCs w:val="24"/>
          <w:lang w:val="ro-MD" w:eastAsia="ar-SA"/>
        </w:rPr>
        <w:t>, a generat suportarea unor cheltuieli pentru implementarea unor procedur</w:t>
      </w:r>
      <w:r w:rsidR="008F3D74" w:rsidRPr="009772A3">
        <w:rPr>
          <w:rFonts w:ascii="Calibri Light" w:hAnsi="Calibri Light"/>
          <w:sz w:val="24"/>
          <w:szCs w:val="24"/>
          <w:lang w:val="ro-MD" w:eastAsia="ar-SA"/>
        </w:rPr>
        <w:t>i</w:t>
      </w:r>
      <w:r w:rsidRPr="009772A3">
        <w:rPr>
          <w:rFonts w:ascii="Calibri Light" w:hAnsi="Calibri Light"/>
          <w:sz w:val="24"/>
          <w:szCs w:val="24"/>
          <w:lang w:val="ro-MD" w:eastAsia="ar-SA"/>
        </w:rPr>
        <w:t xml:space="preserve"> existente deja la SA Moldovagaz, form</w:t>
      </w:r>
      <w:r w:rsidR="008F3D74" w:rsidRPr="009772A3">
        <w:rPr>
          <w:rFonts w:ascii="Calibri Light" w:hAnsi="Calibri Light"/>
          <w:sz w:val="24"/>
          <w:szCs w:val="24"/>
          <w:lang w:val="ro-MD" w:eastAsia="ar-SA"/>
        </w:rPr>
        <w:t>â</w:t>
      </w:r>
      <w:r w:rsidRPr="009772A3">
        <w:rPr>
          <w:rFonts w:ascii="Calibri Light" w:hAnsi="Calibri Light"/>
          <w:sz w:val="24"/>
          <w:szCs w:val="24"/>
          <w:lang w:val="ro-MD" w:eastAsia="ar-SA"/>
        </w:rPr>
        <w:t>nd o concurență neoportună pentru întreprinderea principal</w:t>
      </w:r>
      <w:r w:rsidR="00F65CBC" w:rsidRPr="009772A3">
        <w:rPr>
          <w:rFonts w:ascii="Calibri Light" w:hAnsi="Calibri Light"/>
          <w:sz w:val="24"/>
          <w:szCs w:val="24"/>
          <w:lang w:val="ro-MD" w:eastAsia="ar-SA"/>
        </w:rPr>
        <w:t>ă</w:t>
      </w:r>
      <w:r w:rsidRPr="009772A3">
        <w:rPr>
          <w:rFonts w:ascii="Calibri Light" w:hAnsi="Calibri Light"/>
          <w:sz w:val="24"/>
          <w:szCs w:val="24"/>
          <w:lang w:val="ro-MD" w:eastAsia="ar-SA"/>
        </w:rPr>
        <w:t xml:space="preserve">. </w:t>
      </w:r>
    </w:p>
    <w:p w14:paraId="25F59EED" w14:textId="6C5EE48B" w:rsidR="00283EF2" w:rsidRDefault="000F0AA8" w:rsidP="00FF6136">
      <w:pPr>
        <w:pStyle w:val="ListParagraph"/>
        <w:spacing w:after="0" w:line="276" w:lineRule="auto"/>
        <w:ind w:left="0" w:firstLine="709"/>
        <w:jc w:val="both"/>
        <w:rPr>
          <w:rFonts w:ascii="Calibri Light" w:hAnsi="Calibri Light"/>
          <w:sz w:val="24"/>
          <w:szCs w:val="24"/>
          <w:lang w:val="ro-MD" w:eastAsia="ar-SA"/>
        </w:rPr>
      </w:pPr>
      <w:r w:rsidRPr="009772A3">
        <w:rPr>
          <w:rFonts w:asciiTheme="majorHAnsi" w:hAnsiTheme="majorHAnsi" w:cstheme="majorHAnsi"/>
          <w:bCs/>
          <w:noProof/>
          <w:sz w:val="24"/>
          <w:szCs w:val="24"/>
          <w:lang w:val="ro-MD"/>
        </w:rPr>
        <w:t>Astfel, î</w:t>
      </w:r>
      <w:r w:rsidR="00283EF2" w:rsidRPr="009772A3">
        <w:rPr>
          <w:rFonts w:asciiTheme="majorHAnsi" w:hAnsiTheme="majorHAnsi" w:cstheme="majorHAnsi"/>
          <w:bCs/>
          <w:noProof/>
          <w:sz w:val="24"/>
          <w:szCs w:val="24"/>
          <w:lang w:val="ro-MD"/>
        </w:rPr>
        <w:t>n conformitate cu licența</w:t>
      </w:r>
      <w:r w:rsidR="00283EF2" w:rsidRPr="009772A3">
        <w:rPr>
          <w:rStyle w:val="FootnoteReference"/>
          <w:rFonts w:asciiTheme="majorHAnsi" w:hAnsiTheme="majorHAnsi" w:cstheme="majorHAnsi"/>
          <w:bCs/>
          <w:noProof/>
          <w:sz w:val="24"/>
          <w:szCs w:val="24"/>
          <w:lang w:val="ro-MD"/>
        </w:rPr>
        <w:footnoteReference w:id="131"/>
      </w:r>
      <w:r w:rsidR="00283EF2" w:rsidRPr="009772A3">
        <w:rPr>
          <w:rFonts w:asciiTheme="majorHAnsi" w:hAnsiTheme="majorHAnsi" w:cstheme="majorHAnsi"/>
          <w:bCs/>
          <w:noProof/>
          <w:sz w:val="24"/>
          <w:szCs w:val="24"/>
          <w:lang w:val="ro-MD"/>
        </w:rPr>
        <w:t xml:space="preserve"> </w:t>
      </w:r>
      <w:r w:rsidR="008F3D74" w:rsidRPr="009772A3">
        <w:rPr>
          <w:rFonts w:asciiTheme="majorHAnsi" w:hAnsiTheme="majorHAnsi" w:cstheme="majorHAnsi"/>
          <w:bCs/>
          <w:noProof/>
          <w:sz w:val="24"/>
          <w:szCs w:val="24"/>
          <w:lang w:val="ro-MD"/>
        </w:rPr>
        <w:t xml:space="preserve">deținută </w:t>
      </w:r>
      <w:r w:rsidR="00283EF2" w:rsidRPr="009772A3">
        <w:rPr>
          <w:rFonts w:asciiTheme="majorHAnsi" w:hAnsiTheme="majorHAnsi" w:cstheme="majorHAnsi"/>
          <w:bCs/>
          <w:noProof/>
          <w:sz w:val="24"/>
          <w:szCs w:val="24"/>
          <w:lang w:val="ro-MD"/>
        </w:rPr>
        <w:t xml:space="preserve">pentru furnizarea de </w:t>
      </w:r>
      <w:r w:rsidR="00A8161C" w:rsidRPr="009772A3">
        <w:rPr>
          <w:rFonts w:asciiTheme="majorHAnsi" w:hAnsiTheme="majorHAnsi" w:cstheme="majorHAnsi"/>
          <w:bCs/>
          <w:noProof/>
          <w:sz w:val="24"/>
          <w:szCs w:val="24"/>
          <w:lang w:val="ro-MD"/>
        </w:rPr>
        <w:t xml:space="preserve">gaze către consumatorii finali, </w:t>
      </w:r>
      <w:r w:rsidR="00283EF2" w:rsidRPr="009772A3">
        <w:rPr>
          <w:rFonts w:asciiTheme="majorHAnsi" w:hAnsiTheme="majorHAnsi" w:cstheme="majorHAnsi"/>
          <w:bCs/>
          <w:noProof/>
          <w:sz w:val="24"/>
          <w:szCs w:val="24"/>
          <w:lang w:val="ro-MD"/>
        </w:rPr>
        <w:t xml:space="preserve">din </w:t>
      </w:r>
      <w:r w:rsidR="008F3D74" w:rsidRPr="009772A3">
        <w:rPr>
          <w:rFonts w:asciiTheme="majorHAnsi" w:hAnsiTheme="majorHAnsi" w:cstheme="majorHAnsi"/>
          <w:bCs/>
          <w:noProof/>
          <w:sz w:val="24"/>
          <w:szCs w:val="24"/>
          <w:lang w:val="ro-MD"/>
        </w:rPr>
        <w:t>i</w:t>
      </w:r>
      <w:r w:rsidR="00283EF2" w:rsidRPr="009772A3">
        <w:rPr>
          <w:rFonts w:asciiTheme="majorHAnsi" w:hAnsiTheme="majorHAnsi" w:cstheme="majorHAnsi"/>
          <w:bCs/>
          <w:noProof/>
          <w:sz w:val="24"/>
          <w:szCs w:val="24"/>
          <w:lang w:val="ro-MD"/>
        </w:rPr>
        <w:t>unie 2020, SRL Transautogaz a început să implementeze un nou tip de activitate – furnizare de</w:t>
      </w:r>
      <w:r w:rsidR="00A8161C" w:rsidRPr="009772A3">
        <w:rPr>
          <w:rFonts w:asciiTheme="majorHAnsi" w:hAnsiTheme="majorHAnsi" w:cstheme="majorHAnsi"/>
          <w:bCs/>
          <w:noProof/>
          <w:sz w:val="24"/>
          <w:szCs w:val="24"/>
          <w:lang w:val="ro-MD"/>
        </w:rPr>
        <w:t xml:space="preserve"> gaze către consumatorii finali</w:t>
      </w:r>
      <w:r w:rsidR="00EF563C" w:rsidRPr="009772A3">
        <w:rPr>
          <w:rFonts w:asciiTheme="majorHAnsi" w:hAnsiTheme="majorHAnsi" w:cstheme="majorHAnsi"/>
          <w:bCs/>
          <w:noProof/>
          <w:sz w:val="24"/>
          <w:szCs w:val="24"/>
          <w:lang w:val="ro-MD"/>
        </w:rPr>
        <w:t xml:space="preserve"> la prețuri nereglementate</w:t>
      </w:r>
      <w:r w:rsidR="00283EF2" w:rsidRPr="009772A3">
        <w:rPr>
          <w:rFonts w:asciiTheme="majorHAnsi" w:hAnsiTheme="majorHAnsi" w:cstheme="majorHAnsi"/>
          <w:bCs/>
          <w:noProof/>
          <w:sz w:val="24"/>
          <w:szCs w:val="24"/>
          <w:lang w:val="ro-MD"/>
        </w:rPr>
        <w:t xml:space="preserve">. </w:t>
      </w:r>
      <w:r w:rsidR="00283EF2" w:rsidRPr="009772A3">
        <w:rPr>
          <w:rFonts w:ascii="Calibri Light" w:hAnsi="Calibri Light"/>
          <w:sz w:val="24"/>
          <w:szCs w:val="24"/>
          <w:lang w:val="ro-MD" w:eastAsia="ar-SA"/>
        </w:rPr>
        <w:t xml:space="preserve">Pentru a asigura </w:t>
      </w:r>
      <w:r w:rsidR="00A8161C" w:rsidRPr="009772A3">
        <w:rPr>
          <w:rFonts w:ascii="Calibri Light" w:hAnsi="Calibri Light"/>
          <w:sz w:val="24"/>
          <w:szCs w:val="24"/>
          <w:lang w:val="ro-MD" w:eastAsia="ar-SA"/>
        </w:rPr>
        <w:t>îndeplinirea obiectivelor în conformitate cu a</w:t>
      </w:r>
      <w:r w:rsidR="00283EF2" w:rsidRPr="009772A3">
        <w:rPr>
          <w:rFonts w:ascii="Calibri Light" w:hAnsi="Calibri Light"/>
          <w:sz w:val="24"/>
          <w:szCs w:val="24"/>
          <w:lang w:val="ro-MD" w:eastAsia="ar-SA"/>
        </w:rPr>
        <w:t>ctivit</w:t>
      </w:r>
      <w:r w:rsidR="00A8161C" w:rsidRPr="009772A3">
        <w:rPr>
          <w:rFonts w:ascii="Calibri Light" w:hAnsi="Calibri Light"/>
          <w:sz w:val="24"/>
          <w:szCs w:val="24"/>
          <w:lang w:val="ro-MD" w:eastAsia="ar-SA"/>
        </w:rPr>
        <w:t>atea</w:t>
      </w:r>
      <w:r w:rsidR="00283EF2" w:rsidRPr="009772A3">
        <w:rPr>
          <w:rFonts w:ascii="Calibri Light" w:hAnsi="Calibri Light"/>
          <w:sz w:val="24"/>
          <w:szCs w:val="24"/>
          <w:lang w:val="ro-MD" w:eastAsia="ar-SA"/>
        </w:rPr>
        <w:t xml:space="preserve"> de licențiere</w:t>
      </w:r>
      <w:r w:rsidR="00A8161C" w:rsidRPr="009772A3">
        <w:rPr>
          <w:rStyle w:val="FootnoteReference"/>
          <w:rFonts w:ascii="Calibri Light" w:hAnsi="Calibri Light"/>
          <w:sz w:val="24"/>
          <w:szCs w:val="24"/>
          <w:lang w:val="ro-MD" w:eastAsia="ar-SA"/>
        </w:rPr>
        <w:footnoteReference w:id="132"/>
      </w:r>
      <w:r w:rsidR="008F3D74" w:rsidRPr="009772A3">
        <w:rPr>
          <w:rFonts w:ascii="Calibri Light" w:hAnsi="Calibri Light"/>
          <w:sz w:val="24"/>
          <w:szCs w:val="24"/>
          <w:lang w:val="ro-MD" w:eastAsia="ar-SA"/>
        </w:rPr>
        <w:t>,</w:t>
      </w:r>
      <w:r w:rsidR="00A8161C" w:rsidRPr="009772A3">
        <w:rPr>
          <w:rFonts w:ascii="Calibri Light" w:hAnsi="Calibri Light"/>
          <w:sz w:val="24"/>
          <w:szCs w:val="24"/>
          <w:lang w:val="ro-MD" w:eastAsia="ar-SA"/>
        </w:rPr>
        <w:t> S</w:t>
      </w:r>
      <w:r w:rsidR="00283EF2" w:rsidRPr="009772A3">
        <w:rPr>
          <w:rFonts w:ascii="Calibri Light" w:hAnsi="Calibri Light"/>
          <w:sz w:val="24"/>
          <w:szCs w:val="24"/>
          <w:lang w:val="ro-MD" w:eastAsia="ar-SA"/>
        </w:rPr>
        <w:t>RL Transautogaz</w:t>
      </w:r>
      <w:r w:rsidR="008F3D74" w:rsidRPr="009772A3">
        <w:rPr>
          <w:rFonts w:ascii="Calibri Light" w:hAnsi="Calibri Light"/>
          <w:sz w:val="24"/>
          <w:szCs w:val="24"/>
          <w:lang w:val="ro-MD" w:eastAsia="ar-SA"/>
        </w:rPr>
        <w:t>,</w:t>
      </w:r>
      <w:r w:rsidR="00A8161C" w:rsidRPr="009772A3">
        <w:rPr>
          <w:rFonts w:ascii="Calibri Light" w:hAnsi="Calibri Light"/>
          <w:sz w:val="24"/>
          <w:szCs w:val="24"/>
          <w:lang w:val="ro-MD" w:eastAsia="ar-SA"/>
        </w:rPr>
        <w:t xml:space="preserve"> </w:t>
      </w:r>
      <w:r w:rsidR="00283EF2" w:rsidRPr="009772A3">
        <w:rPr>
          <w:rFonts w:ascii="Calibri Light" w:hAnsi="Calibri Light"/>
          <w:sz w:val="24"/>
          <w:szCs w:val="24"/>
          <w:lang w:val="ro-MD" w:eastAsia="ar-SA"/>
        </w:rPr>
        <w:t xml:space="preserve">cu acordul asociatului unic </w:t>
      </w:r>
      <w:r w:rsidR="008F3D74" w:rsidRPr="009772A3">
        <w:rPr>
          <w:rFonts w:ascii="Calibri Light" w:hAnsi="Calibri Light"/>
          <w:sz w:val="24"/>
          <w:szCs w:val="24"/>
          <w:lang w:val="ro-MD" w:eastAsia="ar-SA"/>
        </w:rPr>
        <w:t>–</w:t>
      </w:r>
      <w:r w:rsidR="00EF563C" w:rsidRPr="009772A3">
        <w:rPr>
          <w:rFonts w:ascii="Calibri Light" w:hAnsi="Calibri Light"/>
          <w:sz w:val="24"/>
          <w:szCs w:val="24"/>
          <w:lang w:val="ro-MD" w:eastAsia="ar-SA"/>
        </w:rPr>
        <w:t xml:space="preserve"> </w:t>
      </w:r>
      <w:r w:rsidR="00283EF2" w:rsidRPr="009772A3">
        <w:rPr>
          <w:rFonts w:ascii="Calibri Light" w:hAnsi="Calibri Light"/>
          <w:sz w:val="24"/>
          <w:szCs w:val="24"/>
          <w:lang w:val="ro-MD" w:eastAsia="ar-SA"/>
        </w:rPr>
        <w:t>SRL Moldovatransgaz</w:t>
      </w:r>
      <w:r w:rsidR="00EF563C" w:rsidRPr="009772A3">
        <w:rPr>
          <w:rFonts w:ascii="Calibri Light" w:hAnsi="Calibri Light"/>
          <w:sz w:val="24"/>
          <w:szCs w:val="24"/>
          <w:lang w:val="ro-MD" w:eastAsia="ar-SA"/>
        </w:rPr>
        <w:t>,</w:t>
      </w:r>
      <w:r w:rsidR="00283EF2" w:rsidRPr="009772A3">
        <w:rPr>
          <w:rFonts w:ascii="Calibri Light" w:hAnsi="Calibri Light"/>
          <w:sz w:val="24"/>
          <w:szCs w:val="24"/>
          <w:lang w:val="ro-MD" w:eastAsia="ar-SA"/>
        </w:rPr>
        <w:t xml:space="preserve"> a fondat </w:t>
      </w:r>
      <w:r w:rsidR="00A52534" w:rsidRPr="009772A3">
        <w:rPr>
          <w:rFonts w:ascii="Calibri Light" w:hAnsi="Calibri Light"/>
          <w:sz w:val="24"/>
          <w:szCs w:val="24"/>
          <w:lang w:val="ro-MD" w:eastAsia="ar-SA"/>
        </w:rPr>
        <w:t>Comitet</w:t>
      </w:r>
      <w:r w:rsidR="008F3D74" w:rsidRPr="009772A3">
        <w:rPr>
          <w:rFonts w:ascii="Calibri Light" w:hAnsi="Calibri Light"/>
          <w:sz w:val="24"/>
          <w:szCs w:val="24"/>
          <w:lang w:val="ro-MD" w:eastAsia="ar-SA"/>
        </w:rPr>
        <w:t>ul</w:t>
      </w:r>
      <w:r w:rsidR="00283EF2" w:rsidRPr="009772A3">
        <w:rPr>
          <w:rFonts w:ascii="Calibri Light" w:hAnsi="Calibri Light"/>
          <w:sz w:val="24"/>
          <w:szCs w:val="24"/>
          <w:lang w:val="ro-MD" w:eastAsia="ar-SA"/>
        </w:rPr>
        <w:t xml:space="preserve"> </w:t>
      </w:r>
      <w:r w:rsidR="008F3D74" w:rsidRPr="009772A3">
        <w:rPr>
          <w:rFonts w:ascii="Calibri Light" w:hAnsi="Calibri Light"/>
          <w:sz w:val="24"/>
          <w:szCs w:val="24"/>
          <w:lang w:val="ro-MD" w:eastAsia="ar-SA"/>
        </w:rPr>
        <w:t>c</w:t>
      </w:r>
      <w:r w:rsidR="00283EF2" w:rsidRPr="009772A3">
        <w:rPr>
          <w:rFonts w:ascii="Calibri Light" w:hAnsi="Calibri Light"/>
          <w:sz w:val="24"/>
          <w:szCs w:val="24"/>
          <w:lang w:val="ro-MD" w:eastAsia="ar-SA"/>
        </w:rPr>
        <w:t>oordonator, format</w:t>
      </w:r>
      <w:r w:rsidR="00E81639" w:rsidRPr="009772A3">
        <w:rPr>
          <w:rFonts w:ascii="Calibri Light" w:hAnsi="Calibri Light"/>
          <w:sz w:val="24"/>
          <w:szCs w:val="24"/>
          <w:lang w:val="ro-MD" w:eastAsia="ar-SA"/>
        </w:rPr>
        <w:t xml:space="preserve"> din</w:t>
      </w:r>
      <w:r w:rsidR="00D94885" w:rsidRPr="009772A3">
        <w:rPr>
          <w:rFonts w:ascii="Calibri Light" w:hAnsi="Calibri Light"/>
          <w:sz w:val="24"/>
          <w:szCs w:val="24"/>
          <w:lang w:val="ro-MD" w:eastAsia="ar-SA"/>
        </w:rPr>
        <w:t xml:space="preserve"> patru membri</w:t>
      </w:r>
      <w:r w:rsidR="00C53549" w:rsidRPr="009772A3">
        <w:rPr>
          <w:rFonts w:ascii="Calibri Light" w:hAnsi="Calibri Light"/>
          <w:sz w:val="24"/>
          <w:szCs w:val="24"/>
          <w:lang w:val="ro-MD" w:eastAsia="ar-SA"/>
        </w:rPr>
        <w:t xml:space="preserve"> (</w:t>
      </w:r>
      <w:r w:rsidR="00A8161C" w:rsidRPr="009772A3">
        <w:rPr>
          <w:rFonts w:ascii="Calibri Light" w:hAnsi="Calibri Light"/>
          <w:sz w:val="24"/>
          <w:szCs w:val="24"/>
          <w:lang w:val="ro-MD" w:eastAsia="ar-SA"/>
        </w:rPr>
        <w:t>un</w:t>
      </w:r>
      <w:r w:rsidR="00283EF2" w:rsidRPr="009772A3">
        <w:rPr>
          <w:rFonts w:ascii="Calibri Light" w:hAnsi="Calibri Light"/>
          <w:sz w:val="24"/>
          <w:szCs w:val="24"/>
          <w:lang w:val="ro-MD" w:eastAsia="ar-SA"/>
        </w:rPr>
        <w:t xml:space="preserve"> Președinte</w:t>
      </w:r>
      <w:r w:rsidR="00300395" w:rsidRPr="009772A3">
        <w:rPr>
          <w:rFonts w:ascii="Calibri Light" w:hAnsi="Calibri Light"/>
          <w:sz w:val="24"/>
          <w:szCs w:val="24"/>
          <w:lang w:val="ro-MD" w:eastAsia="ar-SA"/>
        </w:rPr>
        <w:t xml:space="preserve"> - Directorul SRL Transautogaz</w:t>
      </w:r>
      <w:r w:rsidR="00300395" w:rsidRPr="009772A3">
        <w:rPr>
          <w:rStyle w:val="FootnoteReference"/>
          <w:rFonts w:ascii="Calibri Light" w:hAnsi="Calibri Light"/>
          <w:sz w:val="24"/>
          <w:szCs w:val="24"/>
          <w:vertAlign w:val="baseline"/>
          <w:lang w:val="ro-MD" w:eastAsia="ar-SA"/>
        </w:rPr>
        <w:t xml:space="preserve"> </w:t>
      </w:r>
      <w:r w:rsidR="00283EF2" w:rsidRPr="009772A3">
        <w:rPr>
          <w:rFonts w:ascii="Calibri Light" w:hAnsi="Calibri Light"/>
          <w:sz w:val="24"/>
          <w:szCs w:val="24"/>
          <w:lang w:val="ro-MD" w:eastAsia="ar-SA"/>
        </w:rPr>
        <w:t xml:space="preserve"> </w:t>
      </w:r>
      <w:r w:rsidR="00A8161C" w:rsidRPr="009772A3">
        <w:rPr>
          <w:rFonts w:ascii="Calibri Light" w:hAnsi="Calibri Light"/>
          <w:sz w:val="24"/>
          <w:szCs w:val="24"/>
          <w:lang w:val="ro-MD" w:eastAsia="ar-SA"/>
        </w:rPr>
        <w:t xml:space="preserve">și </w:t>
      </w:r>
      <w:r w:rsidR="00283EF2" w:rsidRPr="009772A3">
        <w:rPr>
          <w:rFonts w:ascii="Calibri Light" w:hAnsi="Calibri Light"/>
          <w:sz w:val="24"/>
          <w:szCs w:val="24"/>
          <w:lang w:val="ro-MD" w:eastAsia="ar-SA"/>
        </w:rPr>
        <w:t>3 membri</w:t>
      </w:r>
      <w:r w:rsidR="00C53549" w:rsidRPr="009772A3">
        <w:rPr>
          <w:rFonts w:ascii="Calibri Light" w:hAnsi="Calibri Light"/>
          <w:sz w:val="24"/>
          <w:szCs w:val="24"/>
          <w:lang w:val="ro-MD" w:eastAsia="ar-SA"/>
        </w:rPr>
        <w:t xml:space="preserve">), pentru </w:t>
      </w:r>
      <w:r w:rsidR="008F3D74" w:rsidRPr="009772A3">
        <w:rPr>
          <w:rFonts w:ascii="Calibri Light" w:hAnsi="Calibri Light"/>
          <w:sz w:val="24"/>
          <w:szCs w:val="24"/>
          <w:lang w:val="ro-MD" w:eastAsia="ar-SA"/>
        </w:rPr>
        <w:t xml:space="preserve">a cărui </w:t>
      </w:r>
      <w:r w:rsidR="00C53549" w:rsidRPr="009772A3">
        <w:rPr>
          <w:rFonts w:ascii="Calibri Light" w:hAnsi="Calibri Light"/>
          <w:sz w:val="24"/>
          <w:szCs w:val="24"/>
          <w:lang w:val="ro-MD" w:eastAsia="ar-SA"/>
        </w:rPr>
        <w:t>remunerare</w:t>
      </w:r>
      <w:r w:rsidR="008F3D74" w:rsidRPr="009772A3">
        <w:rPr>
          <w:rFonts w:ascii="Calibri Light" w:hAnsi="Calibri Light"/>
          <w:sz w:val="24"/>
          <w:szCs w:val="24"/>
          <w:lang w:val="ro-MD" w:eastAsia="ar-SA"/>
        </w:rPr>
        <w:t xml:space="preserve"> </w:t>
      </w:r>
      <w:r w:rsidR="00C53549" w:rsidRPr="009772A3">
        <w:rPr>
          <w:rFonts w:ascii="Calibri Light" w:hAnsi="Calibri Light"/>
          <w:sz w:val="24"/>
          <w:szCs w:val="24"/>
          <w:lang w:val="ro-MD" w:eastAsia="ar-SA"/>
        </w:rPr>
        <w:t>a muncii î</w:t>
      </w:r>
      <w:r w:rsidR="00D94885" w:rsidRPr="009772A3">
        <w:rPr>
          <w:rFonts w:ascii="Calibri Light" w:hAnsi="Calibri Light"/>
          <w:sz w:val="24"/>
          <w:szCs w:val="24"/>
          <w:lang w:val="ro-MD" w:eastAsia="ar-SA"/>
        </w:rPr>
        <w:t xml:space="preserve">n perioada octombrie 2020 – octombrie 2021 </w:t>
      </w:r>
      <w:r w:rsidR="00C53549" w:rsidRPr="009772A3">
        <w:rPr>
          <w:rFonts w:ascii="Calibri Light" w:hAnsi="Calibri Light"/>
          <w:sz w:val="24"/>
          <w:szCs w:val="24"/>
          <w:lang w:val="ro-MD" w:eastAsia="ar-SA"/>
        </w:rPr>
        <w:t xml:space="preserve">au fost suportate </w:t>
      </w:r>
      <w:r w:rsidR="00EF563C" w:rsidRPr="009772A3">
        <w:rPr>
          <w:rFonts w:ascii="Calibri Light" w:hAnsi="Calibri Light"/>
          <w:sz w:val="24"/>
          <w:szCs w:val="24"/>
          <w:lang w:val="ro-MD" w:eastAsia="ar-SA"/>
        </w:rPr>
        <w:t xml:space="preserve">cheltuieli </w:t>
      </w:r>
      <w:r w:rsidR="00C53549" w:rsidRPr="009772A3">
        <w:rPr>
          <w:rFonts w:ascii="Calibri Light" w:hAnsi="Calibri Light"/>
          <w:sz w:val="24"/>
          <w:szCs w:val="24"/>
          <w:lang w:val="ro-MD" w:eastAsia="ar-SA"/>
        </w:rPr>
        <w:t>în sumă de</w:t>
      </w:r>
      <w:r w:rsidR="00D94885" w:rsidRPr="009772A3">
        <w:rPr>
          <w:rFonts w:ascii="Calibri Light" w:hAnsi="Calibri Light"/>
          <w:sz w:val="24"/>
          <w:szCs w:val="24"/>
          <w:lang w:val="ro-MD" w:eastAsia="ar-SA"/>
        </w:rPr>
        <w:t xml:space="preserve"> 1.806,6 mii lei.</w:t>
      </w:r>
      <w:r w:rsidR="00EF563C" w:rsidRPr="009772A3">
        <w:rPr>
          <w:rFonts w:ascii="Calibri Light" w:hAnsi="Calibri Light"/>
          <w:sz w:val="24"/>
          <w:szCs w:val="24"/>
          <w:lang w:val="ro-MD" w:eastAsia="ar-SA"/>
        </w:rPr>
        <w:t xml:space="preserve"> </w:t>
      </w:r>
    </w:p>
    <w:p w14:paraId="0F729572" w14:textId="77777777" w:rsidR="002023F3" w:rsidRPr="009772A3" w:rsidRDefault="002023F3" w:rsidP="00FF6136">
      <w:pPr>
        <w:pStyle w:val="ListParagraph"/>
        <w:spacing w:after="0" w:line="276" w:lineRule="auto"/>
        <w:ind w:left="0" w:firstLine="709"/>
        <w:jc w:val="both"/>
        <w:rPr>
          <w:rFonts w:ascii="Calibri Light" w:hAnsi="Calibri Light"/>
          <w:sz w:val="24"/>
          <w:szCs w:val="24"/>
          <w:lang w:val="ro-MD" w:eastAsia="ar-SA"/>
        </w:rPr>
      </w:pPr>
    </w:p>
    <w:p w14:paraId="42057E0B" w14:textId="1285F594" w:rsidR="00FD1AA6" w:rsidRPr="009772A3" w:rsidRDefault="001D52F7" w:rsidP="00CF3AD4">
      <w:pPr>
        <w:pStyle w:val="Heading1"/>
        <w:numPr>
          <w:ilvl w:val="2"/>
          <w:numId w:val="2"/>
        </w:numPr>
        <w:spacing w:before="0" w:line="276" w:lineRule="auto"/>
        <w:ind w:left="0" w:firstLine="0"/>
        <w:jc w:val="both"/>
        <w:rPr>
          <w:color w:val="auto"/>
          <w:lang w:val="ro-MD"/>
        </w:rPr>
      </w:pPr>
      <w:bookmarkStart w:id="177" w:name="_Toc119496439"/>
      <w:r w:rsidRPr="009772A3">
        <w:rPr>
          <w:color w:val="auto"/>
          <w:lang w:val="ro-MD"/>
        </w:rPr>
        <w:t>C</w:t>
      </w:r>
      <w:r w:rsidR="00F96BE5" w:rsidRPr="009772A3">
        <w:rPr>
          <w:color w:val="auto"/>
          <w:lang w:val="ro-MD"/>
        </w:rPr>
        <w:t xml:space="preserve">a rezultat al admiterii unor </w:t>
      </w:r>
      <w:r w:rsidR="006C034F" w:rsidRPr="009772A3">
        <w:rPr>
          <w:color w:val="auto"/>
          <w:lang w:val="ro-MD"/>
        </w:rPr>
        <w:t>decizii manageriale nejustificate pe deplin</w:t>
      </w:r>
      <w:r w:rsidR="00A16BD5" w:rsidRPr="009772A3">
        <w:rPr>
          <w:color w:val="auto"/>
          <w:lang w:val="ro-MD"/>
        </w:rPr>
        <w:t>, au</w:t>
      </w:r>
      <w:r w:rsidRPr="009772A3">
        <w:rPr>
          <w:color w:val="auto"/>
          <w:lang w:val="ro-MD"/>
        </w:rPr>
        <w:t xml:space="preserve"> fost </w:t>
      </w:r>
      <w:r w:rsidR="00A16BD5" w:rsidRPr="009772A3">
        <w:rPr>
          <w:color w:val="auto"/>
          <w:lang w:val="ro-MD"/>
        </w:rPr>
        <w:t xml:space="preserve"> generat</w:t>
      </w:r>
      <w:r w:rsidRPr="009772A3">
        <w:rPr>
          <w:color w:val="auto"/>
          <w:lang w:val="ro-MD"/>
        </w:rPr>
        <w:t>e</w:t>
      </w:r>
      <w:r w:rsidR="006C034F" w:rsidRPr="009772A3">
        <w:rPr>
          <w:color w:val="auto"/>
          <w:lang w:val="ro-MD"/>
        </w:rPr>
        <w:t xml:space="preserve"> </w:t>
      </w:r>
      <w:r w:rsidR="00F96BE5" w:rsidRPr="009772A3">
        <w:rPr>
          <w:color w:val="auto"/>
          <w:lang w:val="ro-MD"/>
        </w:rPr>
        <w:t>cheltuieli neproductive și achiziții neconforme</w:t>
      </w:r>
      <w:r w:rsidRPr="009772A3">
        <w:rPr>
          <w:color w:val="auto"/>
          <w:lang w:val="ro-MD"/>
        </w:rPr>
        <w:t xml:space="preserve"> aferente unor servicii.</w:t>
      </w:r>
      <w:bookmarkEnd w:id="177"/>
    </w:p>
    <w:p w14:paraId="67C14D8D" w14:textId="38999FD5" w:rsidR="00FD1AA6" w:rsidRPr="009772A3" w:rsidRDefault="00C84B0F" w:rsidP="00CF3AD4">
      <w:pPr>
        <w:pStyle w:val="Heading1"/>
        <w:numPr>
          <w:ilvl w:val="3"/>
          <w:numId w:val="2"/>
        </w:numPr>
        <w:tabs>
          <w:tab w:val="left" w:pos="709"/>
          <w:tab w:val="left" w:pos="851"/>
        </w:tabs>
        <w:spacing w:before="0" w:line="276" w:lineRule="auto"/>
        <w:ind w:left="0" w:firstLine="0"/>
        <w:jc w:val="both"/>
        <w:rPr>
          <w:i/>
          <w:color w:val="auto"/>
          <w:lang w:val="ro-MD"/>
        </w:rPr>
      </w:pPr>
      <w:bookmarkStart w:id="178" w:name="_Toc117775798"/>
      <w:bookmarkStart w:id="179" w:name="_Toc118297741"/>
      <w:bookmarkStart w:id="180" w:name="_Toc119496440"/>
      <w:r w:rsidRPr="009772A3">
        <w:rPr>
          <w:i/>
          <w:color w:val="auto"/>
          <w:lang w:val="ro-MD"/>
        </w:rPr>
        <w:t>Schimbarea</w:t>
      </w:r>
      <w:r w:rsidR="00A01729" w:rsidRPr="009772A3">
        <w:rPr>
          <w:i/>
          <w:color w:val="auto"/>
          <w:lang w:val="ro-MD"/>
        </w:rPr>
        <w:t xml:space="preserve"> </w:t>
      </w:r>
      <w:r w:rsidR="00FD1AA6" w:rsidRPr="009772A3">
        <w:rPr>
          <w:i/>
          <w:color w:val="auto"/>
          <w:lang w:val="ro-MD"/>
        </w:rPr>
        <w:t>proprietarul</w:t>
      </w:r>
      <w:r w:rsidRPr="009772A3">
        <w:rPr>
          <w:i/>
          <w:color w:val="auto"/>
          <w:lang w:val="ro-MD"/>
        </w:rPr>
        <w:t>ui</w:t>
      </w:r>
      <w:r w:rsidR="00FD1AA6" w:rsidRPr="009772A3">
        <w:rPr>
          <w:i/>
          <w:color w:val="auto"/>
          <w:lang w:val="ro-MD"/>
        </w:rPr>
        <w:t xml:space="preserve"> imobilului din str.</w:t>
      </w:r>
      <w:r w:rsidR="00E072EA" w:rsidRPr="009772A3">
        <w:rPr>
          <w:i/>
          <w:color w:val="auto"/>
          <w:lang w:val="ro-MD"/>
        </w:rPr>
        <w:t>A.</w:t>
      </w:r>
      <w:r w:rsidR="00FD1AA6" w:rsidRPr="009772A3">
        <w:rPr>
          <w:i/>
          <w:color w:val="auto"/>
          <w:lang w:val="ro-MD"/>
        </w:rPr>
        <w:t xml:space="preserve">Pușkin </w:t>
      </w:r>
      <w:r w:rsidR="00E072EA" w:rsidRPr="009772A3">
        <w:rPr>
          <w:i/>
          <w:color w:val="auto"/>
          <w:lang w:val="ro-MD"/>
        </w:rPr>
        <w:t>nr.</w:t>
      </w:r>
      <w:r w:rsidR="00FD1AA6" w:rsidRPr="009772A3">
        <w:rPr>
          <w:i/>
          <w:color w:val="auto"/>
          <w:lang w:val="ro-MD"/>
        </w:rPr>
        <w:t>64</w:t>
      </w:r>
      <w:r w:rsidR="00896B27" w:rsidRPr="009772A3">
        <w:rPr>
          <w:i/>
          <w:color w:val="auto"/>
          <w:lang w:val="ro-MD"/>
        </w:rPr>
        <w:t xml:space="preserve">, prin vânzarea clădirii </w:t>
      </w:r>
      <w:r w:rsidR="00A60429" w:rsidRPr="009772A3">
        <w:rPr>
          <w:i/>
          <w:color w:val="auto"/>
          <w:lang w:val="ro-MD"/>
        </w:rPr>
        <w:t xml:space="preserve">respective </w:t>
      </w:r>
      <w:r w:rsidR="00896B27" w:rsidRPr="009772A3">
        <w:rPr>
          <w:i/>
          <w:color w:val="auto"/>
          <w:lang w:val="ro-MD"/>
        </w:rPr>
        <w:t>companiei</w:t>
      </w:r>
      <w:r w:rsidR="00E072EA" w:rsidRPr="009772A3">
        <w:rPr>
          <w:i/>
          <w:color w:val="auto"/>
          <w:lang w:val="ro-MD"/>
        </w:rPr>
        <w:t>-</w:t>
      </w:r>
      <w:r w:rsidR="00896B27" w:rsidRPr="009772A3">
        <w:rPr>
          <w:i/>
          <w:color w:val="auto"/>
          <w:lang w:val="ro-MD"/>
        </w:rPr>
        <w:t>fiice SRL Flacăra Albastră,</w:t>
      </w:r>
      <w:r w:rsidR="00FD1AA6" w:rsidRPr="009772A3">
        <w:rPr>
          <w:i/>
          <w:color w:val="auto"/>
          <w:lang w:val="ro-MD"/>
        </w:rPr>
        <w:t xml:space="preserve"> a majorat cheltuielile </w:t>
      </w:r>
      <w:r w:rsidR="0095396E" w:rsidRPr="009772A3">
        <w:rPr>
          <w:i/>
          <w:color w:val="auto"/>
          <w:lang w:val="ro-MD"/>
        </w:rPr>
        <w:t xml:space="preserve">aferente </w:t>
      </w:r>
      <w:r w:rsidR="00FD1AA6" w:rsidRPr="009772A3">
        <w:rPr>
          <w:i/>
          <w:color w:val="auto"/>
          <w:lang w:val="ro-MD"/>
        </w:rPr>
        <w:t xml:space="preserve">cu </w:t>
      </w:r>
      <w:r w:rsidR="00671649" w:rsidRPr="009772A3">
        <w:rPr>
          <w:i/>
          <w:color w:val="auto"/>
          <w:lang w:val="ro-MD"/>
        </w:rPr>
        <w:t xml:space="preserve">cca </w:t>
      </w:r>
      <w:r w:rsidR="000406B8" w:rsidRPr="009772A3">
        <w:rPr>
          <w:rFonts w:cstheme="majorHAnsi"/>
          <w:color w:val="auto"/>
          <w:szCs w:val="24"/>
          <w:lang w:val="ro-MD"/>
        </w:rPr>
        <w:t>17.923,2</w:t>
      </w:r>
      <w:r w:rsidR="00FD1AA6" w:rsidRPr="009772A3">
        <w:rPr>
          <w:i/>
          <w:color w:val="auto"/>
          <w:lang w:val="ro-MD"/>
        </w:rPr>
        <w:t xml:space="preserve"> mii lei.</w:t>
      </w:r>
      <w:bookmarkEnd w:id="178"/>
      <w:bookmarkEnd w:id="179"/>
      <w:bookmarkEnd w:id="180"/>
    </w:p>
    <w:p w14:paraId="3591DD88" w14:textId="7A171B06" w:rsidR="00DA7A01" w:rsidRPr="009772A3" w:rsidRDefault="00DA7A01" w:rsidP="005D18FD">
      <w:pPr>
        <w:spacing w:after="0" w:line="276" w:lineRule="auto"/>
        <w:ind w:firstLine="709"/>
        <w:jc w:val="both"/>
        <w:rPr>
          <w:rFonts w:ascii="Calibri Light" w:eastAsia="Times New Roman" w:hAnsi="Calibri Light" w:cs="Calibri Light"/>
          <w:sz w:val="24"/>
          <w:szCs w:val="24"/>
          <w:lang w:val="ro-MD" w:eastAsia="ru-RU"/>
        </w:rPr>
      </w:pPr>
      <w:r w:rsidRPr="009772A3">
        <w:rPr>
          <w:rFonts w:asciiTheme="majorHAnsi" w:hAnsiTheme="majorHAnsi" w:cstheme="majorHAnsi"/>
          <w:bCs/>
          <w:iCs/>
          <w:noProof/>
          <w:sz w:val="24"/>
          <w:szCs w:val="24"/>
          <w:shd w:val="clear" w:color="auto" w:fill="FFFFFF"/>
          <w:lang w:val="ro-MD"/>
        </w:rPr>
        <w:t>Conform</w:t>
      </w:r>
      <w:r w:rsidRPr="009772A3">
        <w:rPr>
          <w:rFonts w:asciiTheme="majorHAnsi" w:hAnsiTheme="majorHAnsi" w:cstheme="majorHAnsi"/>
          <w:sz w:val="24"/>
          <w:szCs w:val="24"/>
          <w:lang w:val="ro-MD"/>
        </w:rPr>
        <w:t xml:space="preserve"> Regulamentului privind planificarea, aprobarea şi efectuarea investițiilor</w:t>
      </w:r>
      <w:r w:rsidRPr="009772A3">
        <w:rPr>
          <w:rStyle w:val="FootnoteReference"/>
          <w:rFonts w:asciiTheme="majorHAnsi" w:hAnsiTheme="majorHAnsi" w:cstheme="majorHAnsi"/>
          <w:sz w:val="24"/>
          <w:szCs w:val="24"/>
          <w:lang w:val="ro-MD"/>
        </w:rPr>
        <w:footnoteReference w:id="133"/>
      </w:r>
      <w:r w:rsidRPr="009772A3">
        <w:rPr>
          <w:rFonts w:asciiTheme="majorHAnsi" w:hAnsiTheme="majorHAnsi" w:cstheme="majorHAnsi"/>
          <w:sz w:val="24"/>
          <w:szCs w:val="24"/>
          <w:lang w:val="ro-MD"/>
        </w:rPr>
        <w:t>, ANRE nu aprobă, în scopul recuperării prin tarif, investițiile efectuate de titularul de licență</w:t>
      </w:r>
      <w:r w:rsidR="00E072E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nu sunt conforme planurilor anuale de investiții aprobate de Agenție </w:t>
      </w:r>
      <w:r w:rsidRPr="009772A3">
        <w:rPr>
          <w:rFonts w:ascii="Calibri Light" w:eastAsia="Times New Roman" w:hAnsi="Calibri Light" w:cs="Calibri Light"/>
          <w:sz w:val="24"/>
          <w:szCs w:val="24"/>
          <w:lang w:val="ro-MD" w:eastAsia="ru-RU"/>
        </w:rPr>
        <w:t>și a celor ce nu corespund criteriilor de obligativitate, eficiență și necesitate.</w:t>
      </w:r>
    </w:p>
    <w:p w14:paraId="37EC843F" w14:textId="52B2BC41" w:rsidR="00DA7A01" w:rsidRPr="009772A3" w:rsidRDefault="00DA7A01"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Examinările</w:t>
      </w:r>
      <w:r w:rsidRPr="009772A3">
        <w:rPr>
          <w:rFonts w:ascii="Calibri Light" w:eastAsia="Times New Roman" w:hAnsi="Calibri Light" w:cs="Calibri Light"/>
          <w:sz w:val="24"/>
          <w:szCs w:val="24"/>
          <w:lang w:val="ro-MD" w:eastAsia="ru-RU"/>
        </w:rPr>
        <w:t xml:space="preserve"> și probele colectate de audit relevă că investițiile în valoare totală de </w:t>
      </w:r>
      <w:r w:rsidR="002E1C47" w:rsidRPr="009772A3">
        <w:rPr>
          <w:rFonts w:ascii="Calibri Light" w:eastAsia="Times New Roman" w:hAnsi="Calibri Light" w:cs="Calibri Light"/>
          <w:sz w:val="24"/>
          <w:szCs w:val="24"/>
          <w:lang w:val="ro-MD" w:eastAsia="ru-RU"/>
        </w:rPr>
        <w:t>445</w:t>
      </w:r>
      <w:r w:rsidRPr="009772A3">
        <w:rPr>
          <w:rFonts w:ascii="Calibri Light" w:eastAsia="Times New Roman" w:hAnsi="Calibri Light" w:cs="Calibri Light"/>
          <w:sz w:val="24"/>
          <w:szCs w:val="24"/>
          <w:lang w:val="ro-MD" w:eastAsia="ru-RU"/>
        </w:rPr>
        <w:t>.</w:t>
      </w:r>
      <w:r w:rsidR="002E1C47" w:rsidRPr="009772A3">
        <w:rPr>
          <w:rFonts w:ascii="Calibri Light" w:eastAsia="Times New Roman" w:hAnsi="Calibri Light" w:cs="Calibri Light"/>
          <w:sz w:val="24"/>
          <w:szCs w:val="24"/>
          <w:lang w:val="ro-MD" w:eastAsia="ru-RU"/>
        </w:rPr>
        <w:t>630</w:t>
      </w:r>
      <w:r w:rsidRPr="009772A3">
        <w:rPr>
          <w:rFonts w:ascii="Calibri Light" w:eastAsia="Times New Roman" w:hAnsi="Calibri Light" w:cs="Calibri Light"/>
          <w:sz w:val="24"/>
          <w:szCs w:val="24"/>
          <w:lang w:val="ro-MD" w:eastAsia="ru-RU"/>
        </w:rPr>
        <w:t>,</w:t>
      </w:r>
      <w:r w:rsidR="002E1C47" w:rsidRPr="009772A3">
        <w:rPr>
          <w:rFonts w:ascii="Calibri Light" w:eastAsia="Times New Roman" w:hAnsi="Calibri Light" w:cs="Calibri Light"/>
          <w:sz w:val="24"/>
          <w:szCs w:val="24"/>
          <w:lang w:val="ro-MD" w:eastAsia="ru-RU"/>
        </w:rPr>
        <w:t>3</w:t>
      </w:r>
      <w:r w:rsidRPr="009772A3">
        <w:rPr>
          <w:rFonts w:ascii="Calibri Light" w:eastAsia="Times New Roman" w:hAnsi="Calibri Light" w:cs="Calibri Light"/>
          <w:sz w:val="24"/>
          <w:szCs w:val="24"/>
          <w:lang w:val="ro-MD" w:eastAsia="ru-RU"/>
        </w:rPr>
        <w:t xml:space="preserve"> mii lei (</w:t>
      </w:r>
      <w:r w:rsidR="002E1C47" w:rsidRPr="009772A3">
        <w:rPr>
          <w:rFonts w:ascii="Calibri Light" w:eastAsia="Times New Roman" w:hAnsi="Calibri Light" w:cs="Calibri Light"/>
          <w:sz w:val="24"/>
          <w:szCs w:val="24"/>
          <w:lang w:val="ro-MD" w:eastAsia="ru-RU"/>
        </w:rPr>
        <w:t xml:space="preserve">fără </w:t>
      </w:r>
      <w:r w:rsidRPr="009772A3">
        <w:rPr>
          <w:rFonts w:ascii="Calibri Light" w:eastAsia="Times New Roman" w:hAnsi="Calibri Light" w:cs="Calibri Light"/>
          <w:sz w:val="24"/>
          <w:szCs w:val="24"/>
          <w:lang w:val="ro-MD" w:eastAsia="ru-RU"/>
        </w:rPr>
        <w:t xml:space="preserve">TVA), efectuate de către SA Moldovagaz pentru construcția noului edificiu din str. </w:t>
      </w:r>
      <w:r w:rsidR="00E072EA" w:rsidRPr="009772A3">
        <w:rPr>
          <w:rFonts w:ascii="Calibri Light" w:eastAsia="Times New Roman" w:hAnsi="Calibri Light" w:cs="Calibri Light"/>
          <w:sz w:val="24"/>
          <w:szCs w:val="24"/>
          <w:lang w:val="ro-MD" w:eastAsia="ru-RU"/>
        </w:rPr>
        <w:t>A.</w:t>
      </w:r>
      <w:r w:rsidRPr="009772A3">
        <w:rPr>
          <w:rFonts w:ascii="Calibri Light" w:eastAsia="Times New Roman" w:hAnsi="Calibri Light" w:cs="Calibri Light"/>
          <w:sz w:val="24"/>
          <w:szCs w:val="24"/>
          <w:lang w:val="ro-MD" w:eastAsia="ru-RU"/>
        </w:rPr>
        <w:t xml:space="preserve">Pușkin </w:t>
      </w:r>
      <w:r w:rsidR="00E072EA" w:rsidRPr="009772A3">
        <w:rPr>
          <w:rFonts w:ascii="Calibri Light" w:eastAsia="Times New Roman" w:hAnsi="Calibri Light" w:cs="Calibri Light"/>
          <w:sz w:val="24"/>
          <w:szCs w:val="24"/>
          <w:lang w:val="ro-MD" w:eastAsia="ru-RU"/>
        </w:rPr>
        <w:t>nr.</w:t>
      </w:r>
      <w:r w:rsidRPr="009772A3">
        <w:rPr>
          <w:rFonts w:ascii="Calibri Light" w:eastAsia="Times New Roman" w:hAnsi="Calibri Light" w:cs="Calibri Light"/>
          <w:sz w:val="24"/>
          <w:szCs w:val="24"/>
          <w:lang w:val="ro-MD" w:eastAsia="ru-RU"/>
        </w:rPr>
        <w:t xml:space="preserve">64, nu au fost realizate în baza unor </w:t>
      </w:r>
      <w:r w:rsidR="00E072EA" w:rsidRPr="009772A3">
        <w:rPr>
          <w:rFonts w:ascii="Calibri Light" w:eastAsia="Times New Roman" w:hAnsi="Calibri Light" w:cs="Calibri Light"/>
          <w:sz w:val="24"/>
          <w:szCs w:val="24"/>
          <w:lang w:val="ro-MD" w:eastAsia="ru-RU"/>
        </w:rPr>
        <w:t>p</w:t>
      </w:r>
      <w:r w:rsidRPr="009772A3">
        <w:rPr>
          <w:rFonts w:ascii="Calibri Light" w:eastAsia="Times New Roman" w:hAnsi="Calibri Light" w:cs="Calibri Light"/>
          <w:sz w:val="24"/>
          <w:szCs w:val="24"/>
          <w:lang w:val="ro-MD" w:eastAsia="ru-RU"/>
        </w:rPr>
        <w:t>lanuri aprobate regulamentar de ANRE, iar ca urmare cheltuielile aferente amortizării acesteia nu puteau fi acceptate în tariful de furnizare a gazelor naturale. Pentru depășirea situației create, Consiliul de observatori</w:t>
      </w:r>
      <w:r w:rsidRPr="009772A3">
        <w:rPr>
          <w:rStyle w:val="FootnoteReference"/>
          <w:rFonts w:asciiTheme="majorHAnsi" w:hAnsiTheme="majorHAnsi" w:cstheme="majorHAnsi"/>
          <w:sz w:val="24"/>
          <w:szCs w:val="24"/>
          <w:lang w:val="ro-MD"/>
        </w:rPr>
        <w:footnoteReference w:id="134"/>
      </w:r>
      <w:r w:rsidRPr="009772A3">
        <w:rPr>
          <w:rFonts w:asciiTheme="majorHAnsi" w:hAnsiTheme="majorHAnsi" w:cstheme="majorHAnsi"/>
          <w:sz w:val="24"/>
          <w:szCs w:val="24"/>
          <w:lang w:val="ro-MD"/>
        </w:rPr>
        <w:t xml:space="preserve"> a pus în sarcina Consiliului de administrare al societății identificarea unei soluții juridico</w:t>
      </w:r>
      <w:r w:rsidR="00E072E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organizaționale optime, în scopul asigurării administrării eficiente a noii clădiri, cu ulterioara prezentare a soluției Consiliul de observatori pentru examinare în vederea adoptării deciziilor corespunzătoare.</w:t>
      </w:r>
    </w:p>
    <w:p w14:paraId="079A3690" w14:textId="4CE4DBC1" w:rsidR="00DA7A01" w:rsidRPr="009772A3" w:rsidRDefault="007E7A75"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Pe</w:t>
      </w:r>
      <w:r w:rsidR="00DA7A01" w:rsidRPr="009772A3">
        <w:rPr>
          <w:rFonts w:asciiTheme="majorHAnsi" w:hAnsiTheme="majorHAnsi" w:cstheme="majorHAnsi"/>
          <w:bCs/>
          <w:iCs/>
          <w:noProof/>
          <w:sz w:val="24"/>
          <w:szCs w:val="24"/>
          <w:shd w:val="clear" w:color="auto" w:fill="FFFFFF"/>
          <w:lang w:val="ro-MD"/>
        </w:rPr>
        <w:t>ntru</w:t>
      </w:r>
      <w:r w:rsidR="00DA7A01" w:rsidRPr="009772A3">
        <w:rPr>
          <w:rFonts w:asciiTheme="majorHAnsi" w:hAnsiTheme="majorHAnsi" w:cstheme="majorHAnsi"/>
          <w:sz w:val="24"/>
          <w:szCs w:val="24"/>
          <w:lang w:val="ro-MD"/>
        </w:rPr>
        <w:t xml:space="preserve"> executarea Hotărârii Consiliului de </w:t>
      </w:r>
      <w:r w:rsidRPr="009772A3">
        <w:rPr>
          <w:rFonts w:asciiTheme="majorHAnsi" w:hAnsiTheme="majorHAnsi" w:cstheme="majorHAnsi"/>
          <w:sz w:val="24"/>
          <w:szCs w:val="24"/>
          <w:lang w:val="ro-MD"/>
        </w:rPr>
        <w:t>o</w:t>
      </w:r>
      <w:r w:rsidR="00DA7A01" w:rsidRPr="009772A3">
        <w:rPr>
          <w:rFonts w:asciiTheme="majorHAnsi" w:hAnsiTheme="majorHAnsi" w:cstheme="majorHAnsi"/>
          <w:sz w:val="24"/>
          <w:szCs w:val="24"/>
          <w:lang w:val="ro-MD"/>
        </w:rPr>
        <w:t xml:space="preserve">bservatori, SA Moldovagaz a elaborat un proiect al Planului de măsuri cu privire la transmiterea activelor imobiliare (clădirea administrativă) către SRL Flacăra </w:t>
      </w:r>
      <w:r w:rsidR="00342CF1" w:rsidRPr="009772A3">
        <w:rPr>
          <w:rFonts w:asciiTheme="majorHAnsi" w:hAnsiTheme="majorHAnsi" w:cstheme="majorHAnsi"/>
          <w:sz w:val="24"/>
          <w:szCs w:val="24"/>
          <w:lang w:val="ro-MD"/>
        </w:rPr>
        <w:t>Albastră</w:t>
      </w:r>
      <w:r w:rsidR="00DA7A01" w:rsidRPr="009772A3">
        <w:rPr>
          <w:rFonts w:asciiTheme="majorHAnsi" w:hAnsiTheme="majorHAnsi" w:cstheme="majorHAnsi"/>
          <w:sz w:val="24"/>
          <w:szCs w:val="24"/>
          <w:lang w:val="ro-MD"/>
        </w:rPr>
        <w:t xml:space="preserve">. Planul conținea 12 măsuri orientate spre crearea condițiilor pentru acoperirea prin tarif a investițiilor efectuate în construcția clădirii administrative, prin finalizarea și darea în exploatare a </w:t>
      </w:r>
      <w:r w:rsidRPr="009772A3">
        <w:rPr>
          <w:rFonts w:asciiTheme="majorHAnsi" w:hAnsiTheme="majorHAnsi" w:cstheme="majorHAnsi"/>
          <w:sz w:val="24"/>
          <w:szCs w:val="24"/>
          <w:lang w:val="ro-MD"/>
        </w:rPr>
        <w:t>acesteia</w:t>
      </w:r>
      <w:r w:rsidR="00DA7A01" w:rsidRPr="009772A3">
        <w:rPr>
          <w:rFonts w:asciiTheme="majorHAnsi" w:hAnsiTheme="majorHAnsi" w:cstheme="majorHAnsi"/>
          <w:sz w:val="24"/>
          <w:szCs w:val="24"/>
          <w:lang w:val="ro-MD"/>
        </w:rPr>
        <w:t xml:space="preserve">, transmiterea ei la balanța SRL Flacăra </w:t>
      </w:r>
      <w:r w:rsidRPr="009772A3">
        <w:rPr>
          <w:rFonts w:asciiTheme="majorHAnsi" w:hAnsiTheme="majorHAnsi" w:cstheme="majorHAnsi"/>
          <w:sz w:val="24"/>
          <w:szCs w:val="24"/>
          <w:lang w:val="ro-MD"/>
        </w:rPr>
        <w:t>A</w:t>
      </w:r>
      <w:r w:rsidR="00DA7A01" w:rsidRPr="009772A3">
        <w:rPr>
          <w:rFonts w:asciiTheme="majorHAnsi" w:hAnsiTheme="majorHAnsi" w:cstheme="majorHAnsi"/>
          <w:sz w:val="24"/>
          <w:szCs w:val="24"/>
          <w:lang w:val="ro-MD"/>
        </w:rPr>
        <w:t>lbastră și închirierea ulterioară de la aceasta a spațiilor necesare pentru desfășurarea activității SA Moldovagaz. Ulterior, la data de 03.08.2018, Consiliul de observatori</w:t>
      </w:r>
      <w:r w:rsidR="00DA7A01" w:rsidRPr="009772A3">
        <w:rPr>
          <w:rStyle w:val="FootnoteReference"/>
          <w:rFonts w:asciiTheme="majorHAnsi" w:hAnsiTheme="majorHAnsi" w:cstheme="majorHAnsi"/>
          <w:sz w:val="24"/>
          <w:szCs w:val="24"/>
          <w:lang w:val="ro-MD"/>
        </w:rPr>
        <w:footnoteReference w:id="135"/>
      </w:r>
      <w:r w:rsidR="00DA7A01" w:rsidRPr="009772A3">
        <w:rPr>
          <w:rFonts w:asciiTheme="majorHAnsi" w:hAnsiTheme="majorHAnsi" w:cstheme="majorHAnsi"/>
          <w:sz w:val="24"/>
          <w:szCs w:val="24"/>
          <w:lang w:val="ro-MD"/>
        </w:rPr>
        <w:t xml:space="preserve"> a aprobat </w:t>
      </w:r>
      <w:r w:rsidRPr="009772A3">
        <w:rPr>
          <w:rFonts w:asciiTheme="majorHAnsi" w:hAnsiTheme="majorHAnsi" w:cstheme="majorHAnsi"/>
          <w:sz w:val="24"/>
          <w:szCs w:val="24"/>
          <w:lang w:val="ro-MD"/>
        </w:rPr>
        <w:t xml:space="preserve">în unanimitate </w:t>
      </w:r>
      <w:r w:rsidR="00DA7A01" w:rsidRPr="009772A3">
        <w:rPr>
          <w:rFonts w:asciiTheme="majorHAnsi" w:hAnsiTheme="majorHAnsi" w:cstheme="majorHAnsi"/>
          <w:sz w:val="24"/>
          <w:szCs w:val="24"/>
          <w:lang w:val="ro-MD"/>
        </w:rPr>
        <w:t>Planul de măsuri și a dispus Consiliului de administrație al SA Moldovagaz implementarea acestuia.</w:t>
      </w:r>
    </w:p>
    <w:p w14:paraId="422BE557" w14:textId="173A496B" w:rsidR="00DA7A01" w:rsidRPr="009772A3" w:rsidRDefault="00DA7A01"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Mai</w:t>
      </w:r>
      <w:r w:rsidRPr="009772A3">
        <w:rPr>
          <w:rFonts w:asciiTheme="majorHAnsi" w:hAnsiTheme="majorHAnsi" w:cstheme="majorHAnsi"/>
          <w:sz w:val="24"/>
          <w:szCs w:val="24"/>
          <w:lang w:val="ro-MD"/>
        </w:rPr>
        <w:t xml:space="preserve"> târziu, la data de 05.10.2018, Consiliul de administrație al SA Moldovagaz</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examinarea informațiilor cu privire la implementarea acțiunilor din Planul de măsuri cu privire la transmiterea activelor imobiliare (clădirea administrativă) către SRL Flacăra </w:t>
      </w:r>
      <w:r w:rsidR="00532D02" w:rsidRPr="009772A3">
        <w:rPr>
          <w:rFonts w:asciiTheme="majorHAnsi" w:hAnsiTheme="majorHAnsi" w:cstheme="majorHAnsi"/>
          <w:sz w:val="24"/>
          <w:szCs w:val="24"/>
          <w:lang w:val="ro-MD"/>
        </w:rPr>
        <w:t xml:space="preserve">Albastră </w:t>
      </w:r>
      <w:r w:rsidRPr="009772A3">
        <w:rPr>
          <w:rFonts w:asciiTheme="majorHAnsi" w:hAnsiTheme="majorHAnsi" w:cstheme="majorHAnsi"/>
          <w:sz w:val="24"/>
          <w:szCs w:val="24"/>
          <w:lang w:val="ro-MD"/>
        </w:rPr>
        <w:t>și, la propunerea șefului Direcției juridice și șefului Direcției economico</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financiare, a hotărât</w:t>
      </w:r>
      <w:r w:rsidRPr="009772A3">
        <w:rPr>
          <w:rStyle w:val="FootnoteReference"/>
          <w:rFonts w:asciiTheme="majorHAnsi" w:hAnsiTheme="majorHAnsi" w:cstheme="majorHAnsi"/>
          <w:sz w:val="24"/>
          <w:szCs w:val="24"/>
          <w:lang w:val="ro-MD"/>
        </w:rPr>
        <w:footnoteReference w:id="136"/>
      </w:r>
      <w:r w:rsidRPr="009772A3">
        <w:rPr>
          <w:rFonts w:asciiTheme="majorHAnsi" w:hAnsiTheme="majorHAnsi" w:cstheme="majorHAnsi"/>
          <w:sz w:val="24"/>
          <w:szCs w:val="24"/>
          <w:lang w:val="ro-MD"/>
        </w:rPr>
        <w:t>:</w:t>
      </w:r>
    </w:p>
    <w:p w14:paraId="290A08D5" w14:textId="774B2046" w:rsidR="00DA7A01" w:rsidRPr="009772A3" w:rsidRDefault="00DA7A01" w:rsidP="008131B7">
      <w:pPr>
        <w:pStyle w:val="ListParagraph"/>
        <w:numPr>
          <w:ilvl w:val="0"/>
          <w:numId w:val="7"/>
        </w:numPr>
        <w:spacing w:after="0" w:line="276" w:lineRule="auto"/>
        <w:ind w:left="709" w:hanging="34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 se lua act de informația prezentată și a cădea de acord cu propunerea privind transmiterea la balanța SRL Flacăra </w:t>
      </w:r>
      <w:r w:rsidR="007E7A75"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lbastră, prin metoda vânzării, și</w:t>
      </w:r>
    </w:p>
    <w:p w14:paraId="01019F23" w14:textId="6CDB03FF" w:rsidR="00DA7A01" w:rsidRPr="009772A3" w:rsidRDefault="00DA7A01" w:rsidP="008131B7">
      <w:pPr>
        <w:pStyle w:val="ListParagraph"/>
        <w:numPr>
          <w:ilvl w:val="0"/>
          <w:numId w:val="7"/>
        </w:numPr>
        <w:spacing w:after="0" w:line="276" w:lineRule="auto"/>
        <w:ind w:left="709" w:hanging="34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 se pune în sarcina subdiviziunilor structurale ale SA Moldovagaz elaborarea documentelor necesare pentru transmiterea, prin metoda vânzării, </w:t>
      </w:r>
      <w:r w:rsidR="007E7A75" w:rsidRPr="009772A3">
        <w:rPr>
          <w:rFonts w:asciiTheme="majorHAnsi" w:hAnsiTheme="majorHAnsi" w:cstheme="majorHAnsi"/>
          <w:sz w:val="24"/>
          <w:szCs w:val="24"/>
          <w:lang w:val="ro-MD"/>
        </w:rPr>
        <w:t xml:space="preserve">a clădirii administrative </w:t>
      </w:r>
      <w:r w:rsidRPr="009772A3">
        <w:rPr>
          <w:rFonts w:asciiTheme="majorHAnsi" w:hAnsiTheme="majorHAnsi" w:cstheme="majorHAnsi"/>
          <w:sz w:val="24"/>
          <w:szCs w:val="24"/>
          <w:lang w:val="ro-MD"/>
        </w:rPr>
        <w:t xml:space="preserve">și prezentarea </w:t>
      </w:r>
      <w:r w:rsidR="007E7A75" w:rsidRPr="009772A3">
        <w:rPr>
          <w:rFonts w:asciiTheme="majorHAnsi" w:hAnsiTheme="majorHAnsi" w:cstheme="majorHAnsi"/>
          <w:sz w:val="24"/>
          <w:szCs w:val="24"/>
          <w:lang w:val="ro-MD"/>
        </w:rPr>
        <w:t xml:space="preserve">documentelor </w:t>
      </w:r>
      <w:r w:rsidRPr="009772A3">
        <w:rPr>
          <w:rFonts w:asciiTheme="majorHAnsi" w:hAnsiTheme="majorHAnsi" w:cstheme="majorHAnsi"/>
          <w:sz w:val="24"/>
          <w:szCs w:val="24"/>
          <w:lang w:val="ro-MD"/>
        </w:rPr>
        <w:t>spre aprobare Consiliului de administrație.</w:t>
      </w:r>
    </w:p>
    <w:p w14:paraId="3642A754" w14:textId="02CF648B" w:rsidR="00DA7A01" w:rsidRPr="00CF3AD4" w:rsidRDefault="00DA7A01"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Con</w:t>
      </w:r>
      <w:r w:rsidR="00532D02" w:rsidRPr="009772A3">
        <w:rPr>
          <w:rFonts w:asciiTheme="majorHAnsi" w:hAnsiTheme="majorHAnsi" w:cstheme="majorHAnsi"/>
          <w:bCs/>
          <w:iCs/>
          <w:noProof/>
          <w:sz w:val="24"/>
          <w:szCs w:val="24"/>
          <w:shd w:val="clear" w:color="auto" w:fill="FFFFFF"/>
          <w:lang w:val="ro-MD"/>
        </w:rPr>
        <w:t>fruntarea</w:t>
      </w:r>
      <w:r w:rsidRPr="009772A3">
        <w:rPr>
          <w:rFonts w:asciiTheme="majorHAnsi" w:hAnsiTheme="majorHAnsi" w:cstheme="majorHAnsi"/>
          <w:sz w:val="24"/>
          <w:szCs w:val="24"/>
          <w:lang w:val="ro-MD"/>
        </w:rPr>
        <w:t xml:space="preserve"> conținutului Hotărârii Consiliului de observatori</w:t>
      </w:r>
      <w:r w:rsidRPr="009772A3">
        <w:rPr>
          <w:rStyle w:val="FootnoteReference"/>
          <w:rFonts w:asciiTheme="majorHAnsi" w:hAnsiTheme="majorHAnsi" w:cstheme="majorHAnsi"/>
          <w:sz w:val="24"/>
          <w:szCs w:val="24"/>
          <w:lang w:val="ro-MD"/>
        </w:rPr>
        <w:footnoteReference w:id="137"/>
      </w:r>
      <w:r w:rsidRPr="009772A3">
        <w:rPr>
          <w:rFonts w:asciiTheme="majorHAnsi" w:hAnsiTheme="majorHAnsi" w:cstheme="majorHAnsi"/>
          <w:sz w:val="24"/>
          <w:szCs w:val="24"/>
          <w:lang w:val="ro-MD"/>
        </w:rPr>
        <w:t xml:space="preserve"> și Planului de acțiuni aferent cu prevederile Hotărârii Consiliului de administrație, </w:t>
      </w:r>
      <w:r w:rsidR="00532D02" w:rsidRPr="009772A3">
        <w:rPr>
          <w:rFonts w:asciiTheme="majorHAnsi" w:hAnsiTheme="majorHAnsi" w:cstheme="majorHAnsi"/>
          <w:sz w:val="24"/>
          <w:szCs w:val="24"/>
          <w:lang w:val="ro-MD"/>
        </w:rPr>
        <w:t>a relevat</w:t>
      </w:r>
      <w:r w:rsidRPr="009772A3">
        <w:rPr>
          <w:rFonts w:asciiTheme="majorHAnsi" w:hAnsiTheme="majorHAnsi" w:cstheme="majorHAnsi"/>
          <w:sz w:val="24"/>
          <w:szCs w:val="24"/>
          <w:lang w:val="ro-MD"/>
        </w:rPr>
        <w:t xml:space="preserve"> că cea din urmă a schimbat conținutul tranzacției economice de transmitere a clădirii, din procedură de transmitere (printr-un act de primire</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predare și contract de locațiune ulterioară) în procedură de transmitere prin vânzare</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cumpărare (contract de vânzare</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cumpărare, act de primire</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predare, contract de ipotecă și contract de locațiune ulterioară), fără a fi prezentate Consiliului de observatori evaluările și justificările privind beneficiile economice posibile și cheltuielile ce vor fi suportate de SA Moldovagaz și SRL Flacăra </w:t>
      </w:r>
      <w:r w:rsidR="00532D02" w:rsidRPr="009772A3">
        <w:rPr>
          <w:rFonts w:asciiTheme="majorHAnsi" w:hAnsiTheme="majorHAnsi" w:cstheme="majorHAnsi"/>
          <w:sz w:val="24"/>
          <w:szCs w:val="24"/>
          <w:lang w:val="ro-MD"/>
        </w:rPr>
        <w:t>Albastră</w:t>
      </w:r>
      <w:r w:rsidRPr="009772A3">
        <w:rPr>
          <w:rFonts w:asciiTheme="majorHAnsi" w:hAnsiTheme="majorHAnsi" w:cstheme="majorHAnsi"/>
          <w:sz w:val="24"/>
          <w:szCs w:val="24"/>
          <w:lang w:val="ro-MD"/>
        </w:rPr>
        <w:t>, pentru luarea deciziilor corespunzătoare</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după cum prevedea pct.4 din Planul de măsuri cu privire la transmiterea clădirii către întreprinderea</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fiică. De menționat că Planul de măsuri cu privire la transmiterea activelor imobiliare (clădirea administrativă) către SRL Flacăra </w:t>
      </w:r>
      <w:r w:rsidR="007E7A75"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lbastră, aprobat de către Consiliul de observatori, nu prevedea tranzacția de vânzare</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cumpărare</w:t>
      </w:r>
      <w:r w:rsidR="00532D02" w:rsidRPr="009772A3">
        <w:rPr>
          <w:rFonts w:asciiTheme="majorHAnsi" w:hAnsiTheme="majorHAnsi" w:cstheme="majorHAnsi"/>
          <w:sz w:val="24"/>
          <w:szCs w:val="24"/>
          <w:lang w:val="ro-MD"/>
        </w:rPr>
        <w:t xml:space="preserve"> și </w:t>
      </w:r>
      <w:r w:rsidRPr="009772A3">
        <w:rPr>
          <w:rFonts w:asciiTheme="majorHAnsi" w:hAnsiTheme="majorHAnsi" w:cstheme="majorHAnsi"/>
          <w:sz w:val="24"/>
          <w:szCs w:val="24"/>
          <w:lang w:val="ro-MD"/>
        </w:rPr>
        <w:t>plat</w:t>
      </w:r>
      <w:r w:rsidR="00532D02"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eșalonată timp de 35 </w:t>
      </w:r>
      <w:r w:rsidR="007E7A75"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ani</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532D02" w:rsidRPr="009772A3">
        <w:rPr>
          <w:rFonts w:asciiTheme="majorHAnsi" w:hAnsiTheme="majorHAnsi" w:cstheme="majorHAnsi"/>
          <w:sz w:val="24"/>
          <w:szCs w:val="24"/>
          <w:lang w:val="ro-MD"/>
        </w:rPr>
        <w:t xml:space="preserve">cu </w:t>
      </w:r>
      <w:r w:rsidRPr="009772A3">
        <w:rPr>
          <w:rFonts w:asciiTheme="majorHAnsi" w:hAnsiTheme="majorHAnsi" w:cstheme="majorHAnsi"/>
          <w:sz w:val="24"/>
          <w:szCs w:val="24"/>
          <w:lang w:val="ro-MD"/>
        </w:rPr>
        <w:t>încheierea unui contract de ipotecă aferent. Procesul</w:t>
      </w:r>
      <w:r w:rsidR="007E7A7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verbal al ședinței Consiliul</w:t>
      </w:r>
      <w:r w:rsidR="007E7A75"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de observatori </w:t>
      </w:r>
      <w:r w:rsidR="00532D02" w:rsidRPr="009772A3">
        <w:rPr>
          <w:rFonts w:asciiTheme="majorHAnsi" w:hAnsiTheme="majorHAnsi" w:cstheme="majorHAnsi"/>
          <w:sz w:val="24"/>
          <w:szCs w:val="24"/>
          <w:lang w:val="ro-MD"/>
        </w:rPr>
        <w:t>a</w:t>
      </w:r>
      <w:r w:rsidR="007E7A75" w:rsidRPr="009772A3">
        <w:rPr>
          <w:rFonts w:asciiTheme="majorHAnsi" w:hAnsiTheme="majorHAnsi" w:cstheme="majorHAnsi"/>
          <w:sz w:val="24"/>
          <w:szCs w:val="24"/>
          <w:lang w:val="ro-MD"/>
        </w:rPr>
        <w:t>l</w:t>
      </w:r>
      <w:r w:rsidR="00532D02"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SA Moldovagaz nr.7 </w:t>
      </w:r>
      <w:r w:rsidRPr="00CF3AD4">
        <w:rPr>
          <w:rFonts w:asciiTheme="majorHAnsi" w:hAnsiTheme="majorHAnsi" w:cstheme="majorHAnsi"/>
          <w:sz w:val="24"/>
          <w:szCs w:val="24"/>
          <w:lang w:val="ro-MD"/>
        </w:rPr>
        <w:t xml:space="preserve">din 03.08.2018 nu </w:t>
      </w:r>
      <w:r w:rsidR="007E7A75" w:rsidRPr="009772A3">
        <w:rPr>
          <w:rFonts w:asciiTheme="majorHAnsi" w:hAnsiTheme="majorHAnsi" w:cstheme="majorHAnsi"/>
          <w:sz w:val="24"/>
          <w:szCs w:val="24"/>
          <w:lang w:val="ro-MD"/>
        </w:rPr>
        <w:t>consemnează</w:t>
      </w:r>
      <w:r w:rsidRPr="00CF3AD4">
        <w:rPr>
          <w:rFonts w:asciiTheme="majorHAnsi" w:hAnsiTheme="majorHAnsi" w:cstheme="majorHAnsi"/>
          <w:sz w:val="24"/>
          <w:szCs w:val="24"/>
          <w:lang w:val="ro-MD"/>
        </w:rPr>
        <w:t xml:space="preserve"> împuternicirea SA Moldovagaz pentru realizarea tranzacțiilor economice menționate. </w:t>
      </w:r>
    </w:p>
    <w:p w14:paraId="361A2266" w14:textId="7FAF6661" w:rsidR="00DA7A01" w:rsidRPr="009772A3" w:rsidRDefault="00DA7A01"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În </w:t>
      </w:r>
      <w:r w:rsidRPr="009772A3">
        <w:rPr>
          <w:rFonts w:asciiTheme="majorHAnsi" w:hAnsiTheme="majorHAnsi" w:cstheme="majorHAnsi"/>
          <w:bCs/>
          <w:iCs/>
          <w:noProof/>
          <w:sz w:val="24"/>
          <w:szCs w:val="24"/>
          <w:shd w:val="clear" w:color="auto" w:fill="FFFFFF"/>
          <w:lang w:val="ro-MD"/>
        </w:rPr>
        <w:t>baza</w:t>
      </w:r>
      <w:r w:rsidRPr="009772A3">
        <w:rPr>
          <w:rFonts w:asciiTheme="majorHAnsi" w:hAnsiTheme="majorHAnsi" w:cstheme="majorHAnsi"/>
          <w:sz w:val="24"/>
          <w:szCs w:val="24"/>
          <w:lang w:val="ro-MD"/>
        </w:rPr>
        <w:t xml:space="preserve"> Hotărârii Consiliului de administrație</w:t>
      </w:r>
      <w:r w:rsidRPr="009772A3">
        <w:rPr>
          <w:rStyle w:val="FootnoteReference"/>
          <w:rFonts w:asciiTheme="majorHAnsi" w:hAnsiTheme="majorHAnsi" w:cstheme="majorHAnsi"/>
          <w:sz w:val="24"/>
          <w:szCs w:val="24"/>
          <w:lang w:val="ro-MD"/>
        </w:rPr>
        <w:footnoteReference w:id="138"/>
      </w:r>
      <w:r w:rsidRPr="009772A3">
        <w:rPr>
          <w:rFonts w:asciiTheme="majorHAnsi" w:hAnsiTheme="majorHAnsi" w:cstheme="majorHAnsi"/>
          <w:sz w:val="24"/>
          <w:szCs w:val="24"/>
          <w:lang w:val="ro-MD"/>
        </w:rPr>
        <w:t>, subdiviziunile responsabile din cadrul SA Moldovagaz au pregătit, iar Consiliul de administrație, la data de 30.11.2018</w:t>
      </w:r>
      <w:r w:rsidR="00C2379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hotărât</w:t>
      </w:r>
      <w:r w:rsidRPr="009772A3">
        <w:rPr>
          <w:rStyle w:val="FootnoteReference"/>
          <w:rFonts w:asciiTheme="majorHAnsi" w:hAnsiTheme="majorHAnsi" w:cstheme="majorHAnsi"/>
          <w:sz w:val="24"/>
          <w:szCs w:val="24"/>
          <w:lang w:val="ro-MD"/>
        </w:rPr>
        <w:footnoteReference w:id="139"/>
      </w:r>
      <w:r w:rsidRPr="009772A3">
        <w:rPr>
          <w:rFonts w:asciiTheme="majorHAnsi" w:hAnsiTheme="majorHAnsi" w:cstheme="majorHAnsi"/>
          <w:sz w:val="24"/>
          <w:szCs w:val="24"/>
          <w:lang w:val="ro-MD"/>
        </w:rPr>
        <w:t>:</w:t>
      </w:r>
    </w:p>
    <w:p w14:paraId="23A6830A" w14:textId="1005F878" w:rsidR="00DA7A01" w:rsidRPr="009772A3" w:rsidRDefault="00DA7A01" w:rsidP="000C11CA">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aprobarea tranzacției cu privire la locațiunea spațiilor de până la 8</w:t>
      </w:r>
      <w:r w:rsidR="00302F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559,4 m</w:t>
      </w:r>
      <w:r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 xml:space="preserve"> în clădirea pentru oficii din mun. Chișinău, str. </w:t>
      </w:r>
      <w:r w:rsidR="00C23798"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Pușkin </w:t>
      </w:r>
      <w:r w:rsidR="00C23798"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64, la un preț de 12 euro pentru un metru pătrat;</w:t>
      </w:r>
    </w:p>
    <w:p w14:paraId="45FDE442" w14:textId="636D9E87" w:rsidR="00DA7A01" w:rsidRPr="009772A3" w:rsidRDefault="00DA7A01" w:rsidP="000C11CA">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aprobarea tranzacției de vânzare</w:t>
      </w:r>
      <w:r w:rsidR="00C2379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cumpărare a clădirii de tip oficii (cu suprafața totală de 13.459,3 m</w:t>
      </w:r>
      <w:r w:rsidRPr="009772A3">
        <w:rPr>
          <w:rFonts w:asciiTheme="majorHAnsi" w:hAnsiTheme="majorHAnsi" w:cstheme="majorHAnsi"/>
          <w:sz w:val="24"/>
          <w:szCs w:val="24"/>
          <w:vertAlign w:val="superscript"/>
          <w:lang w:val="ro-MD"/>
        </w:rPr>
        <w:t xml:space="preserve">2 </w:t>
      </w:r>
      <w:r w:rsidRPr="009772A3">
        <w:rPr>
          <w:rFonts w:asciiTheme="majorHAnsi" w:hAnsiTheme="majorHAnsi" w:cstheme="majorHAnsi"/>
          <w:sz w:val="24"/>
          <w:szCs w:val="24"/>
          <w:lang w:val="ro-MD"/>
        </w:rPr>
        <w:t xml:space="preserve">situată în mun. Chișinău, str. </w:t>
      </w:r>
      <w:r w:rsidR="00C23798"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Pușkin </w:t>
      </w:r>
      <w:r w:rsidR="00C23798"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 xml:space="preserve">64) între SA Moldovagaz (vânzător) și SRL Flacăra </w:t>
      </w:r>
      <w:r w:rsidR="00C23798"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lbastră (cumpărător)</w:t>
      </w:r>
      <w:r w:rsidR="00C2379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cu achitarea acesteia în rate într-un termen de 35 </w:t>
      </w:r>
      <w:r w:rsidR="00C23798"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ani, la prețul de 544.917</w:t>
      </w:r>
      <w:r w:rsidR="00302F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w:t>
      </w:r>
      <w:r w:rsidR="00302FC0" w:rsidRPr="009772A3">
        <w:rPr>
          <w:rFonts w:asciiTheme="majorHAnsi" w:hAnsiTheme="majorHAnsi" w:cstheme="majorHAnsi"/>
          <w:sz w:val="24"/>
          <w:szCs w:val="24"/>
          <w:lang w:val="ro-MD"/>
        </w:rPr>
        <w:t xml:space="preserve"> mii</w:t>
      </w:r>
      <w:r w:rsidRPr="009772A3">
        <w:rPr>
          <w:rFonts w:asciiTheme="majorHAnsi" w:hAnsiTheme="majorHAnsi" w:cstheme="majorHAnsi"/>
          <w:sz w:val="24"/>
          <w:szCs w:val="24"/>
          <w:lang w:val="ro-MD"/>
        </w:rPr>
        <w:t xml:space="preserve"> lei, inclusiv TVA, și</w:t>
      </w:r>
    </w:p>
    <w:p w14:paraId="382A98B6" w14:textId="599C33C6" w:rsidR="00DA7A01" w:rsidRPr="009772A3" w:rsidRDefault="00DA7A01" w:rsidP="000C11CA">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aprobarea tranzacției de ipotecă pentru clădirea de tip oficii (cu suprafața totală de 13.459,3 m</w:t>
      </w:r>
      <w:r w:rsidRPr="009772A3">
        <w:rPr>
          <w:rFonts w:asciiTheme="majorHAnsi" w:hAnsiTheme="majorHAnsi" w:cstheme="majorHAnsi"/>
          <w:sz w:val="24"/>
          <w:szCs w:val="24"/>
          <w:vertAlign w:val="superscript"/>
          <w:lang w:val="ro-MD"/>
        </w:rPr>
        <w:t xml:space="preserve">2 </w:t>
      </w:r>
      <w:r w:rsidRPr="009772A3">
        <w:rPr>
          <w:rFonts w:asciiTheme="majorHAnsi" w:hAnsiTheme="majorHAnsi" w:cstheme="majorHAnsi"/>
          <w:sz w:val="24"/>
          <w:szCs w:val="24"/>
          <w:lang w:val="ro-MD"/>
        </w:rPr>
        <w:t xml:space="preserve">situată în mun. Chișinău, str. </w:t>
      </w:r>
      <w:r w:rsidR="00C23798"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Pușkin </w:t>
      </w:r>
      <w:r w:rsidR="00C23798"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 xml:space="preserve">64) între SA Moldovagaz (creditor ipotecar) și SRL Flacăra </w:t>
      </w:r>
      <w:r w:rsidR="00C23798"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lbastră (debitor ipotecar), pe un termen de 35 </w:t>
      </w:r>
      <w:r w:rsidR="00C23798"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ani, la prețul de 544.917</w:t>
      </w:r>
      <w:r w:rsidR="00302FC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w:t>
      </w:r>
      <w:r w:rsidR="00302FC0" w:rsidRPr="009772A3">
        <w:rPr>
          <w:rFonts w:asciiTheme="majorHAnsi" w:hAnsiTheme="majorHAnsi" w:cstheme="majorHAnsi"/>
          <w:sz w:val="24"/>
          <w:szCs w:val="24"/>
          <w:lang w:val="ro-MD"/>
        </w:rPr>
        <w:t xml:space="preserve"> mii</w:t>
      </w:r>
      <w:r w:rsidRPr="009772A3">
        <w:rPr>
          <w:rFonts w:asciiTheme="majorHAnsi" w:hAnsiTheme="majorHAnsi" w:cstheme="majorHAnsi"/>
          <w:sz w:val="24"/>
          <w:szCs w:val="24"/>
          <w:lang w:val="ro-MD"/>
        </w:rPr>
        <w:t xml:space="preserve"> lei.</w:t>
      </w:r>
    </w:p>
    <w:p w14:paraId="553144B3" w14:textId="5A989E88" w:rsidR="00DA7A01" w:rsidRPr="009772A3" w:rsidRDefault="00DA7A01"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Prin</w:t>
      </w:r>
      <w:r w:rsidRPr="009772A3">
        <w:rPr>
          <w:rFonts w:asciiTheme="majorHAnsi" w:hAnsiTheme="majorHAnsi" w:cstheme="majorHAnsi"/>
          <w:sz w:val="24"/>
          <w:szCs w:val="24"/>
          <w:lang w:val="ro-MD"/>
        </w:rPr>
        <w:t xml:space="preserve"> urmare, la 17</w:t>
      </w:r>
      <w:r w:rsidR="00532D02" w:rsidRPr="009772A3">
        <w:rPr>
          <w:rFonts w:asciiTheme="majorHAnsi" w:hAnsiTheme="majorHAnsi" w:cstheme="majorHAnsi"/>
          <w:sz w:val="24"/>
          <w:szCs w:val="24"/>
          <w:lang w:val="ro-MD"/>
        </w:rPr>
        <w:t>.12.</w:t>
      </w:r>
      <w:r w:rsidRPr="009772A3">
        <w:rPr>
          <w:rFonts w:asciiTheme="majorHAnsi" w:hAnsiTheme="majorHAnsi" w:cstheme="majorHAnsi"/>
          <w:sz w:val="24"/>
          <w:szCs w:val="24"/>
          <w:lang w:val="ro-MD"/>
        </w:rPr>
        <w:t>2018, Președintele Consiliului de administrație al SA Moldovagaz:</w:t>
      </w:r>
    </w:p>
    <w:p w14:paraId="5B9D2F56" w14:textId="7E7BBCF6" w:rsidR="00DA7A01" w:rsidRPr="009772A3" w:rsidRDefault="00DA7A01" w:rsidP="000C11CA">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 încheiat contractul de vânzare – cumpărare nr.12187 din 17.12.2018</w:t>
      </w:r>
      <w:r w:rsidRPr="009772A3">
        <w:rPr>
          <w:rStyle w:val="FootnoteReference"/>
          <w:rFonts w:asciiTheme="majorHAnsi" w:hAnsiTheme="majorHAnsi" w:cstheme="majorHAnsi"/>
          <w:sz w:val="24"/>
          <w:szCs w:val="24"/>
          <w:lang w:val="ro-MD"/>
        </w:rPr>
        <w:footnoteReference w:id="140"/>
      </w:r>
      <w:r w:rsidRPr="009772A3">
        <w:rPr>
          <w:rFonts w:asciiTheme="majorHAnsi" w:hAnsiTheme="majorHAnsi" w:cstheme="majorHAnsi"/>
          <w:sz w:val="24"/>
          <w:szCs w:val="24"/>
          <w:lang w:val="ro-MD"/>
        </w:rPr>
        <w:t>, între SA Moldovagaz (vânzător) și SRL Flacăra albastră (cumpărător) cu privire la vânzarea clădirii  de tip oficii (cu suprafața totală de 13.459,3 m</w:t>
      </w:r>
      <w:r w:rsidRPr="009772A3">
        <w:rPr>
          <w:rFonts w:asciiTheme="majorHAnsi" w:hAnsiTheme="majorHAnsi" w:cstheme="majorHAnsi"/>
          <w:sz w:val="24"/>
          <w:szCs w:val="24"/>
          <w:vertAlign w:val="superscript"/>
          <w:lang w:val="ro-MD"/>
        </w:rPr>
        <w:t xml:space="preserve">2 </w:t>
      </w:r>
      <w:r w:rsidRPr="009772A3">
        <w:rPr>
          <w:rFonts w:asciiTheme="majorHAnsi" w:hAnsiTheme="majorHAnsi" w:cstheme="majorHAnsi"/>
          <w:sz w:val="24"/>
          <w:szCs w:val="24"/>
          <w:lang w:val="ro-MD"/>
        </w:rPr>
        <w:t>situată în mun. Chișinău, str. Pușkin 64) cu achitarea acesteia, în rate, într-un termen de 35 ani, la prețul de 544.917</w:t>
      </w:r>
      <w:r w:rsidR="00F46A9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w:t>
      </w:r>
      <w:r w:rsidR="00F46A99" w:rsidRPr="009772A3">
        <w:rPr>
          <w:rFonts w:asciiTheme="majorHAnsi" w:hAnsiTheme="majorHAnsi" w:cstheme="majorHAnsi"/>
          <w:sz w:val="24"/>
          <w:szCs w:val="24"/>
          <w:lang w:val="ro-MD"/>
        </w:rPr>
        <w:t xml:space="preserve"> mii</w:t>
      </w:r>
      <w:r w:rsidRPr="009772A3">
        <w:rPr>
          <w:rFonts w:asciiTheme="majorHAnsi" w:hAnsiTheme="majorHAnsi" w:cstheme="majorHAnsi"/>
          <w:sz w:val="24"/>
          <w:szCs w:val="24"/>
          <w:lang w:val="ro-MD"/>
        </w:rPr>
        <w:t xml:space="preserve"> lei; și</w:t>
      </w:r>
    </w:p>
    <w:p w14:paraId="382DD746" w14:textId="4CEA1B46" w:rsidR="00DA7A01" w:rsidRPr="009772A3" w:rsidRDefault="00DA7A01" w:rsidP="000C11CA">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 încheiat contractul de ipotecă nr.12188 din 17.12.2018</w:t>
      </w:r>
      <w:r w:rsidRPr="009772A3">
        <w:rPr>
          <w:rStyle w:val="FootnoteReference"/>
          <w:rFonts w:asciiTheme="majorHAnsi" w:hAnsiTheme="majorHAnsi" w:cstheme="majorHAnsi"/>
          <w:sz w:val="24"/>
          <w:szCs w:val="24"/>
          <w:lang w:val="ro-MD"/>
        </w:rPr>
        <w:footnoteReference w:id="141"/>
      </w:r>
      <w:r w:rsidRPr="009772A3">
        <w:rPr>
          <w:rFonts w:asciiTheme="majorHAnsi" w:hAnsiTheme="majorHAnsi" w:cstheme="majorHAnsi"/>
          <w:sz w:val="24"/>
          <w:szCs w:val="24"/>
          <w:lang w:val="ro-MD"/>
        </w:rPr>
        <w:t>, între SA Moldovagaz (creditor ipotecar) și SRL Flacăra albastră (debitor ipotecar), prin care s-a împovărat cu ipotecă clădirea pentru oficii din mun. Chișinău, str. Pușkin 64, la un preț de 544.917</w:t>
      </w:r>
      <w:r w:rsidR="00F46A9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9</w:t>
      </w:r>
      <w:r w:rsidR="00F46A99" w:rsidRPr="009772A3">
        <w:rPr>
          <w:rFonts w:asciiTheme="majorHAnsi" w:hAnsiTheme="majorHAnsi" w:cstheme="majorHAnsi"/>
          <w:sz w:val="24"/>
          <w:szCs w:val="24"/>
          <w:lang w:val="ro-MD"/>
        </w:rPr>
        <w:t xml:space="preserve"> mii</w:t>
      </w:r>
      <w:r w:rsidRPr="009772A3">
        <w:rPr>
          <w:rFonts w:asciiTheme="majorHAnsi" w:hAnsiTheme="majorHAnsi" w:cstheme="majorHAnsi"/>
          <w:sz w:val="24"/>
          <w:szCs w:val="24"/>
          <w:lang w:val="ro-MD"/>
        </w:rPr>
        <w:t xml:space="preserve"> lei.</w:t>
      </w:r>
    </w:p>
    <w:p w14:paraId="4EEA9E88" w14:textId="77777777" w:rsidR="004B1622" w:rsidRPr="009772A3" w:rsidRDefault="004B1622" w:rsidP="004B1622">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 încheiat contractul de locațiune nr.134 din 17.12.2018</w:t>
      </w:r>
      <w:r w:rsidRPr="009772A3">
        <w:rPr>
          <w:rStyle w:val="FootnoteReference"/>
          <w:rFonts w:asciiTheme="majorHAnsi" w:hAnsiTheme="majorHAnsi" w:cstheme="majorHAnsi"/>
          <w:sz w:val="24"/>
          <w:szCs w:val="24"/>
          <w:lang w:val="ro-MD"/>
        </w:rPr>
        <w:footnoteReference w:id="142"/>
      </w:r>
      <w:r w:rsidRPr="009772A3">
        <w:rPr>
          <w:rFonts w:asciiTheme="majorHAnsi" w:hAnsiTheme="majorHAnsi" w:cstheme="majorHAnsi"/>
          <w:sz w:val="24"/>
          <w:szCs w:val="24"/>
          <w:lang w:val="ro-MD"/>
        </w:rPr>
        <w:t xml:space="preserve"> cu privire la închirierea a 8.559,4 m</w:t>
      </w:r>
      <w:r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 xml:space="preserve"> în clădirea pentru oficii din mun. Chișinău, str. A.Pușkin nr.64 la un preț de 12 euro pentru un metru pătrat, pentru un termen de 3 ani, cu posibilitatea prelungirii acestuia. La transmiterea bunului imobil indicat, cu suprafața de 8.559,4 m</w:t>
      </w:r>
      <w:r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 SA Moldovagaz a primit în folosință gratuită spațiile auxiliare ale acestuia cu suprafața totală de 4.899,9 m</w:t>
      </w:r>
      <w:r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 precum și căile de acces aferente;</w:t>
      </w:r>
    </w:p>
    <w:p w14:paraId="51A87AE2" w14:textId="6CCA2F8A" w:rsidR="00DA7A01" w:rsidRPr="009772A3" w:rsidRDefault="00DA7A01"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Având</w:t>
      </w:r>
      <w:r w:rsidRPr="009772A3">
        <w:rPr>
          <w:rFonts w:asciiTheme="majorHAnsi" w:hAnsiTheme="majorHAnsi" w:cstheme="majorHAnsi"/>
          <w:sz w:val="24"/>
          <w:szCs w:val="24"/>
          <w:lang w:val="ro-MD"/>
        </w:rPr>
        <w:t xml:space="preserve"> în vedere cele constatate și relatate supra, se conchide:</w:t>
      </w:r>
    </w:p>
    <w:p w14:paraId="21D81068" w14:textId="73E52CC6" w:rsidR="00F46A99" w:rsidRPr="009772A3" w:rsidRDefault="00DA7A01" w:rsidP="004F4116">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la momentul vânzării valoarea clădirii constituia 445.630,3 mii lei (fără TVA), aceasta a fost vândută la valoarea de 454.098,3 mii lei (fără TVA)</w:t>
      </w:r>
      <w:r w:rsidR="005B6E3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cu 8.468,0 mii lei (fără TVA) mai mult decât investițiile efectuate</w:t>
      </w:r>
      <w:r w:rsidR="00F46A99" w:rsidRPr="009772A3">
        <w:rPr>
          <w:rFonts w:asciiTheme="majorHAnsi" w:hAnsiTheme="majorHAnsi" w:cstheme="majorHAnsi"/>
          <w:sz w:val="24"/>
          <w:szCs w:val="24"/>
          <w:lang w:val="ro-MD"/>
        </w:rPr>
        <w:t>.</w:t>
      </w:r>
      <w:r w:rsidR="009B0AA1" w:rsidRPr="009772A3">
        <w:rPr>
          <w:rFonts w:asciiTheme="majorHAnsi" w:hAnsiTheme="majorHAnsi" w:cstheme="majorHAnsi"/>
          <w:sz w:val="24"/>
          <w:szCs w:val="24"/>
          <w:lang w:val="ro-MD"/>
        </w:rPr>
        <w:t xml:space="preserve"> Potrivit explicațiilor SA Moldovagaz</w:t>
      </w:r>
      <w:r w:rsidR="005B6E32" w:rsidRPr="009772A3">
        <w:rPr>
          <w:rFonts w:asciiTheme="majorHAnsi" w:hAnsiTheme="majorHAnsi" w:cstheme="majorHAnsi"/>
          <w:sz w:val="24"/>
          <w:szCs w:val="24"/>
          <w:lang w:val="ro-MD"/>
        </w:rPr>
        <w:t>,</w:t>
      </w:r>
      <w:r w:rsidR="009B0AA1" w:rsidRPr="009772A3">
        <w:rPr>
          <w:rFonts w:asciiTheme="majorHAnsi" w:hAnsiTheme="majorHAnsi" w:cstheme="majorHAnsi"/>
          <w:sz w:val="24"/>
          <w:szCs w:val="24"/>
          <w:lang w:val="ro-MD"/>
        </w:rPr>
        <w:t xml:space="preserve"> v</w:t>
      </w:r>
      <w:r w:rsidR="00F46A99" w:rsidRPr="009772A3">
        <w:rPr>
          <w:rFonts w:asciiTheme="majorHAnsi" w:hAnsiTheme="majorHAnsi" w:cstheme="majorHAnsi"/>
          <w:sz w:val="24"/>
          <w:szCs w:val="24"/>
          <w:lang w:val="ro-MD"/>
        </w:rPr>
        <w:t xml:space="preserve">aloarea de vânzare </w:t>
      </w:r>
      <w:r w:rsidR="00532D02" w:rsidRPr="009772A3">
        <w:rPr>
          <w:rFonts w:asciiTheme="majorHAnsi" w:hAnsiTheme="majorHAnsi" w:cstheme="majorHAnsi"/>
          <w:sz w:val="24"/>
          <w:szCs w:val="24"/>
          <w:lang w:val="ro-MD"/>
        </w:rPr>
        <w:t>(</w:t>
      </w:r>
      <w:r w:rsidR="00F46A99" w:rsidRPr="009772A3">
        <w:rPr>
          <w:rFonts w:asciiTheme="majorHAnsi" w:hAnsiTheme="majorHAnsi" w:cstheme="majorHAnsi"/>
          <w:sz w:val="24"/>
          <w:szCs w:val="24"/>
          <w:lang w:val="ro-MD"/>
        </w:rPr>
        <w:t>544.917,9 mii lei</w:t>
      </w:r>
      <w:r w:rsidR="002E1C47" w:rsidRPr="009772A3">
        <w:rPr>
          <w:rFonts w:asciiTheme="majorHAnsi" w:hAnsiTheme="majorHAnsi" w:cstheme="majorHAnsi"/>
          <w:sz w:val="24"/>
          <w:szCs w:val="24"/>
          <w:lang w:val="ro-MD"/>
        </w:rPr>
        <w:t xml:space="preserve"> cu TVA</w:t>
      </w:r>
      <w:r w:rsidR="00532D02" w:rsidRPr="009772A3">
        <w:rPr>
          <w:rFonts w:asciiTheme="majorHAnsi" w:hAnsiTheme="majorHAnsi" w:cstheme="majorHAnsi"/>
          <w:sz w:val="24"/>
          <w:szCs w:val="24"/>
          <w:lang w:val="ro-MD"/>
        </w:rPr>
        <w:t>)</w:t>
      </w:r>
      <w:r w:rsidR="00F46A99" w:rsidRPr="009772A3">
        <w:rPr>
          <w:rFonts w:asciiTheme="majorHAnsi" w:hAnsiTheme="majorHAnsi" w:cstheme="majorHAnsi"/>
          <w:sz w:val="24"/>
          <w:szCs w:val="24"/>
          <w:lang w:val="ro-MD"/>
        </w:rPr>
        <w:t xml:space="preserve"> constituie valoarea de piață a clădirii determinată de către evaluatorul independent, în urma evaluării obligatorii la care este supus imobilul destinat vânzării, conform prevederilor art. 75 </w:t>
      </w:r>
      <w:r w:rsidR="005B6E32" w:rsidRPr="009772A3">
        <w:rPr>
          <w:rFonts w:asciiTheme="majorHAnsi" w:hAnsiTheme="majorHAnsi" w:cstheme="majorHAnsi"/>
          <w:sz w:val="24"/>
          <w:szCs w:val="24"/>
          <w:lang w:val="ro-MD"/>
        </w:rPr>
        <w:t>alin.</w:t>
      </w:r>
      <w:r w:rsidR="00F46A99" w:rsidRPr="009772A3">
        <w:rPr>
          <w:rFonts w:asciiTheme="majorHAnsi" w:hAnsiTheme="majorHAnsi" w:cstheme="majorHAnsi"/>
          <w:sz w:val="24"/>
          <w:szCs w:val="24"/>
          <w:lang w:val="ro-MD"/>
        </w:rPr>
        <w:t>(1) din Legea cu privire la societățile pe acțiuni;</w:t>
      </w:r>
    </w:p>
    <w:p w14:paraId="48F0DB4E" w14:textId="50781546" w:rsidR="009941DB" w:rsidRPr="009772A3" w:rsidRDefault="00DA7A01" w:rsidP="00F46A99">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SRL Flacăra Albastr</w:t>
      </w:r>
      <w:r w:rsidR="005B6E32"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a suportat cheltuieli notariale în sumă de 1.088,0 mii lei și cheltuieli privind taxa de stat în sumă de 3.269,5 mii lei, majorând astfel valoarea de intrare a mijlocului fix la 17.12.2018 până la 458.455,8 mii lei</w:t>
      </w:r>
      <w:r w:rsidR="005B6E3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cu 12.825,5 mii lei mai mult decât valoarea investițiilor efectuate. </w:t>
      </w:r>
    </w:p>
    <w:p w14:paraId="6DE46643" w14:textId="5666E63B" w:rsidR="00DA7A01" w:rsidRPr="009772A3" w:rsidRDefault="00DA7A01" w:rsidP="000C11CA">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SA Moldovagaz a înregistrat o creanță în sumă de 544.917,9 mii lei, inclusiv </w:t>
      </w:r>
      <w:r w:rsidR="00532D02" w:rsidRPr="009772A3">
        <w:rPr>
          <w:rFonts w:asciiTheme="majorHAnsi" w:hAnsiTheme="majorHAnsi" w:cstheme="majorHAnsi"/>
          <w:sz w:val="24"/>
          <w:szCs w:val="24"/>
          <w:lang w:val="ro-MD"/>
        </w:rPr>
        <w:t xml:space="preserve">la 31.12.2018 </w:t>
      </w:r>
      <w:r w:rsidRPr="009772A3">
        <w:rPr>
          <w:rFonts w:asciiTheme="majorHAnsi" w:hAnsiTheme="majorHAnsi" w:cstheme="majorHAnsi"/>
          <w:sz w:val="24"/>
          <w:szCs w:val="24"/>
          <w:lang w:val="ro-MD"/>
        </w:rPr>
        <w:t>o creanță pe termen lung a părților afiliate în sumă de 529.348,8 mii lei pe un termen de 35 ani</w:t>
      </w:r>
      <w:r w:rsidRPr="009772A3">
        <w:rPr>
          <w:rStyle w:val="FootnoteReference"/>
          <w:rFonts w:asciiTheme="majorHAnsi" w:hAnsiTheme="majorHAnsi" w:cstheme="majorHAnsi"/>
          <w:sz w:val="24"/>
          <w:szCs w:val="24"/>
          <w:lang w:val="ro-MD"/>
        </w:rPr>
        <w:footnoteReference w:id="143"/>
      </w:r>
      <w:r w:rsidRPr="009772A3">
        <w:rPr>
          <w:rFonts w:asciiTheme="majorHAnsi" w:hAnsiTheme="majorHAnsi" w:cstheme="majorHAnsi"/>
          <w:sz w:val="24"/>
          <w:szCs w:val="24"/>
          <w:lang w:val="ro-MD"/>
        </w:rPr>
        <w:t>, cu o stingere eșalonată în sumă de 1.297,4 mii lei lunar</w:t>
      </w:r>
      <w:r w:rsidR="005B6E3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15.569,1 mii lei anual, neîmpovărată de dobânzi sau beneficii economice din partea debitorului ipotecar SRL Flacăra </w:t>
      </w:r>
      <w:r w:rsidR="005B6E32"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lbastră;</w:t>
      </w:r>
    </w:p>
    <w:p w14:paraId="6E341B89" w14:textId="6950CB69" w:rsidR="00DA7A01" w:rsidRPr="009772A3" w:rsidRDefault="00DA7A01" w:rsidP="000C11CA">
      <w:pPr>
        <w:pStyle w:val="ListParagraph"/>
        <w:numPr>
          <w:ilvl w:val="0"/>
          <w:numId w:val="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locațiunea bunului imobil</w:t>
      </w:r>
      <w:r w:rsidR="005B6E32" w:rsidRPr="009772A3">
        <w:rPr>
          <w:rFonts w:asciiTheme="majorHAnsi" w:hAnsiTheme="majorHAnsi" w:cstheme="majorHAnsi"/>
          <w:sz w:val="24"/>
          <w:szCs w:val="24"/>
          <w:lang w:val="ro-MD"/>
        </w:rPr>
        <w:t>, SA Moldovagaz</w:t>
      </w:r>
      <w:r w:rsidRPr="009772A3">
        <w:rPr>
          <w:rFonts w:asciiTheme="majorHAnsi" w:hAnsiTheme="majorHAnsi" w:cstheme="majorHAnsi"/>
          <w:sz w:val="24"/>
          <w:szCs w:val="24"/>
          <w:lang w:val="ro-MD"/>
        </w:rPr>
        <w:t xml:space="preserve"> a </w:t>
      </w:r>
      <w:r w:rsidR="007054F5" w:rsidRPr="009772A3">
        <w:rPr>
          <w:rFonts w:asciiTheme="majorHAnsi" w:hAnsiTheme="majorHAnsi" w:cstheme="majorHAnsi"/>
          <w:sz w:val="24"/>
          <w:szCs w:val="24"/>
          <w:lang w:val="ro-MD"/>
        </w:rPr>
        <w:t>suportat</w:t>
      </w:r>
      <w:r w:rsidRPr="009772A3">
        <w:rPr>
          <w:rFonts w:asciiTheme="majorHAnsi" w:hAnsiTheme="majorHAnsi" w:cstheme="majorHAnsi"/>
          <w:sz w:val="24"/>
          <w:szCs w:val="24"/>
          <w:lang w:val="ro-MD"/>
        </w:rPr>
        <w:t>, în anii 2018</w:t>
      </w:r>
      <w:r w:rsidR="005B6E3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2021, cheltuieli cu locațiunea în sumă totală de </w:t>
      </w:r>
      <w:r w:rsidR="003D249F" w:rsidRPr="009772A3">
        <w:rPr>
          <w:rFonts w:asciiTheme="majorHAnsi" w:hAnsiTheme="majorHAnsi" w:cstheme="majorHAnsi"/>
          <w:sz w:val="24"/>
          <w:szCs w:val="24"/>
          <w:lang w:val="ro-MD"/>
        </w:rPr>
        <w:t xml:space="preserve">62.869,8 </w:t>
      </w:r>
      <w:r w:rsidRPr="009772A3">
        <w:rPr>
          <w:rFonts w:asciiTheme="majorHAnsi" w:hAnsiTheme="majorHAnsi" w:cstheme="majorHAnsi"/>
          <w:sz w:val="24"/>
          <w:szCs w:val="24"/>
          <w:lang w:val="ro-MD"/>
        </w:rPr>
        <w:t>mii lei</w:t>
      </w:r>
      <w:r w:rsidR="003D249F" w:rsidRPr="009772A3">
        <w:rPr>
          <w:rFonts w:asciiTheme="majorHAnsi" w:hAnsiTheme="majorHAnsi" w:cstheme="majorHAnsi"/>
          <w:sz w:val="24"/>
          <w:szCs w:val="24"/>
          <w:lang w:val="ro-MD"/>
        </w:rPr>
        <w:t xml:space="preserve"> (fără TVA)</w:t>
      </w:r>
      <w:r w:rsidRPr="009772A3">
        <w:rPr>
          <w:rFonts w:asciiTheme="majorHAnsi" w:hAnsiTheme="majorHAnsi" w:cstheme="majorHAnsi"/>
          <w:sz w:val="24"/>
          <w:szCs w:val="24"/>
          <w:lang w:val="ro-MD"/>
        </w:rPr>
        <w:t xml:space="preserve">, precum și cheltuieli aferente serviciilor comunale în sumă totală de </w:t>
      </w:r>
      <w:r w:rsidR="00F85069" w:rsidRPr="009772A3">
        <w:rPr>
          <w:rFonts w:asciiTheme="majorHAnsi" w:hAnsiTheme="majorHAnsi" w:cstheme="majorHAnsi"/>
          <w:sz w:val="24"/>
          <w:szCs w:val="24"/>
          <w:lang w:val="ro-MD"/>
        </w:rPr>
        <w:t>4.822,8</w:t>
      </w:r>
      <w:r w:rsidRPr="009772A3">
        <w:rPr>
          <w:rFonts w:asciiTheme="majorHAnsi" w:hAnsiTheme="majorHAnsi" w:cstheme="majorHAnsi"/>
          <w:sz w:val="24"/>
          <w:szCs w:val="24"/>
          <w:lang w:val="ro-MD"/>
        </w:rPr>
        <w:t xml:space="preserve"> mii lei</w:t>
      </w:r>
      <w:r w:rsidR="00ED2ADD" w:rsidRPr="009772A3">
        <w:rPr>
          <w:rFonts w:asciiTheme="majorHAnsi" w:hAnsiTheme="majorHAnsi" w:cstheme="majorHAnsi"/>
          <w:sz w:val="24"/>
          <w:szCs w:val="24"/>
          <w:lang w:val="ro-MD"/>
        </w:rPr>
        <w:t xml:space="preserve"> (fără TVA)</w:t>
      </w:r>
      <w:r w:rsidRPr="009772A3">
        <w:rPr>
          <w:rFonts w:asciiTheme="majorHAnsi" w:hAnsiTheme="majorHAnsi" w:cstheme="majorHAnsi"/>
          <w:sz w:val="24"/>
          <w:szCs w:val="24"/>
          <w:lang w:val="ro-MD"/>
        </w:rPr>
        <w:t>.</w:t>
      </w:r>
      <w:r w:rsidR="003D249F" w:rsidRPr="009772A3">
        <w:rPr>
          <w:rFonts w:asciiTheme="majorHAnsi" w:hAnsiTheme="majorHAnsi" w:cstheme="majorHAnsi"/>
          <w:sz w:val="24"/>
          <w:szCs w:val="24"/>
          <w:lang w:val="ro-MD"/>
        </w:rPr>
        <w:t xml:space="preserve"> </w:t>
      </w:r>
    </w:p>
    <w:p w14:paraId="23020D52" w14:textId="7D9AF8C5" w:rsidR="009941DB" w:rsidRPr="009772A3" w:rsidRDefault="004B1622" w:rsidP="009941DB">
      <w:pPr>
        <w:pStyle w:val="ListParagraph"/>
        <w:numPr>
          <w:ilvl w:val="0"/>
          <w:numId w:val="6"/>
        </w:num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în perioada</w:t>
      </w:r>
      <w:r w:rsidR="009941DB" w:rsidRPr="009772A3">
        <w:rPr>
          <w:rFonts w:asciiTheme="majorHAnsi" w:hAnsiTheme="majorHAnsi" w:cstheme="majorHAnsi"/>
          <w:sz w:val="24"/>
          <w:szCs w:val="24"/>
          <w:lang w:val="ro-MD"/>
        </w:rPr>
        <w:t xml:space="preserve"> 2019-2021, SRL Flacăra Albastră a suportat cheltuieli de întreținere a clădirii în sumă totală de 45.758,8 mii lei, din care: </w:t>
      </w:r>
      <w:r w:rsidR="003F4BE1" w:rsidRPr="009772A3">
        <w:rPr>
          <w:rFonts w:asciiTheme="majorHAnsi" w:hAnsiTheme="majorHAnsi" w:cstheme="majorHAnsi"/>
          <w:sz w:val="24"/>
          <w:szCs w:val="24"/>
          <w:lang w:val="ro-MD"/>
        </w:rPr>
        <w:t>247,6 mii lei</w:t>
      </w:r>
      <w:r w:rsidR="003F4BE1" w:rsidRPr="009772A3">
        <w:rPr>
          <w:rStyle w:val="FootnoteReference"/>
          <w:rFonts w:asciiTheme="majorHAnsi" w:hAnsiTheme="majorHAnsi" w:cstheme="majorHAnsi"/>
          <w:sz w:val="24"/>
          <w:szCs w:val="24"/>
          <w:lang w:val="ro-MD"/>
        </w:rPr>
        <w:footnoteReference w:id="144"/>
      </w:r>
      <w:r w:rsidR="003F4BE1" w:rsidRPr="009772A3">
        <w:rPr>
          <w:rFonts w:asciiTheme="majorHAnsi" w:hAnsiTheme="majorHAnsi" w:cstheme="majorHAnsi"/>
          <w:sz w:val="24"/>
          <w:szCs w:val="24"/>
          <w:lang w:val="ro-MD"/>
        </w:rPr>
        <w:t xml:space="preserve"> - </w:t>
      </w:r>
      <w:r w:rsidR="009941DB" w:rsidRPr="009772A3">
        <w:rPr>
          <w:rFonts w:asciiTheme="majorHAnsi" w:hAnsiTheme="majorHAnsi" w:cstheme="majorHAnsi"/>
          <w:sz w:val="24"/>
          <w:szCs w:val="24"/>
          <w:lang w:val="ro-MD"/>
        </w:rPr>
        <w:t xml:space="preserve">cheltuieli </w:t>
      </w:r>
      <w:r w:rsidR="003F4BE1" w:rsidRPr="009772A3">
        <w:rPr>
          <w:rFonts w:asciiTheme="majorHAnsi" w:hAnsiTheme="majorHAnsi" w:cstheme="majorHAnsi"/>
          <w:sz w:val="24"/>
          <w:szCs w:val="24"/>
          <w:lang w:val="ro-MD"/>
        </w:rPr>
        <w:t xml:space="preserve">de </w:t>
      </w:r>
      <w:r w:rsidR="009941DB" w:rsidRPr="009772A3">
        <w:rPr>
          <w:rFonts w:asciiTheme="majorHAnsi" w:hAnsiTheme="majorHAnsi" w:cstheme="majorHAnsi"/>
          <w:sz w:val="24"/>
          <w:szCs w:val="24"/>
          <w:lang w:val="ro-MD"/>
        </w:rPr>
        <w:t xml:space="preserve">reparație curentă a clădirii, </w:t>
      </w:r>
      <w:r w:rsidR="003F4BE1" w:rsidRPr="009772A3">
        <w:rPr>
          <w:rFonts w:asciiTheme="majorHAnsi" w:hAnsiTheme="majorHAnsi" w:cstheme="majorHAnsi"/>
          <w:sz w:val="24"/>
          <w:szCs w:val="24"/>
          <w:lang w:val="ro-MD"/>
        </w:rPr>
        <w:t xml:space="preserve">16.166,8 mii lei – cheltuieli aferente personalului tehnic, materiale, pază, impozit pe bunurile imobile etc., </w:t>
      </w:r>
      <w:r w:rsidR="009941DB" w:rsidRPr="009772A3">
        <w:rPr>
          <w:rFonts w:asciiTheme="majorHAnsi" w:hAnsiTheme="majorHAnsi" w:cstheme="majorHAnsi"/>
          <w:sz w:val="24"/>
          <w:szCs w:val="24"/>
          <w:lang w:val="ro-MD"/>
        </w:rPr>
        <w:t xml:space="preserve">precum și cheltuieli </w:t>
      </w:r>
      <w:r w:rsidR="00104D86" w:rsidRPr="009772A3">
        <w:rPr>
          <w:rFonts w:asciiTheme="majorHAnsi" w:hAnsiTheme="majorHAnsi" w:cstheme="majorHAnsi"/>
          <w:sz w:val="24"/>
          <w:szCs w:val="24"/>
          <w:lang w:val="ro-MD"/>
        </w:rPr>
        <w:t>aferente</w:t>
      </w:r>
      <w:r w:rsidR="009941DB" w:rsidRPr="009772A3">
        <w:rPr>
          <w:rFonts w:asciiTheme="majorHAnsi" w:hAnsiTheme="majorHAnsi" w:cstheme="majorHAnsi"/>
          <w:sz w:val="24"/>
          <w:szCs w:val="24"/>
          <w:lang w:val="ro-MD"/>
        </w:rPr>
        <w:t xml:space="preserve"> uzur</w:t>
      </w:r>
      <w:r w:rsidR="00104D86" w:rsidRPr="009772A3">
        <w:rPr>
          <w:rFonts w:asciiTheme="majorHAnsi" w:hAnsiTheme="majorHAnsi" w:cstheme="majorHAnsi"/>
          <w:sz w:val="24"/>
          <w:szCs w:val="24"/>
          <w:lang w:val="ro-MD"/>
        </w:rPr>
        <w:t>ii</w:t>
      </w:r>
      <w:r w:rsidR="009941DB" w:rsidRPr="009772A3">
        <w:rPr>
          <w:rFonts w:asciiTheme="majorHAnsi" w:hAnsiTheme="majorHAnsi" w:cstheme="majorHAnsi"/>
          <w:sz w:val="24"/>
          <w:szCs w:val="24"/>
          <w:lang w:val="ro-MD"/>
        </w:rPr>
        <w:t xml:space="preserve"> în sumă totală de 29.344,4 mii lei (a clădirii și altor mijloace fixe), din care 812,2 mii lei aferente creșterii costului clădirii; </w:t>
      </w:r>
    </w:p>
    <w:p w14:paraId="16BE3ABB" w14:textId="1F733F25" w:rsidR="009941DB" w:rsidRPr="009772A3" w:rsidRDefault="003F4BE1"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Astfel</w:t>
      </w:r>
      <w:r w:rsidR="009941DB" w:rsidRPr="009772A3">
        <w:rPr>
          <w:rFonts w:asciiTheme="majorHAnsi" w:hAnsiTheme="majorHAnsi" w:cstheme="majorHAnsi"/>
          <w:sz w:val="24"/>
          <w:szCs w:val="24"/>
          <w:lang w:val="ro-MD"/>
        </w:rPr>
        <w:t xml:space="preserve">, dacă clădirea adminitrativă nu ar fi fost vândută, cheltuielile SA Moldovagaz cu aceasta (amortizarea, deservirea etc.), în aceeași perioadă ar fi constituit cca </w:t>
      </w:r>
      <w:r w:rsidRPr="009772A3">
        <w:rPr>
          <w:rFonts w:asciiTheme="majorHAnsi" w:hAnsiTheme="majorHAnsi" w:cstheme="majorHAnsi"/>
          <w:sz w:val="24"/>
          <w:szCs w:val="24"/>
          <w:lang w:val="ro-MD"/>
        </w:rPr>
        <w:t>44.946,6</w:t>
      </w:r>
      <w:r w:rsidR="009941DB" w:rsidRPr="009772A3">
        <w:rPr>
          <w:rFonts w:asciiTheme="majorHAnsi" w:hAnsiTheme="majorHAnsi" w:cstheme="majorHAnsi"/>
          <w:sz w:val="24"/>
          <w:szCs w:val="24"/>
          <w:lang w:val="ro-MD"/>
        </w:rPr>
        <w:t xml:space="preserve"> mii lei (fără TVA), sau cu </w:t>
      </w:r>
      <w:r w:rsidRPr="009772A3">
        <w:rPr>
          <w:rFonts w:asciiTheme="majorHAnsi" w:hAnsiTheme="majorHAnsi" w:cstheme="majorHAnsi"/>
          <w:sz w:val="24"/>
          <w:szCs w:val="24"/>
          <w:lang w:val="ro-MD"/>
        </w:rPr>
        <w:t xml:space="preserve">17.923,2 </w:t>
      </w:r>
      <w:r w:rsidR="009941DB" w:rsidRPr="009772A3">
        <w:rPr>
          <w:rFonts w:asciiTheme="majorHAnsi" w:hAnsiTheme="majorHAnsi" w:cstheme="majorHAnsi"/>
          <w:sz w:val="24"/>
          <w:szCs w:val="24"/>
          <w:lang w:val="ro-MD"/>
        </w:rPr>
        <w:t>mii lei mai puțin</w:t>
      </w:r>
      <w:r w:rsidR="000406B8" w:rsidRPr="009772A3">
        <w:rPr>
          <w:rFonts w:asciiTheme="majorHAnsi" w:hAnsiTheme="majorHAnsi" w:cstheme="majorHAnsi"/>
          <w:sz w:val="24"/>
          <w:szCs w:val="24"/>
          <w:lang w:val="ro-MD"/>
        </w:rPr>
        <w:t>, prin ce anual s-ar fi economisit circa 5.974,4 mii lei</w:t>
      </w:r>
      <w:r w:rsidR="009941DB" w:rsidRPr="009772A3">
        <w:rPr>
          <w:rFonts w:asciiTheme="majorHAnsi" w:hAnsiTheme="majorHAnsi" w:cstheme="majorHAnsi"/>
          <w:sz w:val="24"/>
          <w:szCs w:val="24"/>
          <w:lang w:val="ro-MD"/>
        </w:rPr>
        <w:t xml:space="preserve">. </w:t>
      </w:r>
    </w:p>
    <w:p w14:paraId="60115911" w14:textId="043CC58A" w:rsidR="00DA7A01" w:rsidRPr="009772A3" w:rsidRDefault="005B6E32" w:rsidP="005D18F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w:t>
      </w:r>
      <w:r w:rsidR="00DA7A01" w:rsidRPr="009772A3">
        <w:rPr>
          <w:rFonts w:asciiTheme="majorHAnsi" w:hAnsiTheme="majorHAnsi" w:cstheme="majorHAnsi"/>
          <w:sz w:val="24"/>
          <w:szCs w:val="24"/>
          <w:lang w:val="ro-MD"/>
        </w:rPr>
        <w:t>oncomitent SA Moldovagaz a transmis spațiile neutilizate, dar închiriate, în sublocațiune companiilor</w:t>
      </w:r>
      <w:r w:rsidRPr="009772A3">
        <w:rPr>
          <w:rFonts w:asciiTheme="majorHAnsi" w:hAnsiTheme="majorHAnsi" w:cstheme="majorHAnsi"/>
          <w:sz w:val="24"/>
          <w:szCs w:val="24"/>
          <w:lang w:val="ro-MD"/>
        </w:rPr>
        <w:t>-</w:t>
      </w:r>
      <w:r w:rsidR="00DA7A01" w:rsidRPr="009772A3">
        <w:rPr>
          <w:rFonts w:asciiTheme="majorHAnsi" w:hAnsiTheme="majorHAnsi" w:cstheme="majorHAnsi"/>
          <w:sz w:val="24"/>
          <w:szCs w:val="24"/>
          <w:lang w:val="ro-MD"/>
        </w:rPr>
        <w:t xml:space="preserve">fiice și la doi agenți economici. </w:t>
      </w:r>
      <w:r w:rsidRPr="009772A3">
        <w:rPr>
          <w:rFonts w:asciiTheme="majorHAnsi" w:hAnsiTheme="majorHAnsi" w:cstheme="majorHAnsi"/>
          <w:sz w:val="24"/>
          <w:szCs w:val="24"/>
          <w:lang w:val="ro-MD"/>
        </w:rPr>
        <w:t>Ca u</w:t>
      </w:r>
      <w:r w:rsidR="00DA7A01" w:rsidRPr="009772A3">
        <w:rPr>
          <w:rFonts w:asciiTheme="majorHAnsi" w:hAnsiTheme="majorHAnsi" w:cstheme="majorHAnsi"/>
          <w:sz w:val="24"/>
          <w:szCs w:val="24"/>
          <w:lang w:val="ro-MD"/>
        </w:rPr>
        <w:t xml:space="preserve">rmare </w:t>
      </w:r>
      <w:r w:rsidRPr="009772A3">
        <w:rPr>
          <w:rFonts w:asciiTheme="majorHAnsi" w:hAnsiTheme="majorHAnsi" w:cstheme="majorHAnsi"/>
          <w:sz w:val="24"/>
          <w:szCs w:val="24"/>
          <w:lang w:val="ro-MD"/>
        </w:rPr>
        <w:t xml:space="preserve">a </w:t>
      </w:r>
      <w:r w:rsidR="00DA7A01" w:rsidRPr="009772A3">
        <w:rPr>
          <w:rFonts w:asciiTheme="majorHAnsi" w:hAnsiTheme="majorHAnsi" w:cstheme="majorHAnsi"/>
          <w:sz w:val="24"/>
          <w:szCs w:val="24"/>
          <w:lang w:val="ro-MD"/>
        </w:rPr>
        <w:t>transmiterii în sublocațiune</w:t>
      </w:r>
      <w:r w:rsidRPr="009772A3">
        <w:rPr>
          <w:rFonts w:asciiTheme="majorHAnsi" w:hAnsiTheme="majorHAnsi" w:cstheme="majorHAnsi"/>
          <w:sz w:val="24"/>
          <w:szCs w:val="24"/>
          <w:lang w:val="ro-MD"/>
        </w:rPr>
        <w:t>,</w:t>
      </w:r>
      <w:r w:rsidR="00DA7A01" w:rsidRPr="009772A3">
        <w:rPr>
          <w:rFonts w:asciiTheme="majorHAnsi" w:hAnsiTheme="majorHAnsi" w:cstheme="majorHAnsi"/>
          <w:sz w:val="24"/>
          <w:szCs w:val="24"/>
          <w:lang w:val="ro-MD"/>
        </w:rPr>
        <w:t xml:space="preserve"> SA Moldovagaz a încasat venituri din sublocațiune în sumă totală de 7.670,9 mii lei. În acest context, se relevă că</w:t>
      </w:r>
      <w:r w:rsidRPr="009772A3">
        <w:rPr>
          <w:rFonts w:asciiTheme="majorHAnsi" w:hAnsiTheme="majorHAnsi" w:cstheme="majorHAnsi"/>
          <w:sz w:val="24"/>
          <w:szCs w:val="24"/>
          <w:lang w:val="ro-MD"/>
        </w:rPr>
        <w:t>,</w:t>
      </w:r>
      <w:r w:rsidR="00DA7A01" w:rsidRPr="009772A3">
        <w:rPr>
          <w:rFonts w:asciiTheme="majorHAnsi" w:hAnsiTheme="majorHAnsi" w:cstheme="majorHAnsi"/>
          <w:sz w:val="24"/>
          <w:szCs w:val="24"/>
          <w:lang w:val="ro-MD"/>
        </w:rPr>
        <w:t xml:space="preserve"> deși companiilor</w:t>
      </w:r>
      <w:r w:rsidRPr="009772A3">
        <w:rPr>
          <w:rFonts w:asciiTheme="majorHAnsi" w:hAnsiTheme="majorHAnsi" w:cstheme="majorHAnsi"/>
          <w:sz w:val="24"/>
          <w:szCs w:val="24"/>
          <w:lang w:val="ro-MD"/>
        </w:rPr>
        <w:t>-</w:t>
      </w:r>
      <w:r w:rsidR="00DA7A01" w:rsidRPr="009772A3">
        <w:rPr>
          <w:rFonts w:asciiTheme="majorHAnsi" w:hAnsiTheme="majorHAnsi" w:cstheme="majorHAnsi"/>
          <w:sz w:val="24"/>
          <w:szCs w:val="24"/>
          <w:lang w:val="ro-MD"/>
        </w:rPr>
        <w:t>fiice SA Moldovagaz a transmis în sublocațiune spațiile libere la un preț de 13 euro per metru pătrat</w:t>
      </w:r>
      <w:r w:rsidRPr="009772A3">
        <w:rPr>
          <w:rFonts w:asciiTheme="majorHAnsi" w:hAnsiTheme="majorHAnsi" w:cstheme="majorHAnsi"/>
          <w:sz w:val="24"/>
          <w:szCs w:val="24"/>
          <w:lang w:val="ro-MD"/>
        </w:rPr>
        <w:t>,</w:t>
      </w:r>
      <w:r w:rsidR="00DA7A01" w:rsidRPr="009772A3">
        <w:rPr>
          <w:rFonts w:asciiTheme="majorHAnsi" w:hAnsiTheme="majorHAnsi" w:cstheme="majorHAnsi"/>
          <w:sz w:val="24"/>
          <w:szCs w:val="24"/>
          <w:lang w:val="ro-MD"/>
        </w:rPr>
        <w:t xml:space="preserve"> sau cu 1 euro mai mult decât prețul închirierii, un</w:t>
      </w:r>
      <w:r w:rsidRPr="009772A3">
        <w:rPr>
          <w:rFonts w:asciiTheme="majorHAnsi" w:hAnsiTheme="majorHAnsi" w:cstheme="majorHAnsi"/>
          <w:sz w:val="24"/>
          <w:szCs w:val="24"/>
          <w:lang w:val="ro-MD"/>
        </w:rPr>
        <w:t>ui</w:t>
      </w:r>
      <w:r w:rsidR="00DA7A01" w:rsidRPr="009772A3">
        <w:rPr>
          <w:rFonts w:asciiTheme="majorHAnsi" w:hAnsiTheme="majorHAnsi" w:cstheme="majorHAnsi"/>
          <w:sz w:val="24"/>
          <w:szCs w:val="24"/>
          <w:lang w:val="ro-MD"/>
        </w:rPr>
        <w:t xml:space="preserve"> agent economic </w:t>
      </w:r>
      <w:r w:rsidRPr="009772A3">
        <w:rPr>
          <w:rFonts w:asciiTheme="majorHAnsi" w:hAnsiTheme="majorHAnsi" w:cstheme="majorHAnsi"/>
          <w:sz w:val="24"/>
          <w:szCs w:val="24"/>
          <w:lang w:val="ro-MD"/>
        </w:rPr>
        <w:t>i-</w:t>
      </w:r>
      <w:r w:rsidR="00DA7A01"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u</w:t>
      </w:r>
      <w:r w:rsidR="00DA7A01" w:rsidRPr="009772A3">
        <w:rPr>
          <w:rFonts w:asciiTheme="majorHAnsi" w:hAnsiTheme="majorHAnsi" w:cstheme="majorHAnsi"/>
          <w:sz w:val="24"/>
          <w:szCs w:val="24"/>
          <w:lang w:val="ro-MD"/>
        </w:rPr>
        <w:t xml:space="preserve"> fost transmise la un preț de numai 12 euro, prin ce au fost majorate artificial veniturile SA Moldovagaz și cheltuielile întreprinderilor</w:t>
      </w:r>
      <w:r w:rsidRPr="009772A3">
        <w:rPr>
          <w:rFonts w:asciiTheme="majorHAnsi" w:hAnsiTheme="majorHAnsi" w:cstheme="majorHAnsi"/>
          <w:sz w:val="24"/>
          <w:szCs w:val="24"/>
          <w:lang w:val="ro-MD"/>
        </w:rPr>
        <w:t>-</w:t>
      </w:r>
      <w:r w:rsidR="00DA7A01" w:rsidRPr="009772A3">
        <w:rPr>
          <w:rFonts w:asciiTheme="majorHAnsi" w:hAnsiTheme="majorHAnsi" w:cstheme="majorHAnsi"/>
          <w:sz w:val="24"/>
          <w:szCs w:val="24"/>
          <w:lang w:val="ro-MD"/>
        </w:rPr>
        <w:t>fiice.</w:t>
      </w:r>
    </w:p>
    <w:p w14:paraId="1492DC96" w14:textId="5B986DB6" w:rsidR="00DA7A01" w:rsidRPr="009772A3" w:rsidRDefault="00DA7A01" w:rsidP="005D18FD">
      <w:pPr>
        <w:spacing w:after="0" w:line="276" w:lineRule="auto"/>
        <w:ind w:firstLine="709"/>
        <w:jc w:val="both"/>
        <w:rPr>
          <w:rFonts w:ascii="Calibri Light" w:eastAsia="Times New Roman" w:hAnsi="Calibri Light" w:cs="Calibri Light"/>
          <w:sz w:val="24"/>
          <w:szCs w:val="24"/>
          <w:lang w:val="ro-MD" w:eastAsia="ru-RU"/>
        </w:rPr>
      </w:pPr>
      <w:r w:rsidRPr="009772A3">
        <w:rPr>
          <w:rFonts w:asciiTheme="majorHAnsi" w:hAnsiTheme="majorHAnsi" w:cstheme="majorHAnsi"/>
          <w:sz w:val="24"/>
          <w:szCs w:val="24"/>
          <w:lang w:val="ro-MD"/>
        </w:rPr>
        <w:t xml:space="preserve">În </w:t>
      </w:r>
      <w:r w:rsidRPr="009772A3">
        <w:rPr>
          <w:rFonts w:asciiTheme="majorHAnsi" w:hAnsiTheme="majorHAnsi" w:cstheme="majorHAnsi"/>
          <w:bCs/>
          <w:iCs/>
          <w:noProof/>
          <w:sz w:val="24"/>
          <w:szCs w:val="24"/>
          <w:shd w:val="clear" w:color="auto" w:fill="FFFFFF"/>
          <w:lang w:val="ro-MD"/>
        </w:rPr>
        <w:t>același</w:t>
      </w:r>
      <w:r w:rsidRPr="009772A3">
        <w:rPr>
          <w:rFonts w:asciiTheme="majorHAnsi" w:hAnsiTheme="majorHAnsi" w:cstheme="majorHAnsi"/>
          <w:sz w:val="24"/>
          <w:szCs w:val="24"/>
          <w:lang w:val="ro-MD"/>
        </w:rPr>
        <w:t xml:space="preserve"> timp, deși la data efectuării tranzacției de vânzare</w:t>
      </w:r>
      <w:r w:rsidR="001D30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cumpărare a clădirii din strada </w:t>
      </w:r>
      <w:r w:rsidR="001D30D8"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Pușkin </w:t>
      </w:r>
      <w:r w:rsidR="001D30D8"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 xml:space="preserve">64 SA Moldovagaz a calculat TVA în sumă de 90.819,7 mii lei, aceasta nu a avut impact asupra achitărilor în buget a TVA, dat fiind faptul că la 30.11.2018 avea TVA destinată trecerii în cont în sumă de </w:t>
      </w:r>
      <w:r w:rsidRPr="009772A3">
        <w:rPr>
          <w:rFonts w:ascii="Calibri Light" w:eastAsia="Times New Roman" w:hAnsi="Calibri Light" w:cs="Calibri Light"/>
          <w:sz w:val="24"/>
          <w:szCs w:val="24"/>
          <w:lang w:val="ro-MD" w:eastAsia="ru-RU"/>
        </w:rPr>
        <w:t xml:space="preserve">271.909,6 </w:t>
      </w:r>
      <w:r w:rsidRPr="009772A3">
        <w:rPr>
          <w:rFonts w:asciiTheme="majorHAnsi" w:hAnsiTheme="majorHAnsi" w:cstheme="majorHAnsi"/>
          <w:sz w:val="24"/>
          <w:szCs w:val="24"/>
          <w:lang w:val="ro-MD"/>
        </w:rPr>
        <w:t xml:space="preserve"> mii lei</w:t>
      </w:r>
      <w:r w:rsidR="001D30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1D30D8"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ar SRL Flacăra Albastră a trecut în cont TVA în suma respectivă, ceea ce îi va permite să nu achite TVA la buget pe parcursul unei perioade îndelungate (până la </w:t>
      </w:r>
      <w:r w:rsidR="004A6384">
        <w:rPr>
          <w:rFonts w:asciiTheme="majorHAnsi" w:hAnsiTheme="majorHAnsi" w:cstheme="majorHAnsi"/>
          <w:sz w:val="24"/>
          <w:szCs w:val="24"/>
          <w:lang w:val="ro-MD"/>
        </w:rPr>
        <w:t>23</w:t>
      </w:r>
      <w:r w:rsidR="004A6384"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ani). Astfel</w:t>
      </w:r>
      <w:r w:rsidR="001D30D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la 31.12.2021, SRL Flacăra Albastră avea trecut în cont TVA în sumă de </w:t>
      </w:r>
      <w:r w:rsidRPr="009772A3">
        <w:rPr>
          <w:rFonts w:ascii="Calibri Light" w:eastAsia="Times New Roman" w:hAnsi="Calibri Light" w:cs="Calibri Light"/>
          <w:sz w:val="24"/>
          <w:szCs w:val="24"/>
          <w:lang w:val="ro-MD" w:eastAsia="ru-RU"/>
        </w:rPr>
        <w:t>79.839,6 mii lei (sau cu 3.515,2 mii lei mai puțin decât la data de 31.01.2021).</w:t>
      </w:r>
    </w:p>
    <w:p w14:paraId="029F1C54" w14:textId="2F5F9C9C" w:rsidR="009A6D85" w:rsidRPr="009772A3" w:rsidRDefault="009A6D85" w:rsidP="005D18FD">
      <w:pPr>
        <w:spacing w:after="0" w:line="276" w:lineRule="auto"/>
        <w:ind w:firstLine="709"/>
        <w:jc w:val="both"/>
        <w:rPr>
          <w:rFonts w:ascii="Calibri Light" w:eastAsia="Times New Roman" w:hAnsi="Calibri Light" w:cs="Calibri Light"/>
          <w:sz w:val="24"/>
          <w:szCs w:val="24"/>
          <w:lang w:val="ro-MD" w:eastAsia="ru-RU"/>
        </w:rPr>
      </w:pPr>
      <w:r w:rsidRPr="009772A3">
        <w:rPr>
          <w:rFonts w:ascii="Calibri Light" w:eastAsia="Times New Roman" w:hAnsi="Calibri Light" w:cs="Calibri Light"/>
          <w:sz w:val="24"/>
          <w:szCs w:val="24"/>
          <w:lang w:val="ro-MD" w:eastAsia="ru-RU"/>
        </w:rPr>
        <w:t>Mai mult decât atât, probele colectate de audit au relevat și faptul că ANRE a acceptat spre recuperare prin tariful de furnizare a gazelor naturale, cheltuieli de locațiune, inclusiv pentru chiria clădirii respective</w:t>
      </w:r>
      <w:r w:rsidR="001D30D8" w:rsidRPr="009772A3">
        <w:rPr>
          <w:rFonts w:ascii="Calibri Light" w:eastAsia="Times New Roman" w:hAnsi="Calibri Light" w:cs="Calibri Light"/>
          <w:sz w:val="24"/>
          <w:szCs w:val="24"/>
          <w:lang w:val="ro-MD" w:eastAsia="ru-RU"/>
        </w:rPr>
        <w:t>,</w:t>
      </w:r>
      <w:r w:rsidRPr="009772A3">
        <w:rPr>
          <w:rFonts w:ascii="Calibri Light" w:eastAsia="Times New Roman" w:hAnsi="Calibri Light" w:cs="Calibri Light"/>
          <w:sz w:val="24"/>
          <w:szCs w:val="24"/>
          <w:lang w:val="ro-MD" w:eastAsia="ru-RU"/>
        </w:rPr>
        <w:t xml:space="preserve"> în sumă anuală de: i) 2018 – 1.818,7 mii lei, ii) 2019 </w:t>
      </w:r>
      <w:r w:rsidR="001D30D8" w:rsidRPr="009772A3">
        <w:rPr>
          <w:rFonts w:ascii="Calibri Light" w:eastAsia="Times New Roman" w:hAnsi="Calibri Light" w:cs="Calibri Light"/>
          <w:sz w:val="24"/>
          <w:szCs w:val="24"/>
          <w:lang w:val="ro-MD" w:eastAsia="ru-RU"/>
        </w:rPr>
        <w:t>–</w:t>
      </w:r>
      <w:r w:rsidRPr="009772A3">
        <w:rPr>
          <w:rFonts w:ascii="Calibri Light" w:eastAsia="Times New Roman" w:hAnsi="Calibri Light" w:cs="Calibri Light"/>
          <w:sz w:val="24"/>
          <w:szCs w:val="24"/>
          <w:lang w:val="ro-MD" w:eastAsia="ru-RU"/>
        </w:rPr>
        <w:t xml:space="preserve"> 1</w:t>
      </w:r>
      <w:r w:rsidR="001D30D8" w:rsidRPr="009772A3">
        <w:rPr>
          <w:rFonts w:ascii="Calibri Light" w:eastAsia="Times New Roman" w:hAnsi="Calibri Light" w:cs="Calibri Light"/>
          <w:sz w:val="24"/>
          <w:szCs w:val="24"/>
          <w:lang w:val="ro-MD" w:eastAsia="ru-RU"/>
        </w:rPr>
        <w:t>.</w:t>
      </w:r>
      <w:r w:rsidRPr="009772A3">
        <w:rPr>
          <w:rFonts w:ascii="Calibri Light" w:eastAsia="Times New Roman" w:hAnsi="Calibri Light" w:cs="Calibri Light"/>
          <w:sz w:val="24"/>
          <w:szCs w:val="24"/>
          <w:lang w:val="ro-MD" w:eastAsia="ru-RU"/>
        </w:rPr>
        <w:t>888,6 mii lei, iii) 2020 – 1.945,5 mii lei, și iv) 2021 – 2025,0 mii lei.</w:t>
      </w:r>
    </w:p>
    <w:p w14:paraId="2BF80A21" w14:textId="5D8088A3" w:rsidR="00FD1AA6" w:rsidRPr="009772A3" w:rsidRDefault="00FD1AA6" w:rsidP="004A6384">
      <w:pPr>
        <w:pStyle w:val="Heading1"/>
        <w:numPr>
          <w:ilvl w:val="3"/>
          <w:numId w:val="2"/>
        </w:numPr>
        <w:tabs>
          <w:tab w:val="left" w:pos="709"/>
          <w:tab w:val="left" w:pos="851"/>
        </w:tabs>
        <w:spacing w:line="276" w:lineRule="auto"/>
        <w:ind w:left="0" w:firstLine="0"/>
        <w:jc w:val="both"/>
        <w:rPr>
          <w:i/>
          <w:color w:val="auto"/>
          <w:lang w:val="ro-MD"/>
        </w:rPr>
      </w:pPr>
      <w:bookmarkStart w:id="181" w:name="_Toc117775801"/>
      <w:bookmarkStart w:id="182" w:name="_Toc118297743"/>
      <w:bookmarkStart w:id="183" w:name="_Toc119496441"/>
      <w:r w:rsidRPr="009772A3">
        <w:rPr>
          <w:i/>
          <w:color w:val="auto"/>
          <w:lang w:val="ro-MD"/>
        </w:rPr>
        <w:t>L</w:t>
      </w:r>
      <w:r w:rsidR="004A6384">
        <w:rPr>
          <w:i/>
          <w:color w:val="auto"/>
          <w:lang w:val="ro-MD"/>
        </w:rPr>
        <w:t>uarea în l</w:t>
      </w:r>
      <w:r w:rsidRPr="009772A3">
        <w:rPr>
          <w:i/>
          <w:color w:val="auto"/>
          <w:lang w:val="ro-MD"/>
        </w:rPr>
        <w:t>ocațiune</w:t>
      </w:r>
      <w:r w:rsidR="004A6384">
        <w:rPr>
          <w:i/>
          <w:color w:val="auto"/>
          <w:lang w:val="ro-MD"/>
        </w:rPr>
        <w:t xml:space="preserve"> </w:t>
      </w:r>
      <w:r w:rsidRPr="009772A3">
        <w:rPr>
          <w:i/>
          <w:color w:val="auto"/>
          <w:lang w:val="ro-MD"/>
        </w:rPr>
        <w:t xml:space="preserve">a propriilor spații și imobile ale SA Moldovagaz a </w:t>
      </w:r>
      <w:r w:rsidR="00E2347D" w:rsidRPr="009772A3">
        <w:rPr>
          <w:i/>
          <w:color w:val="auto"/>
          <w:lang w:val="ro-MD"/>
        </w:rPr>
        <w:t>condiționat</w:t>
      </w:r>
      <w:r w:rsidRPr="009772A3">
        <w:rPr>
          <w:i/>
          <w:color w:val="auto"/>
          <w:lang w:val="ro-MD"/>
        </w:rPr>
        <w:t xml:space="preserve"> cheltuieli</w:t>
      </w:r>
      <w:r w:rsidR="005D4E11" w:rsidRPr="009772A3">
        <w:rPr>
          <w:i/>
          <w:color w:val="auto"/>
          <w:lang w:val="ro-MD"/>
        </w:rPr>
        <w:t xml:space="preserve"> suplimentare</w:t>
      </w:r>
      <w:r w:rsidR="00E2347D" w:rsidRPr="009772A3">
        <w:rPr>
          <w:i/>
          <w:color w:val="auto"/>
          <w:lang w:val="ro-MD"/>
        </w:rPr>
        <w:t xml:space="preserve"> de</w:t>
      </w:r>
      <w:r w:rsidRPr="009772A3">
        <w:rPr>
          <w:i/>
          <w:color w:val="auto"/>
          <w:lang w:val="ro-MD"/>
        </w:rPr>
        <w:t xml:space="preserve"> cca 8.932,0 mii lei.</w:t>
      </w:r>
      <w:bookmarkEnd w:id="181"/>
      <w:bookmarkEnd w:id="182"/>
      <w:bookmarkEnd w:id="183"/>
    </w:p>
    <w:p w14:paraId="1259CF77" w14:textId="01B5C58C" w:rsidR="00316FAF" w:rsidRPr="009772A3" w:rsidRDefault="00316FAF" w:rsidP="00316FA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Conform</w:t>
      </w:r>
      <w:r w:rsidRPr="009772A3">
        <w:rPr>
          <w:rFonts w:asciiTheme="majorHAnsi" w:hAnsiTheme="majorHAnsi" w:cstheme="majorHAnsi"/>
          <w:sz w:val="24"/>
          <w:szCs w:val="24"/>
          <w:lang w:val="ro-MD"/>
        </w:rPr>
        <w:t xml:space="preserve"> statelor de personal </w:t>
      </w:r>
      <w:r w:rsidR="009A7994" w:rsidRPr="009772A3">
        <w:rPr>
          <w:rFonts w:asciiTheme="majorHAnsi" w:hAnsiTheme="majorHAnsi" w:cstheme="majorHAnsi"/>
          <w:sz w:val="24"/>
          <w:szCs w:val="24"/>
          <w:lang w:val="ro-MD"/>
        </w:rPr>
        <w:t xml:space="preserve">în vigoare </w:t>
      </w:r>
      <w:r w:rsidRPr="009772A3">
        <w:rPr>
          <w:rFonts w:asciiTheme="majorHAnsi" w:hAnsiTheme="majorHAnsi" w:cstheme="majorHAnsi"/>
          <w:sz w:val="24"/>
          <w:szCs w:val="24"/>
          <w:lang w:val="ro-MD"/>
        </w:rPr>
        <w:t>în anul 2021, din 284,5 unități de personal al</w:t>
      </w:r>
      <w:r w:rsidR="006F1D24"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SA Moldovagaz, 72,5 unități urm</w:t>
      </w:r>
      <w:r w:rsidR="009A6D85" w:rsidRPr="009772A3">
        <w:rPr>
          <w:rFonts w:asciiTheme="majorHAnsi" w:hAnsiTheme="majorHAnsi" w:cstheme="majorHAnsi"/>
          <w:sz w:val="24"/>
          <w:szCs w:val="24"/>
          <w:lang w:val="ro-MD"/>
        </w:rPr>
        <w:t xml:space="preserve">au </w:t>
      </w:r>
      <w:r w:rsidRPr="009772A3">
        <w:rPr>
          <w:rFonts w:asciiTheme="majorHAnsi" w:hAnsiTheme="majorHAnsi" w:cstheme="majorHAnsi"/>
          <w:sz w:val="24"/>
          <w:szCs w:val="24"/>
          <w:lang w:val="ro-MD"/>
        </w:rPr>
        <w:t>a fi amplasa</w:t>
      </w:r>
      <w:r w:rsidR="006F1D24" w:rsidRPr="009772A3">
        <w:rPr>
          <w:rFonts w:asciiTheme="majorHAnsi" w:hAnsiTheme="majorHAnsi" w:cstheme="majorHAnsi"/>
          <w:sz w:val="24"/>
          <w:szCs w:val="24"/>
          <w:lang w:val="ro-MD"/>
        </w:rPr>
        <w:t>te</w:t>
      </w:r>
      <w:r w:rsidRPr="009772A3">
        <w:rPr>
          <w:rFonts w:asciiTheme="majorHAnsi" w:hAnsiTheme="majorHAnsi" w:cstheme="majorHAnsi"/>
          <w:sz w:val="24"/>
          <w:szCs w:val="24"/>
          <w:lang w:val="ro-MD"/>
        </w:rPr>
        <w:t xml:space="preserve"> în afara mun.</w:t>
      </w:r>
      <w:r w:rsidR="009A7994"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Chișinău</w:t>
      </w:r>
      <w:r w:rsidR="009A6D85" w:rsidRPr="009772A3">
        <w:rPr>
          <w:rStyle w:val="FootnoteReference"/>
          <w:rFonts w:asciiTheme="majorHAnsi" w:hAnsiTheme="majorHAnsi" w:cstheme="majorHAnsi"/>
          <w:sz w:val="24"/>
          <w:szCs w:val="24"/>
          <w:lang w:val="ro-MD"/>
        </w:rPr>
        <w:footnoteReference w:id="145"/>
      </w:r>
      <w:r w:rsidR="009A6D85" w:rsidRPr="009772A3">
        <w:rPr>
          <w:rFonts w:asciiTheme="majorHAnsi" w:hAnsiTheme="majorHAnsi" w:cstheme="majorHAnsi"/>
          <w:sz w:val="24"/>
          <w:szCs w:val="24"/>
          <w:lang w:val="ro-MD"/>
        </w:rPr>
        <w:t>, pentru care au fost luate în loca</w:t>
      </w:r>
      <w:r w:rsidR="004D0942" w:rsidRPr="009772A3">
        <w:rPr>
          <w:rFonts w:asciiTheme="majorHAnsi" w:hAnsiTheme="majorHAnsi" w:cstheme="majorHAnsi"/>
          <w:sz w:val="24"/>
          <w:szCs w:val="24"/>
          <w:lang w:val="ro-MD"/>
        </w:rPr>
        <w:t>ț</w:t>
      </w:r>
      <w:r w:rsidR="009A6D85" w:rsidRPr="009772A3">
        <w:rPr>
          <w:rFonts w:asciiTheme="majorHAnsi" w:hAnsiTheme="majorHAnsi" w:cstheme="majorHAnsi"/>
          <w:sz w:val="24"/>
          <w:szCs w:val="24"/>
          <w:lang w:val="ro-MD"/>
        </w:rPr>
        <w:t>iune spații de circa 964,2 m</w:t>
      </w:r>
      <w:r w:rsidR="009A6D85"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w:t>
      </w:r>
    </w:p>
    <w:p w14:paraId="23DA2B08" w14:textId="5442F123" w:rsidR="00316FAF" w:rsidRPr="009772A3" w:rsidRDefault="004B7C18" w:rsidP="00D94E6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Examinările de audit relevă că</w:t>
      </w:r>
      <w:r w:rsidR="0076319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w:t>
      </w:r>
      <w:r w:rsidR="00316FAF" w:rsidRPr="009772A3">
        <w:rPr>
          <w:rFonts w:asciiTheme="majorHAnsi" w:hAnsiTheme="majorHAnsi" w:cstheme="majorHAnsi"/>
          <w:sz w:val="24"/>
          <w:szCs w:val="24"/>
          <w:lang w:val="ro-MD"/>
        </w:rPr>
        <w:t xml:space="preserve">n </w:t>
      </w:r>
      <w:r w:rsidR="00316FAF" w:rsidRPr="009772A3">
        <w:rPr>
          <w:rFonts w:asciiTheme="majorHAnsi" w:hAnsiTheme="majorHAnsi" w:cstheme="majorHAnsi"/>
          <w:bCs/>
          <w:iCs/>
          <w:noProof/>
          <w:sz w:val="24"/>
          <w:szCs w:val="24"/>
          <w:shd w:val="clear" w:color="auto" w:fill="FFFFFF"/>
          <w:lang w:val="ro-MD"/>
        </w:rPr>
        <w:t>perioada</w:t>
      </w:r>
      <w:r w:rsidR="00316FAF" w:rsidRPr="009772A3">
        <w:rPr>
          <w:rFonts w:asciiTheme="majorHAnsi" w:hAnsiTheme="majorHAnsi" w:cstheme="majorHAnsi"/>
          <w:sz w:val="24"/>
          <w:szCs w:val="24"/>
          <w:lang w:val="ro-MD"/>
        </w:rPr>
        <w:t xml:space="preserve"> auditată 2017</w:t>
      </w:r>
      <w:r w:rsidR="009A7994" w:rsidRPr="009772A3">
        <w:rPr>
          <w:rFonts w:asciiTheme="majorHAnsi" w:hAnsiTheme="majorHAnsi" w:cstheme="majorHAnsi"/>
          <w:sz w:val="24"/>
          <w:szCs w:val="24"/>
          <w:lang w:val="ro-MD"/>
        </w:rPr>
        <w:t>-</w:t>
      </w:r>
      <w:r w:rsidR="00316FAF" w:rsidRPr="009772A3">
        <w:rPr>
          <w:rFonts w:asciiTheme="majorHAnsi" w:hAnsiTheme="majorHAnsi" w:cstheme="majorHAnsi"/>
          <w:sz w:val="24"/>
          <w:szCs w:val="24"/>
          <w:lang w:val="ro-MD"/>
        </w:rPr>
        <w:t xml:space="preserve">2021, SA Moldovagaz a </w:t>
      </w:r>
      <w:r w:rsidR="00E2347D" w:rsidRPr="009772A3">
        <w:rPr>
          <w:rFonts w:asciiTheme="majorHAnsi" w:hAnsiTheme="majorHAnsi" w:cstheme="majorHAnsi"/>
          <w:sz w:val="24"/>
          <w:szCs w:val="24"/>
          <w:lang w:val="ro-MD"/>
        </w:rPr>
        <w:t xml:space="preserve">efectuat </w:t>
      </w:r>
      <w:r w:rsidR="00316FAF" w:rsidRPr="009772A3">
        <w:rPr>
          <w:rFonts w:asciiTheme="majorHAnsi" w:hAnsiTheme="majorHAnsi" w:cstheme="majorHAnsi"/>
          <w:sz w:val="24"/>
          <w:szCs w:val="24"/>
          <w:lang w:val="ro-MD"/>
        </w:rPr>
        <w:t>cheltuieli în sumă totală de 9.265,7 mii lei pentru locațiunea unor spații și a unor mijloace fixe sub formă de tehnică de calcul și mobilier, în vederea amplasării și asigurării necesităților de activitate a</w:t>
      </w:r>
      <w:r w:rsidR="009A7994" w:rsidRPr="009772A3">
        <w:rPr>
          <w:rFonts w:asciiTheme="majorHAnsi" w:hAnsiTheme="majorHAnsi" w:cstheme="majorHAnsi"/>
          <w:sz w:val="24"/>
          <w:szCs w:val="24"/>
          <w:lang w:val="ro-MD"/>
        </w:rPr>
        <w:t>le</w:t>
      </w:r>
      <w:r w:rsidR="00316FAF" w:rsidRPr="009772A3">
        <w:rPr>
          <w:rFonts w:asciiTheme="majorHAnsi" w:hAnsiTheme="majorHAnsi" w:cstheme="majorHAnsi"/>
          <w:sz w:val="24"/>
          <w:szCs w:val="24"/>
          <w:lang w:val="ro-MD"/>
        </w:rPr>
        <w:t xml:space="preserve"> personalului implicat în activitățile comerciale de furnizare a gazelor naturale.</w:t>
      </w:r>
      <w:r w:rsidRPr="009772A3">
        <w:rPr>
          <w:rFonts w:asciiTheme="majorHAnsi" w:hAnsiTheme="majorHAnsi" w:cstheme="majorHAnsi"/>
          <w:sz w:val="24"/>
          <w:szCs w:val="24"/>
          <w:lang w:val="ro-MD"/>
        </w:rPr>
        <w:t xml:space="preserve"> D</w:t>
      </w:r>
      <w:r w:rsidR="00316FAF" w:rsidRPr="009772A3">
        <w:rPr>
          <w:rFonts w:asciiTheme="majorHAnsi" w:hAnsiTheme="majorHAnsi" w:cstheme="majorHAnsi"/>
          <w:sz w:val="24"/>
          <w:szCs w:val="24"/>
          <w:lang w:val="ro-MD"/>
        </w:rPr>
        <w:t>in totalul celor 14 contracte de locațiune, 12 contracte au fost încheiate cu companiile</w:t>
      </w:r>
      <w:r w:rsidR="00F41660" w:rsidRPr="009772A3">
        <w:rPr>
          <w:rFonts w:asciiTheme="majorHAnsi" w:hAnsiTheme="majorHAnsi" w:cstheme="majorHAnsi"/>
          <w:sz w:val="24"/>
          <w:szCs w:val="24"/>
          <w:lang w:val="ro-MD"/>
        </w:rPr>
        <w:t>-</w:t>
      </w:r>
      <w:r w:rsidR="00316FAF" w:rsidRPr="009772A3">
        <w:rPr>
          <w:rFonts w:asciiTheme="majorHAnsi" w:hAnsiTheme="majorHAnsi" w:cstheme="majorHAnsi"/>
          <w:sz w:val="24"/>
          <w:szCs w:val="24"/>
          <w:lang w:val="ro-MD"/>
        </w:rPr>
        <w:t>fiice ale SA Moldovagaz (fiind suportate cheltuieli de 8.932,0 mii lei), pentru închirierea propriilor spații ale societății</w:t>
      </w:r>
      <w:r w:rsidR="004A6384">
        <w:rPr>
          <w:rFonts w:asciiTheme="majorHAnsi" w:hAnsiTheme="majorHAnsi" w:cstheme="majorHAnsi"/>
          <w:sz w:val="24"/>
          <w:szCs w:val="24"/>
          <w:lang w:val="ro-MD"/>
        </w:rPr>
        <w:t xml:space="preserve"> (transmise în folosință întreprinderilor-fiice la momentul fondării acestora)</w:t>
      </w:r>
      <w:r w:rsidR="00316FAF" w:rsidRPr="009772A3">
        <w:rPr>
          <w:rFonts w:asciiTheme="majorHAnsi" w:hAnsiTheme="majorHAnsi" w:cstheme="majorHAnsi"/>
          <w:sz w:val="24"/>
          <w:szCs w:val="24"/>
          <w:lang w:val="ro-MD"/>
        </w:rPr>
        <w:t>, și pentru închirierea tehnicii de calcul și mobilierului companiilor de distribuție</w:t>
      </w:r>
      <w:r w:rsidR="00BF3310" w:rsidRPr="009772A3">
        <w:rPr>
          <w:rFonts w:asciiTheme="majorHAnsi" w:hAnsiTheme="majorHAnsi" w:cstheme="majorHAnsi"/>
          <w:sz w:val="24"/>
          <w:szCs w:val="24"/>
          <w:lang w:val="ro-MD"/>
        </w:rPr>
        <w:t xml:space="preserve"> (</w:t>
      </w:r>
      <w:r w:rsidR="00316FAF" w:rsidRPr="009772A3">
        <w:rPr>
          <w:rFonts w:asciiTheme="majorHAnsi" w:hAnsiTheme="majorHAnsi" w:cstheme="majorHAnsi"/>
          <w:sz w:val="24"/>
          <w:szCs w:val="24"/>
          <w:lang w:val="ro-MD"/>
        </w:rPr>
        <w:t>procurat</w:t>
      </w:r>
      <w:r w:rsidR="00BF3310" w:rsidRPr="009772A3">
        <w:rPr>
          <w:rFonts w:asciiTheme="majorHAnsi" w:hAnsiTheme="majorHAnsi" w:cstheme="majorHAnsi"/>
          <w:sz w:val="24"/>
          <w:szCs w:val="24"/>
          <w:lang w:val="ro-MD"/>
        </w:rPr>
        <w:t>e</w:t>
      </w:r>
      <w:r w:rsidR="00316FAF" w:rsidRPr="009772A3">
        <w:rPr>
          <w:rFonts w:asciiTheme="majorHAnsi" w:hAnsiTheme="majorHAnsi" w:cstheme="majorHAnsi"/>
          <w:sz w:val="24"/>
          <w:szCs w:val="24"/>
          <w:lang w:val="ro-MD"/>
        </w:rPr>
        <w:t xml:space="preserve"> în anii precedenți pentru o parte din </w:t>
      </w:r>
      <w:r w:rsidR="00F41660" w:rsidRPr="009772A3">
        <w:rPr>
          <w:rFonts w:asciiTheme="majorHAnsi" w:hAnsiTheme="majorHAnsi" w:cstheme="majorHAnsi"/>
          <w:sz w:val="24"/>
          <w:szCs w:val="24"/>
          <w:lang w:val="ro-MD"/>
        </w:rPr>
        <w:t xml:space="preserve">angajații </w:t>
      </w:r>
      <w:r w:rsidR="00316FAF" w:rsidRPr="009772A3">
        <w:rPr>
          <w:rFonts w:asciiTheme="majorHAnsi" w:hAnsiTheme="majorHAnsi" w:cstheme="majorHAnsi"/>
          <w:sz w:val="24"/>
          <w:szCs w:val="24"/>
          <w:lang w:val="ro-MD"/>
        </w:rPr>
        <w:t>săi, care după anul 2016 au fost transferați în statele de personal a</w:t>
      </w:r>
      <w:r w:rsidR="00F41660" w:rsidRPr="009772A3">
        <w:rPr>
          <w:rFonts w:asciiTheme="majorHAnsi" w:hAnsiTheme="majorHAnsi" w:cstheme="majorHAnsi"/>
          <w:sz w:val="24"/>
          <w:szCs w:val="24"/>
          <w:lang w:val="ro-MD"/>
        </w:rPr>
        <w:t>le</w:t>
      </w:r>
      <w:r w:rsidR="00316FAF" w:rsidRPr="009772A3">
        <w:rPr>
          <w:rFonts w:asciiTheme="majorHAnsi" w:hAnsiTheme="majorHAnsi" w:cstheme="majorHAnsi"/>
          <w:sz w:val="24"/>
          <w:szCs w:val="24"/>
          <w:lang w:val="ro-MD"/>
        </w:rPr>
        <w:t xml:space="preserve"> întreprinderii</w:t>
      </w:r>
      <w:r w:rsidR="00F41660" w:rsidRPr="009772A3">
        <w:rPr>
          <w:rFonts w:asciiTheme="majorHAnsi" w:hAnsiTheme="majorHAnsi" w:cstheme="majorHAnsi"/>
          <w:sz w:val="24"/>
          <w:szCs w:val="24"/>
          <w:lang w:val="ro-MD"/>
        </w:rPr>
        <w:t>-</w:t>
      </w:r>
      <w:r w:rsidR="00316FAF" w:rsidRPr="009772A3">
        <w:rPr>
          <w:rFonts w:asciiTheme="majorHAnsi" w:hAnsiTheme="majorHAnsi" w:cstheme="majorHAnsi"/>
          <w:sz w:val="24"/>
          <w:szCs w:val="24"/>
          <w:lang w:val="ro-MD"/>
        </w:rPr>
        <w:t>mamă, dat fiind trecerea funcțiilor de furnizare a gazelor către aceasta din urmă</w:t>
      </w:r>
      <w:r w:rsidR="00BF3310" w:rsidRPr="009772A3">
        <w:rPr>
          <w:rFonts w:asciiTheme="majorHAnsi" w:hAnsiTheme="majorHAnsi" w:cstheme="majorHAnsi"/>
          <w:sz w:val="24"/>
          <w:szCs w:val="24"/>
          <w:lang w:val="ro-MD"/>
        </w:rPr>
        <w:t>)</w:t>
      </w:r>
      <w:r w:rsidR="00316FAF" w:rsidRPr="009772A3">
        <w:rPr>
          <w:rFonts w:asciiTheme="majorHAnsi" w:hAnsiTheme="majorHAnsi" w:cstheme="majorHAnsi"/>
          <w:sz w:val="24"/>
          <w:szCs w:val="24"/>
          <w:lang w:val="ro-MD"/>
        </w:rPr>
        <w:t xml:space="preserve">. </w:t>
      </w:r>
    </w:p>
    <w:p w14:paraId="42CB11A4" w14:textId="35684AF3" w:rsidR="008B4D2B" w:rsidRPr="009772A3" w:rsidRDefault="00E91797"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i/>
          <w:sz w:val="24"/>
          <w:szCs w:val="24"/>
          <w:lang w:val="ro-MD"/>
        </w:rPr>
        <w:t>Notă:</w:t>
      </w:r>
      <w:r w:rsidRPr="009772A3">
        <w:rPr>
          <w:rFonts w:asciiTheme="majorHAnsi" w:hAnsiTheme="majorHAnsi" w:cstheme="majorHAnsi"/>
          <w:sz w:val="24"/>
          <w:szCs w:val="24"/>
          <w:lang w:val="ro-MD"/>
        </w:rPr>
        <w:t xml:space="preserve"> </w:t>
      </w:r>
      <w:r w:rsidR="008B4D2B" w:rsidRPr="009772A3">
        <w:rPr>
          <w:rFonts w:asciiTheme="majorHAnsi" w:hAnsiTheme="majorHAnsi" w:cstheme="majorHAnsi"/>
          <w:sz w:val="24"/>
          <w:szCs w:val="24"/>
          <w:lang w:val="ro-MD"/>
        </w:rPr>
        <w:t>SA Moldovagaz explică că</w:t>
      </w:r>
      <w:r w:rsidR="00F41660" w:rsidRPr="009772A3">
        <w:rPr>
          <w:rFonts w:asciiTheme="majorHAnsi" w:hAnsiTheme="majorHAnsi" w:cstheme="majorHAnsi"/>
          <w:sz w:val="24"/>
          <w:szCs w:val="24"/>
          <w:lang w:val="ro-MD"/>
        </w:rPr>
        <w:t>,</w:t>
      </w:r>
      <w:r w:rsidR="008B4D2B" w:rsidRPr="009772A3">
        <w:rPr>
          <w:rFonts w:asciiTheme="majorHAnsi" w:hAnsiTheme="majorHAnsi" w:cstheme="majorHAnsi"/>
          <w:sz w:val="24"/>
          <w:szCs w:val="24"/>
          <w:lang w:val="ro-MD"/>
        </w:rPr>
        <w:t xml:space="preserve"> în conformitate cu prevederile Legii cu privire la gazele naturale, începând cu anul 2016 SA „Moldovagaz” este furnizor de gaze naturale, preluând această activitate de la 12 </w:t>
      </w:r>
      <w:r w:rsidR="00F41660" w:rsidRPr="009772A3">
        <w:rPr>
          <w:rFonts w:asciiTheme="majorHAnsi" w:hAnsiTheme="majorHAnsi" w:cstheme="majorHAnsi"/>
          <w:sz w:val="24"/>
          <w:szCs w:val="24"/>
          <w:lang w:val="ro-MD"/>
        </w:rPr>
        <w:t>o</w:t>
      </w:r>
      <w:r w:rsidR="008B4D2B" w:rsidRPr="009772A3">
        <w:rPr>
          <w:rFonts w:asciiTheme="majorHAnsi" w:hAnsiTheme="majorHAnsi" w:cstheme="majorHAnsi"/>
          <w:sz w:val="24"/>
          <w:szCs w:val="24"/>
          <w:lang w:val="ro-MD"/>
        </w:rPr>
        <w:t xml:space="preserve">peratori ai sistemului de distribuție. </w:t>
      </w:r>
      <w:r w:rsidR="00F41660" w:rsidRPr="009772A3">
        <w:rPr>
          <w:rFonts w:asciiTheme="majorHAnsi" w:hAnsiTheme="majorHAnsi" w:cstheme="majorHAnsi"/>
          <w:sz w:val="24"/>
          <w:szCs w:val="24"/>
          <w:lang w:val="ro-MD"/>
        </w:rPr>
        <w:t>Ca u</w:t>
      </w:r>
      <w:r w:rsidR="008B4D2B" w:rsidRPr="009772A3">
        <w:rPr>
          <w:rFonts w:asciiTheme="majorHAnsi" w:hAnsiTheme="majorHAnsi" w:cstheme="majorHAnsi"/>
          <w:sz w:val="24"/>
          <w:szCs w:val="24"/>
          <w:lang w:val="ro-MD"/>
        </w:rPr>
        <w:t xml:space="preserve">rmare a acestui fapt, numărul de personal </w:t>
      </w:r>
      <w:r w:rsidR="00BF3310" w:rsidRPr="009772A3">
        <w:rPr>
          <w:rFonts w:asciiTheme="majorHAnsi" w:hAnsiTheme="majorHAnsi" w:cstheme="majorHAnsi"/>
          <w:sz w:val="24"/>
          <w:szCs w:val="24"/>
          <w:lang w:val="ro-MD"/>
        </w:rPr>
        <w:t xml:space="preserve">al </w:t>
      </w:r>
      <w:r w:rsidR="008B4D2B" w:rsidRPr="009772A3">
        <w:rPr>
          <w:rFonts w:asciiTheme="majorHAnsi" w:hAnsiTheme="majorHAnsi" w:cstheme="majorHAnsi"/>
          <w:sz w:val="24"/>
          <w:szCs w:val="24"/>
          <w:lang w:val="ro-MD"/>
        </w:rPr>
        <w:t xml:space="preserve">SA „Moldovagaz” s-a majorat, iar din acest considerent a apărut necesitatea alocării de spații de tip oficiu pentru noii angajați. Pentru deservirea operativă a consumatorilor, s-a decis amplasarea oficiilor teritoriale de vânzare a gazelor naturale în clădirile în care își desfășoară activitatea OSD, fiind încheiate contracte de comodat a spațiilor necesare pentru oficiile teritoriale de vânzare </w:t>
      </w:r>
      <w:r w:rsidR="00F41660" w:rsidRPr="009772A3">
        <w:rPr>
          <w:rFonts w:asciiTheme="majorHAnsi" w:hAnsiTheme="majorHAnsi" w:cstheme="majorHAnsi"/>
          <w:sz w:val="24"/>
          <w:szCs w:val="24"/>
          <w:lang w:val="ro-MD"/>
        </w:rPr>
        <w:t xml:space="preserve">a </w:t>
      </w:r>
      <w:r w:rsidR="008B4D2B" w:rsidRPr="009772A3">
        <w:rPr>
          <w:rFonts w:asciiTheme="majorHAnsi" w:hAnsiTheme="majorHAnsi" w:cstheme="majorHAnsi"/>
          <w:sz w:val="24"/>
          <w:szCs w:val="24"/>
          <w:lang w:val="ro-MD"/>
        </w:rPr>
        <w:t>gaze</w:t>
      </w:r>
      <w:r w:rsidR="00F41660" w:rsidRPr="009772A3">
        <w:rPr>
          <w:rFonts w:asciiTheme="majorHAnsi" w:hAnsiTheme="majorHAnsi" w:cstheme="majorHAnsi"/>
          <w:sz w:val="24"/>
          <w:szCs w:val="24"/>
          <w:lang w:val="ro-MD"/>
        </w:rPr>
        <w:t>lor</w:t>
      </w:r>
      <w:r w:rsidR="008B4D2B" w:rsidRPr="009772A3">
        <w:rPr>
          <w:rFonts w:asciiTheme="majorHAnsi" w:hAnsiTheme="majorHAnsi" w:cstheme="majorHAnsi"/>
          <w:sz w:val="24"/>
          <w:szCs w:val="24"/>
          <w:lang w:val="ro-MD"/>
        </w:rPr>
        <w:t xml:space="preserve"> naturale. </w:t>
      </w:r>
      <w:r w:rsidRPr="009772A3">
        <w:rPr>
          <w:rFonts w:asciiTheme="majorHAnsi" w:hAnsiTheme="majorHAnsi" w:cstheme="majorHAnsi"/>
          <w:sz w:val="24"/>
          <w:szCs w:val="24"/>
          <w:lang w:val="ro-MD"/>
        </w:rPr>
        <w:t>Totodată, societatea</w:t>
      </w:r>
      <w:r w:rsidR="008B4D2B" w:rsidRPr="009772A3">
        <w:rPr>
          <w:rFonts w:asciiTheme="majorHAnsi" w:hAnsiTheme="majorHAnsi" w:cstheme="majorHAnsi"/>
          <w:sz w:val="24"/>
          <w:szCs w:val="24"/>
          <w:lang w:val="ro-MD"/>
        </w:rPr>
        <w:t xml:space="preserve"> remarc</w:t>
      </w:r>
      <w:r w:rsidRPr="009772A3">
        <w:rPr>
          <w:rFonts w:asciiTheme="majorHAnsi" w:hAnsiTheme="majorHAnsi" w:cstheme="majorHAnsi"/>
          <w:sz w:val="24"/>
          <w:szCs w:val="24"/>
          <w:lang w:val="ro-MD"/>
        </w:rPr>
        <w:t>ă</w:t>
      </w:r>
      <w:r w:rsidR="008B4D2B" w:rsidRPr="009772A3">
        <w:rPr>
          <w:rFonts w:asciiTheme="majorHAnsi" w:hAnsiTheme="majorHAnsi" w:cstheme="majorHAnsi"/>
          <w:sz w:val="24"/>
          <w:szCs w:val="24"/>
          <w:lang w:val="ro-MD"/>
        </w:rPr>
        <w:t xml:space="preserve"> faptul că</w:t>
      </w:r>
      <w:r w:rsidR="00F41660" w:rsidRPr="009772A3">
        <w:rPr>
          <w:rFonts w:asciiTheme="majorHAnsi" w:hAnsiTheme="majorHAnsi" w:cstheme="majorHAnsi"/>
          <w:sz w:val="24"/>
          <w:szCs w:val="24"/>
          <w:lang w:val="ro-MD"/>
        </w:rPr>
        <w:t>,</w:t>
      </w:r>
      <w:r w:rsidR="008B4D2B" w:rsidRPr="009772A3">
        <w:rPr>
          <w:rFonts w:asciiTheme="majorHAnsi" w:hAnsiTheme="majorHAnsi" w:cstheme="majorHAnsi"/>
          <w:sz w:val="24"/>
          <w:szCs w:val="24"/>
          <w:lang w:val="ro-MD"/>
        </w:rPr>
        <w:t xml:space="preserve"> în unele cazuri, clădirile în care se aflau OSD aparțineau SA „Moldovagaz” cu drept de proprietate, dar din anul 1999 au fost transmise către OSD în baza contractelor de transmitere a bunurilor în folosinț</w:t>
      </w:r>
      <w:r w:rsidR="00F41660" w:rsidRPr="009772A3">
        <w:rPr>
          <w:rFonts w:asciiTheme="majorHAnsi" w:hAnsiTheme="majorHAnsi" w:cstheme="majorHAnsi"/>
          <w:sz w:val="24"/>
          <w:szCs w:val="24"/>
          <w:lang w:val="ro-MD"/>
        </w:rPr>
        <w:t>ă</w:t>
      </w:r>
      <w:r w:rsidR="00EB5EE6" w:rsidRPr="009772A3">
        <w:rPr>
          <w:rFonts w:asciiTheme="majorHAnsi" w:hAnsiTheme="majorHAnsi" w:cstheme="majorHAnsi"/>
          <w:sz w:val="24"/>
          <w:szCs w:val="24"/>
          <w:lang w:val="ro-MD"/>
        </w:rPr>
        <w:t>, aspect care a creat un statut juridic incert al acestor imobile</w:t>
      </w:r>
      <w:r w:rsidR="008B4D2B" w:rsidRPr="009772A3">
        <w:rPr>
          <w:rFonts w:asciiTheme="majorHAnsi" w:hAnsiTheme="majorHAnsi" w:cstheme="majorHAnsi"/>
          <w:sz w:val="24"/>
          <w:szCs w:val="24"/>
          <w:lang w:val="ro-MD"/>
        </w:rPr>
        <w:t>.</w:t>
      </w:r>
    </w:p>
    <w:p w14:paraId="5E92DDF2" w14:textId="113AB015" w:rsidR="0058764C" w:rsidRPr="009772A3" w:rsidRDefault="0058764C" w:rsidP="004A6384">
      <w:pPr>
        <w:pStyle w:val="Heading1"/>
        <w:numPr>
          <w:ilvl w:val="3"/>
          <w:numId w:val="2"/>
        </w:numPr>
        <w:spacing w:line="276" w:lineRule="auto"/>
        <w:ind w:left="0" w:firstLine="0"/>
        <w:jc w:val="both"/>
        <w:rPr>
          <w:i/>
          <w:color w:val="auto"/>
          <w:lang w:val="ro-MD"/>
        </w:rPr>
      </w:pPr>
      <w:bookmarkStart w:id="184" w:name="_Toc118885355"/>
      <w:bookmarkStart w:id="185" w:name="_Toc118885505"/>
      <w:bookmarkStart w:id="186" w:name="_Toc118886749"/>
      <w:bookmarkStart w:id="187" w:name="_Toc118964663"/>
      <w:bookmarkStart w:id="188" w:name="_Toc118977874"/>
      <w:bookmarkStart w:id="189" w:name="_Toc119245462"/>
      <w:bookmarkStart w:id="190" w:name="_Toc118885356"/>
      <w:bookmarkStart w:id="191" w:name="_Toc118885506"/>
      <w:bookmarkStart w:id="192" w:name="_Toc118886750"/>
      <w:bookmarkStart w:id="193" w:name="_Toc118964664"/>
      <w:bookmarkStart w:id="194" w:name="_Toc118977875"/>
      <w:bookmarkStart w:id="195" w:name="_Toc119245463"/>
      <w:bookmarkStart w:id="196" w:name="_Toc119496442"/>
      <w:bookmarkEnd w:id="184"/>
      <w:bookmarkEnd w:id="185"/>
      <w:bookmarkEnd w:id="186"/>
      <w:bookmarkEnd w:id="187"/>
      <w:bookmarkEnd w:id="188"/>
      <w:bookmarkEnd w:id="189"/>
      <w:bookmarkEnd w:id="190"/>
      <w:bookmarkEnd w:id="191"/>
      <w:bookmarkEnd w:id="192"/>
      <w:bookmarkEnd w:id="193"/>
      <w:bookmarkEnd w:id="194"/>
      <w:bookmarkEnd w:id="195"/>
      <w:r w:rsidRPr="009772A3">
        <w:rPr>
          <w:i/>
          <w:color w:val="auto"/>
          <w:lang w:val="ro-MD"/>
        </w:rPr>
        <w:t xml:space="preserve">SRL „Chișinău-gaz” a admis cheltuieli suplimentare economic neargumentate și nejustificate în valoare de </w:t>
      </w:r>
      <w:r w:rsidR="001A6E3D" w:rsidRPr="00CF3AD4">
        <w:rPr>
          <w:i/>
          <w:color w:val="auto"/>
          <w:lang w:val="ro-MD"/>
        </w:rPr>
        <w:t>3</w:t>
      </w:r>
      <w:r w:rsidR="00F41660" w:rsidRPr="00FF1720">
        <w:rPr>
          <w:i/>
          <w:color w:val="auto"/>
          <w:lang w:val="ro-MD"/>
        </w:rPr>
        <w:t>.</w:t>
      </w:r>
      <w:r w:rsidR="001A6E3D" w:rsidRPr="00CF3AD4">
        <w:rPr>
          <w:i/>
          <w:color w:val="auto"/>
          <w:lang w:val="ro-MD"/>
        </w:rPr>
        <w:t>600</w:t>
      </w:r>
      <w:r w:rsidRPr="00FF1720">
        <w:rPr>
          <w:i/>
          <w:color w:val="auto"/>
          <w:lang w:val="ro-MD"/>
        </w:rPr>
        <w:t>,</w:t>
      </w:r>
      <w:r w:rsidR="001A6E3D" w:rsidRPr="00CF3AD4">
        <w:rPr>
          <w:i/>
          <w:color w:val="auto"/>
          <w:lang w:val="ro-MD"/>
        </w:rPr>
        <w:t>9</w:t>
      </w:r>
      <w:r w:rsidRPr="009772A3">
        <w:rPr>
          <w:i/>
          <w:color w:val="auto"/>
          <w:lang w:val="ro-MD"/>
        </w:rPr>
        <w:t xml:space="preserve"> mii lei prin contractarea serviciilor de locațiune a spațiului cu suprafața de 1</w:t>
      </w:r>
      <w:r w:rsidR="00F41660" w:rsidRPr="009772A3">
        <w:rPr>
          <w:i/>
          <w:color w:val="auto"/>
          <w:lang w:val="ro-MD"/>
        </w:rPr>
        <w:t>.</w:t>
      </w:r>
      <w:r w:rsidRPr="009772A3">
        <w:rPr>
          <w:i/>
          <w:color w:val="auto"/>
          <w:lang w:val="ro-MD"/>
        </w:rPr>
        <w:t>291,8 m</w:t>
      </w:r>
      <w:r w:rsidRPr="009772A3">
        <w:rPr>
          <w:i/>
          <w:color w:val="auto"/>
          <w:vertAlign w:val="superscript"/>
          <w:lang w:val="ro-MD"/>
        </w:rPr>
        <w:t>2</w:t>
      </w:r>
      <w:r w:rsidRPr="009772A3">
        <w:rPr>
          <w:i/>
          <w:color w:val="auto"/>
          <w:lang w:val="ro-MD"/>
        </w:rPr>
        <w:t xml:space="preserve"> destinat pentru garaj.</w:t>
      </w:r>
      <w:bookmarkEnd w:id="196"/>
    </w:p>
    <w:p w14:paraId="435970CB" w14:textId="1381E07C" w:rsidR="0058764C" w:rsidRPr="009772A3" w:rsidRDefault="0058764C" w:rsidP="0058764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SRL „Chișinău-gaz” dispune de spațiu pentru garaj</w:t>
      </w:r>
      <w:r w:rsidR="00CC03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amplasat pe </w:t>
      </w:r>
      <w:r w:rsidR="00FF1720">
        <w:rPr>
          <w:rFonts w:asciiTheme="majorHAnsi" w:hAnsiTheme="majorHAnsi" w:cstheme="majorHAnsi"/>
          <w:sz w:val="24"/>
          <w:szCs w:val="24"/>
          <w:lang w:val="ro-MD"/>
        </w:rPr>
        <w:t xml:space="preserve">str. </w:t>
      </w:r>
      <w:r w:rsidRPr="009772A3">
        <w:rPr>
          <w:rFonts w:asciiTheme="majorHAnsi" w:hAnsiTheme="majorHAnsi" w:cstheme="majorHAnsi"/>
          <w:sz w:val="24"/>
          <w:szCs w:val="24"/>
          <w:lang w:val="ro-MD"/>
        </w:rPr>
        <w:t>Calea Ieșilor</w:t>
      </w:r>
      <w:r w:rsidR="00CC0387" w:rsidRPr="009772A3">
        <w:rPr>
          <w:rFonts w:asciiTheme="majorHAnsi" w:hAnsiTheme="majorHAnsi" w:cstheme="majorHAnsi"/>
          <w:sz w:val="24"/>
          <w:szCs w:val="24"/>
          <w:lang w:val="ro-MD"/>
        </w:rPr>
        <w:t xml:space="preserve"> nr.</w:t>
      </w:r>
      <w:r w:rsidRPr="009772A3">
        <w:rPr>
          <w:rFonts w:asciiTheme="majorHAnsi" w:hAnsiTheme="majorHAnsi" w:cstheme="majorHAnsi"/>
          <w:sz w:val="24"/>
          <w:szCs w:val="24"/>
          <w:lang w:val="ro-MD"/>
        </w:rPr>
        <w:t xml:space="preserve"> 59/3 cu teren aferent de 0,9571 ha, aceasta nefundamentat </w:t>
      </w:r>
      <w:r w:rsidR="007601E2" w:rsidRPr="009772A3">
        <w:rPr>
          <w:rFonts w:asciiTheme="majorHAnsi" w:hAnsiTheme="majorHAnsi" w:cstheme="majorHAnsi"/>
          <w:sz w:val="24"/>
          <w:szCs w:val="24"/>
          <w:lang w:val="ro-MD"/>
        </w:rPr>
        <w:t xml:space="preserve">economic </w:t>
      </w:r>
      <w:r w:rsidRPr="009772A3">
        <w:rPr>
          <w:rFonts w:asciiTheme="majorHAnsi" w:hAnsiTheme="majorHAnsi" w:cstheme="majorHAnsi"/>
          <w:sz w:val="24"/>
          <w:szCs w:val="24"/>
          <w:lang w:val="ro-MD"/>
        </w:rPr>
        <w:t xml:space="preserve">a contractat direct la 10.12.2020 servicii de sublocațiune a spațiului pentru garaj </w:t>
      </w:r>
      <w:r w:rsidR="00FF1720" w:rsidRPr="009772A3">
        <w:rPr>
          <w:rFonts w:asciiTheme="majorHAnsi" w:hAnsiTheme="majorHAnsi" w:cstheme="majorHAnsi"/>
          <w:sz w:val="24"/>
          <w:szCs w:val="24"/>
          <w:lang w:val="ro-MD"/>
        </w:rPr>
        <w:t>din</w:t>
      </w:r>
      <w:r w:rsidR="00FF1720">
        <w:rPr>
          <w:rFonts w:asciiTheme="majorHAnsi" w:hAnsiTheme="majorHAnsi" w:cstheme="majorHAnsi"/>
          <w:sz w:val="24"/>
          <w:szCs w:val="24"/>
          <w:lang w:val="ro-MD"/>
        </w:rPr>
        <w:t xml:space="preserve"> str.</w:t>
      </w:r>
      <w:r w:rsidRPr="009772A3">
        <w:rPr>
          <w:rFonts w:asciiTheme="majorHAnsi" w:hAnsiTheme="majorHAnsi" w:cstheme="majorHAnsi"/>
          <w:sz w:val="24"/>
          <w:szCs w:val="24"/>
          <w:lang w:val="ro-MD"/>
        </w:rPr>
        <w:t xml:space="preserve">Calea Orheiului </w:t>
      </w:r>
      <w:r w:rsidR="00CC0387"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89/1. În urma vizitei în teren</w:t>
      </w:r>
      <w:r w:rsidR="00CC03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auditul a constatat că teritoriul amplasat pe </w:t>
      </w:r>
      <w:r w:rsidR="00FF1720">
        <w:rPr>
          <w:rFonts w:asciiTheme="majorHAnsi" w:hAnsiTheme="majorHAnsi" w:cstheme="majorHAnsi"/>
          <w:sz w:val="24"/>
          <w:szCs w:val="24"/>
          <w:lang w:val="ro-MD"/>
        </w:rPr>
        <w:t>str.</w:t>
      </w:r>
      <w:r w:rsidRPr="009772A3">
        <w:rPr>
          <w:rFonts w:asciiTheme="majorHAnsi" w:hAnsiTheme="majorHAnsi" w:cstheme="majorHAnsi"/>
          <w:sz w:val="24"/>
          <w:szCs w:val="24"/>
          <w:lang w:val="ro-MD"/>
        </w:rPr>
        <w:t xml:space="preserve">Calea Ieșilor </w:t>
      </w:r>
      <w:r w:rsidR="00CC0387"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 xml:space="preserve">59/3 este liber, încăperile de depozitare de asemenea </w:t>
      </w:r>
      <w:r w:rsidR="00CC0387" w:rsidRPr="009772A3">
        <w:rPr>
          <w:rFonts w:asciiTheme="majorHAnsi" w:hAnsiTheme="majorHAnsi" w:cstheme="majorHAnsi"/>
          <w:sz w:val="24"/>
          <w:szCs w:val="24"/>
          <w:lang w:val="ro-MD"/>
        </w:rPr>
        <w:t xml:space="preserve">nu </w:t>
      </w:r>
      <w:r w:rsidRPr="009772A3">
        <w:rPr>
          <w:rFonts w:asciiTheme="majorHAnsi" w:hAnsiTheme="majorHAnsi" w:cstheme="majorHAnsi"/>
          <w:sz w:val="24"/>
          <w:szCs w:val="24"/>
          <w:lang w:val="ro-MD"/>
        </w:rPr>
        <w:t xml:space="preserve">sunt </w:t>
      </w:r>
      <w:r w:rsidR="00CC0387" w:rsidRPr="009772A3">
        <w:rPr>
          <w:rFonts w:asciiTheme="majorHAnsi" w:hAnsiTheme="majorHAnsi" w:cstheme="majorHAnsi"/>
          <w:sz w:val="24"/>
          <w:szCs w:val="24"/>
          <w:lang w:val="ro-MD"/>
        </w:rPr>
        <w:t>ocupate</w:t>
      </w:r>
      <w:r w:rsidRPr="009772A3">
        <w:rPr>
          <w:rFonts w:asciiTheme="majorHAnsi" w:hAnsiTheme="majorHAnsi" w:cstheme="majorHAnsi"/>
          <w:sz w:val="24"/>
          <w:szCs w:val="24"/>
          <w:lang w:val="ro-MD"/>
        </w:rPr>
        <w:t xml:space="preserve"> și sunt condiții pentru buna funcționare a parcului auto.</w:t>
      </w:r>
    </w:p>
    <w:p w14:paraId="5948FA74" w14:textId="7277CB92" w:rsidR="0058764C" w:rsidRPr="009772A3" w:rsidRDefault="0058764C" w:rsidP="0058764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 clădirile luate în sublocațiune cu suprafața de 1</w:t>
      </w:r>
      <w:r w:rsidR="00CC038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291,8 m</w:t>
      </w:r>
      <w:r w:rsidRPr="009772A3">
        <w:rPr>
          <w:rFonts w:asciiTheme="majorHAnsi" w:hAnsiTheme="majorHAnsi" w:cstheme="majorHAnsi"/>
          <w:sz w:val="24"/>
          <w:szCs w:val="24"/>
          <w:vertAlign w:val="superscript"/>
          <w:lang w:val="ro-MD"/>
        </w:rPr>
        <w:t>2</w:t>
      </w:r>
      <w:r w:rsidRPr="009772A3">
        <w:rPr>
          <w:rFonts w:asciiTheme="majorHAnsi" w:hAnsiTheme="majorHAnsi" w:cstheme="majorHAnsi"/>
          <w:sz w:val="24"/>
          <w:szCs w:val="24"/>
          <w:lang w:val="ro-MD"/>
        </w:rPr>
        <w:t xml:space="preserve"> reprezintă bunurile ÎS „Editura Universul”, care au fost transmise la 03.11.2020 în locațiune unui agent economic pentru o plată lunară în sumă de 43,</w:t>
      </w:r>
      <w:r w:rsidR="00FF1720">
        <w:rPr>
          <w:rFonts w:asciiTheme="majorHAnsi" w:hAnsiTheme="majorHAnsi" w:cstheme="majorHAnsi"/>
          <w:sz w:val="24"/>
          <w:szCs w:val="24"/>
          <w:lang w:val="ro-MD"/>
        </w:rPr>
        <w:t>4</w:t>
      </w:r>
      <w:r w:rsidR="00FF172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mii lei (de la data de 03.01.2022 plata lunară a constituit 49,9 mii lei). </w:t>
      </w:r>
      <w:r w:rsidR="00FF1720">
        <w:rPr>
          <w:rFonts w:asciiTheme="majorHAnsi" w:hAnsiTheme="majorHAnsi" w:cstheme="majorHAnsi"/>
          <w:sz w:val="24"/>
          <w:szCs w:val="24"/>
          <w:lang w:val="ro-MD"/>
        </w:rPr>
        <w:t>Deoarece, s</w:t>
      </w:r>
      <w:r w:rsidRPr="009772A3">
        <w:rPr>
          <w:rFonts w:asciiTheme="majorHAnsi" w:hAnsiTheme="majorHAnsi" w:cstheme="majorHAnsi"/>
          <w:sz w:val="24"/>
          <w:szCs w:val="24"/>
          <w:lang w:val="ro-MD"/>
        </w:rPr>
        <w:t xml:space="preserve">tarea tehnică a bunurilor luate în sublocațiune era nesatisfăcătoare pentru reparația </w:t>
      </w:r>
      <w:r w:rsidR="00FF1720">
        <w:rPr>
          <w:rFonts w:asciiTheme="majorHAnsi" w:hAnsiTheme="majorHAnsi" w:cstheme="majorHAnsi"/>
          <w:sz w:val="24"/>
          <w:szCs w:val="24"/>
          <w:lang w:val="ro-MD"/>
        </w:rPr>
        <w:t>acestora</w:t>
      </w:r>
      <w:r w:rsidR="00FF172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SRL „Chișinău-gaz” a suportat cheltuieli în sumă de 470,05 mii lei</w:t>
      </w:r>
      <w:r w:rsidRPr="009772A3">
        <w:rPr>
          <w:rFonts w:asciiTheme="majorHAnsi" w:hAnsiTheme="majorHAnsi" w:cstheme="majorHAnsi"/>
          <w:sz w:val="24"/>
          <w:szCs w:val="24"/>
          <w:vertAlign w:val="superscript"/>
          <w:lang w:val="ro-MD"/>
        </w:rPr>
        <w:footnoteReference w:id="146"/>
      </w:r>
      <w:r w:rsidRPr="009772A3">
        <w:rPr>
          <w:rFonts w:asciiTheme="majorHAnsi" w:hAnsiTheme="majorHAnsi" w:cstheme="majorHAnsi"/>
          <w:sz w:val="24"/>
          <w:szCs w:val="24"/>
          <w:lang w:val="ro-MD"/>
        </w:rPr>
        <w:t>.</w:t>
      </w:r>
    </w:p>
    <w:p w14:paraId="5FBD24C2" w14:textId="78C9862A" w:rsidR="0058764C" w:rsidRPr="009772A3" w:rsidRDefault="0058764C" w:rsidP="0058764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w:t>
      </w:r>
      <w:r w:rsidR="005F6AB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potrivit contractului de sublocațiune</w:t>
      </w:r>
      <w:r w:rsidRPr="009772A3">
        <w:rPr>
          <w:rFonts w:asciiTheme="majorHAnsi" w:hAnsiTheme="majorHAnsi" w:cstheme="majorHAnsi"/>
          <w:sz w:val="24"/>
          <w:szCs w:val="24"/>
          <w:vertAlign w:val="superscript"/>
          <w:lang w:val="ro-MD"/>
        </w:rPr>
        <w:footnoteReference w:id="147"/>
      </w:r>
      <w:r w:rsidR="005F6AB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plata lunară pentru chirie a fost stabilită în mărime de 175,0 </w:t>
      </w:r>
      <w:r w:rsidRPr="009772A3">
        <w:rPr>
          <w:rFonts w:asciiTheme="majorHAnsi" w:hAnsiTheme="majorHAnsi" w:cstheme="majorHAnsi"/>
          <w:bCs/>
          <w:sz w:val="24"/>
          <w:szCs w:val="24"/>
          <w:lang w:val="ro-MD"/>
        </w:rPr>
        <w:t>mii lei</w:t>
      </w:r>
      <w:r w:rsidRPr="009772A3">
        <w:rPr>
          <w:rFonts w:asciiTheme="majorHAnsi" w:hAnsiTheme="majorHAnsi" w:cstheme="majorHAnsi"/>
          <w:b/>
          <w:bCs/>
          <w:sz w:val="24"/>
          <w:szCs w:val="24"/>
          <w:lang w:val="ro-MD"/>
        </w:rPr>
        <w:t xml:space="preserve"> </w:t>
      </w:r>
      <w:r w:rsidRPr="009772A3">
        <w:rPr>
          <w:rFonts w:asciiTheme="majorHAnsi" w:hAnsiTheme="majorHAnsi" w:cstheme="majorHAnsi"/>
          <w:sz w:val="24"/>
          <w:szCs w:val="24"/>
          <w:lang w:val="ro-MD"/>
        </w:rPr>
        <w:t>lunar, inclusiv TVA, care ulterior a fost modificată conform acordului adițional și a constituit 135,0 mii lei/lună</w:t>
      </w:r>
      <w:r w:rsidR="00FF1720" w:rsidRPr="009772A3">
        <w:rPr>
          <w:rFonts w:asciiTheme="majorHAnsi" w:hAnsiTheme="majorHAnsi" w:cstheme="majorHAnsi"/>
          <w:sz w:val="24"/>
          <w:szCs w:val="24"/>
          <w:vertAlign w:val="superscript"/>
          <w:lang w:val="ro-MD"/>
        </w:rPr>
        <w:footnoteReference w:id="148"/>
      </w:r>
      <w:r w:rsidR="00916FAA">
        <w:rPr>
          <w:rFonts w:asciiTheme="majorHAnsi" w:hAnsiTheme="majorHAnsi" w:cstheme="majorHAnsi"/>
          <w:sz w:val="24"/>
          <w:szCs w:val="24"/>
          <w:lang w:val="ro-MD"/>
        </w:rPr>
        <w:t>, iar din 01.11.2022 – 121,0 mii lei/lună</w:t>
      </w:r>
      <w:r w:rsidRPr="009772A3">
        <w:rPr>
          <w:rFonts w:asciiTheme="majorHAnsi" w:hAnsiTheme="majorHAnsi" w:cstheme="majorHAnsi"/>
          <w:sz w:val="24"/>
          <w:szCs w:val="24"/>
          <w:lang w:val="ro-MD"/>
        </w:rPr>
        <w:t>.</w:t>
      </w:r>
    </w:p>
    <w:p w14:paraId="7638008A" w14:textId="6376E6FF" w:rsidR="0058764C" w:rsidRPr="009772A3" w:rsidRDefault="0058764C" w:rsidP="0058764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datelor prezentate de ÎS „Editura Universul”</w:t>
      </w:r>
      <w:r w:rsidRPr="009772A3">
        <w:rPr>
          <w:rFonts w:asciiTheme="majorHAnsi" w:hAnsiTheme="majorHAnsi" w:cstheme="majorHAnsi"/>
          <w:sz w:val="24"/>
          <w:szCs w:val="24"/>
          <w:vertAlign w:val="superscript"/>
          <w:lang w:val="ro-MD"/>
        </w:rPr>
        <w:footnoteReference w:id="149"/>
      </w:r>
      <w:r w:rsidRPr="009772A3">
        <w:rPr>
          <w:rFonts w:asciiTheme="majorHAnsi" w:hAnsiTheme="majorHAnsi" w:cstheme="majorHAnsi"/>
          <w:sz w:val="24"/>
          <w:szCs w:val="24"/>
          <w:lang w:val="ro-MD"/>
        </w:rPr>
        <w:t xml:space="preserve"> și datelor reflectate în evidența contabilă a SRL „Chișinău-gaz” pentru perioada decembrie 2020</w:t>
      </w:r>
      <w:r w:rsidR="005F6AB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octombrie 2022, auditul a stabilit că SRL „Chișinău-gaz” a achitat locatarului plata de sublocațiune </w:t>
      </w:r>
      <w:r w:rsidR="00B573EB" w:rsidRPr="00275F84">
        <w:rPr>
          <w:rFonts w:asciiTheme="majorHAnsi" w:hAnsiTheme="majorHAnsi" w:cstheme="majorHAnsi"/>
          <w:sz w:val="24"/>
          <w:szCs w:val="24"/>
          <w:lang w:val="ro-MD"/>
        </w:rPr>
        <w:t>3.130,8 mii lei</w:t>
      </w:r>
      <w:r w:rsidR="0011469D" w:rsidRPr="00CF3AD4">
        <w:rPr>
          <w:rFonts w:asciiTheme="majorHAnsi" w:hAnsiTheme="majorHAnsi" w:cstheme="majorHAnsi"/>
          <w:sz w:val="24"/>
          <w:szCs w:val="24"/>
          <w:lang w:val="ro-MD"/>
        </w:rPr>
        <w:t>,</w:t>
      </w:r>
      <w:r w:rsidR="00B573EB" w:rsidRPr="00275F84">
        <w:rPr>
          <w:rFonts w:asciiTheme="majorHAnsi" w:hAnsiTheme="majorHAnsi" w:cstheme="majorHAnsi"/>
          <w:sz w:val="24"/>
          <w:szCs w:val="24"/>
          <w:lang w:val="ro-MD"/>
        </w:rPr>
        <w:t xml:space="preserve"> </w:t>
      </w:r>
      <w:r w:rsidRPr="00275F84">
        <w:rPr>
          <w:rFonts w:asciiTheme="majorHAnsi" w:hAnsiTheme="majorHAnsi" w:cstheme="majorHAnsi"/>
          <w:sz w:val="24"/>
          <w:szCs w:val="24"/>
          <w:lang w:val="ro-MD"/>
        </w:rPr>
        <w:t xml:space="preserve">servicii comunale în sumă de </w:t>
      </w:r>
      <w:r w:rsidR="00B573EB" w:rsidRPr="00275F84">
        <w:rPr>
          <w:rFonts w:asciiTheme="majorHAnsi" w:hAnsiTheme="majorHAnsi" w:cstheme="majorHAnsi"/>
          <w:sz w:val="24"/>
          <w:szCs w:val="24"/>
          <w:lang w:val="ro-MD"/>
        </w:rPr>
        <w:t>139,1</w:t>
      </w:r>
      <w:r w:rsidRPr="00275F84">
        <w:rPr>
          <w:rFonts w:asciiTheme="majorHAnsi" w:hAnsiTheme="majorHAnsi" w:cstheme="majorHAnsi"/>
          <w:sz w:val="24"/>
          <w:szCs w:val="24"/>
          <w:lang w:val="ro-MD"/>
        </w:rPr>
        <w:t xml:space="preserve"> mii lei</w:t>
      </w:r>
      <w:r w:rsidR="001A6E3D" w:rsidRPr="00CF3AD4">
        <w:rPr>
          <w:rFonts w:asciiTheme="majorHAnsi" w:hAnsiTheme="majorHAnsi" w:cstheme="majorHAnsi"/>
          <w:sz w:val="24"/>
          <w:szCs w:val="24"/>
          <w:lang w:val="ro-MD"/>
        </w:rPr>
        <w:t xml:space="preserve"> și avans de 377,8 mii lei</w:t>
      </w:r>
      <w:r w:rsidRPr="00275F84">
        <w:rPr>
          <w:rFonts w:asciiTheme="majorHAnsi" w:hAnsiTheme="majorHAnsi" w:cstheme="majorHAnsi"/>
          <w:sz w:val="24"/>
          <w:szCs w:val="24"/>
          <w:lang w:val="ro-MD"/>
        </w:rPr>
        <w:t>, iar acesta a achitat ÎS „Editura Universul” doar 1</w:t>
      </w:r>
      <w:r w:rsidR="005F6AB6" w:rsidRPr="00275F84">
        <w:rPr>
          <w:rFonts w:asciiTheme="majorHAnsi" w:hAnsiTheme="majorHAnsi" w:cstheme="majorHAnsi"/>
          <w:sz w:val="24"/>
          <w:szCs w:val="24"/>
          <w:lang w:val="ro-MD"/>
        </w:rPr>
        <w:t>.</w:t>
      </w:r>
      <w:r w:rsidRPr="00275F84">
        <w:rPr>
          <w:rFonts w:asciiTheme="majorHAnsi" w:hAnsiTheme="majorHAnsi" w:cstheme="majorHAnsi"/>
          <w:sz w:val="24"/>
          <w:szCs w:val="24"/>
          <w:lang w:val="ro-MD"/>
        </w:rPr>
        <w:t xml:space="preserve">245,38 mii lei. Astfel, SRL „Chișinău-gaz” a suportat cheltuieli suplimentare pentru sublocațiunea spațiului pentru garaj în sumă de </w:t>
      </w:r>
      <w:r w:rsidR="001A6E3D" w:rsidRPr="00CF3AD4">
        <w:rPr>
          <w:rFonts w:asciiTheme="majorHAnsi" w:hAnsiTheme="majorHAnsi" w:cstheme="majorHAnsi"/>
          <w:sz w:val="24"/>
          <w:szCs w:val="24"/>
          <w:lang w:val="ro-MD"/>
        </w:rPr>
        <w:t>3</w:t>
      </w:r>
      <w:r w:rsidR="005F6AB6" w:rsidRPr="00275F84">
        <w:rPr>
          <w:rFonts w:asciiTheme="majorHAnsi" w:hAnsiTheme="majorHAnsi" w:cstheme="majorHAnsi"/>
          <w:sz w:val="24"/>
          <w:szCs w:val="24"/>
          <w:lang w:val="ro-MD"/>
        </w:rPr>
        <w:t>.</w:t>
      </w:r>
      <w:r w:rsidR="001A6E3D" w:rsidRPr="00CF3AD4">
        <w:rPr>
          <w:rFonts w:asciiTheme="majorHAnsi" w:hAnsiTheme="majorHAnsi" w:cstheme="majorHAnsi"/>
          <w:sz w:val="24"/>
          <w:szCs w:val="24"/>
          <w:lang w:val="ro-MD"/>
        </w:rPr>
        <w:t>600</w:t>
      </w:r>
      <w:r w:rsidRPr="00275F84">
        <w:rPr>
          <w:rFonts w:asciiTheme="majorHAnsi" w:hAnsiTheme="majorHAnsi" w:cstheme="majorHAnsi"/>
          <w:sz w:val="24"/>
          <w:szCs w:val="24"/>
          <w:lang w:val="ro-MD"/>
        </w:rPr>
        <w:t>,</w:t>
      </w:r>
      <w:r w:rsidR="001A6E3D" w:rsidRPr="00CF3AD4">
        <w:rPr>
          <w:rFonts w:asciiTheme="majorHAnsi" w:hAnsiTheme="majorHAnsi" w:cstheme="majorHAnsi"/>
          <w:sz w:val="24"/>
          <w:szCs w:val="24"/>
          <w:lang w:val="ro-MD"/>
        </w:rPr>
        <w:t>9</w:t>
      </w:r>
      <w:r w:rsidRPr="00275F84">
        <w:rPr>
          <w:rFonts w:asciiTheme="majorHAnsi" w:hAnsiTheme="majorHAnsi" w:cstheme="majorHAnsi"/>
          <w:sz w:val="24"/>
          <w:szCs w:val="24"/>
          <w:lang w:val="ro-MD"/>
        </w:rPr>
        <w:t xml:space="preserve"> mii lei.</w:t>
      </w:r>
    </w:p>
    <w:p w14:paraId="48EDDB95" w14:textId="0F94EACC" w:rsidR="00AD3F35" w:rsidRPr="009772A3" w:rsidRDefault="00AD3F35" w:rsidP="00F31DFB">
      <w:pPr>
        <w:pStyle w:val="Heading1"/>
        <w:numPr>
          <w:ilvl w:val="3"/>
          <w:numId w:val="2"/>
        </w:numPr>
        <w:spacing w:line="276" w:lineRule="auto"/>
        <w:ind w:left="0" w:firstLine="0"/>
        <w:jc w:val="both"/>
        <w:rPr>
          <w:i/>
          <w:color w:val="auto"/>
          <w:lang w:val="ro-MD"/>
        </w:rPr>
      </w:pPr>
      <w:bookmarkStart w:id="197" w:name="_Toc118885358"/>
      <w:bookmarkStart w:id="198" w:name="_Toc118885508"/>
      <w:bookmarkStart w:id="199" w:name="_Toc118886752"/>
      <w:bookmarkStart w:id="200" w:name="_Toc118964666"/>
      <w:bookmarkStart w:id="201" w:name="_Toc118977877"/>
      <w:bookmarkStart w:id="202" w:name="_Toc119245465"/>
      <w:bookmarkStart w:id="203" w:name="_Toc117775802"/>
      <w:bookmarkStart w:id="204" w:name="_Toc118297744"/>
      <w:bookmarkStart w:id="205" w:name="_Toc119496443"/>
      <w:bookmarkEnd w:id="197"/>
      <w:bookmarkEnd w:id="198"/>
      <w:bookmarkEnd w:id="199"/>
      <w:bookmarkEnd w:id="200"/>
      <w:bookmarkEnd w:id="201"/>
      <w:bookmarkEnd w:id="202"/>
      <w:r w:rsidRPr="009772A3">
        <w:rPr>
          <w:i/>
          <w:color w:val="auto"/>
          <w:lang w:val="ro-MD"/>
        </w:rPr>
        <w:t>Tipărirea facturilor și bonurilor de plată pentru consumul de gaze naturale prin intermediul unor companii nespecializate în domeniu</w:t>
      </w:r>
      <w:r w:rsidR="0015713B" w:rsidRPr="009772A3">
        <w:rPr>
          <w:i/>
          <w:color w:val="auto"/>
          <w:lang w:val="ro-MD"/>
        </w:rPr>
        <w:t xml:space="preserve"> (în perioada 2017-20</w:t>
      </w:r>
      <w:r w:rsidR="002C74FF" w:rsidRPr="009772A3">
        <w:rPr>
          <w:i/>
          <w:color w:val="auto"/>
          <w:lang w:val="ro-MD"/>
        </w:rPr>
        <w:t>20</w:t>
      </w:r>
      <w:r w:rsidR="0015713B" w:rsidRPr="009772A3">
        <w:rPr>
          <w:i/>
          <w:color w:val="auto"/>
          <w:lang w:val="ro-MD"/>
        </w:rPr>
        <w:t>)</w:t>
      </w:r>
      <w:r w:rsidRPr="009772A3">
        <w:rPr>
          <w:i/>
          <w:color w:val="auto"/>
          <w:lang w:val="ro-MD"/>
        </w:rPr>
        <w:t>, a generat costuri cu 44% mai mari decât cele oferite de companiile specializate</w:t>
      </w:r>
      <w:r w:rsidR="002C74FF" w:rsidRPr="009772A3">
        <w:rPr>
          <w:i/>
          <w:color w:val="auto"/>
          <w:lang w:val="ro-MD"/>
        </w:rPr>
        <w:t xml:space="preserve"> în anul 2021</w:t>
      </w:r>
      <w:r w:rsidRPr="009772A3">
        <w:rPr>
          <w:i/>
          <w:color w:val="auto"/>
          <w:lang w:val="ro-MD"/>
        </w:rPr>
        <w:t>.</w:t>
      </w:r>
      <w:bookmarkEnd w:id="203"/>
      <w:bookmarkEnd w:id="204"/>
      <w:bookmarkEnd w:id="205"/>
    </w:p>
    <w:p w14:paraId="680DBA1E" w14:textId="563530EB" w:rsidR="00AD3F35" w:rsidRPr="009772A3" w:rsidRDefault="00AD3F35" w:rsidP="007C7BD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perioada auditată, SA Moldovagaz a suportat cheltuieli în sumă totală de 15.424,4 mii lei fără TVA</w:t>
      </w:r>
      <w:r w:rsidR="005F6AB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sau 18.509,3 mii lei cu TVA, pentru tipărirea, în baza a trei contracte </w:t>
      </w:r>
      <w:r w:rsidR="005F6AB6"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achiziție</w:t>
      </w:r>
      <w:r w:rsidRPr="009772A3">
        <w:rPr>
          <w:rStyle w:val="FootnoteReference"/>
          <w:rFonts w:asciiTheme="majorHAnsi" w:hAnsiTheme="majorHAnsi" w:cstheme="majorHAnsi"/>
          <w:sz w:val="24"/>
          <w:szCs w:val="24"/>
          <w:lang w:val="ro-MD"/>
        </w:rPr>
        <w:footnoteReference w:id="150"/>
      </w:r>
      <w:r w:rsidR="005F6AB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cca 34.393.005 facturi/bonuri de plată a consumului de gaze naturale. Numărul facturilor/bonurilor de plată tipărite a avut o tendință de ascensiune, iar costurile aferente </w:t>
      </w:r>
      <w:r w:rsidR="005F6AB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o tendință de diminuare. Informații analitice privind numărul de facturi/bonuri tipărite pentru gazele naturale consumate, costul mediu per factură tipărită, precum și costurile totale pentru serviciile de tipărire se prezintă în diagrama ce urmează.</w:t>
      </w:r>
    </w:p>
    <w:p w14:paraId="18B64129" w14:textId="53A69516" w:rsidR="005F6AB6" w:rsidRPr="009772A3" w:rsidRDefault="005F6AB6" w:rsidP="00F5310F">
      <w:pPr>
        <w:spacing w:after="0" w:line="276" w:lineRule="auto"/>
        <w:ind w:firstLine="709"/>
        <w:jc w:val="right"/>
        <w:rPr>
          <w:rFonts w:asciiTheme="majorHAnsi" w:hAnsiTheme="majorHAnsi" w:cstheme="majorHAnsi"/>
          <w:b/>
          <w:sz w:val="24"/>
          <w:szCs w:val="24"/>
          <w:lang w:val="ro-MD"/>
        </w:rPr>
      </w:pPr>
      <w:r w:rsidRPr="009772A3">
        <w:rPr>
          <w:rFonts w:asciiTheme="majorHAnsi" w:hAnsiTheme="majorHAnsi" w:cstheme="majorHAnsi"/>
          <w:b/>
          <w:sz w:val="24"/>
          <w:szCs w:val="24"/>
          <w:lang w:val="ro-MD"/>
        </w:rPr>
        <w:t>Diagrama nr.4.3.3</w:t>
      </w:r>
      <w:r w:rsidR="00F31DFB">
        <w:rPr>
          <w:rFonts w:asciiTheme="majorHAnsi" w:hAnsiTheme="majorHAnsi" w:cstheme="majorHAnsi"/>
          <w:b/>
          <w:sz w:val="24"/>
          <w:szCs w:val="24"/>
          <w:lang w:val="ro-MD"/>
        </w:rPr>
        <w:t>.4</w:t>
      </w:r>
    </w:p>
    <w:p w14:paraId="71AA0CAD" w14:textId="77777777" w:rsidR="00AD3F35" w:rsidRPr="009772A3" w:rsidRDefault="00AD3F35" w:rsidP="00AD3F35">
      <w:pPr>
        <w:pStyle w:val="FootnoteText"/>
        <w:spacing w:line="276" w:lineRule="auto"/>
        <w:jc w:val="both"/>
        <w:rPr>
          <w:rFonts w:asciiTheme="majorHAnsi" w:hAnsiTheme="majorHAnsi" w:cstheme="majorHAnsi"/>
          <w:sz w:val="24"/>
          <w:szCs w:val="24"/>
          <w:vertAlign w:val="baseline"/>
          <w:lang w:val="ro-MD"/>
        </w:rPr>
      </w:pPr>
      <w:r w:rsidRPr="009772A3">
        <w:rPr>
          <w:noProof/>
        </w:rPr>
        <w:drawing>
          <wp:inline distT="0" distB="0" distL="0" distR="0" wp14:anchorId="60828231" wp14:editId="17B3401E">
            <wp:extent cx="5931877" cy="2573215"/>
            <wp:effectExtent l="0" t="0" r="1206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B54BC0" w14:textId="35DDB5C0" w:rsidR="00AD3F35" w:rsidRPr="009772A3" w:rsidRDefault="00AD3F35" w:rsidP="007C7BD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Probele colectate de audit denotă că diminuarea cheltuielilor de tipărire a facturilor/bonurilor de plată a consumului de gaze naturale </w:t>
      </w:r>
      <w:r w:rsidR="002A7809" w:rsidRPr="009772A3">
        <w:rPr>
          <w:rFonts w:asciiTheme="majorHAnsi" w:hAnsiTheme="majorHAnsi" w:cstheme="majorHAnsi"/>
          <w:sz w:val="24"/>
          <w:szCs w:val="24"/>
          <w:lang w:val="ro-MD"/>
        </w:rPr>
        <w:t>cu cca 33,7% și, respectiv</w:t>
      </w:r>
      <w:r w:rsidR="005F6AB6" w:rsidRPr="009772A3">
        <w:rPr>
          <w:rFonts w:asciiTheme="majorHAnsi" w:hAnsiTheme="majorHAnsi" w:cstheme="majorHAnsi"/>
          <w:sz w:val="24"/>
          <w:szCs w:val="24"/>
          <w:lang w:val="ro-MD"/>
        </w:rPr>
        <w:t>,</w:t>
      </w:r>
      <w:r w:rsidR="002A7809" w:rsidRPr="009772A3">
        <w:rPr>
          <w:rFonts w:asciiTheme="majorHAnsi" w:hAnsiTheme="majorHAnsi" w:cstheme="majorHAnsi"/>
          <w:sz w:val="24"/>
          <w:szCs w:val="24"/>
          <w:lang w:val="ro-MD"/>
        </w:rPr>
        <w:t xml:space="preserve"> cu 44%</w:t>
      </w:r>
      <w:r w:rsidR="005F6AB6" w:rsidRPr="009772A3">
        <w:rPr>
          <w:rFonts w:asciiTheme="majorHAnsi" w:hAnsiTheme="majorHAnsi" w:cstheme="majorHAnsi"/>
          <w:sz w:val="24"/>
          <w:szCs w:val="24"/>
          <w:lang w:val="ro-MD"/>
        </w:rPr>
        <w:t>,</w:t>
      </w:r>
      <w:r w:rsidR="002A7809" w:rsidRPr="009772A3">
        <w:rPr>
          <w:rFonts w:asciiTheme="majorHAnsi" w:hAnsiTheme="majorHAnsi" w:cstheme="majorHAnsi"/>
          <w:sz w:val="24"/>
          <w:szCs w:val="24"/>
          <w:lang w:val="ro-MD"/>
        </w:rPr>
        <w:t xml:space="preserve"> </w:t>
      </w:r>
      <w:r w:rsidR="005F6AB6" w:rsidRPr="009772A3">
        <w:rPr>
          <w:rFonts w:asciiTheme="majorHAnsi" w:hAnsiTheme="majorHAnsi" w:cstheme="majorHAnsi"/>
          <w:sz w:val="24"/>
          <w:szCs w:val="24"/>
          <w:lang w:val="ro-MD"/>
        </w:rPr>
        <w:t xml:space="preserve">față de </w:t>
      </w:r>
      <w:r w:rsidR="002A7809" w:rsidRPr="009772A3">
        <w:rPr>
          <w:rFonts w:asciiTheme="majorHAnsi" w:hAnsiTheme="majorHAnsi" w:cstheme="majorHAnsi"/>
          <w:sz w:val="24"/>
          <w:szCs w:val="24"/>
          <w:lang w:val="ro-MD"/>
        </w:rPr>
        <w:t xml:space="preserve">costurile oferite de companiile specializate în anul 2020, </w:t>
      </w:r>
      <w:r w:rsidRPr="009772A3">
        <w:rPr>
          <w:rFonts w:asciiTheme="majorHAnsi" w:hAnsiTheme="majorHAnsi" w:cstheme="majorHAnsi"/>
          <w:sz w:val="24"/>
          <w:szCs w:val="24"/>
          <w:lang w:val="ro-MD"/>
        </w:rPr>
        <w:t>a fost influențată în cea mai mare parte de conformitatea desfășurării procedurilor de achiziție și de specializarea de afaceri a agentului economic care a fost selectat pentru prestarea serviciul</w:t>
      </w:r>
      <w:r w:rsidR="005F6AB6" w:rsidRPr="009772A3">
        <w:rPr>
          <w:rFonts w:asciiTheme="majorHAnsi" w:hAnsiTheme="majorHAnsi" w:cstheme="majorHAnsi"/>
          <w:sz w:val="24"/>
          <w:szCs w:val="24"/>
          <w:lang w:val="ro-MD"/>
        </w:rPr>
        <w:t>ui</w:t>
      </w:r>
      <w:r w:rsidRPr="009772A3">
        <w:rPr>
          <w:rFonts w:asciiTheme="majorHAnsi" w:hAnsiTheme="majorHAnsi" w:cstheme="majorHAnsi"/>
          <w:sz w:val="24"/>
          <w:szCs w:val="24"/>
          <w:lang w:val="ro-MD"/>
        </w:rPr>
        <w:t xml:space="preserve"> </w:t>
      </w:r>
      <w:r w:rsidR="005F6AB6" w:rsidRPr="009772A3">
        <w:rPr>
          <w:rFonts w:asciiTheme="majorHAnsi" w:hAnsiTheme="majorHAnsi" w:cstheme="majorHAnsi"/>
          <w:sz w:val="24"/>
          <w:szCs w:val="24"/>
          <w:lang w:val="ro-MD"/>
        </w:rPr>
        <w:t>respectiv</w:t>
      </w:r>
      <w:r w:rsidRPr="009772A3">
        <w:rPr>
          <w:rFonts w:asciiTheme="majorHAnsi" w:hAnsiTheme="majorHAnsi" w:cstheme="majorHAnsi"/>
          <w:sz w:val="24"/>
          <w:szCs w:val="24"/>
          <w:lang w:val="ro-MD"/>
        </w:rPr>
        <w:t>.</w:t>
      </w:r>
    </w:p>
    <w:p w14:paraId="7D27C4CF" w14:textId="5B8B2733" w:rsidR="00AD3F35" w:rsidRPr="009772A3" w:rsidRDefault="00AD3F35" w:rsidP="007C7BD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Se relevă că</w:t>
      </w:r>
      <w:r w:rsidR="00EC4A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deși potrivit anunțurilor privind inițierea procedurilor de achiziții</w:t>
      </w:r>
      <w:r w:rsidRPr="009772A3">
        <w:rPr>
          <w:rStyle w:val="FootnoteReference"/>
          <w:rFonts w:asciiTheme="majorHAnsi" w:hAnsiTheme="majorHAnsi" w:cstheme="majorHAnsi"/>
          <w:sz w:val="24"/>
          <w:szCs w:val="24"/>
          <w:lang w:val="ro-MD"/>
        </w:rPr>
        <w:footnoteReference w:id="151"/>
      </w:r>
      <w:r w:rsidRPr="009772A3">
        <w:rPr>
          <w:rFonts w:asciiTheme="majorHAnsi" w:hAnsiTheme="majorHAnsi" w:cstheme="majorHAnsi"/>
          <w:sz w:val="24"/>
          <w:szCs w:val="24"/>
          <w:lang w:val="ro-MD"/>
        </w:rPr>
        <w:t xml:space="preserve"> SA Moldovagaz a stabilit </w:t>
      </w:r>
      <w:r w:rsidR="00434DD0" w:rsidRPr="009772A3">
        <w:rPr>
          <w:rFonts w:asciiTheme="majorHAnsi" w:hAnsiTheme="majorHAnsi" w:cstheme="majorHAnsi"/>
          <w:sz w:val="24"/>
          <w:szCs w:val="24"/>
          <w:lang w:val="ro-MD"/>
        </w:rPr>
        <w:t xml:space="preserve">doar </w:t>
      </w:r>
      <w:r w:rsidRPr="009772A3">
        <w:rPr>
          <w:rFonts w:asciiTheme="majorHAnsi" w:hAnsiTheme="majorHAnsi" w:cstheme="majorHAnsi"/>
          <w:sz w:val="24"/>
          <w:szCs w:val="24"/>
          <w:lang w:val="ro-MD"/>
        </w:rPr>
        <w:t xml:space="preserve">condiția de participare </w:t>
      </w:r>
      <w:r w:rsidRPr="00CF3AD4">
        <w:rPr>
          <w:rFonts w:asciiTheme="majorHAnsi" w:hAnsiTheme="majorHAnsi" w:cstheme="majorHAnsi"/>
          <w:sz w:val="24"/>
          <w:szCs w:val="24"/>
          <w:lang w:val="ro-MD"/>
        </w:rPr>
        <w:t>„ofertantul să dispună de actele necesare permisive (licențele de acreditare, de atestare etc.</w:t>
      </w:r>
      <w:r w:rsidR="007C52F0" w:rsidRPr="00CF3AD4">
        <w:rPr>
          <w:rFonts w:asciiTheme="majorHAnsi" w:hAnsiTheme="majorHAnsi" w:cstheme="majorHAnsi"/>
          <w:sz w:val="24"/>
          <w:szCs w:val="24"/>
          <w:lang w:val="ro-MD"/>
        </w:rPr>
        <w:t>)</w:t>
      </w:r>
      <w:r w:rsidR="00E20777" w:rsidRPr="00CF3AD4">
        <w:rPr>
          <w:rFonts w:asciiTheme="majorHAnsi" w:hAnsiTheme="majorHAnsi" w:cstheme="majorHAnsi"/>
          <w:sz w:val="24"/>
          <w:szCs w:val="24"/>
          <w:lang w:val="ro-MD"/>
        </w:rPr>
        <w:t xml:space="preserve"> </w:t>
      </w:r>
      <w:r w:rsidR="007C52F0" w:rsidRPr="00CF3AD4">
        <w:rPr>
          <w:rFonts w:asciiTheme="majorHAnsi" w:hAnsiTheme="majorHAnsi" w:cstheme="majorHAnsi"/>
          <w:sz w:val="24"/>
          <w:szCs w:val="24"/>
          <w:lang w:val="ro-MD"/>
        </w:rPr>
        <w:t>și de personal calificat</w:t>
      </w:r>
      <w:r w:rsidRPr="00CF3AD4">
        <w:rPr>
          <w:rFonts w:asciiTheme="majorHAnsi" w:hAnsiTheme="majorHAnsi" w:cstheme="majorHAnsi"/>
          <w:sz w:val="24"/>
          <w:szCs w:val="24"/>
          <w:lang w:val="ro-MD"/>
        </w:rPr>
        <w:t xml:space="preserve">”, </w:t>
      </w:r>
      <w:r w:rsidR="00EC4A2E" w:rsidRPr="00CF3AD4">
        <w:rPr>
          <w:rFonts w:asciiTheme="majorHAnsi" w:hAnsiTheme="majorHAnsi" w:cstheme="majorHAnsi"/>
          <w:sz w:val="24"/>
          <w:szCs w:val="24"/>
          <w:lang w:val="ro-MD"/>
        </w:rPr>
        <w:t xml:space="preserve">ca </w:t>
      </w:r>
      <w:r w:rsidRPr="00CF3AD4">
        <w:rPr>
          <w:rFonts w:asciiTheme="majorHAnsi" w:hAnsiTheme="majorHAnsi" w:cstheme="majorHAnsi"/>
          <w:sz w:val="24"/>
          <w:szCs w:val="24"/>
          <w:lang w:val="ro-MD"/>
        </w:rPr>
        <w:t xml:space="preserve">urmare </w:t>
      </w:r>
      <w:r w:rsidR="00EC4A2E" w:rsidRPr="00CF3AD4">
        <w:rPr>
          <w:rFonts w:asciiTheme="majorHAnsi" w:hAnsiTheme="majorHAnsi" w:cstheme="majorHAnsi"/>
          <w:sz w:val="24"/>
          <w:szCs w:val="24"/>
          <w:lang w:val="ro-MD"/>
        </w:rPr>
        <w:t xml:space="preserve">a </w:t>
      </w:r>
      <w:r w:rsidRPr="00CF3AD4">
        <w:rPr>
          <w:rFonts w:asciiTheme="majorHAnsi" w:hAnsiTheme="majorHAnsi" w:cstheme="majorHAnsi"/>
          <w:sz w:val="24"/>
          <w:szCs w:val="24"/>
          <w:lang w:val="ro-MD"/>
        </w:rPr>
        <w:t>analizei obiectului de activitate al ofertanților</w:t>
      </w:r>
      <w:r w:rsidRPr="00160296">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2A7809" w:rsidRPr="009772A3">
        <w:rPr>
          <w:rFonts w:asciiTheme="majorHAnsi" w:hAnsiTheme="majorHAnsi" w:cstheme="majorHAnsi"/>
          <w:sz w:val="24"/>
          <w:szCs w:val="24"/>
          <w:lang w:val="ro-MD"/>
        </w:rPr>
        <w:t xml:space="preserve">se </w:t>
      </w:r>
      <w:r w:rsidRPr="009772A3">
        <w:rPr>
          <w:rFonts w:asciiTheme="majorHAnsi" w:hAnsiTheme="majorHAnsi" w:cstheme="majorHAnsi"/>
          <w:sz w:val="24"/>
          <w:szCs w:val="24"/>
          <w:lang w:val="ro-MD"/>
        </w:rPr>
        <w:t>constată că</w:t>
      </w:r>
      <w:r w:rsidR="00EC4A2E" w:rsidRPr="009772A3">
        <w:rPr>
          <w:rFonts w:asciiTheme="majorHAnsi" w:hAnsiTheme="majorHAnsi" w:cstheme="majorHAnsi"/>
          <w:sz w:val="24"/>
          <w:szCs w:val="24"/>
          <w:lang w:val="ro-MD"/>
        </w:rPr>
        <w:t>,</w:t>
      </w:r>
      <w:r w:rsidR="00434DD0" w:rsidRPr="009772A3">
        <w:rPr>
          <w:rFonts w:asciiTheme="majorHAnsi" w:hAnsiTheme="majorHAnsi" w:cstheme="majorHAnsi"/>
          <w:sz w:val="24"/>
          <w:szCs w:val="24"/>
          <w:lang w:val="ro-MD"/>
        </w:rPr>
        <w:t xml:space="preserve"> din cauza nesolicitării și neconsiderării genului specific de activitate, </w:t>
      </w:r>
      <w:r w:rsidRPr="009772A3">
        <w:rPr>
          <w:rFonts w:asciiTheme="majorHAnsi" w:hAnsiTheme="majorHAnsi" w:cstheme="majorHAnsi"/>
          <w:sz w:val="24"/>
          <w:szCs w:val="24"/>
          <w:lang w:val="ro-MD"/>
        </w:rPr>
        <w:t>niciun ofertant care a participat la procedurile de achiziții în anii 2016</w:t>
      </w:r>
      <w:r w:rsidR="00EC4A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2019 nu a avut ca obiect/gen specific de activitate „Tipărirea şi reproducerea pe suporţi a înregistrărilor”</w:t>
      </w:r>
      <w:r w:rsidR="007C52F0" w:rsidRPr="00CF3AD4">
        <w:rPr>
          <w:rStyle w:val="FootnoteReference"/>
          <w:rFonts w:asciiTheme="majorHAnsi" w:hAnsiTheme="majorHAnsi" w:cstheme="majorHAnsi"/>
          <w:sz w:val="24"/>
          <w:szCs w:val="24"/>
          <w:lang w:val="ro-MD"/>
        </w:rPr>
        <w:footnoteReference w:id="152"/>
      </w:r>
      <w:r w:rsidRPr="00160296">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Procesele</w:t>
      </w:r>
      <w:r w:rsidR="00EC4A2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verbale ale comisiilor de concurs pentru evaluarea ofertelor de achiziție a serviciilor de tipărire nu </w:t>
      </w:r>
      <w:r w:rsidR="00EC4A2E" w:rsidRPr="009772A3">
        <w:rPr>
          <w:rFonts w:asciiTheme="majorHAnsi" w:hAnsiTheme="majorHAnsi" w:cstheme="majorHAnsi"/>
          <w:sz w:val="24"/>
          <w:szCs w:val="24"/>
          <w:lang w:val="ro-MD"/>
        </w:rPr>
        <w:t>consemnează</w:t>
      </w:r>
      <w:r w:rsidRPr="009772A3">
        <w:rPr>
          <w:rFonts w:asciiTheme="majorHAnsi" w:hAnsiTheme="majorHAnsi" w:cstheme="majorHAnsi"/>
          <w:sz w:val="24"/>
          <w:szCs w:val="24"/>
          <w:lang w:val="ro-MD"/>
        </w:rPr>
        <w:t xml:space="preserve"> examinarea și considerarea genului de activitate al ofertanților la atribuirea contractelor de achiziție.</w:t>
      </w:r>
    </w:p>
    <w:p w14:paraId="6B07E781" w14:textId="596CC6EF" w:rsidR="00E958B8" w:rsidRPr="009772A3" w:rsidRDefault="00E958B8" w:rsidP="0068689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explicațiilor SA Moldovagaz, genul de activitate de tipărire nu este supus reglementării prin licențiere, în conformitate cu Legea nr.160/2011, iar din acest considerent, la evaluarea ofertelor Comisia de achiziții nu a respins ofertele agenților economici participanți la licitație, dat fiind că aceștia ar putea efectua servicii de tipărire pe echipamente închiriate.</w:t>
      </w:r>
    </w:p>
    <w:p w14:paraId="5623C6B0" w14:textId="61C7C7BC" w:rsidR="002C74FF" w:rsidRPr="009772A3" w:rsidRDefault="00AD3F35" w:rsidP="007C7BD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Prin urmare, </w:t>
      </w:r>
      <w:r w:rsidR="000A6060" w:rsidRPr="009772A3">
        <w:rPr>
          <w:rFonts w:asciiTheme="majorHAnsi" w:hAnsiTheme="majorHAnsi" w:cstheme="majorHAnsi"/>
          <w:sz w:val="24"/>
          <w:szCs w:val="24"/>
          <w:lang w:val="ro-MD"/>
        </w:rPr>
        <w:t xml:space="preserve">auditul conchide că </w:t>
      </w:r>
      <w:r w:rsidR="002C74FF" w:rsidRPr="009772A3">
        <w:rPr>
          <w:rFonts w:asciiTheme="majorHAnsi" w:hAnsiTheme="majorHAnsi" w:cstheme="majorHAnsi"/>
          <w:sz w:val="24"/>
          <w:szCs w:val="24"/>
          <w:lang w:val="ro-MD"/>
        </w:rPr>
        <w:t>excluderea intermediarilor sau companiilor nespecializate din procesul de tipărire a f</w:t>
      </w:r>
      <w:r w:rsidR="003104AC" w:rsidRPr="009772A3">
        <w:rPr>
          <w:rFonts w:asciiTheme="majorHAnsi" w:hAnsiTheme="majorHAnsi" w:cstheme="majorHAnsi"/>
          <w:sz w:val="24"/>
          <w:szCs w:val="24"/>
          <w:lang w:val="ro-MD"/>
        </w:rPr>
        <w:t>a</w:t>
      </w:r>
      <w:r w:rsidR="002C74FF" w:rsidRPr="009772A3">
        <w:rPr>
          <w:rFonts w:asciiTheme="majorHAnsi" w:hAnsiTheme="majorHAnsi" w:cstheme="majorHAnsi"/>
          <w:sz w:val="24"/>
          <w:szCs w:val="24"/>
          <w:lang w:val="ro-MD"/>
        </w:rPr>
        <w:t>cturilor a condiționat</w:t>
      </w:r>
      <w:r w:rsidR="003104AC" w:rsidRPr="009772A3">
        <w:rPr>
          <w:rFonts w:asciiTheme="majorHAnsi" w:hAnsiTheme="majorHAnsi" w:cstheme="majorHAnsi"/>
          <w:sz w:val="24"/>
          <w:szCs w:val="24"/>
          <w:lang w:val="ro-MD"/>
        </w:rPr>
        <w:t>,</w:t>
      </w:r>
      <w:r w:rsidR="002C74FF" w:rsidRPr="009772A3">
        <w:rPr>
          <w:rFonts w:asciiTheme="majorHAnsi" w:hAnsiTheme="majorHAnsi" w:cstheme="majorHAnsi"/>
          <w:sz w:val="24"/>
          <w:szCs w:val="24"/>
          <w:lang w:val="ro-MD"/>
        </w:rPr>
        <w:t xml:space="preserve"> încep</w:t>
      </w:r>
      <w:r w:rsidR="00154686" w:rsidRPr="009772A3">
        <w:rPr>
          <w:rFonts w:asciiTheme="majorHAnsi" w:hAnsiTheme="majorHAnsi" w:cstheme="majorHAnsi"/>
          <w:sz w:val="24"/>
          <w:szCs w:val="24"/>
          <w:lang w:val="ro-MD"/>
        </w:rPr>
        <w:t>â</w:t>
      </w:r>
      <w:r w:rsidR="002C74FF" w:rsidRPr="009772A3">
        <w:rPr>
          <w:rFonts w:asciiTheme="majorHAnsi" w:hAnsiTheme="majorHAnsi" w:cstheme="majorHAnsi"/>
          <w:sz w:val="24"/>
          <w:szCs w:val="24"/>
          <w:lang w:val="ro-MD"/>
        </w:rPr>
        <w:t>nd cu anul 2020</w:t>
      </w:r>
      <w:r w:rsidR="00154686" w:rsidRPr="009772A3">
        <w:rPr>
          <w:rFonts w:asciiTheme="majorHAnsi" w:hAnsiTheme="majorHAnsi" w:cstheme="majorHAnsi"/>
          <w:sz w:val="24"/>
          <w:szCs w:val="24"/>
          <w:lang w:val="ro-MD"/>
        </w:rPr>
        <w:t>,</w:t>
      </w:r>
      <w:r w:rsidR="002C74FF" w:rsidRPr="009772A3">
        <w:rPr>
          <w:rFonts w:asciiTheme="majorHAnsi" w:hAnsiTheme="majorHAnsi" w:cstheme="majorHAnsi"/>
          <w:sz w:val="24"/>
          <w:szCs w:val="24"/>
          <w:lang w:val="ro-MD"/>
        </w:rPr>
        <w:t xml:space="preserve"> diminuarea cheltuielilor pentru aceste servicii.</w:t>
      </w:r>
    </w:p>
    <w:p w14:paraId="52BB423F" w14:textId="41F1CF83" w:rsidR="001A0B01" w:rsidRPr="009772A3" w:rsidRDefault="00652C21" w:rsidP="007C52F0">
      <w:pPr>
        <w:pStyle w:val="Heading1"/>
        <w:numPr>
          <w:ilvl w:val="3"/>
          <w:numId w:val="2"/>
        </w:numPr>
        <w:spacing w:line="276" w:lineRule="auto"/>
        <w:ind w:left="0" w:firstLine="0"/>
        <w:jc w:val="both"/>
        <w:rPr>
          <w:i/>
          <w:color w:val="auto"/>
          <w:lang w:val="ro-MD"/>
        </w:rPr>
      </w:pPr>
      <w:bookmarkStart w:id="206" w:name="_Toc119496445"/>
      <w:r w:rsidRPr="009772A3">
        <w:rPr>
          <w:rFonts w:cstheme="majorHAnsi"/>
          <w:bCs/>
          <w:iCs/>
          <w:noProof/>
          <w:color w:val="auto"/>
          <w:szCs w:val="24"/>
          <w:shd w:val="clear" w:color="auto" w:fill="FFFFFF"/>
          <w:lang w:val="ro-MD"/>
        </w:rPr>
        <w:t>OSD nu asigură casarea completă a contoarelor care nu au trecut verificarea metrologică</w:t>
      </w:r>
      <w:r w:rsidR="00917054" w:rsidRPr="009772A3">
        <w:rPr>
          <w:i/>
          <w:color w:val="auto"/>
          <w:lang w:val="ro-MD"/>
        </w:rPr>
        <w:t>, denatur</w:t>
      </w:r>
      <w:r w:rsidR="00EC53C9" w:rsidRPr="009772A3">
        <w:rPr>
          <w:i/>
          <w:color w:val="auto"/>
          <w:lang w:val="ro-MD"/>
        </w:rPr>
        <w:t>â</w:t>
      </w:r>
      <w:r w:rsidRPr="009772A3">
        <w:rPr>
          <w:i/>
          <w:color w:val="auto"/>
          <w:lang w:val="ro-MD"/>
        </w:rPr>
        <w:t xml:space="preserve">nd </w:t>
      </w:r>
      <w:r w:rsidR="00917054" w:rsidRPr="009772A3">
        <w:rPr>
          <w:i/>
          <w:color w:val="auto"/>
          <w:lang w:val="ro-MD"/>
        </w:rPr>
        <w:t>valoarea reală a activelor deținute</w:t>
      </w:r>
      <w:r w:rsidR="001A0B01" w:rsidRPr="009772A3">
        <w:rPr>
          <w:i/>
          <w:color w:val="auto"/>
          <w:lang w:val="ro-MD"/>
        </w:rPr>
        <w:t>.</w:t>
      </w:r>
      <w:bookmarkEnd w:id="206"/>
    </w:p>
    <w:p w14:paraId="74E94985" w14:textId="7C0970EA" w:rsidR="001A0B01" w:rsidRPr="009772A3" w:rsidRDefault="001A0B01" w:rsidP="001A0B01">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Potrivit art. 69 alin</w:t>
      </w:r>
      <w:r w:rsidR="00EC53C9"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(5) din Legea nr.108/2016</w:t>
      </w:r>
      <w:r w:rsidR="00917054"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cheltuielile legate de procurarea, instalarea, sigilarea, verificarea metrologică, întreținerea, repararea și înlocuirea echipamentelor de măsurare la consumatorii casnici </w:t>
      </w:r>
      <w:r w:rsidR="00917054" w:rsidRPr="009772A3">
        <w:rPr>
          <w:rFonts w:asciiTheme="majorHAnsi" w:hAnsiTheme="majorHAnsi" w:cstheme="majorHAnsi"/>
          <w:bCs/>
          <w:iCs/>
          <w:noProof/>
          <w:sz w:val="24"/>
          <w:szCs w:val="24"/>
          <w:shd w:val="clear" w:color="auto" w:fill="FFFFFF"/>
          <w:lang w:val="ro-MD"/>
        </w:rPr>
        <w:t xml:space="preserve">sunt </w:t>
      </w:r>
      <w:r w:rsidRPr="009772A3">
        <w:rPr>
          <w:rFonts w:asciiTheme="majorHAnsi" w:hAnsiTheme="majorHAnsi" w:cstheme="majorHAnsi"/>
          <w:bCs/>
          <w:iCs/>
          <w:noProof/>
          <w:sz w:val="24"/>
          <w:szCs w:val="24"/>
          <w:shd w:val="clear" w:color="auto" w:fill="FFFFFF"/>
          <w:lang w:val="ro-MD"/>
        </w:rPr>
        <w:t xml:space="preserve">suportate de către OSD din sursele incluse în tarifele pentru serviciul de distribuție a gazelor naturale. </w:t>
      </w:r>
    </w:p>
    <w:p w14:paraId="34B65CF7" w14:textId="55A3F5C9" w:rsidR="001A0B01" w:rsidRPr="009772A3" w:rsidRDefault="001A0B01" w:rsidP="001A0B01">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Conform pct. 6 din HANRE nr. 293 din 08.07</w:t>
      </w:r>
      <w:r w:rsidR="00917054"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2008 cu privire la instalarea echipamentului de măsurare a gazelor naturale</w:t>
      </w:r>
      <w:r w:rsidR="00EC53C9"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contoarele instalate pentru prima data, inclusiv cheltuielile de instalare a acestora</w:t>
      </w:r>
      <w:r w:rsidR="00EC53C9"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se înregistrează în componența cheltuielilor anticipate pe termen lung</w:t>
      </w:r>
      <w:r w:rsidRPr="009772A3">
        <w:rPr>
          <w:rFonts w:asciiTheme="majorHAnsi" w:hAnsiTheme="majorHAnsi" w:cstheme="majorHAnsi"/>
          <w:bCs/>
          <w:iCs/>
          <w:noProof/>
          <w:sz w:val="24"/>
          <w:szCs w:val="24"/>
          <w:shd w:val="clear" w:color="auto" w:fill="FFFFFF"/>
          <w:vertAlign w:val="superscript"/>
          <w:lang w:val="ro-MD"/>
        </w:rPr>
        <w:footnoteReference w:id="153"/>
      </w:r>
      <w:r w:rsidRPr="009772A3">
        <w:rPr>
          <w:rFonts w:asciiTheme="majorHAnsi" w:hAnsiTheme="majorHAnsi" w:cstheme="majorHAnsi"/>
          <w:bCs/>
          <w:iCs/>
          <w:noProof/>
          <w:sz w:val="24"/>
          <w:szCs w:val="24"/>
          <w:shd w:val="clear" w:color="auto" w:fill="FFFFFF"/>
          <w:lang w:val="ro-MD"/>
        </w:rPr>
        <w:t>, ulterior după verificarea metrologică la instalarea acestora, cheltuielile de instalare se reflectă în componența costurilor/cheltuielilor perioadei de gestiune.</w:t>
      </w:r>
    </w:p>
    <w:p w14:paraId="53194E10" w14:textId="6644D654" w:rsidR="001A0B01" w:rsidRPr="009772A3" w:rsidRDefault="001A0B01" w:rsidP="001A0B01">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 menționat că</w:t>
      </w:r>
      <w:r w:rsidR="006C16CE"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contoarele </w:t>
      </w:r>
      <w:r w:rsidR="00917054" w:rsidRPr="009772A3">
        <w:rPr>
          <w:rFonts w:asciiTheme="majorHAnsi" w:hAnsiTheme="majorHAnsi" w:cstheme="majorHAnsi"/>
          <w:bCs/>
          <w:iCs/>
          <w:noProof/>
          <w:sz w:val="24"/>
          <w:szCs w:val="24"/>
          <w:shd w:val="clear" w:color="auto" w:fill="FFFFFF"/>
          <w:lang w:val="ro-MD"/>
        </w:rPr>
        <w:t xml:space="preserve">care </w:t>
      </w:r>
      <w:r w:rsidRPr="009772A3">
        <w:rPr>
          <w:rFonts w:asciiTheme="majorHAnsi" w:hAnsiTheme="majorHAnsi" w:cstheme="majorHAnsi"/>
          <w:bCs/>
          <w:iCs/>
          <w:noProof/>
          <w:sz w:val="24"/>
          <w:szCs w:val="24"/>
          <w:shd w:val="clear" w:color="auto" w:fill="FFFFFF"/>
          <w:lang w:val="ro-MD"/>
        </w:rPr>
        <w:t>nu au trecut verificarea metrologică, se depozitează și se înregistrează în componența materialelor la valoarea neamortizată</w:t>
      </w:r>
      <w:r w:rsidR="006C16CE"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w:t>
      </w:r>
      <w:r w:rsidR="006C16CE" w:rsidRPr="009772A3">
        <w:rPr>
          <w:rFonts w:asciiTheme="majorHAnsi" w:hAnsiTheme="majorHAnsi" w:cstheme="majorHAnsi"/>
          <w:bCs/>
          <w:iCs/>
          <w:noProof/>
          <w:sz w:val="24"/>
          <w:szCs w:val="24"/>
          <w:shd w:val="clear" w:color="auto" w:fill="FFFFFF"/>
          <w:lang w:val="ro-MD"/>
        </w:rPr>
        <w:t>P</w:t>
      </w:r>
      <w:r w:rsidRPr="009772A3">
        <w:rPr>
          <w:rFonts w:asciiTheme="majorHAnsi" w:hAnsiTheme="majorHAnsi" w:cstheme="majorHAnsi"/>
          <w:bCs/>
          <w:iCs/>
          <w:noProof/>
          <w:sz w:val="24"/>
          <w:szCs w:val="24"/>
          <w:shd w:val="clear" w:color="auto" w:fill="FFFFFF"/>
          <w:lang w:val="ro-MD"/>
        </w:rPr>
        <w:t>rin urmare</w:t>
      </w:r>
      <w:r w:rsidR="006C16CE"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o parte din cheltuielile ce au fost suportate la instalarea acestora se reflectă în componența materialelor, ceea ce majorează valoarea </w:t>
      </w:r>
      <w:r w:rsidR="006C16CE" w:rsidRPr="009772A3">
        <w:rPr>
          <w:rFonts w:asciiTheme="majorHAnsi" w:hAnsiTheme="majorHAnsi" w:cstheme="majorHAnsi"/>
          <w:bCs/>
          <w:iCs/>
          <w:noProof/>
          <w:sz w:val="24"/>
          <w:szCs w:val="24"/>
          <w:shd w:val="clear" w:color="auto" w:fill="FFFFFF"/>
          <w:lang w:val="ro-MD"/>
        </w:rPr>
        <w:t>lor</w:t>
      </w:r>
      <w:r w:rsidRPr="009772A3">
        <w:rPr>
          <w:rFonts w:asciiTheme="majorHAnsi" w:hAnsiTheme="majorHAnsi" w:cstheme="majorHAnsi"/>
          <w:bCs/>
          <w:iCs/>
          <w:noProof/>
          <w:sz w:val="24"/>
          <w:szCs w:val="24"/>
          <w:shd w:val="clear" w:color="auto" w:fill="FFFFFF"/>
          <w:lang w:val="ro-MD"/>
        </w:rPr>
        <w:t xml:space="preserve">. </w:t>
      </w:r>
    </w:p>
    <w:p w14:paraId="0CD4AFF4" w14:textId="4D209FB1" w:rsidR="001A0B01" w:rsidRPr="009772A3" w:rsidRDefault="00917054" w:rsidP="001A0B01">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Totodată, OSD nu asigură casarea completă a contoarelor care nu au trecut verificarea metrologică. Astfel, în perioada 2017-2021 </w:t>
      </w:r>
      <w:r w:rsidR="001A0B01" w:rsidRPr="009772A3">
        <w:rPr>
          <w:rFonts w:asciiTheme="majorHAnsi" w:hAnsiTheme="majorHAnsi" w:cstheme="majorHAnsi"/>
          <w:bCs/>
          <w:iCs/>
          <w:noProof/>
          <w:sz w:val="24"/>
          <w:szCs w:val="24"/>
          <w:shd w:val="clear" w:color="auto" w:fill="FFFFFF"/>
          <w:lang w:val="ro-MD"/>
        </w:rPr>
        <w:t>SRL „Chișinău-gaz” a</w:t>
      </w:r>
      <w:r w:rsidRPr="009772A3">
        <w:rPr>
          <w:rFonts w:asciiTheme="majorHAnsi" w:hAnsiTheme="majorHAnsi" w:cstheme="majorHAnsi"/>
          <w:bCs/>
          <w:iCs/>
          <w:noProof/>
          <w:sz w:val="24"/>
          <w:szCs w:val="24"/>
          <w:shd w:val="clear" w:color="auto" w:fill="FFFFFF"/>
          <w:lang w:val="ro-MD"/>
        </w:rPr>
        <w:t xml:space="preserve"> </w:t>
      </w:r>
      <w:r w:rsidR="001A0B01" w:rsidRPr="009772A3">
        <w:rPr>
          <w:rFonts w:asciiTheme="majorHAnsi" w:hAnsiTheme="majorHAnsi" w:cstheme="majorHAnsi"/>
          <w:bCs/>
          <w:iCs/>
          <w:noProof/>
          <w:sz w:val="24"/>
          <w:szCs w:val="24"/>
          <w:shd w:val="clear" w:color="auto" w:fill="FFFFFF"/>
          <w:lang w:val="ro-MD"/>
        </w:rPr>
        <w:t>înregistrat</w:t>
      </w:r>
      <w:r w:rsidR="00320C8E" w:rsidRPr="009772A3">
        <w:rPr>
          <w:rFonts w:asciiTheme="majorHAnsi" w:hAnsiTheme="majorHAnsi" w:cstheme="majorHAnsi"/>
          <w:bCs/>
          <w:iCs/>
          <w:noProof/>
          <w:sz w:val="24"/>
          <w:szCs w:val="24"/>
          <w:shd w:val="clear" w:color="auto" w:fill="FFFFFF"/>
          <w:lang w:val="ro-MD"/>
        </w:rPr>
        <w:t xml:space="preserve"> </w:t>
      </w:r>
      <w:r w:rsidR="001A0B01" w:rsidRPr="009772A3">
        <w:rPr>
          <w:rFonts w:asciiTheme="majorHAnsi" w:hAnsiTheme="majorHAnsi" w:cstheme="majorHAnsi"/>
          <w:bCs/>
          <w:iCs/>
          <w:noProof/>
          <w:sz w:val="24"/>
          <w:szCs w:val="24"/>
          <w:shd w:val="clear" w:color="auto" w:fill="FFFFFF"/>
          <w:lang w:val="ro-MD"/>
        </w:rPr>
        <w:t>20</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 xml:space="preserve">094 </w:t>
      </w:r>
      <w:r w:rsidR="006C16CE" w:rsidRPr="009772A3">
        <w:rPr>
          <w:rFonts w:asciiTheme="majorHAnsi" w:hAnsiTheme="majorHAnsi" w:cstheme="majorHAnsi"/>
          <w:bCs/>
          <w:iCs/>
          <w:noProof/>
          <w:sz w:val="24"/>
          <w:szCs w:val="24"/>
          <w:shd w:val="clear" w:color="auto" w:fill="FFFFFF"/>
          <w:lang w:val="ro-MD"/>
        </w:rPr>
        <w:t xml:space="preserve">de </w:t>
      </w:r>
      <w:r w:rsidR="001A0B01" w:rsidRPr="009772A3">
        <w:rPr>
          <w:rFonts w:asciiTheme="majorHAnsi" w:hAnsiTheme="majorHAnsi" w:cstheme="majorHAnsi"/>
          <w:bCs/>
          <w:iCs/>
          <w:noProof/>
          <w:sz w:val="24"/>
          <w:szCs w:val="24"/>
          <w:shd w:val="clear" w:color="auto" w:fill="FFFFFF"/>
          <w:lang w:val="ro-MD"/>
        </w:rPr>
        <w:t>contoare</w:t>
      </w:r>
      <w:r w:rsidR="00320C8E" w:rsidRPr="009772A3">
        <w:rPr>
          <w:rFonts w:asciiTheme="majorHAnsi" w:hAnsiTheme="majorHAnsi" w:cstheme="majorHAnsi"/>
          <w:bCs/>
          <w:iCs/>
          <w:noProof/>
          <w:sz w:val="24"/>
          <w:szCs w:val="24"/>
          <w:shd w:val="clear" w:color="auto" w:fill="FFFFFF"/>
          <w:lang w:val="ro-MD"/>
        </w:rPr>
        <w:t xml:space="preserve"> </w:t>
      </w:r>
      <w:r w:rsidR="001A0B01" w:rsidRPr="009772A3">
        <w:rPr>
          <w:rFonts w:asciiTheme="majorHAnsi" w:hAnsiTheme="majorHAnsi" w:cstheme="majorHAnsi"/>
          <w:bCs/>
          <w:iCs/>
          <w:noProof/>
          <w:sz w:val="24"/>
          <w:szCs w:val="24"/>
          <w:shd w:val="clear" w:color="auto" w:fill="FFFFFF"/>
          <w:lang w:val="ro-MD"/>
        </w:rPr>
        <w:t>care nu au trecut verificarea metrologică, la valoarea de 10</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 xml:space="preserve">953,54 mii lei, </w:t>
      </w:r>
      <w:r w:rsidR="00320C8E" w:rsidRPr="009772A3">
        <w:rPr>
          <w:rFonts w:asciiTheme="majorHAnsi" w:hAnsiTheme="majorHAnsi" w:cstheme="majorHAnsi"/>
          <w:bCs/>
          <w:iCs/>
          <w:noProof/>
          <w:sz w:val="24"/>
          <w:szCs w:val="24"/>
          <w:shd w:val="clear" w:color="auto" w:fill="FFFFFF"/>
          <w:lang w:val="ro-MD"/>
        </w:rPr>
        <w:t xml:space="preserve">din care </w:t>
      </w:r>
      <w:r w:rsidR="001A0B01" w:rsidRPr="009772A3">
        <w:rPr>
          <w:rFonts w:asciiTheme="majorHAnsi" w:hAnsiTheme="majorHAnsi" w:cstheme="majorHAnsi"/>
          <w:bCs/>
          <w:iCs/>
          <w:noProof/>
          <w:sz w:val="24"/>
          <w:szCs w:val="24"/>
          <w:shd w:val="clear" w:color="auto" w:fill="FFFFFF"/>
          <w:lang w:val="ro-MD"/>
        </w:rPr>
        <w:t xml:space="preserve">au fost casate </w:t>
      </w:r>
      <w:r w:rsidR="00320C8E" w:rsidRPr="009772A3">
        <w:rPr>
          <w:rFonts w:asciiTheme="majorHAnsi" w:hAnsiTheme="majorHAnsi" w:cstheme="majorHAnsi"/>
          <w:bCs/>
          <w:iCs/>
          <w:noProof/>
          <w:sz w:val="24"/>
          <w:szCs w:val="24"/>
          <w:shd w:val="clear" w:color="auto" w:fill="FFFFFF"/>
          <w:lang w:val="ro-MD"/>
        </w:rPr>
        <w:t xml:space="preserve">la fier uzat </w:t>
      </w:r>
      <w:r w:rsidR="001A0B01" w:rsidRPr="009772A3">
        <w:rPr>
          <w:rFonts w:asciiTheme="majorHAnsi" w:hAnsiTheme="majorHAnsi" w:cstheme="majorHAnsi"/>
          <w:bCs/>
          <w:iCs/>
          <w:noProof/>
          <w:sz w:val="24"/>
          <w:szCs w:val="24"/>
          <w:shd w:val="clear" w:color="auto" w:fill="FFFFFF"/>
          <w:lang w:val="ro-MD"/>
        </w:rPr>
        <w:t>7</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006 contoare la valoarea de 3</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 xml:space="preserve">932,91 mii lei. Astfel, la situația din 31.12.2021, în evidența contabilă a SRL „Chișinău-gaz” au fost înregistrate </w:t>
      </w:r>
      <w:r w:rsidR="00320C8E" w:rsidRPr="009772A3">
        <w:rPr>
          <w:rFonts w:asciiTheme="majorHAnsi" w:hAnsiTheme="majorHAnsi" w:cstheme="majorHAnsi"/>
          <w:bCs/>
          <w:iCs/>
          <w:noProof/>
          <w:sz w:val="24"/>
          <w:szCs w:val="24"/>
          <w:shd w:val="clear" w:color="auto" w:fill="FFFFFF"/>
          <w:lang w:val="ro-MD"/>
        </w:rPr>
        <w:t xml:space="preserve">ca materiale </w:t>
      </w:r>
      <w:r w:rsidR="001A0B01" w:rsidRPr="009772A3">
        <w:rPr>
          <w:rFonts w:asciiTheme="majorHAnsi" w:hAnsiTheme="majorHAnsi" w:cstheme="majorHAnsi"/>
          <w:bCs/>
          <w:iCs/>
          <w:noProof/>
          <w:sz w:val="24"/>
          <w:szCs w:val="24"/>
          <w:shd w:val="clear" w:color="auto" w:fill="FFFFFF"/>
          <w:lang w:val="ro-MD"/>
        </w:rPr>
        <w:t>13</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 xml:space="preserve">088 </w:t>
      </w:r>
      <w:r w:rsidR="006C16CE" w:rsidRPr="009772A3">
        <w:rPr>
          <w:rFonts w:asciiTheme="majorHAnsi" w:hAnsiTheme="majorHAnsi" w:cstheme="majorHAnsi"/>
          <w:bCs/>
          <w:iCs/>
          <w:noProof/>
          <w:sz w:val="24"/>
          <w:szCs w:val="24"/>
          <w:shd w:val="clear" w:color="auto" w:fill="FFFFFF"/>
          <w:lang w:val="ro-MD"/>
        </w:rPr>
        <w:t xml:space="preserve">de </w:t>
      </w:r>
      <w:r w:rsidR="001A0B01" w:rsidRPr="009772A3">
        <w:rPr>
          <w:rFonts w:asciiTheme="majorHAnsi" w:hAnsiTheme="majorHAnsi" w:cstheme="majorHAnsi"/>
          <w:bCs/>
          <w:iCs/>
          <w:noProof/>
          <w:sz w:val="24"/>
          <w:szCs w:val="24"/>
          <w:shd w:val="clear" w:color="auto" w:fill="FFFFFF"/>
          <w:lang w:val="ro-MD"/>
        </w:rPr>
        <w:t>contoare la valoarea de 7</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020,64 mii lei</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 xml:space="preserve"> care nu au trecut verificarea metrologică și</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 xml:space="preserve"> respectiv</w:t>
      </w:r>
      <w:r w:rsidR="006C16CE" w:rsidRPr="009772A3">
        <w:rPr>
          <w:rFonts w:asciiTheme="majorHAnsi" w:hAnsiTheme="majorHAnsi" w:cstheme="majorHAnsi"/>
          <w:bCs/>
          <w:iCs/>
          <w:noProof/>
          <w:sz w:val="24"/>
          <w:szCs w:val="24"/>
          <w:shd w:val="clear" w:color="auto" w:fill="FFFFFF"/>
          <w:lang w:val="ro-MD"/>
        </w:rPr>
        <w:t>,</w:t>
      </w:r>
      <w:r w:rsidR="001A0B01" w:rsidRPr="009772A3">
        <w:rPr>
          <w:rFonts w:asciiTheme="majorHAnsi" w:hAnsiTheme="majorHAnsi" w:cstheme="majorHAnsi"/>
          <w:bCs/>
          <w:iCs/>
          <w:noProof/>
          <w:sz w:val="24"/>
          <w:szCs w:val="24"/>
          <w:shd w:val="clear" w:color="auto" w:fill="FFFFFF"/>
          <w:lang w:val="ro-MD"/>
        </w:rPr>
        <w:t xml:space="preserve"> urmează a fi decontate și trecute la cheltuieli.</w:t>
      </w:r>
      <w:r w:rsidR="00320C8E" w:rsidRPr="009772A3">
        <w:rPr>
          <w:rFonts w:asciiTheme="majorHAnsi" w:hAnsiTheme="majorHAnsi" w:cstheme="majorHAnsi"/>
          <w:bCs/>
          <w:iCs/>
          <w:noProof/>
          <w:sz w:val="24"/>
          <w:szCs w:val="24"/>
          <w:shd w:val="clear" w:color="auto" w:fill="FFFFFF"/>
          <w:lang w:val="ro-MD"/>
        </w:rPr>
        <w:t xml:space="preserve"> </w:t>
      </w:r>
    </w:p>
    <w:p w14:paraId="7A2B485C" w14:textId="14413D88" w:rsidR="00FC08EC" w:rsidRPr="009772A3" w:rsidRDefault="00FC08EC" w:rsidP="006940F1">
      <w:pPr>
        <w:pStyle w:val="Heading1"/>
        <w:numPr>
          <w:ilvl w:val="3"/>
          <w:numId w:val="2"/>
        </w:numPr>
        <w:spacing w:line="276" w:lineRule="auto"/>
        <w:ind w:left="0" w:firstLine="0"/>
        <w:jc w:val="both"/>
        <w:rPr>
          <w:i/>
          <w:color w:val="auto"/>
          <w:lang w:val="ro-MD"/>
        </w:rPr>
      </w:pPr>
      <w:bookmarkStart w:id="207" w:name="_Toc119496446"/>
      <w:r w:rsidRPr="009772A3">
        <w:rPr>
          <w:i/>
          <w:color w:val="auto"/>
          <w:lang w:val="ro-MD"/>
        </w:rPr>
        <w:t>Cheltuielile de cercetare aferente unui studiu geologo</w:t>
      </w:r>
      <w:r w:rsidR="006C16CE" w:rsidRPr="009772A3">
        <w:rPr>
          <w:i/>
          <w:color w:val="auto"/>
          <w:lang w:val="ro-MD"/>
        </w:rPr>
        <w:t>-</w:t>
      </w:r>
      <w:r w:rsidRPr="009772A3">
        <w:rPr>
          <w:i/>
          <w:color w:val="auto"/>
          <w:lang w:val="ro-MD"/>
        </w:rPr>
        <w:t xml:space="preserve">geofizic au fost </w:t>
      </w:r>
      <w:r w:rsidR="00565EA6" w:rsidRPr="009772A3">
        <w:rPr>
          <w:i/>
          <w:color w:val="auto"/>
          <w:lang w:val="ro-MD"/>
        </w:rPr>
        <w:t>trecute la pierderi</w:t>
      </w:r>
      <w:r w:rsidR="00C73061" w:rsidRPr="009772A3">
        <w:rPr>
          <w:i/>
          <w:color w:val="auto"/>
          <w:lang w:val="ro-MD"/>
        </w:rPr>
        <w:t>, fără a se asigura posibilitatea utilizării ulterioare a rezultatelor acestuia</w:t>
      </w:r>
      <w:r w:rsidR="00565EA6" w:rsidRPr="009772A3">
        <w:rPr>
          <w:i/>
          <w:color w:val="auto"/>
          <w:lang w:val="ro-MD"/>
        </w:rPr>
        <w:t>.</w:t>
      </w:r>
      <w:bookmarkEnd w:id="207"/>
      <w:r w:rsidRPr="009772A3">
        <w:rPr>
          <w:i/>
          <w:color w:val="auto"/>
          <w:lang w:val="ro-MD"/>
        </w:rPr>
        <w:t xml:space="preserve"> </w:t>
      </w:r>
    </w:p>
    <w:p w14:paraId="535535E0" w14:textId="60EDB8C2" w:rsidR="00825830" w:rsidRPr="009772A3" w:rsidRDefault="00825830" w:rsidP="00825830">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sz w:val="24"/>
          <w:szCs w:val="24"/>
          <w:lang w:val="ro-MD"/>
        </w:rPr>
        <w:t xml:space="preserve">În </w:t>
      </w:r>
      <w:r w:rsidRPr="009772A3">
        <w:rPr>
          <w:rFonts w:asciiTheme="majorHAnsi" w:hAnsiTheme="majorHAnsi" w:cstheme="majorHAnsi"/>
          <w:bCs/>
          <w:iCs/>
          <w:noProof/>
          <w:sz w:val="24"/>
          <w:szCs w:val="24"/>
          <w:shd w:val="clear" w:color="auto" w:fill="FFFFFF"/>
          <w:lang w:val="ro-MD"/>
        </w:rPr>
        <w:t xml:space="preserve">baza prevederilor Planului de activitate al Guvernului pentru anul 2010, aprobat prin HG nr. 194 din 18.03.2010, Institutul de Geologie și Seismologie al Academiei de Științe </w:t>
      </w:r>
      <w:r w:rsidR="00DD58A0" w:rsidRPr="009772A3">
        <w:rPr>
          <w:rFonts w:asciiTheme="majorHAnsi" w:hAnsiTheme="majorHAnsi" w:cstheme="majorHAnsi"/>
          <w:bCs/>
          <w:iCs/>
          <w:noProof/>
          <w:sz w:val="24"/>
          <w:szCs w:val="24"/>
          <w:shd w:val="clear" w:color="auto" w:fill="FFFFFF"/>
          <w:lang w:val="ro-MD"/>
        </w:rPr>
        <w:t xml:space="preserve">a Moldovei </w:t>
      </w:r>
      <w:r w:rsidRPr="009772A3">
        <w:rPr>
          <w:rFonts w:asciiTheme="majorHAnsi" w:hAnsiTheme="majorHAnsi" w:cstheme="majorHAnsi"/>
          <w:bCs/>
          <w:iCs/>
          <w:noProof/>
          <w:sz w:val="24"/>
          <w:szCs w:val="24"/>
          <w:shd w:val="clear" w:color="auto" w:fill="FFFFFF"/>
          <w:lang w:val="ro-MD"/>
        </w:rPr>
        <w:t>a propu</w:t>
      </w:r>
      <w:r w:rsidR="00DD58A0" w:rsidRPr="009772A3">
        <w:rPr>
          <w:rFonts w:asciiTheme="majorHAnsi" w:hAnsiTheme="majorHAnsi" w:cstheme="majorHAnsi"/>
          <w:bCs/>
          <w:iCs/>
          <w:noProof/>
          <w:sz w:val="24"/>
          <w:szCs w:val="24"/>
          <w:shd w:val="clear" w:color="auto" w:fill="FFFFFF"/>
          <w:lang w:val="ro-MD"/>
        </w:rPr>
        <w:t>s</w:t>
      </w:r>
      <w:r w:rsidRPr="009772A3">
        <w:rPr>
          <w:rFonts w:asciiTheme="majorHAnsi" w:hAnsiTheme="majorHAnsi" w:cstheme="majorHAnsi"/>
          <w:bCs/>
          <w:iCs/>
          <w:noProof/>
          <w:sz w:val="24"/>
          <w:szCs w:val="24"/>
          <w:shd w:val="clear" w:color="auto" w:fill="FFFFFF"/>
          <w:lang w:val="ro-MD"/>
        </w:rPr>
        <w:t xml:space="preserve"> SA „Moldovagaz” de a finanța un program de studiu geologo-geofizic al teritoriului de sud al Republicii Moldova</w:t>
      </w:r>
      <w:r w:rsidR="00DD58A0"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în scopul indentificării structurilor locale posibile pentru crearea rezervoarelor de gaze </w:t>
      </w:r>
      <w:r w:rsidR="00ED503B" w:rsidRPr="009772A3">
        <w:rPr>
          <w:rFonts w:asciiTheme="majorHAnsi" w:hAnsiTheme="majorHAnsi" w:cstheme="majorHAnsi"/>
          <w:bCs/>
          <w:iCs/>
          <w:noProof/>
          <w:sz w:val="24"/>
          <w:szCs w:val="24"/>
          <w:shd w:val="clear" w:color="auto" w:fill="FFFFFF"/>
          <w:lang w:val="ro-MD"/>
        </w:rPr>
        <w:t>natural</w:t>
      </w:r>
      <w:r w:rsidR="00DD58A0" w:rsidRPr="009772A3">
        <w:rPr>
          <w:rFonts w:asciiTheme="majorHAnsi" w:hAnsiTheme="majorHAnsi" w:cstheme="majorHAnsi"/>
          <w:bCs/>
          <w:iCs/>
          <w:noProof/>
          <w:sz w:val="24"/>
          <w:szCs w:val="24"/>
          <w:shd w:val="clear" w:color="auto" w:fill="FFFFFF"/>
          <w:lang w:val="ro-MD"/>
        </w:rPr>
        <w:t>e</w:t>
      </w:r>
      <w:r w:rsidR="00ED503B" w:rsidRPr="009772A3">
        <w:rPr>
          <w:rFonts w:asciiTheme="majorHAnsi" w:hAnsiTheme="majorHAnsi" w:cstheme="majorHAnsi"/>
          <w:bCs/>
          <w:iCs/>
          <w:noProof/>
          <w:sz w:val="24"/>
          <w:szCs w:val="24"/>
          <w:shd w:val="clear" w:color="auto" w:fill="FFFFFF"/>
          <w:lang w:val="ro-MD"/>
        </w:rPr>
        <w:t xml:space="preserve">, </w:t>
      </w:r>
      <w:r w:rsidR="00DD58A0" w:rsidRPr="009772A3">
        <w:rPr>
          <w:rFonts w:asciiTheme="majorHAnsi" w:hAnsiTheme="majorHAnsi" w:cstheme="majorHAnsi"/>
          <w:bCs/>
          <w:iCs/>
          <w:noProof/>
          <w:sz w:val="24"/>
          <w:szCs w:val="24"/>
          <w:shd w:val="clear" w:color="auto" w:fill="FFFFFF"/>
          <w:lang w:val="ro-MD"/>
        </w:rPr>
        <w:t xml:space="preserve">a cărui </w:t>
      </w:r>
      <w:r w:rsidR="00ED503B" w:rsidRPr="009772A3">
        <w:rPr>
          <w:rFonts w:asciiTheme="majorHAnsi" w:hAnsiTheme="majorHAnsi" w:cstheme="majorHAnsi"/>
          <w:bCs/>
          <w:iCs/>
          <w:noProof/>
          <w:sz w:val="24"/>
          <w:szCs w:val="24"/>
          <w:shd w:val="clear" w:color="auto" w:fill="FFFFFF"/>
          <w:lang w:val="ro-MD"/>
        </w:rPr>
        <w:t xml:space="preserve">finanțare a fost aprobată </w:t>
      </w:r>
      <w:r w:rsidR="005D669E" w:rsidRPr="009772A3">
        <w:rPr>
          <w:rFonts w:asciiTheme="majorHAnsi" w:hAnsiTheme="majorHAnsi" w:cstheme="majorHAnsi"/>
          <w:bCs/>
          <w:iCs/>
          <w:noProof/>
          <w:sz w:val="24"/>
          <w:szCs w:val="24"/>
          <w:shd w:val="clear" w:color="auto" w:fill="FFFFFF"/>
          <w:lang w:val="ro-MD"/>
        </w:rPr>
        <w:t>l</w:t>
      </w:r>
      <w:r w:rsidR="00ED503B" w:rsidRPr="009772A3">
        <w:rPr>
          <w:rFonts w:asciiTheme="majorHAnsi" w:hAnsiTheme="majorHAnsi" w:cstheme="majorHAnsi"/>
          <w:bCs/>
          <w:iCs/>
          <w:noProof/>
          <w:sz w:val="24"/>
          <w:szCs w:val="24"/>
          <w:shd w:val="clear" w:color="auto" w:fill="FFFFFF"/>
          <w:lang w:val="ro-MD"/>
        </w:rPr>
        <w:t xml:space="preserve">a ședința Consiliului de </w:t>
      </w:r>
      <w:r w:rsidR="00DD58A0" w:rsidRPr="009772A3">
        <w:rPr>
          <w:rFonts w:asciiTheme="majorHAnsi" w:hAnsiTheme="majorHAnsi" w:cstheme="majorHAnsi"/>
          <w:bCs/>
          <w:iCs/>
          <w:noProof/>
          <w:sz w:val="24"/>
          <w:szCs w:val="24"/>
          <w:shd w:val="clear" w:color="auto" w:fill="FFFFFF"/>
          <w:lang w:val="ro-MD"/>
        </w:rPr>
        <w:t>a</w:t>
      </w:r>
      <w:r w:rsidR="00ED503B" w:rsidRPr="009772A3">
        <w:rPr>
          <w:rFonts w:asciiTheme="majorHAnsi" w:hAnsiTheme="majorHAnsi" w:cstheme="majorHAnsi"/>
          <w:bCs/>
          <w:iCs/>
          <w:noProof/>
          <w:sz w:val="24"/>
          <w:szCs w:val="24"/>
          <w:shd w:val="clear" w:color="auto" w:fill="FFFFFF"/>
          <w:lang w:val="ro-MD"/>
        </w:rPr>
        <w:t xml:space="preserve">dministrație al SA „Moldovagaz” din 22.07.2010. </w:t>
      </w:r>
    </w:p>
    <w:p w14:paraId="78C0B16E" w14:textId="180CA6C1" w:rsidR="00825830" w:rsidRPr="009772A3" w:rsidRDefault="00ED503B" w:rsidP="004F4116">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După finalizarea studiului, pentru care SA Moldovagaz a suportat cheltuieli în anii 2010</w:t>
      </w:r>
      <w:r w:rsidR="00DD58A0"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2013 de 966,0 mii lei, deși au fost identificate locații potrivite pentru stocarea gazelor naturale, </w:t>
      </w:r>
      <w:r w:rsidR="00DD58A0" w:rsidRPr="009772A3">
        <w:rPr>
          <w:rFonts w:asciiTheme="majorHAnsi" w:hAnsiTheme="majorHAnsi" w:cstheme="majorHAnsi"/>
          <w:bCs/>
          <w:iCs/>
          <w:noProof/>
          <w:sz w:val="24"/>
          <w:szCs w:val="24"/>
          <w:shd w:val="clear" w:color="auto" w:fill="FFFFFF"/>
          <w:lang w:val="ro-MD"/>
        </w:rPr>
        <w:t xml:space="preserve"> </w:t>
      </w:r>
      <w:r w:rsidRPr="009772A3">
        <w:rPr>
          <w:rFonts w:asciiTheme="majorHAnsi" w:hAnsiTheme="majorHAnsi" w:cstheme="majorHAnsi"/>
          <w:bCs/>
          <w:iCs/>
          <w:noProof/>
          <w:sz w:val="24"/>
          <w:szCs w:val="24"/>
          <w:shd w:val="clear" w:color="auto" w:fill="FFFFFF"/>
          <w:lang w:val="ro-MD"/>
        </w:rPr>
        <w:t xml:space="preserve">din cauza capacităților </w:t>
      </w:r>
      <w:r w:rsidR="005D669E" w:rsidRPr="009772A3">
        <w:rPr>
          <w:rFonts w:asciiTheme="majorHAnsi" w:hAnsiTheme="majorHAnsi" w:cstheme="majorHAnsi"/>
          <w:bCs/>
          <w:iCs/>
          <w:noProof/>
          <w:sz w:val="24"/>
          <w:szCs w:val="24"/>
          <w:shd w:val="clear" w:color="auto" w:fill="FFFFFF"/>
          <w:lang w:val="ro-MD"/>
        </w:rPr>
        <w:t xml:space="preserve">de stocare </w:t>
      </w:r>
      <w:r w:rsidRPr="009772A3">
        <w:rPr>
          <w:rFonts w:asciiTheme="majorHAnsi" w:hAnsiTheme="majorHAnsi" w:cstheme="majorHAnsi"/>
          <w:bCs/>
          <w:iCs/>
          <w:noProof/>
          <w:sz w:val="24"/>
          <w:szCs w:val="24"/>
          <w:shd w:val="clear" w:color="auto" w:fill="FFFFFF"/>
          <w:lang w:val="ro-MD"/>
        </w:rPr>
        <w:t xml:space="preserve">și costurilor </w:t>
      </w:r>
      <w:r w:rsidR="00F10DA5" w:rsidRPr="009772A3">
        <w:rPr>
          <w:rFonts w:asciiTheme="majorHAnsi" w:hAnsiTheme="majorHAnsi" w:cstheme="majorHAnsi"/>
          <w:bCs/>
          <w:iCs/>
          <w:noProof/>
          <w:sz w:val="24"/>
          <w:szCs w:val="24"/>
          <w:shd w:val="clear" w:color="auto" w:fill="FFFFFF"/>
          <w:lang w:val="ro-MD"/>
        </w:rPr>
        <w:t>exa</w:t>
      </w:r>
      <w:r w:rsidR="005D669E" w:rsidRPr="009772A3">
        <w:rPr>
          <w:rFonts w:asciiTheme="majorHAnsi" w:hAnsiTheme="majorHAnsi" w:cstheme="majorHAnsi"/>
          <w:bCs/>
          <w:iCs/>
          <w:noProof/>
          <w:sz w:val="24"/>
          <w:szCs w:val="24"/>
          <w:shd w:val="clear" w:color="auto" w:fill="FFFFFF"/>
          <w:lang w:val="ro-MD"/>
        </w:rPr>
        <w:t>gerate,</w:t>
      </w:r>
      <w:r w:rsidRPr="009772A3">
        <w:rPr>
          <w:rFonts w:asciiTheme="majorHAnsi" w:hAnsiTheme="majorHAnsi" w:cstheme="majorHAnsi"/>
          <w:bCs/>
          <w:iCs/>
          <w:noProof/>
          <w:sz w:val="24"/>
          <w:szCs w:val="24"/>
          <w:shd w:val="clear" w:color="auto" w:fill="FFFFFF"/>
          <w:lang w:val="ro-MD"/>
        </w:rPr>
        <w:t xml:space="preserve"> prin prisma consumurilor de gaze de către Republica Moldova, investițiile ulterioare au fost considerate neoportune, iar cheltuielile de cercetare suportate au fost trecute la pierderi. </w:t>
      </w:r>
    </w:p>
    <w:p w14:paraId="68023443" w14:textId="774B2BE2" w:rsidR="00DE1153" w:rsidRPr="009772A3" w:rsidRDefault="00ED503B" w:rsidP="00733006">
      <w:pPr>
        <w:spacing w:after="0" w:line="276" w:lineRule="auto"/>
        <w:ind w:firstLine="709"/>
        <w:jc w:val="both"/>
        <w:rPr>
          <w:rFonts w:asciiTheme="majorHAnsi" w:hAnsiTheme="majorHAnsi" w:cstheme="majorHAnsi"/>
          <w:bCs/>
          <w:iCs/>
          <w:noProof/>
          <w:sz w:val="24"/>
          <w:szCs w:val="24"/>
          <w:shd w:val="clear" w:color="auto" w:fill="FFFFFF"/>
          <w:lang w:val="ro-MD"/>
        </w:rPr>
      </w:pPr>
      <w:r w:rsidRPr="00F5500A">
        <w:rPr>
          <w:rFonts w:asciiTheme="majorHAnsi" w:hAnsiTheme="majorHAnsi" w:cstheme="majorHAnsi"/>
          <w:bCs/>
          <w:iCs/>
          <w:noProof/>
          <w:sz w:val="24"/>
          <w:szCs w:val="24"/>
          <w:shd w:val="clear" w:color="auto" w:fill="FFFFFF"/>
          <w:lang w:val="ro-MD"/>
        </w:rPr>
        <w:t xml:space="preserve">De menționat că în prezent se </w:t>
      </w:r>
      <w:r w:rsidR="006567DE" w:rsidRPr="00F5500A">
        <w:rPr>
          <w:rFonts w:asciiTheme="majorHAnsi" w:hAnsiTheme="majorHAnsi" w:cstheme="majorHAnsi"/>
          <w:bCs/>
          <w:iCs/>
          <w:noProof/>
          <w:sz w:val="24"/>
          <w:szCs w:val="24"/>
          <w:shd w:val="clear" w:color="auto" w:fill="FFFFFF"/>
          <w:lang w:val="ro-MD"/>
        </w:rPr>
        <w:t>re</w:t>
      </w:r>
      <w:r w:rsidRPr="00F5500A">
        <w:rPr>
          <w:rFonts w:asciiTheme="majorHAnsi" w:hAnsiTheme="majorHAnsi" w:cstheme="majorHAnsi"/>
          <w:bCs/>
          <w:iCs/>
          <w:noProof/>
          <w:sz w:val="24"/>
          <w:szCs w:val="24"/>
          <w:shd w:val="clear" w:color="auto" w:fill="FFFFFF"/>
          <w:lang w:val="ro-MD"/>
        </w:rPr>
        <w:t>examinează</w:t>
      </w:r>
      <w:r w:rsidR="006567DE" w:rsidRPr="00F5500A">
        <w:rPr>
          <w:rFonts w:asciiTheme="majorHAnsi" w:hAnsiTheme="majorHAnsi" w:cstheme="majorHAnsi"/>
          <w:bCs/>
          <w:iCs/>
          <w:noProof/>
          <w:sz w:val="24"/>
          <w:szCs w:val="24"/>
          <w:shd w:val="clear" w:color="auto" w:fill="FFFFFF"/>
          <w:lang w:val="ro-MD"/>
        </w:rPr>
        <w:t>, prin intermediul politicilor publice,</w:t>
      </w:r>
      <w:r w:rsidRPr="00F5500A">
        <w:rPr>
          <w:rFonts w:asciiTheme="majorHAnsi" w:hAnsiTheme="majorHAnsi" w:cstheme="majorHAnsi"/>
          <w:bCs/>
          <w:iCs/>
          <w:noProof/>
          <w:sz w:val="24"/>
          <w:szCs w:val="24"/>
          <w:shd w:val="clear" w:color="auto" w:fill="FFFFFF"/>
          <w:lang w:val="ro-MD"/>
        </w:rPr>
        <w:t xml:space="preserve"> </w:t>
      </w:r>
      <w:r w:rsidR="005D669E" w:rsidRPr="00F5500A">
        <w:rPr>
          <w:rFonts w:asciiTheme="majorHAnsi" w:hAnsiTheme="majorHAnsi" w:cstheme="majorHAnsi"/>
          <w:bCs/>
          <w:iCs/>
          <w:noProof/>
          <w:sz w:val="24"/>
          <w:szCs w:val="24"/>
          <w:shd w:val="clear" w:color="auto" w:fill="FFFFFF"/>
          <w:lang w:val="ro-MD"/>
        </w:rPr>
        <w:t>oportuni</w:t>
      </w:r>
      <w:r w:rsidRPr="00F5500A">
        <w:rPr>
          <w:rFonts w:asciiTheme="majorHAnsi" w:hAnsiTheme="majorHAnsi" w:cstheme="majorHAnsi"/>
          <w:bCs/>
          <w:iCs/>
          <w:noProof/>
          <w:sz w:val="24"/>
          <w:szCs w:val="24"/>
          <w:shd w:val="clear" w:color="auto" w:fill="FFFFFF"/>
          <w:lang w:val="ro-MD"/>
        </w:rPr>
        <w:t xml:space="preserve">tatea de creare a </w:t>
      </w:r>
      <w:r w:rsidR="006567DE" w:rsidRPr="00F5500A">
        <w:rPr>
          <w:rFonts w:asciiTheme="majorHAnsi" w:hAnsiTheme="majorHAnsi" w:cstheme="majorHAnsi"/>
          <w:bCs/>
          <w:iCs/>
          <w:noProof/>
          <w:sz w:val="24"/>
          <w:szCs w:val="24"/>
          <w:shd w:val="clear" w:color="auto" w:fill="FFFFFF"/>
          <w:lang w:val="ro-MD"/>
        </w:rPr>
        <w:t>spațiilor de stocare a</w:t>
      </w:r>
      <w:r w:rsidRPr="00F5500A">
        <w:rPr>
          <w:rFonts w:asciiTheme="majorHAnsi" w:hAnsiTheme="majorHAnsi" w:cstheme="majorHAnsi"/>
          <w:bCs/>
          <w:iCs/>
          <w:noProof/>
          <w:sz w:val="24"/>
          <w:szCs w:val="24"/>
          <w:shd w:val="clear" w:color="auto" w:fill="FFFFFF"/>
          <w:lang w:val="ro-MD"/>
        </w:rPr>
        <w:t xml:space="preserve"> gaze</w:t>
      </w:r>
      <w:r w:rsidR="006567DE" w:rsidRPr="00F5500A">
        <w:rPr>
          <w:rFonts w:asciiTheme="majorHAnsi" w:hAnsiTheme="majorHAnsi" w:cstheme="majorHAnsi"/>
          <w:bCs/>
          <w:iCs/>
          <w:noProof/>
          <w:sz w:val="24"/>
          <w:szCs w:val="24"/>
          <w:shd w:val="clear" w:color="auto" w:fill="FFFFFF"/>
          <w:lang w:val="ro-MD"/>
        </w:rPr>
        <w:t>lor</w:t>
      </w:r>
      <w:r w:rsidRPr="00F5500A">
        <w:rPr>
          <w:rFonts w:asciiTheme="majorHAnsi" w:hAnsiTheme="majorHAnsi" w:cstheme="majorHAnsi"/>
          <w:bCs/>
          <w:iCs/>
          <w:noProof/>
          <w:sz w:val="24"/>
          <w:szCs w:val="24"/>
          <w:shd w:val="clear" w:color="auto" w:fill="FFFFFF"/>
          <w:lang w:val="ro-MD"/>
        </w:rPr>
        <w:t xml:space="preserve"> naturale pe teritoriul Republicii Moldova</w:t>
      </w:r>
      <w:r w:rsidR="007E2265" w:rsidRPr="00F5500A">
        <w:rPr>
          <w:rFonts w:asciiTheme="majorHAnsi" w:hAnsiTheme="majorHAnsi" w:cstheme="majorHAnsi"/>
          <w:bCs/>
          <w:iCs/>
          <w:noProof/>
          <w:sz w:val="24"/>
          <w:szCs w:val="24"/>
          <w:shd w:val="clear" w:color="auto" w:fill="FFFFFF"/>
          <w:lang w:val="ro-MD"/>
        </w:rPr>
        <w:t xml:space="preserve">. </w:t>
      </w:r>
      <w:r w:rsidR="00547693" w:rsidRPr="00F5500A">
        <w:rPr>
          <w:rFonts w:asciiTheme="majorHAnsi" w:hAnsiTheme="majorHAnsi" w:cstheme="majorHAnsi"/>
          <w:bCs/>
          <w:iCs/>
          <w:noProof/>
          <w:sz w:val="24"/>
          <w:szCs w:val="24"/>
          <w:shd w:val="clear" w:color="auto" w:fill="FFFFFF"/>
          <w:lang w:val="ro-MD"/>
        </w:rPr>
        <w:t>În eventualitatea</w:t>
      </w:r>
      <w:r w:rsidR="00A31FBE" w:rsidRPr="00F5500A">
        <w:rPr>
          <w:rFonts w:asciiTheme="majorHAnsi" w:hAnsiTheme="majorHAnsi" w:cstheme="majorHAnsi"/>
          <w:bCs/>
          <w:iCs/>
          <w:noProof/>
          <w:sz w:val="24"/>
          <w:szCs w:val="24"/>
          <w:shd w:val="clear" w:color="auto" w:fill="FFFFFF"/>
          <w:lang w:val="ro-MD"/>
        </w:rPr>
        <w:t xml:space="preserve"> </w:t>
      </w:r>
      <w:r w:rsidR="006567DE" w:rsidRPr="00F5500A">
        <w:rPr>
          <w:rFonts w:asciiTheme="majorHAnsi" w:hAnsiTheme="majorHAnsi" w:cstheme="majorHAnsi"/>
          <w:bCs/>
          <w:iCs/>
          <w:noProof/>
          <w:sz w:val="24"/>
          <w:szCs w:val="24"/>
          <w:shd w:val="clear" w:color="auto" w:fill="FFFFFF"/>
          <w:lang w:val="ro-MD"/>
        </w:rPr>
        <w:t xml:space="preserve">reluării </w:t>
      </w:r>
      <w:r w:rsidRPr="00F5500A">
        <w:rPr>
          <w:rFonts w:asciiTheme="majorHAnsi" w:hAnsiTheme="majorHAnsi" w:cstheme="majorHAnsi"/>
          <w:bCs/>
          <w:iCs/>
          <w:noProof/>
          <w:sz w:val="24"/>
          <w:szCs w:val="24"/>
          <w:shd w:val="clear" w:color="auto" w:fill="FFFFFF"/>
          <w:lang w:val="ro-MD"/>
        </w:rPr>
        <w:t>studi</w:t>
      </w:r>
      <w:r w:rsidR="00547693" w:rsidRPr="00F5500A">
        <w:rPr>
          <w:rFonts w:asciiTheme="majorHAnsi" w:hAnsiTheme="majorHAnsi" w:cstheme="majorHAnsi"/>
          <w:bCs/>
          <w:iCs/>
          <w:noProof/>
          <w:sz w:val="24"/>
          <w:szCs w:val="24"/>
          <w:shd w:val="clear" w:color="auto" w:fill="FFFFFF"/>
          <w:lang w:val="ro-MD"/>
        </w:rPr>
        <w:t>ilor</w:t>
      </w:r>
      <w:r w:rsidRPr="00F5500A">
        <w:rPr>
          <w:rFonts w:asciiTheme="majorHAnsi" w:hAnsiTheme="majorHAnsi" w:cstheme="majorHAnsi"/>
          <w:bCs/>
          <w:iCs/>
          <w:noProof/>
          <w:sz w:val="24"/>
          <w:szCs w:val="24"/>
          <w:shd w:val="clear" w:color="auto" w:fill="FFFFFF"/>
          <w:lang w:val="ro-MD"/>
        </w:rPr>
        <w:t>i respective</w:t>
      </w:r>
      <w:r w:rsidR="00A31FBE" w:rsidRPr="00F5500A">
        <w:rPr>
          <w:rFonts w:asciiTheme="majorHAnsi" w:hAnsiTheme="majorHAnsi" w:cstheme="majorHAnsi"/>
          <w:bCs/>
          <w:iCs/>
          <w:noProof/>
          <w:sz w:val="24"/>
          <w:szCs w:val="24"/>
          <w:shd w:val="clear" w:color="auto" w:fill="FFFFFF"/>
          <w:lang w:val="ro-MD"/>
        </w:rPr>
        <w:t>, aceasta</w:t>
      </w:r>
      <w:r w:rsidRPr="00F5500A">
        <w:rPr>
          <w:rFonts w:asciiTheme="majorHAnsi" w:hAnsiTheme="majorHAnsi" w:cstheme="majorHAnsi"/>
          <w:bCs/>
          <w:iCs/>
          <w:noProof/>
          <w:sz w:val="24"/>
          <w:szCs w:val="24"/>
          <w:shd w:val="clear" w:color="auto" w:fill="FFFFFF"/>
          <w:lang w:val="ro-MD"/>
        </w:rPr>
        <w:t xml:space="preserve"> poate pune </w:t>
      </w:r>
      <w:r w:rsidR="00547693" w:rsidRPr="00F5500A">
        <w:rPr>
          <w:rFonts w:asciiTheme="majorHAnsi" w:hAnsiTheme="majorHAnsi" w:cstheme="majorHAnsi"/>
          <w:bCs/>
          <w:iCs/>
          <w:noProof/>
          <w:sz w:val="24"/>
          <w:szCs w:val="24"/>
          <w:shd w:val="clear" w:color="auto" w:fill="FFFFFF"/>
          <w:lang w:val="ro-MD"/>
        </w:rPr>
        <w:t xml:space="preserve">costuri repetate </w:t>
      </w:r>
      <w:r w:rsidRPr="00F5500A">
        <w:rPr>
          <w:rFonts w:asciiTheme="majorHAnsi" w:hAnsiTheme="majorHAnsi" w:cstheme="majorHAnsi"/>
          <w:bCs/>
          <w:iCs/>
          <w:noProof/>
          <w:sz w:val="24"/>
          <w:szCs w:val="24"/>
          <w:shd w:val="clear" w:color="auto" w:fill="FFFFFF"/>
          <w:lang w:val="ro-MD"/>
        </w:rPr>
        <w:t>pe seama bugetului societății</w:t>
      </w:r>
      <w:r w:rsidR="007E2265" w:rsidRPr="00F5500A">
        <w:rPr>
          <w:rFonts w:asciiTheme="majorHAnsi" w:hAnsiTheme="majorHAnsi" w:cstheme="majorHAnsi"/>
          <w:bCs/>
          <w:iCs/>
          <w:noProof/>
          <w:sz w:val="24"/>
          <w:szCs w:val="24"/>
          <w:shd w:val="clear" w:color="auto" w:fill="FFFFFF"/>
          <w:lang w:val="ro-MD"/>
        </w:rPr>
        <w:t xml:space="preserve"> sau bugetului de stat</w:t>
      </w:r>
      <w:r w:rsidR="00F5310F" w:rsidRPr="00F5500A">
        <w:rPr>
          <w:rFonts w:asciiTheme="majorHAnsi" w:hAnsiTheme="majorHAnsi" w:cstheme="majorHAnsi"/>
          <w:bCs/>
          <w:iCs/>
          <w:noProof/>
          <w:sz w:val="24"/>
          <w:szCs w:val="24"/>
          <w:shd w:val="clear" w:color="auto" w:fill="FFFFFF"/>
          <w:lang w:val="ro-MD"/>
        </w:rPr>
        <w:t xml:space="preserve"> </w:t>
      </w:r>
      <w:r w:rsidR="007E2265" w:rsidRPr="00F5500A">
        <w:rPr>
          <w:rFonts w:asciiTheme="majorHAnsi" w:hAnsiTheme="majorHAnsi" w:cstheme="majorHAnsi"/>
          <w:bCs/>
          <w:iCs/>
          <w:noProof/>
          <w:sz w:val="24"/>
          <w:szCs w:val="24"/>
          <w:shd w:val="clear" w:color="auto" w:fill="FFFFFF"/>
          <w:lang w:val="ro-MD"/>
        </w:rPr>
        <w:t>pentru efectuarea aceluiași studiu.</w:t>
      </w:r>
      <w:r w:rsidR="00733006" w:rsidRPr="009772A3">
        <w:rPr>
          <w:rFonts w:asciiTheme="majorHAnsi" w:hAnsiTheme="majorHAnsi" w:cstheme="majorHAnsi"/>
          <w:bCs/>
          <w:iCs/>
          <w:noProof/>
          <w:sz w:val="24"/>
          <w:szCs w:val="24"/>
          <w:shd w:val="clear" w:color="auto" w:fill="FFFFFF"/>
          <w:lang w:val="ro-MD"/>
        </w:rPr>
        <w:t xml:space="preserve"> </w:t>
      </w:r>
    </w:p>
    <w:p w14:paraId="2439DF9C" w14:textId="77777777" w:rsidR="00C874F5" w:rsidRPr="009772A3" w:rsidRDefault="00DF1C4D" w:rsidP="006940F1">
      <w:pPr>
        <w:pStyle w:val="Heading1"/>
        <w:numPr>
          <w:ilvl w:val="3"/>
          <w:numId w:val="2"/>
        </w:numPr>
        <w:spacing w:line="276" w:lineRule="auto"/>
        <w:ind w:left="0" w:firstLine="0"/>
        <w:jc w:val="both"/>
        <w:rPr>
          <w:i/>
          <w:color w:val="auto"/>
          <w:lang w:val="ro-MD"/>
        </w:rPr>
      </w:pPr>
      <w:bookmarkStart w:id="208" w:name="_Toc118297748"/>
      <w:bookmarkStart w:id="209" w:name="_Toc119496447"/>
      <w:r w:rsidRPr="009772A3">
        <w:rPr>
          <w:i/>
          <w:color w:val="auto"/>
          <w:lang w:val="ro-MD"/>
        </w:rPr>
        <w:t>Neutilizarea pe deplin a valorii adăugate furnizate de auditul anual extern generează riscuri c</w:t>
      </w:r>
      <w:r w:rsidR="00613DFB" w:rsidRPr="009772A3">
        <w:rPr>
          <w:i/>
          <w:color w:val="auto"/>
          <w:lang w:val="ro-MD"/>
        </w:rPr>
        <w:t xml:space="preserve">are </w:t>
      </w:r>
      <w:r w:rsidRPr="009772A3">
        <w:rPr>
          <w:i/>
          <w:color w:val="auto"/>
          <w:lang w:val="ro-MD"/>
        </w:rPr>
        <w:t>pot afecta încrederea utilizatorilor în procesele de guvernanță corporativă.</w:t>
      </w:r>
      <w:bookmarkStart w:id="210" w:name="_Toc118564333"/>
      <w:bookmarkEnd w:id="208"/>
      <w:bookmarkEnd w:id="209"/>
      <w:r w:rsidR="00C874F5" w:rsidRPr="009772A3">
        <w:rPr>
          <w:i/>
          <w:color w:val="auto"/>
          <w:lang w:val="ro-MD"/>
        </w:rPr>
        <w:t xml:space="preserve"> </w:t>
      </w:r>
    </w:p>
    <w:bookmarkEnd w:id="210"/>
    <w:p w14:paraId="7CF8071C" w14:textId="7AF1A04F" w:rsidR="00DA582C" w:rsidRPr="009772A3" w:rsidRDefault="00DA582C" w:rsidP="00DA582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conformarea la prevederile legale aferente evidenței și raportării financiare</w:t>
      </w:r>
      <w:r w:rsidRPr="009772A3">
        <w:rPr>
          <w:rStyle w:val="FootnoteReference"/>
          <w:rFonts w:asciiTheme="majorHAnsi" w:hAnsiTheme="majorHAnsi" w:cstheme="majorHAnsi"/>
          <w:sz w:val="24"/>
          <w:szCs w:val="24"/>
          <w:lang w:val="ro-MD"/>
        </w:rPr>
        <w:footnoteReference w:id="154"/>
      </w:r>
      <w:r w:rsidRPr="009772A3">
        <w:rPr>
          <w:rFonts w:asciiTheme="majorHAnsi" w:hAnsiTheme="majorHAnsi" w:cstheme="majorHAnsi"/>
          <w:sz w:val="24"/>
          <w:szCs w:val="24"/>
          <w:lang w:val="ro-MD"/>
        </w:rPr>
        <w:t>, SA Moldovagaz și companiile sale afiliate au contractat în perioada auditată 2017</w:t>
      </w:r>
      <w:r w:rsidR="0054769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servicii de audit de la 15 companii specializate, în sumă totală de 11.391,2 mii lei.</w:t>
      </w:r>
    </w:p>
    <w:p w14:paraId="5235C9F6" w14:textId="0ECBDCD0" w:rsidR="00DA582C" w:rsidRPr="009772A3" w:rsidRDefault="00DA582C" w:rsidP="00DA582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Examinările de audit relevă că procesul de selectare a companiilor de audit s-a efectuat diferențiat de la o întreprindere</w:t>
      </w:r>
      <w:r w:rsidR="0054769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fiică la alta, unele entități afiliate au organizat și </w:t>
      </w:r>
      <w:r w:rsidR="00547693" w:rsidRPr="009772A3">
        <w:rPr>
          <w:rFonts w:asciiTheme="majorHAnsi" w:hAnsiTheme="majorHAnsi" w:cstheme="majorHAnsi"/>
          <w:sz w:val="24"/>
          <w:szCs w:val="24"/>
          <w:lang w:val="ro-MD"/>
        </w:rPr>
        <w:t xml:space="preserve">au </w:t>
      </w:r>
      <w:r w:rsidRPr="009772A3">
        <w:rPr>
          <w:rFonts w:asciiTheme="majorHAnsi" w:hAnsiTheme="majorHAnsi" w:cstheme="majorHAnsi"/>
          <w:sz w:val="24"/>
          <w:szCs w:val="24"/>
          <w:lang w:val="ro-MD"/>
        </w:rPr>
        <w:t xml:space="preserve">desfășurat licitații sau au aplicat procedura cererii ofertelor de preț, altele au negociat direct, fără stabilirea </w:t>
      </w:r>
      <w:r w:rsidR="00547693" w:rsidRPr="009772A3">
        <w:rPr>
          <w:rFonts w:asciiTheme="majorHAnsi" w:hAnsiTheme="majorHAnsi" w:cstheme="majorHAnsi"/>
          <w:sz w:val="24"/>
          <w:szCs w:val="24"/>
          <w:lang w:val="ro-MD"/>
        </w:rPr>
        <w:t>anumitor</w:t>
      </w:r>
      <w:r w:rsidRPr="009772A3">
        <w:rPr>
          <w:rFonts w:asciiTheme="majorHAnsi" w:hAnsiTheme="majorHAnsi" w:cstheme="majorHAnsi"/>
          <w:sz w:val="24"/>
          <w:szCs w:val="24"/>
          <w:lang w:val="ro-MD"/>
        </w:rPr>
        <w:t xml:space="preserve"> criterii sau reguli </w:t>
      </w:r>
      <w:r w:rsidR="002F2609" w:rsidRPr="009772A3">
        <w:rPr>
          <w:rFonts w:asciiTheme="majorHAnsi" w:hAnsiTheme="majorHAnsi" w:cstheme="majorHAnsi"/>
          <w:sz w:val="24"/>
          <w:szCs w:val="24"/>
          <w:lang w:val="ro-MD"/>
        </w:rPr>
        <w:t xml:space="preserve">specifice </w:t>
      </w:r>
      <w:r w:rsidRPr="009772A3">
        <w:rPr>
          <w:rFonts w:asciiTheme="majorHAnsi" w:hAnsiTheme="majorHAnsi" w:cstheme="majorHAnsi"/>
          <w:sz w:val="24"/>
          <w:szCs w:val="24"/>
          <w:lang w:val="ro-MD"/>
        </w:rPr>
        <w:t>de preselecție. Această abordare diferențiată a fost motivată de lips</w:t>
      </w:r>
      <w:r w:rsidR="00547693"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unei proceduri interne care ar armoniza procesul de selectare a companiilor de audit, aprobate în corespundere cu Statutul SA Moldovagaz, Regulament</w:t>
      </w:r>
      <w:r w:rsidR="001565A6"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l</w:t>
      </w:r>
      <w:r w:rsidR="001565A6"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Consiliului de observatori</w:t>
      </w:r>
      <w:r w:rsidR="001565A6" w:rsidRPr="009772A3">
        <w:rPr>
          <w:rFonts w:asciiTheme="majorHAnsi" w:hAnsiTheme="majorHAnsi" w:cstheme="majorHAnsi"/>
          <w:sz w:val="24"/>
          <w:szCs w:val="24"/>
          <w:lang w:val="ro-MD"/>
        </w:rPr>
        <w:t xml:space="preserve"> și</w:t>
      </w:r>
      <w:r w:rsidRPr="009772A3">
        <w:rPr>
          <w:rFonts w:asciiTheme="majorHAnsi" w:hAnsiTheme="majorHAnsi" w:cstheme="majorHAnsi"/>
          <w:sz w:val="24"/>
          <w:szCs w:val="24"/>
          <w:lang w:val="ro-MD"/>
        </w:rPr>
        <w:t xml:space="preserve"> Consiliului de administrație</w:t>
      </w:r>
      <w:r w:rsidR="001565A6" w:rsidRPr="009772A3">
        <w:rPr>
          <w:rFonts w:asciiTheme="majorHAnsi" w:hAnsiTheme="majorHAnsi" w:cstheme="majorHAnsi"/>
          <w:sz w:val="24"/>
          <w:szCs w:val="24"/>
          <w:lang w:val="ro-MD"/>
        </w:rPr>
        <w:t>, inclusiv cu</w:t>
      </w:r>
      <w:r w:rsidRPr="009772A3">
        <w:rPr>
          <w:rFonts w:asciiTheme="majorHAnsi" w:hAnsiTheme="majorHAnsi" w:cstheme="majorHAnsi"/>
          <w:sz w:val="24"/>
          <w:szCs w:val="24"/>
          <w:lang w:val="ro-MD"/>
        </w:rPr>
        <w:t xml:space="preserve"> Politica sa de control intern.</w:t>
      </w:r>
    </w:p>
    <w:p w14:paraId="79DDE202" w14:textId="6B1605E0" w:rsidR="006E7C99" w:rsidRPr="009772A3" w:rsidRDefault="00DA582C" w:rsidP="00DA582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asemenea, probele colectate de audit denotă că</w:t>
      </w:r>
      <w:r w:rsidR="001E31C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deși cheltuielile pentru serviciile de audit sunt semnificative și obligatorii, SA Moldovagaz nu a determinat sursele de finanțare/</w:t>
      </w:r>
      <w:r w:rsidR="006940F1">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acoperire a costurilor </w:t>
      </w:r>
      <w:r w:rsidR="001E31C6" w:rsidRPr="009772A3">
        <w:rPr>
          <w:rFonts w:asciiTheme="majorHAnsi" w:hAnsiTheme="majorHAnsi" w:cstheme="majorHAnsi"/>
          <w:sz w:val="24"/>
          <w:szCs w:val="24"/>
          <w:lang w:val="ro-MD"/>
        </w:rPr>
        <w:t>respective</w:t>
      </w:r>
      <w:r w:rsidRPr="009772A3">
        <w:rPr>
          <w:rFonts w:asciiTheme="majorHAnsi" w:hAnsiTheme="majorHAnsi" w:cstheme="majorHAnsi"/>
          <w:sz w:val="24"/>
          <w:szCs w:val="24"/>
          <w:lang w:val="ro-MD"/>
        </w:rPr>
        <w:t>,</w:t>
      </w:r>
      <w:r w:rsidR="006E7C99" w:rsidRPr="009772A3">
        <w:rPr>
          <w:rFonts w:asciiTheme="majorHAnsi" w:hAnsiTheme="majorHAnsi" w:cstheme="majorHAnsi"/>
          <w:sz w:val="24"/>
          <w:szCs w:val="24"/>
          <w:lang w:val="ro-MD"/>
        </w:rPr>
        <w:t xml:space="preserve"> fapt ce </w:t>
      </w:r>
      <w:r w:rsidR="00F53023" w:rsidRPr="009772A3">
        <w:rPr>
          <w:rFonts w:asciiTheme="majorHAnsi" w:hAnsiTheme="majorHAnsi" w:cstheme="majorHAnsi"/>
          <w:sz w:val="24"/>
          <w:szCs w:val="24"/>
          <w:lang w:val="ro-MD"/>
        </w:rPr>
        <w:t xml:space="preserve">indică </w:t>
      </w:r>
      <w:r w:rsidR="006E7C99" w:rsidRPr="009772A3">
        <w:rPr>
          <w:rFonts w:asciiTheme="majorHAnsi" w:hAnsiTheme="majorHAnsi" w:cstheme="majorHAnsi"/>
          <w:sz w:val="24"/>
          <w:szCs w:val="24"/>
          <w:lang w:val="ro-MD"/>
        </w:rPr>
        <w:t xml:space="preserve">suportarea acestora din </w:t>
      </w:r>
      <w:r w:rsidR="00F53023" w:rsidRPr="009772A3">
        <w:rPr>
          <w:rFonts w:asciiTheme="majorHAnsi" w:hAnsiTheme="majorHAnsi" w:cstheme="majorHAnsi"/>
          <w:sz w:val="24"/>
          <w:szCs w:val="24"/>
          <w:lang w:val="ro-MD"/>
        </w:rPr>
        <w:t xml:space="preserve">contul </w:t>
      </w:r>
      <w:r w:rsidR="006E7C99" w:rsidRPr="009772A3">
        <w:rPr>
          <w:rFonts w:asciiTheme="majorHAnsi" w:hAnsiTheme="majorHAnsi" w:cstheme="majorHAnsi"/>
          <w:sz w:val="24"/>
          <w:szCs w:val="24"/>
          <w:lang w:val="ro-MD"/>
        </w:rPr>
        <w:t>rentabilit</w:t>
      </w:r>
      <w:r w:rsidR="00F53023" w:rsidRPr="009772A3">
        <w:rPr>
          <w:rFonts w:asciiTheme="majorHAnsi" w:hAnsiTheme="majorHAnsi" w:cstheme="majorHAnsi"/>
          <w:sz w:val="24"/>
          <w:szCs w:val="24"/>
          <w:lang w:val="ro-MD"/>
        </w:rPr>
        <w:t>ății reglementate</w:t>
      </w:r>
      <w:r w:rsidR="006E7C99" w:rsidRPr="009772A3">
        <w:rPr>
          <w:rFonts w:asciiTheme="majorHAnsi" w:hAnsiTheme="majorHAnsi" w:cstheme="majorHAnsi"/>
          <w:sz w:val="24"/>
          <w:szCs w:val="24"/>
          <w:lang w:val="ro-MD"/>
        </w:rPr>
        <w:t>.</w:t>
      </w:r>
    </w:p>
    <w:p w14:paraId="17AE7AC1" w14:textId="354C9EC8" w:rsidR="00DA582C" w:rsidRPr="009772A3" w:rsidRDefault="00F53023" w:rsidP="00DA582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w:t>
      </w:r>
      <w:r w:rsidR="00DA582C" w:rsidRPr="009772A3">
        <w:rPr>
          <w:rFonts w:asciiTheme="majorHAnsi" w:hAnsiTheme="majorHAnsi" w:cstheme="majorHAnsi"/>
          <w:sz w:val="24"/>
          <w:szCs w:val="24"/>
          <w:lang w:val="ro-MD"/>
        </w:rPr>
        <w:t xml:space="preserve">e menționat că auditul </w:t>
      </w:r>
      <w:r w:rsidR="006E7C99" w:rsidRPr="009772A3">
        <w:rPr>
          <w:rFonts w:asciiTheme="majorHAnsi" w:hAnsiTheme="majorHAnsi" w:cstheme="majorHAnsi"/>
          <w:sz w:val="24"/>
          <w:szCs w:val="24"/>
          <w:lang w:val="ro-MD"/>
        </w:rPr>
        <w:t xml:space="preserve">obligatoriu </w:t>
      </w:r>
      <w:r w:rsidR="00DA582C" w:rsidRPr="009772A3">
        <w:rPr>
          <w:rFonts w:asciiTheme="majorHAnsi" w:hAnsiTheme="majorHAnsi" w:cstheme="majorHAnsi"/>
          <w:sz w:val="24"/>
          <w:szCs w:val="24"/>
          <w:lang w:val="ro-MD"/>
        </w:rPr>
        <w:t xml:space="preserve">nu a exprimat opinii cu privire la situațiile financiare ale SA Moldovagaz, </w:t>
      </w:r>
      <w:r w:rsidR="001E31C6" w:rsidRPr="009772A3">
        <w:rPr>
          <w:rFonts w:asciiTheme="majorHAnsi" w:hAnsiTheme="majorHAnsi" w:cstheme="majorHAnsi"/>
          <w:sz w:val="24"/>
          <w:szCs w:val="24"/>
          <w:lang w:val="ro-MD"/>
        </w:rPr>
        <w:t>din cauza</w:t>
      </w:r>
      <w:r w:rsidR="00DA582C" w:rsidRPr="009772A3">
        <w:rPr>
          <w:rFonts w:asciiTheme="majorHAnsi" w:hAnsiTheme="majorHAnsi" w:cstheme="majorHAnsi"/>
          <w:sz w:val="24"/>
          <w:szCs w:val="24"/>
          <w:lang w:val="ro-MD"/>
        </w:rPr>
        <w:t>: i) raportării neconforme a datoriilor pentru gaze și</w:t>
      </w:r>
      <w:r w:rsidR="001E31C6" w:rsidRPr="009772A3">
        <w:rPr>
          <w:rFonts w:asciiTheme="majorHAnsi" w:hAnsiTheme="majorHAnsi" w:cstheme="majorHAnsi"/>
          <w:sz w:val="24"/>
          <w:szCs w:val="24"/>
          <w:lang w:val="ro-MD"/>
        </w:rPr>
        <w:t xml:space="preserve"> a</w:t>
      </w:r>
      <w:r w:rsidR="00DA582C" w:rsidRPr="009772A3">
        <w:rPr>
          <w:rFonts w:asciiTheme="majorHAnsi" w:hAnsiTheme="majorHAnsi" w:cstheme="majorHAnsi"/>
          <w:sz w:val="24"/>
          <w:szCs w:val="24"/>
          <w:lang w:val="ro-MD"/>
        </w:rPr>
        <w:t xml:space="preserve"> penalități</w:t>
      </w:r>
      <w:r w:rsidR="006E7C99" w:rsidRPr="009772A3">
        <w:rPr>
          <w:rFonts w:asciiTheme="majorHAnsi" w:hAnsiTheme="majorHAnsi" w:cstheme="majorHAnsi"/>
          <w:sz w:val="24"/>
          <w:szCs w:val="24"/>
          <w:lang w:val="ro-MD"/>
        </w:rPr>
        <w:t>lor</w:t>
      </w:r>
      <w:r w:rsidR="00DA582C" w:rsidRPr="009772A3">
        <w:rPr>
          <w:rFonts w:asciiTheme="majorHAnsi" w:hAnsiTheme="majorHAnsi" w:cstheme="majorHAnsi"/>
          <w:sz w:val="24"/>
          <w:szCs w:val="24"/>
          <w:lang w:val="ro-MD"/>
        </w:rPr>
        <w:t xml:space="preserve"> față de SA Gazprom și SRL </w:t>
      </w:r>
      <w:r w:rsidR="001E31C6" w:rsidRPr="009772A3">
        <w:rPr>
          <w:rFonts w:asciiTheme="majorHAnsi" w:hAnsiTheme="majorHAnsi" w:cstheme="majorHAnsi"/>
          <w:sz w:val="24"/>
          <w:szCs w:val="24"/>
          <w:lang w:val="ro-MD"/>
        </w:rPr>
        <w:t>„</w:t>
      </w:r>
      <w:r w:rsidR="00DA582C" w:rsidRPr="009772A3">
        <w:rPr>
          <w:rFonts w:asciiTheme="majorHAnsi" w:hAnsiTheme="majorHAnsi" w:cstheme="majorHAnsi"/>
          <w:sz w:val="24"/>
          <w:szCs w:val="24"/>
          <w:lang w:val="ro-MD"/>
        </w:rPr>
        <w:t xml:space="preserve">Factoring Finance”, ii) </w:t>
      </w:r>
      <w:r w:rsidR="006940F1" w:rsidRPr="009772A3">
        <w:rPr>
          <w:rFonts w:asciiTheme="majorHAnsi" w:hAnsiTheme="majorHAnsi" w:cstheme="majorHAnsi"/>
          <w:sz w:val="24"/>
          <w:szCs w:val="24"/>
          <w:lang w:val="ro-MD"/>
        </w:rPr>
        <w:t>denaturări</w:t>
      </w:r>
      <w:r w:rsidR="006940F1">
        <w:rPr>
          <w:rFonts w:asciiTheme="majorHAnsi" w:hAnsiTheme="majorHAnsi" w:cstheme="majorHAnsi"/>
          <w:sz w:val="24"/>
          <w:szCs w:val="24"/>
          <w:lang w:val="ro-MD"/>
        </w:rPr>
        <w:t>i</w:t>
      </w:r>
      <w:r w:rsidR="006940F1" w:rsidRPr="009772A3">
        <w:rPr>
          <w:rFonts w:asciiTheme="majorHAnsi" w:hAnsiTheme="majorHAnsi" w:cstheme="majorHAnsi"/>
          <w:sz w:val="24"/>
          <w:szCs w:val="24"/>
          <w:lang w:val="ro-MD"/>
        </w:rPr>
        <w:t xml:space="preserve"> </w:t>
      </w:r>
      <w:r w:rsidR="00DA582C" w:rsidRPr="009772A3">
        <w:rPr>
          <w:rFonts w:asciiTheme="majorHAnsi" w:hAnsiTheme="majorHAnsi" w:cstheme="majorHAnsi"/>
          <w:sz w:val="24"/>
          <w:szCs w:val="24"/>
          <w:lang w:val="ro-MD"/>
        </w:rPr>
        <w:t>investițiilor în părți afiliate și iii) modului de formare a provizioane</w:t>
      </w:r>
      <w:r w:rsidR="00733006" w:rsidRPr="009772A3">
        <w:rPr>
          <w:rFonts w:asciiTheme="majorHAnsi" w:hAnsiTheme="majorHAnsi" w:cstheme="majorHAnsi"/>
          <w:sz w:val="24"/>
          <w:szCs w:val="24"/>
          <w:lang w:val="ro-MD"/>
        </w:rPr>
        <w:t>lor pentru creanțele compromise, i</w:t>
      </w:r>
      <w:r w:rsidR="00DA582C" w:rsidRPr="009772A3">
        <w:rPr>
          <w:rFonts w:asciiTheme="majorHAnsi" w:hAnsiTheme="majorHAnsi" w:cstheme="majorHAnsi"/>
          <w:sz w:val="24"/>
          <w:szCs w:val="24"/>
          <w:lang w:val="ro-MD"/>
        </w:rPr>
        <w:t>ar recomandările acestora, în raport cu principalele constatări și deficiențe ce au influențat baza pentru opinia de audit</w:t>
      </w:r>
      <w:r w:rsidR="001E31C6" w:rsidRPr="009772A3">
        <w:rPr>
          <w:rFonts w:asciiTheme="majorHAnsi" w:hAnsiTheme="majorHAnsi" w:cstheme="majorHAnsi"/>
          <w:sz w:val="24"/>
          <w:szCs w:val="24"/>
          <w:lang w:val="ro-MD"/>
        </w:rPr>
        <w:t>,</w:t>
      </w:r>
      <w:r w:rsidR="00DA582C" w:rsidRPr="009772A3">
        <w:rPr>
          <w:rFonts w:asciiTheme="majorHAnsi" w:hAnsiTheme="majorHAnsi" w:cstheme="majorHAnsi"/>
          <w:sz w:val="24"/>
          <w:szCs w:val="24"/>
          <w:lang w:val="ro-MD"/>
        </w:rPr>
        <w:t xml:space="preserve"> nu au fost considerate și implementate pe deplin de către persoanele responsabile de guvernanță.</w:t>
      </w:r>
    </w:p>
    <w:p w14:paraId="54EBA171" w14:textId="7CA266EF" w:rsidR="006E7C99" w:rsidRPr="009772A3" w:rsidRDefault="006E7C99" w:rsidP="006E7C9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Prin urmare, </w:t>
      </w:r>
      <w:r w:rsidR="00B02ADA" w:rsidRPr="009772A3">
        <w:rPr>
          <w:rFonts w:asciiTheme="majorHAnsi" w:hAnsiTheme="majorHAnsi" w:cstheme="majorHAnsi"/>
          <w:sz w:val="24"/>
          <w:szCs w:val="24"/>
          <w:lang w:val="ro-MD"/>
        </w:rPr>
        <w:t xml:space="preserve">neutilizarea pe deplin </w:t>
      </w:r>
      <w:r w:rsidR="00430DBE" w:rsidRPr="009772A3">
        <w:rPr>
          <w:rFonts w:asciiTheme="majorHAnsi" w:hAnsiTheme="majorHAnsi" w:cstheme="majorHAnsi"/>
          <w:sz w:val="24"/>
          <w:szCs w:val="24"/>
          <w:lang w:val="ro-MD"/>
        </w:rPr>
        <w:t xml:space="preserve">a </w:t>
      </w:r>
      <w:r w:rsidR="00B02ADA" w:rsidRPr="009772A3">
        <w:rPr>
          <w:rFonts w:asciiTheme="majorHAnsi" w:hAnsiTheme="majorHAnsi" w:cstheme="majorHAnsi"/>
          <w:sz w:val="24"/>
          <w:szCs w:val="24"/>
          <w:lang w:val="ro-MD"/>
        </w:rPr>
        <w:t xml:space="preserve">valorii adăugate furnizate de audit nu </w:t>
      </w:r>
      <w:r w:rsidR="00F53023" w:rsidRPr="009772A3">
        <w:rPr>
          <w:rFonts w:asciiTheme="majorHAnsi" w:hAnsiTheme="majorHAnsi" w:cstheme="majorHAnsi"/>
          <w:sz w:val="24"/>
          <w:szCs w:val="24"/>
          <w:lang w:val="ro-MD"/>
        </w:rPr>
        <w:t xml:space="preserve">justifică suportarea </w:t>
      </w:r>
      <w:r w:rsidR="00B02ADA" w:rsidRPr="009772A3">
        <w:rPr>
          <w:rFonts w:asciiTheme="majorHAnsi" w:hAnsiTheme="majorHAnsi" w:cstheme="majorHAnsi"/>
          <w:sz w:val="24"/>
          <w:szCs w:val="24"/>
          <w:lang w:val="ro-MD"/>
        </w:rPr>
        <w:t>cheltuieli</w:t>
      </w:r>
      <w:r w:rsidR="00F53023" w:rsidRPr="009772A3">
        <w:rPr>
          <w:rFonts w:asciiTheme="majorHAnsi" w:hAnsiTheme="majorHAnsi" w:cstheme="majorHAnsi"/>
          <w:sz w:val="24"/>
          <w:szCs w:val="24"/>
          <w:lang w:val="ro-MD"/>
        </w:rPr>
        <w:t>lor</w:t>
      </w:r>
      <w:r w:rsidR="00430DBE" w:rsidRPr="009772A3">
        <w:rPr>
          <w:rFonts w:asciiTheme="majorHAnsi" w:hAnsiTheme="majorHAnsi" w:cstheme="majorHAnsi"/>
          <w:sz w:val="24"/>
          <w:szCs w:val="24"/>
          <w:lang w:val="ro-MD"/>
        </w:rPr>
        <w:t xml:space="preserve"> </w:t>
      </w:r>
      <w:r w:rsidR="002B605A" w:rsidRPr="009772A3">
        <w:rPr>
          <w:rFonts w:asciiTheme="majorHAnsi" w:hAnsiTheme="majorHAnsi" w:cstheme="majorHAnsi"/>
          <w:sz w:val="24"/>
          <w:szCs w:val="24"/>
          <w:lang w:val="ro-MD"/>
        </w:rPr>
        <w:t>pentru</w:t>
      </w:r>
      <w:r w:rsidR="00430DBE" w:rsidRPr="009772A3">
        <w:rPr>
          <w:rFonts w:asciiTheme="majorHAnsi" w:hAnsiTheme="majorHAnsi" w:cstheme="majorHAnsi"/>
          <w:sz w:val="24"/>
          <w:szCs w:val="24"/>
          <w:lang w:val="ro-MD"/>
        </w:rPr>
        <w:t xml:space="preserve"> aceste servicii</w:t>
      </w:r>
      <w:r w:rsidR="00B02ADA" w:rsidRPr="009772A3">
        <w:rPr>
          <w:rFonts w:asciiTheme="majorHAnsi" w:hAnsiTheme="majorHAnsi" w:cstheme="majorHAnsi"/>
          <w:sz w:val="24"/>
          <w:szCs w:val="24"/>
          <w:lang w:val="ro-MD"/>
        </w:rPr>
        <w:t>, dar și</w:t>
      </w:r>
      <w:r w:rsidR="002B605A" w:rsidRPr="009772A3">
        <w:rPr>
          <w:rFonts w:asciiTheme="majorHAnsi" w:hAnsiTheme="majorHAnsi" w:cstheme="majorHAnsi"/>
          <w:sz w:val="24"/>
          <w:szCs w:val="24"/>
          <w:lang w:val="ro-MD"/>
        </w:rPr>
        <w:t xml:space="preserve"> afectează caracteristici</w:t>
      </w:r>
      <w:r w:rsidR="0073063B" w:rsidRPr="009772A3">
        <w:rPr>
          <w:rFonts w:asciiTheme="majorHAnsi" w:hAnsiTheme="majorHAnsi" w:cstheme="majorHAnsi"/>
          <w:sz w:val="24"/>
          <w:szCs w:val="24"/>
          <w:lang w:val="ro-MD"/>
        </w:rPr>
        <w:t>le calitative fundamentale și a</w:t>
      </w:r>
      <w:r w:rsidR="002B605A" w:rsidRPr="009772A3">
        <w:rPr>
          <w:rFonts w:asciiTheme="majorHAnsi" w:hAnsiTheme="majorHAnsi" w:cstheme="majorHAnsi"/>
          <w:sz w:val="24"/>
          <w:szCs w:val="24"/>
          <w:lang w:val="ro-MD"/>
        </w:rPr>
        <w:t xml:space="preserve">mplificatoare ale informațiilor prezentate în situațiile financiare, precum și influențează semnificativ </w:t>
      </w:r>
      <w:r w:rsidR="00B02ADA" w:rsidRPr="009772A3">
        <w:rPr>
          <w:rFonts w:asciiTheme="majorHAnsi" w:hAnsiTheme="majorHAnsi" w:cstheme="majorHAnsi"/>
          <w:sz w:val="24"/>
          <w:szCs w:val="24"/>
          <w:lang w:val="ro-MD"/>
        </w:rPr>
        <w:t xml:space="preserve">încrederea </w:t>
      </w:r>
      <w:r w:rsidR="00430DBE" w:rsidRPr="009772A3">
        <w:rPr>
          <w:rFonts w:asciiTheme="majorHAnsi" w:hAnsiTheme="majorHAnsi" w:cstheme="majorHAnsi"/>
          <w:sz w:val="24"/>
          <w:szCs w:val="24"/>
          <w:lang w:val="ro-MD"/>
        </w:rPr>
        <w:t xml:space="preserve">utilizatorilor </w:t>
      </w:r>
      <w:r w:rsidR="00B02ADA" w:rsidRPr="009772A3">
        <w:rPr>
          <w:rFonts w:asciiTheme="majorHAnsi" w:hAnsiTheme="majorHAnsi" w:cstheme="majorHAnsi"/>
          <w:sz w:val="24"/>
          <w:szCs w:val="24"/>
          <w:lang w:val="ro-MD"/>
        </w:rPr>
        <w:t>în</w:t>
      </w:r>
      <w:r w:rsidR="00430DBE" w:rsidRPr="009772A3">
        <w:rPr>
          <w:rFonts w:asciiTheme="majorHAnsi" w:hAnsiTheme="majorHAnsi" w:cstheme="majorHAnsi"/>
          <w:sz w:val="24"/>
          <w:szCs w:val="24"/>
          <w:lang w:val="ro-MD"/>
        </w:rPr>
        <w:t xml:space="preserve"> procesele de guvernanță corporativă</w:t>
      </w:r>
      <w:r w:rsidR="001E31C6" w:rsidRPr="009772A3">
        <w:rPr>
          <w:rFonts w:asciiTheme="majorHAnsi" w:hAnsiTheme="majorHAnsi" w:cstheme="majorHAnsi"/>
          <w:sz w:val="24"/>
          <w:szCs w:val="24"/>
          <w:lang w:val="ro-MD"/>
        </w:rPr>
        <w:t>,</w:t>
      </w:r>
      <w:r w:rsidR="00430DBE" w:rsidRPr="009772A3">
        <w:rPr>
          <w:rFonts w:asciiTheme="majorHAnsi" w:hAnsiTheme="majorHAnsi" w:cstheme="majorHAnsi"/>
          <w:sz w:val="24"/>
          <w:szCs w:val="24"/>
          <w:lang w:val="ro-MD"/>
        </w:rPr>
        <w:t xml:space="preserve"> care ar trebui să asigure atingerea scopurilor</w:t>
      </w:r>
      <w:r w:rsidR="001E31C6" w:rsidRPr="009772A3">
        <w:rPr>
          <w:rFonts w:asciiTheme="majorHAnsi" w:hAnsiTheme="majorHAnsi" w:cstheme="majorHAnsi"/>
          <w:sz w:val="24"/>
          <w:szCs w:val="24"/>
          <w:lang w:val="ro-MD"/>
        </w:rPr>
        <w:t>,</w:t>
      </w:r>
      <w:r w:rsidR="00430DBE" w:rsidRPr="009772A3">
        <w:rPr>
          <w:rFonts w:asciiTheme="majorHAnsi" w:hAnsiTheme="majorHAnsi" w:cstheme="majorHAnsi"/>
          <w:sz w:val="24"/>
          <w:szCs w:val="24"/>
          <w:lang w:val="ro-MD"/>
        </w:rPr>
        <w:t xml:space="preserve"> realizarea</w:t>
      </w:r>
      <w:r w:rsidRPr="009772A3">
        <w:rPr>
          <w:rFonts w:asciiTheme="majorHAnsi" w:hAnsiTheme="majorHAnsi" w:cstheme="majorHAnsi"/>
          <w:sz w:val="24"/>
          <w:szCs w:val="24"/>
          <w:lang w:val="ro-MD"/>
        </w:rPr>
        <w:t xml:space="preserve"> obiectivelor </w:t>
      </w:r>
      <w:r w:rsidR="00430DBE" w:rsidRPr="009772A3">
        <w:rPr>
          <w:rFonts w:asciiTheme="majorHAnsi" w:hAnsiTheme="majorHAnsi" w:cstheme="majorHAnsi"/>
          <w:sz w:val="24"/>
          <w:szCs w:val="24"/>
          <w:lang w:val="ro-MD"/>
        </w:rPr>
        <w:t>propuse și întocmirea conformă a situațiilor financiare</w:t>
      </w:r>
      <w:r w:rsidRPr="009772A3">
        <w:rPr>
          <w:rFonts w:asciiTheme="majorHAnsi" w:hAnsiTheme="majorHAnsi" w:cstheme="majorHAnsi"/>
          <w:sz w:val="24"/>
          <w:szCs w:val="24"/>
          <w:lang w:val="ro-MD"/>
        </w:rPr>
        <w:t>.</w:t>
      </w:r>
    </w:p>
    <w:p w14:paraId="32195B4F" w14:textId="58D3BA58" w:rsidR="00DC102D" w:rsidRPr="009772A3" w:rsidRDefault="00DC102D" w:rsidP="006E7C9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SA Moldovagaz </w:t>
      </w:r>
      <w:r w:rsidR="001E31C6" w:rsidRPr="009772A3">
        <w:rPr>
          <w:rFonts w:asciiTheme="majorHAnsi" w:hAnsiTheme="majorHAnsi" w:cstheme="majorHAnsi"/>
          <w:sz w:val="24"/>
          <w:szCs w:val="24"/>
          <w:lang w:val="ro-MD"/>
        </w:rPr>
        <w:t>a motivat</w:t>
      </w:r>
      <w:r w:rsidRPr="009772A3">
        <w:rPr>
          <w:rFonts w:asciiTheme="majorHAnsi" w:hAnsiTheme="majorHAnsi" w:cstheme="majorHAnsi"/>
          <w:sz w:val="24"/>
          <w:szCs w:val="24"/>
          <w:lang w:val="ro-MD"/>
        </w:rPr>
        <w:t xml:space="preserve"> că</w:t>
      </w:r>
      <w:r w:rsidR="001E31C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550856" w:rsidRPr="009772A3">
        <w:rPr>
          <w:rFonts w:asciiTheme="majorHAnsi" w:hAnsiTheme="majorHAnsi" w:cstheme="majorHAnsi"/>
          <w:sz w:val="24"/>
          <w:szCs w:val="24"/>
          <w:lang w:val="ro-MD"/>
        </w:rPr>
        <w:t>conform art. 101 alin.(7) din Legea cu privire la gazele naturale nr.108 din 27.05.2016</w:t>
      </w:r>
      <w:r w:rsidR="001E31C6" w:rsidRPr="009772A3">
        <w:rPr>
          <w:rFonts w:asciiTheme="majorHAnsi" w:hAnsiTheme="majorHAnsi" w:cstheme="majorHAnsi"/>
          <w:sz w:val="24"/>
          <w:szCs w:val="24"/>
          <w:lang w:val="ro-MD"/>
        </w:rPr>
        <w:t>,</w:t>
      </w:r>
      <w:r w:rsidR="00550856" w:rsidRPr="009772A3">
        <w:rPr>
          <w:rFonts w:asciiTheme="majorHAnsi" w:hAnsiTheme="majorHAnsi" w:cstheme="majorHAnsi"/>
          <w:sz w:val="24"/>
          <w:szCs w:val="24"/>
          <w:lang w:val="ro-MD"/>
        </w:rPr>
        <w:t xml:space="preserve"> auditul situațiilor financiare ale întreprinderilor de gaze naturale suplimentar </w:t>
      </w:r>
      <w:r w:rsidR="007A4357" w:rsidRPr="009772A3">
        <w:rPr>
          <w:rFonts w:asciiTheme="majorHAnsi" w:hAnsiTheme="majorHAnsi" w:cstheme="majorHAnsi"/>
          <w:sz w:val="24"/>
          <w:szCs w:val="24"/>
          <w:lang w:val="ro-MD"/>
        </w:rPr>
        <w:t xml:space="preserve">trebuie să reflecte </w:t>
      </w:r>
      <w:r w:rsidR="00550856" w:rsidRPr="009772A3">
        <w:rPr>
          <w:rFonts w:asciiTheme="majorHAnsi" w:hAnsiTheme="majorHAnsi" w:cstheme="majorHAnsi"/>
          <w:sz w:val="24"/>
          <w:szCs w:val="24"/>
          <w:lang w:val="ro-MD"/>
        </w:rPr>
        <w:t>dacă sunt respectate obligațiile de evitare a discriminării și a subvențiilor încrucișate</w:t>
      </w:r>
      <w:r w:rsidR="007A4357" w:rsidRPr="009772A3">
        <w:rPr>
          <w:rFonts w:asciiTheme="majorHAnsi" w:hAnsiTheme="majorHAnsi" w:cstheme="majorHAnsi"/>
          <w:sz w:val="24"/>
          <w:szCs w:val="24"/>
          <w:lang w:val="ro-MD"/>
        </w:rPr>
        <w:t>. Astfel,</w:t>
      </w:r>
      <w:r w:rsidR="00550856"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cheltuielile aferente serviciilor de audit au fost prezentate A</w:t>
      </w:r>
      <w:r w:rsidR="000E6F27" w:rsidRPr="009772A3">
        <w:rPr>
          <w:rFonts w:asciiTheme="majorHAnsi" w:hAnsiTheme="majorHAnsi" w:cstheme="majorHAnsi"/>
          <w:sz w:val="24"/>
          <w:szCs w:val="24"/>
          <w:lang w:val="ro-MD"/>
        </w:rPr>
        <w:t>NRE</w:t>
      </w:r>
      <w:r w:rsidRPr="009772A3">
        <w:rPr>
          <w:rFonts w:asciiTheme="majorHAnsi" w:hAnsiTheme="majorHAnsi" w:cstheme="majorHAnsi"/>
          <w:sz w:val="24"/>
          <w:szCs w:val="24"/>
          <w:lang w:val="ro-MD"/>
        </w:rPr>
        <w:t xml:space="preserve"> </w:t>
      </w:r>
      <w:r w:rsidR="000E6F27" w:rsidRPr="009772A3">
        <w:rPr>
          <w:rFonts w:asciiTheme="majorHAnsi" w:hAnsiTheme="majorHAnsi" w:cstheme="majorHAnsi"/>
          <w:sz w:val="24"/>
          <w:szCs w:val="24"/>
          <w:lang w:val="ro-MD"/>
        </w:rPr>
        <w:t>pentru includere în costurile de bază aferente prețurilor reglementate pentru furnizarea gazelor naturale</w:t>
      </w:r>
      <w:r w:rsidR="00333DA0" w:rsidRPr="009772A3">
        <w:rPr>
          <w:rFonts w:asciiTheme="majorHAnsi" w:hAnsiTheme="majorHAnsi" w:cstheme="majorHAnsi"/>
          <w:sz w:val="24"/>
          <w:szCs w:val="24"/>
          <w:lang w:val="ro-MD"/>
        </w:rPr>
        <w:t>, însă acestea nu au fost acceptate pentru perioadele anterioare, iar pentru anul 2021 se află în examinare.</w:t>
      </w:r>
      <w:r w:rsidRPr="009772A3">
        <w:rPr>
          <w:rFonts w:asciiTheme="majorHAnsi" w:hAnsiTheme="majorHAnsi" w:cstheme="majorHAnsi"/>
          <w:sz w:val="24"/>
          <w:szCs w:val="24"/>
          <w:lang w:val="ro-MD"/>
        </w:rPr>
        <w:t xml:space="preserve"> </w:t>
      </w:r>
    </w:p>
    <w:p w14:paraId="3AEC7500" w14:textId="0DB6EDD7" w:rsidR="00733006" w:rsidRPr="009772A3" w:rsidRDefault="00C874F5" w:rsidP="005D5684">
      <w:pPr>
        <w:pStyle w:val="Heading1"/>
        <w:numPr>
          <w:ilvl w:val="3"/>
          <w:numId w:val="2"/>
        </w:numPr>
        <w:spacing w:line="276" w:lineRule="auto"/>
        <w:jc w:val="both"/>
        <w:rPr>
          <w:i/>
          <w:color w:val="auto"/>
          <w:lang w:val="ro-MD"/>
        </w:rPr>
      </w:pPr>
      <w:bookmarkStart w:id="211" w:name="_Toc119496448"/>
      <w:r w:rsidRPr="009772A3">
        <w:rPr>
          <w:i/>
          <w:color w:val="auto"/>
          <w:lang w:val="ro-MD"/>
        </w:rPr>
        <w:t xml:space="preserve">Necesarul </w:t>
      </w:r>
      <w:r w:rsidR="00A56158" w:rsidRPr="009772A3">
        <w:rPr>
          <w:i/>
          <w:color w:val="auto"/>
          <w:lang w:val="ro-MD"/>
        </w:rPr>
        <w:t xml:space="preserve">de </w:t>
      </w:r>
      <w:r w:rsidRPr="009772A3">
        <w:rPr>
          <w:i/>
          <w:color w:val="auto"/>
          <w:lang w:val="ro-MD"/>
        </w:rPr>
        <w:t>servicii juridice procurate în bază de abonament</w:t>
      </w:r>
      <w:r w:rsidR="00A56158" w:rsidRPr="009772A3">
        <w:rPr>
          <w:i/>
          <w:color w:val="auto"/>
          <w:lang w:val="ro-MD"/>
        </w:rPr>
        <w:t>,</w:t>
      </w:r>
      <w:r w:rsidRPr="009772A3">
        <w:rPr>
          <w:i/>
          <w:color w:val="auto"/>
          <w:lang w:val="ro-MD"/>
        </w:rPr>
        <w:t xml:space="preserve"> în sumă totală de 8.958,7 mii lei</w:t>
      </w:r>
      <w:r w:rsidR="00A56158" w:rsidRPr="009772A3">
        <w:rPr>
          <w:i/>
          <w:color w:val="auto"/>
          <w:lang w:val="ro-MD"/>
        </w:rPr>
        <w:t>,</w:t>
      </w:r>
      <w:r w:rsidRPr="009772A3">
        <w:rPr>
          <w:i/>
          <w:color w:val="auto"/>
          <w:lang w:val="ro-MD"/>
        </w:rPr>
        <w:t xml:space="preserve"> nu au fost fundamentate corespunzător.</w:t>
      </w:r>
      <w:bookmarkEnd w:id="211"/>
    </w:p>
    <w:p w14:paraId="1891F227" w14:textId="067F2517" w:rsidR="00363767" w:rsidRPr="009772A3" w:rsidRDefault="00733006" w:rsidP="004F4116">
      <w:pPr>
        <w:spacing w:after="0" w:line="276" w:lineRule="auto"/>
        <w:ind w:firstLine="709"/>
        <w:jc w:val="both"/>
        <w:rPr>
          <w:rFonts w:asciiTheme="majorHAnsi" w:hAnsiTheme="majorHAnsi" w:cstheme="majorHAnsi"/>
          <w:noProof/>
          <w:sz w:val="24"/>
          <w:szCs w:val="24"/>
          <w:lang w:val="ro-MD"/>
        </w:rPr>
      </w:pPr>
      <w:r w:rsidRPr="009772A3">
        <w:rPr>
          <w:rFonts w:asciiTheme="majorHAnsi" w:hAnsiTheme="majorHAnsi" w:cstheme="majorHAnsi"/>
          <w:sz w:val="24"/>
          <w:szCs w:val="24"/>
          <w:lang w:val="ro-MD"/>
        </w:rPr>
        <w:t>Pentru asigurarea legală a proceselor decizionale, acordarea asistenței juridice și reprezentarea în instanțele de judecată naționale și internaționale, SA Moldovagaz și companiile sale afiliate au instituit în statele de personal cca 44 de juriști, alocând un fond de retribuire a muncii acestora, pentru perioada 2017</w:t>
      </w:r>
      <w:r w:rsidR="00A5615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de cca 40.111,2 mii lei</w:t>
      </w:r>
      <w:r w:rsidRPr="009772A3">
        <w:rPr>
          <w:rFonts w:asciiTheme="majorHAnsi" w:hAnsiTheme="majorHAnsi" w:cstheme="majorHAnsi"/>
          <w:sz w:val="24"/>
          <w:szCs w:val="24"/>
          <w:vertAlign w:val="superscript"/>
          <w:lang w:val="ro-MD"/>
        </w:rPr>
        <w:footnoteReference w:id="155"/>
      </w:r>
      <w:r w:rsidRPr="009772A3">
        <w:rPr>
          <w:rFonts w:asciiTheme="majorHAnsi" w:hAnsiTheme="majorHAnsi" w:cstheme="majorHAnsi"/>
          <w:sz w:val="24"/>
          <w:szCs w:val="24"/>
          <w:lang w:val="ro-MD"/>
        </w:rPr>
        <w:t xml:space="preserve">, precum și suplimentar au contractat serviciile a cca 14 birouri și case de avocatură pentru </w:t>
      </w:r>
      <w:r w:rsidR="00A56158" w:rsidRPr="009772A3">
        <w:rPr>
          <w:rFonts w:asciiTheme="majorHAnsi" w:hAnsiTheme="majorHAnsi" w:cstheme="majorHAnsi"/>
          <w:sz w:val="24"/>
          <w:szCs w:val="24"/>
          <w:lang w:val="ro-MD"/>
        </w:rPr>
        <w:t>care</w:t>
      </w:r>
      <w:r w:rsidRPr="009772A3">
        <w:rPr>
          <w:rFonts w:asciiTheme="majorHAnsi" w:hAnsiTheme="majorHAnsi" w:cstheme="majorHAnsi"/>
          <w:sz w:val="24"/>
          <w:szCs w:val="24"/>
          <w:lang w:val="ro-MD"/>
        </w:rPr>
        <w:t xml:space="preserve"> au fost achitate 35.698,1 mii lei, dintre care 17.663,6 mii lei pentru reprezentare în instanțele de arbitraj internațional</w:t>
      </w:r>
      <w:r w:rsidR="00936790" w:rsidRPr="009772A3">
        <w:rPr>
          <w:rFonts w:asciiTheme="majorHAnsi" w:hAnsiTheme="majorHAnsi" w:cstheme="majorHAnsi"/>
          <w:sz w:val="24"/>
          <w:szCs w:val="24"/>
          <w:vertAlign w:val="superscript"/>
          <w:lang w:val="ro-MD"/>
        </w:rPr>
        <w:footnoteReference w:id="156"/>
      </w:r>
      <w:r w:rsidRPr="009772A3">
        <w:rPr>
          <w:rFonts w:asciiTheme="majorHAnsi" w:hAnsiTheme="majorHAnsi" w:cstheme="majorHAnsi"/>
          <w:sz w:val="24"/>
          <w:szCs w:val="24"/>
          <w:lang w:val="ro-MD"/>
        </w:rPr>
        <w:t>, iar 18.034,5 mii lei pentru reprezentare în instanțele naționale, din care 8.958,7 mii lei în bază de abonament.</w:t>
      </w:r>
      <w:r w:rsidR="00363767" w:rsidRPr="009772A3">
        <w:rPr>
          <w:rFonts w:asciiTheme="majorHAnsi" w:hAnsiTheme="majorHAnsi" w:cstheme="majorHAnsi"/>
          <w:sz w:val="24"/>
          <w:szCs w:val="24"/>
          <w:lang w:val="ro-MD"/>
        </w:rPr>
        <w:t xml:space="preserve"> De asemenea, președintele Consiliului de Administrație </w:t>
      </w:r>
      <w:r w:rsidR="00FA71FF" w:rsidRPr="009772A3">
        <w:rPr>
          <w:rFonts w:asciiTheme="majorHAnsi" w:hAnsiTheme="majorHAnsi" w:cstheme="majorHAnsi"/>
          <w:sz w:val="24"/>
          <w:szCs w:val="24"/>
          <w:lang w:val="ro-MD"/>
        </w:rPr>
        <w:t xml:space="preserve">mai </w:t>
      </w:r>
      <w:r w:rsidR="00363767" w:rsidRPr="009772A3">
        <w:rPr>
          <w:rFonts w:asciiTheme="majorHAnsi" w:hAnsiTheme="majorHAnsi" w:cstheme="majorHAnsi"/>
          <w:sz w:val="24"/>
          <w:szCs w:val="24"/>
          <w:lang w:val="ro-MD"/>
        </w:rPr>
        <w:t>dispune de un consilier pe</w:t>
      </w:r>
      <w:r w:rsidR="00A56158" w:rsidRPr="009772A3">
        <w:rPr>
          <w:rFonts w:asciiTheme="majorHAnsi" w:hAnsiTheme="majorHAnsi" w:cstheme="majorHAnsi"/>
          <w:sz w:val="24"/>
          <w:szCs w:val="24"/>
          <w:lang w:val="ro-MD"/>
        </w:rPr>
        <w:t>ntru</w:t>
      </w:r>
      <w:r w:rsidR="00363767" w:rsidRPr="009772A3">
        <w:rPr>
          <w:rFonts w:asciiTheme="majorHAnsi" w:hAnsiTheme="majorHAnsi" w:cstheme="majorHAnsi"/>
          <w:sz w:val="24"/>
          <w:szCs w:val="24"/>
          <w:lang w:val="ro-MD"/>
        </w:rPr>
        <w:t xml:space="preserve"> probleme juridice, care în același timp este angajat în cadrul SRL Moldovatransgaz și prestează servicii juridice SRL Ialoveni-gaz. </w:t>
      </w:r>
    </w:p>
    <w:p w14:paraId="3720655F" w14:textId="61802430" w:rsidR="00733006" w:rsidRPr="009772A3" w:rsidRDefault="00733006" w:rsidP="0073300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Analiza cheltuielilor aferente serviciilor juridice menționate supra denotă că, deși potrivit prevederilor legale</w:t>
      </w:r>
      <w:r w:rsidRPr="009772A3">
        <w:rPr>
          <w:rFonts w:asciiTheme="majorHAnsi" w:hAnsiTheme="majorHAnsi" w:cstheme="majorHAnsi"/>
          <w:sz w:val="24"/>
          <w:szCs w:val="24"/>
          <w:vertAlign w:val="superscript"/>
          <w:lang w:val="ro-MD"/>
        </w:rPr>
        <w:footnoteReference w:id="157"/>
      </w:r>
      <w:r w:rsidRPr="009772A3">
        <w:rPr>
          <w:rFonts w:asciiTheme="majorHAnsi" w:hAnsiTheme="majorHAnsi" w:cstheme="majorHAnsi"/>
          <w:sz w:val="24"/>
          <w:szCs w:val="24"/>
          <w:lang w:val="ro-MD"/>
        </w:rPr>
        <w:t>, operatorii de transport, distribuție și furnizare a gazelor naturale au obligația să se conducă, în activitatea licențiată, de principiul eficienței maxime la cheltuieli minime, contractarea serviciilor de consultanță și reprezentare juridică în instanțele naționale pe bază de abonament</w:t>
      </w:r>
      <w:r w:rsidRPr="009772A3">
        <w:rPr>
          <w:rFonts w:asciiTheme="majorHAnsi" w:hAnsiTheme="majorHAnsi" w:cstheme="majorHAnsi"/>
          <w:sz w:val="24"/>
          <w:szCs w:val="24"/>
          <w:vertAlign w:val="superscript"/>
          <w:lang w:val="ro-MD"/>
        </w:rPr>
        <w:footnoteReference w:id="158"/>
      </w:r>
      <w:r w:rsidRPr="009772A3">
        <w:rPr>
          <w:rFonts w:asciiTheme="majorHAnsi" w:hAnsiTheme="majorHAnsi" w:cstheme="majorHAnsi"/>
          <w:sz w:val="24"/>
          <w:szCs w:val="24"/>
          <w:lang w:val="ro-MD"/>
        </w:rPr>
        <w:t xml:space="preserve">, în sumă totală de 8.958,7 mii lei, inclusiv TVA, </w:t>
      </w:r>
      <w:r w:rsidR="00315E05" w:rsidRPr="009772A3">
        <w:rPr>
          <w:rFonts w:asciiTheme="majorHAnsi" w:hAnsiTheme="majorHAnsi" w:cstheme="majorHAnsi"/>
          <w:sz w:val="24"/>
          <w:szCs w:val="24"/>
          <w:lang w:val="ro-MD"/>
        </w:rPr>
        <w:t>nu au fost justificate pe deplin</w:t>
      </w:r>
      <w:r w:rsidRPr="009772A3">
        <w:rPr>
          <w:rFonts w:asciiTheme="majorHAnsi" w:hAnsiTheme="majorHAnsi" w:cstheme="majorHAnsi"/>
          <w:sz w:val="24"/>
          <w:szCs w:val="24"/>
          <w:lang w:val="ro-MD"/>
        </w:rPr>
        <w:t>, dat fiind existența în statele de personal a juriștilor calificați</w:t>
      </w:r>
      <w:r w:rsidR="00936790" w:rsidRPr="009772A3">
        <w:rPr>
          <w:rFonts w:asciiTheme="majorHAnsi" w:hAnsiTheme="majorHAnsi" w:cstheme="majorHAnsi"/>
          <w:sz w:val="24"/>
          <w:szCs w:val="24"/>
          <w:lang w:val="ro-MD"/>
        </w:rPr>
        <w:t xml:space="preserve"> și contractarea </w:t>
      </w:r>
      <w:r w:rsidR="00315E05" w:rsidRPr="009772A3">
        <w:rPr>
          <w:rFonts w:asciiTheme="majorHAnsi" w:hAnsiTheme="majorHAnsi" w:cstheme="majorHAnsi"/>
          <w:sz w:val="24"/>
          <w:szCs w:val="24"/>
          <w:lang w:val="ro-MD"/>
        </w:rPr>
        <w:t xml:space="preserve">separată a </w:t>
      </w:r>
      <w:r w:rsidR="00936790" w:rsidRPr="009772A3">
        <w:rPr>
          <w:rFonts w:asciiTheme="majorHAnsi" w:hAnsiTheme="majorHAnsi" w:cstheme="majorHAnsi"/>
          <w:sz w:val="24"/>
          <w:szCs w:val="24"/>
          <w:lang w:val="ro-MD"/>
        </w:rPr>
        <w:t xml:space="preserve">unor avocați pentru reprezentarea </w:t>
      </w:r>
      <w:r w:rsidR="00B30558">
        <w:rPr>
          <w:rFonts w:asciiTheme="majorHAnsi" w:hAnsiTheme="majorHAnsi" w:cstheme="majorHAnsi"/>
          <w:sz w:val="24"/>
          <w:szCs w:val="24"/>
          <w:lang w:val="ro-MD"/>
        </w:rPr>
        <w:t xml:space="preserve">întreprinderilor </w:t>
      </w:r>
      <w:r w:rsidR="00936790" w:rsidRPr="009772A3">
        <w:rPr>
          <w:rFonts w:asciiTheme="majorHAnsi" w:hAnsiTheme="majorHAnsi" w:cstheme="majorHAnsi"/>
          <w:sz w:val="24"/>
          <w:szCs w:val="24"/>
          <w:lang w:val="ro-MD"/>
        </w:rPr>
        <w:t>în instanțele naționale</w:t>
      </w:r>
      <w:r w:rsidRPr="009772A3">
        <w:rPr>
          <w:rFonts w:asciiTheme="majorHAnsi" w:hAnsiTheme="majorHAnsi" w:cstheme="majorHAnsi"/>
          <w:sz w:val="24"/>
          <w:szCs w:val="24"/>
          <w:lang w:val="ro-MD"/>
        </w:rPr>
        <w:t>. De asemenea, probele de audit relevă că aceste servicii nu au fost identificate drept necesități de achiziție, reflectate într-un plan anual de procurări fundamentate corespunzător Politicilor de control intern al societății</w:t>
      </w:r>
      <w:r w:rsidRPr="009772A3">
        <w:rPr>
          <w:rFonts w:asciiTheme="majorHAnsi" w:hAnsiTheme="majorHAnsi" w:cstheme="majorHAnsi"/>
          <w:sz w:val="24"/>
          <w:szCs w:val="24"/>
          <w:vertAlign w:val="superscript"/>
          <w:lang w:val="ro-MD"/>
        </w:rPr>
        <w:footnoteReference w:id="159"/>
      </w:r>
      <w:r w:rsidRPr="009772A3">
        <w:rPr>
          <w:rFonts w:asciiTheme="majorHAnsi" w:hAnsiTheme="majorHAnsi" w:cstheme="majorHAnsi"/>
          <w:sz w:val="24"/>
          <w:szCs w:val="24"/>
          <w:lang w:val="ro-MD"/>
        </w:rPr>
        <w:t>, fiind contractate prin negociere directă, fără stabilirea criterii</w:t>
      </w:r>
      <w:r w:rsidR="00A56158" w:rsidRPr="009772A3">
        <w:rPr>
          <w:rFonts w:asciiTheme="majorHAnsi" w:hAnsiTheme="majorHAnsi" w:cstheme="majorHAnsi"/>
          <w:sz w:val="24"/>
          <w:szCs w:val="24"/>
          <w:lang w:val="ro-MD"/>
        </w:rPr>
        <w:t>lor</w:t>
      </w:r>
      <w:r w:rsidRPr="009772A3">
        <w:rPr>
          <w:rFonts w:asciiTheme="majorHAnsi" w:hAnsiTheme="majorHAnsi" w:cstheme="majorHAnsi"/>
          <w:sz w:val="24"/>
          <w:szCs w:val="24"/>
          <w:lang w:val="ro-MD"/>
        </w:rPr>
        <w:t xml:space="preserve"> sau reguli</w:t>
      </w:r>
      <w:r w:rsidR="00A56158" w:rsidRPr="009772A3">
        <w:rPr>
          <w:rFonts w:asciiTheme="majorHAnsi" w:hAnsiTheme="majorHAnsi" w:cstheme="majorHAnsi"/>
          <w:sz w:val="24"/>
          <w:szCs w:val="24"/>
          <w:lang w:val="ro-MD"/>
        </w:rPr>
        <w:t>lor</w:t>
      </w:r>
      <w:r w:rsidRPr="009772A3">
        <w:rPr>
          <w:rFonts w:asciiTheme="majorHAnsi" w:hAnsiTheme="majorHAnsi" w:cstheme="majorHAnsi"/>
          <w:sz w:val="24"/>
          <w:szCs w:val="24"/>
          <w:lang w:val="ro-MD"/>
        </w:rPr>
        <w:t xml:space="preserve"> de preselecție</w:t>
      </w:r>
      <w:r w:rsidR="00A5615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fără identificarea surselor de acoperire a costurilor suportate.</w:t>
      </w:r>
    </w:p>
    <w:p w14:paraId="70DDD031" w14:textId="198AC4D9" w:rsidR="00733006" w:rsidRPr="009772A3" w:rsidRDefault="00733006" w:rsidP="0073300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Analiza contractelor și actelor de prestare a serviciilor juridice în bază de abonament relevă, inclusiv, că managementul întreprinderilor beneficiare nu dispun</w:t>
      </w:r>
      <w:r w:rsidR="00A56158"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de proceduri și criterii clare, bine formalizate, care ar specifica modul de selectare a sarcinilor și problemelor de drept delegate pentru asistență juridică separat de aria de activitate a juriștilor angajați conform statelor de personal al grupului SA Moldovagaz. Lipsa acestui mecanism, </w:t>
      </w:r>
      <w:r w:rsidR="00FA6129" w:rsidRPr="009772A3">
        <w:rPr>
          <w:rFonts w:asciiTheme="majorHAnsi" w:hAnsiTheme="majorHAnsi" w:cstheme="majorHAnsi"/>
          <w:sz w:val="24"/>
          <w:szCs w:val="24"/>
          <w:lang w:val="ro-MD"/>
        </w:rPr>
        <w:t>de rând</w:t>
      </w:r>
      <w:r w:rsidRPr="009772A3">
        <w:rPr>
          <w:rFonts w:asciiTheme="majorHAnsi" w:hAnsiTheme="majorHAnsi" w:cstheme="majorHAnsi"/>
          <w:sz w:val="24"/>
          <w:szCs w:val="24"/>
          <w:lang w:val="ro-MD"/>
        </w:rPr>
        <w:t xml:space="preserve"> cu lipsa unei fundamentări exhaustive privind necesitatea acestor servicii, a generat</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anul 2014</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un litigiu între părți privind neonorarea obligațiunilor contractuale, care s-a soldat cu încheierea unei tranzacții de împăcare</w:t>
      </w:r>
      <w:r w:rsidRPr="009772A3">
        <w:rPr>
          <w:rFonts w:asciiTheme="majorHAnsi" w:hAnsiTheme="majorHAnsi" w:cstheme="majorHAnsi"/>
          <w:sz w:val="24"/>
          <w:szCs w:val="24"/>
          <w:vertAlign w:val="superscript"/>
          <w:lang w:val="ro-MD"/>
        </w:rPr>
        <w:footnoteReference w:id="160"/>
      </w:r>
      <w:r w:rsidRPr="009772A3">
        <w:rPr>
          <w:rFonts w:asciiTheme="majorHAnsi" w:hAnsiTheme="majorHAnsi" w:cstheme="majorHAnsi"/>
          <w:sz w:val="24"/>
          <w:szCs w:val="24"/>
          <w:lang w:val="ro-MD"/>
        </w:rPr>
        <w:t xml:space="preserve">, precum și </w:t>
      </w:r>
      <w:r w:rsidR="00FA6129" w:rsidRPr="009772A3">
        <w:rPr>
          <w:rFonts w:asciiTheme="majorHAnsi" w:hAnsiTheme="majorHAnsi" w:cstheme="majorHAnsi"/>
          <w:sz w:val="24"/>
          <w:szCs w:val="24"/>
          <w:lang w:val="ro-MD"/>
        </w:rPr>
        <w:t xml:space="preserve">cu </w:t>
      </w:r>
      <w:r w:rsidRPr="009772A3">
        <w:rPr>
          <w:rFonts w:asciiTheme="majorHAnsi" w:hAnsiTheme="majorHAnsi" w:cstheme="majorHAnsi"/>
          <w:sz w:val="24"/>
          <w:szCs w:val="24"/>
          <w:lang w:val="ro-MD"/>
        </w:rPr>
        <w:t>suportarea de către grupul SA Moldovagaz a cheltuielilor aferente în sumă totală de 3.722,9 mii lei, și cu reîncheierea contractelor de asistență și consultanță juridică.</w:t>
      </w:r>
    </w:p>
    <w:p w14:paraId="0888CA1C" w14:textId="13B4EB26" w:rsidR="00733006" w:rsidRPr="009772A3" w:rsidRDefault="00733006" w:rsidP="0073300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O situație similară s-a atestat și la SRL Ialoveni</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 unde fără o justificare a nec</w:t>
      </w:r>
      <w:r w:rsidR="00936790"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sităților a fost încheiat un contract de prestare a serviciilor juridice</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prevedea achitarea lunară a unei sume de 18,7 mii lei, fără a specifica detaliat tipul serviciului juridic prestat. </w:t>
      </w:r>
      <w:r w:rsidR="00C319F7" w:rsidRPr="009772A3">
        <w:rPr>
          <w:rFonts w:asciiTheme="majorHAnsi" w:hAnsiTheme="majorHAnsi" w:cstheme="majorHAnsi"/>
          <w:sz w:val="24"/>
          <w:szCs w:val="24"/>
          <w:lang w:val="ro-MD"/>
        </w:rPr>
        <w:t>Totodată</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nici în actele de primire</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predare a serviciilor juridice nu sunt enumerate serviciile de facto prestate. </w:t>
      </w:r>
      <w:r w:rsidR="00C319F7" w:rsidRPr="009772A3">
        <w:rPr>
          <w:rFonts w:asciiTheme="majorHAnsi" w:hAnsiTheme="majorHAnsi" w:cstheme="majorHAnsi"/>
          <w:sz w:val="24"/>
          <w:szCs w:val="24"/>
          <w:lang w:val="ro-MD"/>
        </w:rPr>
        <w:t>În aceste circumstanțe</w:t>
      </w:r>
      <w:r w:rsidRPr="009772A3">
        <w:rPr>
          <w:rFonts w:asciiTheme="majorHAnsi" w:hAnsiTheme="majorHAnsi" w:cstheme="majorHAnsi"/>
          <w:sz w:val="24"/>
          <w:szCs w:val="24"/>
          <w:lang w:val="ro-MD"/>
        </w:rPr>
        <w:t xml:space="preserve">, </w:t>
      </w:r>
      <w:r w:rsidR="00C319F7" w:rsidRPr="009772A3">
        <w:rPr>
          <w:rFonts w:asciiTheme="majorHAnsi" w:hAnsiTheme="majorHAnsi" w:cstheme="majorHAnsi"/>
          <w:sz w:val="24"/>
          <w:szCs w:val="24"/>
          <w:lang w:val="ro-MD"/>
        </w:rPr>
        <w:t>pentru</w:t>
      </w:r>
      <w:r w:rsidRPr="009772A3">
        <w:rPr>
          <w:rFonts w:asciiTheme="majorHAnsi" w:hAnsiTheme="majorHAnsi" w:cstheme="majorHAnsi"/>
          <w:sz w:val="24"/>
          <w:szCs w:val="24"/>
          <w:lang w:val="ro-MD"/>
        </w:rPr>
        <w:t xml:space="preserve"> perioada 2021</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2022</w:t>
      </w:r>
      <w:r w:rsidR="00C319F7" w:rsidRPr="009772A3">
        <w:rPr>
          <w:rFonts w:asciiTheme="majorHAnsi" w:hAnsiTheme="majorHAnsi" w:cstheme="majorHAnsi"/>
          <w:sz w:val="24"/>
          <w:szCs w:val="24"/>
          <w:lang w:val="ro-MD"/>
        </w:rPr>
        <w:t xml:space="preserve"> SRL Ialoveni-gaz a</w:t>
      </w:r>
      <w:r w:rsidRPr="009772A3">
        <w:rPr>
          <w:rFonts w:asciiTheme="majorHAnsi" w:hAnsiTheme="majorHAnsi" w:cstheme="majorHAnsi"/>
          <w:sz w:val="24"/>
          <w:szCs w:val="24"/>
          <w:lang w:val="ro-MD"/>
        </w:rPr>
        <w:t xml:space="preserve"> suportat </w:t>
      </w:r>
      <w:r w:rsidR="00936790" w:rsidRPr="009772A3">
        <w:rPr>
          <w:rFonts w:asciiTheme="majorHAnsi" w:hAnsiTheme="majorHAnsi" w:cstheme="majorHAnsi"/>
          <w:sz w:val="24"/>
          <w:szCs w:val="24"/>
          <w:lang w:val="ro-MD"/>
        </w:rPr>
        <w:t>cheltuieli în sumă de</w:t>
      </w:r>
      <w:r w:rsidRPr="009772A3">
        <w:rPr>
          <w:rFonts w:asciiTheme="majorHAnsi" w:hAnsiTheme="majorHAnsi" w:cstheme="majorHAnsi"/>
          <w:sz w:val="24"/>
          <w:szCs w:val="24"/>
          <w:lang w:val="ro-MD"/>
        </w:rPr>
        <w:t xml:space="preserve"> cca 281,0 mii lei</w:t>
      </w:r>
      <w:r w:rsidR="00C022C0" w:rsidRPr="009772A3">
        <w:rPr>
          <w:rFonts w:asciiTheme="majorHAnsi" w:hAnsiTheme="majorHAnsi" w:cstheme="majorHAnsi"/>
          <w:sz w:val="24"/>
          <w:szCs w:val="24"/>
          <w:lang w:val="ro-MD"/>
        </w:rPr>
        <w:t>.</w:t>
      </w:r>
    </w:p>
    <w:p w14:paraId="1B0E9F03" w14:textId="57742EC1" w:rsidR="00F32027" w:rsidRPr="009772A3" w:rsidRDefault="00553B20" w:rsidP="00F32027">
      <w:pPr>
        <w:spacing w:after="0" w:line="276" w:lineRule="auto"/>
        <w:ind w:firstLine="709"/>
        <w:jc w:val="both"/>
        <w:rPr>
          <w:rFonts w:asciiTheme="majorHAnsi" w:hAnsiTheme="majorHAnsi" w:cstheme="majorHAnsi"/>
          <w:sz w:val="24"/>
          <w:szCs w:val="24"/>
          <w:highlight w:val="yellow"/>
          <w:lang w:val="ro-MD"/>
        </w:rPr>
      </w:pPr>
      <w:r w:rsidRPr="009772A3">
        <w:rPr>
          <w:rFonts w:asciiTheme="majorHAnsi" w:hAnsiTheme="majorHAnsi" w:cstheme="majorHAnsi"/>
          <w:sz w:val="24"/>
          <w:szCs w:val="24"/>
          <w:lang w:val="ro-MD"/>
        </w:rPr>
        <w:t xml:space="preserve">Deși SA Moldovagaz explică că serviciile juridice externalizate pe bază de abonament, pe lângă reprezentarea intereselor în instanțele naționale, au constat și în reprezentarea intereselor societății </w:t>
      </w:r>
      <w:r w:rsidR="00FA6129" w:rsidRPr="009772A3">
        <w:rPr>
          <w:rFonts w:asciiTheme="majorHAnsi" w:hAnsiTheme="majorHAnsi" w:cstheme="majorHAnsi"/>
          <w:sz w:val="24"/>
          <w:szCs w:val="24"/>
          <w:lang w:val="ro-MD"/>
        </w:rPr>
        <w:t>la</w:t>
      </w:r>
      <w:r w:rsidRPr="009772A3">
        <w:rPr>
          <w:rFonts w:asciiTheme="majorHAnsi" w:hAnsiTheme="majorHAnsi" w:cstheme="majorHAnsi"/>
          <w:sz w:val="24"/>
          <w:szCs w:val="24"/>
          <w:lang w:val="ro-MD"/>
        </w:rPr>
        <w:t xml:space="preserve"> CtEDO și </w:t>
      </w:r>
      <w:r w:rsidR="00656AD8" w:rsidRPr="009772A3">
        <w:rPr>
          <w:rFonts w:asciiTheme="majorHAnsi" w:hAnsiTheme="majorHAnsi" w:cstheme="majorHAnsi"/>
          <w:sz w:val="24"/>
          <w:szCs w:val="24"/>
          <w:lang w:val="ro-MD"/>
        </w:rPr>
        <w:t xml:space="preserve">au </w:t>
      </w:r>
      <w:r w:rsidRPr="009772A3">
        <w:rPr>
          <w:rFonts w:asciiTheme="majorHAnsi" w:hAnsiTheme="majorHAnsi" w:cstheme="majorHAnsi"/>
          <w:sz w:val="24"/>
          <w:szCs w:val="24"/>
          <w:lang w:val="ro-MD"/>
        </w:rPr>
        <w:t>asigura</w:t>
      </w:r>
      <w:r w:rsidR="00656AD8"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 xml:space="preserve"> interacțiun</w:t>
      </w:r>
      <w:r w:rsidR="00656AD8" w:rsidRPr="009772A3">
        <w:rPr>
          <w:rFonts w:asciiTheme="majorHAnsi" w:hAnsiTheme="majorHAnsi" w:cstheme="majorHAnsi"/>
          <w:sz w:val="24"/>
          <w:szCs w:val="24"/>
          <w:lang w:val="ro-MD"/>
        </w:rPr>
        <w:t>ea</w:t>
      </w:r>
      <w:r w:rsidRPr="009772A3">
        <w:rPr>
          <w:rFonts w:asciiTheme="majorHAnsi" w:hAnsiTheme="majorHAnsi" w:cstheme="majorHAnsi"/>
          <w:sz w:val="24"/>
          <w:szCs w:val="24"/>
          <w:lang w:val="ro-MD"/>
        </w:rPr>
        <w:t xml:space="preserve"> în vederea conlucrării cu avocații</w:t>
      </w:r>
      <w:r w:rsidR="00F5310F"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SA „Moldovagaz” în instanțele de judecată din SUA, </w:t>
      </w:r>
      <w:r w:rsidR="00F34C98" w:rsidRPr="009772A3">
        <w:rPr>
          <w:rFonts w:asciiTheme="majorHAnsi" w:hAnsiTheme="majorHAnsi" w:cstheme="majorHAnsi"/>
          <w:sz w:val="24"/>
          <w:szCs w:val="24"/>
          <w:lang w:val="ro-MD"/>
        </w:rPr>
        <w:t xml:space="preserve">totuși auditul </w:t>
      </w:r>
      <w:r w:rsidRPr="009772A3">
        <w:rPr>
          <w:rFonts w:asciiTheme="majorHAnsi" w:hAnsiTheme="majorHAnsi" w:cstheme="majorHAnsi"/>
          <w:sz w:val="24"/>
          <w:szCs w:val="24"/>
          <w:lang w:val="ro-MD"/>
        </w:rPr>
        <w:t xml:space="preserve">consideră că </w:t>
      </w:r>
      <w:r w:rsidR="00F34C98" w:rsidRPr="009772A3">
        <w:rPr>
          <w:rFonts w:asciiTheme="majorHAnsi" w:hAnsiTheme="majorHAnsi" w:cstheme="majorHAnsi"/>
          <w:sz w:val="24"/>
          <w:szCs w:val="24"/>
          <w:lang w:val="ro-MD"/>
        </w:rPr>
        <w:t xml:space="preserve">delimitarea clară a volumului </w:t>
      </w:r>
      <w:r w:rsidR="00936790" w:rsidRPr="009772A3">
        <w:rPr>
          <w:rFonts w:asciiTheme="majorHAnsi" w:hAnsiTheme="majorHAnsi" w:cstheme="majorHAnsi"/>
          <w:sz w:val="24"/>
          <w:szCs w:val="24"/>
          <w:lang w:val="ro-MD"/>
        </w:rPr>
        <w:t xml:space="preserve">necesar </w:t>
      </w:r>
      <w:r w:rsidR="00F34C98" w:rsidRPr="009772A3">
        <w:rPr>
          <w:rFonts w:asciiTheme="majorHAnsi" w:hAnsiTheme="majorHAnsi" w:cstheme="majorHAnsi"/>
          <w:sz w:val="24"/>
          <w:szCs w:val="24"/>
          <w:lang w:val="ro-MD"/>
        </w:rPr>
        <w:t>de servicii externalizate</w:t>
      </w:r>
      <w:r w:rsidR="00144760" w:rsidRPr="009772A3">
        <w:rPr>
          <w:rFonts w:asciiTheme="majorHAnsi" w:hAnsiTheme="majorHAnsi" w:cstheme="majorHAnsi"/>
          <w:sz w:val="24"/>
          <w:szCs w:val="24"/>
          <w:lang w:val="ro-MD"/>
        </w:rPr>
        <w:t xml:space="preserve"> și </w:t>
      </w:r>
      <w:r w:rsidR="00FA6129" w:rsidRPr="009772A3">
        <w:rPr>
          <w:rFonts w:asciiTheme="majorHAnsi" w:hAnsiTheme="majorHAnsi" w:cstheme="majorHAnsi"/>
          <w:sz w:val="24"/>
          <w:szCs w:val="24"/>
          <w:lang w:val="ro-MD"/>
        </w:rPr>
        <w:t xml:space="preserve">stabilirea </w:t>
      </w:r>
      <w:r w:rsidR="00144760" w:rsidRPr="009772A3">
        <w:rPr>
          <w:rFonts w:asciiTheme="majorHAnsi" w:hAnsiTheme="majorHAnsi" w:cstheme="majorHAnsi"/>
          <w:sz w:val="24"/>
          <w:szCs w:val="24"/>
          <w:lang w:val="ro-MD"/>
        </w:rPr>
        <w:t>costuril</w:t>
      </w:r>
      <w:r w:rsidR="00FA6129" w:rsidRPr="009772A3">
        <w:rPr>
          <w:rFonts w:asciiTheme="majorHAnsi" w:hAnsiTheme="majorHAnsi" w:cstheme="majorHAnsi"/>
          <w:sz w:val="24"/>
          <w:szCs w:val="24"/>
          <w:lang w:val="ro-MD"/>
        </w:rPr>
        <w:t>or</w:t>
      </w:r>
      <w:r w:rsidR="00144760" w:rsidRPr="009772A3">
        <w:rPr>
          <w:rFonts w:asciiTheme="majorHAnsi" w:hAnsiTheme="majorHAnsi" w:cstheme="majorHAnsi"/>
          <w:sz w:val="24"/>
          <w:szCs w:val="24"/>
          <w:lang w:val="ro-MD"/>
        </w:rPr>
        <w:t xml:space="preserve"> aferente implicate</w:t>
      </w:r>
      <w:r w:rsidR="00F34C98" w:rsidRPr="009772A3">
        <w:rPr>
          <w:rFonts w:asciiTheme="majorHAnsi" w:hAnsiTheme="majorHAnsi" w:cstheme="majorHAnsi"/>
          <w:sz w:val="24"/>
          <w:szCs w:val="24"/>
          <w:lang w:val="ro-MD"/>
        </w:rPr>
        <w:t xml:space="preserve"> ar trebui examinat</w:t>
      </w:r>
      <w:r w:rsidR="00853C6A" w:rsidRPr="009772A3">
        <w:rPr>
          <w:rFonts w:asciiTheme="majorHAnsi" w:hAnsiTheme="majorHAnsi" w:cstheme="majorHAnsi"/>
          <w:sz w:val="24"/>
          <w:szCs w:val="24"/>
          <w:lang w:val="ro-MD"/>
        </w:rPr>
        <w:t>e</w:t>
      </w:r>
      <w:r w:rsidR="00F34C98" w:rsidRPr="009772A3">
        <w:rPr>
          <w:rFonts w:asciiTheme="majorHAnsi" w:hAnsiTheme="majorHAnsi" w:cstheme="majorHAnsi"/>
          <w:sz w:val="24"/>
          <w:szCs w:val="24"/>
          <w:lang w:val="ro-MD"/>
        </w:rPr>
        <w:t xml:space="preserve"> și evaluat</w:t>
      </w:r>
      <w:r w:rsidR="00853C6A" w:rsidRPr="009772A3">
        <w:rPr>
          <w:rFonts w:asciiTheme="majorHAnsi" w:hAnsiTheme="majorHAnsi" w:cstheme="majorHAnsi"/>
          <w:sz w:val="24"/>
          <w:szCs w:val="24"/>
          <w:lang w:val="ro-MD"/>
        </w:rPr>
        <w:t>e</w:t>
      </w:r>
      <w:r w:rsidR="00F34C98" w:rsidRPr="009772A3">
        <w:rPr>
          <w:rFonts w:asciiTheme="majorHAnsi" w:hAnsiTheme="majorHAnsi" w:cstheme="majorHAnsi"/>
          <w:sz w:val="24"/>
          <w:szCs w:val="24"/>
          <w:lang w:val="ro-MD"/>
        </w:rPr>
        <w:t xml:space="preserve"> </w:t>
      </w:r>
      <w:r w:rsidR="00315E05" w:rsidRPr="009772A3">
        <w:rPr>
          <w:rFonts w:asciiTheme="majorHAnsi" w:hAnsiTheme="majorHAnsi" w:cstheme="majorHAnsi"/>
          <w:sz w:val="24"/>
          <w:szCs w:val="24"/>
          <w:lang w:val="ro-MD"/>
        </w:rPr>
        <w:t xml:space="preserve">în mod </w:t>
      </w:r>
      <w:r w:rsidR="00F34C98" w:rsidRPr="009772A3">
        <w:rPr>
          <w:rFonts w:asciiTheme="majorHAnsi" w:hAnsiTheme="majorHAnsi" w:cstheme="majorHAnsi"/>
          <w:sz w:val="24"/>
          <w:szCs w:val="24"/>
          <w:lang w:val="ro-MD"/>
        </w:rPr>
        <w:t xml:space="preserve">separat, pentru a asigura atingerea </w:t>
      </w:r>
      <w:r w:rsidRPr="009772A3">
        <w:rPr>
          <w:rFonts w:asciiTheme="majorHAnsi" w:hAnsiTheme="majorHAnsi" w:cstheme="majorHAnsi"/>
          <w:sz w:val="24"/>
          <w:szCs w:val="24"/>
          <w:lang w:val="ro-MD"/>
        </w:rPr>
        <w:t>obiectivelor societății, pe baza</w:t>
      </w:r>
      <w:r w:rsidR="00F34C98" w:rsidRPr="009772A3">
        <w:rPr>
          <w:rFonts w:asciiTheme="majorHAnsi" w:hAnsiTheme="majorHAnsi" w:cstheme="majorHAnsi"/>
          <w:sz w:val="24"/>
          <w:szCs w:val="24"/>
          <w:lang w:val="ro-MD"/>
        </w:rPr>
        <w:t xml:space="preserve"> gestionării resurselor conform</w:t>
      </w:r>
      <w:r w:rsidRPr="009772A3">
        <w:rPr>
          <w:rFonts w:asciiTheme="majorHAnsi" w:hAnsiTheme="majorHAnsi" w:cstheme="majorHAnsi"/>
          <w:sz w:val="24"/>
          <w:szCs w:val="24"/>
          <w:lang w:val="ro-MD"/>
        </w:rPr>
        <w:t xml:space="preserve"> principiilor de economie și economicitate.</w:t>
      </w:r>
      <w:r w:rsidR="00F32027" w:rsidRPr="009772A3">
        <w:rPr>
          <w:rFonts w:asciiTheme="majorHAnsi" w:hAnsiTheme="majorHAnsi" w:cstheme="majorHAnsi"/>
          <w:sz w:val="24"/>
          <w:szCs w:val="24"/>
          <w:highlight w:val="yellow"/>
          <w:lang w:val="ro-MD"/>
        </w:rPr>
        <w:t xml:space="preserve"> </w:t>
      </w:r>
    </w:p>
    <w:p w14:paraId="68A48181" w14:textId="545A2BB3" w:rsidR="00F32027" w:rsidRPr="009772A3" w:rsidRDefault="00F32027" w:rsidP="00F32027">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Auditul menționează că</w:t>
      </w:r>
      <w:r w:rsidR="00FA61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perioada auditată, SA Moldovagaz a fost implicată într-un litigiu de arbitraj internațional</w:t>
      </w:r>
      <w:r w:rsidRPr="009772A3">
        <w:rPr>
          <w:rStyle w:val="FootnoteReference"/>
          <w:rFonts w:asciiTheme="majorHAnsi" w:hAnsiTheme="majorHAnsi" w:cstheme="majorHAnsi"/>
          <w:sz w:val="24"/>
          <w:szCs w:val="24"/>
          <w:lang w:val="ro-MD"/>
        </w:rPr>
        <w:footnoteReference w:id="161"/>
      </w:r>
      <w:r w:rsidRPr="009772A3">
        <w:rPr>
          <w:rFonts w:asciiTheme="majorHAnsi" w:hAnsiTheme="majorHAnsi" w:cstheme="majorHAnsi"/>
          <w:sz w:val="24"/>
          <w:szCs w:val="24"/>
          <w:lang w:val="ro-MD"/>
        </w:rPr>
        <w:t>, care a impus suportarea unor cheltuieli în sumă totală de 17.663,6 mii lei, pentru servicii</w:t>
      </w:r>
      <w:r w:rsidR="00FA6129"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caselor de avocatură. </w:t>
      </w:r>
      <w:r w:rsidR="00FA6129" w:rsidRPr="009772A3">
        <w:rPr>
          <w:rFonts w:asciiTheme="majorHAnsi" w:hAnsiTheme="majorHAnsi" w:cstheme="majorHAnsi"/>
          <w:sz w:val="24"/>
          <w:szCs w:val="24"/>
          <w:lang w:val="ro-MD"/>
        </w:rPr>
        <w:t>Ca u</w:t>
      </w:r>
      <w:r w:rsidRPr="009772A3">
        <w:rPr>
          <w:rFonts w:asciiTheme="majorHAnsi" w:hAnsiTheme="majorHAnsi" w:cstheme="majorHAnsi"/>
          <w:sz w:val="24"/>
          <w:szCs w:val="24"/>
          <w:lang w:val="ro-MD"/>
        </w:rPr>
        <w:t xml:space="preserve">rmare </w:t>
      </w:r>
      <w:r w:rsidR="00FA6129"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procesului de arbitraj, prin hotărârea Curții de Apel New York din 22.06.2021</w:t>
      </w:r>
      <w:r w:rsidR="00AF360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s-a admis cererea de apel depusă de SA „Moldovagaz” și casată hotărârii primei instanțe din 01.11.2019</w:t>
      </w:r>
      <w:r w:rsidR="00AF3600" w:rsidRPr="009772A3">
        <w:rPr>
          <w:rFonts w:asciiTheme="majorHAnsi" w:hAnsiTheme="majorHAnsi" w:cstheme="majorHAnsi"/>
          <w:sz w:val="24"/>
          <w:szCs w:val="24"/>
          <w:lang w:val="ro-MD"/>
        </w:rPr>
        <w:t>,</w:t>
      </w:r>
      <w:r w:rsidR="00730660" w:rsidRPr="009772A3">
        <w:rPr>
          <w:rFonts w:asciiTheme="majorHAnsi" w:hAnsiTheme="majorHAnsi" w:cstheme="majorHAnsi"/>
          <w:sz w:val="24"/>
          <w:szCs w:val="24"/>
          <w:lang w:val="ro-MD"/>
        </w:rPr>
        <w:t xml:space="preserve"> fiind respinse pretențiile față de SA Moldovagaz și Guvernul Republicii Moldova în valoare de 32.509,0 mii dolari SUA.</w:t>
      </w:r>
    </w:p>
    <w:p w14:paraId="642ACDE0" w14:textId="1F3282A0" w:rsidR="00FD1AA6" w:rsidRPr="009772A3" w:rsidRDefault="00A143A2" w:rsidP="00B30558">
      <w:pPr>
        <w:pStyle w:val="Heading1"/>
        <w:numPr>
          <w:ilvl w:val="3"/>
          <w:numId w:val="2"/>
        </w:numPr>
        <w:spacing w:line="276" w:lineRule="auto"/>
        <w:ind w:left="0" w:firstLine="0"/>
        <w:jc w:val="both"/>
        <w:rPr>
          <w:i/>
          <w:color w:val="auto"/>
          <w:lang w:val="ro-MD"/>
        </w:rPr>
      </w:pPr>
      <w:bookmarkStart w:id="212" w:name="_Toc118964673"/>
      <w:bookmarkStart w:id="213" w:name="_Toc118977884"/>
      <w:bookmarkStart w:id="214" w:name="_Toc119245472"/>
      <w:bookmarkStart w:id="215" w:name="_Toc119496449"/>
      <w:bookmarkEnd w:id="212"/>
      <w:bookmarkEnd w:id="213"/>
      <w:bookmarkEnd w:id="214"/>
      <w:r w:rsidRPr="009772A3">
        <w:rPr>
          <w:i/>
          <w:color w:val="auto"/>
          <w:lang w:val="ro-MD"/>
        </w:rPr>
        <w:t xml:space="preserve">Deși grupul SA Moldovagaz a efectuat cheltuieli în sumă totală de 6.152,5 mii lei pentru serviciile de monitorizare prin GPS a mijloacelor de transport, rezultatele furnizate nu sunt utilizate </w:t>
      </w:r>
      <w:r w:rsidR="0037235A" w:rsidRPr="009772A3">
        <w:rPr>
          <w:i/>
          <w:color w:val="auto"/>
          <w:lang w:val="ro-MD"/>
        </w:rPr>
        <w:t xml:space="preserve">pe deplin </w:t>
      </w:r>
      <w:r w:rsidRPr="009772A3">
        <w:rPr>
          <w:i/>
          <w:color w:val="auto"/>
          <w:lang w:val="ro-MD"/>
        </w:rPr>
        <w:t>în scopul optimizării cheltuielilor și procesului de gestionare a mijloacelor de transport.</w:t>
      </w:r>
      <w:bookmarkEnd w:id="215"/>
      <w:r w:rsidR="00630459" w:rsidRPr="009772A3">
        <w:rPr>
          <w:i/>
          <w:color w:val="auto"/>
          <w:lang w:val="ro-MD"/>
        </w:rPr>
        <w:t xml:space="preserve"> </w:t>
      </w:r>
    </w:p>
    <w:p w14:paraId="6DC99368" w14:textId="67D6DBEE" w:rsidR="00E575EA" w:rsidRPr="009772A3" w:rsidRDefault="00E575EA" w:rsidP="00E575EA">
      <w:pPr>
        <w:spacing w:after="0" w:line="276" w:lineRule="auto"/>
        <w:ind w:firstLine="709"/>
        <w:jc w:val="both"/>
        <w:rPr>
          <w:rFonts w:asciiTheme="majorHAnsi" w:hAnsiTheme="majorHAnsi" w:cstheme="majorHAnsi"/>
          <w:sz w:val="24"/>
          <w:lang w:val="ro-MD"/>
        </w:rPr>
      </w:pPr>
      <w:r w:rsidRPr="009772A3">
        <w:rPr>
          <w:rFonts w:asciiTheme="majorHAnsi" w:hAnsiTheme="majorHAnsi" w:cstheme="majorHAnsi"/>
          <w:sz w:val="24"/>
          <w:szCs w:val="24"/>
          <w:lang w:val="ro-MD"/>
        </w:rPr>
        <w:t>Pentru</w:t>
      </w:r>
      <w:r w:rsidRPr="009772A3">
        <w:rPr>
          <w:rFonts w:asciiTheme="majorHAnsi" w:hAnsiTheme="majorHAnsi" w:cstheme="majorHAnsi"/>
          <w:sz w:val="24"/>
          <w:lang w:val="ro-MD"/>
        </w:rPr>
        <w:t xml:space="preserve"> optimizarea cheltuielilor administrative aferente gestionării mijloacelor de transport, prin monitorizarea rutelor de deplasare a acestora, SA Moldovagaz și companiile sale afiliate au contractat, în perioada 2017</w:t>
      </w:r>
      <w:r w:rsidR="00AF3600" w:rsidRPr="009772A3">
        <w:rPr>
          <w:rFonts w:asciiTheme="majorHAnsi" w:hAnsiTheme="majorHAnsi" w:cstheme="majorHAnsi"/>
          <w:sz w:val="24"/>
          <w:lang w:val="ro-MD"/>
        </w:rPr>
        <w:t>-</w:t>
      </w:r>
      <w:r w:rsidRPr="009772A3">
        <w:rPr>
          <w:rFonts w:asciiTheme="majorHAnsi" w:hAnsiTheme="majorHAnsi" w:cstheme="majorHAnsi"/>
          <w:sz w:val="24"/>
          <w:lang w:val="ro-MD"/>
        </w:rPr>
        <w:t>2021, servicii de control al traficului prin echipamente GPS, în sumă totală de 6.152,5 mii lei.</w:t>
      </w:r>
    </w:p>
    <w:p w14:paraId="6928EA8D" w14:textId="6FC9E5CD" w:rsidR="00E575EA" w:rsidRPr="009772A3" w:rsidRDefault="00E575EA" w:rsidP="00E575EA">
      <w:pPr>
        <w:spacing w:after="0" w:line="276" w:lineRule="auto"/>
        <w:ind w:firstLine="709"/>
        <w:jc w:val="both"/>
        <w:rPr>
          <w:rFonts w:asciiTheme="majorHAnsi" w:hAnsiTheme="majorHAnsi" w:cstheme="majorHAnsi"/>
          <w:sz w:val="24"/>
          <w:lang w:val="ro-MD"/>
        </w:rPr>
      </w:pPr>
      <w:r w:rsidRPr="009772A3">
        <w:rPr>
          <w:rFonts w:asciiTheme="majorHAnsi" w:hAnsiTheme="majorHAnsi" w:cstheme="majorHAnsi"/>
          <w:sz w:val="24"/>
          <w:szCs w:val="24"/>
          <w:lang w:val="ro-MD"/>
        </w:rPr>
        <w:t>Probele</w:t>
      </w:r>
      <w:r w:rsidRPr="009772A3">
        <w:rPr>
          <w:rFonts w:asciiTheme="majorHAnsi" w:hAnsiTheme="majorHAnsi" w:cstheme="majorHAnsi"/>
          <w:sz w:val="24"/>
          <w:lang w:val="ro-MD"/>
        </w:rPr>
        <w:t xml:space="preserve"> colectate de audit relevă că</w:t>
      </w:r>
      <w:r w:rsidR="00AF3600" w:rsidRPr="009772A3">
        <w:rPr>
          <w:rFonts w:asciiTheme="majorHAnsi" w:hAnsiTheme="majorHAnsi" w:cstheme="majorHAnsi"/>
          <w:sz w:val="24"/>
          <w:lang w:val="ro-MD"/>
        </w:rPr>
        <w:t>,</w:t>
      </w:r>
      <w:r w:rsidRPr="009772A3">
        <w:rPr>
          <w:rFonts w:asciiTheme="majorHAnsi" w:hAnsiTheme="majorHAnsi" w:cstheme="majorHAnsi"/>
          <w:sz w:val="24"/>
          <w:lang w:val="ro-MD"/>
        </w:rPr>
        <w:t xml:space="preserve"> din cauza concentrării funcțiilor și atribuțiilor de supraveghere, control, verificare și acceptare a foilor de parcurs</w:t>
      </w:r>
      <w:r w:rsidR="00AF3600" w:rsidRPr="009772A3">
        <w:rPr>
          <w:rFonts w:asciiTheme="majorHAnsi" w:hAnsiTheme="majorHAnsi" w:cstheme="majorHAnsi"/>
          <w:sz w:val="24"/>
          <w:lang w:val="ro-MD"/>
        </w:rPr>
        <w:t xml:space="preserve"> la un singur angajat</w:t>
      </w:r>
      <w:r w:rsidRPr="009772A3">
        <w:rPr>
          <w:rFonts w:asciiTheme="majorHAnsi" w:hAnsiTheme="majorHAnsi" w:cstheme="majorHAnsi"/>
          <w:sz w:val="24"/>
          <w:lang w:val="ro-MD"/>
        </w:rPr>
        <w:t>, sistemul GPS nu produc</w:t>
      </w:r>
      <w:r w:rsidR="00AF3600" w:rsidRPr="009772A3">
        <w:rPr>
          <w:rFonts w:asciiTheme="majorHAnsi" w:hAnsiTheme="majorHAnsi" w:cstheme="majorHAnsi"/>
          <w:sz w:val="24"/>
          <w:lang w:val="ro-MD"/>
        </w:rPr>
        <w:t>e</w:t>
      </w:r>
      <w:r w:rsidRPr="009772A3">
        <w:rPr>
          <w:rFonts w:asciiTheme="majorHAnsi" w:hAnsiTheme="majorHAnsi" w:cstheme="majorHAnsi"/>
          <w:sz w:val="24"/>
          <w:lang w:val="ro-MD"/>
        </w:rPr>
        <w:t xml:space="preserve"> efecte</w:t>
      </w:r>
      <w:r w:rsidR="00132BC6">
        <w:rPr>
          <w:rFonts w:asciiTheme="majorHAnsi" w:hAnsiTheme="majorHAnsi" w:cstheme="majorHAnsi"/>
          <w:sz w:val="24"/>
          <w:lang w:val="ro-MD"/>
        </w:rPr>
        <w:t>le</w:t>
      </w:r>
      <w:r w:rsidRPr="009772A3">
        <w:rPr>
          <w:rFonts w:asciiTheme="majorHAnsi" w:hAnsiTheme="majorHAnsi" w:cstheme="majorHAnsi"/>
          <w:sz w:val="24"/>
          <w:lang w:val="ro-MD"/>
        </w:rPr>
        <w:t xml:space="preserve"> economice așteptate. Deși există cazuri când sistemul GPS a stabilit un parcurs mai mare sau mai mic al mijloacelor de transport față de cel înregistrat în foile de parcurs, nu au fost întreprinse acțiuni concrete de responsabilizare a persoanelor responsabile de gestionarea bunurilor întreprinderilor. Astfel, </w:t>
      </w:r>
      <w:r w:rsidR="00AF3600" w:rsidRPr="009772A3">
        <w:rPr>
          <w:rFonts w:asciiTheme="majorHAnsi" w:hAnsiTheme="majorHAnsi" w:cstheme="majorHAnsi"/>
          <w:sz w:val="24"/>
          <w:lang w:val="ro-MD"/>
        </w:rPr>
        <w:t xml:space="preserve">se </w:t>
      </w:r>
      <w:r w:rsidRPr="009772A3">
        <w:rPr>
          <w:rFonts w:asciiTheme="majorHAnsi" w:hAnsiTheme="majorHAnsi" w:cstheme="majorHAnsi"/>
          <w:sz w:val="24"/>
          <w:lang w:val="ro-MD"/>
        </w:rPr>
        <w:t>mențin</w:t>
      </w:r>
      <w:r w:rsidR="00AF3600" w:rsidRPr="009772A3">
        <w:rPr>
          <w:rFonts w:asciiTheme="majorHAnsi" w:hAnsiTheme="majorHAnsi" w:cstheme="majorHAnsi"/>
          <w:sz w:val="24"/>
          <w:lang w:val="ro-MD"/>
        </w:rPr>
        <w:t>e</w:t>
      </w:r>
      <w:r w:rsidRPr="009772A3">
        <w:rPr>
          <w:rFonts w:asciiTheme="majorHAnsi" w:hAnsiTheme="majorHAnsi" w:cstheme="majorHAnsi"/>
          <w:sz w:val="24"/>
          <w:lang w:val="ro-MD"/>
        </w:rPr>
        <w:t xml:space="preserve"> un nivel semnificativ de înalt </w:t>
      </w:r>
      <w:r w:rsidR="00AF3600" w:rsidRPr="009772A3">
        <w:rPr>
          <w:rFonts w:asciiTheme="majorHAnsi" w:hAnsiTheme="majorHAnsi" w:cstheme="majorHAnsi"/>
          <w:sz w:val="24"/>
          <w:lang w:val="ro-MD"/>
        </w:rPr>
        <w:t xml:space="preserve">al </w:t>
      </w:r>
      <w:r w:rsidR="00656AD8" w:rsidRPr="009772A3">
        <w:rPr>
          <w:rFonts w:asciiTheme="majorHAnsi" w:hAnsiTheme="majorHAnsi" w:cstheme="majorHAnsi"/>
          <w:sz w:val="24"/>
          <w:lang w:val="ro-MD"/>
        </w:rPr>
        <w:t>riscu</w:t>
      </w:r>
      <w:r w:rsidR="00AF3600" w:rsidRPr="009772A3">
        <w:rPr>
          <w:rFonts w:asciiTheme="majorHAnsi" w:hAnsiTheme="majorHAnsi" w:cstheme="majorHAnsi"/>
          <w:sz w:val="24"/>
          <w:lang w:val="ro-MD"/>
        </w:rPr>
        <w:t>lui</w:t>
      </w:r>
      <w:r w:rsidR="00656AD8" w:rsidRPr="009772A3">
        <w:rPr>
          <w:rFonts w:asciiTheme="majorHAnsi" w:hAnsiTheme="majorHAnsi" w:cstheme="majorHAnsi"/>
          <w:sz w:val="24"/>
          <w:lang w:val="ro-MD"/>
        </w:rPr>
        <w:t xml:space="preserve"> </w:t>
      </w:r>
      <w:r w:rsidRPr="009772A3">
        <w:rPr>
          <w:rFonts w:asciiTheme="majorHAnsi" w:hAnsiTheme="majorHAnsi" w:cstheme="majorHAnsi"/>
          <w:sz w:val="24"/>
          <w:lang w:val="ro-MD"/>
        </w:rPr>
        <w:t xml:space="preserve">de utilizare a activelor în alte scopuri decât cele de serviciu, prin denaturarea datelor din foile de parcurs, precum și </w:t>
      </w:r>
      <w:r w:rsidR="00AF3600" w:rsidRPr="009772A3">
        <w:rPr>
          <w:rFonts w:asciiTheme="majorHAnsi" w:hAnsiTheme="majorHAnsi" w:cstheme="majorHAnsi"/>
          <w:sz w:val="24"/>
          <w:lang w:val="ro-MD"/>
        </w:rPr>
        <w:t xml:space="preserve">al </w:t>
      </w:r>
      <w:r w:rsidRPr="009772A3">
        <w:rPr>
          <w:rFonts w:asciiTheme="majorHAnsi" w:hAnsiTheme="majorHAnsi" w:cstheme="majorHAnsi"/>
          <w:sz w:val="24"/>
          <w:lang w:val="ro-MD"/>
        </w:rPr>
        <w:t>riscu</w:t>
      </w:r>
      <w:r w:rsidR="00AF3600" w:rsidRPr="009772A3">
        <w:rPr>
          <w:rFonts w:asciiTheme="majorHAnsi" w:hAnsiTheme="majorHAnsi" w:cstheme="majorHAnsi"/>
          <w:sz w:val="24"/>
          <w:lang w:val="ro-MD"/>
        </w:rPr>
        <w:t>lui</w:t>
      </w:r>
      <w:r w:rsidRPr="009772A3">
        <w:rPr>
          <w:rFonts w:asciiTheme="majorHAnsi" w:hAnsiTheme="majorHAnsi" w:cstheme="majorHAnsi"/>
          <w:sz w:val="24"/>
          <w:lang w:val="ro-MD"/>
        </w:rPr>
        <w:t xml:space="preserve"> de majorare artificială a consumului de carburanți.</w:t>
      </w:r>
    </w:p>
    <w:p w14:paraId="51555EFC" w14:textId="232A6CCE" w:rsidR="00126999" w:rsidRPr="009772A3" w:rsidRDefault="00126999" w:rsidP="00E575EA">
      <w:pPr>
        <w:spacing w:after="0" w:line="276" w:lineRule="auto"/>
        <w:ind w:firstLine="709"/>
        <w:jc w:val="both"/>
        <w:rPr>
          <w:rFonts w:asciiTheme="majorHAnsi" w:hAnsiTheme="majorHAnsi" w:cstheme="majorHAnsi"/>
          <w:sz w:val="24"/>
          <w:lang w:val="ro-MD"/>
        </w:rPr>
      </w:pPr>
      <w:r w:rsidRPr="009772A3">
        <w:rPr>
          <w:rFonts w:asciiTheme="majorHAnsi" w:hAnsiTheme="majorHAnsi" w:cstheme="majorHAnsi"/>
          <w:sz w:val="24"/>
          <w:lang w:val="ro-MD"/>
        </w:rPr>
        <w:t xml:space="preserve">În </w:t>
      </w:r>
      <w:r w:rsidR="00AF3600" w:rsidRPr="009772A3">
        <w:rPr>
          <w:rFonts w:asciiTheme="majorHAnsi" w:hAnsiTheme="majorHAnsi" w:cstheme="majorHAnsi"/>
          <w:sz w:val="24"/>
          <w:lang w:val="ro-MD"/>
        </w:rPr>
        <w:t xml:space="preserve">acest </w:t>
      </w:r>
      <w:r w:rsidRPr="009772A3">
        <w:rPr>
          <w:rFonts w:asciiTheme="majorHAnsi" w:hAnsiTheme="majorHAnsi" w:cstheme="majorHAnsi"/>
          <w:sz w:val="24"/>
          <w:lang w:val="ro-MD"/>
        </w:rPr>
        <w:t xml:space="preserve">context, se exemplifică: </w:t>
      </w:r>
    </w:p>
    <w:p w14:paraId="2C451530" w14:textId="0EDB4C7C" w:rsidR="00126999" w:rsidRPr="009772A3" w:rsidRDefault="00126999" w:rsidP="00132BC6">
      <w:pPr>
        <w:pStyle w:val="Default"/>
        <w:numPr>
          <w:ilvl w:val="1"/>
          <w:numId w:val="23"/>
        </w:numPr>
        <w:spacing w:line="276" w:lineRule="auto"/>
        <w:ind w:left="709" w:hanging="283"/>
        <w:jc w:val="both"/>
        <w:rPr>
          <w:rFonts w:asciiTheme="majorHAnsi" w:hAnsiTheme="majorHAnsi" w:cstheme="majorHAnsi"/>
          <w:color w:val="auto"/>
          <w:lang w:val="ro-MD"/>
        </w:rPr>
      </w:pPr>
      <w:r w:rsidRPr="009772A3">
        <w:rPr>
          <w:rFonts w:asciiTheme="majorHAnsi" w:hAnsiTheme="majorHAnsi" w:cstheme="majorHAnsi"/>
          <w:color w:val="auto"/>
          <w:lang w:val="ro-MD"/>
        </w:rPr>
        <w:t>monitorizarea insuficientă privind gestionarea mijloacelor de transport la SRL „Bălți-gaz” în anul 2018, a dus la admiterea unor cheltuieli netransparente în sumă totală de 52,9 mii lei</w:t>
      </w:r>
      <w:r w:rsidR="00E26392"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constatate de auditul intern al SA Moldovagaz</w:t>
      </w:r>
      <w:r w:rsidR="00E26392" w:rsidRPr="009772A3">
        <w:rPr>
          <w:rFonts w:asciiTheme="majorHAnsi" w:hAnsiTheme="majorHAnsi" w:cstheme="majorHAnsi"/>
          <w:color w:val="auto"/>
          <w:lang w:val="ro-MD"/>
        </w:rPr>
        <w:t xml:space="preserve"> și</w:t>
      </w:r>
      <w:r w:rsidRPr="009772A3">
        <w:rPr>
          <w:rFonts w:asciiTheme="majorHAnsi" w:hAnsiTheme="majorHAnsi" w:cstheme="majorHAnsi"/>
          <w:color w:val="auto"/>
          <w:lang w:val="ro-MD"/>
        </w:rPr>
        <w:t xml:space="preserve"> exprimate prin casarea a 3,5 tone de combustibil folosit pentru deservirea autoturismului directorului întreprinderii </w:t>
      </w:r>
      <w:r w:rsidR="008F16B5">
        <w:rPr>
          <w:rFonts w:asciiTheme="majorHAnsi" w:hAnsiTheme="majorHAnsi" w:cstheme="majorHAnsi"/>
          <w:color w:val="auto"/>
          <w:lang w:val="ro-MD"/>
        </w:rPr>
        <w:t>dar decontate</w:t>
      </w:r>
      <w:r w:rsidR="00B85D4F" w:rsidRPr="009772A3">
        <w:rPr>
          <w:rFonts w:asciiTheme="majorHAnsi" w:hAnsiTheme="majorHAnsi" w:cstheme="majorHAnsi"/>
          <w:color w:val="auto"/>
          <w:lang w:val="ro-MD"/>
        </w:rPr>
        <w:t xml:space="preserve"> </w:t>
      </w:r>
      <w:r w:rsidR="008F16B5">
        <w:rPr>
          <w:rFonts w:asciiTheme="majorHAnsi" w:hAnsiTheme="majorHAnsi" w:cstheme="majorHAnsi"/>
          <w:color w:val="auto"/>
          <w:lang w:val="ro-MD"/>
        </w:rPr>
        <w:t xml:space="preserve">la </w:t>
      </w:r>
      <w:r w:rsidRPr="009772A3">
        <w:rPr>
          <w:rFonts w:asciiTheme="majorHAnsi" w:hAnsiTheme="majorHAnsi" w:cstheme="majorHAnsi"/>
          <w:color w:val="auto"/>
          <w:lang w:val="ro-MD"/>
        </w:rPr>
        <w:t>autovehiculel</w:t>
      </w:r>
      <w:r w:rsidR="008F16B5">
        <w:rPr>
          <w:rFonts w:asciiTheme="majorHAnsi" w:hAnsiTheme="majorHAnsi" w:cstheme="majorHAnsi"/>
          <w:color w:val="auto"/>
          <w:lang w:val="ro-MD"/>
        </w:rPr>
        <w:t>e</w:t>
      </w:r>
      <w:r w:rsidRPr="009772A3">
        <w:rPr>
          <w:rFonts w:asciiTheme="majorHAnsi" w:hAnsiTheme="majorHAnsi" w:cstheme="majorHAnsi"/>
          <w:color w:val="auto"/>
          <w:lang w:val="ro-MD"/>
        </w:rPr>
        <w:t xml:space="preserve"> speciale a</w:t>
      </w:r>
      <w:r w:rsidR="00AF3600" w:rsidRPr="009772A3">
        <w:rPr>
          <w:rFonts w:asciiTheme="majorHAnsi" w:hAnsiTheme="majorHAnsi" w:cstheme="majorHAnsi"/>
          <w:color w:val="auto"/>
          <w:lang w:val="ro-MD"/>
        </w:rPr>
        <w:t>le</w:t>
      </w:r>
      <w:r w:rsidRPr="009772A3">
        <w:rPr>
          <w:rFonts w:asciiTheme="majorHAnsi" w:hAnsiTheme="majorHAnsi" w:cstheme="majorHAnsi"/>
          <w:color w:val="auto"/>
          <w:lang w:val="ro-MD"/>
        </w:rPr>
        <w:t xml:space="preserve"> entității;</w:t>
      </w:r>
    </w:p>
    <w:p w14:paraId="714A8C6E" w14:textId="278FFDDD" w:rsidR="00126999" w:rsidRPr="009772A3" w:rsidRDefault="00E26392" w:rsidP="00132BC6">
      <w:pPr>
        <w:pStyle w:val="Default"/>
        <w:numPr>
          <w:ilvl w:val="1"/>
          <w:numId w:val="23"/>
        </w:numPr>
        <w:spacing w:line="276" w:lineRule="auto"/>
        <w:ind w:left="709" w:hanging="283"/>
        <w:jc w:val="both"/>
        <w:rPr>
          <w:rFonts w:asciiTheme="majorHAnsi" w:hAnsiTheme="majorHAnsi" w:cstheme="majorHAnsi"/>
          <w:color w:val="auto"/>
          <w:lang w:val="ro-MD"/>
        </w:rPr>
      </w:pPr>
      <w:r w:rsidRPr="009772A3">
        <w:rPr>
          <w:rFonts w:asciiTheme="majorHAnsi" w:hAnsiTheme="majorHAnsi" w:cstheme="majorHAnsi"/>
          <w:color w:val="auto"/>
          <w:lang w:val="ro-MD"/>
        </w:rPr>
        <w:t>la SRL „Bălți-gaz”,</w:t>
      </w:r>
      <w:r w:rsidRPr="009772A3" w:rsidDel="00E26392">
        <w:rPr>
          <w:rFonts w:asciiTheme="majorHAnsi" w:hAnsiTheme="majorHAnsi" w:cstheme="majorHAnsi"/>
          <w:color w:val="auto"/>
          <w:lang w:val="ro-MD"/>
        </w:rPr>
        <w:t xml:space="preserve"> </w:t>
      </w:r>
      <w:r w:rsidR="00126999" w:rsidRPr="009772A3">
        <w:rPr>
          <w:rFonts w:asciiTheme="majorHAnsi" w:hAnsiTheme="majorHAnsi" w:cstheme="majorHAnsi"/>
          <w:color w:val="auto"/>
          <w:lang w:val="ro-MD"/>
        </w:rPr>
        <w:t>auditul intern a constatat efectuarea unor cheltuieli suplimentare în anul 2018 în sumă totală de 126,2 mii lei</w:t>
      </w:r>
      <w:r w:rsidRPr="009772A3">
        <w:rPr>
          <w:rFonts w:asciiTheme="majorHAnsi" w:hAnsiTheme="majorHAnsi" w:cstheme="majorHAnsi"/>
          <w:color w:val="auto"/>
          <w:lang w:val="ro-MD"/>
        </w:rPr>
        <w:t>,</w:t>
      </w:r>
      <w:r w:rsidR="00126999" w:rsidRPr="009772A3">
        <w:rPr>
          <w:rFonts w:asciiTheme="majorHAnsi" w:hAnsiTheme="majorHAnsi" w:cstheme="majorHAnsi"/>
          <w:color w:val="auto"/>
          <w:lang w:val="ro-MD"/>
        </w:rPr>
        <w:t xml:space="preserve"> exprimate prin alimentarea </w:t>
      </w:r>
      <w:r w:rsidRPr="009772A3">
        <w:rPr>
          <w:rFonts w:asciiTheme="majorHAnsi" w:hAnsiTheme="majorHAnsi" w:cstheme="majorHAnsi"/>
          <w:color w:val="auto"/>
          <w:lang w:val="ro-MD"/>
        </w:rPr>
        <w:t xml:space="preserve">mijloacelor de transport cu </w:t>
      </w:r>
      <w:r w:rsidR="00126999" w:rsidRPr="009772A3">
        <w:rPr>
          <w:rFonts w:asciiTheme="majorHAnsi" w:hAnsiTheme="majorHAnsi" w:cstheme="majorHAnsi"/>
          <w:color w:val="auto"/>
          <w:lang w:val="ro-MD"/>
        </w:rPr>
        <w:t>combustibil în cantități mai mici decât cele indicate în foile de parcurs</w:t>
      </w:r>
      <w:r w:rsidRPr="009772A3">
        <w:rPr>
          <w:rFonts w:asciiTheme="majorHAnsi" w:hAnsiTheme="majorHAnsi" w:cstheme="majorHAnsi"/>
          <w:color w:val="auto"/>
          <w:lang w:val="ro-MD"/>
        </w:rPr>
        <w:t>,</w:t>
      </w:r>
      <w:r w:rsidR="00126999" w:rsidRPr="009772A3">
        <w:rPr>
          <w:rFonts w:asciiTheme="majorHAnsi" w:hAnsiTheme="majorHAnsi" w:cstheme="majorHAnsi"/>
          <w:color w:val="auto"/>
          <w:lang w:val="ro-MD"/>
        </w:rPr>
        <w:t xml:space="preserve"> precum și necorespunderea datelor odometrelor mijloacelor de transport cu datele indicate în foile de parcurs</w:t>
      </w:r>
      <w:r w:rsidRPr="009772A3">
        <w:rPr>
          <w:rFonts w:asciiTheme="majorHAnsi" w:hAnsiTheme="majorHAnsi" w:cstheme="majorHAnsi"/>
          <w:color w:val="auto"/>
          <w:lang w:val="ro-MD"/>
        </w:rPr>
        <w:t>;</w:t>
      </w:r>
    </w:p>
    <w:p w14:paraId="55C7083A" w14:textId="66AF763E" w:rsidR="00497939" w:rsidRPr="009772A3" w:rsidRDefault="00C933A0" w:rsidP="00132BC6">
      <w:pPr>
        <w:pStyle w:val="Default"/>
        <w:numPr>
          <w:ilvl w:val="1"/>
          <w:numId w:val="23"/>
        </w:numPr>
        <w:spacing w:line="276" w:lineRule="auto"/>
        <w:ind w:left="709" w:hanging="283"/>
        <w:jc w:val="both"/>
        <w:rPr>
          <w:rFonts w:asciiTheme="majorHAnsi" w:eastAsia="SimSun" w:hAnsiTheme="majorHAnsi" w:cstheme="majorHAnsi"/>
          <w:color w:val="auto"/>
          <w:lang w:val="ro-MD"/>
        </w:rPr>
      </w:pPr>
      <w:r w:rsidRPr="009772A3">
        <w:rPr>
          <w:rFonts w:asciiTheme="majorHAnsi" w:hAnsiTheme="majorHAnsi" w:cstheme="majorHAnsi"/>
          <w:color w:val="auto"/>
          <w:lang w:val="ro-MD"/>
        </w:rPr>
        <w:t>la SRL Ialoveni</w:t>
      </w:r>
      <w:r w:rsidR="00E26392" w:rsidRPr="009772A3">
        <w:rPr>
          <w:rFonts w:asciiTheme="majorHAnsi" w:hAnsiTheme="majorHAnsi" w:cstheme="majorHAnsi"/>
          <w:color w:val="auto"/>
          <w:lang w:val="ro-MD"/>
        </w:rPr>
        <w:t>-</w:t>
      </w:r>
      <w:r w:rsidRPr="009772A3">
        <w:rPr>
          <w:rFonts w:asciiTheme="majorHAnsi" w:hAnsiTheme="majorHAnsi" w:cstheme="majorHAnsi"/>
          <w:color w:val="auto"/>
          <w:lang w:val="ro-MD"/>
        </w:rPr>
        <w:t>gaz, auditul</w:t>
      </w:r>
      <w:r w:rsidRPr="009772A3">
        <w:rPr>
          <w:rFonts w:asciiTheme="majorHAnsi" w:eastAsia="SimSun" w:hAnsiTheme="majorHAnsi" w:cstheme="majorHAnsi"/>
          <w:color w:val="auto"/>
          <w:lang w:val="ro-MD"/>
        </w:rPr>
        <w:t xml:space="preserve"> a constatat întocmire</w:t>
      </w:r>
      <w:r w:rsidR="00E26392" w:rsidRPr="009772A3">
        <w:rPr>
          <w:rFonts w:asciiTheme="majorHAnsi" w:eastAsia="SimSun" w:hAnsiTheme="majorHAnsi" w:cstheme="majorHAnsi"/>
          <w:color w:val="auto"/>
          <w:lang w:val="ro-MD"/>
        </w:rPr>
        <w:t>a</w:t>
      </w:r>
      <w:r w:rsidRPr="009772A3">
        <w:rPr>
          <w:rFonts w:asciiTheme="majorHAnsi" w:eastAsia="SimSun" w:hAnsiTheme="majorHAnsi" w:cstheme="majorHAnsi"/>
          <w:color w:val="auto"/>
          <w:lang w:val="ro-MD"/>
        </w:rPr>
        <w:t xml:space="preserve"> defectuoasă a foilor de parcurs, cu nerespectarea cadrului normativ</w:t>
      </w:r>
      <w:r w:rsidRPr="009772A3">
        <w:rPr>
          <w:rFonts w:asciiTheme="majorHAnsi" w:hAnsiTheme="majorHAnsi" w:cstheme="majorHAnsi"/>
          <w:color w:val="auto"/>
          <w:vertAlign w:val="superscript"/>
          <w:lang w:val="ro-MD"/>
        </w:rPr>
        <w:footnoteReference w:id="162"/>
      </w:r>
      <w:r w:rsidR="00E26392" w:rsidRPr="009772A3">
        <w:rPr>
          <w:rFonts w:asciiTheme="majorHAnsi" w:eastAsia="SimSun" w:hAnsiTheme="majorHAnsi" w:cstheme="majorHAnsi"/>
          <w:color w:val="auto"/>
          <w:lang w:val="ro-MD"/>
        </w:rPr>
        <w:t>. Acestea</w:t>
      </w:r>
      <w:r w:rsidRPr="009772A3">
        <w:rPr>
          <w:rFonts w:asciiTheme="majorHAnsi" w:eastAsia="SimSun" w:hAnsiTheme="majorHAnsi" w:cstheme="majorHAnsi"/>
          <w:color w:val="auto"/>
          <w:lang w:val="ro-MD"/>
        </w:rPr>
        <w:t xml:space="preserve"> conțin erori, ștersături, corectarea k</w:t>
      </w:r>
      <w:r w:rsidR="00E26392" w:rsidRPr="009772A3">
        <w:rPr>
          <w:rFonts w:asciiTheme="majorHAnsi" w:eastAsia="SimSun" w:hAnsiTheme="majorHAnsi" w:cstheme="majorHAnsi"/>
          <w:color w:val="auto"/>
          <w:lang w:val="ro-MD"/>
        </w:rPr>
        <w:t>ilometrilor</w:t>
      </w:r>
      <w:r w:rsidRPr="009772A3">
        <w:rPr>
          <w:rFonts w:asciiTheme="majorHAnsi" w:eastAsia="SimSun" w:hAnsiTheme="majorHAnsi" w:cstheme="majorHAnsi"/>
          <w:color w:val="auto"/>
          <w:lang w:val="ro-MD"/>
        </w:rPr>
        <w:t xml:space="preserve"> parcur</w:t>
      </w:r>
      <w:r w:rsidR="00E26392" w:rsidRPr="009772A3">
        <w:rPr>
          <w:rFonts w:asciiTheme="majorHAnsi" w:eastAsia="SimSun" w:hAnsiTheme="majorHAnsi" w:cstheme="majorHAnsi"/>
          <w:color w:val="auto"/>
          <w:lang w:val="ro-MD"/>
        </w:rPr>
        <w:t>și</w:t>
      </w:r>
      <w:r w:rsidRPr="009772A3">
        <w:rPr>
          <w:rFonts w:asciiTheme="majorHAnsi" w:eastAsia="SimSun" w:hAnsiTheme="majorHAnsi" w:cstheme="majorHAnsi"/>
          <w:color w:val="auto"/>
          <w:lang w:val="ro-MD"/>
        </w:rPr>
        <w:t>, lipsa calc</w:t>
      </w:r>
      <w:r w:rsidR="00570427" w:rsidRPr="009772A3">
        <w:rPr>
          <w:rFonts w:asciiTheme="majorHAnsi" w:eastAsia="SimSun" w:hAnsiTheme="majorHAnsi" w:cstheme="majorHAnsi"/>
          <w:color w:val="auto"/>
          <w:lang w:val="ro-MD"/>
        </w:rPr>
        <w:t>ulului combustibilului consumat și</w:t>
      </w:r>
      <w:r w:rsidRPr="009772A3">
        <w:rPr>
          <w:rFonts w:asciiTheme="majorHAnsi" w:eastAsia="SimSun" w:hAnsiTheme="majorHAnsi" w:cstheme="majorHAnsi"/>
          <w:color w:val="auto"/>
          <w:lang w:val="ro-MD"/>
        </w:rPr>
        <w:t xml:space="preserve"> înscrisuri cu creionul. </w:t>
      </w:r>
      <w:r w:rsidR="00E26392" w:rsidRPr="009772A3">
        <w:rPr>
          <w:rFonts w:asciiTheme="majorHAnsi" w:eastAsia="SimSun" w:hAnsiTheme="majorHAnsi" w:cstheme="majorHAnsi"/>
          <w:color w:val="auto"/>
          <w:lang w:val="ro-MD"/>
        </w:rPr>
        <w:t>C</w:t>
      </w:r>
      <w:r w:rsidRPr="009772A3">
        <w:rPr>
          <w:rFonts w:asciiTheme="majorHAnsi" w:eastAsia="SimSun" w:hAnsiTheme="majorHAnsi" w:cstheme="majorHAnsi"/>
          <w:color w:val="auto"/>
          <w:lang w:val="ro-MD"/>
        </w:rPr>
        <w:t>ircumstanțe</w:t>
      </w:r>
      <w:r w:rsidR="00E26392" w:rsidRPr="009772A3">
        <w:rPr>
          <w:rFonts w:asciiTheme="majorHAnsi" w:eastAsia="SimSun" w:hAnsiTheme="majorHAnsi" w:cstheme="majorHAnsi"/>
          <w:color w:val="auto"/>
          <w:lang w:val="ro-MD"/>
        </w:rPr>
        <w:t>le enumerate</w:t>
      </w:r>
      <w:r w:rsidRPr="009772A3">
        <w:rPr>
          <w:rFonts w:asciiTheme="majorHAnsi" w:eastAsia="SimSun" w:hAnsiTheme="majorHAnsi" w:cstheme="majorHAnsi"/>
          <w:color w:val="auto"/>
          <w:lang w:val="ro-MD"/>
        </w:rPr>
        <w:t xml:space="preserve"> denotă riscuri de utilizare a vehiculelor contrar destinației și/sau în alte scopuri decât cele de serviciu.</w:t>
      </w:r>
      <w:r w:rsidR="006C709A" w:rsidRPr="009772A3">
        <w:rPr>
          <w:rFonts w:asciiTheme="majorHAnsi" w:eastAsia="SimSun" w:hAnsiTheme="majorHAnsi" w:cstheme="majorHAnsi"/>
          <w:color w:val="auto"/>
          <w:lang w:val="ro-MD"/>
        </w:rPr>
        <w:t xml:space="preserve"> Mai mult decât at</w:t>
      </w:r>
      <w:r w:rsidR="00E26392" w:rsidRPr="009772A3">
        <w:rPr>
          <w:rFonts w:asciiTheme="majorHAnsi" w:eastAsia="SimSun" w:hAnsiTheme="majorHAnsi" w:cstheme="majorHAnsi"/>
          <w:color w:val="auto"/>
          <w:lang w:val="ro-MD"/>
        </w:rPr>
        <w:t>â</w:t>
      </w:r>
      <w:r w:rsidR="006C709A" w:rsidRPr="009772A3">
        <w:rPr>
          <w:rFonts w:asciiTheme="majorHAnsi" w:eastAsia="SimSun" w:hAnsiTheme="majorHAnsi" w:cstheme="majorHAnsi"/>
          <w:color w:val="auto"/>
          <w:lang w:val="ro-MD"/>
        </w:rPr>
        <w:t xml:space="preserve">t, lipsa în unele cazuri a </w:t>
      </w:r>
      <w:r w:rsidR="006C709A" w:rsidRPr="009772A3">
        <w:rPr>
          <w:rFonts w:asciiTheme="majorHAnsi" w:hAnsiTheme="majorHAnsi" w:cstheme="majorHAnsi"/>
          <w:color w:val="auto"/>
          <w:lang w:val="ro-MD"/>
        </w:rPr>
        <w:t>foilor de parcurs la folosirea mijloacelor de transport și alimentarea mijloacelor de transport proprii ale angajaților în lipsa unor contracte de uzufruct, nu justifică conform</w:t>
      </w:r>
      <w:r w:rsidR="00570427" w:rsidRPr="009772A3">
        <w:rPr>
          <w:rFonts w:asciiTheme="majorHAnsi" w:hAnsiTheme="majorHAnsi" w:cstheme="majorHAnsi"/>
          <w:color w:val="auto"/>
          <w:lang w:val="ro-MD"/>
        </w:rPr>
        <w:t xml:space="preserve"> normelor legale</w:t>
      </w:r>
      <w:r w:rsidR="006C709A" w:rsidRPr="009772A3">
        <w:rPr>
          <w:rFonts w:asciiTheme="majorHAnsi" w:hAnsiTheme="majorHAnsi" w:cstheme="majorHAnsi"/>
          <w:color w:val="auto"/>
          <w:lang w:val="ro-MD"/>
        </w:rPr>
        <w:t xml:space="preserve"> decontările de combustibil și cheltuielile aferente în sumă totală de </w:t>
      </w:r>
      <w:r w:rsidR="00497939" w:rsidRPr="009772A3">
        <w:rPr>
          <w:rFonts w:asciiTheme="majorHAnsi" w:hAnsiTheme="majorHAnsi" w:cstheme="majorHAnsi"/>
          <w:color w:val="auto"/>
          <w:lang w:val="ro-MD"/>
        </w:rPr>
        <w:t>109,1 mii lei</w:t>
      </w:r>
      <w:r w:rsidR="00E26392" w:rsidRPr="009772A3">
        <w:rPr>
          <w:rFonts w:asciiTheme="majorHAnsi" w:hAnsiTheme="majorHAnsi" w:cstheme="majorHAnsi"/>
          <w:color w:val="auto"/>
          <w:lang w:val="ro-MD"/>
        </w:rPr>
        <w:t>;</w:t>
      </w:r>
    </w:p>
    <w:p w14:paraId="15B4935E" w14:textId="21295926" w:rsidR="005C713E" w:rsidRPr="009772A3" w:rsidRDefault="005C713E" w:rsidP="00132BC6">
      <w:pPr>
        <w:pStyle w:val="Default"/>
        <w:numPr>
          <w:ilvl w:val="1"/>
          <w:numId w:val="23"/>
        </w:numPr>
        <w:spacing w:line="276" w:lineRule="auto"/>
        <w:ind w:left="709" w:hanging="283"/>
        <w:jc w:val="both"/>
        <w:rPr>
          <w:rFonts w:asciiTheme="majorHAnsi" w:eastAsia="SimSun" w:hAnsiTheme="majorHAnsi" w:cstheme="majorHAnsi"/>
          <w:color w:val="auto"/>
          <w:lang w:val="ro-MD"/>
        </w:rPr>
      </w:pPr>
      <w:r w:rsidRPr="009772A3">
        <w:rPr>
          <w:rFonts w:asciiTheme="majorHAnsi" w:hAnsiTheme="majorHAnsi" w:cstheme="majorHAnsi"/>
          <w:color w:val="auto"/>
          <w:lang w:val="ro-MD"/>
        </w:rPr>
        <w:t>la SRL „Chișinău-gaz”</w:t>
      </w:r>
      <w:r w:rsidR="00E26392"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din 104 </w:t>
      </w:r>
      <w:r w:rsidR="00E26392" w:rsidRPr="009772A3">
        <w:rPr>
          <w:rFonts w:asciiTheme="majorHAnsi" w:hAnsiTheme="majorHAnsi" w:cstheme="majorHAnsi"/>
          <w:color w:val="auto"/>
          <w:lang w:val="ro-MD"/>
        </w:rPr>
        <w:t xml:space="preserve">mijloace </w:t>
      </w:r>
      <w:r w:rsidRPr="009772A3">
        <w:rPr>
          <w:rFonts w:asciiTheme="majorHAnsi" w:hAnsiTheme="majorHAnsi" w:cstheme="majorHAnsi"/>
          <w:color w:val="auto"/>
          <w:lang w:val="ro-MD"/>
        </w:rPr>
        <w:t>de transport, 103 sunt dotate cu sistem de monitorizare GPS. Potrivit datelor colectate în teren de la 38 de automobile</w:t>
      </w:r>
      <w:r w:rsidR="00E26392"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auditul a constat</w:t>
      </w:r>
      <w:r w:rsidR="00E26392" w:rsidRPr="009772A3">
        <w:rPr>
          <w:rFonts w:asciiTheme="majorHAnsi" w:hAnsiTheme="majorHAnsi" w:cstheme="majorHAnsi"/>
          <w:color w:val="auto"/>
          <w:lang w:val="ro-MD"/>
        </w:rPr>
        <w:t>at</w:t>
      </w:r>
      <w:r w:rsidRPr="009772A3">
        <w:rPr>
          <w:rFonts w:asciiTheme="majorHAnsi" w:hAnsiTheme="majorHAnsi" w:cstheme="majorHAnsi"/>
          <w:color w:val="auto"/>
          <w:lang w:val="ro-MD"/>
        </w:rPr>
        <w:t xml:space="preserve"> la 6 automobile</w:t>
      </w:r>
      <w:r w:rsidR="007D43E5" w:rsidRPr="009772A3">
        <w:rPr>
          <w:rFonts w:asciiTheme="majorHAnsi" w:hAnsiTheme="majorHAnsi" w:cstheme="majorHAnsi"/>
          <w:color w:val="auto"/>
          <w:lang w:val="ro-MD"/>
        </w:rPr>
        <w:t xml:space="preserve"> divergențe</w:t>
      </w:r>
      <w:r w:rsidRPr="009772A3">
        <w:rPr>
          <w:rFonts w:asciiTheme="majorHAnsi" w:hAnsiTheme="majorHAnsi" w:cstheme="majorHAnsi"/>
          <w:color w:val="auto"/>
          <w:lang w:val="ro-MD"/>
        </w:rPr>
        <w:t xml:space="preserve"> între datele reflectate în foile de parcurs cu cele indicate de odometre, care variază de la 1 km până la 44 km</w:t>
      </w:r>
      <w:r w:rsidRPr="009772A3">
        <w:rPr>
          <w:rStyle w:val="FootnoteReference"/>
          <w:rFonts w:asciiTheme="majorHAnsi" w:hAnsiTheme="majorHAnsi" w:cstheme="majorHAnsi"/>
          <w:color w:val="auto"/>
          <w:lang w:val="ro-MD"/>
        </w:rPr>
        <w:footnoteReference w:id="163"/>
      </w:r>
      <w:r w:rsidRPr="009772A3">
        <w:rPr>
          <w:rFonts w:asciiTheme="majorHAnsi" w:hAnsiTheme="majorHAnsi" w:cstheme="majorHAnsi"/>
          <w:color w:val="auto"/>
          <w:lang w:val="ro-MD"/>
        </w:rPr>
        <w:t>. Totodată</w:t>
      </w:r>
      <w:r w:rsidR="00E26392"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se constată că SRL „Chișinău-gaz”</w:t>
      </w:r>
      <w:r w:rsidR="00E26392"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în afară de </w:t>
      </w:r>
      <w:r w:rsidR="002B03A8" w:rsidRPr="009772A3">
        <w:rPr>
          <w:rFonts w:asciiTheme="majorHAnsi" w:hAnsiTheme="majorHAnsi" w:cstheme="majorHAnsi"/>
          <w:color w:val="auto"/>
          <w:lang w:val="ro-MD"/>
        </w:rPr>
        <w:t xml:space="preserve">mijloacele </w:t>
      </w:r>
      <w:r w:rsidRPr="009772A3">
        <w:rPr>
          <w:rFonts w:asciiTheme="majorHAnsi" w:hAnsiTheme="majorHAnsi" w:cstheme="majorHAnsi"/>
          <w:color w:val="auto"/>
          <w:lang w:val="ro-MD"/>
        </w:rPr>
        <w:t xml:space="preserve">de transport </w:t>
      </w:r>
      <w:r w:rsidR="00656AD8" w:rsidRPr="009772A3">
        <w:rPr>
          <w:rFonts w:asciiTheme="majorHAnsi" w:hAnsiTheme="majorHAnsi" w:cstheme="majorHAnsi"/>
          <w:color w:val="auto"/>
          <w:lang w:val="ro-MD"/>
        </w:rPr>
        <w:t xml:space="preserve">pe </w:t>
      </w:r>
      <w:r w:rsidRPr="009772A3">
        <w:rPr>
          <w:rFonts w:asciiTheme="majorHAnsi" w:hAnsiTheme="majorHAnsi" w:cstheme="majorHAnsi"/>
          <w:color w:val="auto"/>
          <w:lang w:val="ro-MD"/>
        </w:rPr>
        <w:t>care le deține</w:t>
      </w:r>
      <w:r w:rsidR="002B03A8"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w:t>
      </w:r>
      <w:r w:rsidR="00847271" w:rsidRPr="009772A3">
        <w:rPr>
          <w:rFonts w:asciiTheme="majorHAnsi" w:hAnsiTheme="majorHAnsi" w:cstheme="majorHAnsi"/>
          <w:color w:val="auto"/>
          <w:lang w:val="ro-MD"/>
        </w:rPr>
        <w:t xml:space="preserve">mai </w:t>
      </w:r>
      <w:r w:rsidRPr="009772A3">
        <w:rPr>
          <w:rFonts w:asciiTheme="majorHAnsi" w:hAnsiTheme="majorHAnsi" w:cstheme="majorHAnsi"/>
          <w:color w:val="auto"/>
          <w:lang w:val="ro-MD"/>
        </w:rPr>
        <w:t>ia în comodat de la angajații săi automobile</w:t>
      </w:r>
      <w:r w:rsidR="00656AD8" w:rsidRPr="009772A3">
        <w:rPr>
          <w:rFonts w:asciiTheme="majorHAnsi" w:hAnsiTheme="majorHAnsi" w:cstheme="majorHAnsi"/>
          <w:color w:val="auto"/>
          <w:lang w:val="ro-MD"/>
        </w:rPr>
        <w:t>le</w:t>
      </w:r>
      <w:r w:rsidRPr="009772A3">
        <w:rPr>
          <w:rFonts w:asciiTheme="majorHAnsi" w:hAnsiTheme="majorHAnsi" w:cstheme="majorHAnsi"/>
          <w:color w:val="auto"/>
          <w:lang w:val="ro-MD"/>
        </w:rPr>
        <w:t xml:space="preserve"> lor personale</w:t>
      </w:r>
      <w:r w:rsidRPr="009772A3">
        <w:rPr>
          <w:rStyle w:val="FootnoteReference"/>
          <w:rFonts w:asciiTheme="majorHAnsi" w:hAnsiTheme="majorHAnsi" w:cstheme="majorHAnsi"/>
          <w:color w:val="auto"/>
          <w:lang w:val="ro-MD"/>
        </w:rPr>
        <w:footnoteReference w:id="164"/>
      </w:r>
      <w:r w:rsidR="002B03A8"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pentru deplasarea acestora în interes de serviciu</w:t>
      </w:r>
      <w:r w:rsidR="002B03A8"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fără a asigura o procedură de control asupra</w:t>
      </w:r>
      <w:r w:rsidR="00847271" w:rsidRPr="009772A3">
        <w:rPr>
          <w:rFonts w:asciiTheme="majorHAnsi" w:hAnsiTheme="majorHAnsi" w:cstheme="majorHAnsi"/>
          <w:color w:val="auto"/>
          <w:lang w:val="ro-MD"/>
        </w:rPr>
        <w:t xml:space="preserve"> acestora</w:t>
      </w:r>
      <w:r w:rsidRPr="009772A3">
        <w:rPr>
          <w:rFonts w:asciiTheme="majorHAnsi" w:hAnsiTheme="majorHAnsi" w:cstheme="majorHAnsi"/>
          <w:color w:val="auto"/>
          <w:lang w:val="ro-MD"/>
        </w:rPr>
        <w:t>, care ar stabili distanța parcursă în scop de serviciu. Conform contractelor</w:t>
      </w:r>
      <w:r w:rsidR="002B03A8" w:rsidRPr="009772A3">
        <w:rPr>
          <w:rFonts w:asciiTheme="majorHAnsi" w:hAnsiTheme="majorHAnsi" w:cstheme="majorHAnsi"/>
          <w:color w:val="auto"/>
          <w:lang w:val="ro-MD"/>
        </w:rPr>
        <w:t xml:space="preserve"> încheiate,</w:t>
      </w:r>
      <w:r w:rsidRPr="009772A3">
        <w:rPr>
          <w:rFonts w:asciiTheme="majorHAnsi" w:hAnsiTheme="majorHAnsi" w:cstheme="majorHAnsi"/>
          <w:color w:val="auto"/>
          <w:lang w:val="ro-MD"/>
        </w:rPr>
        <w:t xml:space="preserve"> SRL „Chișinău-gaz” se obligă să atribuie o cartelă de alimentare cu carburanți</w:t>
      </w:r>
      <w:r w:rsidR="002B03A8" w:rsidRPr="009772A3">
        <w:rPr>
          <w:rFonts w:asciiTheme="majorHAnsi" w:hAnsiTheme="majorHAnsi" w:cstheme="majorHAnsi"/>
          <w:color w:val="auto"/>
          <w:lang w:val="ro-MD"/>
        </w:rPr>
        <w:t>,</w:t>
      </w:r>
      <w:r w:rsidRPr="009772A3">
        <w:rPr>
          <w:rFonts w:asciiTheme="majorHAnsi" w:hAnsiTheme="majorHAnsi" w:cstheme="majorHAnsi"/>
          <w:color w:val="auto"/>
          <w:lang w:val="ro-MD"/>
        </w:rPr>
        <w:t xml:space="preserve"> în limita de la 30 km până la 150 km/zi, deci cheltuielile suportate, în perioada 2017-2021, pentru alimentarea cu carburanți a acestor automobile au constituit 282,93 mii lei</w:t>
      </w:r>
      <w:r w:rsidRPr="009772A3">
        <w:rPr>
          <w:rFonts w:asciiTheme="majorHAnsi" w:eastAsia="SimSun" w:hAnsiTheme="majorHAnsi" w:cstheme="majorHAnsi"/>
          <w:color w:val="auto"/>
          <w:lang w:val="ro-MD"/>
        </w:rPr>
        <w:t>.</w:t>
      </w:r>
    </w:p>
    <w:p w14:paraId="214C6998" w14:textId="7234162D" w:rsidR="00411252" w:rsidRPr="009772A3" w:rsidRDefault="00411252" w:rsidP="00E575EA">
      <w:pPr>
        <w:spacing w:after="0" w:line="276" w:lineRule="auto"/>
        <w:ind w:firstLine="709"/>
        <w:jc w:val="both"/>
        <w:rPr>
          <w:rFonts w:asciiTheme="majorHAnsi" w:hAnsiTheme="majorHAnsi" w:cstheme="majorHAnsi"/>
          <w:sz w:val="24"/>
          <w:lang w:val="ro-MD"/>
        </w:rPr>
      </w:pPr>
      <w:r w:rsidRPr="009772A3">
        <w:rPr>
          <w:rFonts w:asciiTheme="majorHAnsi" w:hAnsiTheme="majorHAnsi" w:cstheme="majorHAnsi"/>
          <w:sz w:val="24"/>
          <w:lang w:val="ro-MD"/>
        </w:rPr>
        <w:t>De menționat că</w:t>
      </w:r>
      <w:r w:rsidR="007D43E5" w:rsidRPr="009772A3">
        <w:rPr>
          <w:rFonts w:asciiTheme="majorHAnsi" w:hAnsiTheme="majorHAnsi" w:cstheme="majorHAnsi"/>
          <w:sz w:val="24"/>
          <w:lang w:val="ro-MD"/>
        </w:rPr>
        <w:t>,</w:t>
      </w:r>
      <w:r w:rsidRPr="009772A3">
        <w:rPr>
          <w:rFonts w:asciiTheme="majorHAnsi" w:hAnsiTheme="majorHAnsi" w:cstheme="majorHAnsi"/>
          <w:sz w:val="24"/>
          <w:lang w:val="ro-MD"/>
        </w:rPr>
        <w:t xml:space="preserve"> deși SA Moldovagaz</w:t>
      </w:r>
      <w:r w:rsidR="00C05199" w:rsidRPr="009772A3">
        <w:rPr>
          <w:rFonts w:asciiTheme="majorHAnsi" w:hAnsiTheme="majorHAnsi" w:cstheme="majorHAnsi"/>
          <w:sz w:val="24"/>
          <w:lang w:val="ro-MD"/>
        </w:rPr>
        <w:t xml:space="preserve"> explică că odată cu implementarea sistemul</w:t>
      </w:r>
      <w:r w:rsidR="007D43E5" w:rsidRPr="009772A3">
        <w:rPr>
          <w:rFonts w:asciiTheme="majorHAnsi" w:hAnsiTheme="majorHAnsi" w:cstheme="majorHAnsi"/>
          <w:sz w:val="24"/>
          <w:lang w:val="ro-MD"/>
        </w:rPr>
        <w:t>ui</w:t>
      </w:r>
      <w:r w:rsidR="00C05199" w:rsidRPr="009772A3">
        <w:rPr>
          <w:rFonts w:asciiTheme="majorHAnsi" w:hAnsiTheme="majorHAnsi" w:cstheme="majorHAnsi"/>
          <w:sz w:val="24"/>
          <w:lang w:val="ro-MD"/>
        </w:rPr>
        <w:t xml:space="preserve"> de monitorizare al mijloacelor de transport, cheltuielile aferente au avut o tendință de diminuare, totuși rezultatele furnizate de sistem ar putea produce o mai bună performanță</w:t>
      </w:r>
      <w:r w:rsidR="00F71467" w:rsidRPr="009772A3">
        <w:rPr>
          <w:rFonts w:asciiTheme="majorHAnsi" w:hAnsiTheme="majorHAnsi" w:cstheme="majorHAnsi"/>
          <w:sz w:val="24"/>
          <w:lang w:val="ro-MD"/>
        </w:rPr>
        <w:t>,</w:t>
      </w:r>
      <w:r w:rsidR="00C05199" w:rsidRPr="009772A3">
        <w:rPr>
          <w:rFonts w:asciiTheme="majorHAnsi" w:hAnsiTheme="majorHAnsi" w:cstheme="majorHAnsi"/>
          <w:sz w:val="24"/>
          <w:lang w:val="ro-MD"/>
        </w:rPr>
        <w:t xml:space="preserve"> inclusiv o mai mare economicitate a resurselor circulante</w:t>
      </w:r>
      <w:r w:rsidR="00F71467" w:rsidRPr="009772A3">
        <w:rPr>
          <w:rFonts w:asciiTheme="majorHAnsi" w:hAnsiTheme="majorHAnsi" w:cstheme="majorHAnsi"/>
          <w:sz w:val="24"/>
          <w:lang w:val="ro-MD"/>
        </w:rPr>
        <w:t>, dacă ar fi fost utilizate la justa valoare</w:t>
      </w:r>
      <w:r w:rsidR="00C05199" w:rsidRPr="009772A3">
        <w:rPr>
          <w:rFonts w:asciiTheme="majorHAnsi" w:hAnsiTheme="majorHAnsi" w:cstheme="majorHAnsi"/>
          <w:sz w:val="24"/>
          <w:lang w:val="ro-MD"/>
        </w:rPr>
        <w:t>.</w:t>
      </w:r>
    </w:p>
    <w:p w14:paraId="2CEABCA4" w14:textId="654405F8" w:rsidR="00FD1AA6" w:rsidRPr="009772A3" w:rsidRDefault="000E74AC" w:rsidP="008F16B5">
      <w:pPr>
        <w:pStyle w:val="Heading1"/>
        <w:numPr>
          <w:ilvl w:val="3"/>
          <w:numId w:val="2"/>
        </w:numPr>
        <w:tabs>
          <w:tab w:val="left" w:pos="993"/>
        </w:tabs>
        <w:spacing w:line="276" w:lineRule="auto"/>
        <w:ind w:left="0" w:firstLine="0"/>
        <w:jc w:val="both"/>
        <w:rPr>
          <w:i/>
          <w:color w:val="auto"/>
          <w:lang w:val="ro-MD"/>
        </w:rPr>
      </w:pPr>
      <w:bookmarkStart w:id="216" w:name="_Toc119496450"/>
      <w:r w:rsidRPr="009772A3">
        <w:rPr>
          <w:i/>
          <w:color w:val="auto"/>
          <w:lang w:val="ro-MD"/>
        </w:rPr>
        <w:t>Cheltuielile în sumă de 92.839,9 mii lei, utilizate în perioada 2017</w:t>
      </w:r>
      <w:r w:rsidR="006A73D1" w:rsidRPr="009772A3">
        <w:rPr>
          <w:i/>
          <w:color w:val="auto"/>
          <w:lang w:val="ro-MD"/>
        </w:rPr>
        <w:t>-</w:t>
      </w:r>
      <w:r w:rsidRPr="009772A3">
        <w:rPr>
          <w:i/>
          <w:color w:val="auto"/>
          <w:lang w:val="ro-MD"/>
        </w:rPr>
        <w:t>2021 pentru serviciile de pază</w:t>
      </w:r>
      <w:r w:rsidR="006A73D1" w:rsidRPr="009772A3">
        <w:rPr>
          <w:i/>
          <w:color w:val="auto"/>
          <w:lang w:val="ro-MD"/>
        </w:rPr>
        <w:t>,</w:t>
      </w:r>
      <w:r w:rsidRPr="009772A3">
        <w:rPr>
          <w:i/>
          <w:color w:val="auto"/>
          <w:lang w:val="ro-MD"/>
        </w:rPr>
        <w:t xml:space="preserve"> </w:t>
      </w:r>
      <w:bookmarkStart w:id="217" w:name="_Toc117775810"/>
      <w:bookmarkStart w:id="218" w:name="_Toc118297752"/>
      <w:r w:rsidRPr="009772A3">
        <w:rPr>
          <w:i/>
          <w:color w:val="auto"/>
          <w:lang w:val="ro-MD"/>
        </w:rPr>
        <w:t>pot fi eficientizate.</w:t>
      </w:r>
      <w:bookmarkEnd w:id="216"/>
      <w:r w:rsidRPr="009772A3">
        <w:rPr>
          <w:i/>
          <w:color w:val="auto"/>
          <w:lang w:val="ro-MD"/>
        </w:rPr>
        <w:t xml:space="preserve"> </w:t>
      </w:r>
      <w:r w:rsidR="00FD1AA6" w:rsidRPr="009772A3">
        <w:rPr>
          <w:i/>
          <w:color w:val="auto"/>
          <w:lang w:val="ro-MD"/>
        </w:rPr>
        <w:t xml:space="preserve"> </w:t>
      </w:r>
      <w:bookmarkEnd w:id="217"/>
      <w:bookmarkEnd w:id="218"/>
      <w:r w:rsidR="00DC0293" w:rsidRPr="009772A3">
        <w:rPr>
          <w:i/>
          <w:color w:val="auto"/>
          <w:lang w:val="ro-MD"/>
        </w:rPr>
        <w:t xml:space="preserve"> </w:t>
      </w:r>
    </w:p>
    <w:p w14:paraId="6041FDF4" w14:textId="414E51E5" w:rsidR="00780B1B" w:rsidRPr="009772A3" w:rsidRDefault="00780B1B" w:rsidP="00780B1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Pentru a asigura integritatea și securitatea bunurilor deținute, </w:t>
      </w:r>
      <w:r w:rsidR="00DC543C" w:rsidRPr="009772A3">
        <w:rPr>
          <w:rFonts w:asciiTheme="majorHAnsi" w:hAnsiTheme="majorHAnsi" w:cstheme="majorHAnsi"/>
          <w:sz w:val="24"/>
          <w:szCs w:val="24"/>
          <w:lang w:val="ro-MD"/>
        </w:rPr>
        <w:t>precum și pentru a preînt</w:t>
      </w:r>
      <w:r w:rsidR="006A73D1" w:rsidRPr="009772A3">
        <w:rPr>
          <w:rFonts w:asciiTheme="majorHAnsi" w:hAnsiTheme="majorHAnsi" w:cstheme="majorHAnsi"/>
          <w:sz w:val="24"/>
          <w:szCs w:val="24"/>
          <w:lang w:val="ro-MD"/>
        </w:rPr>
        <w:t>â</w:t>
      </w:r>
      <w:r w:rsidR="00DC543C" w:rsidRPr="009772A3">
        <w:rPr>
          <w:rFonts w:asciiTheme="majorHAnsi" w:hAnsiTheme="majorHAnsi" w:cstheme="majorHAnsi"/>
          <w:sz w:val="24"/>
          <w:szCs w:val="24"/>
          <w:lang w:val="ro-MD"/>
        </w:rPr>
        <w:t>mpina producerea de daune în timpul funcționării unei unități de producție periculoas</w:t>
      </w:r>
      <w:r w:rsidR="006A73D1" w:rsidRPr="009772A3">
        <w:rPr>
          <w:rFonts w:asciiTheme="majorHAnsi" w:hAnsiTheme="majorHAnsi" w:cstheme="majorHAnsi"/>
          <w:sz w:val="24"/>
          <w:szCs w:val="24"/>
          <w:lang w:val="ro-MD"/>
        </w:rPr>
        <w:t>e</w:t>
      </w:r>
      <w:r w:rsidR="00DC543C" w:rsidRPr="009772A3">
        <w:rPr>
          <w:rFonts w:asciiTheme="majorHAnsi" w:hAnsiTheme="majorHAnsi" w:cstheme="majorHAnsi"/>
          <w:sz w:val="24"/>
          <w:szCs w:val="24"/>
          <w:lang w:val="ro-MD"/>
        </w:rPr>
        <w:t xml:space="preserve">, </w:t>
      </w:r>
      <w:r w:rsidR="00DC543C" w:rsidRPr="009772A3">
        <w:rPr>
          <w:rFonts w:asciiTheme="majorHAnsi" w:hAnsiTheme="majorHAnsi" w:cstheme="majorHAnsi"/>
          <w:spacing w:val="-4"/>
          <w:sz w:val="24"/>
          <w:szCs w:val="24"/>
          <w:lang w:val="ro-MD"/>
        </w:rPr>
        <w:t>în conformitate cu Legea nr.116 din 18.05.2012 privind securitatea industrială a obiectelor industriale periculoase</w:t>
      </w:r>
      <w:r w:rsidR="006A73D1" w:rsidRPr="009772A3">
        <w:rPr>
          <w:rFonts w:asciiTheme="majorHAnsi" w:hAnsiTheme="majorHAnsi" w:cstheme="majorHAnsi"/>
          <w:spacing w:val="-4"/>
          <w:sz w:val="24"/>
          <w:szCs w:val="24"/>
          <w:lang w:val="ro-MD"/>
        </w:rPr>
        <w:t>,</w:t>
      </w:r>
      <w:r w:rsidR="00DC543C" w:rsidRPr="009772A3">
        <w:rPr>
          <w:rFonts w:asciiTheme="majorHAnsi" w:hAnsiTheme="majorHAnsi" w:cstheme="majorHAnsi"/>
          <w:spacing w:val="-4"/>
          <w:sz w:val="24"/>
          <w:szCs w:val="24"/>
          <w:lang w:val="ro-MD"/>
        </w:rPr>
        <w:t xml:space="preserve"> </w:t>
      </w:r>
      <w:r w:rsidRPr="009772A3">
        <w:rPr>
          <w:rFonts w:asciiTheme="majorHAnsi" w:hAnsiTheme="majorHAnsi" w:cstheme="majorHAnsi"/>
          <w:sz w:val="24"/>
          <w:szCs w:val="24"/>
          <w:lang w:val="ro-MD"/>
        </w:rPr>
        <w:t>S.A. Moldovagaz, de comun cu companiile sale afiliate, a contractat în anii 2017</w:t>
      </w:r>
      <w:r w:rsidR="006A73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servicii de pază fizică, video și prin semnalizare</w:t>
      </w:r>
      <w:r w:rsidR="006A73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valoare totală de circa </w:t>
      </w:r>
      <w:r w:rsidR="00DA351B" w:rsidRPr="009772A3">
        <w:rPr>
          <w:rFonts w:asciiTheme="majorHAnsi" w:hAnsiTheme="majorHAnsi" w:cstheme="majorHAnsi"/>
          <w:sz w:val="24"/>
          <w:szCs w:val="24"/>
          <w:lang w:val="ro-MD"/>
        </w:rPr>
        <w:t xml:space="preserve">92.839,9 </w:t>
      </w:r>
      <w:r w:rsidRPr="009772A3">
        <w:rPr>
          <w:rFonts w:asciiTheme="majorHAnsi" w:hAnsiTheme="majorHAnsi" w:cstheme="majorHAnsi"/>
          <w:sz w:val="24"/>
          <w:szCs w:val="24"/>
          <w:lang w:val="ro-MD"/>
        </w:rPr>
        <w:t>mii lei.</w:t>
      </w:r>
    </w:p>
    <w:p w14:paraId="5EB863AA" w14:textId="282B0D49" w:rsidR="00780B1B" w:rsidRPr="009772A3" w:rsidRDefault="00780B1B" w:rsidP="00780B1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contractele au fost încheiate în corespundere cu prevederile reglementărilor interne ale entităților auditate, se denotă că până la moment S.A. Moldovagaz nu a efectuat, la nivel centralizat</w:t>
      </w:r>
      <w:r w:rsidR="00D415AD" w:rsidRPr="009772A3">
        <w:rPr>
          <w:rFonts w:asciiTheme="majorHAnsi" w:hAnsiTheme="majorHAnsi" w:cstheme="majorHAnsi"/>
          <w:sz w:val="24"/>
          <w:szCs w:val="24"/>
          <w:lang w:val="ro-MD"/>
        </w:rPr>
        <w:t xml:space="preserve"> sau separat</w:t>
      </w:r>
      <w:r w:rsidR="0010355F" w:rsidRPr="009772A3">
        <w:rPr>
          <w:rFonts w:asciiTheme="majorHAnsi" w:hAnsiTheme="majorHAnsi" w:cstheme="majorHAnsi"/>
          <w:sz w:val="24"/>
          <w:szCs w:val="24"/>
          <w:lang w:val="ro-MD"/>
        </w:rPr>
        <w:t xml:space="preserve"> </w:t>
      </w:r>
      <w:r w:rsidR="00DC543C" w:rsidRPr="009772A3">
        <w:rPr>
          <w:rFonts w:asciiTheme="majorHAnsi" w:hAnsiTheme="majorHAnsi" w:cstheme="majorHAnsi"/>
          <w:sz w:val="24"/>
          <w:szCs w:val="24"/>
          <w:lang w:val="ro-MD"/>
        </w:rPr>
        <w:t xml:space="preserve">la nivel de </w:t>
      </w:r>
      <w:r w:rsidR="0010355F" w:rsidRPr="009772A3">
        <w:rPr>
          <w:rFonts w:asciiTheme="majorHAnsi" w:hAnsiTheme="majorHAnsi" w:cstheme="majorHAnsi"/>
          <w:sz w:val="24"/>
          <w:szCs w:val="24"/>
          <w:lang w:val="ro-MD"/>
        </w:rPr>
        <w:t>fiecare companie</w:t>
      </w:r>
      <w:r w:rsidR="006A73D1" w:rsidRPr="009772A3">
        <w:rPr>
          <w:rFonts w:asciiTheme="majorHAnsi" w:hAnsiTheme="majorHAnsi" w:cstheme="majorHAnsi"/>
          <w:sz w:val="24"/>
          <w:szCs w:val="24"/>
          <w:lang w:val="ro-MD"/>
        </w:rPr>
        <w:t>-</w:t>
      </w:r>
      <w:r w:rsidR="0010355F" w:rsidRPr="009772A3">
        <w:rPr>
          <w:rFonts w:asciiTheme="majorHAnsi" w:hAnsiTheme="majorHAnsi" w:cstheme="majorHAnsi"/>
          <w:sz w:val="24"/>
          <w:szCs w:val="24"/>
          <w:lang w:val="ro-MD"/>
        </w:rPr>
        <w:t>fiică</w:t>
      </w:r>
      <w:r w:rsidRPr="009772A3">
        <w:rPr>
          <w:rFonts w:asciiTheme="majorHAnsi" w:hAnsiTheme="majorHAnsi" w:cstheme="majorHAnsi"/>
          <w:sz w:val="24"/>
          <w:szCs w:val="24"/>
          <w:lang w:val="ro-MD"/>
        </w:rPr>
        <w:t xml:space="preserve">, niciun studiu </w:t>
      </w:r>
      <w:r w:rsidR="006A73D1" w:rsidRPr="009772A3">
        <w:rPr>
          <w:rFonts w:asciiTheme="majorHAnsi" w:hAnsiTheme="majorHAnsi" w:cstheme="majorHAnsi"/>
          <w:sz w:val="24"/>
          <w:szCs w:val="24"/>
          <w:lang w:val="ro-MD"/>
        </w:rPr>
        <w:t xml:space="preserve">privind </w:t>
      </w:r>
      <w:r w:rsidRPr="009772A3">
        <w:rPr>
          <w:rFonts w:asciiTheme="majorHAnsi" w:hAnsiTheme="majorHAnsi" w:cstheme="majorHAnsi"/>
          <w:sz w:val="24"/>
          <w:szCs w:val="24"/>
          <w:lang w:val="ro-MD"/>
        </w:rPr>
        <w:t>cost</w:t>
      </w:r>
      <w:r w:rsidR="006A73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eficiența serviciilor achiziționate</w:t>
      </w:r>
      <w:r w:rsidR="006A73D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ar oferi asigurări privind posibilele economii obținute sau eventuale</w:t>
      </w:r>
      <w:r w:rsidR="006A73D1"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cheltuieli</w:t>
      </w:r>
      <w:r w:rsidR="00D415AD" w:rsidRPr="009772A3">
        <w:rPr>
          <w:rFonts w:asciiTheme="majorHAnsi" w:hAnsiTheme="majorHAnsi" w:cstheme="majorHAnsi"/>
          <w:sz w:val="24"/>
          <w:szCs w:val="24"/>
          <w:lang w:val="ro-MD"/>
        </w:rPr>
        <w:t xml:space="preserve"> suplimentare</w:t>
      </w:r>
      <w:r w:rsidRPr="009772A3">
        <w:rPr>
          <w:rFonts w:asciiTheme="majorHAnsi" w:hAnsiTheme="majorHAnsi" w:cstheme="majorHAnsi"/>
          <w:sz w:val="24"/>
          <w:szCs w:val="24"/>
          <w:lang w:val="ro-MD"/>
        </w:rPr>
        <w:t xml:space="preserve"> suportate</w:t>
      </w:r>
      <w:r w:rsidR="00D415AD" w:rsidRPr="009772A3">
        <w:rPr>
          <w:rFonts w:asciiTheme="majorHAnsi" w:hAnsiTheme="majorHAnsi" w:cstheme="majorHAnsi"/>
          <w:sz w:val="24"/>
          <w:szCs w:val="24"/>
          <w:lang w:val="ro-MD"/>
        </w:rPr>
        <w:t>, având în vedere existența în paralel a posturilor fizice de pază, sistemelor video de monitorizare și pază tehnică cu buton de alarmă</w:t>
      </w:r>
      <w:r w:rsidRPr="009772A3">
        <w:rPr>
          <w:rFonts w:asciiTheme="majorHAnsi" w:hAnsiTheme="majorHAnsi" w:cstheme="majorHAnsi"/>
          <w:sz w:val="24"/>
          <w:szCs w:val="24"/>
          <w:lang w:val="ro-MD"/>
        </w:rPr>
        <w:t>. Totodată, se menționează că serviciile respective au fost prestate preponderent de ace</w:t>
      </w:r>
      <w:r w:rsidR="006A73D1"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ași agenți economici.</w:t>
      </w:r>
    </w:p>
    <w:p w14:paraId="0D117702" w14:textId="524D02B2" w:rsidR="00D415AD" w:rsidRPr="009772A3" w:rsidRDefault="003735AB" w:rsidP="00D415AD">
      <w:pPr>
        <w:spacing w:after="0" w:line="276" w:lineRule="auto"/>
        <w:ind w:firstLine="567"/>
        <w:jc w:val="both"/>
        <w:rPr>
          <w:rFonts w:asciiTheme="majorHAnsi" w:hAnsiTheme="majorHAnsi" w:cstheme="majorHAnsi"/>
          <w:spacing w:val="-4"/>
          <w:sz w:val="24"/>
          <w:szCs w:val="24"/>
          <w:lang w:val="ro-MD"/>
        </w:rPr>
      </w:pPr>
      <w:r w:rsidRPr="009772A3">
        <w:rPr>
          <w:rFonts w:asciiTheme="majorHAnsi" w:hAnsiTheme="majorHAnsi" w:cstheme="majorHAnsi"/>
          <w:spacing w:val="-4"/>
          <w:sz w:val="24"/>
          <w:szCs w:val="24"/>
          <w:lang w:val="ro-MD"/>
        </w:rPr>
        <w:t>De exemplu,</w:t>
      </w:r>
      <w:r w:rsidR="00D415AD" w:rsidRPr="009772A3">
        <w:rPr>
          <w:rFonts w:asciiTheme="majorHAnsi" w:hAnsiTheme="majorHAnsi" w:cstheme="majorHAnsi"/>
          <w:spacing w:val="-4"/>
          <w:sz w:val="24"/>
          <w:szCs w:val="24"/>
          <w:lang w:val="ro-MD"/>
        </w:rPr>
        <w:t xml:space="preserve"> în anul 2018</w:t>
      </w:r>
      <w:r w:rsidRPr="009772A3">
        <w:rPr>
          <w:rFonts w:asciiTheme="majorHAnsi" w:hAnsiTheme="majorHAnsi" w:cstheme="majorHAnsi"/>
          <w:spacing w:val="-4"/>
          <w:sz w:val="24"/>
          <w:szCs w:val="24"/>
          <w:lang w:val="ro-MD"/>
        </w:rPr>
        <w:t>,</w:t>
      </w:r>
      <w:r w:rsidR="00D415AD" w:rsidRPr="009772A3">
        <w:rPr>
          <w:rFonts w:asciiTheme="majorHAnsi" w:hAnsiTheme="majorHAnsi" w:cstheme="majorHAnsi"/>
          <w:spacing w:val="-4"/>
          <w:sz w:val="24"/>
          <w:szCs w:val="24"/>
          <w:lang w:val="ro-MD"/>
        </w:rPr>
        <w:t xml:space="preserve">  SRL „Chișinău-gaz” a contractat servicii de pază a sediului din str. Albișoara nr. 38 de la SRL „Bercut-Grup”, pentru 2 posturi (8 gardieni)</w:t>
      </w:r>
      <w:r w:rsidR="006A73D1" w:rsidRPr="009772A3">
        <w:rPr>
          <w:rFonts w:asciiTheme="majorHAnsi" w:hAnsiTheme="majorHAnsi" w:cstheme="majorHAnsi"/>
          <w:spacing w:val="-4"/>
          <w:sz w:val="24"/>
          <w:szCs w:val="24"/>
          <w:lang w:val="ro-MD"/>
        </w:rPr>
        <w:t>,</w:t>
      </w:r>
      <w:r w:rsidR="00D415AD" w:rsidRPr="009772A3">
        <w:rPr>
          <w:rFonts w:asciiTheme="majorHAnsi" w:hAnsiTheme="majorHAnsi" w:cstheme="majorHAnsi"/>
          <w:spacing w:val="-4"/>
          <w:sz w:val="24"/>
          <w:szCs w:val="24"/>
          <w:lang w:val="ro-MD"/>
        </w:rPr>
        <w:t xml:space="preserve"> în valoare de 40,0 mii lei lunar. Ulterior, în același an, pentru ace</w:t>
      </w:r>
      <w:r w:rsidR="006A73D1" w:rsidRPr="009772A3">
        <w:rPr>
          <w:rFonts w:asciiTheme="majorHAnsi" w:hAnsiTheme="majorHAnsi" w:cstheme="majorHAnsi"/>
          <w:spacing w:val="-4"/>
          <w:sz w:val="24"/>
          <w:szCs w:val="24"/>
          <w:lang w:val="ro-MD"/>
        </w:rPr>
        <w:t>e</w:t>
      </w:r>
      <w:r w:rsidR="00D415AD" w:rsidRPr="009772A3">
        <w:rPr>
          <w:rFonts w:asciiTheme="majorHAnsi" w:hAnsiTheme="majorHAnsi" w:cstheme="majorHAnsi"/>
          <w:spacing w:val="-4"/>
          <w:sz w:val="24"/>
          <w:szCs w:val="24"/>
          <w:lang w:val="ro-MD"/>
        </w:rPr>
        <w:t>ași clădire situată în str. Albișoara nr. 38</w:t>
      </w:r>
      <w:r w:rsidR="006A73D1" w:rsidRPr="009772A3">
        <w:rPr>
          <w:rFonts w:asciiTheme="majorHAnsi" w:hAnsiTheme="majorHAnsi" w:cstheme="majorHAnsi"/>
          <w:spacing w:val="-4"/>
          <w:sz w:val="24"/>
          <w:szCs w:val="24"/>
          <w:lang w:val="ro-MD"/>
        </w:rPr>
        <w:t>,</w:t>
      </w:r>
      <w:r w:rsidR="00D415AD" w:rsidRPr="009772A3">
        <w:rPr>
          <w:rFonts w:asciiTheme="majorHAnsi" w:hAnsiTheme="majorHAnsi" w:cstheme="majorHAnsi"/>
          <w:spacing w:val="-4"/>
          <w:sz w:val="24"/>
          <w:szCs w:val="24"/>
          <w:lang w:val="ro-MD"/>
        </w:rPr>
        <w:t xml:space="preserve"> a achiziționat servicii de pază de la un alt agent economic</w:t>
      </w:r>
      <w:r w:rsidR="006A73D1" w:rsidRPr="009772A3">
        <w:rPr>
          <w:rFonts w:asciiTheme="majorHAnsi" w:hAnsiTheme="majorHAnsi" w:cstheme="majorHAnsi"/>
          <w:spacing w:val="-4"/>
          <w:sz w:val="24"/>
          <w:szCs w:val="24"/>
          <w:lang w:val="ro-MD"/>
        </w:rPr>
        <w:t>,</w:t>
      </w:r>
      <w:r w:rsidR="00D415AD" w:rsidRPr="009772A3">
        <w:rPr>
          <w:rFonts w:asciiTheme="majorHAnsi" w:hAnsiTheme="majorHAnsi" w:cstheme="majorHAnsi"/>
          <w:spacing w:val="-4"/>
          <w:sz w:val="24"/>
          <w:szCs w:val="24"/>
          <w:lang w:val="ro-MD"/>
        </w:rPr>
        <w:t xml:space="preserve"> SRL „Argus-S”, pentru 2 posturi (6 gardieni)</w:t>
      </w:r>
      <w:r w:rsidR="006A73D1" w:rsidRPr="009772A3">
        <w:rPr>
          <w:rFonts w:asciiTheme="majorHAnsi" w:hAnsiTheme="majorHAnsi" w:cstheme="majorHAnsi"/>
          <w:spacing w:val="-4"/>
          <w:sz w:val="24"/>
          <w:szCs w:val="24"/>
          <w:lang w:val="ro-MD"/>
        </w:rPr>
        <w:t>,</w:t>
      </w:r>
      <w:r w:rsidR="00D415AD" w:rsidRPr="009772A3">
        <w:rPr>
          <w:rFonts w:asciiTheme="majorHAnsi" w:hAnsiTheme="majorHAnsi" w:cstheme="majorHAnsi"/>
          <w:spacing w:val="-4"/>
          <w:sz w:val="24"/>
          <w:szCs w:val="24"/>
          <w:lang w:val="ro-MD"/>
        </w:rPr>
        <w:t xml:space="preserve"> în valoare de 129,0 mii lei lunar, sau cu 89,0 mii lei mai scump decât valoare</w:t>
      </w:r>
      <w:r w:rsidR="006A73D1" w:rsidRPr="009772A3">
        <w:rPr>
          <w:rFonts w:asciiTheme="majorHAnsi" w:hAnsiTheme="majorHAnsi" w:cstheme="majorHAnsi"/>
          <w:spacing w:val="-4"/>
          <w:sz w:val="24"/>
          <w:szCs w:val="24"/>
          <w:lang w:val="ro-MD"/>
        </w:rPr>
        <w:t>a</w:t>
      </w:r>
      <w:r w:rsidR="00D415AD" w:rsidRPr="009772A3">
        <w:rPr>
          <w:rFonts w:asciiTheme="majorHAnsi" w:hAnsiTheme="majorHAnsi" w:cstheme="majorHAnsi"/>
          <w:spacing w:val="-4"/>
          <w:sz w:val="24"/>
          <w:szCs w:val="24"/>
          <w:lang w:val="ro-MD"/>
        </w:rPr>
        <w:t xml:space="preserve"> serviciilor de pază prestate de SRL „Bercut-Grup”. Auditul a constatat că SRL „Chișinău-gaz” nu și-a argumentat necesitatea schimbării agentului economic </w:t>
      </w:r>
      <w:r w:rsidR="006A73D1" w:rsidRPr="009772A3">
        <w:rPr>
          <w:rFonts w:asciiTheme="majorHAnsi" w:hAnsiTheme="majorHAnsi" w:cstheme="majorHAnsi"/>
          <w:spacing w:val="-4"/>
          <w:sz w:val="24"/>
          <w:szCs w:val="24"/>
          <w:lang w:val="ro-MD"/>
        </w:rPr>
        <w:t>privind</w:t>
      </w:r>
      <w:r w:rsidR="00D415AD" w:rsidRPr="009772A3">
        <w:rPr>
          <w:rFonts w:asciiTheme="majorHAnsi" w:hAnsiTheme="majorHAnsi" w:cstheme="majorHAnsi"/>
          <w:spacing w:val="-4"/>
          <w:sz w:val="24"/>
          <w:szCs w:val="24"/>
          <w:lang w:val="ro-MD"/>
        </w:rPr>
        <w:t xml:space="preserve"> prestarea serviciilor de pază, având în vedere că pentru alte bunuri păzite au fost încheiate acorduri adiționale cu SRL „Bercut-Grup” la prețuri</w:t>
      </w:r>
      <w:r w:rsidR="009A13FC">
        <w:rPr>
          <w:rFonts w:asciiTheme="majorHAnsi" w:hAnsiTheme="majorHAnsi" w:cstheme="majorHAnsi"/>
          <w:spacing w:val="-4"/>
          <w:sz w:val="24"/>
          <w:szCs w:val="24"/>
          <w:lang w:val="ro-MD"/>
        </w:rPr>
        <w:t>le existente anterior</w:t>
      </w:r>
      <w:r w:rsidR="00D415AD" w:rsidRPr="009772A3">
        <w:rPr>
          <w:rFonts w:asciiTheme="majorHAnsi" w:hAnsiTheme="majorHAnsi" w:cstheme="majorHAnsi"/>
          <w:spacing w:val="-4"/>
          <w:sz w:val="24"/>
          <w:szCs w:val="24"/>
          <w:lang w:val="ro-MD"/>
        </w:rPr>
        <w:t xml:space="preserve">. </w:t>
      </w:r>
    </w:p>
    <w:p w14:paraId="6CC1549E" w14:textId="5E06C597" w:rsidR="0092397A" w:rsidRPr="009772A3" w:rsidRDefault="00780B1B" w:rsidP="0092397A">
      <w:pPr>
        <w:spacing w:after="0" w:line="276" w:lineRule="auto"/>
        <w:ind w:firstLine="567"/>
        <w:jc w:val="both"/>
        <w:rPr>
          <w:rFonts w:asciiTheme="majorHAnsi" w:hAnsiTheme="majorHAnsi" w:cstheme="majorHAnsi"/>
          <w:spacing w:val="-4"/>
          <w:sz w:val="24"/>
          <w:szCs w:val="24"/>
          <w:lang w:val="ro-MD"/>
        </w:rPr>
      </w:pPr>
      <w:r w:rsidRPr="009772A3">
        <w:rPr>
          <w:rFonts w:asciiTheme="majorHAnsi" w:hAnsiTheme="majorHAnsi" w:cstheme="majorHAnsi"/>
          <w:spacing w:val="-4"/>
          <w:sz w:val="24"/>
          <w:szCs w:val="24"/>
          <w:lang w:val="ro-MD"/>
        </w:rPr>
        <w:t>Prin urmare, ținând cont de cele expuse</w:t>
      </w:r>
      <w:r w:rsidR="006A73D1" w:rsidRPr="009772A3">
        <w:rPr>
          <w:rFonts w:asciiTheme="majorHAnsi" w:hAnsiTheme="majorHAnsi" w:cstheme="majorHAnsi"/>
          <w:spacing w:val="-4"/>
          <w:sz w:val="24"/>
          <w:szCs w:val="24"/>
          <w:lang w:val="ro-MD"/>
        </w:rPr>
        <w:t>,</w:t>
      </w:r>
      <w:r w:rsidRPr="009772A3">
        <w:rPr>
          <w:rFonts w:asciiTheme="majorHAnsi" w:hAnsiTheme="majorHAnsi" w:cstheme="majorHAnsi"/>
          <w:spacing w:val="-4"/>
          <w:sz w:val="24"/>
          <w:szCs w:val="24"/>
          <w:lang w:val="ro-MD"/>
        </w:rPr>
        <w:t xml:space="preserve"> dar și de necesitatea aplicării în procesul de desfășurare a activității de întreprinzător a principiului eficienței maxime la cheltuieli minime</w:t>
      </w:r>
      <w:r w:rsidR="00323032" w:rsidRPr="009772A3">
        <w:rPr>
          <w:rFonts w:asciiTheme="majorHAnsi" w:hAnsiTheme="majorHAnsi" w:cstheme="majorHAnsi"/>
          <w:spacing w:val="-4"/>
          <w:sz w:val="24"/>
          <w:szCs w:val="24"/>
          <w:lang w:val="ro-MD"/>
        </w:rPr>
        <w:t>,</w:t>
      </w:r>
      <w:r w:rsidRPr="009772A3">
        <w:rPr>
          <w:rFonts w:asciiTheme="majorHAnsi" w:hAnsiTheme="majorHAnsi" w:cstheme="majorHAnsi"/>
          <w:spacing w:val="-4"/>
          <w:sz w:val="24"/>
          <w:szCs w:val="24"/>
          <w:lang w:val="ro-MD"/>
        </w:rPr>
        <w:t xml:space="preserve"> se relevă existența unui risc de suportare a unor cheltuieli suplimentare.</w:t>
      </w:r>
    </w:p>
    <w:p w14:paraId="2F094E5B" w14:textId="36D30F52" w:rsidR="002E2529" w:rsidRPr="009772A3" w:rsidRDefault="002E2529" w:rsidP="009A13FC">
      <w:pPr>
        <w:pStyle w:val="Heading1"/>
        <w:numPr>
          <w:ilvl w:val="3"/>
          <w:numId w:val="2"/>
        </w:numPr>
        <w:tabs>
          <w:tab w:val="left" w:pos="851"/>
        </w:tabs>
        <w:spacing w:line="276" w:lineRule="auto"/>
        <w:ind w:left="0" w:firstLine="0"/>
        <w:jc w:val="both"/>
        <w:rPr>
          <w:i/>
          <w:color w:val="auto"/>
          <w:lang w:val="ro-MD"/>
        </w:rPr>
      </w:pPr>
      <w:bookmarkStart w:id="219" w:name="_Toc119496451"/>
      <w:r w:rsidRPr="009772A3">
        <w:rPr>
          <w:i/>
          <w:color w:val="auto"/>
          <w:lang w:val="ro-MD"/>
        </w:rPr>
        <w:t xml:space="preserve">Managementul financiar și controlul intern asupra unor cheltuieli nercesită o abordare mai economicoasă și </w:t>
      </w:r>
      <w:r w:rsidR="001038E9" w:rsidRPr="009772A3">
        <w:rPr>
          <w:i/>
          <w:color w:val="auto"/>
          <w:lang w:val="ro-MD"/>
        </w:rPr>
        <w:t>justificată.</w:t>
      </w:r>
      <w:bookmarkEnd w:id="219"/>
      <w:r w:rsidR="001038E9" w:rsidRPr="009772A3">
        <w:rPr>
          <w:i/>
          <w:color w:val="auto"/>
          <w:lang w:val="ro-MD"/>
        </w:rPr>
        <w:t xml:space="preserve"> </w:t>
      </w:r>
    </w:p>
    <w:p w14:paraId="316BE8CD" w14:textId="5D1E2A46" w:rsidR="00D56125" w:rsidRPr="009772A3" w:rsidRDefault="001038E9" w:rsidP="004F4116">
      <w:pPr>
        <w:spacing w:after="0" w:line="276" w:lineRule="auto"/>
        <w:ind w:firstLine="567"/>
        <w:jc w:val="both"/>
        <w:rPr>
          <w:rFonts w:asciiTheme="majorHAnsi" w:hAnsiTheme="majorHAnsi" w:cstheme="majorHAnsi"/>
          <w:spacing w:val="-4"/>
          <w:sz w:val="24"/>
          <w:szCs w:val="24"/>
          <w:lang w:val="ro-MD"/>
        </w:rPr>
      </w:pPr>
      <w:r w:rsidRPr="009772A3">
        <w:rPr>
          <w:rFonts w:asciiTheme="majorHAnsi" w:hAnsiTheme="majorHAnsi" w:cstheme="majorHAnsi"/>
          <w:spacing w:val="-4"/>
          <w:sz w:val="24"/>
          <w:szCs w:val="24"/>
          <w:lang w:val="ro-MD"/>
        </w:rPr>
        <w:t xml:space="preserve">Auditul a stabilit efectuarea unor cheltuieli realizate </w:t>
      </w:r>
      <w:r w:rsidR="00331592" w:rsidRPr="009772A3">
        <w:rPr>
          <w:rFonts w:asciiTheme="majorHAnsi" w:hAnsiTheme="majorHAnsi" w:cstheme="majorHAnsi"/>
          <w:spacing w:val="-4"/>
          <w:sz w:val="24"/>
          <w:szCs w:val="24"/>
          <w:lang w:val="ro-MD"/>
        </w:rPr>
        <w:t xml:space="preserve">de către administrația SA Moldovagaz </w:t>
      </w:r>
      <w:r w:rsidRPr="009772A3">
        <w:rPr>
          <w:rFonts w:asciiTheme="majorHAnsi" w:hAnsiTheme="majorHAnsi" w:cstheme="majorHAnsi"/>
          <w:spacing w:val="-4"/>
          <w:sz w:val="24"/>
          <w:szCs w:val="24"/>
          <w:lang w:val="ro-MD"/>
        </w:rPr>
        <w:t>prin intermediul cardului corporativ, nesusținute de documente justificative</w:t>
      </w:r>
      <w:r w:rsidR="00323032" w:rsidRPr="009772A3">
        <w:rPr>
          <w:rFonts w:asciiTheme="majorHAnsi" w:hAnsiTheme="majorHAnsi" w:cstheme="majorHAnsi"/>
          <w:spacing w:val="-4"/>
          <w:sz w:val="24"/>
          <w:szCs w:val="24"/>
          <w:lang w:val="ro-MD"/>
        </w:rPr>
        <w:t>,</w:t>
      </w:r>
      <w:r w:rsidRPr="009772A3">
        <w:rPr>
          <w:rFonts w:asciiTheme="majorHAnsi" w:hAnsiTheme="majorHAnsi" w:cstheme="majorHAnsi"/>
          <w:spacing w:val="-4"/>
          <w:sz w:val="24"/>
          <w:szCs w:val="24"/>
          <w:lang w:val="ro-MD"/>
        </w:rPr>
        <w:t xml:space="preserve"> </w:t>
      </w:r>
      <w:r w:rsidR="00D65F1E" w:rsidRPr="009772A3">
        <w:rPr>
          <w:rFonts w:asciiTheme="majorHAnsi" w:hAnsiTheme="majorHAnsi" w:cstheme="majorHAnsi"/>
          <w:spacing w:val="-4"/>
          <w:sz w:val="24"/>
          <w:szCs w:val="24"/>
          <w:lang w:val="ro-MD"/>
        </w:rPr>
        <w:t xml:space="preserve">în valoare de </w:t>
      </w:r>
      <w:r w:rsidRPr="009772A3">
        <w:rPr>
          <w:rFonts w:asciiTheme="majorHAnsi" w:hAnsiTheme="majorHAnsi" w:cstheme="majorHAnsi"/>
          <w:spacing w:val="-4"/>
          <w:sz w:val="24"/>
          <w:szCs w:val="24"/>
          <w:lang w:val="ro-MD"/>
        </w:rPr>
        <w:t>368,7 mii lei,</w:t>
      </w:r>
      <w:r w:rsidR="00BA0706" w:rsidRPr="009772A3">
        <w:rPr>
          <w:rFonts w:asciiTheme="majorHAnsi" w:hAnsiTheme="majorHAnsi" w:cstheme="majorHAnsi"/>
          <w:spacing w:val="-4"/>
          <w:sz w:val="24"/>
          <w:szCs w:val="24"/>
          <w:lang w:val="ro-MD"/>
        </w:rPr>
        <w:t xml:space="preserve"> precum și </w:t>
      </w:r>
      <w:r w:rsidR="00331592" w:rsidRPr="009772A3">
        <w:rPr>
          <w:rFonts w:asciiTheme="majorHAnsi" w:hAnsiTheme="majorHAnsi" w:cstheme="majorHAnsi"/>
          <w:spacing w:val="-4"/>
          <w:sz w:val="24"/>
          <w:szCs w:val="24"/>
          <w:lang w:val="ro-MD"/>
        </w:rPr>
        <w:t xml:space="preserve">de către grupul SA Moldovagaz a </w:t>
      </w:r>
      <w:r w:rsidR="00BA0706" w:rsidRPr="009772A3">
        <w:rPr>
          <w:rFonts w:asciiTheme="majorHAnsi" w:hAnsiTheme="majorHAnsi" w:cstheme="majorHAnsi"/>
          <w:spacing w:val="-4"/>
          <w:sz w:val="24"/>
          <w:szCs w:val="24"/>
          <w:lang w:val="ro-MD"/>
        </w:rPr>
        <w:t>cheltuielilor de reprezentanță</w:t>
      </w:r>
      <w:r w:rsidR="00323032" w:rsidRPr="009772A3">
        <w:rPr>
          <w:rFonts w:asciiTheme="majorHAnsi" w:hAnsiTheme="majorHAnsi" w:cstheme="majorHAnsi"/>
          <w:spacing w:val="-4"/>
          <w:sz w:val="24"/>
          <w:szCs w:val="24"/>
          <w:lang w:val="ro-MD"/>
        </w:rPr>
        <w:t>,</w:t>
      </w:r>
      <w:r w:rsidR="00BA0706" w:rsidRPr="009772A3">
        <w:rPr>
          <w:rFonts w:asciiTheme="majorHAnsi" w:hAnsiTheme="majorHAnsi" w:cstheme="majorHAnsi"/>
          <w:spacing w:val="-4"/>
          <w:sz w:val="24"/>
          <w:szCs w:val="24"/>
          <w:lang w:val="ro-MD"/>
        </w:rPr>
        <w:t xml:space="preserve"> în sumă totală de 11.160,5 mii lei</w:t>
      </w:r>
      <w:r w:rsidR="00E719E6" w:rsidRPr="009772A3">
        <w:rPr>
          <w:rFonts w:asciiTheme="majorHAnsi" w:hAnsiTheme="majorHAnsi" w:cstheme="majorHAnsi"/>
          <w:spacing w:val="-4"/>
          <w:sz w:val="24"/>
          <w:szCs w:val="24"/>
          <w:lang w:val="ro-MD"/>
        </w:rPr>
        <w:t>, inclusiv TVA</w:t>
      </w:r>
      <w:r w:rsidR="00D65F1E" w:rsidRPr="009772A3">
        <w:rPr>
          <w:rFonts w:asciiTheme="majorHAnsi" w:hAnsiTheme="majorHAnsi" w:cstheme="majorHAnsi"/>
          <w:spacing w:val="-4"/>
          <w:sz w:val="24"/>
          <w:szCs w:val="24"/>
          <w:lang w:val="ro-MD"/>
        </w:rPr>
        <w:t xml:space="preserve"> (cheltueli aferente serviciilor de deservire a delegațiilor, asigurare a securității și ordinii publice, serviciilor de organizare a evenimentului social</w:t>
      </w:r>
      <w:r w:rsidR="00323032" w:rsidRPr="009772A3">
        <w:rPr>
          <w:rFonts w:asciiTheme="majorHAnsi" w:hAnsiTheme="majorHAnsi" w:cstheme="majorHAnsi"/>
          <w:spacing w:val="-4"/>
          <w:sz w:val="24"/>
          <w:szCs w:val="24"/>
          <w:lang w:val="ro-MD"/>
        </w:rPr>
        <w:t>-</w:t>
      </w:r>
      <w:r w:rsidR="00D65F1E" w:rsidRPr="009772A3">
        <w:rPr>
          <w:rFonts w:asciiTheme="majorHAnsi" w:hAnsiTheme="majorHAnsi" w:cstheme="majorHAnsi"/>
          <w:spacing w:val="-4"/>
          <w:sz w:val="24"/>
          <w:szCs w:val="24"/>
          <w:lang w:val="ro-MD"/>
        </w:rPr>
        <w:t>cultural etc</w:t>
      </w:r>
      <w:r w:rsidR="00FC2E84" w:rsidRPr="009772A3">
        <w:rPr>
          <w:rFonts w:asciiTheme="majorHAnsi" w:hAnsiTheme="majorHAnsi" w:cstheme="majorHAnsi"/>
          <w:spacing w:val="-4"/>
          <w:sz w:val="24"/>
          <w:szCs w:val="24"/>
          <w:lang w:val="ro-MD"/>
        </w:rPr>
        <w:t>.</w:t>
      </w:r>
      <w:r w:rsidR="00D65F1E" w:rsidRPr="009772A3">
        <w:rPr>
          <w:rFonts w:asciiTheme="majorHAnsi" w:hAnsiTheme="majorHAnsi" w:cstheme="majorHAnsi"/>
          <w:spacing w:val="-4"/>
          <w:sz w:val="24"/>
          <w:szCs w:val="24"/>
          <w:lang w:val="ro-MD"/>
        </w:rPr>
        <w:t xml:space="preserve">), </w:t>
      </w:r>
      <w:r w:rsidR="00BA0706" w:rsidRPr="009772A3">
        <w:rPr>
          <w:rFonts w:asciiTheme="majorHAnsi" w:hAnsiTheme="majorHAnsi" w:cstheme="majorHAnsi"/>
          <w:spacing w:val="-4"/>
          <w:sz w:val="24"/>
          <w:szCs w:val="24"/>
          <w:lang w:val="ro-MD"/>
        </w:rPr>
        <w:t xml:space="preserve">contractate prin licitație sau </w:t>
      </w:r>
      <w:r w:rsidR="00D65F1E" w:rsidRPr="009772A3">
        <w:rPr>
          <w:rFonts w:asciiTheme="majorHAnsi" w:hAnsiTheme="majorHAnsi" w:cstheme="majorHAnsi"/>
          <w:spacing w:val="-4"/>
          <w:sz w:val="24"/>
          <w:szCs w:val="24"/>
          <w:lang w:val="ro-MD"/>
        </w:rPr>
        <w:t xml:space="preserve">negocieri </w:t>
      </w:r>
      <w:r w:rsidR="00BA0706" w:rsidRPr="009772A3">
        <w:rPr>
          <w:rFonts w:asciiTheme="majorHAnsi" w:hAnsiTheme="majorHAnsi" w:cstheme="majorHAnsi"/>
          <w:spacing w:val="-4"/>
          <w:sz w:val="24"/>
          <w:szCs w:val="24"/>
          <w:lang w:val="ro-MD"/>
        </w:rPr>
        <w:t>direct</w:t>
      </w:r>
      <w:r w:rsidR="00D65F1E" w:rsidRPr="009772A3">
        <w:rPr>
          <w:rFonts w:asciiTheme="majorHAnsi" w:hAnsiTheme="majorHAnsi" w:cstheme="majorHAnsi"/>
          <w:spacing w:val="-4"/>
          <w:sz w:val="24"/>
          <w:szCs w:val="24"/>
          <w:lang w:val="ro-MD"/>
        </w:rPr>
        <w:t>e.</w:t>
      </w:r>
    </w:p>
    <w:p w14:paraId="67569461" w14:textId="51B1AA1A" w:rsidR="00F90823" w:rsidRPr="009772A3" w:rsidRDefault="00D65F1E" w:rsidP="004F4116">
      <w:pPr>
        <w:spacing w:after="0" w:line="276" w:lineRule="auto"/>
        <w:ind w:firstLine="567"/>
        <w:jc w:val="both"/>
        <w:rPr>
          <w:rFonts w:asciiTheme="majorHAnsi" w:hAnsiTheme="majorHAnsi" w:cstheme="majorHAnsi"/>
          <w:sz w:val="24"/>
          <w:szCs w:val="24"/>
          <w:lang w:val="ro-MD"/>
        </w:rPr>
      </w:pPr>
      <w:r w:rsidRPr="009772A3">
        <w:rPr>
          <w:rFonts w:asciiTheme="majorHAnsi" w:hAnsiTheme="majorHAnsi" w:cstheme="majorHAnsi"/>
          <w:spacing w:val="-4"/>
          <w:sz w:val="24"/>
          <w:szCs w:val="24"/>
          <w:lang w:val="ro-MD"/>
        </w:rPr>
        <w:t xml:space="preserve"> </w:t>
      </w:r>
      <w:r w:rsidR="00B35D7E" w:rsidRPr="009772A3">
        <w:rPr>
          <w:rFonts w:asciiTheme="majorHAnsi" w:hAnsiTheme="majorHAnsi" w:cstheme="majorHAnsi"/>
          <w:spacing w:val="-4"/>
          <w:sz w:val="24"/>
          <w:szCs w:val="24"/>
          <w:lang w:val="ro-MD"/>
        </w:rPr>
        <w:t xml:space="preserve">Pornind de la </w:t>
      </w:r>
      <w:r w:rsidR="00D56125" w:rsidRPr="009772A3">
        <w:rPr>
          <w:rFonts w:asciiTheme="majorHAnsi" w:hAnsiTheme="majorHAnsi" w:cstheme="majorHAnsi"/>
          <w:spacing w:val="-4"/>
          <w:sz w:val="24"/>
          <w:szCs w:val="24"/>
          <w:lang w:val="ro-MD"/>
        </w:rPr>
        <w:t>faptul că cheltuielile menționate su</w:t>
      </w:r>
      <w:r w:rsidR="003E2CF3" w:rsidRPr="009772A3">
        <w:rPr>
          <w:rFonts w:asciiTheme="majorHAnsi" w:hAnsiTheme="majorHAnsi" w:cstheme="majorHAnsi"/>
          <w:spacing w:val="-4"/>
          <w:sz w:val="24"/>
          <w:szCs w:val="24"/>
          <w:lang w:val="ro-MD"/>
        </w:rPr>
        <w:t>p</w:t>
      </w:r>
      <w:r w:rsidR="00D56125" w:rsidRPr="009772A3">
        <w:rPr>
          <w:rFonts w:asciiTheme="majorHAnsi" w:hAnsiTheme="majorHAnsi" w:cstheme="majorHAnsi"/>
          <w:spacing w:val="-4"/>
          <w:sz w:val="24"/>
          <w:szCs w:val="24"/>
          <w:lang w:val="ro-MD"/>
        </w:rPr>
        <w:t xml:space="preserve">ra nu </w:t>
      </w:r>
      <w:r w:rsidR="003E2CF3" w:rsidRPr="009772A3">
        <w:rPr>
          <w:rFonts w:asciiTheme="majorHAnsi" w:hAnsiTheme="majorHAnsi" w:cstheme="majorHAnsi"/>
          <w:spacing w:val="-4"/>
          <w:sz w:val="24"/>
          <w:szCs w:val="24"/>
          <w:lang w:val="ro-MD"/>
        </w:rPr>
        <w:t xml:space="preserve">țin de </w:t>
      </w:r>
      <w:r w:rsidR="00D56125" w:rsidRPr="009772A3">
        <w:rPr>
          <w:rFonts w:asciiTheme="majorHAnsi" w:hAnsiTheme="majorHAnsi" w:cstheme="majorHAnsi"/>
          <w:spacing w:val="-4"/>
          <w:sz w:val="24"/>
          <w:szCs w:val="24"/>
          <w:lang w:val="ro-MD"/>
        </w:rPr>
        <w:t>activitatea</w:t>
      </w:r>
      <w:r w:rsidR="00D56125" w:rsidRPr="009772A3">
        <w:rPr>
          <w:rFonts w:asciiTheme="majorHAnsi" w:hAnsiTheme="majorHAnsi" w:cstheme="majorHAnsi"/>
          <w:sz w:val="24"/>
          <w:szCs w:val="24"/>
          <w:lang w:val="ro-MD"/>
        </w:rPr>
        <w:t xml:space="preserve"> de antreprenoriat, </w:t>
      </w:r>
      <w:r w:rsidR="003E2CF3" w:rsidRPr="009772A3">
        <w:rPr>
          <w:rFonts w:asciiTheme="majorHAnsi" w:hAnsiTheme="majorHAnsi" w:cstheme="majorHAnsi"/>
          <w:sz w:val="24"/>
          <w:szCs w:val="24"/>
          <w:lang w:val="ro-MD"/>
        </w:rPr>
        <w:t>precum și având în vedere situația economico-financiară actuală precară a grupului SA Moldovagaz, auditul consideră necesar</w:t>
      </w:r>
      <w:r w:rsidR="00323032" w:rsidRPr="009772A3">
        <w:rPr>
          <w:rFonts w:asciiTheme="majorHAnsi" w:hAnsiTheme="majorHAnsi" w:cstheme="majorHAnsi"/>
          <w:sz w:val="24"/>
          <w:szCs w:val="24"/>
          <w:lang w:val="ro-MD"/>
        </w:rPr>
        <w:t>ă</w:t>
      </w:r>
      <w:r w:rsidR="003E2CF3" w:rsidRPr="009772A3">
        <w:rPr>
          <w:rFonts w:asciiTheme="majorHAnsi" w:hAnsiTheme="majorHAnsi" w:cstheme="majorHAnsi"/>
          <w:sz w:val="24"/>
          <w:szCs w:val="24"/>
          <w:lang w:val="ro-MD"/>
        </w:rPr>
        <w:t xml:space="preserve"> dezvoltarea și aprobarea unor reglementări interne cu privire la </w:t>
      </w:r>
      <w:r w:rsidR="003E2CF3" w:rsidRPr="009772A3">
        <w:rPr>
          <w:rFonts w:asciiTheme="majorHAnsi" w:eastAsia="SimSun" w:hAnsiTheme="majorHAnsi" w:cstheme="majorHAnsi"/>
          <w:kern w:val="3"/>
          <w:sz w:val="24"/>
          <w:szCs w:val="24"/>
          <w:lang w:val="ro-MD"/>
        </w:rPr>
        <w:t>modul de gestionare a instrumente</w:t>
      </w:r>
      <w:r w:rsidR="00FC2E84" w:rsidRPr="009772A3">
        <w:rPr>
          <w:rFonts w:asciiTheme="majorHAnsi" w:eastAsia="SimSun" w:hAnsiTheme="majorHAnsi" w:cstheme="majorHAnsi"/>
          <w:kern w:val="3"/>
          <w:sz w:val="24"/>
          <w:szCs w:val="24"/>
          <w:lang w:val="ro-MD"/>
        </w:rPr>
        <w:t>lor</w:t>
      </w:r>
      <w:r w:rsidR="003E2CF3" w:rsidRPr="009772A3">
        <w:rPr>
          <w:rFonts w:asciiTheme="majorHAnsi" w:eastAsia="SimSun" w:hAnsiTheme="majorHAnsi" w:cstheme="majorHAnsi"/>
          <w:kern w:val="3"/>
          <w:sz w:val="24"/>
          <w:szCs w:val="24"/>
          <w:lang w:val="ro-MD"/>
        </w:rPr>
        <w:t xml:space="preserve"> financiare de business (cardul </w:t>
      </w:r>
      <w:r w:rsidR="006960C2" w:rsidRPr="009772A3">
        <w:rPr>
          <w:rFonts w:asciiTheme="majorHAnsi" w:eastAsia="SimSun" w:hAnsiTheme="majorHAnsi" w:cstheme="majorHAnsi"/>
          <w:kern w:val="3"/>
          <w:sz w:val="24"/>
          <w:szCs w:val="24"/>
          <w:lang w:val="ro-MD"/>
        </w:rPr>
        <w:t xml:space="preserve">bancar </w:t>
      </w:r>
      <w:r w:rsidR="00B35D7E" w:rsidRPr="009772A3">
        <w:rPr>
          <w:rFonts w:asciiTheme="majorHAnsi" w:eastAsia="SimSun" w:hAnsiTheme="majorHAnsi" w:cstheme="majorHAnsi"/>
          <w:kern w:val="3"/>
          <w:sz w:val="24"/>
          <w:szCs w:val="24"/>
          <w:lang w:val="ro-MD"/>
        </w:rPr>
        <w:t>corporativ</w:t>
      </w:r>
      <w:r w:rsidR="003E2CF3" w:rsidRPr="009772A3">
        <w:rPr>
          <w:rFonts w:asciiTheme="majorHAnsi" w:eastAsia="SimSun" w:hAnsiTheme="majorHAnsi" w:cstheme="majorHAnsi"/>
          <w:kern w:val="3"/>
          <w:sz w:val="24"/>
          <w:szCs w:val="24"/>
          <w:lang w:val="ro-MD"/>
        </w:rPr>
        <w:t xml:space="preserve"> etc.), care ar stabili clar destinația utilizării, responsabilitățile și drepturile angajaților, tipurile și limitele de cheltuieli care pot fi efectuate, modul de documentare corespunzătoare a acestora, precum și cu privire la </w:t>
      </w:r>
      <w:r w:rsidR="003E2CF3" w:rsidRPr="009772A3">
        <w:rPr>
          <w:rFonts w:asciiTheme="majorHAnsi" w:hAnsiTheme="majorHAnsi" w:cstheme="majorHAnsi"/>
          <w:sz w:val="24"/>
          <w:szCs w:val="24"/>
          <w:lang w:val="ro-MD"/>
        </w:rPr>
        <w:t xml:space="preserve">identificarea, evaluarea și planificarea necesităților </w:t>
      </w:r>
      <w:r w:rsidR="00B35D7E" w:rsidRPr="009772A3">
        <w:rPr>
          <w:rFonts w:asciiTheme="majorHAnsi" w:hAnsiTheme="majorHAnsi" w:cstheme="majorHAnsi"/>
          <w:sz w:val="24"/>
          <w:szCs w:val="24"/>
          <w:lang w:val="ro-MD"/>
        </w:rPr>
        <w:t xml:space="preserve">rezonabile a </w:t>
      </w:r>
      <w:r w:rsidR="003E2CF3" w:rsidRPr="009772A3">
        <w:rPr>
          <w:rFonts w:asciiTheme="majorHAnsi" w:hAnsiTheme="majorHAnsi" w:cstheme="majorHAnsi"/>
          <w:sz w:val="24"/>
          <w:szCs w:val="24"/>
          <w:lang w:val="ro-MD"/>
        </w:rPr>
        <w:t>serviciilor de reprezenta</w:t>
      </w:r>
      <w:r w:rsidR="00B35D7E" w:rsidRPr="009772A3">
        <w:rPr>
          <w:rFonts w:asciiTheme="majorHAnsi" w:hAnsiTheme="majorHAnsi" w:cstheme="majorHAnsi"/>
          <w:sz w:val="24"/>
          <w:szCs w:val="24"/>
          <w:lang w:val="ro-MD"/>
        </w:rPr>
        <w:t xml:space="preserve">nță și protocol. </w:t>
      </w:r>
    </w:p>
    <w:p w14:paraId="11772D0B" w14:textId="3612ECEA" w:rsidR="00DD5098" w:rsidRPr="009772A3" w:rsidRDefault="00B54842" w:rsidP="004F4116">
      <w:pPr>
        <w:spacing w:after="0" w:line="276" w:lineRule="auto"/>
        <w:ind w:firstLine="567"/>
        <w:jc w:val="both"/>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SA Moldovagaz explică că cheltuielile de reprezentare sunt prevăzute în bugetele anuale, aprobate de Consiliul de Observatori al societății</w:t>
      </w:r>
      <w:r w:rsidR="00323032" w:rsidRPr="009772A3">
        <w:rPr>
          <w:rFonts w:asciiTheme="majorHAnsi" w:eastAsia="SimSun" w:hAnsiTheme="majorHAnsi" w:cstheme="majorHAnsi"/>
          <w:kern w:val="3"/>
          <w:sz w:val="24"/>
          <w:szCs w:val="24"/>
          <w:lang w:val="ro-MD"/>
        </w:rPr>
        <w:t>,</w:t>
      </w:r>
      <w:r w:rsidR="00DD5098" w:rsidRPr="009772A3">
        <w:rPr>
          <w:rFonts w:asciiTheme="majorHAnsi" w:eastAsia="SimSun" w:hAnsiTheme="majorHAnsi" w:cstheme="majorHAnsi"/>
          <w:kern w:val="3"/>
          <w:sz w:val="24"/>
          <w:szCs w:val="24"/>
          <w:lang w:val="ro-MD"/>
        </w:rPr>
        <w:t xml:space="preserve"> și </w:t>
      </w:r>
      <w:r w:rsidR="004D7BCA" w:rsidRPr="009772A3">
        <w:rPr>
          <w:rFonts w:asciiTheme="majorHAnsi" w:eastAsia="SimSun" w:hAnsiTheme="majorHAnsi" w:cstheme="majorHAnsi"/>
          <w:kern w:val="3"/>
          <w:sz w:val="24"/>
          <w:szCs w:val="24"/>
          <w:lang w:val="ro-MD"/>
        </w:rPr>
        <w:t>sunt ajustate conform cadrului normativ fiscal.</w:t>
      </w:r>
    </w:p>
    <w:p w14:paraId="604E1F7D" w14:textId="3D4795CB" w:rsidR="00C0688B" w:rsidRPr="009772A3" w:rsidRDefault="00C0688B" w:rsidP="009A13FC">
      <w:pPr>
        <w:pStyle w:val="Heading1"/>
        <w:numPr>
          <w:ilvl w:val="1"/>
          <w:numId w:val="2"/>
        </w:numPr>
        <w:spacing w:line="276" w:lineRule="auto"/>
        <w:ind w:left="0" w:firstLine="0"/>
        <w:jc w:val="both"/>
        <w:rPr>
          <w:rFonts w:cstheme="majorHAnsi"/>
          <w:color w:val="auto"/>
          <w:szCs w:val="24"/>
          <w:lang w:val="ro-MD"/>
        </w:rPr>
      </w:pPr>
      <w:bookmarkStart w:id="220" w:name="_Toc118297753"/>
      <w:bookmarkStart w:id="221" w:name="_Toc119496452"/>
      <w:r w:rsidRPr="009772A3">
        <w:rPr>
          <w:rFonts w:cstheme="majorHAnsi"/>
          <w:color w:val="auto"/>
          <w:szCs w:val="24"/>
          <w:lang w:val="ro-MD"/>
        </w:rPr>
        <w:t xml:space="preserve">Procesul de gestionare a rețelelor de transport și </w:t>
      </w:r>
      <w:r w:rsidR="00C8579F" w:rsidRPr="009772A3">
        <w:rPr>
          <w:rFonts w:cstheme="majorHAnsi"/>
          <w:color w:val="auto"/>
          <w:szCs w:val="24"/>
          <w:lang w:val="ro-MD"/>
        </w:rPr>
        <w:t xml:space="preserve">de </w:t>
      </w:r>
      <w:r w:rsidRPr="009772A3">
        <w:rPr>
          <w:rFonts w:cstheme="majorHAnsi"/>
          <w:color w:val="auto"/>
          <w:szCs w:val="24"/>
          <w:lang w:val="ro-MD"/>
        </w:rPr>
        <w:t>distribuție a gazelor naturale</w:t>
      </w:r>
      <w:r w:rsidR="00323032" w:rsidRPr="009772A3">
        <w:rPr>
          <w:rFonts w:cstheme="majorHAnsi"/>
          <w:color w:val="auto"/>
          <w:szCs w:val="24"/>
          <w:lang w:val="ro-MD"/>
        </w:rPr>
        <w:t>,</w:t>
      </w:r>
      <w:r w:rsidRPr="009772A3">
        <w:rPr>
          <w:rFonts w:cstheme="majorHAnsi"/>
          <w:color w:val="auto"/>
          <w:szCs w:val="24"/>
          <w:lang w:val="ro-MD"/>
        </w:rPr>
        <w:t xml:space="preserve"> transmise către grupul SA Moldovagaz la deservire, asigură evidența și integritatea corespunzătoare a acestor </w:t>
      </w:r>
      <w:r w:rsidR="00C8579F" w:rsidRPr="009772A3">
        <w:rPr>
          <w:rFonts w:cstheme="majorHAnsi"/>
          <w:color w:val="auto"/>
          <w:szCs w:val="24"/>
          <w:lang w:val="ro-MD"/>
        </w:rPr>
        <w:t>bunuri</w:t>
      </w:r>
      <w:r w:rsidRPr="009772A3">
        <w:rPr>
          <w:rFonts w:cstheme="majorHAnsi"/>
          <w:color w:val="auto"/>
          <w:szCs w:val="24"/>
          <w:lang w:val="ro-MD"/>
        </w:rPr>
        <w:t>?</w:t>
      </w:r>
      <w:bookmarkEnd w:id="220"/>
      <w:bookmarkEnd w:id="221"/>
    </w:p>
    <w:p w14:paraId="301AE06B" w14:textId="6F6D516F" w:rsidR="00C0688B" w:rsidRPr="009772A3" w:rsidRDefault="00D81713" w:rsidP="00C0688B">
      <w:pPr>
        <w:widowControl w:val="0"/>
        <w:suppressAutoHyphens/>
        <w:autoSpaceDN w:val="0"/>
        <w:spacing w:after="0" w:line="276" w:lineRule="auto"/>
        <w:ind w:firstLine="720"/>
        <w:jc w:val="both"/>
        <w:textAlignment w:val="baseline"/>
        <w:rPr>
          <w:rFonts w:asciiTheme="majorHAnsi" w:hAnsiTheme="majorHAnsi" w:cstheme="majorHAnsi"/>
          <w:i/>
          <w:sz w:val="24"/>
          <w:szCs w:val="24"/>
          <w:lang w:val="ro-MD"/>
        </w:rPr>
      </w:pPr>
      <w:r w:rsidRPr="009772A3">
        <w:rPr>
          <w:rFonts w:asciiTheme="majorHAnsi" w:eastAsia="SimSun" w:hAnsiTheme="majorHAnsi" w:cstheme="majorHAnsi"/>
          <w:i/>
          <w:kern w:val="3"/>
          <w:sz w:val="24"/>
          <w:szCs w:val="24"/>
          <w:lang w:val="ro-MD"/>
        </w:rPr>
        <w:t>Reț</w:t>
      </w:r>
      <w:r w:rsidR="00C0688B" w:rsidRPr="009772A3">
        <w:rPr>
          <w:rFonts w:asciiTheme="majorHAnsi" w:eastAsia="SimSun" w:hAnsiTheme="majorHAnsi" w:cstheme="majorHAnsi"/>
          <w:i/>
          <w:kern w:val="3"/>
          <w:sz w:val="24"/>
          <w:szCs w:val="24"/>
          <w:lang w:val="ro-MD"/>
        </w:rPr>
        <w:t>elele</w:t>
      </w:r>
      <w:r w:rsidR="00C0688B" w:rsidRPr="009772A3">
        <w:rPr>
          <w:rFonts w:asciiTheme="majorHAnsi" w:hAnsiTheme="majorHAnsi" w:cstheme="majorHAnsi"/>
          <w:i/>
          <w:sz w:val="24"/>
          <w:szCs w:val="24"/>
          <w:lang w:val="ro-MD"/>
        </w:rPr>
        <w:t xml:space="preserve"> de transport și distribuție a gazelor naturale proprietate publică </w:t>
      </w:r>
      <w:r w:rsidR="00C8579F" w:rsidRPr="009772A3">
        <w:rPr>
          <w:rFonts w:asciiTheme="majorHAnsi" w:hAnsiTheme="majorHAnsi" w:cstheme="majorHAnsi"/>
          <w:i/>
          <w:sz w:val="24"/>
          <w:szCs w:val="24"/>
          <w:lang w:val="ro-MD"/>
        </w:rPr>
        <w:t>și privat</w:t>
      </w:r>
      <w:r w:rsidR="00433713" w:rsidRPr="009772A3">
        <w:rPr>
          <w:rFonts w:asciiTheme="majorHAnsi" w:hAnsiTheme="majorHAnsi" w:cstheme="majorHAnsi"/>
          <w:i/>
          <w:sz w:val="24"/>
          <w:szCs w:val="24"/>
          <w:lang w:val="ro-MD"/>
        </w:rPr>
        <w:t>ă</w:t>
      </w:r>
      <w:r w:rsidR="00C8579F" w:rsidRPr="009772A3">
        <w:rPr>
          <w:rFonts w:asciiTheme="majorHAnsi" w:hAnsiTheme="majorHAnsi" w:cstheme="majorHAnsi"/>
          <w:i/>
          <w:sz w:val="24"/>
          <w:szCs w:val="24"/>
          <w:lang w:val="ro-MD"/>
        </w:rPr>
        <w:t xml:space="preserve"> </w:t>
      </w:r>
      <w:r w:rsidR="00C0688B" w:rsidRPr="009772A3">
        <w:rPr>
          <w:rFonts w:asciiTheme="majorHAnsi" w:hAnsiTheme="majorHAnsi" w:cstheme="majorHAnsi"/>
          <w:i/>
          <w:sz w:val="24"/>
          <w:szCs w:val="24"/>
          <w:lang w:val="ro-MD"/>
        </w:rPr>
        <w:t xml:space="preserve">sunt utilizate de întreprinderile SA Moldovagaz în lipsa unei evidențe exhaustive și achitării unor redevențe în folosul proprietarilor pentru utilizarea lor. Totodată, au fost identificate cazuri de </w:t>
      </w:r>
      <w:r w:rsidR="00840E12" w:rsidRPr="009772A3">
        <w:rPr>
          <w:rFonts w:asciiTheme="majorHAnsi" w:hAnsiTheme="majorHAnsi" w:cstheme="majorHAnsi"/>
          <w:i/>
          <w:sz w:val="24"/>
          <w:szCs w:val="24"/>
          <w:lang w:val="ro-MD"/>
        </w:rPr>
        <w:t xml:space="preserve">transmitere </w:t>
      </w:r>
      <w:r w:rsidR="00C0688B" w:rsidRPr="009772A3">
        <w:rPr>
          <w:rFonts w:asciiTheme="majorHAnsi" w:hAnsiTheme="majorHAnsi" w:cstheme="majorHAnsi"/>
          <w:i/>
          <w:sz w:val="24"/>
          <w:szCs w:val="24"/>
          <w:lang w:val="ro-MD"/>
        </w:rPr>
        <w:t>neconformă</w:t>
      </w:r>
      <w:r w:rsidR="00840E12" w:rsidRPr="009772A3">
        <w:rPr>
          <w:rFonts w:asciiTheme="majorHAnsi" w:hAnsiTheme="majorHAnsi" w:cstheme="majorHAnsi"/>
          <w:i/>
          <w:sz w:val="24"/>
          <w:szCs w:val="24"/>
          <w:lang w:val="ro-MD"/>
        </w:rPr>
        <w:t xml:space="preserve"> de către autoritățile publice</w:t>
      </w:r>
      <w:r w:rsidR="00C8579F" w:rsidRPr="009772A3">
        <w:rPr>
          <w:rFonts w:asciiTheme="majorHAnsi" w:hAnsiTheme="majorHAnsi" w:cstheme="majorHAnsi"/>
          <w:i/>
          <w:sz w:val="24"/>
          <w:szCs w:val="24"/>
          <w:lang w:val="ro-MD"/>
        </w:rPr>
        <w:t xml:space="preserve"> locale</w:t>
      </w:r>
      <w:r w:rsidR="00840E12" w:rsidRPr="009772A3">
        <w:rPr>
          <w:rFonts w:asciiTheme="majorHAnsi" w:hAnsiTheme="majorHAnsi" w:cstheme="majorHAnsi"/>
          <w:i/>
          <w:sz w:val="24"/>
          <w:szCs w:val="24"/>
          <w:lang w:val="ro-MD"/>
        </w:rPr>
        <w:t>, iar în alte cazuri</w:t>
      </w:r>
      <w:r w:rsidR="00C0688B" w:rsidRPr="009772A3">
        <w:rPr>
          <w:rFonts w:asciiTheme="majorHAnsi" w:hAnsiTheme="majorHAnsi" w:cstheme="majorHAnsi"/>
          <w:i/>
          <w:sz w:val="24"/>
          <w:szCs w:val="24"/>
          <w:lang w:val="ro-MD"/>
        </w:rPr>
        <w:t xml:space="preserve"> </w:t>
      </w:r>
      <w:r w:rsidR="00430072" w:rsidRPr="009772A3">
        <w:rPr>
          <w:rFonts w:asciiTheme="majorHAnsi" w:hAnsiTheme="majorHAnsi" w:cstheme="majorHAnsi"/>
          <w:i/>
          <w:sz w:val="24"/>
          <w:szCs w:val="24"/>
          <w:lang w:val="ro-MD"/>
        </w:rPr>
        <w:t xml:space="preserve">– </w:t>
      </w:r>
      <w:r w:rsidR="00C0688B" w:rsidRPr="009772A3">
        <w:rPr>
          <w:rFonts w:asciiTheme="majorHAnsi" w:hAnsiTheme="majorHAnsi" w:cstheme="majorHAnsi"/>
          <w:i/>
          <w:sz w:val="24"/>
          <w:szCs w:val="24"/>
          <w:lang w:val="ro-MD"/>
        </w:rPr>
        <w:t>recunoaștere</w:t>
      </w:r>
      <w:r w:rsidR="00840E12" w:rsidRPr="009772A3">
        <w:rPr>
          <w:rFonts w:asciiTheme="majorHAnsi" w:hAnsiTheme="majorHAnsi" w:cstheme="majorHAnsi"/>
          <w:i/>
          <w:sz w:val="24"/>
          <w:szCs w:val="24"/>
          <w:lang w:val="ro-MD"/>
        </w:rPr>
        <w:t>a</w:t>
      </w:r>
      <w:r w:rsidR="00C0688B" w:rsidRPr="009772A3">
        <w:rPr>
          <w:rFonts w:asciiTheme="majorHAnsi" w:hAnsiTheme="majorHAnsi" w:cstheme="majorHAnsi"/>
          <w:i/>
          <w:sz w:val="24"/>
          <w:szCs w:val="24"/>
          <w:lang w:val="ro-MD"/>
        </w:rPr>
        <w:t xml:space="preserve"> necorespunzătoare în evidența contabilă a întreprinderilor SA Moldovagaz a unor rețele de distribuție a gazelor </w:t>
      </w:r>
      <w:r w:rsidR="00C8579F" w:rsidRPr="009772A3">
        <w:rPr>
          <w:rFonts w:asciiTheme="majorHAnsi" w:hAnsiTheme="majorHAnsi" w:cstheme="majorHAnsi"/>
          <w:i/>
          <w:sz w:val="24"/>
          <w:szCs w:val="24"/>
          <w:lang w:val="ro-MD"/>
        </w:rPr>
        <w:t>natural</w:t>
      </w:r>
      <w:r w:rsidR="00430072" w:rsidRPr="009772A3">
        <w:rPr>
          <w:rFonts w:asciiTheme="majorHAnsi" w:hAnsiTheme="majorHAnsi" w:cstheme="majorHAnsi"/>
          <w:i/>
          <w:sz w:val="24"/>
          <w:szCs w:val="24"/>
          <w:lang w:val="ro-MD"/>
        </w:rPr>
        <w:t>e</w:t>
      </w:r>
      <w:r w:rsidR="00C8579F" w:rsidRPr="009772A3">
        <w:rPr>
          <w:rFonts w:asciiTheme="majorHAnsi" w:hAnsiTheme="majorHAnsi" w:cstheme="majorHAnsi"/>
          <w:i/>
          <w:sz w:val="24"/>
          <w:szCs w:val="24"/>
          <w:lang w:val="ro-MD"/>
        </w:rPr>
        <w:t>,</w:t>
      </w:r>
      <w:r w:rsidR="00C0688B" w:rsidRPr="009772A3">
        <w:rPr>
          <w:rFonts w:asciiTheme="majorHAnsi" w:hAnsiTheme="majorHAnsi" w:cstheme="majorHAnsi"/>
          <w:i/>
          <w:sz w:val="24"/>
          <w:szCs w:val="24"/>
          <w:lang w:val="ro-MD"/>
        </w:rPr>
        <w:t xml:space="preserve"> aspect care indică </w:t>
      </w:r>
      <w:r w:rsidR="00433713" w:rsidRPr="009772A3">
        <w:rPr>
          <w:rFonts w:asciiTheme="majorHAnsi" w:hAnsiTheme="majorHAnsi" w:cstheme="majorHAnsi"/>
          <w:i/>
          <w:sz w:val="24"/>
          <w:szCs w:val="24"/>
          <w:lang w:val="ro-MD"/>
        </w:rPr>
        <w:t xml:space="preserve">asupra </w:t>
      </w:r>
      <w:r w:rsidR="00C0688B" w:rsidRPr="009772A3">
        <w:rPr>
          <w:rFonts w:asciiTheme="majorHAnsi" w:hAnsiTheme="majorHAnsi" w:cstheme="majorHAnsi"/>
          <w:i/>
          <w:sz w:val="24"/>
          <w:szCs w:val="24"/>
          <w:lang w:val="ro-MD"/>
        </w:rPr>
        <w:t>indici</w:t>
      </w:r>
      <w:r w:rsidR="00433713" w:rsidRPr="009772A3">
        <w:rPr>
          <w:rFonts w:asciiTheme="majorHAnsi" w:hAnsiTheme="majorHAnsi" w:cstheme="majorHAnsi"/>
          <w:i/>
          <w:sz w:val="24"/>
          <w:szCs w:val="24"/>
          <w:lang w:val="ro-MD"/>
        </w:rPr>
        <w:t>lor</w:t>
      </w:r>
      <w:r w:rsidR="00C0688B" w:rsidRPr="009772A3">
        <w:rPr>
          <w:rFonts w:asciiTheme="majorHAnsi" w:hAnsiTheme="majorHAnsi" w:cstheme="majorHAnsi"/>
          <w:i/>
          <w:sz w:val="24"/>
          <w:szCs w:val="24"/>
          <w:lang w:val="ro-MD"/>
        </w:rPr>
        <w:t xml:space="preserve"> de p</w:t>
      </w:r>
      <w:r w:rsidR="001F3CC1">
        <w:rPr>
          <w:rFonts w:asciiTheme="majorHAnsi" w:hAnsiTheme="majorHAnsi" w:cstheme="majorHAnsi"/>
          <w:i/>
          <w:sz w:val="24"/>
          <w:szCs w:val="24"/>
          <w:lang w:val="ro-MD"/>
        </w:rPr>
        <w:t xml:space="preserve">ierdere </w:t>
      </w:r>
      <w:r w:rsidR="00C0688B" w:rsidRPr="009772A3">
        <w:rPr>
          <w:rFonts w:asciiTheme="majorHAnsi" w:hAnsiTheme="majorHAnsi" w:cstheme="majorHAnsi"/>
          <w:i/>
          <w:sz w:val="24"/>
          <w:szCs w:val="24"/>
          <w:lang w:val="ro-MD"/>
        </w:rPr>
        <w:t>a patrimoniului public</w:t>
      </w:r>
      <w:r w:rsidR="00F85B0E" w:rsidRPr="009772A3">
        <w:rPr>
          <w:rFonts w:asciiTheme="majorHAnsi" w:hAnsiTheme="majorHAnsi" w:cstheme="majorHAnsi"/>
          <w:i/>
          <w:sz w:val="24"/>
          <w:szCs w:val="24"/>
          <w:lang w:val="ro-MD"/>
        </w:rPr>
        <w:t>.</w:t>
      </w:r>
    </w:p>
    <w:p w14:paraId="5DEAE460" w14:textId="77777777" w:rsidR="00000E39" w:rsidRPr="009772A3" w:rsidRDefault="00000E39" w:rsidP="001F3CC1">
      <w:pPr>
        <w:pStyle w:val="Heading1"/>
        <w:numPr>
          <w:ilvl w:val="2"/>
          <w:numId w:val="2"/>
        </w:numPr>
        <w:spacing w:line="276" w:lineRule="auto"/>
        <w:ind w:left="0" w:firstLine="0"/>
        <w:jc w:val="both"/>
        <w:rPr>
          <w:color w:val="auto"/>
          <w:lang w:val="ro-MD"/>
        </w:rPr>
      </w:pPr>
      <w:bookmarkStart w:id="222" w:name="_Toc119496453"/>
      <w:bookmarkStart w:id="223" w:name="_Toc118297754"/>
      <w:r w:rsidRPr="009772A3">
        <w:rPr>
          <w:color w:val="auto"/>
          <w:lang w:val="ro-MD"/>
        </w:rPr>
        <w:t>Cu privire la rețelele de transport și distribuție a gazelor naturale construite din contul bugetul public național.</w:t>
      </w:r>
      <w:bookmarkEnd w:id="222"/>
      <w:r w:rsidRPr="009772A3">
        <w:rPr>
          <w:color w:val="auto"/>
          <w:lang w:val="ro-MD"/>
        </w:rPr>
        <w:t xml:space="preserve"> </w:t>
      </w:r>
    </w:p>
    <w:p w14:paraId="122032D4" w14:textId="03208010" w:rsidR="00C0688B" w:rsidRPr="009772A3" w:rsidRDefault="00C0688B" w:rsidP="004F4116">
      <w:pPr>
        <w:widowControl w:val="0"/>
        <w:suppressAutoHyphens/>
        <w:autoSpaceDN w:val="0"/>
        <w:spacing w:after="0" w:line="276" w:lineRule="auto"/>
        <w:ind w:firstLine="720"/>
        <w:jc w:val="both"/>
        <w:textAlignment w:val="baseline"/>
        <w:rPr>
          <w:rFonts w:asciiTheme="majorHAnsi" w:eastAsia="SimSun" w:hAnsiTheme="majorHAnsi" w:cstheme="majorHAnsi"/>
          <w:i/>
          <w:kern w:val="3"/>
          <w:sz w:val="24"/>
          <w:szCs w:val="24"/>
          <w:lang w:val="ro-MD"/>
        </w:rPr>
      </w:pPr>
      <w:r w:rsidRPr="009772A3">
        <w:rPr>
          <w:rFonts w:asciiTheme="majorHAnsi" w:eastAsia="SimSun" w:hAnsiTheme="majorHAnsi" w:cstheme="majorHAnsi"/>
          <w:i/>
          <w:kern w:val="3"/>
          <w:sz w:val="24"/>
          <w:szCs w:val="24"/>
          <w:lang w:val="ro-MD"/>
        </w:rPr>
        <w:t>Rețelele de transport și distribuție a gazelor naturale construite din contul bugetul</w:t>
      </w:r>
      <w:r w:rsidR="00433713" w:rsidRPr="009772A3">
        <w:rPr>
          <w:rFonts w:asciiTheme="majorHAnsi" w:eastAsia="SimSun" w:hAnsiTheme="majorHAnsi" w:cstheme="majorHAnsi"/>
          <w:i/>
          <w:kern w:val="3"/>
          <w:sz w:val="24"/>
          <w:szCs w:val="24"/>
          <w:lang w:val="ro-MD"/>
        </w:rPr>
        <w:t>ui</w:t>
      </w:r>
      <w:r w:rsidRPr="009772A3">
        <w:rPr>
          <w:rFonts w:asciiTheme="majorHAnsi" w:eastAsia="SimSun" w:hAnsiTheme="majorHAnsi" w:cstheme="majorHAnsi"/>
          <w:i/>
          <w:kern w:val="3"/>
          <w:sz w:val="24"/>
          <w:szCs w:val="24"/>
          <w:lang w:val="ro-MD"/>
        </w:rPr>
        <w:t xml:space="preserve"> public național au fost transmise pentru întreținere întreprinderilor de transport și </w:t>
      </w:r>
      <w:r w:rsidR="00C8579F" w:rsidRPr="009772A3">
        <w:rPr>
          <w:rFonts w:asciiTheme="majorHAnsi" w:eastAsia="SimSun" w:hAnsiTheme="majorHAnsi" w:cstheme="majorHAnsi"/>
          <w:i/>
          <w:kern w:val="3"/>
          <w:sz w:val="24"/>
          <w:szCs w:val="24"/>
          <w:lang w:val="ro-MD"/>
        </w:rPr>
        <w:t xml:space="preserve">de </w:t>
      </w:r>
      <w:r w:rsidRPr="009772A3">
        <w:rPr>
          <w:rFonts w:asciiTheme="majorHAnsi" w:eastAsia="SimSun" w:hAnsiTheme="majorHAnsi" w:cstheme="majorHAnsi"/>
          <w:i/>
          <w:kern w:val="3"/>
          <w:sz w:val="24"/>
          <w:szCs w:val="24"/>
          <w:lang w:val="ro-MD"/>
        </w:rPr>
        <w:t>distribuție în lipsa achitării de către acestea a unor redevențe</w:t>
      </w:r>
      <w:r w:rsidR="00C8579F" w:rsidRPr="009772A3">
        <w:rPr>
          <w:rFonts w:asciiTheme="majorHAnsi" w:eastAsia="SimSun" w:hAnsiTheme="majorHAnsi" w:cstheme="majorHAnsi"/>
          <w:i/>
          <w:kern w:val="3"/>
          <w:sz w:val="24"/>
          <w:szCs w:val="24"/>
          <w:lang w:val="ro-MD"/>
        </w:rPr>
        <w:t>, precum</w:t>
      </w:r>
      <w:r w:rsidRPr="009772A3">
        <w:rPr>
          <w:rFonts w:asciiTheme="majorHAnsi" w:eastAsia="SimSun" w:hAnsiTheme="majorHAnsi" w:cstheme="majorHAnsi"/>
          <w:i/>
          <w:kern w:val="3"/>
          <w:sz w:val="24"/>
          <w:szCs w:val="24"/>
          <w:lang w:val="ro-MD"/>
        </w:rPr>
        <w:t xml:space="preserve"> și </w:t>
      </w:r>
      <w:r w:rsidR="00433713" w:rsidRPr="009772A3">
        <w:rPr>
          <w:rFonts w:asciiTheme="majorHAnsi" w:eastAsia="SimSun" w:hAnsiTheme="majorHAnsi" w:cstheme="majorHAnsi"/>
          <w:i/>
          <w:kern w:val="3"/>
          <w:sz w:val="24"/>
          <w:szCs w:val="24"/>
          <w:lang w:val="ro-MD"/>
        </w:rPr>
        <w:t xml:space="preserve">în </w:t>
      </w:r>
      <w:r w:rsidR="00C8579F" w:rsidRPr="009772A3">
        <w:rPr>
          <w:rFonts w:asciiTheme="majorHAnsi" w:eastAsia="SimSun" w:hAnsiTheme="majorHAnsi" w:cstheme="majorHAnsi"/>
          <w:i/>
          <w:kern w:val="3"/>
          <w:sz w:val="24"/>
          <w:szCs w:val="24"/>
          <w:lang w:val="ro-MD"/>
        </w:rPr>
        <w:t>lips</w:t>
      </w:r>
      <w:r w:rsidR="00433713" w:rsidRPr="009772A3">
        <w:rPr>
          <w:rFonts w:asciiTheme="majorHAnsi" w:eastAsia="SimSun" w:hAnsiTheme="majorHAnsi" w:cstheme="majorHAnsi"/>
          <w:i/>
          <w:kern w:val="3"/>
          <w:sz w:val="24"/>
          <w:szCs w:val="24"/>
          <w:lang w:val="ro-MD"/>
        </w:rPr>
        <w:t>a</w:t>
      </w:r>
      <w:r w:rsidR="00C8579F" w:rsidRPr="009772A3">
        <w:rPr>
          <w:rFonts w:asciiTheme="majorHAnsi" w:eastAsia="SimSun" w:hAnsiTheme="majorHAnsi" w:cstheme="majorHAnsi"/>
          <w:i/>
          <w:kern w:val="3"/>
          <w:sz w:val="24"/>
          <w:szCs w:val="24"/>
          <w:lang w:val="ro-MD"/>
        </w:rPr>
        <w:t xml:space="preserve"> </w:t>
      </w:r>
      <w:r w:rsidRPr="009772A3">
        <w:rPr>
          <w:rFonts w:asciiTheme="majorHAnsi" w:eastAsia="SimSun" w:hAnsiTheme="majorHAnsi" w:cstheme="majorHAnsi"/>
          <w:i/>
          <w:kern w:val="3"/>
          <w:sz w:val="24"/>
          <w:szCs w:val="24"/>
          <w:lang w:val="ro-MD"/>
        </w:rPr>
        <w:t>prevederii unor cerințe de suportare a cheltuielilor de reparație capitală.</w:t>
      </w:r>
      <w:bookmarkEnd w:id="223"/>
    </w:p>
    <w:p w14:paraId="784AAD34" w14:textId="20F8FB6F" w:rsidR="00C0688B" w:rsidRPr="009772A3" w:rsidRDefault="00C0688B" w:rsidP="00AB6127">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Potrivit informațiilor furnizate de SA Moldovagaz, doar o parte din gazoductele prin care întreprinderile de transport și </w:t>
      </w:r>
      <w:r w:rsidR="00C8579F" w:rsidRPr="009772A3">
        <w:rPr>
          <w:rFonts w:asciiTheme="majorHAnsi" w:eastAsia="SimSun" w:hAnsiTheme="majorHAnsi" w:cstheme="majorHAnsi"/>
          <w:kern w:val="3"/>
          <w:sz w:val="24"/>
          <w:szCs w:val="24"/>
          <w:lang w:val="ro-MD"/>
        </w:rPr>
        <w:t xml:space="preserve">de </w:t>
      </w:r>
      <w:r w:rsidRPr="009772A3">
        <w:rPr>
          <w:rFonts w:asciiTheme="majorHAnsi" w:eastAsia="SimSun" w:hAnsiTheme="majorHAnsi" w:cstheme="majorHAnsi"/>
          <w:kern w:val="3"/>
          <w:sz w:val="24"/>
          <w:szCs w:val="24"/>
          <w:lang w:val="ro-MD"/>
        </w:rPr>
        <w:t>distribuție a gazelor naturale ale SA „Moldovagaz” prestează aceste servicii sunt în proprietatea SA Moldovagaz. Din totalul celor 23.803,47 km de gazoducte de distribuție</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doar 8.260,19 km (sau 34,7%) aparțin SA Moldovagaz, 6.091,75 km (sau 25,6%) aparțin Autorităților Administrației Publice Locale, 8.274,7 km (sau 34,8%) </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persoanelor fizice și juridice, iar </w:t>
      </w:r>
      <w:r w:rsidR="00433713" w:rsidRPr="009772A3">
        <w:rPr>
          <w:rFonts w:asciiTheme="majorHAnsi" w:eastAsia="SimSun" w:hAnsiTheme="majorHAnsi" w:cstheme="majorHAnsi"/>
          <w:kern w:val="3"/>
          <w:sz w:val="24"/>
          <w:szCs w:val="24"/>
          <w:lang w:val="ro-MD"/>
        </w:rPr>
        <w:t>cca</w:t>
      </w:r>
      <w:r w:rsidRPr="009772A3">
        <w:rPr>
          <w:rFonts w:asciiTheme="majorHAnsi" w:eastAsia="SimSun" w:hAnsiTheme="majorHAnsi" w:cstheme="majorHAnsi"/>
          <w:kern w:val="3"/>
          <w:sz w:val="24"/>
          <w:szCs w:val="24"/>
          <w:lang w:val="ro-MD"/>
        </w:rPr>
        <w:t xml:space="preserve"> 1.176,82 km (sau 4,9%) – nu au acte de proprietate. Totodată</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din 1.559,8 km de gazoducte de transport</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doar 1.299,37 km</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sau 83,3% aparțin SA Moldovagaz, 188,21 km (12,1%) aparțin Autorităților Administrației Publice Locale, 46,58 km (3%) – Ministerului Economiei</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și 25,63 km (1,6 %) </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persoanelor fizice și juridice.</w:t>
      </w:r>
    </w:p>
    <w:p w14:paraId="63E39AF3" w14:textId="431BEC34" w:rsidR="00C0688B" w:rsidRPr="009772A3" w:rsidRDefault="00C0688B" w:rsidP="00AB6127">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Gazoductele de transport și distribuție a gazelor naturale, proprietate a autorităților publice, persoanelor fizice și juridice</w:t>
      </w:r>
      <w:r w:rsidR="0043371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au fost luate la deservire tehnică în baza </w:t>
      </w:r>
      <w:r w:rsidR="00C8579F" w:rsidRPr="009772A3">
        <w:rPr>
          <w:rFonts w:asciiTheme="majorHAnsi" w:eastAsia="SimSun" w:hAnsiTheme="majorHAnsi" w:cstheme="majorHAnsi"/>
          <w:kern w:val="3"/>
          <w:sz w:val="24"/>
          <w:szCs w:val="24"/>
          <w:lang w:val="ro-MD"/>
        </w:rPr>
        <w:t xml:space="preserve">prevederilor </w:t>
      </w:r>
      <w:r w:rsidRPr="009772A3">
        <w:rPr>
          <w:rFonts w:asciiTheme="majorHAnsi" w:eastAsia="SimSun" w:hAnsiTheme="majorHAnsi" w:cstheme="majorHAnsi"/>
          <w:kern w:val="3"/>
          <w:sz w:val="24"/>
          <w:szCs w:val="24"/>
          <w:lang w:val="ro-MD"/>
        </w:rPr>
        <w:t>pct.3 din HG nr. 683 din 18.06.2004</w:t>
      </w:r>
      <w:r w:rsidRPr="009772A3">
        <w:rPr>
          <w:rFonts w:asciiTheme="majorHAnsi" w:eastAsia="SimSun" w:hAnsiTheme="majorHAnsi" w:cstheme="majorHAnsi"/>
          <w:kern w:val="3"/>
          <w:sz w:val="24"/>
          <w:szCs w:val="24"/>
          <w:vertAlign w:val="superscript"/>
          <w:lang w:val="ro-MD"/>
        </w:rPr>
        <w:footnoteReference w:id="165"/>
      </w:r>
      <w:r w:rsidRPr="009772A3">
        <w:rPr>
          <w:rFonts w:asciiTheme="majorHAnsi" w:eastAsia="SimSun" w:hAnsiTheme="majorHAnsi" w:cstheme="majorHAnsi"/>
          <w:kern w:val="3"/>
          <w:sz w:val="24"/>
          <w:szCs w:val="24"/>
          <w:lang w:val="ro-MD"/>
        </w:rPr>
        <w:t xml:space="preserve"> și în baza contractelor încheiate cu proprietarii acestor active.</w:t>
      </w:r>
    </w:p>
    <w:p w14:paraId="2DBC4E3F" w14:textId="5CF0594C" w:rsidR="00C0688B" w:rsidRPr="009772A3" w:rsidRDefault="00C0688B" w:rsidP="00AB6127">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Totodată, probele colectate de audit denotă:</w:t>
      </w:r>
    </w:p>
    <w:p w14:paraId="2C1284EE" w14:textId="243C669E" w:rsidR="00C0688B" w:rsidRPr="009772A3" w:rsidRDefault="00C8579F" w:rsidP="001F3CC1">
      <w:pPr>
        <w:pStyle w:val="ListParagraph"/>
        <w:widowControl w:val="0"/>
        <w:numPr>
          <w:ilvl w:val="0"/>
          <w:numId w:val="12"/>
        </w:numPr>
        <w:suppressAutoHyphens/>
        <w:autoSpaceDN w:val="0"/>
        <w:spacing w:after="0" w:line="276" w:lineRule="auto"/>
        <w:ind w:left="709" w:hanging="283"/>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contractele </w:t>
      </w:r>
      <w:r w:rsidR="00C0688B" w:rsidRPr="009772A3">
        <w:rPr>
          <w:rFonts w:asciiTheme="majorHAnsi" w:eastAsia="SimSun" w:hAnsiTheme="majorHAnsi" w:cstheme="majorHAnsi"/>
          <w:kern w:val="3"/>
          <w:sz w:val="24"/>
          <w:szCs w:val="24"/>
          <w:lang w:val="ro-MD"/>
        </w:rPr>
        <w:t xml:space="preserve">de transmitere la deservire tehnică a gazoductelor de transport și distribuție nu conțin cerințe cu privire la plata </w:t>
      </w:r>
      <w:r w:rsidR="00433713" w:rsidRPr="009772A3">
        <w:rPr>
          <w:rFonts w:asciiTheme="majorHAnsi" w:eastAsia="SimSun" w:hAnsiTheme="majorHAnsi" w:cstheme="majorHAnsi"/>
          <w:kern w:val="3"/>
          <w:sz w:val="24"/>
          <w:szCs w:val="24"/>
          <w:lang w:val="ro-MD"/>
        </w:rPr>
        <w:t>unor</w:t>
      </w:r>
      <w:r w:rsidR="00C0688B" w:rsidRPr="009772A3">
        <w:rPr>
          <w:rFonts w:asciiTheme="majorHAnsi" w:eastAsia="SimSun" w:hAnsiTheme="majorHAnsi" w:cstheme="majorHAnsi"/>
          <w:kern w:val="3"/>
          <w:sz w:val="24"/>
          <w:szCs w:val="24"/>
          <w:lang w:val="ro-MD"/>
        </w:rPr>
        <w:t xml:space="preserve"> redevențe, cee</w:t>
      </w:r>
      <w:r w:rsidRPr="009772A3">
        <w:rPr>
          <w:rFonts w:asciiTheme="majorHAnsi" w:eastAsia="SimSun" w:hAnsiTheme="majorHAnsi" w:cstheme="majorHAnsi"/>
          <w:kern w:val="3"/>
          <w:sz w:val="24"/>
          <w:szCs w:val="24"/>
          <w:lang w:val="ro-MD"/>
        </w:rPr>
        <w:t>a</w:t>
      </w:r>
      <w:r w:rsidR="00C0688B" w:rsidRPr="009772A3">
        <w:rPr>
          <w:rFonts w:asciiTheme="majorHAnsi" w:eastAsia="SimSun" w:hAnsiTheme="majorHAnsi" w:cstheme="majorHAnsi"/>
          <w:kern w:val="3"/>
          <w:sz w:val="24"/>
          <w:szCs w:val="24"/>
          <w:lang w:val="ro-MD"/>
        </w:rPr>
        <w:t xml:space="preserve"> ce generează neobținerea de către proprietari a unor resurse financiare pentru reparația capitală a acestora;</w:t>
      </w:r>
    </w:p>
    <w:p w14:paraId="5D826138" w14:textId="3C39710C" w:rsidR="00C0688B" w:rsidRPr="009772A3" w:rsidRDefault="00C0688B" w:rsidP="001F3CC1">
      <w:pPr>
        <w:pStyle w:val="ListParagraph"/>
        <w:widowControl w:val="0"/>
        <w:numPr>
          <w:ilvl w:val="0"/>
          <w:numId w:val="12"/>
        </w:numPr>
        <w:suppressAutoHyphens/>
        <w:autoSpaceDN w:val="0"/>
        <w:spacing w:after="0" w:line="276" w:lineRule="auto"/>
        <w:ind w:left="709" w:hanging="283"/>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dat fiind funcțiile companiilor de transport și </w:t>
      </w:r>
      <w:r w:rsidR="00C8579F" w:rsidRPr="009772A3">
        <w:rPr>
          <w:rFonts w:asciiTheme="majorHAnsi" w:eastAsia="SimSun" w:hAnsiTheme="majorHAnsi" w:cstheme="majorHAnsi"/>
          <w:kern w:val="3"/>
          <w:sz w:val="24"/>
          <w:szCs w:val="24"/>
          <w:lang w:val="ro-MD"/>
        </w:rPr>
        <w:t xml:space="preserve">de </w:t>
      </w:r>
      <w:r w:rsidRPr="009772A3">
        <w:rPr>
          <w:rFonts w:asciiTheme="majorHAnsi" w:eastAsia="SimSun" w:hAnsiTheme="majorHAnsi" w:cstheme="majorHAnsi"/>
          <w:kern w:val="3"/>
          <w:sz w:val="24"/>
          <w:szCs w:val="24"/>
          <w:lang w:val="ro-MD"/>
        </w:rPr>
        <w:t>distribuție a gazelor naturale, rețelele fără stăpân se află la deservire tehnică tacit, în lipsa unor contracte sau alt</w:t>
      </w:r>
      <w:r w:rsidR="00027B81" w:rsidRPr="009772A3">
        <w:rPr>
          <w:rFonts w:asciiTheme="majorHAnsi" w:eastAsia="SimSun" w:hAnsiTheme="majorHAnsi" w:cstheme="majorHAnsi"/>
          <w:kern w:val="3"/>
          <w:sz w:val="24"/>
          <w:szCs w:val="24"/>
          <w:lang w:val="ro-MD"/>
        </w:rPr>
        <w:t>or</w:t>
      </w:r>
      <w:r w:rsidRPr="009772A3">
        <w:rPr>
          <w:rFonts w:asciiTheme="majorHAnsi" w:eastAsia="SimSun" w:hAnsiTheme="majorHAnsi" w:cstheme="majorHAnsi"/>
          <w:kern w:val="3"/>
          <w:sz w:val="24"/>
          <w:szCs w:val="24"/>
          <w:lang w:val="ro-MD"/>
        </w:rPr>
        <w:t xml:space="preserve"> documente care ar certifica agajamentul de întreținere asumat;</w:t>
      </w:r>
    </w:p>
    <w:p w14:paraId="6DD89B79" w14:textId="5CFBA445" w:rsidR="00C0688B" w:rsidRPr="009772A3" w:rsidRDefault="00C0688B" w:rsidP="001F3CC1">
      <w:pPr>
        <w:pStyle w:val="ListParagraph"/>
        <w:widowControl w:val="0"/>
        <w:numPr>
          <w:ilvl w:val="0"/>
          <w:numId w:val="12"/>
        </w:numPr>
        <w:suppressAutoHyphens/>
        <w:autoSpaceDN w:val="0"/>
        <w:spacing w:after="0" w:line="276" w:lineRule="auto"/>
        <w:ind w:left="709" w:hanging="283"/>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prin utilizarea acestor rețele</w:t>
      </w:r>
      <w:r w:rsidR="00027B81"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grupul SA Moldovagaz are acces la un număr mai mare de consumatori de gaze naturale, cu cheltuieli minime de întreținere și fără a investi în reparații capitale, prin ce nu doar își asigură un volum mai mare de vânzări, dar și beneficii economice mai sporite.</w:t>
      </w:r>
    </w:p>
    <w:p w14:paraId="29D17402" w14:textId="77777777" w:rsidR="00C0688B" w:rsidRPr="009772A3" w:rsidRDefault="00C0688B" w:rsidP="000E3E2F">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Având în vedere cele constatate, auditul conchide că identificarea unor soluții cu privire la modul de gestionare, întreținere și reparație curentă și capitală se consideră a fi vital necesară, pentru a asigura un sistem de transport și distribuție a gazelor naturale sigur și fiabil.</w:t>
      </w:r>
    </w:p>
    <w:p w14:paraId="64DF42C7" w14:textId="48C2169B" w:rsidR="00C0688B" w:rsidRPr="009772A3" w:rsidRDefault="00C0688B" w:rsidP="001F3CC1">
      <w:pPr>
        <w:pStyle w:val="Heading1"/>
        <w:numPr>
          <w:ilvl w:val="2"/>
          <w:numId w:val="2"/>
        </w:numPr>
        <w:spacing w:line="276" w:lineRule="auto"/>
        <w:ind w:left="0" w:firstLine="0"/>
        <w:jc w:val="both"/>
        <w:rPr>
          <w:color w:val="auto"/>
          <w:lang w:val="ro-MD"/>
        </w:rPr>
      </w:pPr>
      <w:bookmarkStart w:id="224" w:name="_Toc118297755"/>
      <w:bookmarkStart w:id="225" w:name="_Toc119496454"/>
      <w:r w:rsidRPr="009772A3">
        <w:rPr>
          <w:color w:val="auto"/>
          <w:lang w:val="ro-MD"/>
        </w:rPr>
        <w:t>Cheltuielile de întreținere și reparație a rețelelor de distribuție fără proprietar riscă să nu fie acceptate de ANRE spre recuperare prin tarif, fapt ce ar genera pierderi suplimentare companiilor de distribuție.</w:t>
      </w:r>
      <w:bookmarkEnd w:id="224"/>
      <w:bookmarkEnd w:id="225"/>
      <w:r w:rsidRPr="009772A3">
        <w:rPr>
          <w:color w:val="auto"/>
          <w:lang w:val="ro-MD"/>
        </w:rPr>
        <w:t xml:space="preserve"> </w:t>
      </w:r>
    </w:p>
    <w:p w14:paraId="6411CAFF" w14:textId="7AA3EA72" w:rsidR="00C0688B" w:rsidRPr="009772A3" w:rsidRDefault="00C0688B" w:rsidP="000E3E2F">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Auditul a constatat că</w:t>
      </w:r>
      <w:r w:rsidR="00027B81"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potrivit pct. 25 din Metodologia nr. 443/2020</w:t>
      </w:r>
      <w:r w:rsidRPr="009772A3">
        <w:rPr>
          <w:rFonts w:asciiTheme="majorHAnsi" w:eastAsia="SimSun" w:hAnsiTheme="majorHAnsi" w:cstheme="majorHAnsi"/>
          <w:kern w:val="3"/>
          <w:sz w:val="24"/>
          <w:szCs w:val="24"/>
          <w:vertAlign w:val="superscript"/>
          <w:lang w:val="ro-MD"/>
        </w:rPr>
        <w:footnoteReference w:id="166"/>
      </w:r>
      <w:r w:rsidR="00027B81"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în costurile de bază reglementate se includ doar cheltuielile privind întreținerea și reparația curentă aferente rețelelor de gaze naturale transmise la deservire companiilor de distribuție a gazelor naturale, în baza unor contracte sau acte încheiate corespunzător. Prin urmare</w:t>
      </w:r>
      <w:r w:rsidR="00027B81"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cheltuielile de întreținere și reparație a rețelelor de distribuție fără proprietar riscă să nu fie acceptate de ANRE spre recuperare prin tarif.</w:t>
      </w:r>
    </w:p>
    <w:p w14:paraId="19A57866" w14:textId="1A935F2D" w:rsidR="00C0688B" w:rsidRPr="009772A3" w:rsidRDefault="00C0688B" w:rsidP="000E3E2F">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În </w:t>
      </w:r>
      <w:r w:rsidR="00027B81" w:rsidRPr="009772A3">
        <w:rPr>
          <w:rFonts w:asciiTheme="majorHAnsi" w:eastAsia="SimSun" w:hAnsiTheme="majorHAnsi" w:cstheme="majorHAnsi"/>
          <w:kern w:val="3"/>
          <w:sz w:val="24"/>
          <w:szCs w:val="24"/>
          <w:lang w:val="ro-MD"/>
        </w:rPr>
        <w:t xml:space="preserve">acest </w:t>
      </w:r>
      <w:r w:rsidRPr="009772A3">
        <w:rPr>
          <w:rFonts w:asciiTheme="majorHAnsi" w:eastAsia="SimSun" w:hAnsiTheme="majorHAnsi" w:cstheme="majorHAnsi"/>
          <w:kern w:val="3"/>
          <w:sz w:val="24"/>
          <w:szCs w:val="24"/>
          <w:lang w:val="ro-MD"/>
        </w:rPr>
        <w:t xml:space="preserve">context de menționat că, încă la 10.01.2017, SA Moldovagaz s-a adresat la ANRE pentru determinarea surselor de finanțare a lucrărilor de reparație capitală a rețelelor primite la deservire tehnică conform Regulamentului aprobat prin HG nr. 683 din 18.06.2004, pentru care unii proprietari nu dispun de </w:t>
      </w:r>
      <w:r w:rsidR="00027B81" w:rsidRPr="009772A3">
        <w:rPr>
          <w:rFonts w:asciiTheme="majorHAnsi" w:eastAsia="SimSun" w:hAnsiTheme="majorHAnsi" w:cstheme="majorHAnsi"/>
          <w:kern w:val="3"/>
          <w:sz w:val="24"/>
          <w:szCs w:val="24"/>
          <w:lang w:val="ro-MD"/>
        </w:rPr>
        <w:t>re</w:t>
      </w:r>
      <w:r w:rsidRPr="009772A3">
        <w:rPr>
          <w:rFonts w:asciiTheme="majorHAnsi" w:eastAsia="SimSun" w:hAnsiTheme="majorHAnsi" w:cstheme="majorHAnsi"/>
          <w:kern w:val="3"/>
          <w:sz w:val="24"/>
          <w:szCs w:val="24"/>
          <w:lang w:val="ro-MD"/>
        </w:rPr>
        <w:t xml:space="preserve">surse financiare pentru achitarea costurilor respective. Conform </w:t>
      </w:r>
      <w:r w:rsidR="00027B81" w:rsidRPr="009772A3">
        <w:rPr>
          <w:rFonts w:asciiTheme="majorHAnsi" w:eastAsia="SimSun" w:hAnsiTheme="majorHAnsi" w:cstheme="majorHAnsi"/>
          <w:kern w:val="3"/>
          <w:sz w:val="24"/>
          <w:szCs w:val="24"/>
          <w:lang w:val="ro-MD"/>
        </w:rPr>
        <w:t xml:space="preserve">scrisorii </w:t>
      </w:r>
      <w:r w:rsidRPr="009772A3">
        <w:rPr>
          <w:rFonts w:asciiTheme="majorHAnsi" w:eastAsia="SimSun" w:hAnsiTheme="majorHAnsi" w:cstheme="majorHAnsi"/>
          <w:kern w:val="3"/>
          <w:sz w:val="24"/>
          <w:szCs w:val="24"/>
          <w:lang w:val="ro-MD"/>
        </w:rPr>
        <w:t>ANRE nr.04/111 din 20.01.2017</w:t>
      </w:r>
      <w:r w:rsidR="00027B81"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„determinarea surselor de finanțare a lucrărilor date ține în totalitate de respectarea legislației, managementul și gestionarea activităților și relațiilor contractuale între părți”.</w:t>
      </w:r>
    </w:p>
    <w:p w14:paraId="7C0899C6" w14:textId="5018008E" w:rsidR="00C0688B" w:rsidRPr="009772A3" w:rsidRDefault="00C0688B" w:rsidP="000E3E2F">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Potrivit analizelor efectuate de către audit, la întreprinderile de distribuție a gazelor naturale s-a constatat că cheltuielile de întreținere și exploatare a rețelelor de distribuție variază de la 0,</w:t>
      </w:r>
      <w:r w:rsidR="001F3CC1" w:rsidRPr="009772A3">
        <w:rPr>
          <w:rFonts w:asciiTheme="majorHAnsi" w:eastAsia="SimSun" w:hAnsiTheme="majorHAnsi" w:cstheme="majorHAnsi"/>
          <w:kern w:val="3"/>
          <w:sz w:val="24"/>
          <w:szCs w:val="24"/>
          <w:lang w:val="ro-MD"/>
        </w:rPr>
        <w:t>5</w:t>
      </w:r>
      <w:r w:rsidR="001F3CC1">
        <w:rPr>
          <w:rFonts w:asciiTheme="majorHAnsi" w:eastAsia="SimSun" w:hAnsiTheme="majorHAnsi" w:cstheme="majorHAnsi"/>
          <w:kern w:val="3"/>
          <w:sz w:val="24"/>
          <w:szCs w:val="24"/>
          <w:lang w:val="ro-MD"/>
        </w:rPr>
        <w:t>2</w:t>
      </w:r>
      <w:r w:rsidR="001F3CC1" w:rsidRPr="009772A3">
        <w:rPr>
          <w:rFonts w:asciiTheme="majorHAnsi" w:eastAsia="SimSun" w:hAnsiTheme="majorHAnsi" w:cstheme="majorHAnsi"/>
          <w:kern w:val="3"/>
          <w:sz w:val="24"/>
          <w:szCs w:val="24"/>
          <w:lang w:val="ro-MD"/>
        </w:rPr>
        <w:t xml:space="preserve"> </w:t>
      </w:r>
      <w:r w:rsidRPr="009772A3">
        <w:rPr>
          <w:rFonts w:asciiTheme="majorHAnsi" w:eastAsia="SimSun" w:hAnsiTheme="majorHAnsi" w:cstheme="majorHAnsi"/>
          <w:kern w:val="3"/>
          <w:sz w:val="24"/>
          <w:szCs w:val="24"/>
          <w:lang w:val="ro-MD"/>
        </w:rPr>
        <w:t>mii lei/km până la 1,37</w:t>
      </w:r>
      <w:r w:rsidR="00C8579F" w:rsidRPr="009772A3">
        <w:rPr>
          <w:rFonts w:asciiTheme="majorHAnsi" w:eastAsia="SimSun" w:hAnsiTheme="majorHAnsi" w:cstheme="majorHAnsi"/>
          <w:kern w:val="3"/>
          <w:sz w:val="24"/>
          <w:szCs w:val="24"/>
          <w:lang w:val="ro-MD"/>
        </w:rPr>
        <w:t xml:space="preserve"> </w:t>
      </w:r>
      <w:r w:rsidRPr="009772A3">
        <w:rPr>
          <w:rFonts w:asciiTheme="majorHAnsi" w:eastAsia="SimSun" w:hAnsiTheme="majorHAnsi" w:cstheme="majorHAnsi"/>
          <w:kern w:val="3"/>
          <w:sz w:val="24"/>
          <w:szCs w:val="24"/>
          <w:lang w:val="ro-MD"/>
        </w:rPr>
        <w:t>mii</w:t>
      </w:r>
      <w:r w:rsidR="00C8579F" w:rsidRPr="009772A3">
        <w:rPr>
          <w:rFonts w:asciiTheme="majorHAnsi" w:eastAsia="SimSun" w:hAnsiTheme="majorHAnsi" w:cstheme="majorHAnsi"/>
          <w:kern w:val="3"/>
          <w:sz w:val="24"/>
          <w:szCs w:val="24"/>
          <w:lang w:val="ro-MD"/>
        </w:rPr>
        <w:t xml:space="preserve"> lei</w:t>
      </w:r>
      <w:r w:rsidRPr="009772A3">
        <w:rPr>
          <w:rFonts w:asciiTheme="majorHAnsi" w:eastAsia="SimSun" w:hAnsiTheme="majorHAnsi" w:cstheme="majorHAnsi"/>
          <w:kern w:val="3"/>
          <w:sz w:val="24"/>
          <w:szCs w:val="24"/>
          <w:lang w:val="ro-MD"/>
        </w:rPr>
        <w:t>/km</w:t>
      </w:r>
      <w:r w:rsidRPr="009772A3">
        <w:rPr>
          <w:rFonts w:asciiTheme="majorHAnsi" w:eastAsia="SimSun" w:hAnsiTheme="majorHAnsi" w:cstheme="majorHAnsi"/>
          <w:kern w:val="3"/>
          <w:sz w:val="24"/>
          <w:szCs w:val="24"/>
          <w:vertAlign w:val="superscript"/>
          <w:lang w:val="ro-MD"/>
        </w:rPr>
        <w:footnoteReference w:id="167"/>
      </w:r>
      <w:r w:rsidR="00C8579F"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w:t>
      </w:r>
    </w:p>
    <w:p w14:paraId="71002E06" w14:textId="166FCAB1" w:rsidR="00C0688B" w:rsidRPr="009772A3" w:rsidRDefault="00C8579F" w:rsidP="000E3E2F">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D</w:t>
      </w:r>
      <w:r w:rsidR="00C0688B" w:rsidRPr="009772A3">
        <w:rPr>
          <w:rFonts w:asciiTheme="majorHAnsi" w:eastAsia="SimSun" w:hAnsiTheme="majorHAnsi" w:cstheme="majorHAnsi"/>
          <w:kern w:val="3"/>
          <w:sz w:val="24"/>
          <w:szCs w:val="24"/>
          <w:lang w:val="ro-MD"/>
        </w:rPr>
        <w:t>e menționat și faptul că</w:t>
      </w:r>
      <w:r w:rsidR="007E5D30" w:rsidRPr="009772A3">
        <w:rPr>
          <w:rFonts w:asciiTheme="majorHAnsi" w:eastAsia="SimSun" w:hAnsiTheme="majorHAnsi" w:cstheme="majorHAnsi"/>
          <w:kern w:val="3"/>
          <w:sz w:val="24"/>
          <w:szCs w:val="24"/>
          <w:lang w:val="ro-MD"/>
        </w:rPr>
        <w:t>,</w:t>
      </w:r>
      <w:r w:rsidR="00C0688B" w:rsidRPr="009772A3">
        <w:rPr>
          <w:rFonts w:asciiTheme="majorHAnsi" w:eastAsia="SimSun" w:hAnsiTheme="majorHAnsi" w:cstheme="majorHAnsi"/>
          <w:kern w:val="3"/>
          <w:sz w:val="24"/>
          <w:szCs w:val="24"/>
          <w:lang w:val="ro-MD"/>
        </w:rPr>
        <w:t xml:space="preserve"> potrivit art. 56 din Regulamentul privind racordarea la rețelele de gaze naturale și prestarea serviciilor de transport și de distribuție a gazelor naturale</w:t>
      </w:r>
      <w:r w:rsidR="00C0688B" w:rsidRPr="009772A3">
        <w:rPr>
          <w:rFonts w:asciiTheme="majorHAnsi" w:eastAsia="SimSun" w:hAnsiTheme="majorHAnsi" w:cstheme="majorHAnsi"/>
          <w:kern w:val="3"/>
          <w:sz w:val="24"/>
          <w:szCs w:val="24"/>
          <w:vertAlign w:val="superscript"/>
          <w:lang w:val="ro-MD"/>
        </w:rPr>
        <w:footnoteReference w:id="168"/>
      </w:r>
      <w:r w:rsidR="007E5D30" w:rsidRPr="009772A3">
        <w:rPr>
          <w:rFonts w:asciiTheme="majorHAnsi" w:eastAsia="SimSun" w:hAnsiTheme="majorHAnsi" w:cstheme="majorHAnsi"/>
          <w:kern w:val="3"/>
          <w:sz w:val="24"/>
          <w:szCs w:val="24"/>
          <w:lang w:val="ro-MD"/>
        </w:rPr>
        <w:t>,</w:t>
      </w:r>
      <w:r w:rsidR="00C0688B" w:rsidRPr="009772A3">
        <w:rPr>
          <w:rFonts w:asciiTheme="majorHAnsi" w:eastAsia="SimSun" w:hAnsiTheme="majorHAnsi" w:cstheme="majorHAnsi"/>
          <w:kern w:val="3"/>
          <w:sz w:val="24"/>
          <w:szCs w:val="24"/>
          <w:lang w:val="ro-MD"/>
        </w:rPr>
        <w:t xml:space="preserve"> instalațiile de racordare executate de operatorul de sistem devin proprietatea operatorului de sistem, care este responsabil de exploatarea, întreținerea şi modernizarea acestora. Instalațiile de racordare executate din contul consumatorilor finali</w:t>
      </w:r>
      <w:r w:rsidRPr="009772A3">
        <w:rPr>
          <w:rFonts w:asciiTheme="majorHAnsi" w:eastAsia="SimSun" w:hAnsiTheme="majorHAnsi" w:cstheme="majorHAnsi"/>
          <w:kern w:val="3"/>
          <w:sz w:val="24"/>
          <w:szCs w:val="24"/>
          <w:lang w:val="ro-MD"/>
        </w:rPr>
        <w:t>,</w:t>
      </w:r>
      <w:r w:rsidR="00C0688B" w:rsidRPr="009772A3">
        <w:rPr>
          <w:rFonts w:asciiTheme="majorHAnsi" w:eastAsia="SimSun" w:hAnsiTheme="majorHAnsi" w:cstheme="majorHAnsi"/>
          <w:kern w:val="3"/>
          <w:sz w:val="24"/>
          <w:szCs w:val="24"/>
          <w:lang w:val="ro-MD"/>
        </w:rPr>
        <w:t xml:space="preserve"> de către alte persoane în bază de contract, aparțin consumatorilor finali, care sunt obligați să asigure deservirea tehnică a acestora.</w:t>
      </w:r>
    </w:p>
    <w:p w14:paraId="29585087" w14:textId="390F056B" w:rsidR="00C0688B" w:rsidRPr="009772A3" w:rsidRDefault="00C0688B" w:rsidP="008A72BF">
      <w:pPr>
        <w:pStyle w:val="Heading1"/>
        <w:numPr>
          <w:ilvl w:val="2"/>
          <w:numId w:val="2"/>
        </w:numPr>
        <w:spacing w:line="276" w:lineRule="auto"/>
        <w:ind w:left="0" w:firstLine="0"/>
        <w:jc w:val="both"/>
        <w:rPr>
          <w:color w:val="auto"/>
          <w:lang w:val="ro-MD"/>
        </w:rPr>
      </w:pPr>
      <w:bookmarkStart w:id="226" w:name="_Toc118297756"/>
      <w:bookmarkStart w:id="227" w:name="_Toc119496455"/>
      <w:r w:rsidRPr="009772A3">
        <w:rPr>
          <w:color w:val="auto"/>
          <w:lang w:val="ro-MD"/>
        </w:rPr>
        <w:t xml:space="preserve">Autoritățile publice nu au înregistrat în evidența </w:t>
      </w:r>
      <w:r w:rsidR="007E5D30" w:rsidRPr="009772A3">
        <w:rPr>
          <w:color w:val="auto"/>
          <w:lang w:val="ro-MD"/>
        </w:rPr>
        <w:t xml:space="preserve">lor </w:t>
      </w:r>
      <w:r w:rsidRPr="009772A3">
        <w:rPr>
          <w:color w:val="auto"/>
          <w:lang w:val="ro-MD"/>
        </w:rPr>
        <w:t xml:space="preserve">contabilă și nu au efectuat o inventariere exhaustivă a rețelelor de transport și </w:t>
      </w:r>
      <w:r w:rsidR="00C8579F" w:rsidRPr="009772A3">
        <w:rPr>
          <w:color w:val="auto"/>
          <w:lang w:val="ro-MD"/>
        </w:rPr>
        <w:t xml:space="preserve">de </w:t>
      </w:r>
      <w:r w:rsidRPr="009772A3">
        <w:rPr>
          <w:color w:val="auto"/>
          <w:lang w:val="ro-MD"/>
        </w:rPr>
        <w:t>distribuție create din contul bugetului public național, ceea ce generează riscuri reale de pierdere sau utilizare neconformă a acestui patrimoniu.</w:t>
      </w:r>
      <w:bookmarkEnd w:id="226"/>
      <w:bookmarkEnd w:id="227"/>
    </w:p>
    <w:p w14:paraId="3C160D6E" w14:textId="7D2685B5"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Conform informațiilor furnizate de Ministerul </w:t>
      </w:r>
      <w:r w:rsidR="007E5D30" w:rsidRPr="009772A3">
        <w:rPr>
          <w:rFonts w:asciiTheme="majorHAnsi" w:eastAsia="SimSun" w:hAnsiTheme="majorHAnsi" w:cstheme="majorHAnsi"/>
          <w:kern w:val="3"/>
          <w:sz w:val="24"/>
          <w:szCs w:val="24"/>
          <w:lang w:val="ro-MD"/>
        </w:rPr>
        <w:t>F</w:t>
      </w:r>
      <w:r w:rsidRPr="009772A3">
        <w:rPr>
          <w:rFonts w:asciiTheme="majorHAnsi" w:eastAsia="SimSun" w:hAnsiTheme="majorHAnsi" w:cstheme="majorHAnsi"/>
          <w:kern w:val="3"/>
          <w:sz w:val="24"/>
          <w:szCs w:val="24"/>
          <w:lang w:val="ro-MD"/>
        </w:rPr>
        <w:t>inanțelor</w:t>
      </w:r>
      <w:r w:rsidR="007E5D30"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doar în perioada 2000-2021 din bugetul de stat au fost investite 1.006.819,4 mii lei în construcția gazoductelor. Totodată, ca surse de finanțare a gazoductelor proprietate publică au servit și finanțările efectuate din contul Fondului de Investiții Sociale din Moldova, bugetelor locale, precum și diferi</w:t>
      </w:r>
      <w:r w:rsidR="007E5D30" w:rsidRPr="009772A3">
        <w:rPr>
          <w:rFonts w:asciiTheme="majorHAnsi" w:eastAsia="SimSun" w:hAnsiTheme="majorHAnsi" w:cstheme="majorHAnsi"/>
          <w:kern w:val="3"/>
          <w:sz w:val="24"/>
          <w:szCs w:val="24"/>
          <w:lang w:val="ro-MD"/>
        </w:rPr>
        <w:t>tor</w:t>
      </w:r>
      <w:r w:rsidRPr="009772A3">
        <w:rPr>
          <w:rFonts w:asciiTheme="majorHAnsi" w:eastAsia="SimSun" w:hAnsiTheme="majorHAnsi" w:cstheme="majorHAnsi"/>
          <w:kern w:val="3"/>
          <w:sz w:val="24"/>
          <w:szCs w:val="24"/>
          <w:lang w:val="ro-MD"/>
        </w:rPr>
        <w:t xml:space="preserve"> donatori interni și externi.</w:t>
      </w:r>
    </w:p>
    <w:p w14:paraId="350E0C41" w14:textId="304C6E35"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Auditurile Curții de Conturi efectuate la Autoritățile Publice Locale au relevat că nu toate rețelele de transport și </w:t>
      </w:r>
      <w:r w:rsidR="005A4D6E" w:rsidRPr="009772A3">
        <w:rPr>
          <w:rFonts w:asciiTheme="majorHAnsi" w:eastAsia="SimSun" w:hAnsiTheme="majorHAnsi" w:cstheme="majorHAnsi"/>
          <w:kern w:val="3"/>
          <w:sz w:val="24"/>
          <w:szCs w:val="24"/>
          <w:lang w:val="ro-MD"/>
        </w:rPr>
        <w:t xml:space="preserve">de </w:t>
      </w:r>
      <w:r w:rsidRPr="009772A3">
        <w:rPr>
          <w:rFonts w:asciiTheme="majorHAnsi" w:eastAsia="SimSun" w:hAnsiTheme="majorHAnsi" w:cstheme="majorHAnsi"/>
          <w:kern w:val="3"/>
          <w:sz w:val="24"/>
          <w:szCs w:val="24"/>
          <w:lang w:val="ro-MD"/>
        </w:rPr>
        <w:t>distribuție a gazelor naturale sunt înregistrate în evidența lor contabilă, iar ca urmare valoarea gazoductelor proprietate publică nu este cunoscută. Autoritățile publice nu au efectuat o inventariere exhaustivă a rețelelor de transport și distribuție create din contul bugetului public național, ceea ce generează riscuri reale de pierdere sau utilizare neconformă a acestui patrimoniu.</w:t>
      </w:r>
    </w:p>
    <w:p w14:paraId="76F8E48A" w14:textId="48324CCA"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Totodată, de menționat că</w:t>
      </w:r>
      <w:r w:rsidR="007E5D30"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deși potrivit cadrului normativ în vigoare</w:t>
      </w:r>
      <w:r w:rsidRPr="009772A3">
        <w:rPr>
          <w:rFonts w:asciiTheme="majorHAnsi" w:eastAsia="SimSun" w:hAnsiTheme="majorHAnsi" w:cstheme="majorHAnsi"/>
          <w:kern w:val="3"/>
          <w:sz w:val="24"/>
          <w:szCs w:val="24"/>
          <w:vertAlign w:val="superscript"/>
          <w:lang w:val="ro-MD"/>
        </w:rPr>
        <w:footnoteReference w:id="169"/>
      </w:r>
      <w:r w:rsidRPr="009772A3">
        <w:rPr>
          <w:rFonts w:asciiTheme="majorHAnsi" w:eastAsia="SimSun" w:hAnsiTheme="majorHAnsi" w:cstheme="majorHAnsi"/>
          <w:kern w:val="3"/>
          <w:sz w:val="24"/>
          <w:szCs w:val="24"/>
          <w:lang w:val="ro-MD"/>
        </w:rPr>
        <w:t>, rețelele și instalațiile de gaze construite cu contribuția bănească a beneficiarilor de investiții, alții decât unitățile de distribuție a</w:t>
      </w:r>
      <w:r w:rsidR="007E5D30" w:rsidRPr="009772A3">
        <w:rPr>
          <w:rFonts w:asciiTheme="majorHAnsi" w:eastAsia="SimSun" w:hAnsiTheme="majorHAnsi" w:cstheme="majorHAnsi"/>
          <w:kern w:val="3"/>
          <w:sz w:val="24"/>
          <w:szCs w:val="24"/>
          <w:lang w:val="ro-MD"/>
        </w:rPr>
        <w:t>le</w:t>
      </w:r>
      <w:r w:rsidRPr="009772A3">
        <w:rPr>
          <w:rFonts w:asciiTheme="majorHAnsi" w:eastAsia="SimSun" w:hAnsiTheme="majorHAnsi" w:cstheme="majorHAnsi"/>
          <w:kern w:val="3"/>
          <w:sz w:val="24"/>
          <w:szCs w:val="24"/>
          <w:lang w:val="ro-MD"/>
        </w:rPr>
        <w:t xml:space="preserve"> SA Moldovagaz, care actualmente au rămas fără proprietar</w:t>
      </w:r>
      <w:r w:rsidR="007E5D30"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se consideră proprietate a AAPL, în baza deciziilor instanțelor judecătorești, se relevă că majoritatea autorităților locale nu au întreprins măsuri concrete pentru preluarea la b</w:t>
      </w:r>
      <w:r w:rsidR="007E5D30" w:rsidRPr="009772A3">
        <w:rPr>
          <w:rFonts w:asciiTheme="majorHAnsi" w:eastAsia="SimSun" w:hAnsiTheme="majorHAnsi" w:cstheme="majorHAnsi"/>
          <w:kern w:val="3"/>
          <w:sz w:val="24"/>
          <w:szCs w:val="24"/>
          <w:lang w:val="ro-MD"/>
        </w:rPr>
        <w:t>a</w:t>
      </w:r>
      <w:r w:rsidRPr="009772A3">
        <w:rPr>
          <w:rFonts w:asciiTheme="majorHAnsi" w:eastAsia="SimSun" w:hAnsiTheme="majorHAnsi" w:cstheme="majorHAnsi"/>
          <w:kern w:val="3"/>
          <w:sz w:val="24"/>
          <w:szCs w:val="24"/>
          <w:lang w:val="ro-MD"/>
        </w:rPr>
        <w:t>lanța acestora a gazoductel</w:t>
      </w:r>
      <w:r w:rsidR="007E5D30" w:rsidRPr="009772A3">
        <w:rPr>
          <w:rFonts w:asciiTheme="majorHAnsi" w:eastAsia="SimSun" w:hAnsiTheme="majorHAnsi" w:cstheme="majorHAnsi"/>
          <w:kern w:val="3"/>
          <w:sz w:val="24"/>
          <w:szCs w:val="24"/>
          <w:lang w:val="ro-MD"/>
        </w:rPr>
        <w:t>or</w:t>
      </w:r>
      <w:r w:rsidRPr="009772A3">
        <w:rPr>
          <w:rFonts w:asciiTheme="majorHAnsi" w:eastAsia="SimSun" w:hAnsiTheme="majorHAnsi" w:cstheme="majorHAnsi"/>
          <w:kern w:val="3"/>
          <w:sz w:val="24"/>
          <w:szCs w:val="24"/>
          <w:lang w:val="ro-MD"/>
        </w:rPr>
        <w:t xml:space="preserve"> fără stăpân.</w:t>
      </w:r>
    </w:p>
    <w:p w14:paraId="4564748C" w14:textId="4CB8BFA4"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b/>
          <w:i/>
          <w:kern w:val="3"/>
          <w:sz w:val="24"/>
          <w:szCs w:val="24"/>
          <w:lang w:val="ro-MD"/>
        </w:rPr>
      </w:pPr>
      <w:r w:rsidRPr="009772A3">
        <w:rPr>
          <w:rFonts w:asciiTheme="majorHAnsi" w:eastAsia="SimSun" w:hAnsiTheme="majorHAnsi" w:cstheme="majorHAnsi"/>
          <w:b/>
          <w:i/>
          <w:kern w:val="3"/>
          <w:sz w:val="24"/>
          <w:szCs w:val="24"/>
          <w:lang w:val="ro-MD"/>
        </w:rPr>
        <w:t xml:space="preserve">Auditul a atestat </w:t>
      </w:r>
      <w:r w:rsidR="00A1426D" w:rsidRPr="009772A3">
        <w:rPr>
          <w:rFonts w:asciiTheme="majorHAnsi" w:eastAsia="SimSun" w:hAnsiTheme="majorHAnsi" w:cstheme="majorHAnsi"/>
          <w:b/>
          <w:i/>
          <w:kern w:val="3"/>
          <w:sz w:val="24"/>
          <w:szCs w:val="24"/>
          <w:lang w:val="ro-MD"/>
        </w:rPr>
        <w:t xml:space="preserve">și </w:t>
      </w:r>
      <w:r w:rsidRPr="009772A3">
        <w:rPr>
          <w:rFonts w:asciiTheme="majorHAnsi" w:eastAsia="SimSun" w:hAnsiTheme="majorHAnsi" w:cstheme="majorHAnsi"/>
          <w:b/>
          <w:i/>
          <w:kern w:val="3"/>
          <w:sz w:val="24"/>
          <w:szCs w:val="24"/>
          <w:lang w:val="ro-MD"/>
        </w:rPr>
        <w:t xml:space="preserve">cazuri de transmitere a rețelelor de gaze spre deservire de către unele AAPL în lipsa deciziilor </w:t>
      </w:r>
      <w:r w:rsidR="00CB1F6D" w:rsidRPr="009772A3">
        <w:rPr>
          <w:rFonts w:asciiTheme="majorHAnsi" w:eastAsia="SimSun" w:hAnsiTheme="majorHAnsi" w:cstheme="majorHAnsi"/>
          <w:b/>
          <w:i/>
          <w:kern w:val="3"/>
          <w:sz w:val="24"/>
          <w:szCs w:val="24"/>
          <w:lang w:val="ro-MD"/>
        </w:rPr>
        <w:t>c</w:t>
      </w:r>
      <w:r w:rsidRPr="009772A3">
        <w:rPr>
          <w:rFonts w:asciiTheme="majorHAnsi" w:eastAsia="SimSun" w:hAnsiTheme="majorHAnsi" w:cstheme="majorHAnsi"/>
          <w:b/>
          <w:i/>
          <w:kern w:val="3"/>
          <w:sz w:val="24"/>
          <w:szCs w:val="24"/>
          <w:lang w:val="ro-MD"/>
        </w:rPr>
        <w:t>onsiliilor locale, cu nerespectarea concomitentă a procedurilor și de către OSD.</w:t>
      </w:r>
    </w:p>
    <w:p w14:paraId="39D806C9" w14:textId="669CE3BF"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Competența de gestiune a patrimoniului public este atribuită Consiliul</w:t>
      </w:r>
      <w:r w:rsidR="00CB1F6D" w:rsidRPr="009772A3">
        <w:rPr>
          <w:rFonts w:asciiTheme="majorHAnsi" w:eastAsia="SimSun" w:hAnsiTheme="majorHAnsi" w:cstheme="majorHAnsi"/>
          <w:kern w:val="3"/>
          <w:sz w:val="24"/>
          <w:szCs w:val="24"/>
          <w:lang w:val="ro-MD"/>
        </w:rPr>
        <w:t>ui</w:t>
      </w:r>
      <w:r w:rsidRPr="009772A3">
        <w:rPr>
          <w:rFonts w:asciiTheme="majorHAnsi" w:eastAsia="SimSun" w:hAnsiTheme="majorHAnsi" w:cstheme="majorHAnsi"/>
          <w:kern w:val="3"/>
          <w:sz w:val="24"/>
          <w:szCs w:val="24"/>
          <w:lang w:val="ro-MD"/>
        </w:rPr>
        <w:t xml:space="preserve"> local, care decide în condițiile legii, în privința actelor juridice de administrare </w:t>
      </w:r>
      <w:r w:rsidR="005A4D6E" w:rsidRPr="009772A3">
        <w:rPr>
          <w:rFonts w:asciiTheme="majorHAnsi" w:eastAsia="SimSun" w:hAnsiTheme="majorHAnsi" w:cstheme="majorHAnsi"/>
          <w:kern w:val="3"/>
          <w:sz w:val="24"/>
          <w:szCs w:val="24"/>
          <w:lang w:val="ro-MD"/>
        </w:rPr>
        <w:t xml:space="preserve">a </w:t>
      </w:r>
      <w:r w:rsidRPr="009772A3">
        <w:rPr>
          <w:rFonts w:asciiTheme="majorHAnsi" w:eastAsia="SimSun" w:hAnsiTheme="majorHAnsi" w:cstheme="majorHAnsi"/>
          <w:kern w:val="3"/>
          <w:sz w:val="24"/>
          <w:szCs w:val="24"/>
          <w:lang w:val="ro-MD"/>
        </w:rPr>
        <w:t>bunuril</w:t>
      </w:r>
      <w:r w:rsidR="005A4D6E" w:rsidRPr="009772A3">
        <w:rPr>
          <w:rFonts w:asciiTheme="majorHAnsi" w:eastAsia="SimSun" w:hAnsiTheme="majorHAnsi" w:cstheme="majorHAnsi"/>
          <w:kern w:val="3"/>
          <w:sz w:val="24"/>
          <w:szCs w:val="24"/>
          <w:lang w:val="ro-MD"/>
        </w:rPr>
        <w:t>or din</w:t>
      </w:r>
      <w:r w:rsidRPr="009772A3">
        <w:rPr>
          <w:rFonts w:asciiTheme="majorHAnsi" w:eastAsia="SimSun" w:hAnsiTheme="majorHAnsi" w:cstheme="majorHAnsi"/>
          <w:kern w:val="3"/>
          <w:sz w:val="24"/>
          <w:szCs w:val="24"/>
          <w:lang w:val="ro-MD"/>
        </w:rPr>
        <w:t xml:space="preserve"> domeniul public și a</w:t>
      </w:r>
      <w:r w:rsidR="00CB1F6D" w:rsidRPr="009772A3">
        <w:rPr>
          <w:rFonts w:asciiTheme="majorHAnsi" w:eastAsia="SimSun" w:hAnsiTheme="majorHAnsi" w:cstheme="majorHAnsi"/>
          <w:kern w:val="3"/>
          <w:sz w:val="24"/>
          <w:szCs w:val="24"/>
          <w:lang w:val="ro-MD"/>
        </w:rPr>
        <w:t>l</w:t>
      </w:r>
      <w:r w:rsidRPr="009772A3">
        <w:rPr>
          <w:rFonts w:asciiTheme="majorHAnsi" w:eastAsia="SimSun" w:hAnsiTheme="majorHAnsi" w:cstheme="majorHAnsi"/>
          <w:kern w:val="3"/>
          <w:sz w:val="24"/>
          <w:szCs w:val="24"/>
          <w:lang w:val="ro-MD"/>
        </w:rPr>
        <w:t xml:space="preserve"> celui privat ale satului (comunei), orașului (municipiului), raionului</w:t>
      </w:r>
      <w:r w:rsidRPr="009772A3">
        <w:rPr>
          <w:rFonts w:asciiTheme="majorHAnsi" w:eastAsia="SimSun" w:hAnsiTheme="majorHAnsi" w:cstheme="majorHAnsi"/>
          <w:kern w:val="3"/>
          <w:sz w:val="24"/>
          <w:szCs w:val="24"/>
          <w:vertAlign w:val="superscript"/>
          <w:lang w:val="ro-MD"/>
        </w:rPr>
        <w:footnoteReference w:id="170"/>
      </w:r>
      <w:r w:rsidRPr="009772A3">
        <w:rPr>
          <w:rFonts w:asciiTheme="majorHAnsi" w:eastAsia="SimSun" w:hAnsiTheme="majorHAnsi" w:cstheme="majorHAnsi"/>
          <w:kern w:val="3"/>
          <w:sz w:val="24"/>
          <w:szCs w:val="24"/>
          <w:lang w:val="ro-MD"/>
        </w:rPr>
        <w:t xml:space="preserve">. Astfel, contrar competențelor atribuite legal și în lipsa unor </w:t>
      </w:r>
      <w:r w:rsidR="005A4D6E" w:rsidRPr="009772A3">
        <w:rPr>
          <w:rFonts w:asciiTheme="majorHAnsi" w:eastAsia="SimSun" w:hAnsiTheme="majorHAnsi" w:cstheme="majorHAnsi"/>
          <w:kern w:val="3"/>
          <w:sz w:val="24"/>
          <w:szCs w:val="24"/>
          <w:lang w:val="ro-MD"/>
        </w:rPr>
        <w:t>decizii a</w:t>
      </w:r>
      <w:r w:rsidR="00CB1F6D" w:rsidRPr="009772A3">
        <w:rPr>
          <w:rFonts w:asciiTheme="majorHAnsi" w:eastAsia="SimSun" w:hAnsiTheme="majorHAnsi" w:cstheme="majorHAnsi"/>
          <w:kern w:val="3"/>
          <w:sz w:val="24"/>
          <w:szCs w:val="24"/>
          <w:lang w:val="ro-MD"/>
        </w:rPr>
        <w:t>le</w:t>
      </w:r>
      <w:r w:rsidR="005A4D6E" w:rsidRPr="009772A3">
        <w:rPr>
          <w:rFonts w:asciiTheme="majorHAnsi" w:eastAsia="SimSun" w:hAnsiTheme="majorHAnsi" w:cstheme="majorHAnsi"/>
          <w:kern w:val="3"/>
          <w:sz w:val="24"/>
          <w:szCs w:val="24"/>
          <w:lang w:val="ro-MD"/>
        </w:rPr>
        <w:t xml:space="preserve"> consiliilor locale</w:t>
      </w:r>
      <w:r w:rsidRPr="009772A3">
        <w:rPr>
          <w:rFonts w:asciiTheme="majorHAnsi" w:eastAsia="SimSun" w:hAnsiTheme="majorHAnsi" w:cstheme="majorHAnsi"/>
          <w:kern w:val="3"/>
          <w:sz w:val="24"/>
          <w:szCs w:val="24"/>
          <w:lang w:val="ro-MD"/>
        </w:rPr>
        <w:t xml:space="preserve">, doar în baza contractelor de primire-predare, infrastructura de gaze a fost transmisă neregulamentar în gestiunea </w:t>
      </w:r>
      <w:r w:rsidR="005A4D6E" w:rsidRPr="009772A3">
        <w:rPr>
          <w:rFonts w:asciiTheme="majorHAnsi" w:eastAsia="SimSun" w:hAnsiTheme="majorHAnsi" w:cstheme="majorHAnsi"/>
          <w:kern w:val="3"/>
          <w:sz w:val="24"/>
          <w:szCs w:val="24"/>
          <w:lang w:val="ro-MD"/>
        </w:rPr>
        <w:t>OSD (</w:t>
      </w:r>
      <w:r w:rsidRPr="009772A3">
        <w:rPr>
          <w:rFonts w:asciiTheme="majorHAnsi" w:eastAsia="SimSun" w:hAnsiTheme="majorHAnsi" w:cstheme="majorHAnsi"/>
          <w:kern w:val="3"/>
          <w:sz w:val="24"/>
          <w:szCs w:val="24"/>
          <w:lang w:val="ro-MD"/>
        </w:rPr>
        <w:t>SRL Ungheni</w:t>
      </w:r>
      <w:r w:rsidR="00CB1F6D"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Gaz</w:t>
      </w:r>
      <w:r w:rsidR="005A4D6E"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Pe parcursul gestionării infrastructurii de gaze</w:t>
      </w:r>
      <w:r w:rsidR="00CB1F6D"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sunt operate diferite intervenții și modificări tehnice</w:t>
      </w:r>
      <w:r w:rsidR="00CB1F6D"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care nu sunt coordonate cu proprietarul și, respectiv, nu sunt modificate condițiile contractuale, fapt ce c</w:t>
      </w:r>
      <w:r w:rsidR="00A1426D" w:rsidRPr="009772A3">
        <w:rPr>
          <w:rFonts w:asciiTheme="majorHAnsi" w:eastAsia="SimSun" w:hAnsiTheme="majorHAnsi" w:cstheme="majorHAnsi"/>
          <w:kern w:val="3"/>
          <w:sz w:val="24"/>
          <w:szCs w:val="24"/>
          <w:lang w:val="ro-MD"/>
        </w:rPr>
        <w:t>ontravine prevederilor legale.</w:t>
      </w:r>
    </w:p>
    <w:p w14:paraId="2F892463" w14:textId="2BDA092E"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Verificările auditului au </w:t>
      </w:r>
      <w:r w:rsidR="005A4D6E" w:rsidRPr="009772A3">
        <w:rPr>
          <w:rFonts w:asciiTheme="majorHAnsi" w:eastAsia="SimSun" w:hAnsiTheme="majorHAnsi" w:cstheme="majorHAnsi"/>
          <w:kern w:val="3"/>
          <w:sz w:val="24"/>
          <w:szCs w:val="24"/>
          <w:lang w:val="ro-MD"/>
        </w:rPr>
        <w:t xml:space="preserve">relevat </w:t>
      </w:r>
      <w:r w:rsidRPr="009772A3">
        <w:rPr>
          <w:rFonts w:asciiTheme="majorHAnsi" w:eastAsia="SimSun" w:hAnsiTheme="majorHAnsi" w:cstheme="majorHAnsi"/>
          <w:kern w:val="3"/>
          <w:sz w:val="24"/>
          <w:szCs w:val="24"/>
          <w:lang w:val="ro-MD"/>
        </w:rPr>
        <w:t>că nu sunt efectuate nici verificări reciproce a</w:t>
      </w:r>
      <w:r w:rsidR="00CB1F6D" w:rsidRPr="009772A3">
        <w:rPr>
          <w:rFonts w:asciiTheme="majorHAnsi" w:eastAsia="SimSun" w:hAnsiTheme="majorHAnsi" w:cstheme="majorHAnsi"/>
          <w:kern w:val="3"/>
          <w:sz w:val="24"/>
          <w:szCs w:val="24"/>
          <w:lang w:val="ro-MD"/>
        </w:rPr>
        <w:t>le</w:t>
      </w:r>
      <w:r w:rsidRPr="009772A3">
        <w:rPr>
          <w:rFonts w:asciiTheme="majorHAnsi" w:eastAsia="SimSun" w:hAnsiTheme="majorHAnsi" w:cstheme="majorHAnsi"/>
          <w:kern w:val="3"/>
          <w:sz w:val="24"/>
          <w:szCs w:val="24"/>
          <w:lang w:val="ro-MD"/>
        </w:rPr>
        <w:t xml:space="preserve"> patrimoniului din gestiunea SRL Ungheni</w:t>
      </w:r>
      <w:r w:rsidR="00CB1F6D"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Gaz cu autoritățile publice locale din raioanele Ungheni, Călărași, Nisporeni, Strășeni (6,0 km) și Telenești (7,54 km), deși valoarea gazoductelor proprietate a acestor consilii raionale constituie peste 128,9 mil.lei.</w:t>
      </w:r>
    </w:p>
    <w:p w14:paraId="3B45BBDD" w14:textId="13864C4B"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Datele din Registrul de evidență a rețelelor de gaze din gestiunea SRL Ungheni</w:t>
      </w:r>
      <w:r w:rsidR="00CB1F6D"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Gaz conțin mai multe erori, precum: 1) indicarea eronată în 16 cazuri (109,35 km) a datelor privind proprietarul (indicat APC în loc de CR Ungheni); 2</w:t>
      </w:r>
      <w:r w:rsidRPr="00421715">
        <w:rPr>
          <w:rFonts w:asciiTheme="majorHAnsi" w:eastAsia="SimSun" w:hAnsiTheme="majorHAnsi" w:cstheme="majorHAnsi"/>
          <w:kern w:val="3"/>
          <w:sz w:val="24"/>
          <w:szCs w:val="24"/>
          <w:lang w:val="ro-MD"/>
        </w:rPr>
        <w:t xml:space="preserve">) </w:t>
      </w:r>
      <w:r w:rsidR="00421715" w:rsidRPr="00CF3AD4">
        <w:rPr>
          <w:rFonts w:asciiTheme="majorHAnsi" w:hAnsiTheme="majorHAnsi" w:cstheme="majorHAnsi"/>
          <w:color w:val="0D0D0D" w:themeColor="text1" w:themeTint="F2"/>
          <w:sz w:val="24"/>
          <w:szCs w:val="26"/>
          <w:lang w:val="ro-MD"/>
        </w:rPr>
        <w:t xml:space="preserve">neindicarea termenului de </w:t>
      </w:r>
      <w:r w:rsidR="00421715" w:rsidRPr="00370F6C">
        <w:rPr>
          <w:rFonts w:asciiTheme="majorHAnsi" w:hAnsiTheme="majorHAnsi" w:cstheme="majorHAnsi"/>
          <w:color w:val="0D0D0D" w:themeColor="text1" w:themeTint="F2"/>
          <w:sz w:val="24"/>
          <w:szCs w:val="26"/>
          <w:lang w:val="ro-MD"/>
        </w:rPr>
        <w:t>acțiune</w:t>
      </w:r>
      <w:r w:rsidR="00421715" w:rsidRPr="00421715">
        <w:rPr>
          <w:rFonts w:asciiTheme="majorHAnsi" w:hAnsiTheme="majorHAnsi" w:cstheme="majorHAnsi"/>
          <w:color w:val="0D0D0D" w:themeColor="text1" w:themeTint="F2"/>
          <w:sz w:val="24"/>
          <w:szCs w:val="26"/>
          <w:lang w:val="ro-MD"/>
        </w:rPr>
        <w:t xml:space="preserve"> </w:t>
      </w:r>
      <w:r w:rsidR="00421715" w:rsidRPr="00ED6D37">
        <w:rPr>
          <w:rFonts w:asciiTheme="majorHAnsi" w:hAnsiTheme="majorHAnsi" w:cstheme="majorHAnsi"/>
          <w:color w:val="0D0D0D" w:themeColor="text1" w:themeTint="F2"/>
          <w:sz w:val="24"/>
          <w:szCs w:val="26"/>
          <w:lang w:val="ro-MD"/>
        </w:rPr>
        <w:t xml:space="preserve">a contractelor </w:t>
      </w:r>
      <w:r w:rsidR="00421715">
        <w:rPr>
          <w:rFonts w:asciiTheme="majorHAnsi" w:hAnsiTheme="majorHAnsi" w:cstheme="majorHAnsi"/>
          <w:color w:val="0D0D0D" w:themeColor="text1" w:themeTint="F2"/>
          <w:sz w:val="24"/>
          <w:szCs w:val="26"/>
          <w:lang w:val="ro-MD"/>
        </w:rPr>
        <w:t xml:space="preserve">de </w:t>
      </w:r>
      <w:r w:rsidR="00421715" w:rsidRPr="00CF3AD4">
        <w:rPr>
          <w:rFonts w:asciiTheme="majorHAnsi" w:hAnsiTheme="majorHAnsi" w:cstheme="majorHAnsi"/>
          <w:color w:val="0D0D0D" w:themeColor="text1" w:themeTint="F2"/>
          <w:sz w:val="24"/>
          <w:szCs w:val="26"/>
          <w:lang w:val="ro-MD"/>
        </w:rPr>
        <w:t xml:space="preserve">transmitere la deservire tehnică a 25,06 km </w:t>
      </w:r>
      <w:r w:rsidR="00B516D5">
        <w:rPr>
          <w:rFonts w:asciiTheme="majorHAnsi" w:hAnsiTheme="majorHAnsi" w:cstheme="majorHAnsi"/>
          <w:color w:val="0D0D0D" w:themeColor="text1" w:themeTint="F2"/>
          <w:sz w:val="24"/>
          <w:szCs w:val="26"/>
          <w:lang w:val="ro-MD"/>
        </w:rPr>
        <w:t xml:space="preserve">de gazoducte </w:t>
      </w:r>
      <w:r w:rsidR="00455F84">
        <w:rPr>
          <w:rFonts w:asciiTheme="majorHAnsi" w:hAnsiTheme="majorHAnsi" w:cstheme="majorHAnsi"/>
          <w:color w:val="0D0D0D" w:themeColor="text1" w:themeTint="F2"/>
          <w:sz w:val="24"/>
          <w:szCs w:val="26"/>
          <w:lang w:val="ro-MD"/>
        </w:rPr>
        <w:t>aferente la</w:t>
      </w:r>
      <w:r w:rsidR="00421715" w:rsidRPr="00CF3AD4">
        <w:rPr>
          <w:rFonts w:asciiTheme="majorHAnsi" w:hAnsiTheme="majorHAnsi" w:cstheme="majorHAnsi"/>
          <w:color w:val="0D0D0D" w:themeColor="text1" w:themeTint="F2"/>
          <w:sz w:val="24"/>
          <w:szCs w:val="26"/>
          <w:lang w:val="ro-MD"/>
        </w:rPr>
        <w:t xml:space="preserve"> 4 obiective </w:t>
      </w:r>
      <w:r w:rsidR="00816D31">
        <w:rPr>
          <w:rFonts w:asciiTheme="majorHAnsi" w:hAnsiTheme="majorHAnsi" w:cstheme="majorHAnsi"/>
          <w:color w:val="0D0D0D" w:themeColor="text1" w:themeTint="F2"/>
          <w:sz w:val="24"/>
          <w:szCs w:val="26"/>
          <w:lang w:val="ro-MD"/>
        </w:rPr>
        <w:t>încheiate cu</w:t>
      </w:r>
      <w:r w:rsidR="00421715" w:rsidRPr="00CF3AD4">
        <w:rPr>
          <w:rFonts w:asciiTheme="majorHAnsi" w:hAnsiTheme="majorHAnsi" w:cstheme="majorHAnsi"/>
          <w:color w:val="0D0D0D" w:themeColor="text1" w:themeTint="F2"/>
          <w:sz w:val="24"/>
          <w:szCs w:val="26"/>
          <w:lang w:val="ro-MD"/>
        </w:rPr>
        <w:t xml:space="preserve"> CR Ungheni, </w:t>
      </w:r>
      <w:r w:rsidR="00816D31">
        <w:rPr>
          <w:rFonts w:asciiTheme="majorHAnsi" w:hAnsiTheme="majorHAnsi" w:cstheme="majorHAnsi"/>
          <w:color w:val="0D0D0D" w:themeColor="text1" w:themeTint="F2"/>
          <w:sz w:val="24"/>
          <w:szCs w:val="26"/>
          <w:lang w:val="ro-MD"/>
        </w:rPr>
        <w:t xml:space="preserve">și a </w:t>
      </w:r>
      <w:r w:rsidR="00816D31" w:rsidRPr="00D659FB">
        <w:rPr>
          <w:rFonts w:asciiTheme="majorHAnsi" w:hAnsiTheme="majorHAnsi" w:cstheme="majorHAnsi"/>
          <w:color w:val="0D0D0D" w:themeColor="text1" w:themeTint="F2"/>
          <w:sz w:val="24"/>
          <w:szCs w:val="26"/>
          <w:lang w:val="ro-MD"/>
        </w:rPr>
        <w:t xml:space="preserve">71,0 km </w:t>
      </w:r>
      <w:r w:rsidR="00816D31">
        <w:rPr>
          <w:rFonts w:asciiTheme="majorHAnsi" w:hAnsiTheme="majorHAnsi" w:cstheme="majorHAnsi"/>
          <w:color w:val="0D0D0D" w:themeColor="text1" w:themeTint="F2"/>
          <w:sz w:val="24"/>
          <w:szCs w:val="26"/>
          <w:lang w:val="ro-MD"/>
        </w:rPr>
        <w:t xml:space="preserve">aferente la </w:t>
      </w:r>
      <w:r w:rsidR="00421715" w:rsidRPr="00CF3AD4">
        <w:rPr>
          <w:rFonts w:asciiTheme="majorHAnsi" w:hAnsiTheme="majorHAnsi" w:cstheme="majorHAnsi"/>
          <w:color w:val="0D0D0D" w:themeColor="text1" w:themeTint="F2"/>
          <w:sz w:val="24"/>
          <w:szCs w:val="26"/>
          <w:lang w:val="ro-MD"/>
        </w:rPr>
        <w:t>7 obiective</w:t>
      </w:r>
      <w:r w:rsidR="00816D31">
        <w:rPr>
          <w:rFonts w:asciiTheme="majorHAnsi" w:hAnsiTheme="majorHAnsi" w:cstheme="majorHAnsi"/>
          <w:color w:val="0D0D0D" w:themeColor="text1" w:themeTint="F2"/>
          <w:sz w:val="24"/>
          <w:szCs w:val="26"/>
          <w:lang w:val="ro-MD"/>
        </w:rPr>
        <w:t xml:space="preserve"> încheiate cu</w:t>
      </w:r>
      <w:r w:rsidR="00421715" w:rsidRPr="00CF3AD4">
        <w:rPr>
          <w:rFonts w:asciiTheme="majorHAnsi" w:hAnsiTheme="majorHAnsi" w:cstheme="majorHAnsi"/>
          <w:color w:val="0D0D0D" w:themeColor="text1" w:themeTint="F2"/>
          <w:sz w:val="24"/>
          <w:szCs w:val="26"/>
          <w:lang w:val="ro-MD"/>
        </w:rPr>
        <w:t xml:space="preserve"> CR Nisporeni</w:t>
      </w:r>
      <w:r w:rsidRPr="00421715">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w:t>
      </w:r>
    </w:p>
    <w:p w14:paraId="7D44D537" w14:textId="65EF557B" w:rsidR="00C0688B" w:rsidRPr="009772A3" w:rsidRDefault="00C0688B" w:rsidP="00A1426D">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Deși CR Călărași informează că nu </w:t>
      </w:r>
      <w:r w:rsidR="00816D31" w:rsidRPr="009772A3">
        <w:rPr>
          <w:rFonts w:asciiTheme="majorHAnsi" w:eastAsia="SimSun" w:hAnsiTheme="majorHAnsi" w:cstheme="majorHAnsi"/>
          <w:kern w:val="3"/>
          <w:sz w:val="24"/>
          <w:szCs w:val="24"/>
          <w:lang w:val="ro-MD"/>
        </w:rPr>
        <w:t>a</w:t>
      </w:r>
      <w:r w:rsidR="00816D31">
        <w:rPr>
          <w:rFonts w:asciiTheme="majorHAnsi" w:eastAsia="SimSun" w:hAnsiTheme="majorHAnsi" w:cstheme="majorHAnsi"/>
          <w:kern w:val="3"/>
          <w:sz w:val="24"/>
          <w:szCs w:val="24"/>
          <w:lang w:val="ro-MD"/>
        </w:rPr>
        <w:t>re</w:t>
      </w:r>
      <w:r w:rsidR="00816D31" w:rsidRPr="009772A3">
        <w:rPr>
          <w:rFonts w:asciiTheme="majorHAnsi" w:eastAsia="SimSun" w:hAnsiTheme="majorHAnsi" w:cstheme="majorHAnsi"/>
          <w:kern w:val="3"/>
          <w:sz w:val="24"/>
          <w:szCs w:val="24"/>
          <w:lang w:val="ro-MD"/>
        </w:rPr>
        <w:t xml:space="preserve"> </w:t>
      </w:r>
      <w:r w:rsidRPr="009772A3">
        <w:rPr>
          <w:rFonts w:asciiTheme="majorHAnsi" w:eastAsia="SimSun" w:hAnsiTheme="majorHAnsi" w:cstheme="majorHAnsi"/>
          <w:kern w:val="3"/>
          <w:sz w:val="24"/>
          <w:szCs w:val="24"/>
          <w:lang w:val="ro-MD"/>
        </w:rPr>
        <w:t>înregistrate în evidenț</w:t>
      </w:r>
      <w:r w:rsidR="001C18FC" w:rsidRPr="009772A3">
        <w:rPr>
          <w:rFonts w:asciiTheme="majorHAnsi" w:eastAsia="SimSun" w:hAnsiTheme="majorHAnsi" w:cstheme="majorHAnsi"/>
          <w:kern w:val="3"/>
          <w:sz w:val="24"/>
          <w:szCs w:val="24"/>
          <w:lang w:val="ro-MD"/>
        </w:rPr>
        <w:t>a</w:t>
      </w:r>
      <w:r w:rsidRPr="009772A3">
        <w:rPr>
          <w:rFonts w:asciiTheme="majorHAnsi" w:eastAsia="SimSun" w:hAnsiTheme="majorHAnsi" w:cstheme="majorHAnsi"/>
          <w:kern w:val="3"/>
          <w:sz w:val="24"/>
          <w:szCs w:val="24"/>
          <w:lang w:val="ro-MD"/>
        </w:rPr>
        <w:t xml:space="preserve"> contabilă infrastructuri aferente rețelelor de gaze, SRL Ungheni-gaz are semnate </w:t>
      </w:r>
      <w:r w:rsidR="00816D31">
        <w:rPr>
          <w:rFonts w:asciiTheme="majorHAnsi" w:eastAsia="SimSun" w:hAnsiTheme="majorHAnsi" w:cstheme="majorHAnsi"/>
          <w:kern w:val="3"/>
          <w:sz w:val="24"/>
          <w:szCs w:val="24"/>
          <w:lang w:val="ro-MD"/>
        </w:rPr>
        <w:t xml:space="preserve">cu acesta </w:t>
      </w:r>
      <w:r w:rsidRPr="009772A3">
        <w:rPr>
          <w:rFonts w:asciiTheme="majorHAnsi" w:eastAsia="SimSun" w:hAnsiTheme="majorHAnsi" w:cstheme="majorHAnsi"/>
          <w:kern w:val="3"/>
          <w:sz w:val="24"/>
          <w:szCs w:val="24"/>
          <w:lang w:val="ro-MD"/>
        </w:rPr>
        <w:t xml:space="preserve">5 contracte pentru deservirea tehnică </w:t>
      </w:r>
      <w:r w:rsidR="001C18FC" w:rsidRPr="009772A3">
        <w:rPr>
          <w:rFonts w:asciiTheme="majorHAnsi" w:eastAsia="SimSun" w:hAnsiTheme="majorHAnsi" w:cstheme="majorHAnsi"/>
          <w:kern w:val="3"/>
          <w:sz w:val="24"/>
          <w:szCs w:val="24"/>
          <w:lang w:val="ro-MD"/>
        </w:rPr>
        <w:t>a</w:t>
      </w:r>
      <w:r w:rsidRPr="009772A3">
        <w:rPr>
          <w:rFonts w:asciiTheme="majorHAnsi" w:eastAsia="SimSun" w:hAnsiTheme="majorHAnsi" w:cstheme="majorHAnsi"/>
          <w:kern w:val="3"/>
          <w:sz w:val="24"/>
          <w:szCs w:val="24"/>
          <w:lang w:val="ro-MD"/>
        </w:rPr>
        <w:t xml:space="preserve"> obiective</w:t>
      </w:r>
      <w:r w:rsidR="001C18FC" w:rsidRPr="009772A3">
        <w:rPr>
          <w:rFonts w:asciiTheme="majorHAnsi" w:eastAsia="SimSun" w:hAnsiTheme="majorHAnsi" w:cstheme="majorHAnsi"/>
          <w:kern w:val="3"/>
          <w:sz w:val="24"/>
          <w:szCs w:val="24"/>
          <w:lang w:val="ro-MD"/>
        </w:rPr>
        <w:t>lor</w:t>
      </w:r>
      <w:r w:rsidRPr="009772A3">
        <w:rPr>
          <w:rFonts w:asciiTheme="majorHAnsi" w:eastAsia="SimSun" w:hAnsiTheme="majorHAnsi" w:cstheme="majorHAnsi"/>
          <w:kern w:val="3"/>
          <w:sz w:val="24"/>
          <w:szCs w:val="24"/>
          <w:lang w:val="ro-MD"/>
        </w:rPr>
        <w:t xml:space="preserve"> de inventar aferente rețelei de gaze cu lungimea de 16,23 km.</w:t>
      </w:r>
    </w:p>
    <w:p w14:paraId="2CB3C935" w14:textId="29AF4F5D" w:rsidR="00C0688B" w:rsidRPr="009772A3" w:rsidRDefault="00D23EA3" w:rsidP="0026489F">
      <w:pPr>
        <w:pStyle w:val="Heading1"/>
        <w:numPr>
          <w:ilvl w:val="2"/>
          <w:numId w:val="2"/>
        </w:numPr>
        <w:spacing w:line="276" w:lineRule="auto"/>
        <w:ind w:left="0" w:firstLine="0"/>
        <w:jc w:val="both"/>
        <w:rPr>
          <w:color w:val="auto"/>
          <w:lang w:val="ro-MD"/>
        </w:rPr>
      </w:pPr>
      <w:bookmarkStart w:id="228" w:name="_Toc118297757"/>
      <w:bookmarkStart w:id="229" w:name="_Toc119496456"/>
      <w:r w:rsidRPr="009772A3">
        <w:rPr>
          <w:color w:val="auto"/>
          <w:lang w:val="ro-MD"/>
        </w:rPr>
        <w:t xml:space="preserve">Transmiterea </w:t>
      </w:r>
      <w:r w:rsidR="00C0688B" w:rsidRPr="009772A3">
        <w:rPr>
          <w:color w:val="auto"/>
          <w:lang w:val="ro-MD"/>
        </w:rPr>
        <w:t xml:space="preserve">neconformă </w:t>
      </w:r>
      <w:r w:rsidRPr="009772A3">
        <w:rPr>
          <w:color w:val="auto"/>
          <w:lang w:val="ro-MD"/>
        </w:rPr>
        <w:t xml:space="preserve">de către APL </w:t>
      </w:r>
      <w:r w:rsidR="00C0688B" w:rsidRPr="009772A3">
        <w:rPr>
          <w:color w:val="auto"/>
          <w:lang w:val="ro-MD"/>
        </w:rPr>
        <w:t xml:space="preserve">și recunoașterea necorespunzătoare în evidența contabilă </w:t>
      </w:r>
      <w:r w:rsidRPr="009772A3">
        <w:rPr>
          <w:color w:val="auto"/>
          <w:lang w:val="ro-MD"/>
        </w:rPr>
        <w:t xml:space="preserve">a OSD </w:t>
      </w:r>
      <w:r w:rsidR="00C0688B" w:rsidRPr="009772A3">
        <w:rPr>
          <w:color w:val="auto"/>
          <w:lang w:val="ro-MD"/>
        </w:rPr>
        <w:t xml:space="preserve">a unor rețele de distribuție a gazelor naturale în valoare totală de cca 39.422,4 mii lei, denotă indici de </w:t>
      </w:r>
      <w:r w:rsidR="008C2F14">
        <w:rPr>
          <w:color w:val="auto"/>
          <w:lang w:val="ro-MD"/>
        </w:rPr>
        <w:t>pierdere a</w:t>
      </w:r>
      <w:r w:rsidR="00C0688B" w:rsidRPr="009772A3">
        <w:rPr>
          <w:color w:val="auto"/>
          <w:lang w:val="ro-MD"/>
        </w:rPr>
        <w:t xml:space="preserve"> patrimoniului public.</w:t>
      </w:r>
      <w:bookmarkEnd w:id="228"/>
      <w:bookmarkEnd w:id="229"/>
    </w:p>
    <w:p w14:paraId="083ABEA3" w14:textId="1C550EA5" w:rsidR="00C0688B" w:rsidRPr="009772A3" w:rsidRDefault="00C0688B" w:rsidP="00E47BA8">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Auditul denotă că</w:t>
      </w:r>
      <w:r w:rsidR="00B035A2"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contrar pct. 17 din Regulamentul aprobat prin HG nr.683 din 18.06.2004, întreprinderile de distribuție a gazelor au înregistrat</w:t>
      </w:r>
      <w:r w:rsidR="00173EB3" w:rsidRPr="009772A3">
        <w:rPr>
          <w:rFonts w:asciiTheme="majorHAnsi" w:eastAsia="SimSun" w:hAnsiTheme="majorHAnsi" w:cstheme="majorHAnsi"/>
          <w:kern w:val="3"/>
          <w:sz w:val="24"/>
          <w:szCs w:val="24"/>
          <w:lang w:val="ro-MD"/>
        </w:rPr>
        <w:t>e</w:t>
      </w:r>
      <w:r w:rsidRPr="009772A3">
        <w:rPr>
          <w:rFonts w:asciiTheme="majorHAnsi" w:eastAsia="SimSun" w:hAnsiTheme="majorHAnsi" w:cstheme="majorHAnsi"/>
          <w:kern w:val="3"/>
          <w:sz w:val="24"/>
          <w:szCs w:val="24"/>
          <w:lang w:val="ro-MD"/>
        </w:rPr>
        <w:t xml:space="preserve"> la bilanțul întreprinderilor rețele de distribuție a gazelor în valoare de 39.422,4 mii lei</w:t>
      </w:r>
      <w:r w:rsidRPr="009772A3">
        <w:rPr>
          <w:rFonts w:asciiTheme="majorHAnsi" w:eastAsia="SimSun" w:hAnsiTheme="majorHAnsi" w:cstheme="majorHAnsi"/>
          <w:kern w:val="3"/>
          <w:sz w:val="24"/>
          <w:szCs w:val="24"/>
          <w:vertAlign w:val="superscript"/>
          <w:lang w:val="ro-MD"/>
        </w:rPr>
        <w:footnoteReference w:id="171"/>
      </w:r>
      <w:r w:rsidR="00E47BA8" w:rsidRPr="009772A3">
        <w:rPr>
          <w:rFonts w:asciiTheme="majorHAnsi" w:eastAsia="SimSun" w:hAnsiTheme="majorHAnsi" w:cstheme="majorHAnsi"/>
          <w:kern w:val="3"/>
          <w:sz w:val="24"/>
          <w:szCs w:val="24"/>
          <w:lang w:val="ro-MD"/>
        </w:rPr>
        <w:t>.</w:t>
      </w:r>
    </w:p>
    <w:p w14:paraId="50B03886" w14:textId="45846A0B" w:rsidR="00C0688B" w:rsidRPr="009772A3" w:rsidRDefault="00C0688B" w:rsidP="00E47BA8">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Astfel, în baza ordinelor</w:t>
      </w:r>
      <w:r w:rsidRPr="009772A3">
        <w:rPr>
          <w:rFonts w:asciiTheme="majorHAnsi" w:eastAsia="SimSun" w:hAnsiTheme="majorHAnsi" w:cstheme="majorHAnsi"/>
          <w:kern w:val="3"/>
          <w:sz w:val="24"/>
          <w:szCs w:val="24"/>
          <w:vertAlign w:val="superscript"/>
          <w:lang w:val="ro-MD"/>
        </w:rPr>
        <w:footnoteReference w:id="172"/>
      </w:r>
      <w:r w:rsidRPr="009772A3">
        <w:rPr>
          <w:rFonts w:asciiTheme="majorHAnsi" w:eastAsia="SimSun" w:hAnsiTheme="majorHAnsi" w:cstheme="majorHAnsi"/>
          <w:kern w:val="3"/>
          <w:sz w:val="24"/>
          <w:szCs w:val="24"/>
          <w:lang w:val="ro-MD"/>
        </w:rPr>
        <w:t xml:space="preserve"> și contractului de evaluare</w:t>
      </w:r>
      <w:r w:rsidRPr="009772A3">
        <w:rPr>
          <w:rFonts w:asciiTheme="majorHAnsi" w:eastAsia="SimSun" w:hAnsiTheme="majorHAnsi" w:cstheme="majorHAnsi"/>
          <w:kern w:val="3"/>
          <w:sz w:val="24"/>
          <w:szCs w:val="24"/>
          <w:vertAlign w:val="superscript"/>
          <w:lang w:val="ro-MD"/>
        </w:rPr>
        <w:footnoteReference w:id="173"/>
      </w:r>
      <w:r w:rsidR="00E47BA8"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SRL „Chișinău</w:t>
      </w:r>
      <w:r w:rsidR="00E47BA8" w:rsidRPr="009772A3">
        <w:rPr>
          <w:rFonts w:asciiTheme="majorHAnsi" w:eastAsia="SimSun" w:hAnsiTheme="majorHAnsi" w:cstheme="majorHAnsi"/>
          <w:kern w:val="3"/>
          <w:sz w:val="24"/>
          <w:szCs w:val="24"/>
          <w:lang w:val="ro-MD"/>
        </w:rPr>
        <w:t>-gaz”</w:t>
      </w:r>
      <w:r w:rsidR="00173EB3" w:rsidRPr="009772A3">
        <w:rPr>
          <w:rFonts w:asciiTheme="majorHAnsi" w:eastAsia="SimSun" w:hAnsiTheme="majorHAnsi" w:cstheme="majorHAnsi"/>
          <w:kern w:val="3"/>
          <w:sz w:val="24"/>
          <w:szCs w:val="24"/>
          <w:lang w:val="ro-MD"/>
        </w:rPr>
        <w:t>,</w:t>
      </w:r>
      <w:r w:rsidR="00E47BA8" w:rsidRPr="009772A3">
        <w:rPr>
          <w:rFonts w:asciiTheme="majorHAnsi" w:eastAsia="SimSun" w:hAnsiTheme="majorHAnsi" w:cstheme="majorHAnsi"/>
          <w:kern w:val="3"/>
          <w:sz w:val="24"/>
          <w:szCs w:val="24"/>
          <w:lang w:val="ro-MD"/>
        </w:rPr>
        <w:t xml:space="preserve"> cu acordul SA Moldovagaz</w:t>
      </w:r>
      <w:r w:rsidRPr="009772A3">
        <w:rPr>
          <w:rFonts w:asciiTheme="majorHAnsi" w:eastAsia="SimSun" w:hAnsiTheme="majorHAnsi" w:cstheme="majorHAnsi"/>
          <w:kern w:val="3"/>
          <w:sz w:val="24"/>
          <w:szCs w:val="24"/>
          <w:lang w:val="ro-MD"/>
        </w:rPr>
        <w:t xml:space="preserve">, a decis </w:t>
      </w:r>
      <w:r w:rsidR="00173EB3" w:rsidRPr="009772A3">
        <w:rPr>
          <w:rFonts w:asciiTheme="majorHAnsi" w:eastAsia="SimSun" w:hAnsiTheme="majorHAnsi" w:cstheme="majorHAnsi"/>
          <w:kern w:val="3"/>
          <w:sz w:val="24"/>
          <w:szCs w:val="24"/>
          <w:lang w:val="ro-MD"/>
        </w:rPr>
        <w:t xml:space="preserve">în anul 2019 </w:t>
      </w:r>
      <w:r w:rsidRPr="009772A3">
        <w:rPr>
          <w:rFonts w:asciiTheme="majorHAnsi" w:eastAsia="SimSun" w:hAnsiTheme="majorHAnsi" w:cstheme="majorHAnsi"/>
          <w:kern w:val="3"/>
          <w:sz w:val="24"/>
          <w:szCs w:val="24"/>
          <w:lang w:val="ro-MD"/>
        </w:rPr>
        <w:t xml:space="preserve">înregistrarea la bilanțul întreprinderii </w:t>
      </w:r>
      <w:r w:rsidR="00173EB3" w:rsidRPr="009772A3">
        <w:rPr>
          <w:rFonts w:asciiTheme="majorHAnsi" w:eastAsia="SimSun" w:hAnsiTheme="majorHAnsi" w:cstheme="majorHAnsi"/>
          <w:kern w:val="3"/>
          <w:sz w:val="24"/>
          <w:szCs w:val="24"/>
          <w:lang w:val="ro-MD"/>
        </w:rPr>
        <w:t xml:space="preserve">a </w:t>
      </w:r>
      <w:r w:rsidRPr="009772A3">
        <w:rPr>
          <w:rFonts w:asciiTheme="majorHAnsi" w:eastAsia="SimSun" w:hAnsiTheme="majorHAnsi" w:cstheme="majorHAnsi"/>
          <w:kern w:val="3"/>
          <w:sz w:val="24"/>
          <w:szCs w:val="24"/>
          <w:lang w:val="ro-MD"/>
        </w:rPr>
        <w:t>gazoductel</w:t>
      </w:r>
      <w:r w:rsidR="00173EB3" w:rsidRPr="009772A3">
        <w:rPr>
          <w:rFonts w:asciiTheme="majorHAnsi" w:eastAsia="SimSun" w:hAnsiTheme="majorHAnsi" w:cstheme="majorHAnsi"/>
          <w:kern w:val="3"/>
          <w:sz w:val="24"/>
          <w:szCs w:val="24"/>
          <w:lang w:val="ro-MD"/>
        </w:rPr>
        <w:t>or</w:t>
      </w:r>
      <w:r w:rsidRPr="009772A3">
        <w:rPr>
          <w:rFonts w:asciiTheme="majorHAnsi" w:eastAsia="SimSun" w:hAnsiTheme="majorHAnsi" w:cstheme="majorHAnsi"/>
          <w:kern w:val="3"/>
          <w:sz w:val="24"/>
          <w:szCs w:val="24"/>
          <w:lang w:val="ro-MD"/>
        </w:rPr>
        <w:t xml:space="preserve"> fără proprietar cu o lungime de 38,55 km</w:t>
      </w:r>
      <w:r w:rsidR="00173EB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la valoarea de 30.561,0 mii lei. Valoarea serviciilor de evaluare a gazoductelor a constituit 398,75 mii lei, ceea ce constituie 10,34 mii lei per km, care poate fi utilizată ca valoare de referință în viitoarele estimări ale costurilor de evaluare a rețelelor care nu dispun de valoare contabilă.</w:t>
      </w:r>
    </w:p>
    <w:p w14:paraId="13754732" w14:textId="49717DE8" w:rsidR="00C0688B" w:rsidRPr="009772A3" w:rsidRDefault="00C0688B" w:rsidP="00E47BA8">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 xml:space="preserve">SRL „Ialoveni-gaz” în perioada 2015-2019 a primit cu titlu gratuit, </w:t>
      </w:r>
      <w:r w:rsidR="00173EB3" w:rsidRPr="009772A3">
        <w:rPr>
          <w:rFonts w:asciiTheme="majorHAnsi" w:eastAsia="SimSun" w:hAnsiTheme="majorHAnsi" w:cstheme="majorHAnsi"/>
          <w:kern w:val="3"/>
          <w:sz w:val="24"/>
          <w:szCs w:val="24"/>
          <w:lang w:val="ro-MD"/>
        </w:rPr>
        <w:t>conform</w:t>
      </w:r>
      <w:r w:rsidRPr="009772A3">
        <w:rPr>
          <w:rFonts w:asciiTheme="majorHAnsi" w:eastAsia="SimSun" w:hAnsiTheme="majorHAnsi" w:cstheme="majorHAnsi"/>
          <w:kern w:val="3"/>
          <w:sz w:val="24"/>
          <w:szCs w:val="24"/>
          <w:lang w:val="ro-MD"/>
        </w:rPr>
        <w:t xml:space="preserve"> hotărârilor de judecată</w:t>
      </w:r>
      <w:r w:rsidRPr="009772A3">
        <w:rPr>
          <w:rFonts w:asciiTheme="majorHAnsi" w:eastAsia="SimSun" w:hAnsiTheme="majorHAnsi" w:cstheme="majorHAnsi"/>
          <w:kern w:val="3"/>
          <w:sz w:val="24"/>
          <w:szCs w:val="24"/>
          <w:vertAlign w:val="superscript"/>
          <w:lang w:val="ro-MD"/>
        </w:rPr>
        <w:footnoteReference w:id="174"/>
      </w:r>
      <w:r w:rsidRPr="009772A3">
        <w:rPr>
          <w:rFonts w:asciiTheme="majorHAnsi" w:eastAsia="SimSun" w:hAnsiTheme="majorHAnsi" w:cstheme="majorHAnsi"/>
          <w:kern w:val="3"/>
          <w:sz w:val="24"/>
          <w:szCs w:val="24"/>
          <w:lang w:val="ro-MD"/>
        </w:rPr>
        <w:t xml:space="preserve"> adoptate în baza dreptului de uzucapiune, gazoducte de la Primăriile com. Dolinoe r-nul Criuleni, s. Bălțata, s. Mereni, s. Puhăceni, s. Telița r-nul Anenii Noi și în baza ordinelor</w:t>
      </w:r>
      <w:r w:rsidRPr="009772A3">
        <w:rPr>
          <w:rFonts w:asciiTheme="majorHAnsi" w:eastAsia="SimSun" w:hAnsiTheme="majorHAnsi" w:cstheme="majorHAnsi"/>
          <w:kern w:val="3"/>
          <w:sz w:val="24"/>
          <w:szCs w:val="24"/>
          <w:vertAlign w:val="superscript"/>
          <w:lang w:val="ro-MD"/>
        </w:rPr>
        <w:footnoteReference w:id="175"/>
      </w:r>
      <w:r w:rsidRPr="009772A3">
        <w:rPr>
          <w:rFonts w:asciiTheme="majorHAnsi" w:eastAsia="SimSun" w:hAnsiTheme="majorHAnsi" w:cstheme="majorHAnsi"/>
          <w:kern w:val="3"/>
          <w:sz w:val="24"/>
          <w:szCs w:val="24"/>
          <w:lang w:val="ro-MD"/>
        </w:rPr>
        <w:t xml:space="preserve"> a înregistrat în evidența contabilă gazoducte în valoare de 4</w:t>
      </w:r>
      <w:r w:rsidR="00173EB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435,87 mii lei. De menționat că</w:t>
      </w:r>
      <w:r w:rsidR="00173EB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w:t>
      </w:r>
      <w:r w:rsidR="00173EB3" w:rsidRPr="009772A3">
        <w:rPr>
          <w:rFonts w:asciiTheme="majorHAnsi" w:eastAsia="SimSun" w:hAnsiTheme="majorHAnsi" w:cstheme="majorHAnsi"/>
          <w:kern w:val="3"/>
          <w:sz w:val="24"/>
          <w:szCs w:val="24"/>
          <w:lang w:val="ro-MD"/>
        </w:rPr>
        <w:t xml:space="preserve">potrivit scrisorii de </w:t>
      </w:r>
      <w:r w:rsidRPr="009772A3">
        <w:rPr>
          <w:rFonts w:asciiTheme="majorHAnsi" w:eastAsia="SimSun" w:hAnsiTheme="majorHAnsi" w:cstheme="majorHAnsi"/>
          <w:kern w:val="3"/>
          <w:sz w:val="24"/>
          <w:szCs w:val="24"/>
          <w:lang w:val="ro-MD"/>
        </w:rPr>
        <w:t>răspuns</w:t>
      </w:r>
      <w:r w:rsidR="00173EB3" w:rsidRPr="009772A3">
        <w:rPr>
          <w:rFonts w:asciiTheme="majorHAnsi" w:eastAsia="SimSun" w:hAnsiTheme="majorHAnsi" w:cstheme="majorHAnsi"/>
          <w:kern w:val="3"/>
          <w:sz w:val="24"/>
          <w:szCs w:val="24"/>
          <w:lang w:val="ro-MD"/>
        </w:rPr>
        <w:t xml:space="preserve"> a</w:t>
      </w:r>
      <w:r w:rsidRPr="009772A3">
        <w:rPr>
          <w:rFonts w:asciiTheme="majorHAnsi" w:eastAsia="SimSun" w:hAnsiTheme="majorHAnsi" w:cstheme="majorHAnsi"/>
          <w:kern w:val="3"/>
          <w:sz w:val="24"/>
          <w:szCs w:val="24"/>
          <w:lang w:val="ro-MD"/>
        </w:rPr>
        <w:t xml:space="preserve"> Judecătoriei Anenii</w:t>
      </w:r>
      <w:r w:rsidR="00173EB3" w:rsidRPr="009772A3">
        <w:rPr>
          <w:rFonts w:asciiTheme="majorHAnsi" w:eastAsia="SimSun" w:hAnsiTheme="majorHAnsi" w:cstheme="majorHAnsi"/>
          <w:kern w:val="3"/>
          <w:sz w:val="24"/>
          <w:szCs w:val="24"/>
          <w:lang w:val="ro-MD"/>
        </w:rPr>
        <w:t xml:space="preserve"> </w:t>
      </w:r>
      <w:r w:rsidRPr="009772A3">
        <w:rPr>
          <w:rFonts w:asciiTheme="majorHAnsi" w:eastAsia="SimSun" w:hAnsiTheme="majorHAnsi" w:cstheme="majorHAnsi"/>
          <w:kern w:val="3"/>
          <w:sz w:val="24"/>
          <w:szCs w:val="24"/>
          <w:lang w:val="ro-MD"/>
        </w:rPr>
        <w:t>Noi nr.10848 din 25.10.2022, primării</w:t>
      </w:r>
      <w:r w:rsidR="00173EB3" w:rsidRPr="009772A3">
        <w:rPr>
          <w:rFonts w:asciiTheme="majorHAnsi" w:eastAsia="SimSun" w:hAnsiTheme="majorHAnsi" w:cstheme="majorHAnsi"/>
          <w:kern w:val="3"/>
          <w:sz w:val="24"/>
          <w:szCs w:val="24"/>
          <w:lang w:val="ro-MD"/>
        </w:rPr>
        <w:t>le</w:t>
      </w:r>
      <w:r w:rsidRPr="009772A3">
        <w:rPr>
          <w:rFonts w:asciiTheme="majorHAnsi" w:eastAsia="SimSun" w:hAnsiTheme="majorHAnsi" w:cstheme="majorHAnsi"/>
          <w:kern w:val="3"/>
          <w:sz w:val="24"/>
          <w:szCs w:val="24"/>
          <w:lang w:val="ro-MD"/>
        </w:rPr>
        <w:t xml:space="preserve"> respectiv</w:t>
      </w:r>
      <w:r w:rsidR="00173EB3" w:rsidRPr="009772A3">
        <w:rPr>
          <w:rFonts w:asciiTheme="majorHAnsi" w:eastAsia="SimSun" w:hAnsiTheme="majorHAnsi" w:cstheme="majorHAnsi"/>
          <w:kern w:val="3"/>
          <w:sz w:val="24"/>
          <w:szCs w:val="24"/>
          <w:lang w:val="ro-MD"/>
        </w:rPr>
        <w:t>e</w:t>
      </w:r>
      <w:r w:rsidRPr="009772A3">
        <w:rPr>
          <w:rFonts w:asciiTheme="majorHAnsi" w:eastAsia="SimSun" w:hAnsiTheme="majorHAnsi" w:cstheme="majorHAnsi"/>
          <w:kern w:val="3"/>
          <w:sz w:val="24"/>
          <w:szCs w:val="24"/>
          <w:lang w:val="ro-MD"/>
        </w:rPr>
        <w:t xml:space="preserve"> nu au depus cereri de contestare a hotărârilor de judecată.</w:t>
      </w:r>
    </w:p>
    <w:p w14:paraId="15390CD4" w14:textId="1AC28D38" w:rsidR="00C0688B" w:rsidRPr="009772A3" w:rsidRDefault="00C0688B" w:rsidP="00E47BA8">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O altă situație de transmitere neconformă a gazoductelor se atestă, în anii 2018-2022, la 6 primării</w:t>
      </w:r>
      <w:r w:rsidRPr="009772A3">
        <w:rPr>
          <w:rFonts w:asciiTheme="majorHAnsi" w:eastAsia="SimSun" w:hAnsiTheme="majorHAnsi" w:cstheme="majorHAnsi"/>
          <w:kern w:val="3"/>
          <w:sz w:val="24"/>
          <w:szCs w:val="24"/>
          <w:vertAlign w:val="superscript"/>
          <w:lang w:val="ro-MD"/>
        </w:rPr>
        <w:footnoteReference w:id="176"/>
      </w:r>
      <w:r w:rsidRPr="009772A3">
        <w:rPr>
          <w:rFonts w:asciiTheme="majorHAnsi" w:eastAsia="SimSun" w:hAnsiTheme="majorHAnsi" w:cstheme="majorHAnsi"/>
          <w:kern w:val="3"/>
          <w:sz w:val="24"/>
          <w:szCs w:val="24"/>
          <w:lang w:val="ro-MD"/>
        </w:rPr>
        <w:t xml:space="preserve">  din raza </w:t>
      </w:r>
      <w:r w:rsidR="007D3950" w:rsidRPr="009772A3">
        <w:rPr>
          <w:rFonts w:asciiTheme="majorHAnsi" w:eastAsia="SimSun" w:hAnsiTheme="majorHAnsi" w:cstheme="majorHAnsi"/>
          <w:kern w:val="3"/>
          <w:sz w:val="24"/>
          <w:szCs w:val="24"/>
          <w:lang w:val="ro-MD"/>
        </w:rPr>
        <w:t xml:space="preserve">de activitate a </w:t>
      </w:r>
      <w:r w:rsidRPr="009772A3">
        <w:rPr>
          <w:rFonts w:asciiTheme="majorHAnsi" w:eastAsia="SimSun" w:hAnsiTheme="majorHAnsi" w:cstheme="majorHAnsi"/>
          <w:kern w:val="3"/>
          <w:sz w:val="24"/>
          <w:szCs w:val="24"/>
          <w:lang w:val="ro-MD"/>
        </w:rPr>
        <w:t>SRL „Edineț-gaz”, care au transmis cu titlu gratuit către SRL „Edineț-gaz” rețele de distribuție cu lungime</w:t>
      </w:r>
      <w:r w:rsidR="00173EB3" w:rsidRPr="009772A3">
        <w:rPr>
          <w:rFonts w:asciiTheme="majorHAnsi" w:eastAsia="SimSun" w:hAnsiTheme="majorHAnsi" w:cstheme="majorHAnsi"/>
          <w:kern w:val="3"/>
          <w:sz w:val="24"/>
          <w:szCs w:val="24"/>
          <w:lang w:val="ro-MD"/>
        </w:rPr>
        <w:t>a</w:t>
      </w:r>
      <w:r w:rsidRPr="009772A3">
        <w:rPr>
          <w:rFonts w:asciiTheme="majorHAnsi" w:eastAsia="SimSun" w:hAnsiTheme="majorHAnsi" w:cstheme="majorHAnsi"/>
          <w:kern w:val="3"/>
          <w:sz w:val="24"/>
          <w:szCs w:val="24"/>
          <w:lang w:val="ro-MD"/>
        </w:rPr>
        <w:t xml:space="preserve"> de 21,749 km, SRG și SPC – 10 unități cu valoarea totală de 4</w:t>
      </w:r>
      <w:r w:rsidR="00173EB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425,5 mii lei. Acestea au fost transmise în </w:t>
      </w:r>
      <w:r w:rsidR="003F4783" w:rsidRPr="009772A3">
        <w:rPr>
          <w:rFonts w:asciiTheme="majorHAnsi" w:eastAsia="SimSun" w:hAnsiTheme="majorHAnsi" w:cstheme="majorHAnsi"/>
          <w:kern w:val="3"/>
          <w:sz w:val="24"/>
          <w:szCs w:val="24"/>
          <w:lang w:val="ro-MD"/>
        </w:rPr>
        <w:t xml:space="preserve">urma </w:t>
      </w:r>
      <w:r w:rsidRPr="009772A3">
        <w:rPr>
          <w:rFonts w:asciiTheme="majorHAnsi" w:eastAsia="SimSun" w:hAnsiTheme="majorHAnsi" w:cstheme="majorHAnsi"/>
          <w:kern w:val="3"/>
          <w:sz w:val="24"/>
          <w:szCs w:val="24"/>
          <w:lang w:val="ro-MD"/>
        </w:rPr>
        <w:t>adresărilor repetate ale SRL „Edineț-gaz” către APL privind necesitatea efectuării reparațiilor capitale la rețelele de distribuție care se aflau în proprietatea APL, pentru care SRL „Edineț-gaz” nu dispun</w:t>
      </w:r>
      <w:r w:rsidR="007D3950" w:rsidRPr="009772A3">
        <w:rPr>
          <w:rFonts w:asciiTheme="majorHAnsi" w:eastAsia="SimSun" w:hAnsiTheme="majorHAnsi" w:cstheme="majorHAnsi"/>
          <w:kern w:val="3"/>
          <w:sz w:val="24"/>
          <w:szCs w:val="24"/>
          <w:lang w:val="ro-MD"/>
        </w:rPr>
        <w:t>ea</w:t>
      </w:r>
      <w:r w:rsidRPr="009772A3">
        <w:rPr>
          <w:rFonts w:asciiTheme="majorHAnsi" w:eastAsia="SimSun" w:hAnsiTheme="majorHAnsi" w:cstheme="majorHAnsi"/>
          <w:kern w:val="3"/>
          <w:sz w:val="24"/>
          <w:szCs w:val="24"/>
          <w:lang w:val="ro-MD"/>
        </w:rPr>
        <w:t xml:space="preserve"> de resurse financiare disponibile, deoarece nu </w:t>
      </w:r>
      <w:r w:rsidR="007D3950" w:rsidRPr="009772A3">
        <w:rPr>
          <w:rFonts w:asciiTheme="majorHAnsi" w:eastAsia="SimSun" w:hAnsiTheme="majorHAnsi" w:cstheme="majorHAnsi"/>
          <w:kern w:val="3"/>
          <w:sz w:val="24"/>
          <w:szCs w:val="24"/>
          <w:lang w:val="ro-MD"/>
        </w:rPr>
        <w:t xml:space="preserve">erau </w:t>
      </w:r>
      <w:r w:rsidRPr="009772A3">
        <w:rPr>
          <w:rFonts w:asciiTheme="majorHAnsi" w:eastAsia="SimSun" w:hAnsiTheme="majorHAnsi" w:cstheme="majorHAnsi"/>
          <w:kern w:val="3"/>
          <w:sz w:val="24"/>
          <w:szCs w:val="24"/>
          <w:lang w:val="ro-MD"/>
        </w:rPr>
        <w:t>la b</w:t>
      </w:r>
      <w:r w:rsidR="00AA42AE" w:rsidRPr="009772A3">
        <w:rPr>
          <w:rFonts w:asciiTheme="majorHAnsi" w:eastAsia="SimSun" w:hAnsiTheme="majorHAnsi" w:cstheme="majorHAnsi"/>
          <w:kern w:val="3"/>
          <w:sz w:val="24"/>
          <w:szCs w:val="24"/>
          <w:lang w:val="ro-MD"/>
        </w:rPr>
        <w:t>a</w:t>
      </w:r>
      <w:r w:rsidRPr="009772A3">
        <w:rPr>
          <w:rFonts w:asciiTheme="majorHAnsi" w:eastAsia="SimSun" w:hAnsiTheme="majorHAnsi" w:cstheme="majorHAnsi"/>
          <w:kern w:val="3"/>
          <w:sz w:val="24"/>
          <w:szCs w:val="24"/>
          <w:lang w:val="ro-MD"/>
        </w:rPr>
        <w:t>lanț</w:t>
      </w:r>
      <w:r w:rsidR="00AA42AE" w:rsidRPr="009772A3">
        <w:rPr>
          <w:rFonts w:asciiTheme="majorHAnsi" w:eastAsia="SimSun" w:hAnsiTheme="majorHAnsi" w:cstheme="majorHAnsi"/>
          <w:kern w:val="3"/>
          <w:sz w:val="24"/>
          <w:szCs w:val="24"/>
          <w:lang w:val="ro-MD"/>
        </w:rPr>
        <w:t>a</w:t>
      </w:r>
      <w:r w:rsidRPr="009772A3">
        <w:rPr>
          <w:rFonts w:asciiTheme="majorHAnsi" w:eastAsia="SimSun" w:hAnsiTheme="majorHAnsi" w:cstheme="majorHAnsi"/>
          <w:kern w:val="3"/>
          <w:sz w:val="24"/>
          <w:szCs w:val="24"/>
          <w:lang w:val="ro-MD"/>
        </w:rPr>
        <w:t xml:space="preserve"> entității.</w:t>
      </w:r>
    </w:p>
    <w:p w14:paraId="48ADD551" w14:textId="5992BBF6" w:rsidR="00C0688B" w:rsidRDefault="00C0688B" w:rsidP="00E47BA8">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În perioada 2017-2021</w:t>
      </w:r>
      <w:r w:rsidR="003F4783"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SRL „Bălți-gaz” a efectuat lucrări </w:t>
      </w:r>
      <w:r w:rsidR="00AA42AE" w:rsidRPr="009772A3">
        <w:rPr>
          <w:rFonts w:asciiTheme="majorHAnsi" w:eastAsia="SimSun" w:hAnsiTheme="majorHAnsi" w:cstheme="majorHAnsi"/>
          <w:kern w:val="3"/>
          <w:sz w:val="24"/>
          <w:szCs w:val="24"/>
          <w:lang w:val="ro-MD"/>
        </w:rPr>
        <w:t>de</w:t>
      </w:r>
      <w:r w:rsidRPr="009772A3">
        <w:rPr>
          <w:rFonts w:asciiTheme="majorHAnsi" w:eastAsia="SimSun" w:hAnsiTheme="majorHAnsi" w:cstheme="majorHAnsi"/>
          <w:kern w:val="3"/>
          <w:sz w:val="24"/>
          <w:szCs w:val="24"/>
          <w:lang w:val="ro-MD"/>
        </w:rPr>
        <w:t xml:space="preserve"> înlocuire</w:t>
      </w:r>
      <w:r w:rsidR="00AA42AE" w:rsidRPr="009772A3">
        <w:rPr>
          <w:rFonts w:asciiTheme="majorHAnsi" w:eastAsia="SimSun" w:hAnsiTheme="majorHAnsi" w:cstheme="majorHAnsi"/>
          <w:kern w:val="3"/>
          <w:sz w:val="24"/>
          <w:szCs w:val="24"/>
          <w:lang w:val="ro-MD"/>
        </w:rPr>
        <w:t xml:space="preserve"> </w:t>
      </w:r>
      <w:r w:rsidRPr="009772A3">
        <w:rPr>
          <w:rFonts w:asciiTheme="majorHAnsi" w:eastAsia="SimSun" w:hAnsiTheme="majorHAnsi" w:cstheme="majorHAnsi"/>
          <w:kern w:val="3"/>
          <w:sz w:val="24"/>
          <w:szCs w:val="24"/>
          <w:lang w:val="ro-MD"/>
        </w:rPr>
        <w:t xml:space="preserve">a dulapurilor la gazoductele proprietate </w:t>
      </w:r>
      <w:r w:rsidR="00AA42AE" w:rsidRPr="009772A3">
        <w:rPr>
          <w:rFonts w:asciiTheme="majorHAnsi" w:eastAsia="SimSun" w:hAnsiTheme="majorHAnsi" w:cstheme="majorHAnsi"/>
          <w:kern w:val="3"/>
          <w:sz w:val="24"/>
          <w:szCs w:val="24"/>
          <w:lang w:val="ro-MD"/>
        </w:rPr>
        <w:t xml:space="preserve">a </w:t>
      </w:r>
      <w:r w:rsidRPr="009772A3">
        <w:rPr>
          <w:rFonts w:asciiTheme="majorHAnsi" w:eastAsia="SimSun" w:hAnsiTheme="majorHAnsi" w:cstheme="majorHAnsi"/>
          <w:kern w:val="3"/>
          <w:sz w:val="24"/>
          <w:szCs w:val="24"/>
          <w:lang w:val="ro-MD"/>
        </w:rPr>
        <w:t>APL, primite de întreprindere la deservire tehnică</w:t>
      </w:r>
      <w:r w:rsidR="00AA42AE"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 xml:space="preserve"> în sumă totală de 2</w:t>
      </w:r>
      <w:r w:rsidR="00AA42AE" w:rsidRPr="009772A3">
        <w:rPr>
          <w:rFonts w:asciiTheme="majorHAnsi" w:eastAsia="SimSun" w:hAnsiTheme="majorHAnsi" w:cstheme="majorHAnsi"/>
          <w:kern w:val="3"/>
          <w:sz w:val="24"/>
          <w:szCs w:val="24"/>
          <w:lang w:val="ro-MD"/>
        </w:rPr>
        <w:t>.</w:t>
      </w:r>
      <w:r w:rsidRPr="009772A3">
        <w:rPr>
          <w:rFonts w:asciiTheme="majorHAnsi" w:eastAsia="SimSun" w:hAnsiTheme="majorHAnsi" w:cstheme="majorHAnsi"/>
          <w:kern w:val="3"/>
          <w:sz w:val="24"/>
          <w:szCs w:val="24"/>
          <w:lang w:val="ro-MD"/>
        </w:rPr>
        <w:t>577,5 mii lei. Se menționează că fiecare dulap nou instalat a fost înregistrat în evidența contabilă ca un mijloc fix</w:t>
      </w:r>
      <w:r w:rsidR="00AA42AE" w:rsidRPr="009772A3">
        <w:rPr>
          <w:rFonts w:asciiTheme="majorHAnsi" w:eastAsia="SimSun" w:hAnsiTheme="majorHAnsi" w:cstheme="majorHAnsi"/>
          <w:kern w:val="3"/>
          <w:sz w:val="24"/>
          <w:szCs w:val="24"/>
          <w:lang w:val="ro-MD"/>
        </w:rPr>
        <w:t xml:space="preserve"> nou</w:t>
      </w:r>
      <w:r w:rsidRPr="009772A3">
        <w:rPr>
          <w:rFonts w:asciiTheme="majorHAnsi" w:eastAsia="SimSun" w:hAnsiTheme="majorHAnsi" w:cstheme="majorHAnsi"/>
          <w:kern w:val="3"/>
          <w:sz w:val="24"/>
          <w:szCs w:val="24"/>
          <w:lang w:val="ro-MD"/>
        </w:rPr>
        <w:t>, nefiind stabilit regimul juridic al acestor bunuri și dacă bunurile nou create fac parte din bunurile primite la deservire de la APL.</w:t>
      </w:r>
    </w:p>
    <w:p w14:paraId="6D41B38A" w14:textId="1140CFEC" w:rsidR="00480787" w:rsidRPr="00CF3AD4" w:rsidRDefault="00480787">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rPr>
      </w:pPr>
      <w:r w:rsidRPr="00480787">
        <w:rPr>
          <w:rFonts w:asciiTheme="majorHAnsi" w:eastAsia="SimSun" w:hAnsiTheme="majorHAnsi" w:cstheme="majorHAnsi"/>
          <w:kern w:val="3"/>
          <w:sz w:val="24"/>
          <w:szCs w:val="24"/>
          <w:lang w:val="ro-MD"/>
        </w:rPr>
        <w:t xml:space="preserve">Conform explicațiilor SA Moldovagaz, cadrul legal (art.62 din Legea </w:t>
      </w:r>
      <w:r>
        <w:rPr>
          <w:rFonts w:asciiTheme="majorHAnsi" w:eastAsia="SimSun" w:hAnsiTheme="majorHAnsi" w:cstheme="majorHAnsi"/>
          <w:kern w:val="3"/>
          <w:sz w:val="24"/>
          <w:szCs w:val="24"/>
          <w:lang w:val="ro-MD"/>
        </w:rPr>
        <w:t>nr.</w:t>
      </w:r>
      <w:r w:rsidRPr="00480787">
        <w:rPr>
          <w:rFonts w:asciiTheme="majorHAnsi" w:eastAsia="SimSun" w:hAnsiTheme="majorHAnsi" w:cstheme="majorHAnsi"/>
          <w:kern w:val="3"/>
          <w:sz w:val="24"/>
          <w:szCs w:val="24"/>
          <w:lang w:val="ro-MD"/>
        </w:rPr>
        <w:t xml:space="preserve">108/2016) prevede posibilitatea </w:t>
      </w:r>
      <w:r w:rsidRPr="00CF3AD4">
        <w:rPr>
          <w:rFonts w:asciiTheme="majorHAnsi" w:eastAsia="SimSun" w:hAnsiTheme="majorHAnsi" w:cstheme="majorHAnsi"/>
          <w:kern w:val="3"/>
          <w:sz w:val="24"/>
          <w:szCs w:val="24"/>
          <w:lang w:val="ro-MD"/>
        </w:rPr>
        <w:t>transmiterii cu titlu gratuit, în proprietatea operatorului de sistem, a rețelelor și instalațiilor de gaze</w:t>
      </w:r>
      <w:r>
        <w:rPr>
          <w:rFonts w:asciiTheme="majorHAnsi" w:eastAsia="SimSun" w:hAnsiTheme="majorHAnsi" w:cstheme="majorHAnsi"/>
          <w:kern w:val="3"/>
          <w:sz w:val="24"/>
          <w:szCs w:val="24"/>
          <w:lang w:val="ro-MD"/>
        </w:rPr>
        <w:t>,</w:t>
      </w:r>
      <w:r w:rsidRPr="00CF3AD4">
        <w:rPr>
          <w:rFonts w:asciiTheme="majorHAnsi" w:eastAsia="SimSun" w:hAnsiTheme="majorHAnsi" w:cstheme="majorHAnsi"/>
          <w:kern w:val="3"/>
          <w:sz w:val="24"/>
          <w:szCs w:val="24"/>
          <w:lang w:val="ro-MD"/>
        </w:rPr>
        <w:t xml:space="preserve"> inclusiv proprietate publică de stat sau locală</w:t>
      </w:r>
      <w:r w:rsidR="002F1AB3">
        <w:rPr>
          <w:rFonts w:asciiTheme="majorHAnsi" w:eastAsia="SimSun" w:hAnsiTheme="majorHAnsi" w:cstheme="majorHAnsi"/>
          <w:kern w:val="3"/>
          <w:sz w:val="24"/>
          <w:szCs w:val="24"/>
          <w:lang w:val="ro-MD"/>
        </w:rPr>
        <w:t>. Auditul denotă că</w:t>
      </w:r>
      <w:r w:rsidRPr="00CF3AD4">
        <w:rPr>
          <w:rFonts w:asciiTheme="majorHAnsi" w:eastAsia="SimSun" w:hAnsiTheme="majorHAnsi" w:cstheme="majorHAnsi"/>
          <w:kern w:val="3"/>
          <w:sz w:val="24"/>
          <w:szCs w:val="24"/>
          <w:lang w:val="ro-MD"/>
        </w:rPr>
        <w:t>,</w:t>
      </w:r>
      <w:r w:rsidR="002F1AB3">
        <w:rPr>
          <w:rFonts w:asciiTheme="majorHAnsi" w:eastAsia="SimSun" w:hAnsiTheme="majorHAnsi" w:cstheme="majorHAnsi"/>
          <w:kern w:val="3"/>
          <w:sz w:val="24"/>
          <w:szCs w:val="24"/>
          <w:lang w:val="ro-MD"/>
        </w:rPr>
        <w:t xml:space="preserve"> în acest caz nu s-a ținut cont </w:t>
      </w:r>
      <w:r w:rsidRPr="00CF3AD4">
        <w:rPr>
          <w:rFonts w:asciiTheme="majorHAnsi" w:eastAsia="SimSun" w:hAnsiTheme="majorHAnsi" w:cstheme="majorHAnsi"/>
          <w:kern w:val="3"/>
          <w:sz w:val="24"/>
          <w:szCs w:val="24"/>
          <w:lang w:val="ro-MD"/>
        </w:rPr>
        <w:t xml:space="preserve">de restricțiile </w:t>
      </w:r>
      <w:r>
        <w:rPr>
          <w:rFonts w:asciiTheme="majorHAnsi" w:eastAsia="SimSun" w:hAnsiTheme="majorHAnsi" w:cstheme="majorHAnsi"/>
          <w:kern w:val="3"/>
          <w:sz w:val="24"/>
          <w:szCs w:val="24"/>
          <w:lang w:val="ro-MD"/>
        </w:rPr>
        <w:t xml:space="preserve">stabilite de Legea nr.121/2007 </w:t>
      </w:r>
      <w:r w:rsidRPr="00480787">
        <w:rPr>
          <w:rFonts w:asciiTheme="majorHAnsi" w:eastAsia="SimSun" w:hAnsiTheme="majorHAnsi" w:cstheme="majorHAnsi"/>
          <w:kern w:val="3"/>
          <w:sz w:val="24"/>
          <w:szCs w:val="24"/>
        </w:rPr>
        <w:t>privind administrarea şi deetatizarea proprietăţii publice</w:t>
      </w:r>
      <w:r>
        <w:rPr>
          <w:rFonts w:asciiTheme="majorHAnsi" w:eastAsia="SimSun" w:hAnsiTheme="majorHAnsi" w:cstheme="majorHAnsi"/>
          <w:b/>
          <w:bCs/>
          <w:kern w:val="3"/>
          <w:sz w:val="24"/>
          <w:szCs w:val="24"/>
        </w:rPr>
        <w:t>.</w:t>
      </w:r>
    </w:p>
    <w:p w14:paraId="4FDD5606" w14:textId="03E4F7E0" w:rsidR="00C0688B" w:rsidRPr="009772A3" w:rsidRDefault="00C0688B">
      <w:pPr>
        <w:widowControl w:val="0"/>
        <w:suppressAutoHyphens/>
        <w:autoSpaceDN w:val="0"/>
        <w:spacing w:after="0" w:line="276" w:lineRule="auto"/>
        <w:ind w:firstLine="720"/>
        <w:jc w:val="both"/>
        <w:textAlignment w:val="baseline"/>
        <w:rPr>
          <w:rFonts w:asciiTheme="majorHAnsi" w:eastAsia="SimSun" w:hAnsiTheme="majorHAnsi" w:cstheme="majorHAnsi"/>
          <w:kern w:val="3"/>
          <w:sz w:val="24"/>
          <w:szCs w:val="24"/>
          <w:lang w:val="ro-MD"/>
        </w:rPr>
      </w:pPr>
      <w:r w:rsidRPr="00480787">
        <w:rPr>
          <w:rFonts w:asciiTheme="majorHAnsi" w:eastAsia="SimSun" w:hAnsiTheme="majorHAnsi" w:cstheme="majorHAnsi"/>
          <w:kern w:val="3"/>
          <w:sz w:val="24"/>
          <w:szCs w:val="24"/>
          <w:lang w:val="ro-MD"/>
        </w:rPr>
        <w:t xml:space="preserve">Având în vedere cele constatate și expuse supra, înregistrarea neconformă în evidența </w:t>
      </w:r>
      <w:r w:rsidRPr="009772A3">
        <w:rPr>
          <w:rFonts w:asciiTheme="majorHAnsi" w:eastAsia="SimSun" w:hAnsiTheme="majorHAnsi" w:cstheme="majorHAnsi"/>
          <w:kern w:val="3"/>
          <w:sz w:val="24"/>
          <w:szCs w:val="24"/>
          <w:lang w:val="ro-MD"/>
        </w:rPr>
        <w:t xml:space="preserve">contabilă a companiilor de distribuție a gazelor naturale, a gazoductelor proprietate publică, </w:t>
      </w:r>
      <w:r w:rsidR="00AA42AE" w:rsidRPr="009772A3">
        <w:rPr>
          <w:rFonts w:asciiTheme="majorHAnsi" w:eastAsia="SimSun" w:hAnsiTheme="majorHAnsi" w:cstheme="majorHAnsi"/>
          <w:kern w:val="3"/>
          <w:sz w:val="24"/>
          <w:szCs w:val="24"/>
          <w:lang w:val="ro-MD"/>
        </w:rPr>
        <w:t>de rând</w:t>
      </w:r>
      <w:r w:rsidRPr="009772A3">
        <w:rPr>
          <w:rFonts w:asciiTheme="majorHAnsi" w:eastAsia="SimSun" w:hAnsiTheme="majorHAnsi" w:cstheme="majorHAnsi"/>
          <w:kern w:val="3"/>
          <w:sz w:val="24"/>
          <w:szCs w:val="24"/>
          <w:lang w:val="ro-MD"/>
        </w:rPr>
        <w:t xml:space="preserve"> cu lipsa contabilizării acestora în evidența autorităților publice, generează riscuri reale de pierdere a acestui patrimoniu.</w:t>
      </w:r>
    </w:p>
    <w:p w14:paraId="03D5EEF1" w14:textId="62932F65" w:rsidR="00F71B75" w:rsidRPr="009772A3" w:rsidRDefault="00F71B75" w:rsidP="002F1AB3">
      <w:pPr>
        <w:pStyle w:val="Heading1"/>
        <w:numPr>
          <w:ilvl w:val="1"/>
          <w:numId w:val="2"/>
        </w:numPr>
        <w:spacing w:line="276" w:lineRule="auto"/>
        <w:ind w:left="0" w:firstLine="0"/>
        <w:jc w:val="both"/>
        <w:rPr>
          <w:rFonts w:cstheme="majorHAnsi"/>
          <w:color w:val="auto"/>
          <w:szCs w:val="24"/>
          <w:lang w:val="ro-MD"/>
        </w:rPr>
      </w:pPr>
      <w:bookmarkStart w:id="230" w:name="_Toc119496457"/>
      <w:r w:rsidRPr="009772A3">
        <w:rPr>
          <w:rFonts w:cstheme="majorHAnsi"/>
          <w:color w:val="auto"/>
          <w:szCs w:val="24"/>
          <w:lang w:val="ro-MD"/>
        </w:rPr>
        <w:t>A fost asigurat un management corespunzător al Societății, pentru maximizarea profiturilor și identificarea soluțiilor fiabile de rambursare a datoriilor, precum și a fost atins scopul stabilit la momentul fondării SA Moldovagaz</w:t>
      </w:r>
      <w:r w:rsidRPr="009772A3">
        <w:rPr>
          <w:rFonts w:cstheme="majorHAnsi"/>
          <w:color w:val="auto"/>
          <w:szCs w:val="24"/>
          <w:vertAlign w:val="superscript"/>
          <w:lang w:val="ro-MD"/>
        </w:rPr>
        <w:footnoteReference w:id="177"/>
      </w:r>
      <w:r w:rsidRPr="009772A3">
        <w:rPr>
          <w:rFonts w:cstheme="majorHAnsi"/>
          <w:color w:val="auto"/>
          <w:szCs w:val="24"/>
          <w:lang w:val="ro-MD"/>
        </w:rPr>
        <w:t xml:space="preserve"> privind „ameliorarea decontărilor şi reducerii datoriilor faţă de SA Gazprom</w:t>
      </w:r>
      <w:r w:rsidR="00D70461" w:rsidRPr="009772A3">
        <w:rPr>
          <w:rFonts w:cstheme="majorHAnsi"/>
          <w:color w:val="auto"/>
          <w:szCs w:val="24"/>
          <w:lang w:val="ro-MD"/>
        </w:rPr>
        <w:t>”</w:t>
      </w:r>
      <w:r w:rsidRPr="009772A3">
        <w:rPr>
          <w:rFonts w:cstheme="majorHAnsi"/>
          <w:color w:val="auto"/>
          <w:szCs w:val="24"/>
          <w:lang w:val="ro-MD"/>
        </w:rPr>
        <w:t>?</w:t>
      </w:r>
      <w:bookmarkEnd w:id="230"/>
    </w:p>
    <w:p w14:paraId="6FD2F6FB" w14:textId="24AC9E76" w:rsidR="00AA78AB" w:rsidRPr="009772A3" w:rsidRDefault="00AA78AB" w:rsidP="00CF3AD4">
      <w:pPr>
        <w:widowControl w:val="0"/>
        <w:suppressAutoHyphens/>
        <w:autoSpaceDN w:val="0"/>
        <w:spacing w:after="0" w:line="276" w:lineRule="auto"/>
        <w:ind w:firstLine="720"/>
        <w:jc w:val="both"/>
        <w:textAlignment w:val="baseline"/>
        <w:rPr>
          <w:rFonts w:asciiTheme="majorHAnsi" w:eastAsia="SimSun" w:hAnsiTheme="majorHAnsi" w:cstheme="majorHAnsi"/>
          <w:i/>
          <w:kern w:val="3"/>
          <w:sz w:val="24"/>
          <w:szCs w:val="24"/>
          <w:lang w:val="ro-MD"/>
        </w:rPr>
      </w:pPr>
      <w:r w:rsidRPr="009772A3">
        <w:rPr>
          <w:rFonts w:asciiTheme="majorHAnsi" w:eastAsia="SimSun" w:hAnsiTheme="majorHAnsi" w:cstheme="majorHAnsi"/>
          <w:i/>
          <w:kern w:val="3"/>
          <w:sz w:val="24"/>
          <w:szCs w:val="24"/>
          <w:lang w:val="ro-MD"/>
        </w:rPr>
        <w:t>Sistemele și procesele de guvernanță și operaționale, inclusiv cele de luare a deciziilor</w:t>
      </w:r>
      <w:r w:rsidR="00C94EFC" w:rsidRPr="009772A3">
        <w:rPr>
          <w:rFonts w:asciiTheme="majorHAnsi" w:eastAsia="SimSun" w:hAnsiTheme="majorHAnsi" w:cstheme="majorHAnsi"/>
          <w:i/>
          <w:kern w:val="3"/>
          <w:sz w:val="24"/>
          <w:szCs w:val="24"/>
          <w:lang w:val="ro-MD"/>
        </w:rPr>
        <w:t>,</w:t>
      </w:r>
      <w:r w:rsidRPr="009772A3">
        <w:rPr>
          <w:rFonts w:asciiTheme="majorHAnsi" w:eastAsia="SimSun" w:hAnsiTheme="majorHAnsi" w:cstheme="majorHAnsi"/>
          <w:i/>
          <w:kern w:val="3"/>
          <w:sz w:val="24"/>
          <w:szCs w:val="24"/>
          <w:lang w:val="ro-MD"/>
        </w:rPr>
        <w:t xml:space="preserve"> nu au asigurat o gestiune economico</w:t>
      </w:r>
      <w:r w:rsidR="00FF102E" w:rsidRPr="009772A3">
        <w:rPr>
          <w:rFonts w:asciiTheme="majorHAnsi" w:eastAsia="SimSun" w:hAnsiTheme="majorHAnsi" w:cstheme="majorHAnsi"/>
          <w:i/>
          <w:kern w:val="3"/>
          <w:sz w:val="24"/>
          <w:szCs w:val="24"/>
          <w:lang w:val="ro-MD"/>
        </w:rPr>
        <w:t>-</w:t>
      </w:r>
      <w:r w:rsidRPr="009772A3">
        <w:rPr>
          <w:rFonts w:asciiTheme="majorHAnsi" w:eastAsia="SimSun" w:hAnsiTheme="majorHAnsi" w:cstheme="majorHAnsi"/>
          <w:i/>
          <w:kern w:val="3"/>
          <w:sz w:val="24"/>
          <w:szCs w:val="24"/>
          <w:lang w:val="ro-MD"/>
        </w:rPr>
        <w:t>financiară transparentă</w:t>
      </w:r>
      <w:r w:rsidR="00D9798F" w:rsidRPr="009772A3">
        <w:rPr>
          <w:rFonts w:asciiTheme="majorHAnsi" w:eastAsia="SimSun" w:hAnsiTheme="majorHAnsi" w:cstheme="majorHAnsi"/>
          <w:i/>
          <w:kern w:val="3"/>
          <w:sz w:val="24"/>
          <w:szCs w:val="24"/>
          <w:lang w:val="ro-MD"/>
        </w:rPr>
        <w:t>, conformă</w:t>
      </w:r>
      <w:r w:rsidRPr="009772A3">
        <w:rPr>
          <w:rFonts w:asciiTheme="majorHAnsi" w:eastAsia="SimSun" w:hAnsiTheme="majorHAnsi" w:cstheme="majorHAnsi"/>
          <w:i/>
          <w:kern w:val="3"/>
          <w:sz w:val="24"/>
          <w:szCs w:val="24"/>
          <w:lang w:val="ro-MD"/>
        </w:rPr>
        <w:t xml:space="preserve"> și profitabilă. </w:t>
      </w:r>
      <w:r w:rsidR="007C72C4" w:rsidRPr="009772A3">
        <w:rPr>
          <w:rFonts w:asciiTheme="majorHAnsi" w:eastAsia="SimSun" w:hAnsiTheme="majorHAnsi" w:cstheme="majorHAnsi"/>
          <w:i/>
          <w:kern w:val="3"/>
          <w:sz w:val="24"/>
          <w:szCs w:val="24"/>
          <w:lang w:val="ro-MD"/>
        </w:rPr>
        <w:t xml:space="preserve">Utilizarea mijloacelor circulante pentru efectuarea unor </w:t>
      </w:r>
      <w:r w:rsidR="00360D94" w:rsidRPr="009772A3">
        <w:rPr>
          <w:rFonts w:asciiTheme="majorHAnsi" w:eastAsia="SimSun" w:hAnsiTheme="majorHAnsi" w:cstheme="majorHAnsi"/>
          <w:i/>
          <w:kern w:val="3"/>
          <w:sz w:val="24"/>
          <w:szCs w:val="24"/>
          <w:lang w:val="ro-MD"/>
        </w:rPr>
        <w:t xml:space="preserve">investiții și </w:t>
      </w:r>
      <w:r w:rsidR="007C72C4" w:rsidRPr="009772A3">
        <w:rPr>
          <w:rFonts w:asciiTheme="majorHAnsi" w:eastAsia="SimSun" w:hAnsiTheme="majorHAnsi" w:cstheme="majorHAnsi"/>
          <w:i/>
          <w:kern w:val="3"/>
          <w:sz w:val="24"/>
          <w:szCs w:val="24"/>
          <w:lang w:val="ro-MD"/>
        </w:rPr>
        <w:t>cheltuieli netransparente, neproductive, economic neargumentate și nejustificate contravine principiilor de bună gestiune.</w:t>
      </w:r>
      <w:r w:rsidR="00D9798F" w:rsidRPr="009772A3">
        <w:rPr>
          <w:rFonts w:asciiTheme="majorHAnsi" w:eastAsia="SimSun" w:hAnsiTheme="majorHAnsi" w:cstheme="majorHAnsi"/>
          <w:i/>
          <w:kern w:val="3"/>
          <w:sz w:val="24"/>
          <w:szCs w:val="24"/>
          <w:lang w:val="ro-MD"/>
        </w:rPr>
        <w:t xml:space="preserve"> </w:t>
      </w:r>
      <w:r w:rsidR="007C72C4" w:rsidRPr="009772A3">
        <w:rPr>
          <w:rFonts w:asciiTheme="majorHAnsi" w:eastAsia="SimSun" w:hAnsiTheme="majorHAnsi" w:cstheme="majorHAnsi"/>
          <w:i/>
          <w:kern w:val="3"/>
          <w:sz w:val="24"/>
          <w:szCs w:val="24"/>
          <w:lang w:val="ro-MD"/>
        </w:rPr>
        <w:t>S</w:t>
      </w:r>
      <w:r w:rsidRPr="009772A3">
        <w:rPr>
          <w:rFonts w:asciiTheme="majorHAnsi" w:eastAsia="SimSun" w:hAnsiTheme="majorHAnsi" w:cstheme="majorHAnsi"/>
          <w:i/>
          <w:kern w:val="3"/>
          <w:sz w:val="24"/>
          <w:szCs w:val="24"/>
          <w:lang w:val="ro-MD"/>
        </w:rPr>
        <w:t>trategiile și planurile de acțiuni financiare și nefinanciare nu au contribuit la atingerea scopurilor statutare, care să genereze efecte tangibile de diminuare</w:t>
      </w:r>
      <w:r w:rsidR="00D9798F" w:rsidRPr="009772A3">
        <w:rPr>
          <w:rFonts w:asciiTheme="majorHAnsi" w:eastAsia="SimSun" w:hAnsiTheme="majorHAnsi" w:cstheme="majorHAnsi"/>
          <w:i/>
          <w:kern w:val="3"/>
          <w:sz w:val="24"/>
          <w:szCs w:val="24"/>
          <w:lang w:val="ro-MD"/>
        </w:rPr>
        <w:t xml:space="preserve"> </w:t>
      </w:r>
      <w:r w:rsidRPr="009772A3">
        <w:rPr>
          <w:rFonts w:asciiTheme="majorHAnsi" w:eastAsia="SimSun" w:hAnsiTheme="majorHAnsi" w:cstheme="majorHAnsi"/>
          <w:i/>
          <w:kern w:val="3"/>
          <w:sz w:val="24"/>
          <w:szCs w:val="24"/>
          <w:lang w:val="ro-MD"/>
        </w:rPr>
        <w:t xml:space="preserve">a datoriilor SA </w:t>
      </w:r>
      <w:r w:rsidR="00D9798F" w:rsidRPr="009772A3">
        <w:rPr>
          <w:rFonts w:asciiTheme="majorHAnsi" w:eastAsia="SimSun" w:hAnsiTheme="majorHAnsi" w:cstheme="majorHAnsi"/>
          <w:i/>
          <w:kern w:val="3"/>
          <w:sz w:val="24"/>
          <w:szCs w:val="24"/>
          <w:lang w:val="ro-MD"/>
        </w:rPr>
        <w:t>M</w:t>
      </w:r>
      <w:r w:rsidRPr="009772A3">
        <w:rPr>
          <w:rFonts w:asciiTheme="majorHAnsi" w:eastAsia="SimSun" w:hAnsiTheme="majorHAnsi" w:cstheme="majorHAnsi"/>
          <w:i/>
          <w:kern w:val="3"/>
          <w:sz w:val="24"/>
          <w:szCs w:val="24"/>
          <w:lang w:val="ro-MD"/>
        </w:rPr>
        <w:t>oldovagaz față de SA Gazprom.</w:t>
      </w:r>
    </w:p>
    <w:p w14:paraId="1E9E1F7B" w14:textId="597519E0" w:rsidR="00D23EA3" w:rsidRDefault="00C54853" w:rsidP="00CF3AD4">
      <w:pPr>
        <w:spacing w:after="0"/>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 toate i</w:t>
      </w:r>
      <w:r w:rsidR="00D23EA3" w:rsidRPr="009772A3">
        <w:rPr>
          <w:rFonts w:asciiTheme="majorHAnsi" w:hAnsiTheme="majorHAnsi" w:cstheme="majorHAnsi"/>
          <w:sz w:val="24"/>
          <w:szCs w:val="24"/>
          <w:lang w:val="ro-MD"/>
        </w:rPr>
        <w:t xml:space="preserve">nvestițiile și cheltuielile efectuate de către întreprinderile ce fac parte din grupul SA Moldovagaz </w:t>
      </w:r>
      <w:r w:rsidRPr="009772A3">
        <w:rPr>
          <w:rFonts w:asciiTheme="majorHAnsi" w:hAnsiTheme="majorHAnsi" w:cstheme="majorHAnsi"/>
          <w:sz w:val="24"/>
          <w:szCs w:val="24"/>
          <w:lang w:val="ro-MD"/>
        </w:rPr>
        <w:t>au fost</w:t>
      </w:r>
      <w:r w:rsidR="00D23EA3" w:rsidRPr="009772A3">
        <w:rPr>
          <w:rFonts w:asciiTheme="majorHAnsi" w:hAnsiTheme="majorHAnsi" w:cstheme="majorHAnsi"/>
          <w:sz w:val="24"/>
          <w:szCs w:val="24"/>
          <w:lang w:val="ro-MD"/>
        </w:rPr>
        <w:t xml:space="preserve"> aprobate de către organele de conducere ale SA Moldovagaz</w:t>
      </w:r>
      <w:r w:rsidR="00FF102E" w:rsidRPr="009772A3">
        <w:rPr>
          <w:rFonts w:asciiTheme="majorHAnsi" w:hAnsiTheme="majorHAnsi" w:cstheme="majorHAnsi"/>
          <w:sz w:val="24"/>
          <w:szCs w:val="24"/>
          <w:lang w:val="ro-MD"/>
        </w:rPr>
        <w:t>,</w:t>
      </w:r>
      <w:r w:rsidR="00D23EA3" w:rsidRPr="009772A3">
        <w:rPr>
          <w:rFonts w:asciiTheme="majorHAnsi" w:hAnsiTheme="majorHAnsi" w:cstheme="majorHAnsi"/>
          <w:sz w:val="24"/>
          <w:szCs w:val="24"/>
          <w:lang w:val="ro-MD"/>
        </w:rPr>
        <w:t xml:space="preserve"> în conformitate cu actele normative </w:t>
      </w:r>
      <w:r w:rsidRPr="009772A3">
        <w:rPr>
          <w:rFonts w:asciiTheme="majorHAnsi" w:hAnsiTheme="majorHAnsi" w:cstheme="majorHAnsi"/>
          <w:sz w:val="24"/>
          <w:szCs w:val="24"/>
          <w:lang w:val="ro-MD"/>
        </w:rPr>
        <w:t xml:space="preserve">interne </w:t>
      </w:r>
      <w:r w:rsidR="00D23EA3" w:rsidRPr="009772A3">
        <w:rPr>
          <w:rFonts w:asciiTheme="majorHAnsi" w:hAnsiTheme="majorHAnsi" w:cstheme="majorHAnsi"/>
          <w:sz w:val="24"/>
          <w:szCs w:val="24"/>
          <w:lang w:val="ro-MD"/>
        </w:rPr>
        <w:t>în vigoare</w:t>
      </w:r>
      <w:r w:rsidRPr="009772A3">
        <w:rPr>
          <w:rFonts w:asciiTheme="majorHAnsi" w:hAnsiTheme="majorHAnsi" w:cstheme="majorHAnsi"/>
          <w:sz w:val="24"/>
          <w:szCs w:val="24"/>
          <w:lang w:val="ro-MD"/>
        </w:rPr>
        <w:t xml:space="preserve"> ale SA Moldovagaz</w:t>
      </w:r>
      <w:r w:rsidR="00D23EA3" w:rsidRPr="009772A3">
        <w:rPr>
          <w:rFonts w:asciiTheme="majorHAnsi" w:hAnsiTheme="majorHAnsi" w:cstheme="majorHAnsi"/>
          <w:sz w:val="24"/>
          <w:szCs w:val="24"/>
          <w:lang w:val="ro-MD"/>
        </w:rPr>
        <w:t>.</w:t>
      </w:r>
    </w:p>
    <w:p w14:paraId="7C6E8468" w14:textId="77777777" w:rsidR="00DE7D59" w:rsidRPr="00CF3AD4" w:rsidRDefault="00DE7D59" w:rsidP="00CF3AD4">
      <w:pPr>
        <w:spacing w:after="0"/>
        <w:ind w:firstLine="720"/>
        <w:jc w:val="both"/>
        <w:rPr>
          <w:rFonts w:asciiTheme="majorHAnsi" w:hAnsiTheme="majorHAnsi" w:cstheme="majorHAnsi"/>
          <w:sz w:val="16"/>
          <w:szCs w:val="16"/>
          <w:lang w:val="ro-MD"/>
        </w:rPr>
      </w:pPr>
    </w:p>
    <w:p w14:paraId="78D76294" w14:textId="19DFDB79" w:rsidR="000E545E" w:rsidRPr="009772A3" w:rsidRDefault="00BE678A" w:rsidP="00CF3AD4">
      <w:pPr>
        <w:pStyle w:val="Heading1"/>
        <w:numPr>
          <w:ilvl w:val="2"/>
          <w:numId w:val="2"/>
        </w:numPr>
        <w:spacing w:before="0" w:line="276" w:lineRule="auto"/>
        <w:ind w:left="0" w:firstLine="0"/>
        <w:jc w:val="both"/>
        <w:rPr>
          <w:color w:val="auto"/>
          <w:lang w:val="ro-MD"/>
        </w:rPr>
      </w:pPr>
      <w:bookmarkStart w:id="231" w:name="_Toc119496458"/>
      <w:r w:rsidRPr="009772A3">
        <w:rPr>
          <w:color w:val="auto"/>
          <w:lang w:val="ro-MD"/>
        </w:rPr>
        <w:t>Procesul de elaborare a bugetului consolidat permite utilizarea resurselor pentru investiții și cheltuieli, care nu sunt recuperate prin tarif, ceea ce diminu</w:t>
      </w:r>
      <w:r w:rsidR="004E2DBB" w:rsidRPr="009772A3">
        <w:rPr>
          <w:color w:val="auto"/>
          <w:lang w:val="ro-MD"/>
        </w:rPr>
        <w:t>e</w:t>
      </w:r>
      <w:r w:rsidRPr="009772A3">
        <w:rPr>
          <w:color w:val="auto"/>
          <w:lang w:val="ro-MD"/>
        </w:rPr>
        <w:t>ază mijloacele circulante ale întreprinderilor.</w:t>
      </w:r>
      <w:bookmarkEnd w:id="231"/>
    </w:p>
    <w:p w14:paraId="393795ED" w14:textId="676175B0" w:rsidR="00B8268A" w:rsidRPr="009772A3" w:rsidRDefault="00275C9B" w:rsidP="00780B1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a asigura gestionarea eficientă a surselor de venit, Consiliul de observatori al SA Moldovagaz aprobă anual</w:t>
      </w:r>
      <w:r w:rsidR="00507B33" w:rsidRPr="009772A3">
        <w:rPr>
          <w:rFonts w:asciiTheme="majorHAnsi" w:hAnsiTheme="majorHAnsi" w:cstheme="majorHAnsi"/>
          <w:sz w:val="24"/>
          <w:szCs w:val="24"/>
          <w:lang w:val="ro-MD"/>
        </w:rPr>
        <w:t>, după coordonare prealabilă cu acționarul majoritar,</w:t>
      </w:r>
      <w:r w:rsidRPr="009772A3">
        <w:rPr>
          <w:rFonts w:asciiTheme="majorHAnsi" w:hAnsiTheme="majorHAnsi" w:cstheme="majorHAnsi"/>
          <w:sz w:val="24"/>
          <w:szCs w:val="24"/>
          <w:lang w:val="ro-MD"/>
        </w:rPr>
        <w:t xml:space="preserve"> bugetul de venituri și cheltuieli elabor</w:t>
      </w:r>
      <w:r w:rsidR="00507B33" w:rsidRPr="009772A3">
        <w:rPr>
          <w:rFonts w:asciiTheme="majorHAnsi" w:hAnsiTheme="majorHAnsi" w:cstheme="majorHAnsi"/>
          <w:sz w:val="24"/>
          <w:szCs w:val="24"/>
          <w:lang w:val="ro-MD"/>
        </w:rPr>
        <w:t>at</w:t>
      </w:r>
      <w:r w:rsidRPr="009772A3">
        <w:rPr>
          <w:rFonts w:asciiTheme="majorHAnsi" w:hAnsiTheme="majorHAnsi" w:cstheme="majorHAnsi"/>
          <w:sz w:val="24"/>
          <w:szCs w:val="24"/>
          <w:lang w:val="ro-MD"/>
        </w:rPr>
        <w:t xml:space="preserve"> în conformitate cu Regulamentul </w:t>
      </w:r>
      <w:r w:rsidR="00507B33" w:rsidRPr="009772A3">
        <w:rPr>
          <w:rFonts w:asciiTheme="majorHAnsi" w:hAnsiTheme="majorHAnsi" w:cstheme="majorHAnsi"/>
          <w:sz w:val="24"/>
          <w:szCs w:val="24"/>
          <w:lang w:val="ro-MD"/>
        </w:rPr>
        <w:t>privind procesul bugetar î</w:t>
      </w:r>
      <w:r w:rsidRPr="009772A3">
        <w:rPr>
          <w:rFonts w:asciiTheme="majorHAnsi" w:hAnsiTheme="majorHAnsi" w:cstheme="majorHAnsi"/>
          <w:sz w:val="24"/>
          <w:szCs w:val="24"/>
          <w:lang w:val="ro-MD"/>
        </w:rPr>
        <w:t>n cadrul SA Moldovagaz și întreprinderilor sale dependente.</w:t>
      </w:r>
    </w:p>
    <w:p w14:paraId="5806EC6E" w14:textId="77777777" w:rsidR="001262F3" w:rsidRPr="009772A3" w:rsidRDefault="001262F3" w:rsidP="00780B1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Examinările de audit relevă:</w:t>
      </w:r>
    </w:p>
    <w:p w14:paraId="7DD62043" w14:textId="67853E08" w:rsidR="00275C9B" w:rsidRPr="009772A3" w:rsidRDefault="001262F3" w:rsidP="00DE7D59">
      <w:pPr>
        <w:pStyle w:val="ListParagraph"/>
        <w:numPr>
          <w:ilvl w:val="0"/>
          <w:numId w:val="12"/>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Consiliul de obsevatori al SA Moldovagaz aprobă anual bugetul consolidat de venituri și cheltuieli, </w:t>
      </w:r>
      <w:r w:rsidR="00DE7D59">
        <w:rPr>
          <w:rFonts w:asciiTheme="majorHAnsi" w:hAnsiTheme="majorHAnsi" w:cstheme="majorHAnsi"/>
          <w:sz w:val="24"/>
          <w:szCs w:val="24"/>
          <w:lang w:val="ro-MD"/>
        </w:rPr>
        <w:t>ca</w:t>
      </w:r>
      <w:r w:rsidRPr="009772A3">
        <w:rPr>
          <w:rFonts w:asciiTheme="majorHAnsi" w:hAnsiTheme="majorHAnsi" w:cstheme="majorHAnsi"/>
          <w:sz w:val="24"/>
          <w:szCs w:val="24"/>
          <w:lang w:val="ro-MD"/>
        </w:rPr>
        <w:t xml:space="preserve"> acesta să asigure furnizarea unui profit, Consiliul de administrație nu întodeauna este </w:t>
      </w:r>
      <w:r w:rsidR="004E2DBB" w:rsidRPr="009772A3">
        <w:rPr>
          <w:rFonts w:asciiTheme="majorHAnsi" w:hAnsiTheme="majorHAnsi" w:cstheme="majorHAnsi"/>
          <w:sz w:val="24"/>
          <w:szCs w:val="24"/>
          <w:lang w:val="ro-MD"/>
        </w:rPr>
        <w:t>capabil</w:t>
      </w:r>
      <w:r w:rsidRPr="009772A3">
        <w:rPr>
          <w:rFonts w:asciiTheme="majorHAnsi" w:hAnsiTheme="majorHAnsi" w:cstheme="majorHAnsi"/>
          <w:sz w:val="24"/>
          <w:szCs w:val="24"/>
          <w:lang w:val="ro-MD"/>
        </w:rPr>
        <w:t xml:space="preserve"> să asigure implementarea conformă a acestuia. Astfel, chiar dacă pentru anii 2020</w:t>
      </w:r>
      <w:r w:rsidR="004E2DB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2021, Consiliul de observatori a </w:t>
      </w:r>
      <w:r w:rsidR="00271241" w:rsidRPr="009772A3">
        <w:rPr>
          <w:rFonts w:asciiTheme="majorHAnsi" w:hAnsiTheme="majorHAnsi" w:cstheme="majorHAnsi"/>
          <w:sz w:val="24"/>
          <w:szCs w:val="24"/>
          <w:lang w:val="ro-MD"/>
        </w:rPr>
        <w:t xml:space="preserve">estimat și </w:t>
      </w:r>
      <w:r w:rsidR="00416CFD" w:rsidRPr="009772A3">
        <w:rPr>
          <w:rFonts w:asciiTheme="majorHAnsi" w:hAnsiTheme="majorHAnsi" w:cstheme="majorHAnsi"/>
          <w:sz w:val="24"/>
          <w:szCs w:val="24"/>
          <w:lang w:val="ro-MD"/>
        </w:rPr>
        <w:t>a a</w:t>
      </w:r>
      <w:r w:rsidRPr="009772A3">
        <w:rPr>
          <w:rFonts w:asciiTheme="majorHAnsi" w:hAnsiTheme="majorHAnsi" w:cstheme="majorHAnsi"/>
          <w:sz w:val="24"/>
          <w:szCs w:val="24"/>
          <w:lang w:val="ro-MD"/>
        </w:rPr>
        <w:t>probat</w:t>
      </w:r>
      <w:r w:rsidR="00271241" w:rsidRPr="009772A3">
        <w:rPr>
          <w:rFonts w:asciiTheme="majorHAnsi" w:hAnsiTheme="majorHAnsi" w:cstheme="majorHAnsi"/>
          <w:sz w:val="24"/>
          <w:szCs w:val="24"/>
          <w:lang w:val="ro-MD"/>
        </w:rPr>
        <w:t xml:space="preserve"> </w:t>
      </w:r>
      <w:r w:rsidR="00416CFD" w:rsidRPr="009772A3">
        <w:rPr>
          <w:rFonts w:asciiTheme="majorHAnsi" w:hAnsiTheme="majorHAnsi" w:cstheme="majorHAnsi"/>
          <w:sz w:val="24"/>
          <w:szCs w:val="24"/>
          <w:lang w:val="ro-MD"/>
        </w:rPr>
        <w:t xml:space="preserve">obținerea </w:t>
      </w:r>
      <w:r w:rsidR="00271241" w:rsidRPr="009772A3">
        <w:rPr>
          <w:rFonts w:asciiTheme="majorHAnsi" w:hAnsiTheme="majorHAnsi" w:cstheme="majorHAnsi"/>
          <w:sz w:val="24"/>
          <w:szCs w:val="24"/>
          <w:lang w:val="ro-MD"/>
        </w:rPr>
        <w:t xml:space="preserve">unor </w:t>
      </w:r>
      <w:r w:rsidR="00DF60D9" w:rsidRPr="009772A3">
        <w:rPr>
          <w:rFonts w:asciiTheme="majorHAnsi" w:hAnsiTheme="majorHAnsi" w:cstheme="majorHAnsi"/>
          <w:sz w:val="24"/>
          <w:szCs w:val="24"/>
          <w:lang w:val="ro-MD"/>
        </w:rPr>
        <w:t xml:space="preserve">profituri </w:t>
      </w:r>
      <w:r w:rsidR="00271241" w:rsidRPr="009772A3">
        <w:rPr>
          <w:rFonts w:asciiTheme="majorHAnsi" w:hAnsiTheme="majorHAnsi" w:cstheme="majorHAnsi"/>
          <w:sz w:val="24"/>
          <w:szCs w:val="24"/>
          <w:lang w:val="ro-MD"/>
        </w:rPr>
        <w:t xml:space="preserve">nete de 317.800,0 mii lei și 196.500,0 mii lei, administrația SA Moldovagaz nu a </w:t>
      </w:r>
      <w:r w:rsidR="00507B33" w:rsidRPr="009772A3">
        <w:rPr>
          <w:rFonts w:asciiTheme="majorHAnsi" w:hAnsiTheme="majorHAnsi" w:cstheme="majorHAnsi"/>
          <w:sz w:val="24"/>
          <w:szCs w:val="24"/>
          <w:lang w:val="ro-MD"/>
        </w:rPr>
        <w:t>putut</w:t>
      </w:r>
      <w:r w:rsidR="00271241" w:rsidRPr="009772A3">
        <w:rPr>
          <w:rFonts w:asciiTheme="majorHAnsi" w:hAnsiTheme="majorHAnsi" w:cstheme="majorHAnsi"/>
          <w:sz w:val="24"/>
          <w:szCs w:val="24"/>
          <w:lang w:val="ro-MD"/>
        </w:rPr>
        <w:t xml:space="preserve"> să as</w:t>
      </w:r>
      <w:r w:rsidR="00FF3D4A" w:rsidRPr="009772A3">
        <w:rPr>
          <w:rFonts w:asciiTheme="majorHAnsi" w:hAnsiTheme="majorHAnsi" w:cstheme="majorHAnsi"/>
          <w:sz w:val="24"/>
          <w:szCs w:val="24"/>
          <w:lang w:val="ro-MD"/>
        </w:rPr>
        <w:t>i</w:t>
      </w:r>
      <w:r w:rsidR="00271241" w:rsidRPr="009772A3">
        <w:rPr>
          <w:rFonts w:asciiTheme="majorHAnsi" w:hAnsiTheme="majorHAnsi" w:cstheme="majorHAnsi"/>
          <w:sz w:val="24"/>
          <w:szCs w:val="24"/>
          <w:lang w:val="ro-MD"/>
        </w:rPr>
        <w:t>gure profitabilitatea prestabilită, fiind înregistrate p</w:t>
      </w:r>
      <w:r w:rsidR="00416CFD" w:rsidRPr="009772A3">
        <w:rPr>
          <w:rFonts w:asciiTheme="majorHAnsi" w:hAnsiTheme="majorHAnsi" w:cstheme="majorHAnsi"/>
          <w:sz w:val="24"/>
          <w:szCs w:val="24"/>
          <w:lang w:val="ro-MD"/>
        </w:rPr>
        <w:t xml:space="preserve">ierderi </w:t>
      </w:r>
      <w:r w:rsidR="00271241" w:rsidRPr="009772A3">
        <w:rPr>
          <w:rFonts w:asciiTheme="majorHAnsi" w:hAnsiTheme="majorHAnsi" w:cstheme="majorHAnsi"/>
          <w:sz w:val="24"/>
          <w:szCs w:val="24"/>
          <w:lang w:val="ro-MD"/>
        </w:rPr>
        <w:t xml:space="preserve">de </w:t>
      </w:r>
      <w:r w:rsidR="004E2DBB" w:rsidRPr="009772A3">
        <w:rPr>
          <w:rFonts w:asciiTheme="majorHAnsi" w:hAnsiTheme="majorHAnsi" w:cstheme="majorHAnsi"/>
          <w:sz w:val="24"/>
          <w:szCs w:val="24"/>
          <w:lang w:val="ro-MD"/>
        </w:rPr>
        <w:t>(</w:t>
      </w:r>
      <w:r w:rsidR="00271241" w:rsidRPr="009772A3">
        <w:rPr>
          <w:rFonts w:asciiTheme="majorHAnsi" w:hAnsiTheme="majorHAnsi" w:cstheme="majorHAnsi"/>
          <w:sz w:val="24"/>
          <w:szCs w:val="24"/>
          <w:lang w:val="ro-MD"/>
        </w:rPr>
        <w:t xml:space="preserve">-440.802,57 </w:t>
      </w:r>
      <w:r w:rsidR="00271241" w:rsidRPr="00CF3AD4">
        <w:rPr>
          <w:rFonts w:asciiTheme="majorHAnsi" w:hAnsiTheme="majorHAnsi" w:cstheme="majorHAnsi"/>
          <w:sz w:val="24"/>
          <w:szCs w:val="24"/>
          <w:lang w:val="ro-MD"/>
        </w:rPr>
        <w:t>mii</w:t>
      </w:r>
      <w:r w:rsidR="00271241" w:rsidRPr="009772A3">
        <w:rPr>
          <w:rFonts w:asciiTheme="majorHAnsi" w:hAnsiTheme="majorHAnsi" w:cstheme="majorHAnsi"/>
          <w:sz w:val="24"/>
          <w:szCs w:val="24"/>
          <w:lang w:val="ro-MD"/>
        </w:rPr>
        <w:t xml:space="preserve"> lei</w:t>
      </w:r>
      <w:r w:rsidR="004E2DBB" w:rsidRPr="009772A3">
        <w:rPr>
          <w:rFonts w:asciiTheme="majorHAnsi" w:hAnsiTheme="majorHAnsi" w:cstheme="majorHAnsi"/>
          <w:sz w:val="24"/>
          <w:szCs w:val="24"/>
          <w:lang w:val="ro-MD"/>
        </w:rPr>
        <w:t>)</w:t>
      </w:r>
      <w:r w:rsidR="00271241" w:rsidRPr="009772A3">
        <w:rPr>
          <w:rFonts w:asciiTheme="majorHAnsi" w:hAnsiTheme="majorHAnsi" w:cstheme="majorHAnsi"/>
          <w:sz w:val="24"/>
          <w:szCs w:val="24"/>
          <w:lang w:val="ro-MD"/>
        </w:rPr>
        <w:t xml:space="preserve"> și</w:t>
      </w:r>
      <w:r w:rsidR="004E2DBB" w:rsidRPr="009772A3">
        <w:rPr>
          <w:rFonts w:asciiTheme="majorHAnsi" w:hAnsiTheme="majorHAnsi" w:cstheme="majorHAnsi"/>
          <w:sz w:val="24"/>
          <w:szCs w:val="24"/>
          <w:lang w:val="ro-MD"/>
        </w:rPr>
        <w:t>,</w:t>
      </w:r>
      <w:r w:rsidR="00271241" w:rsidRPr="009772A3">
        <w:rPr>
          <w:rFonts w:asciiTheme="majorHAnsi" w:hAnsiTheme="majorHAnsi" w:cstheme="majorHAnsi"/>
          <w:sz w:val="24"/>
          <w:szCs w:val="24"/>
          <w:lang w:val="ro-MD"/>
        </w:rPr>
        <w:t xml:space="preserve"> respectiv</w:t>
      </w:r>
      <w:r w:rsidR="004E2DBB" w:rsidRPr="009772A3">
        <w:rPr>
          <w:rFonts w:asciiTheme="majorHAnsi" w:hAnsiTheme="majorHAnsi" w:cstheme="majorHAnsi"/>
          <w:sz w:val="24"/>
          <w:szCs w:val="24"/>
          <w:lang w:val="ro-MD"/>
        </w:rPr>
        <w:t>,</w:t>
      </w:r>
      <w:r w:rsidR="00271241" w:rsidRPr="009772A3">
        <w:rPr>
          <w:rFonts w:asciiTheme="majorHAnsi" w:hAnsiTheme="majorHAnsi" w:cstheme="majorHAnsi"/>
          <w:sz w:val="24"/>
          <w:szCs w:val="24"/>
          <w:lang w:val="ro-MD"/>
        </w:rPr>
        <w:t xml:space="preserve"> de </w:t>
      </w:r>
      <w:r w:rsidR="004E2DBB" w:rsidRPr="009772A3">
        <w:rPr>
          <w:rFonts w:asciiTheme="majorHAnsi" w:hAnsiTheme="majorHAnsi" w:cstheme="majorHAnsi"/>
          <w:sz w:val="24"/>
          <w:szCs w:val="24"/>
          <w:lang w:val="ro-MD"/>
        </w:rPr>
        <w:t>(</w:t>
      </w:r>
      <w:r w:rsidR="00271241" w:rsidRPr="009772A3">
        <w:rPr>
          <w:rFonts w:asciiTheme="majorHAnsi" w:hAnsiTheme="majorHAnsi" w:cstheme="majorHAnsi"/>
          <w:sz w:val="24"/>
          <w:szCs w:val="24"/>
          <w:lang w:val="ro-MD"/>
        </w:rPr>
        <w:t>-32.139,71</w:t>
      </w:r>
      <w:r w:rsidR="004E2DBB" w:rsidRPr="009772A3">
        <w:rPr>
          <w:rFonts w:asciiTheme="majorHAnsi" w:hAnsiTheme="majorHAnsi" w:cstheme="majorHAnsi"/>
          <w:sz w:val="24"/>
          <w:szCs w:val="24"/>
          <w:lang w:val="ro-MD"/>
        </w:rPr>
        <w:t xml:space="preserve"> mii</w:t>
      </w:r>
      <w:r w:rsidR="00271241" w:rsidRPr="009772A3">
        <w:rPr>
          <w:rFonts w:asciiTheme="majorHAnsi" w:hAnsiTheme="majorHAnsi" w:cstheme="majorHAnsi"/>
          <w:sz w:val="24"/>
          <w:szCs w:val="24"/>
          <w:lang w:val="ro-MD"/>
        </w:rPr>
        <w:t xml:space="preserve"> lei</w:t>
      </w:r>
      <w:r w:rsidR="004E2DBB" w:rsidRPr="009772A3">
        <w:rPr>
          <w:rFonts w:asciiTheme="majorHAnsi" w:hAnsiTheme="majorHAnsi" w:cstheme="majorHAnsi"/>
          <w:sz w:val="24"/>
          <w:szCs w:val="24"/>
          <w:lang w:val="ro-MD"/>
        </w:rPr>
        <w:t>)</w:t>
      </w:r>
      <w:r w:rsidR="00507B33" w:rsidRPr="009772A3">
        <w:rPr>
          <w:rFonts w:asciiTheme="majorHAnsi" w:hAnsiTheme="majorHAnsi" w:cstheme="majorHAnsi"/>
          <w:sz w:val="24"/>
          <w:szCs w:val="24"/>
          <w:lang w:val="ro-MD"/>
        </w:rPr>
        <w:t>;</w:t>
      </w:r>
    </w:p>
    <w:p w14:paraId="0731691C" w14:textId="177F29DA" w:rsidR="00E67DF0" w:rsidRPr="009772A3" w:rsidRDefault="00E67DF0" w:rsidP="00DE7D59">
      <w:pPr>
        <w:pStyle w:val="ListParagraph"/>
        <w:numPr>
          <w:ilvl w:val="0"/>
          <w:numId w:val="12"/>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bugetul aprobat la capitolul venituri nu indică care sunt veniturile din activitățile reglementate, aprobate de către ANRE, care ar trebui să asigure certitudinea existenței surselor de finanțare a investițiilor și cheltuielilor incluse în buget. Astfel</w:t>
      </w:r>
      <w:r w:rsidR="0021599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investițiile și cheltuielile neacceptate de către ANRE spre recuperare prin tarif nu sunt identificate alte surse de finanțare a acestora, ceea ce </w:t>
      </w:r>
      <w:r w:rsidR="00FA36E1" w:rsidRPr="009772A3">
        <w:rPr>
          <w:rFonts w:asciiTheme="majorHAnsi" w:hAnsiTheme="majorHAnsi" w:cstheme="majorHAnsi"/>
          <w:sz w:val="24"/>
          <w:szCs w:val="24"/>
          <w:lang w:val="ro-MD"/>
        </w:rPr>
        <w:t>de rând</w:t>
      </w:r>
      <w:r w:rsidRPr="009772A3">
        <w:rPr>
          <w:rFonts w:asciiTheme="majorHAnsi" w:hAnsiTheme="majorHAnsi" w:cstheme="majorHAnsi"/>
          <w:sz w:val="24"/>
          <w:szCs w:val="24"/>
          <w:lang w:val="ro-MD"/>
        </w:rPr>
        <w:t xml:space="preserve"> cu rentabilitatea limitată, face ca acestea să fie într-o </w:t>
      </w:r>
      <w:r w:rsidR="00416CFD" w:rsidRPr="009772A3">
        <w:rPr>
          <w:rFonts w:asciiTheme="majorHAnsi" w:hAnsiTheme="majorHAnsi" w:cstheme="majorHAnsi"/>
          <w:sz w:val="24"/>
          <w:szCs w:val="24"/>
          <w:lang w:val="ro-MD"/>
        </w:rPr>
        <w:t xml:space="preserve">mică </w:t>
      </w:r>
      <w:r w:rsidRPr="009772A3">
        <w:rPr>
          <w:rFonts w:asciiTheme="majorHAnsi" w:hAnsiTheme="majorHAnsi" w:cstheme="majorHAnsi"/>
          <w:sz w:val="24"/>
          <w:szCs w:val="24"/>
          <w:lang w:val="ro-MD"/>
        </w:rPr>
        <w:t xml:space="preserve">măsură acoperite din </w:t>
      </w:r>
      <w:r w:rsidR="00416CFD" w:rsidRPr="009772A3">
        <w:rPr>
          <w:rFonts w:asciiTheme="majorHAnsi" w:hAnsiTheme="majorHAnsi" w:cstheme="majorHAnsi"/>
          <w:sz w:val="24"/>
          <w:szCs w:val="24"/>
          <w:lang w:val="ro-MD"/>
        </w:rPr>
        <w:t xml:space="preserve">profiturile </w:t>
      </w:r>
      <w:r w:rsidRPr="009772A3">
        <w:rPr>
          <w:rFonts w:asciiTheme="majorHAnsi" w:hAnsiTheme="majorHAnsi" w:cstheme="majorHAnsi"/>
          <w:sz w:val="24"/>
          <w:szCs w:val="24"/>
          <w:lang w:val="ro-MD"/>
        </w:rPr>
        <w:t xml:space="preserve">activității reglementate. </w:t>
      </w:r>
      <w:r w:rsidR="00215997" w:rsidRPr="009772A3">
        <w:rPr>
          <w:rFonts w:asciiTheme="majorHAnsi" w:hAnsiTheme="majorHAnsi" w:cstheme="majorHAnsi"/>
          <w:sz w:val="24"/>
          <w:szCs w:val="24"/>
          <w:lang w:val="ro-MD"/>
        </w:rPr>
        <w:t>Aceste proceduri nu sunt prevăzute nici de reglementările interne cu privire la elaborarea și aprobarea bugetului. Totodată, î</w:t>
      </w:r>
      <w:r w:rsidRPr="009772A3">
        <w:rPr>
          <w:rFonts w:asciiTheme="majorHAnsi" w:hAnsiTheme="majorHAnsi" w:cstheme="majorHAnsi"/>
          <w:sz w:val="24"/>
          <w:szCs w:val="24"/>
          <w:lang w:val="ro-MD"/>
        </w:rPr>
        <w:t>n procesele</w:t>
      </w:r>
      <w:r w:rsidR="00FA36E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verbale ale sedințelor Consiliului de observatori lipsesc </w:t>
      </w:r>
      <w:r w:rsidR="00FA36E1" w:rsidRPr="009772A3">
        <w:rPr>
          <w:rFonts w:asciiTheme="majorHAnsi" w:hAnsiTheme="majorHAnsi" w:cstheme="majorHAnsi"/>
          <w:sz w:val="24"/>
          <w:szCs w:val="24"/>
          <w:lang w:val="ro-MD"/>
        </w:rPr>
        <w:t xml:space="preserve">consemnările </w:t>
      </w:r>
      <w:r w:rsidR="00215997" w:rsidRPr="009772A3">
        <w:rPr>
          <w:rFonts w:asciiTheme="majorHAnsi" w:hAnsiTheme="majorHAnsi" w:cstheme="majorHAnsi"/>
          <w:sz w:val="24"/>
          <w:szCs w:val="24"/>
          <w:lang w:val="ro-MD"/>
        </w:rPr>
        <w:t>privind abordarea problemelor și lacunelor</w:t>
      </w:r>
      <w:r w:rsidRPr="009772A3">
        <w:rPr>
          <w:rFonts w:asciiTheme="majorHAnsi" w:hAnsiTheme="majorHAnsi" w:cstheme="majorHAnsi"/>
          <w:sz w:val="24"/>
          <w:szCs w:val="24"/>
          <w:lang w:val="ro-MD"/>
        </w:rPr>
        <w:t xml:space="preserve"> respective</w:t>
      </w:r>
      <w:r w:rsidR="00FA36E1" w:rsidRPr="009772A3">
        <w:rPr>
          <w:rFonts w:asciiTheme="majorHAnsi" w:hAnsiTheme="majorHAnsi" w:cstheme="majorHAnsi"/>
          <w:sz w:val="24"/>
          <w:szCs w:val="24"/>
          <w:lang w:val="ro-MD"/>
        </w:rPr>
        <w:t>;</w:t>
      </w:r>
      <w:r w:rsidR="00215997" w:rsidRPr="009772A3">
        <w:rPr>
          <w:rFonts w:asciiTheme="majorHAnsi" w:hAnsiTheme="majorHAnsi" w:cstheme="majorHAnsi"/>
          <w:sz w:val="24"/>
          <w:szCs w:val="24"/>
          <w:lang w:val="ro-MD"/>
        </w:rPr>
        <w:t xml:space="preserve"> </w:t>
      </w:r>
    </w:p>
    <w:p w14:paraId="53003A87" w14:textId="03668CB3" w:rsidR="00507B33" w:rsidRPr="009772A3" w:rsidRDefault="002D215E" w:rsidP="00DE7D59">
      <w:pPr>
        <w:pStyle w:val="ListParagraph"/>
        <w:numPr>
          <w:ilvl w:val="0"/>
          <w:numId w:val="12"/>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anii 2017</w:t>
      </w:r>
      <w:r w:rsidR="00FA36E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aprobarea bugetului de venituri și cheltuieli s-a efectuat cu votul tuturor membrilor Consiliului de observatori</w:t>
      </w:r>
      <w:r w:rsidR="00E67DF0" w:rsidRPr="009772A3">
        <w:rPr>
          <w:rFonts w:asciiTheme="majorHAnsi" w:hAnsiTheme="majorHAnsi" w:cstheme="majorHAnsi"/>
          <w:sz w:val="24"/>
          <w:szCs w:val="24"/>
          <w:lang w:val="ro-MD"/>
        </w:rPr>
        <w:t>,</w:t>
      </w:r>
      <w:r w:rsidR="00EB45BA" w:rsidRPr="009772A3">
        <w:rPr>
          <w:rFonts w:asciiTheme="majorHAnsi" w:hAnsiTheme="majorHAnsi" w:cstheme="majorHAnsi"/>
          <w:sz w:val="24"/>
          <w:szCs w:val="24"/>
          <w:lang w:val="ro-MD"/>
        </w:rPr>
        <w:t xml:space="preserve"> în procesele</w:t>
      </w:r>
      <w:r w:rsidR="00FA36E1" w:rsidRPr="009772A3">
        <w:rPr>
          <w:rFonts w:asciiTheme="majorHAnsi" w:hAnsiTheme="majorHAnsi" w:cstheme="majorHAnsi"/>
          <w:sz w:val="24"/>
          <w:szCs w:val="24"/>
          <w:lang w:val="ro-MD"/>
        </w:rPr>
        <w:t>-</w:t>
      </w:r>
      <w:r w:rsidR="00EB45BA" w:rsidRPr="009772A3">
        <w:rPr>
          <w:rFonts w:asciiTheme="majorHAnsi" w:hAnsiTheme="majorHAnsi" w:cstheme="majorHAnsi"/>
          <w:sz w:val="24"/>
          <w:szCs w:val="24"/>
          <w:lang w:val="ro-MD"/>
        </w:rPr>
        <w:t>verbale ale ședințelor</w:t>
      </w:r>
      <w:r w:rsidR="00E67DF0" w:rsidRPr="009772A3">
        <w:rPr>
          <w:rFonts w:asciiTheme="majorHAnsi" w:hAnsiTheme="majorHAnsi" w:cstheme="majorHAnsi"/>
          <w:sz w:val="24"/>
          <w:szCs w:val="24"/>
          <w:lang w:val="ro-MD"/>
        </w:rPr>
        <w:t xml:space="preserve"> </w:t>
      </w:r>
      <w:r w:rsidR="00FA36E1" w:rsidRPr="009772A3">
        <w:rPr>
          <w:rFonts w:asciiTheme="majorHAnsi" w:hAnsiTheme="majorHAnsi" w:cstheme="majorHAnsi"/>
          <w:sz w:val="24"/>
          <w:szCs w:val="24"/>
          <w:lang w:val="ro-MD"/>
        </w:rPr>
        <w:t>lipsind</w:t>
      </w:r>
      <w:r w:rsidR="00E67DF0" w:rsidRPr="009772A3">
        <w:rPr>
          <w:rFonts w:asciiTheme="majorHAnsi" w:hAnsiTheme="majorHAnsi" w:cstheme="majorHAnsi"/>
          <w:sz w:val="24"/>
          <w:szCs w:val="24"/>
          <w:lang w:val="ro-MD"/>
        </w:rPr>
        <w:t xml:space="preserve"> </w:t>
      </w:r>
      <w:r w:rsidR="00FA36E1" w:rsidRPr="009772A3">
        <w:rPr>
          <w:rFonts w:asciiTheme="majorHAnsi" w:hAnsiTheme="majorHAnsi" w:cstheme="majorHAnsi"/>
          <w:sz w:val="24"/>
          <w:szCs w:val="24"/>
          <w:lang w:val="ro-MD"/>
        </w:rPr>
        <w:t xml:space="preserve">mențiunile </w:t>
      </w:r>
      <w:r w:rsidR="00E67DF0" w:rsidRPr="009772A3">
        <w:rPr>
          <w:rFonts w:asciiTheme="majorHAnsi" w:hAnsiTheme="majorHAnsi" w:cstheme="majorHAnsi"/>
          <w:sz w:val="24"/>
          <w:szCs w:val="24"/>
          <w:lang w:val="ro-MD"/>
        </w:rPr>
        <w:t>privind opinii</w:t>
      </w:r>
      <w:r w:rsidR="00EB45BA" w:rsidRPr="009772A3">
        <w:rPr>
          <w:rFonts w:asciiTheme="majorHAnsi" w:hAnsiTheme="majorHAnsi" w:cstheme="majorHAnsi"/>
          <w:sz w:val="24"/>
          <w:szCs w:val="24"/>
          <w:lang w:val="ro-MD"/>
        </w:rPr>
        <w:t>le</w:t>
      </w:r>
      <w:r w:rsidR="00E67DF0" w:rsidRPr="009772A3">
        <w:rPr>
          <w:rFonts w:asciiTheme="majorHAnsi" w:hAnsiTheme="majorHAnsi" w:cstheme="majorHAnsi"/>
          <w:sz w:val="24"/>
          <w:szCs w:val="24"/>
          <w:lang w:val="ro-MD"/>
        </w:rPr>
        <w:t xml:space="preserve"> separate ale unor membri</w:t>
      </w:r>
      <w:r w:rsidR="00EB45BA" w:rsidRPr="009772A3">
        <w:rPr>
          <w:rFonts w:asciiTheme="majorHAnsi" w:hAnsiTheme="majorHAnsi" w:cstheme="majorHAnsi"/>
          <w:sz w:val="24"/>
          <w:szCs w:val="24"/>
          <w:lang w:val="ro-MD"/>
        </w:rPr>
        <w:t>;</w:t>
      </w:r>
    </w:p>
    <w:p w14:paraId="01ADAD26" w14:textId="2250F3C6" w:rsidR="00EB45BA" w:rsidRPr="009772A3" w:rsidRDefault="00EB45BA" w:rsidP="00DE7D59">
      <w:pPr>
        <w:pStyle w:val="ListParagraph"/>
        <w:numPr>
          <w:ilvl w:val="0"/>
          <w:numId w:val="12"/>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structura bugetului aprobat nu este suficient detaliată</w:t>
      </w:r>
      <w:r w:rsidR="00FA36E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pentru a putea urmări utilizarea </w:t>
      </w:r>
      <w:r w:rsidR="00FA36E1" w:rsidRPr="009772A3">
        <w:rPr>
          <w:rFonts w:asciiTheme="majorHAnsi" w:hAnsiTheme="majorHAnsi" w:cstheme="majorHAnsi"/>
          <w:sz w:val="24"/>
          <w:szCs w:val="24"/>
          <w:lang w:val="ro-MD"/>
        </w:rPr>
        <w:t xml:space="preserve">conform </w:t>
      </w:r>
      <w:r w:rsidRPr="009772A3">
        <w:rPr>
          <w:rFonts w:asciiTheme="majorHAnsi" w:hAnsiTheme="majorHAnsi" w:cstheme="majorHAnsi"/>
          <w:sz w:val="24"/>
          <w:szCs w:val="24"/>
          <w:lang w:val="ro-MD"/>
        </w:rPr>
        <w:t>destinație</w:t>
      </w:r>
      <w:r w:rsidR="00FA36E1"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a resurselor alocate investițiilor și cheltuielilor</w:t>
      </w:r>
      <w:r w:rsidR="0004485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044859" w:rsidRPr="009772A3">
        <w:rPr>
          <w:rFonts w:asciiTheme="majorHAnsi" w:hAnsiTheme="majorHAnsi" w:cstheme="majorHAnsi"/>
          <w:sz w:val="24"/>
          <w:szCs w:val="24"/>
          <w:lang w:val="ro-MD"/>
        </w:rPr>
        <w:t>Ca urmare, la executarea bugetului</w:t>
      </w:r>
      <w:r w:rsidR="00FA36E1" w:rsidRPr="009772A3">
        <w:rPr>
          <w:rFonts w:asciiTheme="majorHAnsi" w:hAnsiTheme="majorHAnsi" w:cstheme="majorHAnsi"/>
          <w:sz w:val="24"/>
          <w:szCs w:val="24"/>
          <w:lang w:val="ro-MD"/>
        </w:rPr>
        <w:t>,</w:t>
      </w:r>
      <w:r w:rsidR="00044859" w:rsidRPr="009772A3">
        <w:rPr>
          <w:rFonts w:asciiTheme="majorHAnsi" w:hAnsiTheme="majorHAnsi" w:cstheme="majorHAnsi"/>
          <w:sz w:val="24"/>
          <w:szCs w:val="24"/>
          <w:lang w:val="ro-MD"/>
        </w:rPr>
        <w:t xml:space="preserve"> prioritățile de finanțare a unor investiții, cheltuieli și datorii se decid la nivel operational, </w:t>
      </w:r>
      <w:r w:rsidRPr="009772A3">
        <w:rPr>
          <w:rFonts w:asciiTheme="majorHAnsi" w:hAnsiTheme="majorHAnsi" w:cstheme="majorHAnsi"/>
          <w:sz w:val="24"/>
          <w:szCs w:val="24"/>
          <w:lang w:val="ro-MD"/>
        </w:rPr>
        <w:t xml:space="preserve">fapt ce permite efectuarea unor investiții și cheltuieli nefundamentate economic și neaprobate de către ANRE spre recuperare prin </w:t>
      </w:r>
      <w:r w:rsidR="00416CFD" w:rsidRPr="009772A3">
        <w:rPr>
          <w:rFonts w:asciiTheme="majorHAnsi" w:hAnsiTheme="majorHAnsi" w:cstheme="majorHAnsi"/>
          <w:sz w:val="24"/>
          <w:szCs w:val="24"/>
          <w:lang w:val="ro-MD"/>
        </w:rPr>
        <w:t xml:space="preserve">tarifele </w:t>
      </w:r>
      <w:r w:rsidRPr="009772A3">
        <w:rPr>
          <w:rFonts w:asciiTheme="majorHAnsi" w:hAnsiTheme="majorHAnsi" w:cstheme="majorHAnsi"/>
          <w:sz w:val="24"/>
          <w:szCs w:val="24"/>
          <w:lang w:val="ro-MD"/>
        </w:rPr>
        <w:t>de furnizare, distribuție sau transport;</w:t>
      </w:r>
    </w:p>
    <w:p w14:paraId="68DDC985" w14:textId="1C0DB75D" w:rsidR="007E0C89" w:rsidRPr="009772A3" w:rsidRDefault="007E0C89" w:rsidP="00DE7D59">
      <w:pPr>
        <w:pStyle w:val="ListParagraph"/>
        <w:numPr>
          <w:ilvl w:val="0"/>
          <w:numId w:val="12"/>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la aprobarea bugetului nu se tine cont de existența unor riscuri valutare considerabile aferente datoriilor pentru gazele naturale procurate.</w:t>
      </w:r>
    </w:p>
    <w:p w14:paraId="2AB022E8" w14:textId="26D71EA4" w:rsidR="000E545E" w:rsidRPr="009772A3" w:rsidRDefault="00215997" w:rsidP="00780B1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Având în vedere cele relatate, se conchide că actualul sistem de elaborare și aprobare a bu</w:t>
      </w:r>
      <w:r w:rsidR="00416CFD"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 xml:space="preserve">etului permite </w:t>
      </w:r>
      <w:r w:rsidR="001F1405" w:rsidRPr="009772A3">
        <w:rPr>
          <w:rFonts w:asciiTheme="majorHAnsi" w:hAnsiTheme="majorHAnsi" w:cstheme="majorHAnsi"/>
          <w:sz w:val="24"/>
          <w:szCs w:val="24"/>
          <w:lang w:val="ro-MD"/>
        </w:rPr>
        <w:t>efectuarea</w:t>
      </w:r>
      <w:r w:rsidRPr="009772A3">
        <w:rPr>
          <w:rFonts w:asciiTheme="majorHAnsi" w:hAnsiTheme="majorHAnsi" w:cstheme="majorHAnsi"/>
          <w:sz w:val="24"/>
          <w:szCs w:val="24"/>
          <w:lang w:val="ro-MD"/>
        </w:rPr>
        <w:t xml:space="preserve"> unor investiții și</w:t>
      </w:r>
      <w:r w:rsidR="001F1405" w:rsidRPr="009772A3">
        <w:rPr>
          <w:rFonts w:asciiTheme="majorHAnsi" w:hAnsiTheme="majorHAnsi" w:cstheme="majorHAnsi"/>
          <w:sz w:val="24"/>
          <w:szCs w:val="24"/>
          <w:lang w:val="ro-MD"/>
        </w:rPr>
        <w:t xml:space="preserve"> suportarea unor</w:t>
      </w:r>
      <w:r w:rsidRPr="009772A3">
        <w:rPr>
          <w:rFonts w:asciiTheme="majorHAnsi" w:hAnsiTheme="majorHAnsi" w:cstheme="majorHAnsi"/>
          <w:sz w:val="24"/>
          <w:szCs w:val="24"/>
          <w:lang w:val="ro-MD"/>
        </w:rPr>
        <w:t xml:space="preserve"> cheltuieli care nu vor fi recuperate prin tarif, dat fiind nejustificarea pe deplin a eficienței, oport</w:t>
      </w:r>
      <w:r w:rsidR="001F1405" w:rsidRPr="009772A3">
        <w:rPr>
          <w:rFonts w:asciiTheme="majorHAnsi" w:hAnsiTheme="majorHAnsi" w:cstheme="majorHAnsi"/>
          <w:sz w:val="24"/>
          <w:szCs w:val="24"/>
          <w:lang w:val="ro-MD"/>
        </w:rPr>
        <w:t>unității și obligativității lor, aspect ce condiționează</w:t>
      </w:r>
      <w:r w:rsidR="00537609" w:rsidRPr="009772A3">
        <w:rPr>
          <w:rFonts w:asciiTheme="majorHAnsi" w:hAnsiTheme="majorHAnsi" w:cstheme="majorHAnsi"/>
          <w:sz w:val="24"/>
          <w:szCs w:val="24"/>
          <w:lang w:val="ro-MD"/>
        </w:rPr>
        <w:t xml:space="preserve"> </w:t>
      </w:r>
      <w:r w:rsidR="00C673D9" w:rsidRPr="009772A3">
        <w:rPr>
          <w:rFonts w:asciiTheme="majorHAnsi" w:hAnsiTheme="majorHAnsi" w:cstheme="majorHAnsi"/>
          <w:sz w:val="24"/>
          <w:szCs w:val="24"/>
          <w:lang w:val="ro-MD"/>
        </w:rPr>
        <w:t xml:space="preserve">un </w:t>
      </w:r>
      <w:r w:rsidR="00537609" w:rsidRPr="009772A3">
        <w:rPr>
          <w:rFonts w:asciiTheme="majorHAnsi" w:hAnsiTheme="majorHAnsi" w:cstheme="majorHAnsi"/>
          <w:sz w:val="24"/>
          <w:szCs w:val="24"/>
          <w:lang w:val="ro-MD"/>
        </w:rPr>
        <w:t>deficit de lichidități și</w:t>
      </w:r>
      <w:r w:rsidR="001F1405" w:rsidRPr="009772A3">
        <w:rPr>
          <w:rFonts w:asciiTheme="majorHAnsi" w:hAnsiTheme="majorHAnsi" w:cstheme="majorHAnsi"/>
          <w:sz w:val="24"/>
          <w:szCs w:val="24"/>
          <w:lang w:val="ro-MD"/>
        </w:rPr>
        <w:t xml:space="preserve"> lipsa </w:t>
      </w:r>
      <w:r w:rsidR="00FA36E1" w:rsidRPr="009772A3">
        <w:rPr>
          <w:rFonts w:asciiTheme="majorHAnsi" w:hAnsiTheme="majorHAnsi" w:cstheme="majorHAnsi"/>
          <w:sz w:val="24"/>
          <w:szCs w:val="24"/>
          <w:lang w:val="ro-MD"/>
        </w:rPr>
        <w:t>re</w:t>
      </w:r>
      <w:r w:rsidR="001F1405" w:rsidRPr="009772A3">
        <w:rPr>
          <w:rFonts w:asciiTheme="majorHAnsi" w:hAnsiTheme="majorHAnsi" w:cstheme="majorHAnsi"/>
          <w:sz w:val="24"/>
          <w:szCs w:val="24"/>
          <w:lang w:val="ro-MD"/>
        </w:rPr>
        <w:t xml:space="preserve">surselor de achitare a datoriilor. </w:t>
      </w:r>
    </w:p>
    <w:p w14:paraId="243C359A" w14:textId="12F7092B" w:rsidR="00472979" w:rsidRPr="009772A3" w:rsidRDefault="00472979" w:rsidP="00DE7D59">
      <w:pPr>
        <w:pStyle w:val="Heading1"/>
        <w:numPr>
          <w:ilvl w:val="2"/>
          <w:numId w:val="2"/>
        </w:numPr>
        <w:spacing w:line="276" w:lineRule="auto"/>
        <w:ind w:left="0" w:firstLine="0"/>
        <w:jc w:val="both"/>
        <w:rPr>
          <w:color w:val="auto"/>
          <w:lang w:val="ro-MD"/>
        </w:rPr>
      </w:pPr>
      <w:bookmarkStart w:id="232" w:name="_Toc119496459"/>
      <w:r w:rsidRPr="009772A3">
        <w:rPr>
          <w:color w:val="auto"/>
          <w:lang w:val="ro-MD"/>
        </w:rPr>
        <w:t xml:space="preserve">Formarea datoriilor SA Moldovagaz, în sumă totală de </w:t>
      </w:r>
      <w:r w:rsidR="00847B24" w:rsidRPr="009772A3">
        <w:rPr>
          <w:color w:val="auto"/>
          <w:lang w:val="ro-MD"/>
        </w:rPr>
        <w:t>590.835,1 mii dolari SUA</w:t>
      </w:r>
      <w:r w:rsidRPr="009772A3">
        <w:rPr>
          <w:color w:val="auto"/>
          <w:lang w:val="ro-MD"/>
        </w:rPr>
        <w:t>, a fost determinată de investiții și cheltuieli nejustificate pe deplin, precum și de devieri tarifare și pierderi semnificative.</w:t>
      </w:r>
      <w:bookmarkEnd w:id="232"/>
      <w:r w:rsidRPr="009772A3">
        <w:rPr>
          <w:color w:val="auto"/>
          <w:lang w:val="ro-MD"/>
        </w:rPr>
        <w:t xml:space="preserve">  </w:t>
      </w:r>
    </w:p>
    <w:p w14:paraId="585ED2E1" w14:textId="6AD69B60" w:rsidR="00E93D59" w:rsidRPr="009772A3" w:rsidRDefault="00132F62" w:rsidP="005A0D2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Conform datelor </w:t>
      </w:r>
      <w:r w:rsidR="00FA36E1" w:rsidRPr="009772A3">
        <w:rPr>
          <w:rFonts w:asciiTheme="majorHAnsi" w:hAnsiTheme="majorHAnsi" w:cstheme="majorHAnsi"/>
          <w:sz w:val="24"/>
          <w:szCs w:val="24"/>
          <w:lang w:val="ro-MD"/>
        </w:rPr>
        <w:t xml:space="preserve">din </w:t>
      </w:r>
      <w:r w:rsidRPr="009772A3">
        <w:rPr>
          <w:rFonts w:asciiTheme="majorHAnsi" w:hAnsiTheme="majorHAnsi" w:cstheme="majorHAnsi"/>
          <w:sz w:val="24"/>
          <w:szCs w:val="24"/>
          <w:lang w:val="ro-MD"/>
        </w:rPr>
        <w:t>evidenț</w:t>
      </w:r>
      <w:r w:rsidR="00FA36E1"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contabil</w:t>
      </w:r>
      <w:r w:rsidR="00FA36E1"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a SA Moldovagaz</w:t>
      </w:r>
      <w:r w:rsidR="00FA36E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din datoriile înregistrate la 31.12.2021 pentru procurarea </w:t>
      </w:r>
      <w:r w:rsidRPr="00F5500A">
        <w:rPr>
          <w:rFonts w:asciiTheme="majorHAnsi" w:hAnsiTheme="majorHAnsi" w:cstheme="majorHAnsi"/>
          <w:sz w:val="24"/>
          <w:szCs w:val="24"/>
          <w:lang w:val="ro-MD"/>
        </w:rPr>
        <w:t xml:space="preserve">gazelor naturale </w:t>
      </w:r>
      <w:r w:rsidR="003C2ED0" w:rsidRPr="00F5500A">
        <w:rPr>
          <w:rFonts w:asciiTheme="majorHAnsi" w:hAnsiTheme="majorHAnsi" w:cstheme="majorHAnsi"/>
          <w:sz w:val="24"/>
          <w:szCs w:val="24"/>
          <w:lang w:val="ro-MD"/>
        </w:rPr>
        <w:t xml:space="preserve">și pentru rezervarea capacităților suplimentare de transport al gazelor naturale </w:t>
      </w:r>
      <w:r w:rsidRPr="00F5500A">
        <w:rPr>
          <w:rFonts w:asciiTheme="majorHAnsi" w:hAnsiTheme="majorHAnsi" w:cstheme="majorHAnsi"/>
          <w:sz w:val="24"/>
          <w:szCs w:val="24"/>
          <w:lang w:val="ro-MD"/>
        </w:rPr>
        <w:t xml:space="preserve">în sumă de 590.835,1 mii dolari SUA, </w:t>
      </w:r>
      <w:r w:rsidR="00DC79F8" w:rsidRPr="00F5500A">
        <w:rPr>
          <w:rFonts w:asciiTheme="majorHAnsi" w:hAnsiTheme="majorHAnsi" w:cstheme="majorHAnsi"/>
          <w:sz w:val="24"/>
          <w:szCs w:val="24"/>
          <w:lang w:val="ro-MD"/>
        </w:rPr>
        <w:t xml:space="preserve">doar </w:t>
      </w:r>
      <w:r w:rsidR="00BB1F64" w:rsidRPr="00F5500A">
        <w:rPr>
          <w:rFonts w:asciiTheme="majorHAnsi" w:hAnsiTheme="majorHAnsi" w:cstheme="majorHAnsi"/>
          <w:sz w:val="24"/>
          <w:szCs w:val="24"/>
          <w:lang w:val="ro-MD"/>
        </w:rPr>
        <w:t>datoriile</w:t>
      </w:r>
      <w:r w:rsidR="00BB1F64" w:rsidRPr="009772A3">
        <w:rPr>
          <w:rFonts w:asciiTheme="majorHAnsi" w:hAnsiTheme="majorHAnsi" w:cstheme="majorHAnsi"/>
          <w:sz w:val="24"/>
          <w:szCs w:val="24"/>
          <w:lang w:val="ro-MD"/>
        </w:rPr>
        <w:t xml:space="preserve"> în sumă de 14.606,2 mii dolari SUA s-au format pentru livrările de gaze efectuate în I jum</w:t>
      </w:r>
      <w:r w:rsidR="001C50BB" w:rsidRPr="009772A3">
        <w:rPr>
          <w:rFonts w:asciiTheme="majorHAnsi" w:hAnsiTheme="majorHAnsi" w:cstheme="majorHAnsi"/>
          <w:sz w:val="24"/>
          <w:szCs w:val="24"/>
          <w:lang w:val="ro-MD"/>
        </w:rPr>
        <w:t>ătate</w:t>
      </w:r>
      <w:r w:rsidR="00BB1F64" w:rsidRPr="009772A3">
        <w:rPr>
          <w:rFonts w:asciiTheme="majorHAnsi" w:hAnsiTheme="majorHAnsi" w:cstheme="majorHAnsi"/>
          <w:sz w:val="24"/>
          <w:szCs w:val="24"/>
          <w:lang w:val="ro-MD"/>
        </w:rPr>
        <w:t xml:space="preserve"> a anului 1999</w:t>
      </w:r>
      <w:r w:rsidR="001C50BB" w:rsidRPr="009772A3">
        <w:rPr>
          <w:rFonts w:asciiTheme="majorHAnsi" w:hAnsiTheme="majorHAnsi" w:cstheme="majorHAnsi"/>
          <w:sz w:val="24"/>
          <w:szCs w:val="24"/>
          <w:lang w:val="ro-MD"/>
        </w:rPr>
        <w:t>, adică</w:t>
      </w:r>
      <w:r w:rsidR="00BB1F64" w:rsidRPr="009772A3">
        <w:rPr>
          <w:rFonts w:asciiTheme="majorHAnsi" w:hAnsiTheme="majorHAnsi" w:cstheme="majorHAnsi"/>
          <w:sz w:val="24"/>
          <w:szCs w:val="24"/>
          <w:lang w:val="ro-MD"/>
        </w:rPr>
        <w:t xml:space="preserve"> p</w:t>
      </w:r>
      <w:r w:rsidR="001C50BB" w:rsidRPr="009772A3">
        <w:rPr>
          <w:rFonts w:asciiTheme="majorHAnsi" w:hAnsiTheme="majorHAnsi" w:cstheme="majorHAnsi"/>
          <w:sz w:val="24"/>
          <w:szCs w:val="24"/>
          <w:lang w:val="ro-MD"/>
        </w:rPr>
        <w:t>â</w:t>
      </w:r>
      <w:r w:rsidR="00BB1F64" w:rsidRPr="009772A3">
        <w:rPr>
          <w:rFonts w:asciiTheme="majorHAnsi" w:hAnsiTheme="majorHAnsi" w:cstheme="majorHAnsi"/>
          <w:sz w:val="24"/>
          <w:szCs w:val="24"/>
          <w:lang w:val="ro-MD"/>
        </w:rPr>
        <w:t xml:space="preserve">nă la formarea SA Moldovagaz, </w:t>
      </w:r>
      <w:r w:rsidR="00DC79F8" w:rsidRPr="009772A3">
        <w:rPr>
          <w:rFonts w:asciiTheme="majorHAnsi" w:hAnsiTheme="majorHAnsi" w:cstheme="majorHAnsi"/>
          <w:sz w:val="24"/>
          <w:szCs w:val="24"/>
          <w:lang w:val="ro-MD"/>
        </w:rPr>
        <w:t>restul datoriilor s-au format în perioada de activitate a SA Moldovagaz, din care 144</w:t>
      </w:r>
      <w:r w:rsidR="00E93D59" w:rsidRPr="009772A3">
        <w:rPr>
          <w:rFonts w:asciiTheme="majorHAnsi" w:hAnsiTheme="majorHAnsi" w:cstheme="majorHAnsi"/>
          <w:sz w:val="24"/>
          <w:szCs w:val="24"/>
          <w:lang w:val="ro-MD"/>
        </w:rPr>
        <w:t>.</w:t>
      </w:r>
      <w:r w:rsidR="00DC79F8" w:rsidRPr="009772A3">
        <w:rPr>
          <w:rFonts w:asciiTheme="majorHAnsi" w:hAnsiTheme="majorHAnsi" w:cstheme="majorHAnsi"/>
          <w:sz w:val="24"/>
          <w:szCs w:val="24"/>
          <w:lang w:val="ro-MD"/>
        </w:rPr>
        <w:t xml:space="preserve">791,9 mii dolari SUA </w:t>
      </w:r>
      <w:r w:rsidR="001C50BB" w:rsidRPr="009772A3">
        <w:rPr>
          <w:rFonts w:asciiTheme="majorHAnsi" w:hAnsiTheme="majorHAnsi" w:cstheme="majorHAnsi"/>
          <w:sz w:val="24"/>
          <w:szCs w:val="24"/>
          <w:lang w:val="ro-MD"/>
        </w:rPr>
        <w:t xml:space="preserve">– </w:t>
      </w:r>
      <w:r w:rsidR="00E93D59" w:rsidRPr="009772A3">
        <w:rPr>
          <w:rFonts w:asciiTheme="majorHAnsi" w:hAnsiTheme="majorHAnsi" w:cstheme="majorHAnsi"/>
          <w:sz w:val="24"/>
          <w:szCs w:val="24"/>
          <w:lang w:val="ro-MD"/>
        </w:rPr>
        <w:t>pentru livrările di</w:t>
      </w:r>
      <w:r w:rsidR="00DC79F8" w:rsidRPr="009772A3">
        <w:rPr>
          <w:rFonts w:asciiTheme="majorHAnsi" w:hAnsiTheme="majorHAnsi" w:cstheme="majorHAnsi"/>
          <w:sz w:val="24"/>
          <w:szCs w:val="24"/>
          <w:lang w:val="ro-MD"/>
        </w:rPr>
        <w:t>n perioada 01.07.1999</w:t>
      </w:r>
      <w:r w:rsidR="001C50BB" w:rsidRPr="009772A3">
        <w:rPr>
          <w:rFonts w:asciiTheme="majorHAnsi" w:hAnsiTheme="majorHAnsi" w:cstheme="majorHAnsi"/>
          <w:sz w:val="24"/>
          <w:szCs w:val="24"/>
          <w:lang w:val="ro-MD"/>
        </w:rPr>
        <w:t>-</w:t>
      </w:r>
      <w:r w:rsidR="00DC79F8" w:rsidRPr="009772A3">
        <w:rPr>
          <w:rFonts w:asciiTheme="majorHAnsi" w:hAnsiTheme="majorHAnsi" w:cstheme="majorHAnsi"/>
          <w:sz w:val="24"/>
          <w:szCs w:val="24"/>
          <w:lang w:val="ro-MD"/>
        </w:rPr>
        <w:t>31.12.2007, 394</w:t>
      </w:r>
      <w:r w:rsidR="00E93D59" w:rsidRPr="009772A3">
        <w:rPr>
          <w:rFonts w:asciiTheme="majorHAnsi" w:hAnsiTheme="majorHAnsi" w:cstheme="majorHAnsi"/>
          <w:sz w:val="24"/>
          <w:szCs w:val="24"/>
          <w:lang w:val="ro-MD"/>
        </w:rPr>
        <w:t>.</w:t>
      </w:r>
      <w:r w:rsidR="00DC79F8" w:rsidRPr="009772A3">
        <w:rPr>
          <w:rFonts w:asciiTheme="majorHAnsi" w:hAnsiTheme="majorHAnsi" w:cstheme="majorHAnsi"/>
          <w:sz w:val="24"/>
          <w:szCs w:val="24"/>
          <w:lang w:val="ro-MD"/>
        </w:rPr>
        <w:t xml:space="preserve">088,8 mii dolari SUA </w:t>
      </w:r>
      <w:r w:rsidR="001C50BB" w:rsidRPr="009772A3">
        <w:rPr>
          <w:rFonts w:asciiTheme="majorHAnsi" w:hAnsiTheme="majorHAnsi" w:cstheme="majorHAnsi"/>
          <w:sz w:val="24"/>
          <w:szCs w:val="24"/>
          <w:lang w:val="ro-MD"/>
        </w:rPr>
        <w:t>–</w:t>
      </w:r>
      <w:r w:rsidR="00DC79F8" w:rsidRPr="009772A3">
        <w:rPr>
          <w:rFonts w:asciiTheme="majorHAnsi" w:hAnsiTheme="majorHAnsi" w:cstheme="majorHAnsi"/>
          <w:sz w:val="24"/>
          <w:szCs w:val="24"/>
          <w:lang w:val="ro-MD"/>
        </w:rPr>
        <w:t xml:space="preserve"> în anii 2011-2015, iar 3</w:t>
      </w:r>
      <w:r w:rsidR="00E93D59" w:rsidRPr="009772A3">
        <w:rPr>
          <w:rFonts w:asciiTheme="majorHAnsi" w:hAnsiTheme="majorHAnsi" w:cstheme="majorHAnsi"/>
          <w:sz w:val="24"/>
          <w:szCs w:val="24"/>
          <w:lang w:val="ro-MD"/>
        </w:rPr>
        <w:t>7.</w:t>
      </w:r>
      <w:r w:rsidR="00DC79F8" w:rsidRPr="009772A3">
        <w:rPr>
          <w:rFonts w:asciiTheme="majorHAnsi" w:hAnsiTheme="majorHAnsi" w:cstheme="majorHAnsi"/>
          <w:sz w:val="24"/>
          <w:szCs w:val="24"/>
          <w:lang w:val="ro-MD"/>
        </w:rPr>
        <w:t xml:space="preserve">348,2 mii dolari SUA </w:t>
      </w:r>
      <w:r w:rsidR="00E93D59" w:rsidRPr="009772A3">
        <w:rPr>
          <w:rFonts w:asciiTheme="majorHAnsi" w:hAnsiTheme="majorHAnsi" w:cstheme="majorHAnsi"/>
          <w:sz w:val="24"/>
          <w:szCs w:val="24"/>
          <w:lang w:val="ro-MD"/>
        </w:rPr>
        <w:t>reprezintă datorii</w:t>
      </w:r>
      <w:r w:rsidR="001C50BB" w:rsidRPr="009772A3">
        <w:rPr>
          <w:rFonts w:asciiTheme="majorHAnsi" w:hAnsiTheme="majorHAnsi" w:cstheme="majorHAnsi"/>
          <w:sz w:val="24"/>
          <w:szCs w:val="24"/>
          <w:lang w:val="ro-MD"/>
        </w:rPr>
        <w:t>le</w:t>
      </w:r>
      <w:r w:rsidR="00E93D59" w:rsidRPr="009772A3">
        <w:rPr>
          <w:rFonts w:asciiTheme="majorHAnsi" w:hAnsiTheme="majorHAnsi" w:cstheme="majorHAnsi"/>
          <w:sz w:val="24"/>
          <w:szCs w:val="24"/>
          <w:lang w:val="ro-MD"/>
        </w:rPr>
        <w:t xml:space="preserve"> curente aferente livrărilor pentru decembrie 2021.</w:t>
      </w:r>
    </w:p>
    <w:p w14:paraId="12DAC017" w14:textId="76BDD28D" w:rsidR="009B7A90" w:rsidRPr="009772A3" w:rsidRDefault="001C50BB" w:rsidP="005A0D2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 u</w:t>
      </w:r>
      <w:r w:rsidR="00E93D59" w:rsidRPr="009772A3">
        <w:rPr>
          <w:rFonts w:asciiTheme="majorHAnsi" w:hAnsiTheme="majorHAnsi" w:cstheme="majorHAnsi"/>
          <w:sz w:val="24"/>
          <w:szCs w:val="24"/>
          <w:lang w:val="ro-MD"/>
        </w:rPr>
        <w:t xml:space="preserve">rmare a analizei informațiilor din actele de verificare a datoriilor </w:t>
      </w:r>
      <w:r w:rsidR="003904C5" w:rsidRPr="009772A3">
        <w:rPr>
          <w:rFonts w:asciiTheme="majorHAnsi" w:hAnsiTheme="majorHAnsi" w:cstheme="majorHAnsi"/>
          <w:sz w:val="24"/>
          <w:szCs w:val="24"/>
          <w:lang w:val="ro-MD"/>
        </w:rPr>
        <w:t xml:space="preserve">semnate între SA Gazsnabtranzit și SA Moldovagaz cu SA Gazprom, </w:t>
      </w:r>
      <w:r w:rsidR="00E93D59" w:rsidRPr="009772A3">
        <w:rPr>
          <w:rFonts w:asciiTheme="majorHAnsi" w:hAnsiTheme="majorHAnsi" w:cstheme="majorHAnsi"/>
          <w:sz w:val="24"/>
          <w:szCs w:val="24"/>
          <w:lang w:val="ro-MD"/>
        </w:rPr>
        <w:t>pentru perioada 1996-2021, auditul relevă că p</w:t>
      </w:r>
      <w:r w:rsidRPr="009772A3">
        <w:rPr>
          <w:rFonts w:asciiTheme="majorHAnsi" w:hAnsiTheme="majorHAnsi" w:cstheme="majorHAnsi"/>
          <w:sz w:val="24"/>
          <w:szCs w:val="24"/>
          <w:lang w:val="ro-MD"/>
        </w:rPr>
        <w:t>â</w:t>
      </w:r>
      <w:r w:rsidR="00E93D59" w:rsidRPr="009772A3">
        <w:rPr>
          <w:rFonts w:asciiTheme="majorHAnsi" w:hAnsiTheme="majorHAnsi" w:cstheme="majorHAnsi"/>
          <w:sz w:val="24"/>
          <w:szCs w:val="24"/>
          <w:lang w:val="ro-MD"/>
        </w:rPr>
        <w:t xml:space="preserve">nă în anul 2016 </w:t>
      </w:r>
      <w:r w:rsidR="003904C5" w:rsidRPr="009772A3">
        <w:rPr>
          <w:rFonts w:asciiTheme="majorHAnsi" w:hAnsiTheme="majorHAnsi" w:cstheme="majorHAnsi"/>
          <w:sz w:val="24"/>
          <w:szCs w:val="24"/>
          <w:lang w:val="ro-MD"/>
        </w:rPr>
        <w:t xml:space="preserve">companiile furnizoare </w:t>
      </w:r>
      <w:r w:rsidR="00E93D59" w:rsidRPr="009772A3">
        <w:rPr>
          <w:rFonts w:asciiTheme="majorHAnsi" w:hAnsiTheme="majorHAnsi" w:cstheme="majorHAnsi"/>
          <w:sz w:val="24"/>
          <w:szCs w:val="24"/>
          <w:lang w:val="ro-MD"/>
        </w:rPr>
        <w:t xml:space="preserve">de pe malul drept al </w:t>
      </w:r>
      <w:r w:rsidRPr="009772A3">
        <w:rPr>
          <w:rFonts w:asciiTheme="majorHAnsi" w:hAnsiTheme="majorHAnsi" w:cstheme="majorHAnsi"/>
          <w:sz w:val="24"/>
          <w:szCs w:val="24"/>
          <w:lang w:val="ro-MD"/>
        </w:rPr>
        <w:t xml:space="preserve">râului </w:t>
      </w:r>
      <w:r w:rsidR="00E93D59" w:rsidRPr="009772A3">
        <w:rPr>
          <w:rFonts w:asciiTheme="majorHAnsi" w:hAnsiTheme="majorHAnsi" w:cstheme="majorHAnsi"/>
          <w:sz w:val="24"/>
          <w:szCs w:val="24"/>
          <w:lang w:val="ro-MD"/>
        </w:rPr>
        <w:t xml:space="preserve">Nistru nu achitau în totalitate </w:t>
      </w:r>
      <w:r w:rsidR="003904C5" w:rsidRPr="009772A3">
        <w:rPr>
          <w:rFonts w:asciiTheme="majorHAnsi" w:hAnsiTheme="majorHAnsi" w:cstheme="majorHAnsi"/>
          <w:sz w:val="24"/>
          <w:szCs w:val="24"/>
          <w:lang w:val="ro-MD"/>
        </w:rPr>
        <w:t xml:space="preserve">livrările </w:t>
      </w:r>
      <w:r w:rsidRPr="009772A3">
        <w:rPr>
          <w:rFonts w:asciiTheme="majorHAnsi" w:hAnsiTheme="majorHAnsi" w:cstheme="majorHAnsi"/>
          <w:sz w:val="24"/>
          <w:szCs w:val="24"/>
          <w:lang w:val="ro-MD"/>
        </w:rPr>
        <w:t xml:space="preserve">de </w:t>
      </w:r>
      <w:r w:rsidR="00E93D59" w:rsidRPr="009772A3">
        <w:rPr>
          <w:rFonts w:asciiTheme="majorHAnsi" w:hAnsiTheme="majorHAnsi" w:cstheme="majorHAnsi"/>
          <w:sz w:val="24"/>
          <w:szCs w:val="24"/>
          <w:lang w:val="ro-MD"/>
        </w:rPr>
        <w:t xml:space="preserve">gaze naturale, ceea ce a dus la o creștere permanentă a datoriilor față de SA Gazprom. Doar în anii </w:t>
      </w:r>
      <w:r w:rsidR="009B7A90" w:rsidRPr="009772A3">
        <w:rPr>
          <w:rFonts w:asciiTheme="majorHAnsi" w:hAnsiTheme="majorHAnsi" w:cstheme="majorHAnsi"/>
          <w:sz w:val="24"/>
          <w:szCs w:val="24"/>
          <w:lang w:val="ro-MD"/>
        </w:rPr>
        <w:t xml:space="preserve">1997, 2000, 2001, </w:t>
      </w:r>
      <w:r w:rsidR="00E93D59" w:rsidRPr="009772A3">
        <w:rPr>
          <w:rFonts w:asciiTheme="majorHAnsi" w:hAnsiTheme="majorHAnsi" w:cstheme="majorHAnsi"/>
          <w:sz w:val="24"/>
          <w:szCs w:val="24"/>
          <w:lang w:val="ro-MD"/>
        </w:rPr>
        <w:t>2016, 2017 și 2020</w:t>
      </w:r>
      <w:r w:rsidRPr="009772A3">
        <w:rPr>
          <w:rFonts w:asciiTheme="majorHAnsi" w:hAnsiTheme="majorHAnsi" w:cstheme="majorHAnsi"/>
          <w:sz w:val="24"/>
          <w:szCs w:val="24"/>
          <w:lang w:val="ro-MD"/>
        </w:rPr>
        <w:t>,</w:t>
      </w:r>
      <w:r w:rsidR="00E93D59" w:rsidRPr="009772A3">
        <w:rPr>
          <w:rFonts w:asciiTheme="majorHAnsi" w:hAnsiTheme="majorHAnsi" w:cstheme="majorHAnsi"/>
          <w:sz w:val="24"/>
          <w:szCs w:val="24"/>
          <w:lang w:val="ro-MD"/>
        </w:rPr>
        <w:t xml:space="preserve"> pe l</w:t>
      </w:r>
      <w:r w:rsidRPr="009772A3">
        <w:rPr>
          <w:rFonts w:asciiTheme="majorHAnsi" w:hAnsiTheme="majorHAnsi" w:cstheme="majorHAnsi"/>
          <w:sz w:val="24"/>
          <w:szCs w:val="24"/>
          <w:lang w:val="ro-MD"/>
        </w:rPr>
        <w:t>â</w:t>
      </w:r>
      <w:r w:rsidR="00E93D59" w:rsidRPr="009772A3">
        <w:rPr>
          <w:rFonts w:asciiTheme="majorHAnsi" w:hAnsiTheme="majorHAnsi" w:cstheme="majorHAnsi"/>
          <w:sz w:val="24"/>
          <w:szCs w:val="24"/>
          <w:lang w:val="ro-MD"/>
        </w:rPr>
        <w:t>ngă consumul curent</w:t>
      </w:r>
      <w:r w:rsidRPr="009772A3">
        <w:rPr>
          <w:rFonts w:asciiTheme="majorHAnsi" w:hAnsiTheme="majorHAnsi" w:cstheme="majorHAnsi"/>
          <w:sz w:val="24"/>
          <w:szCs w:val="24"/>
          <w:lang w:val="ro-MD"/>
        </w:rPr>
        <w:t>,</w:t>
      </w:r>
      <w:r w:rsidR="00E93D59" w:rsidRPr="009772A3">
        <w:rPr>
          <w:rFonts w:asciiTheme="majorHAnsi" w:hAnsiTheme="majorHAnsi" w:cstheme="majorHAnsi"/>
          <w:sz w:val="24"/>
          <w:szCs w:val="24"/>
          <w:lang w:val="ro-MD"/>
        </w:rPr>
        <w:t xml:space="preserve"> au fost achitate și datoriile anilor precedenți. </w:t>
      </w:r>
      <w:r w:rsidR="009B7A90" w:rsidRPr="009772A3">
        <w:rPr>
          <w:rFonts w:asciiTheme="majorHAnsi" w:hAnsiTheme="majorHAnsi" w:cstheme="majorHAnsi"/>
          <w:sz w:val="24"/>
          <w:szCs w:val="24"/>
          <w:lang w:val="ro-MD"/>
        </w:rPr>
        <w:t>De asemenea</w:t>
      </w:r>
      <w:r w:rsidR="003020F9" w:rsidRPr="009772A3">
        <w:rPr>
          <w:rFonts w:asciiTheme="majorHAnsi" w:hAnsiTheme="majorHAnsi" w:cstheme="majorHAnsi"/>
          <w:sz w:val="24"/>
          <w:szCs w:val="24"/>
          <w:lang w:val="ro-MD"/>
        </w:rPr>
        <w:t>,</w:t>
      </w:r>
      <w:r w:rsidR="009B7A90" w:rsidRPr="009772A3">
        <w:rPr>
          <w:rFonts w:asciiTheme="majorHAnsi" w:hAnsiTheme="majorHAnsi" w:cstheme="majorHAnsi"/>
          <w:sz w:val="24"/>
          <w:szCs w:val="24"/>
          <w:lang w:val="ro-MD"/>
        </w:rPr>
        <w:t xml:space="preserve"> și informațiile din actele de verificare relevă că cea mai mare parte a datoriilor față de SA Gazprom s-au format în perioada 2011-2015 – în sumă de 312.991,6 mii dolari SUA.</w:t>
      </w:r>
      <w:r w:rsidR="00784F53" w:rsidRPr="009772A3">
        <w:rPr>
          <w:rFonts w:asciiTheme="majorHAnsi" w:hAnsiTheme="majorHAnsi" w:cstheme="majorHAnsi"/>
          <w:sz w:val="24"/>
          <w:szCs w:val="24"/>
          <w:lang w:val="ro-MD"/>
        </w:rPr>
        <w:t xml:space="preserve"> Informații detaliate privind evoluția datoriei SA Moldovagaz față de SA Gazprom se prezintă în Anexa nr.9 la prezentul Raport de audit.</w:t>
      </w:r>
    </w:p>
    <w:p w14:paraId="44FA2B08" w14:textId="2AB23C5F" w:rsidR="00262DC7" w:rsidRPr="009772A3" w:rsidRDefault="00262DC7" w:rsidP="005A0D2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Analiza datelor prezentate de SA Moldovagaz pe</w:t>
      </w:r>
      <w:r w:rsidR="00DD0DE6" w:rsidRPr="009772A3">
        <w:rPr>
          <w:rFonts w:asciiTheme="majorHAnsi" w:hAnsiTheme="majorHAnsi" w:cstheme="majorHAnsi"/>
          <w:sz w:val="24"/>
          <w:szCs w:val="24"/>
          <w:lang w:val="ro-MD"/>
        </w:rPr>
        <w:t>ntru</w:t>
      </w:r>
      <w:r w:rsidRPr="009772A3">
        <w:rPr>
          <w:rFonts w:asciiTheme="majorHAnsi" w:hAnsiTheme="majorHAnsi" w:cstheme="majorHAnsi"/>
          <w:sz w:val="24"/>
          <w:szCs w:val="24"/>
          <w:lang w:val="ro-MD"/>
        </w:rPr>
        <w:t xml:space="preserve"> perioada 2011-2021 a permis identificarea următorilor factori </w:t>
      </w:r>
      <w:r w:rsidR="00044859" w:rsidRPr="009772A3">
        <w:rPr>
          <w:rFonts w:asciiTheme="majorHAnsi" w:hAnsiTheme="majorHAnsi" w:cstheme="majorHAnsi"/>
          <w:sz w:val="24"/>
          <w:szCs w:val="24"/>
          <w:lang w:val="ro-MD"/>
        </w:rPr>
        <w:t xml:space="preserve">principali </w:t>
      </w:r>
      <w:r w:rsidRPr="009772A3">
        <w:rPr>
          <w:rFonts w:asciiTheme="majorHAnsi" w:hAnsiTheme="majorHAnsi" w:cstheme="majorHAnsi"/>
          <w:sz w:val="24"/>
          <w:szCs w:val="24"/>
          <w:lang w:val="ro-MD"/>
        </w:rPr>
        <w:t xml:space="preserve">ce au influențat neachitarea consumului curent al gazelor naturale în valoare de 292.330,4 mii dolari SUA: </w:t>
      </w:r>
    </w:p>
    <w:p w14:paraId="6E94F1B4" w14:textId="035B6860" w:rsidR="00A56315" w:rsidRPr="009772A3" w:rsidRDefault="00A56315"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neachitările consumatorilor pentru gazele consumate care au însumat circa 1.519.878,3 mii lei</w:t>
      </w:r>
      <w:r w:rsidR="00F514B6" w:rsidRPr="009772A3">
        <w:rPr>
          <w:rFonts w:asciiTheme="majorHAnsi" w:hAnsiTheme="majorHAnsi" w:cstheme="majorHAnsi"/>
          <w:sz w:val="24"/>
          <w:szCs w:val="24"/>
          <w:lang w:val="ro-MD"/>
        </w:rPr>
        <w:t>, din care 103.120,98 mii lei reprezintă creanțe</w:t>
      </w:r>
      <w:r w:rsidR="003020F9" w:rsidRPr="009772A3">
        <w:rPr>
          <w:rFonts w:asciiTheme="majorHAnsi" w:hAnsiTheme="majorHAnsi" w:cstheme="majorHAnsi"/>
          <w:sz w:val="24"/>
          <w:szCs w:val="24"/>
          <w:lang w:val="ro-MD"/>
        </w:rPr>
        <w:t>le</w:t>
      </w:r>
      <w:r w:rsidR="00F514B6" w:rsidRPr="009772A3">
        <w:rPr>
          <w:rFonts w:asciiTheme="majorHAnsi" w:hAnsiTheme="majorHAnsi" w:cstheme="majorHAnsi"/>
          <w:sz w:val="24"/>
          <w:szCs w:val="24"/>
          <w:lang w:val="ro-MD"/>
        </w:rPr>
        <w:t xml:space="preserve"> compromise decontate</w:t>
      </w:r>
      <w:r w:rsidRPr="009772A3">
        <w:rPr>
          <w:rFonts w:asciiTheme="majorHAnsi" w:hAnsiTheme="majorHAnsi" w:cstheme="majorHAnsi"/>
          <w:sz w:val="24"/>
          <w:szCs w:val="24"/>
          <w:lang w:val="ro-MD"/>
        </w:rPr>
        <w:t xml:space="preserve">; </w:t>
      </w:r>
    </w:p>
    <w:p w14:paraId="30F60DA8" w14:textId="77777777" w:rsidR="00C230C2" w:rsidRPr="009772A3" w:rsidRDefault="00A56315"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devierile tarifare aferente gazului consumat (diferența între prețul inclus în tarif și prețul real achitat) – circa 1.8</w:t>
      </w:r>
      <w:r w:rsidR="00C230C2" w:rsidRPr="009772A3">
        <w:rPr>
          <w:rFonts w:asciiTheme="majorHAnsi" w:hAnsiTheme="majorHAnsi" w:cstheme="majorHAnsi"/>
          <w:sz w:val="24"/>
          <w:szCs w:val="24"/>
          <w:lang w:val="ro-MD"/>
        </w:rPr>
        <w:t>76</w:t>
      </w:r>
      <w:r w:rsidRPr="009772A3">
        <w:rPr>
          <w:rFonts w:asciiTheme="majorHAnsi" w:hAnsiTheme="majorHAnsi" w:cstheme="majorHAnsi"/>
          <w:sz w:val="24"/>
          <w:szCs w:val="24"/>
          <w:lang w:val="ro-MD"/>
        </w:rPr>
        <w:t>.7</w:t>
      </w:r>
      <w:r w:rsidR="00C230C2" w:rsidRPr="009772A3">
        <w:rPr>
          <w:rFonts w:asciiTheme="majorHAnsi" w:hAnsiTheme="majorHAnsi" w:cstheme="majorHAnsi"/>
          <w:sz w:val="24"/>
          <w:szCs w:val="24"/>
          <w:lang w:val="ro-MD"/>
        </w:rPr>
        <w:t>96</w:t>
      </w:r>
      <w:r w:rsidRPr="009772A3">
        <w:rPr>
          <w:rFonts w:asciiTheme="majorHAnsi" w:hAnsiTheme="majorHAnsi" w:cstheme="majorHAnsi"/>
          <w:sz w:val="24"/>
          <w:szCs w:val="24"/>
          <w:lang w:val="ro-MD"/>
        </w:rPr>
        <w:t>,</w:t>
      </w:r>
      <w:r w:rsidR="00C230C2" w:rsidRPr="009772A3">
        <w:rPr>
          <w:rFonts w:asciiTheme="majorHAnsi" w:hAnsiTheme="majorHAnsi" w:cstheme="majorHAnsi"/>
          <w:sz w:val="24"/>
          <w:szCs w:val="24"/>
          <w:lang w:val="ro-MD"/>
        </w:rPr>
        <w:t>4</w:t>
      </w:r>
      <w:r w:rsidRPr="009772A3">
        <w:rPr>
          <w:rFonts w:asciiTheme="majorHAnsi" w:hAnsiTheme="majorHAnsi" w:cstheme="majorHAnsi"/>
          <w:sz w:val="24"/>
          <w:szCs w:val="24"/>
          <w:lang w:val="ro-MD"/>
        </w:rPr>
        <w:t xml:space="preserve"> mii lei;</w:t>
      </w:r>
    </w:p>
    <w:p w14:paraId="48C3D3DB" w14:textId="7B79712A" w:rsidR="00C230C2" w:rsidRPr="009772A3" w:rsidRDefault="00DD0DE6"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w:t>
      </w:r>
      <w:r w:rsidR="00C230C2" w:rsidRPr="009772A3">
        <w:rPr>
          <w:rFonts w:asciiTheme="majorHAnsi" w:hAnsiTheme="majorHAnsi" w:cstheme="majorHAnsi"/>
          <w:sz w:val="24"/>
          <w:szCs w:val="24"/>
          <w:lang w:val="ro-MD"/>
        </w:rPr>
        <w:t>evieri</w:t>
      </w:r>
      <w:r w:rsidRPr="009772A3">
        <w:rPr>
          <w:rFonts w:asciiTheme="majorHAnsi" w:hAnsiTheme="majorHAnsi" w:cstheme="majorHAnsi"/>
          <w:sz w:val="24"/>
          <w:szCs w:val="24"/>
          <w:lang w:val="ro-MD"/>
        </w:rPr>
        <w:t>le</w:t>
      </w:r>
      <w:r w:rsidR="00C230C2" w:rsidRPr="009772A3">
        <w:rPr>
          <w:rFonts w:asciiTheme="majorHAnsi" w:hAnsiTheme="majorHAnsi" w:cstheme="majorHAnsi"/>
          <w:sz w:val="24"/>
          <w:szCs w:val="24"/>
          <w:lang w:val="ro-MD"/>
        </w:rPr>
        <w:t xml:space="preserve"> tarifare aferente diminuării tarifelor cu devierea pozitivă a valorii gazelor – 774</w:t>
      </w:r>
      <w:r w:rsidRPr="009772A3">
        <w:rPr>
          <w:rFonts w:asciiTheme="majorHAnsi" w:hAnsiTheme="majorHAnsi" w:cstheme="majorHAnsi"/>
          <w:sz w:val="24"/>
          <w:szCs w:val="24"/>
          <w:lang w:val="ro-MD"/>
        </w:rPr>
        <w:t>.</w:t>
      </w:r>
      <w:r w:rsidR="00C230C2" w:rsidRPr="009772A3">
        <w:rPr>
          <w:rFonts w:asciiTheme="majorHAnsi" w:hAnsiTheme="majorHAnsi" w:cstheme="majorHAnsi"/>
          <w:sz w:val="24"/>
          <w:szCs w:val="24"/>
          <w:lang w:val="ro-MD"/>
        </w:rPr>
        <w:t>911,9</w:t>
      </w:r>
      <w:r w:rsidR="00C365FA" w:rsidRPr="009772A3">
        <w:rPr>
          <w:rFonts w:asciiTheme="majorHAnsi" w:hAnsiTheme="majorHAnsi" w:cstheme="majorHAnsi"/>
          <w:sz w:val="24"/>
          <w:szCs w:val="24"/>
          <w:lang w:val="ro-MD"/>
        </w:rPr>
        <w:t xml:space="preserve"> mii lei;</w:t>
      </w:r>
    </w:p>
    <w:p w14:paraId="2356B64E" w14:textId="7F250E70" w:rsidR="00A56315" w:rsidRPr="009772A3" w:rsidRDefault="00A56315"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valoarea pierderilor supranormative a gazelor naturale neacceptate </w:t>
      </w:r>
      <w:r w:rsidR="002745AD" w:rsidRPr="009772A3">
        <w:rPr>
          <w:rFonts w:asciiTheme="majorHAnsi" w:hAnsiTheme="majorHAnsi" w:cstheme="majorHAnsi"/>
          <w:sz w:val="24"/>
          <w:szCs w:val="24"/>
          <w:lang w:val="ro-MD"/>
        </w:rPr>
        <w:t xml:space="preserve">de ANRE </w:t>
      </w:r>
      <w:r w:rsidRPr="009772A3">
        <w:rPr>
          <w:rFonts w:asciiTheme="majorHAnsi" w:hAnsiTheme="majorHAnsi" w:cstheme="majorHAnsi"/>
          <w:sz w:val="24"/>
          <w:szCs w:val="24"/>
          <w:lang w:val="ro-MD"/>
        </w:rPr>
        <w:t>în scopuri tarifare</w:t>
      </w:r>
      <w:r w:rsidR="00DD0DE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sumă de 1.022.761,8 mii lei;</w:t>
      </w:r>
    </w:p>
    <w:p w14:paraId="0CC5DF37" w14:textId="7CF7645F" w:rsidR="00A56315" w:rsidRPr="009772A3" w:rsidRDefault="00DD0DE6"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w:t>
      </w:r>
      <w:r w:rsidR="00FB23AB" w:rsidRPr="009772A3">
        <w:rPr>
          <w:rFonts w:asciiTheme="majorHAnsi" w:hAnsiTheme="majorHAnsi" w:cstheme="majorHAnsi"/>
          <w:sz w:val="24"/>
          <w:szCs w:val="24"/>
          <w:lang w:val="ro-MD"/>
        </w:rPr>
        <w:t>nvestiții</w:t>
      </w:r>
      <w:r w:rsidRPr="009772A3">
        <w:rPr>
          <w:rFonts w:asciiTheme="majorHAnsi" w:hAnsiTheme="majorHAnsi" w:cstheme="majorHAnsi"/>
          <w:sz w:val="24"/>
          <w:szCs w:val="24"/>
          <w:lang w:val="ro-MD"/>
        </w:rPr>
        <w:t>le</w:t>
      </w:r>
      <w:r w:rsidR="00FB23AB" w:rsidRPr="009772A3">
        <w:rPr>
          <w:rFonts w:asciiTheme="majorHAnsi" w:hAnsiTheme="majorHAnsi" w:cstheme="majorHAnsi"/>
          <w:sz w:val="24"/>
          <w:szCs w:val="24"/>
          <w:lang w:val="ro-MD"/>
        </w:rPr>
        <w:t xml:space="preserve"> </w:t>
      </w:r>
      <w:r w:rsidR="002745AD" w:rsidRPr="009772A3">
        <w:rPr>
          <w:rFonts w:asciiTheme="majorHAnsi" w:hAnsiTheme="majorHAnsi" w:cstheme="majorHAnsi"/>
          <w:sz w:val="24"/>
          <w:szCs w:val="24"/>
          <w:lang w:val="ro-MD"/>
        </w:rPr>
        <w:t xml:space="preserve">nefundamentate de SA Moldovagaz și </w:t>
      </w:r>
      <w:r w:rsidR="00231194" w:rsidRPr="009772A3">
        <w:rPr>
          <w:rFonts w:asciiTheme="majorHAnsi" w:hAnsiTheme="majorHAnsi" w:cstheme="majorHAnsi"/>
          <w:sz w:val="24"/>
          <w:szCs w:val="24"/>
          <w:lang w:val="ro-MD"/>
        </w:rPr>
        <w:t xml:space="preserve">neacceptate de ANRE </w:t>
      </w:r>
      <w:r w:rsidR="002745AD" w:rsidRPr="009772A3">
        <w:rPr>
          <w:rFonts w:asciiTheme="majorHAnsi" w:hAnsiTheme="majorHAnsi" w:cstheme="majorHAnsi"/>
          <w:sz w:val="24"/>
          <w:szCs w:val="24"/>
          <w:lang w:val="ro-MD"/>
        </w:rPr>
        <w:t xml:space="preserve">în scopuri tarifare – </w:t>
      </w:r>
      <w:r w:rsidR="007E6808" w:rsidRPr="009772A3">
        <w:rPr>
          <w:rFonts w:asciiTheme="majorHAnsi" w:hAnsiTheme="majorHAnsi" w:cstheme="majorHAnsi"/>
          <w:sz w:val="24"/>
          <w:szCs w:val="24"/>
          <w:lang w:val="ro-MD"/>
        </w:rPr>
        <w:t>815.</w:t>
      </w:r>
      <w:r w:rsidR="00C365FA" w:rsidRPr="009772A3">
        <w:rPr>
          <w:rFonts w:asciiTheme="majorHAnsi" w:hAnsiTheme="majorHAnsi" w:cstheme="majorHAnsi"/>
          <w:sz w:val="24"/>
          <w:szCs w:val="24"/>
          <w:lang w:val="ro-MD"/>
        </w:rPr>
        <w:t>796</w:t>
      </w:r>
      <w:r w:rsidR="007E6808" w:rsidRPr="009772A3">
        <w:rPr>
          <w:rFonts w:asciiTheme="majorHAnsi" w:hAnsiTheme="majorHAnsi" w:cstheme="majorHAnsi"/>
          <w:sz w:val="24"/>
          <w:szCs w:val="24"/>
          <w:lang w:val="ro-MD"/>
        </w:rPr>
        <w:t>,</w:t>
      </w:r>
      <w:r w:rsidR="00C365FA" w:rsidRPr="009772A3">
        <w:rPr>
          <w:rFonts w:asciiTheme="majorHAnsi" w:hAnsiTheme="majorHAnsi" w:cstheme="majorHAnsi"/>
          <w:sz w:val="24"/>
          <w:szCs w:val="24"/>
          <w:lang w:val="ro-MD"/>
        </w:rPr>
        <w:t>6</w:t>
      </w:r>
      <w:r w:rsidR="002745AD" w:rsidRPr="009772A3">
        <w:rPr>
          <w:rFonts w:asciiTheme="majorHAnsi" w:hAnsiTheme="majorHAnsi" w:cstheme="majorHAnsi"/>
          <w:sz w:val="24"/>
          <w:szCs w:val="24"/>
          <w:lang w:val="ro-MD"/>
        </w:rPr>
        <w:t xml:space="preserve"> mii lei, </w:t>
      </w:r>
      <w:r w:rsidR="00044859" w:rsidRPr="009772A3">
        <w:rPr>
          <w:rFonts w:asciiTheme="majorHAnsi" w:hAnsiTheme="majorHAnsi" w:cstheme="majorHAnsi"/>
          <w:sz w:val="24"/>
          <w:szCs w:val="24"/>
          <w:lang w:val="ro-MD"/>
        </w:rPr>
        <w:t>din care</w:t>
      </w:r>
      <w:r w:rsidR="002745AD" w:rsidRPr="009772A3">
        <w:rPr>
          <w:rFonts w:asciiTheme="majorHAnsi" w:hAnsiTheme="majorHAnsi" w:cstheme="majorHAnsi"/>
          <w:sz w:val="24"/>
          <w:szCs w:val="24"/>
          <w:lang w:val="ro-MD"/>
        </w:rPr>
        <w:t xml:space="preserve"> </w:t>
      </w:r>
      <w:r w:rsidR="009D6059" w:rsidRPr="009772A3">
        <w:rPr>
          <w:rFonts w:asciiTheme="majorHAnsi" w:hAnsiTheme="majorHAnsi" w:cstheme="majorHAnsi"/>
          <w:sz w:val="24"/>
          <w:szCs w:val="24"/>
          <w:lang w:val="ro-MD"/>
        </w:rPr>
        <w:t>în clădirea SA Moldovagaz – 445.</w:t>
      </w:r>
      <w:r w:rsidR="00FB23AB" w:rsidRPr="009772A3">
        <w:rPr>
          <w:rFonts w:asciiTheme="majorHAnsi" w:hAnsiTheme="majorHAnsi" w:cstheme="majorHAnsi"/>
          <w:sz w:val="24"/>
          <w:szCs w:val="24"/>
          <w:lang w:val="ro-MD"/>
        </w:rPr>
        <w:t>6</w:t>
      </w:r>
      <w:r w:rsidR="009D6059" w:rsidRPr="009772A3">
        <w:rPr>
          <w:rFonts w:asciiTheme="majorHAnsi" w:hAnsiTheme="majorHAnsi" w:cstheme="majorHAnsi"/>
          <w:sz w:val="24"/>
          <w:szCs w:val="24"/>
          <w:lang w:val="ro-MD"/>
        </w:rPr>
        <w:t>30,3</w:t>
      </w:r>
      <w:r w:rsidR="00FB23AB" w:rsidRPr="009772A3">
        <w:rPr>
          <w:rFonts w:asciiTheme="majorHAnsi" w:hAnsiTheme="majorHAnsi" w:cstheme="majorHAnsi"/>
          <w:sz w:val="24"/>
          <w:szCs w:val="24"/>
          <w:lang w:val="ro-MD"/>
        </w:rPr>
        <w:t xml:space="preserve"> mi</w:t>
      </w:r>
      <w:r w:rsidR="009D6059" w:rsidRPr="009772A3">
        <w:rPr>
          <w:rFonts w:asciiTheme="majorHAnsi" w:hAnsiTheme="majorHAnsi" w:cstheme="majorHAnsi"/>
          <w:sz w:val="24"/>
          <w:szCs w:val="24"/>
          <w:lang w:val="ro-MD"/>
        </w:rPr>
        <w:t xml:space="preserve">i </w:t>
      </w:r>
      <w:r w:rsidR="00FB23AB" w:rsidRPr="009772A3">
        <w:rPr>
          <w:rFonts w:asciiTheme="majorHAnsi" w:hAnsiTheme="majorHAnsi" w:cstheme="majorHAnsi"/>
          <w:sz w:val="24"/>
          <w:szCs w:val="24"/>
          <w:lang w:val="ro-MD"/>
        </w:rPr>
        <w:t>lei (fără TVA)</w:t>
      </w:r>
      <w:r w:rsidR="009D6059" w:rsidRPr="009772A3">
        <w:rPr>
          <w:rFonts w:asciiTheme="majorHAnsi" w:hAnsiTheme="majorHAnsi" w:cstheme="majorHAnsi"/>
          <w:sz w:val="24"/>
          <w:szCs w:val="24"/>
          <w:lang w:val="ro-MD"/>
        </w:rPr>
        <w:t>, precum și în clădirea administrativă din mun.Ungheni – 20.7</w:t>
      </w:r>
      <w:r w:rsidR="00C365FA" w:rsidRPr="009772A3">
        <w:rPr>
          <w:rFonts w:asciiTheme="majorHAnsi" w:hAnsiTheme="majorHAnsi" w:cstheme="majorHAnsi"/>
          <w:sz w:val="24"/>
          <w:szCs w:val="24"/>
          <w:lang w:val="ro-MD"/>
        </w:rPr>
        <w:t>33</w:t>
      </w:r>
      <w:r w:rsidR="009D6059" w:rsidRPr="009772A3">
        <w:rPr>
          <w:rFonts w:asciiTheme="majorHAnsi" w:hAnsiTheme="majorHAnsi" w:cstheme="majorHAnsi"/>
          <w:sz w:val="24"/>
          <w:szCs w:val="24"/>
          <w:lang w:val="ro-MD"/>
        </w:rPr>
        <w:t>,</w:t>
      </w:r>
      <w:r w:rsidR="00C365FA" w:rsidRPr="009772A3">
        <w:rPr>
          <w:rFonts w:asciiTheme="majorHAnsi" w:hAnsiTheme="majorHAnsi" w:cstheme="majorHAnsi"/>
          <w:sz w:val="24"/>
          <w:szCs w:val="24"/>
          <w:lang w:val="ro-MD"/>
        </w:rPr>
        <w:t>2</w:t>
      </w:r>
      <w:r w:rsidR="009D6059" w:rsidRPr="009772A3">
        <w:rPr>
          <w:rFonts w:asciiTheme="majorHAnsi" w:hAnsiTheme="majorHAnsi" w:cstheme="majorHAnsi"/>
          <w:sz w:val="24"/>
          <w:szCs w:val="24"/>
          <w:lang w:val="ro-MD"/>
        </w:rPr>
        <w:t xml:space="preserve"> mii lei</w:t>
      </w:r>
      <w:r w:rsidR="00FB23AB" w:rsidRPr="009772A3">
        <w:rPr>
          <w:rFonts w:asciiTheme="majorHAnsi" w:hAnsiTheme="majorHAnsi" w:cstheme="majorHAnsi"/>
          <w:sz w:val="24"/>
          <w:szCs w:val="24"/>
          <w:lang w:val="ro-MD"/>
        </w:rPr>
        <w:t>;</w:t>
      </w:r>
    </w:p>
    <w:p w14:paraId="4242B750" w14:textId="7DA9B56F" w:rsidR="00C376B1" w:rsidRPr="009772A3" w:rsidRDefault="00B55595"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cheltuieli</w:t>
      </w:r>
      <w:r w:rsidR="00DD0DE6"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ce nu țin de activitatea de întreprinzător, ajustate în scop fiscal conform declarațiilor VEN de întreprinderile din sistemul SA Moldovagaz</w:t>
      </w:r>
      <w:r w:rsidR="00DD0DE6" w:rsidRPr="009772A3">
        <w:rPr>
          <w:rFonts w:asciiTheme="majorHAnsi" w:hAnsiTheme="majorHAnsi" w:cstheme="majorHAnsi"/>
          <w:sz w:val="24"/>
          <w:szCs w:val="24"/>
          <w:lang w:val="ro-MD"/>
        </w:rPr>
        <w:t>, în sumă de</w:t>
      </w:r>
      <w:r w:rsidRPr="009772A3">
        <w:rPr>
          <w:rFonts w:asciiTheme="majorHAnsi" w:hAnsiTheme="majorHAnsi" w:cstheme="majorHAnsi"/>
          <w:sz w:val="24"/>
          <w:szCs w:val="24"/>
          <w:lang w:val="ro-MD"/>
        </w:rPr>
        <w:t xml:space="preserve"> </w:t>
      </w:r>
      <w:r w:rsidR="00C376B1" w:rsidRPr="009772A3">
        <w:rPr>
          <w:rFonts w:asciiTheme="majorHAnsi" w:hAnsiTheme="majorHAnsi" w:cstheme="majorHAnsi"/>
          <w:sz w:val="24"/>
          <w:szCs w:val="24"/>
          <w:lang w:val="ro-MD"/>
        </w:rPr>
        <w:t>1.</w:t>
      </w:r>
      <w:r w:rsidR="00C365FA" w:rsidRPr="009772A3">
        <w:rPr>
          <w:rFonts w:asciiTheme="majorHAnsi" w:hAnsiTheme="majorHAnsi" w:cstheme="majorHAnsi"/>
          <w:sz w:val="24"/>
          <w:szCs w:val="24"/>
          <w:lang w:val="ro-MD"/>
        </w:rPr>
        <w:t>000.214</w:t>
      </w:r>
      <w:r w:rsidR="00C376B1" w:rsidRPr="009772A3">
        <w:rPr>
          <w:rFonts w:asciiTheme="majorHAnsi" w:hAnsiTheme="majorHAnsi" w:cstheme="majorHAnsi"/>
          <w:sz w:val="24"/>
          <w:szCs w:val="24"/>
          <w:lang w:val="ro-MD"/>
        </w:rPr>
        <w:t>,</w:t>
      </w:r>
      <w:r w:rsidR="00C365FA" w:rsidRPr="009772A3">
        <w:rPr>
          <w:rFonts w:asciiTheme="majorHAnsi" w:hAnsiTheme="majorHAnsi" w:cstheme="majorHAnsi"/>
          <w:sz w:val="24"/>
          <w:szCs w:val="24"/>
          <w:lang w:val="ro-MD"/>
        </w:rPr>
        <w:t>0</w:t>
      </w:r>
      <w:r w:rsidR="00C376B1" w:rsidRPr="009772A3">
        <w:rPr>
          <w:rFonts w:asciiTheme="majorHAnsi" w:hAnsiTheme="majorHAnsi" w:cstheme="majorHAnsi"/>
          <w:sz w:val="24"/>
          <w:szCs w:val="24"/>
          <w:lang w:val="ro-MD"/>
        </w:rPr>
        <w:t xml:space="preserve"> mii lei</w:t>
      </w:r>
      <w:r w:rsidRPr="009772A3">
        <w:rPr>
          <w:rFonts w:asciiTheme="majorHAnsi" w:hAnsiTheme="majorHAnsi" w:cstheme="majorHAnsi"/>
          <w:sz w:val="24"/>
          <w:szCs w:val="24"/>
          <w:lang w:val="ro-MD"/>
        </w:rPr>
        <w:t xml:space="preserve">; </w:t>
      </w:r>
    </w:p>
    <w:p w14:paraId="28592D09" w14:textId="51950F50" w:rsidR="00C376B1" w:rsidRPr="009772A3" w:rsidRDefault="00DD0DE6"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w:t>
      </w:r>
      <w:r w:rsidR="00C376B1" w:rsidRPr="009772A3">
        <w:rPr>
          <w:rFonts w:asciiTheme="majorHAnsi" w:hAnsiTheme="majorHAnsi" w:cstheme="majorHAnsi"/>
          <w:sz w:val="24"/>
          <w:szCs w:val="24"/>
          <w:lang w:val="ro-MD"/>
        </w:rPr>
        <w:t>heltuieli</w:t>
      </w:r>
      <w:r w:rsidRPr="009772A3">
        <w:rPr>
          <w:rFonts w:asciiTheme="majorHAnsi" w:hAnsiTheme="majorHAnsi" w:cstheme="majorHAnsi"/>
          <w:sz w:val="24"/>
          <w:szCs w:val="24"/>
          <w:lang w:val="ro-MD"/>
        </w:rPr>
        <w:t>le</w:t>
      </w:r>
      <w:r w:rsidR="00C376B1" w:rsidRPr="009772A3">
        <w:rPr>
          <w:rFonts w:asciiTheme="majorHAnsi" w:hAnsiTheme="majorHAnsi" w:cstheme="majorHAnsi"/>
          <w:sz w:val="24"/>
          <w:szCs w:val="24"/>
          <w:lang w:val="ro-MD"/>
        </w:rPr>
        <w:t xml:space="preserve"> aferente diferenței între cursul de schimb al valutei și cursul oficial al BNM</w:t>
      </w:r>
      <w:r w:rsidRPr="009772A3">
        <w:rPr>
          <w:rFonts w:asciiTheme="majorHAnsi" w:hAnsiTheme="majorHAnsi" w:cstheme="majorHAnsi"/>
          <w:sz w:val="24"/>
          <w:szCs w:val="24"/>
          <w:lang w:val="ro-MD"/>
        </w:rPr>
        <w:t>, în sumă de</w:t>
      </w:r>
      <w:r w:rsidR="00C376B1" w:rsidRPr="009772A3">
        <w:rPr>
          <w:rFonts w:asciiTheme="majorHAnsi" w:hAnsiTheme="majorHAnsi" w:cstheme="majorHAnsi"/>
          <w:sz w:val="24"/>
          <w:szCs w:val="24"/>
          <w:lang w:val="ro-MD"/>
        </w:rPr>
        <w:t xml:space="preserve"> 102.712,0 mii lei</w:t>
      </w:r>
      <w:r w:rsidR="00C365FA" w:rsidRPr="009772A3">
        <w:rPr>
          <w:rFonts w:asciiTheme="majorHAnsi" w:hAnsiTheme="majorHAnsi" w:cstheme="majorHAnsi"/>
          <w:sz w:val="24"/>
          <w:szCs w:val="24"/>
          <w:lang w:val="ro-MD"/>
        </w:rPr>
        <w:t>, neacceptate în scopuri tarifare în perioada 2011-2014</w:t>
      </w:r>
      <w:r w:rsidRPr="009772A3">
        <w:rPr>
          <w:rFonts w:asciiTheme="majorHAnsi" w:hAnsiTheme="majorHAnsi" w:cstheme="majorHAnsi"/>
          <w:sz w:val="24"/>
          <w:szCs w:val="24"/>
          <w:lang w:val="ro-MD"/>
        </w:rPr>
        <w:t>;</w:t>
      </w:r>
    </w:p>
    <w:p w14:paraId="5E949C98" w14:textId="7629CA7D" w:rsidR="00472979" w:rsidRPr="009772A3" w:rsidRDefault="00DD0DE6"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w:t>
      </w:r>
      <w:r w:rsidR="00C376B1" w:rsidRPr="009772A3">
        <w:rPr>
          <w:rFonts w:asciiTheme="majorHAnsi" w:hAnsiTheme="majorHAnsi" w:cstheme="majorHAnsi"/>
          <w:sz w:val="24"/>
          <w:szCs w:val="24"/>
          <w:lang w:val="ro-MD"/>
        </w:rPr>
        <w:t>ob</w:t>
      </w:r>
      <w:r w:rsidRPr="009772A3">
        <w:rPr>
          <w:rFonts w:asciiTheme="majorHAnsi" w:hAnsiTheme="majorHAnsi" w:cstheme="majorHAnsi"/>
          <w:sz w:val="24"/>
          <w:szCs w:val="24"/>
          <w:lang w:val="ro-MD"/>
        </w:rPr>
        <w:t>â</w:t>
      </w:r>
      <w:r w:rsidR="00C376B1" w:rsidRPr="009772A3">
        <w:rPr>
          <w:rFonts w:asciiTheme="majorHAnsi" w:hAnsiTheme="majorHAnsi" w:cstheme="majorHAnsi"/>
          <w:sz w:val="24"/>
          <w:szCs w:val="24"/>
          <w:lang w:val="ro-MD"/>
        </w:rPr>
        <w:t>nzi</w:t>
      </w:r>
      <w:r w:rsidRPr="009772A3">
        <w:rPr>
          <w:rFonts w:asciiTheme="majorHAnsi" w:hAnsiTheme="majorHAnsi" w:cstheme="majorHAnsi"/>
          <w:sz w:val="24"/>
          <w:szCs w:val="24"/>
          <w:lang w:val="ro-MD"/>
        </w:rPr>
        <w:t>le</w:t>
      </w:r>
      <w:r w:rsidR="00C376B1" w:rsidRPr="009772A3">
        <w:rPr>
          <w:rFonts w:asciiTheme="majorHAnsi" w:hAnsiTheme="majorHAnsi" w:cstheme="majorHAnsi"/>
          <w:sz w:val="24"/>
          <w:szCs w:val="24"/>
          <w:lang w:val="ro-MD"/>
        </w:rPr>
        <w:t xml:space="preserve"> și comisioane</w:t>
      </w:r>
      <w:r w:rsidRPr="009772A3">
        <w:rPr>
          <w:rFonts w:asciiTheme="majorHAnsi" w:hAnsiTheme="majorHAnsi" w:cstheme="majorHAnsi"/>
          <w:sz w:val="24"/>
          <w:szCs w:val="24"/>
          <w:lang w:val="ro-MD"/>
        </w:rPr>
        <w:t>le</w:t>
      </w:r>
      <w:r w:rsidR="00C376B1" w:rsidRPr="009772A3">
        <w:rPr>
          <w:rFonts w:asciiTheme="majorHAnsi" w:hAnsiTheme="majorHAnsi" w:cstheme="majorHAnsi"/>
          <w:sz w:val="24"/>
          <w:szCs w:val="24"/>
          <w:lang w:val="ro-MD"/>
        </w:rPr>
        <w:t xml:space="preserve"> aferente creditelor neacceptate în tarif </w:t>
      </w:r>
      <w:r w:rsidRPr="009772A3">
        <w:rPr>
          <w:rFonts w:asciiTheme="majorHAnsi" w:hAnsiTheme="majorHAnsi" w:cstheme="majorHAnsi"/>
          <w:sz w:val="24"/>
          <w:szCs w:val="24"/>
          <w:lang w:val="ro-MD"/>
        </w:rPr>
        <w:t>–</w:t>
      </w:r>
      <w:r w:rsidR="00C376B1" w:rsidRPr="009772A3">
        <w:rPr>
          <w:rFonts w:asciiTheme="majorHAnsi" w:hAnsiTheme="majorHAnsi" w:cstheme="majorHAnsi"/>
          <w:sz w:val="24"/>
          <w:szCs w:val="24"/>
          <w:lang w:val="ro-MD"/>
        </w:rPr>
        <w:t xml:space="preserve"> 64.074,9 mii lei;</w:t>
      </w:r>
    </w:p>
    <w:p w14:paraId="199EED73" w14:textId="0979081B" w:rsidR="00C376B1" w:rsidRPr="009772A3" w:rsidRDefault="00DD0DE6" w:rsidP="003C2ED0">
      <w:pPr>
        <w:pStyle w:val="ListParagraph"/>
        <w:numPr>
          <w:ilvl w:val="2"/>
          <w:numId w:val="35"/>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w:t>
      </w:r>
      <w:r w:rsidR="00B22521" w:rsidRPr="009772A3">
        <w:rPr>
          <w:rFonts w:asciiTheme="majorHAnsi" w:hAnsiTheme="majorHAnsi" w:cstheme="majorHAnsi"/>
          <w:sz w:val="24"/>
          <w:szCs w:val="24"/>
          <w:lang w:val="ro-MD"/>
        </w:rPr>
        <w:t>heltuielile pentru remunerarea muncii neeacceptate spre recuperare prin tarif în perioada 2017-2021</w:t>
      </w:r>
      <w:r w:rsidRPr="009772A3">
        <w:rPr>
          <w:rFonts w:asciiTheme="majorHAnsi" w:hAnsiTheme="majorHAnsi" w:cstheme="majorHAnsi"/>
          <w:sz w:val="24"/>
          <w:szCs w:val="24"/>
          <w:lang w:val="ro-MD"/>
        </w:rPr>
        <w:t>,</w:t>
      </w:r>
      <w:r w:rsidR="00B22521" w:rsidRPr="009772A3">
        <w:rPr>
          <w:rFonts w:asciiTheme="majorHAnsi" w:hAnsiTheme="majorHAnsi" w:cstheme="majorHAnsi"/>
          <w:sz w:val="24"/>
          <w:szCs w:val="24"/>
          <w:lang w:val="ro-MD"/>
        </w:rPr>
        <w:t xml:space="preserve"> în sumă de 246.180,8 mii lei </w:t>
      </w:r>
      <w:r w:rsidR="00C376B1" w:rsidRPr="009772A3">
        <w:rPr>
          <w:rFonts w:asciiTheme="majorHAnsi" w:hAnsiTheme="majorHAnsi" w:cstheme="majorHAnsi"/>
          <w:sz w:val="24"/>
          <w:szCs w:val="24"/>
          <w:lang w:val="ro-MD"/>
        </w:rPr>
        <w:t>etc.</w:t>
      </w:r>
    </w:p>
    <w:p w14:paraId="2B844670" w14:textId="0338989B" w:rsidR="00C57C1C" w:rsidRPr="009772A3" w:rsidRDefault="009556A7" w:rsidP="00C57C1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Informații privind factorii ce au influențat neachitarea consumului curent de gaze naturale în perioada 2011</w:t>
      </w:r>
      <w:r w:rsidR="0031331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se prezintă în Anexa nr.10 la prezentul Raport de audit.</w:t>
      </w:r>
    </w:p>
    <w:p w14:paraId="74E572F2" w14:textId="30266242" w:rsidR="00720659" w:rsidRPr="009772A3" w:rsidRDefault="00720659" w:rsidP="003C2ED0">
      <w:pPr>
        <w:pStyle w:val="Heading1"/>
        <w:numPr>
          <w:ilvl w:val="2"/>
          <w:numId w:val="2"/>
        </w:numPr>
        <w:spacing w:line="276" w:lineRule="auto"/>
        <w:ind w:left="0" w:firstLine="0"/>
        <w:jc w:val="both"/>
        <w:rPr>
          <w:color w:val="auto"/>
          <w:lang w:val="ro-MD"/>
        </w:rPr>
      </w:pPr>
      <w:bookmarkStart w:id="233" w:name="_Toc119496460"/>
      <w:r w:rsidRPr="009772A3">
        <w:rPr>
          <w:rFonts w:cstheme="majorHAnsi"/>
          <w:bCs/>
          <w:iCs/>
          <w:noProof/>
          <w:color w:val="auto"/>
          <w:szCs w:val="24"/>
          <w:shd w:val="clear" w:color="auto" w:fill="FFFFFF"/>
          <w:lang w:val="ro-MD"/>
        </w:rPr>
        <w:t>ANRE nu are o abordare uniformă privind acceptarea unor</w:t>
      </w:r>
      <w:r w:rsidR="00313315" w:rsidRPr="009772A3">
        <w:rPr>
          <w:rFonts w:cstheme="majorHAnsi"/>
          <w:bCs/>
          <w:iCs/>
          <w:noProof/>
          <w:color w:val="auto"/>
          <w:szCs w:val="24"/>
          <w:shd w:val="clear" w:color="auto" w:fill="FFFFFF"/>
          <w:lang w:val="ro-MD"/>
        </w:rPr>
        <w:t>a</w:t>
      </w:r>
      <w:r w:rsidRPr="009772A3">
        <w:rPr>
          <w:rFonts w:cstheme="majorHAnsi"/>
          <w:bCs/>
          <w:iCs/>
          <w:noProof/>
          <w:color w:val="auto"/>
          <w:szCs w:val="24"/>
          <w:shd w:val="clear" w:color="auto" w:fill="FFFFFF"/>
          <w:lang w:val="ro-MD"/>
        </w:rPr>
        <w:t xml:space="preserve"> și acelorași tipuri de investiții și cheltuieli spre recuperare prin tarif.</w:t>
      </w:r>
      <w:bookmarkEnd w:id="233"/>
      <w:r w:rsidRPr="009772A3">
        <w:rPr>
          <w:rFonts w:cstheme="majorHAnsi"/>
          <w:bCs/>
          <w:iCs/>
          <w:noProof/>
          <w:color w:val="auto"/>
          <w:szCs w:val="24"/>
          <w:shd w:val="clear" w:color="auto" w:fill="FFFFFF"/>
          <w:lang w:val="ro-MD"/>
        </w:rPr>
        <w:t xml:space="preserve"> </w:t>
      </w:r>
    </w:p>
    <w:p w14:paraId="6FA50594" w14:textId="770ABA19" w:rsidR="005A0D22" w:rsidRPr="009772A3" w:rsidRDefault="005A0D22" w:rsidP="004F4116">
      <w:pPr>
        <w:spacing w:after="0" w:line="276" w:lineRule="auto"/>
        <w:ind w:firstLine="709"/>
        <w:jc w:val="both"/>
        <w:rPr>
          <w:rFonts w:asciiTheme="majorHAnsi" w:hAnsiTheme="majorHAnsi" w:cstheme="majorHAnsi"/>
          <w:bCs/>
          <w:i/>
          <w:iCs/>
          <w:noProof/>
          <w:sz w:val="24"/>
          <w:szCs w:val="24"/>
          <w:shd w:val="clear" w:color="auto" w:fill="FFFFFF"/>
          <w:lang w:val="ro-MD"/>
        </w:rPr>
      </w:pPr>
      <w:r w:rsidRPr="009772A3">
        <w:rPr>
          <w:rFonts w:asciiTheme="majorHAnsi" w:hAnsiTheme="majorHAnsi" w:cstheme="majorHAnsi"/>
          <w:bCs/>
          <w:i/>
          <w:iCs/>
          <w:noProof/>
          <w:sz w:val="24"/>
          <w:szCs w:val="24"/>
          <w:shd w:val="clear" w:color="auto" w:fill="FFFFFF"/>
          <w:lang w:val="ro-MD"/>
        </w:rPr>
        <w:t>Aplicarea neuniformă de către ANRE a principiilor de reglementare a tarifelor pentru serviciul de furnizare, transport și distribuție a gazelor naturale (de la o perioadă la alta și de la o entitate la alta), a influențat modul de determinare a cheltuielilor reglementate</w:t>
      </w:r>
      <w:r w:rsidR="00313315" w:rsidRPr="009772A3">
        <w:rPr>
          <w:rFonts w:asciiTheme="majorHAnsi" w:hAnsiTheme="majorHAnsi" w:cstheme="majorHAnsi"/>
          <w:bCs/>
          <w:i/>
          <w:iCs/>
          <w:noProof/>
          <w:sz w:val="24"/>
          <w:szCs w:val="24"/>
          <w:shd w:val="clear" w:color="auto" w:fill="FFFFFF"/>
          <w:lang w:val="ro-MD"/>
        </w:rPr>
        <w:t>,</w:t>
      </w:r>
      <w:r w:rsidRPr="009772A3">
        <w:rPr>
          <w:rFonts w:asciiTheme="majorHAnsi" w:hAnsiTheme="majorHAnsi" w:cstheme="majorHAnsi"/>
          <w:bCs/>
          <w:i/>
          <w:iCs/>
          <w:noProof/>
          <w:sz w:val="24"/>
          <w:szCs w:val="24"/>
          <w:shd w:val="clear" w:color="auto" w:fill="FFFFFF"/>
          <w:lang w:val="ro-MD"/>
        </w:rPr>
        <w:t xml:space="preserve"> cu impact asupra funcționării eficiente și asigurării viabilității financiare a întreprinderilor de gaze naturale.</w:t>
      </w:r>
    </w:p>
    <w:p w14:paraId="7A8FB576" w14:textId="73441AB1" w:rsidR="005A0D22" w:rsidRPr="009772A3" w:rsidRDefault="0033783C" w:rsidP="005A0D22">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A</w:t>
      </w:r>
      <w:r w:rsidR="005A0D22" w:rsidRPr="009772A3">
        <w:rPr>
          <w:rFonts w:asciiTheme="majorHAnsi" w:hAnsiTheme="majorHAnsi" w:cstheme="majorHAnsi"/>
          <w:bCs/>
          <w:iCs/>
          <w:noProof/>
          <w:sz w:val="24"/>
          <w:szCs w:val="24"/>
          <w:shd w:val="clear" w:color="auto" w:fill="FFFFFF"/>
          <w:lang w:val="ro-MD"/>
        </w:rPr>
        <w:t xml:space="preserve">uditul a constatat că ANRE nu are o abordare uniformă privind acceptarea sau neacceptarea </w:t>
      </w:r>
      <w:r w:rsidRPr="009772A3">
        <w:rPr>
          <w:rFonts w:asciiTheme="majorHAnsi" w:hAnsiTheme="majorHAnsi" w:cstheme="majorHAnsi"/>
          <w:bCs/>
          <w:iCs/>
          <w:noProof/>
          <w:sz w:val="24"/>
          <w:szCs w:val="24"/>
          <w:shd w:val="clear" w:color="auto" w:fill="FFFFFF"/>
          <w:lang w:val="ro-MD"/>
        </w:rPr>
        <w:t>unor</w:t>
      </w:r>
      <w:r w:rsidR="00313315" w:rsidRPr="009772A3">
        <w:rPr>
          <w:rFonts w:asciiTheme="majorHAnsi" w:hAnsiTheme="majorHAnsi" w:cstheme="majorHAnsi"/>
          <w:bCs/>
          <w:iCs/>
          <w:noProof/>
          <w:sz w:val="24"/>
          <w:szCs w:val="24"/>
          <w:shd w:val="clear" w:color="auto" w:fill="FFFFFF"/>
          <w:lang w:val="ro-MD"/>
        </w:rPr>
        <w:t>a</w:t>
      </w:r>
      <w:r w:rsidRPr="009772A3">
        <w:rPr>
          <w:rFonts w:asciiTheme="majorHAnsi" w:hAnsiTheme="majorHAnsi" w:cstheme="majorHAnsi"/>
          <w:bCs/>
          <w:iCs/>
          <w:noProof/>
          <w:sz w:val="24"/>
          <w:szCs w:val="24"/>
          <w:shd w:val="clear" w:color="auto" w:fill="FFFFFF"/>
          <w:lang w:val="ro-MD"/>
        </w:rPr>
        <w:t xml:space="preserve"> și acelorași tipuri de investiții și cheltuieli spre recuperare prin tarif</w:t>
      </w:r>
      <w:r w:rsidR="007F7C59" w:rsidRPr="009772A3">
        <w:rPr>
          <w:rFonts w:asciiTheme="majorHAnsi" w:hAnsiTheme="majorHAnsi" w:cstheme="majorHAnsi"/>
          <w:bCs/>
          <w:iCs/>
          <w:noProof/>
          <w:sz w:val="24"/>
          <w:szCs w:val="24"/>
          <w:shd w:val="clear" w:color="auto" w:fill="FFFFFF"/>
          <w:lang w:val="ro-MD"/>
        </w:rPr>
        <w:t>. T</w:t>
      </w:r>
      <w:r w:rsidR="005A0D22" w:rsidRPr="009772A3">
        <w:rPr>
          <w:rFonts w:asciiTheme="majorHAnsi" w:hAnsiTheme="majorHAnsi" w:cstheme="majorHAnsi"/>
          <w:bCs/>
          <w:iCs/>
          <w:noProof/>
          <w:sz w:val="24"/>
          <w:szCs w:val="24"/>
          <w:shd w:val="clear" w:color="auto" w:fill="FFFFFF"/>
          <w:lang w:val="ro-MD"/>
        </w:rPr>
        <w:t>otodată</w:t>
      </w:r>
      <w:r w:rsidR="00313315" w:rsidRPr="009772A3">
        <w:rPr>
          <w:rFonts w:asciiTheme="majorHAnsi" w:hAnsiTheme="majorHAnsi" w:cstheme="majorHAnsi"/>
          <w:bCs/>
          <w:iCs/>
          <w:noProof/>
          <w:sz w:val="24"/>
          <w:szCs w:val="24"/>
          <w:shd w:val="clear" w:color="auto" w:fill="FFFFFF"/>
          <w:lang w:val="ro-MD"/>
        </w:rPr>
        <w:t>,</w:t>
      </w:r>
      <w:r w:rsidR="005A0D22" w:rsidRPr="009772A3">
        <w:rPr>
          <w:rFonts w:asciiTheme="majorHAnsi" w:hAnsiTheme="majorHAnsi" w:cstheme="majorHAnsi"/>
          <w:bCs/>
          <w:iCs/>
          <w:noProof/>
          <w:sz w:val="24"/>
          <w:szCs w:val="24"/>
          <w:shd w:val="clear" w:color="auto" w:fill="FFFFFF"/>
          <w:lang w:val="ro-MD"/>
        </w:rPr>
        <w:t xml:space="preserve"> metodologiile de calculare, aprobare și aplicare a tarifelor reglementate de la o perioadă la alta se bazează pe principii și metode diferite de determinare a </w:t>
      </w:r>
      <w:r w:rsidR="00D116A6" w:rsidRPr="009772A3">
        <w:rPr>
          <w:rFonts w:asciiTheme="majorHAnsi" w:hAnsiTheme="majorHAnsi" w:cstheme="majorHAnsi"/>
          <w:bCs/>
          <w:iCs/>
          <w:noProof/>
          <w:sz w:val="24"/>
          <w:szCs w:val="24"/>
          <w:shd w:val="clear" w:color="auto" w:fill="FFFFFF"/>
          <w:lang w:val="ro-MD"/>
        </w:rPr>
        <w:t>cheltuielilor luate în calcul la stabilirea tarifelor</w:t>
      </w:r>
      <w:r w:rsidR="005A0D22" w:rsidRPr="009772A3">
        <w:rPr>
          <w:rFonts w:asciiTheme="majorHAnsi" w:hAnsiTheme="majorHAnsi" w:cstheme="majorHAnsi"/>
          <w:bCs/>
          <w:iCs/>
          <w:noProof/>
          <w:sz w:val="24"/>
          <w:szCs w:val="24"/>
          <w:shd w:val="clear" w:color="auto" w:fill="FFFFFF"/>
          <w:lang w:val="ro-MD"/>
        </w:rPr>
        <w:t xml:space="preserve"> reglementate, </w:t>
      </w:r>
      <w:r w:rsidR="00313315" w:rsidRPr="009772A3">
        <w:rPr>
          <w:rFonts w:asciiTheme="majorHAnsi" w:hAnsiTheme="majorHAnsi" w:cstheme="majorHAnsi"/>
          <w:bCs/>
          <w:iCs/>
          <w:noProof/>
          <w:sz w:val="24"/>
          <w:szCs w:val="24"/>
          <w:shd w:val="clear" w:color="auto" w:fill="FFFFFF"/>
          <w:lang w:val="ro-MD"/>
        </w:rPr>
        <w:t xml:space="preserve">fapt </w:t>
      </w:r>
      <w:r w:rsidR="005A0D22" w:rsidRPr="009772A3">
        <w:rPr>
          <w:rFonts w:asciiTheme="majorHAnsi" w:hAnsiTheme="majorHAnsi" w:cstheme="majorHAnsi"/>
          <w:bCs/>
          <w:iCs/>
          <w:noProof/>
          <w:sz w:val="24"/>
          <w:szCs w:val="24"/>
          <w:shd w:val="clear" w:color="auto" w:fill="FFFFFF"/>
          <w:lang w:val="ro-MD"/>
        </w:rPr>
        <w:t>ce influențează asupra funcționării eficiente și asigurării viabilității financiare a întreprinderilor de gaze naturale.</w:t>
      </w:r>
      <w:r w:rsidR="00AB7A75" w:rsidRPr="009772A3">
        <w:rPr>
          <w:rFonts w:asciiTheme="majorHAnsi" w:hAnsiTheme="majorHAnsi" w:cstheme="majorHAnsi"/>
          <w:bCs/>
          <w:iCs/>
          <w:noProof/>
          <w:sz w:val="24"/>
          <w:szCs w:val="24"/>
          <w:shd w:val="clear" w:color="auto" w:fill="FFFFFF"/>
          <w:lang w:val="ro-MD"/>
        </w:rPr>
        <w:t xml:space="preserve"> </w:t>
      </w:r>
      <w:r w:rsidR="005A0D22" w:rsidRPr="009772A3">
        <w:rPr>
          <w:rFonts w:asciiTheme="majorHAnsi" w:hAnsiTheme="majorHAnsi" w:cstheme="majorHAnsi"/>
          <w:bCs/>
          <w:iCs/>
          <w:noProof/>
          <w:sz w:val="24"/>
          <w:szCs w:val="24"/>
          <w:shd w:val="clear" w:color="auto" w:fill="FFFFFF"/>
          <w:lang w:val="ro-MD"/>
        </w:rPr>
        <w:t>De exemplu</w:t>
      </w:r>
      <w:r w:rsidR="00313315" w:rsidRPr="009772A3">
        <w:rPr>
          <w:rFonts w:asciiTheme="majorHAnsi" w:hAnsiTheme="majorHAnsi" w:cstheme="majorHAnsi"/>
          <w:bCs/>
          <w:iCs/>
          <w:noProof/>
          <w:sz w:val="24"/>
          <w:szCs w:val="24"/>
          <w:shd w:val="clear" w:color="auto" w:fill="FFFFFF"/>
          <w:lang w:val="ro-MD"/>
        </w:rPr>
        <w:t>,</w:t>
      </w:r>
    </w:p>
    <w:p w14:paraId="76316055" w14:textId="68920CF7" w:rsidR="005A0D22" w:rsidRPr="005142F3" w:rsidRDefault="005A0D22" w:rsidP="003C2ED0">
      <w:pPr>
        <w:pStyle w:val="ListParagraph"/>
        <w:numPr>
          <w:ilvl w:val="0"/>
          <w:numId w:val="12"/>
        </w:numPr>
        <w:spacing w:after="0" w:line="276" w:lineRule="auto"/>
        <w:ind w:left="709" w:hanging="283"/>
        <w:jc w:val="both"/>
        <w:rPr>
          <w:rFonts w:asciiTheme="majorHAnsi" w:hAnsiTheme="majorHAnsi" w:cstheme="majorHAnsi"/>
          <w:bCs/>
          <w:iCs/>
          <w:noProof/>
          <w:sz w:val="24"/>
          <w:szCs w:val="24"/>
          <w:shd w:val="clear" w:color="auto" w:fill="FFFFFF"/>
          <w:lang w:val="ro-MD"/>
        </w:rPr>
      </w:pPr>
      <w:r w:rsidRPr="005142F3">
        <w:rPr>
          <w:rFonts w:asciiTheme="majorHAnsi" w:hAnsiTheme="majorHAnsi" w:cstheme="majorHAnsi"/>
          <w:bCs/>
          <w:iCs/>
          <w:noProof/>
          <w:sz w:val="24"/>
          <w:szCs w:val="24"/>
          <w:shd w:val="clear" w:color="auto" w:fill="FFFFFF"/>
          <w:lang w:val="ro-MD"/>
        </w:rPr>
        <w:t>la SRL „Florești-gaz”</w:t>
      </w:r>
      <w:r w:rsidR="00313315" w:rsidRPr="005142F3">
        <w:rPr>
          <w:rFonts w:asciiTheme="majorHAnsi" w:hAnsiTheme="majorHAnsi" w:cstheme="majorHAnsi"/>
          <w:bCs/>
          <w:iCs/>
          <w:noProof/>
          <w:sz w:val="24"/>
          <w:szCs w:val="24"/>
          <w:shd w:val="clear" w:color="auto" w:fill="FFFFFF"/>
          <w:lang w:val="ro-MD"/>
        </w:rPr>
        <w:t>,</w:t>
      </w:r>
      <w:r w:rsidRPr="005142F3">
        <w:rPr>
          <w:rFonts w:asciiTheme="majorHAnsi" w:hAnsiTheme="majorHAnsi" w:cstheme="majorHAnsi"/>
          <w:bCs/>
          <w:iCs/>
          <w:noProof/>
          <w:sz w:val="24"/>
          <w:szCs w:val="24"/>
          <w:shd w:val="clear" w:color="auto" w:fill="FFFFFF"/>
          <w:lang w:val="ro-MD"/>
        </w:rPr>
        <w:t xml:space="preserve"> ANRE a acceptat </w:t>
      </w:r>
      <w:r w:rsidR="00AB7A75" w:rsidRPr="005142F3">
        <w:rPr>
          <w:rFonts w:asciiTheme="majorHAnsi" w:hAnsiTheme="majorHAnsi" w:cstheme="majorHAnsi"/>
          <w:bCs/>
          <w:iCs/>
          <w:noProof/>
          <w:sz w:val="24"/>
          <w:szCs w:val="24"/>
          <w:shd w:val="clear" w:color="auto" w:fill="FFFFFF"/>
          <w:lang w:val="ro-MD"/>
        </w:rPr>
        <w:t xml:space="preserve">parțial </w:t>
      </w:r>
      <w:r w:rsidRPr="005142F3">
        <w:rPr>
          <w:rFonts w:asciiTheme="majorHAnsi" w:hAnsiTheme="majorHAnsi" w:cstheme="majorHAnsi"/>
          <w:bCs/>
          <w:iCs/>
          <w:noProof/>
          <w:sz w:val="24"/>
          <w:szCs w:val="24"/>
          <w:shd w:val="clear" w:color="auto" w:fill="FFFFFF"/>
          <w:lang w:val="ro-MD"/>
        </w:rPr>
        <w:t>în scopuri tarifare investițiile în implementarea sistemului de citire la distanță,</w:t>
      </w:r>
      <w:r w:rsidR="00D116A6" w:rsidRPr="005142F3">
        <w:rPr>
          <w:rFonts w:asciiTheme="majorHAnsi" w:hAnsiTheme="majorHAnsi" w:cstheme="majorHAnsi"/>
          <w:bCs/>
          <w:iCs/>
          <w:noProof/>
          <w:sz w:val="24"/>
          <w:szCs w:val="24"/>
          <w:shd w:val="clear" w:color="auto" w:fill="FFFFFF"/>
          <w:lang w:val="ro-MD"/>
        </w:rPr>
        <w:t xml:space="preserve"> în sumă totală de 5.331,5 mii lei</w:t>
      </w:r>
      <w:r w:rsidR="00313315" w:rsidRPr="005142F3">
        <w:rPr>
          <w:rFonts w:asciiTheme="majorHAnsi" w:hAnsiTheme="majorHAnsi" w:cstheme="majorHAnsi"/>
          <w:bCs/>
          <w:iCs/>
          <w:noProof/>
          <w:sz w:val="24"/>
          <w:szCs w:val="24"/>
          <w:shd w:val="clear" w:color="auto" w:fill="FFFFFF"/>
          <w:lang w:val="ro-MD"/>
        </w:rPr>
        <w:t>,</w:t>
      </w:r>
      <w:r w:rsidR="00D116A6" w:rsidRPr="005142F3">
        <w:rPr>
          <w:rFonts w:asciiTheme="majorHAnsi" w:hAnsiTheme="majorHAnsi" w:cstheme="majorHAnsi"/>
          <w:bCs/>
          <w:iCs/>
          <w:noProof/>
          <w:sz w:val="24"/>
          <w:szCs w:val="24"/>
          <w:shd w:val="clear" w:color="auto" w:fill="FFFFFF"/>
          <w:lang w:val="ro-MD"/>
        </w:rPr>
        <w:t xml:space="preserve"> efectuate în anul 2017,</w:t>
      </w:r>
      <w:r w:rsidRPr="005142F3">
        <w:rPr>
          <w:rFonts w:asciiTheme="majorHAnsi" w:hAnsiTheme="majorHAnsi" w:cstheme="majorHAnsi"/>
          <w:bCs/>
          <w:iCs/>
          <w:noProof/>
          <w:sz w:val="24"/>
          <w:szCs w:val="24"/>
          <w:shd w:val="clear" w:color="auto" w:fill="FFFFFF"/>
          <w:lang w:val="ro-MD"/>
        </w:rPr>
        <w:t xml:space="preserve"> însă la SRL „Chișinău-gaz” acestea</w:t>
      </w:r>
      <w:r w:rsidR="00D116A6" w:rsidRPr="005142F3">
        <w:rPr>
          <w:rFonts w:asciiTheme="majorHAnsi" w:hAnsiTheme="majorHAnsi" w:cstheme="majorHAnsi"/>
          <w:bCs/>
          <w:iCs/>
          <w:noProof/>
          <w:sz w:val="24"/>
          <w:szCs w:val="24"/>
          <w:shd w:val="clear" w:color="auto" w:fill="FFFFFF"/>
          <w:lang w:val="ro-MD"/>
        </w:rPr>
        <w:t>, în sumă totală de 16.566,8 mii lei efectuate în anul 2019,</w:t>
      </w:r>
      <w:r w:rsidRPr="005142F3">
        <w:rPr>
          <w:rFonts w:asciiTheme="majorHAnsi" w:hAnsiTheme="majorHAnsi" w:cstheme="majorHAnsi"/>
          <w:bCs/>
          <w:iCs/>
          <w:noProof/>
          <w:sz w:val="24"/>
          <w:szCs w:val="24"/>
          <w:shd w:val="clear" w:color="auto" w:fill="FFFFFF"/>
          <w:lang w:val="ro-MD"/>
        </w:rPr>
        <w:t xml:space="preserve"> nu au fost acceptate;</w:t>
      </w:r>
    </w:p>
    <w:p w14:paraId="05749154" w14:textId="7F5654E6" w:rsidR="007F7C59" w:rsidRPr="009772A3" w:rsidRDefault="007F7C59" w:rsidP="003C2ED0">
      <w:pPr>
        <w:pStyle w:val="ListParagraph"/>
        <w:numPr>
          <w:ilvl w:val="0"/>
          <w:numId w:val="12"/>
        </w:numPr>
        <w:spacing w:after="0" w:line="276" w:lineRule="auto"/>
        <w:ind w:left="709" w:hanging="283"/>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diferențele de curs valutar</w:t>
      </w:r>
      <w:r w:rsidR="0061292E"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până în anul 2014</w:t>
      </w:r>
      <w:r w:rsidR="0061292E" w:rsidRPr="009772A3">
        <w:rPr>
          <w:rFonts w:asciiTheme="majorHAnsi" w:hAnsiTheme="majorHAnsi" w:cstheme="majorHAnsi"/>
          <w:bCs/>
          <w:iCs/>
          <w:noProof/>
          <w:sz w:val="24"/>
          <w:szCs w:val="24"/>
          <w:shd w:val="clear" w:color="auto" w:fill="FFFFFF"/>
          <w:lang w:val="ro-MD"/>
        </w:rPr>
        <w:t>, în sumă totală de 102.712,0 mii lei,</w:t>
      </w:r>
      <w:r w:rsidRPr="009772A3">
        <w:rPr>
          <w:rFonts w:asciiTheme="majorHAnsi" w:hAnsiTheme="majorHAnsi" w:cstheme="majorHAnsi"/>
          <w:bCs/>
          <w:iCs/>
          <w:noProof/>
          <w:sz w:val="24"/>
          <w:szCs w:val="24"/>
          <w:shd w:val="clear" w:color="auto" w:fill="FFFFFF"/>
          <w:lang w:val="ro-MD"/>
        </w:rPr>
        <w:t xml:space="preserve"> nu au fost acceptate de ANRE pentru includerea în baza de calcul a tarifelor, însă </w:t>
      </w:r>
      <w:r w:rsidR="009B3D1D" w:rsidRPr="009772A3">
        <w:rPr>
          <w:rFonts w:asciiTheme="majorHAnsi" w:hAnsiTheme="majorHAnsi" w:cstheme="majorHAnsi"/>
          <w:bCs/>
          <w:iCs/>
          <w:noProof/>
          <w:sz w:val="24"/>
          <w:szCs w:val="24"/>
          <w:shd w:val="clear" w:color="auto" w:fill="FFFFFF"/>
          <w:lang w:val="ro-MD"/>
        </w:rPr>
        <w:t xml:space="preserve">din </w:t>
      </w:r>
      <w:r w:rsidRPr="009772A3">
        <w:rPr>
          <w:rFonts w:asciiTheme="majorHAnsi" w:hAnsiTheme="majorHAnsi" w:cstheme="majorHAnsi"/>
          <w:bCs/>
          <w:iCs/>
          <w:noProof/>
          <w:sz w:val="24"/>
          <w:szCs w:val="24"/>
          <w:shd w:val="clear" w:color="auto" w:fill="FFFFFF"/>
          <w:lang w:val="ro-MD"/>
        </w:rPr>
        <w:t xml:space="preserve">2014 au fost acceptate, chiar dacă metodologia până în </w:t>
      </w:r>
      <w:r w:rsidR="002F319F" w:rsidRPr="009772A3">
        <w:rPr>
          <w:rFonts w:asciiTheme="majorHAnsi" w:hAnsiTheme="majorHAnsi" w:cstheme="majorHAnsi"/>
          <w:bCs/>
          <w:iCs/>
          <w:noProof/>
          <w:sz w:val="24"/>
          <w:szCs w:val="24"/>
          <w:shd w:val="clear" w:color="auto" w:fill="FFFFFF"/>
          <w:lang w:val="ro-MD"/>
        </w:rPr>
        <w:t>2014 și după 2014 nu interzicea</w:t>
      </w:r>
      <w:r w:rsidR="009B3D1D" w:rsidRPr="009772A3">
        <w:rPr>
          <w:rFonts w:asciiTheme="majorHAnsi" w:hAnsiTheme="majorHAnsi" w:cstheme="majorHAnsi"/>
          <w:bCs/>
          <w:iCs/>
          <w:noProof/>
          <w:sz w:val="24"/>
          <w:szCs w:val="24"/>
          <w:shd w:val="clear" w:color="auto" w:fill="FFFFFF"/>
          <w:lang w:val="ro-MD"/>
        </w:rPr>
        <w:t xml:space="preserve"> acest fapt</w:t>
      </w:r>
      <w:r w:rsidR="002F319F" w:rsidRPr="009772A3">
        <w:rPr>
          <w:rFonts w:asciiTheme="majorHAnsi" w:hAnsiTheme="majorHAnsi" w:cstheme="majorHAnsi"/>
          <w:bCs/>
          <w:iCs/>
          <w:noProof/>
          <w:sz w:val="24"/>
          <w:szCs w:val="24"/>
          <w:shd w:val="clear" w:color="auto" w:fill="FFFFFF"/>
          <w:lang w:val="ro-MD"/>
        </w:rPr>
        <w:t>;</w:t>
      </w:r>
    </w:p>
    <w:p w14:paraId="73ABB63E" w14:textId="2743755C" w:rsidR="00B12AB0" w:rsidRPr="009772A3" w:rsidRDefault="00B12AB0" w:rsidP="003C2ED0">
      <w:pPr>
        <w:pStyle w:val="ListParagraph"/>
        <w:numPr>
          <w:ilvl w:val="0"/>
          <w:numId w:val="12"/>
        </w:numPr>
        <w:spacing w:after="0" w:line="276" w:lineRule="auto"/>
        <w:ind w:left="709" w:hanging="283"/>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deși conform Legii </w:t>
      </w:r>
      <w:r w:rsidR="00313315" w:rsidRPr="009772A3">
        <w:rPr>
          <w:rFonts w:asciiTheme="majorHAnsi" w:hAnsiTheme="majorHAnsi" w:cstheme="majorHAnsi"/>
          <w:bCs/>
          <w:iCs/>
          <w:noProof/>
          <w:sz w:val="24"/>
          <w:szCs w:val="24"/>
          <w:shd w:val="clear" w:color="auto" w:fill="FFFFFF"/>
          <w:lang w:val="ro-MD"/>
        </w:rPr>
        <w:t>nr.</w:t>
      </w:r>
      <w:r w:rsidRPr="009772A3">
        <w:rPr>
          <w:rFonts w:asciiTheme="majorHAnsi" w:hAnsiTheme="majorHAnsi" w:cstheme="majorHAnsi"/>
          <w:bCs/>
          <w:iCs/>
          <w:noProof/>
          <w:sz w:val="24"/>
          <w:szCs w:val="24"/>
          <w:shd w:val="clear" w:color="auto" w:fill="FFFFFF"/>
          <w:lang w:val="ro-MD"/>
        </w:rPr>
        <w:t>108/2016</w:t>
      </w:r>
      <w:r w:rsidRPr="009772A3">
        <w:rPr>
          <w:rStyle w:val="FootnoteReference"/>
          <w:rFonts w:asciiTheme="majorHAnsi" w:hAnsiTheme="majorHAnsi" w:cstheme="majorHAnsi"/>
          <w:bCs/>
          <w:iCs/>
          <w:noProof/>
          <w:sz w:val="24"/>
          <w:szCs w:val="24"/>
          <w:shd w:val="clear" w:color="auto" w:fill="FFFFFF"/>
          <w:lang w:val="ro-MD"/>
        </w:rPr>
        <w:footnoteReference w:id="178"/>
      </w:r>
      <w:r w:rsidRPr="009772A3">
        <w:rPr>
          <w:rFonts w:asciiTheme="majorHAnsi" w:hAnsiTheme="majorHAnsi" w:cstheme="majorHAnsi"/>
          <w:bCs/>
          <w:iCs/>
          <w:noProof/>
          <w:sz w:val="24"/>
          <w:szCs w:val="24"/>
          <w:shd w:val="clear" w:color="auto" w:fill="FFFFFF"/>
          <w:lang w:val="ro-MD"/>
        </w:rPr>
        <w:t xml:space="preserve">, întreprinderile de gaze naturale, indiferent de tipul de proprietate şi de forma juridică de organizare, întocmesc, supun auditului şi publică situaţiile lor financiare anuale, </w:t>
      </w:r>
      <w:r w:rsidR="009B3D1D" w:rsidRPr="009772A3">
        <w:rPr>
          <w:rFonts w:asciiTheme="majorHAnsi" w:hAnsiTheme="majorHAnsi" w:cstheme="majorHAnsi"/>
          <w:bCs/>
          <w:iCs/>
          <w:noProof/>
          <w:sz w:val="24"/>
          <w:szCs w:val="24"/>
          <w:shd w:val="clear" w:color="auto" w:fill="FFFFFF"/>
          <w:lang w:val="ro-MD"/>
        </w:rPr>
        <w:t>iar conform</w:t>
      </w:r>
      <w:r w:rsidRPr="009772A3">
        <w:rPr>
          <w:rFonts w:asciiTheme="majorHAnsi" w:hAnsiTheme="majorHAnsi" w:cstheme="majorHAnsi"/>
          <w:bCs/>
          <w:iCs/>
          <w:noProof/>
          <w:sz w:val="24"/>
          <w:szCs w:val="24"/>
          <w:shd w:val="clear" w:color="auto" w:fill="FFFFFF"/>
          <w:lang w:val="ro-MD"/>
        </w:rPr>
        <w:t xml:space="preserve"> prevederilor metodologiei de calculare, aprobare și aplicare a tarifelor și prețurilor reglementate la gazele naturale</w:t>
      </w:r>
      <w:r w:rsidRPr="009772A3">
        <w:rPr>
          <w:rFonts w:asciiTheme="majorHAnsi" w:hAnsiTheme="majorHAnsi" w:cstheme="majorHAnsi"/>
          <w:bCs/>
          <w:iCs/>
          <w:noProof/>
          <w:sz w:val="24"/>
          <w:szCs w:val="24"/>
          <w:shd w:val="clear" w:color="auto" w:fill="FFFFFF"/>
          <w:vertAlign w:val="superscript"/>
          <w:lang w:val="ro-MD"/>
        </w:rPr>
        <w:footnoteReference w:id="179"/>
      </w:r>
      <w:r w:rsidRPr="009772A3">
        <w:rPr>
          <w:rFonts w:asciiTheme="majorHAnsi" w:hAnsiTheme="majorHAnsi" w:cstheme="majorHAnsi"/>
          <w:bCs/>
          <w:iCs/>
          <w:noProof/>
          <w:sz w:val="24"/>
          <w:szCs w:val="24"/>
          <w:shd w:val="clear" w:color="auto" w:fill="FFFFFF"/>
          <w:lang w:val="ro-MD"/>
        </w:rPr>
        <w:t>, cheltuilile privind auditul se includ în costul reglementat spre recuperare prin tarif, ANRE nu a acceptat, pentru anii 2017</w:t>
      </w:r>
      <w:r w:rsidR="00313315"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2020, cheltuielile aferente spre recunoaștere în scopuri tarifare.</w:t>
      </w:r>
    </w:p>
    <w:p w14:paraId="3FEB17BF" w14:textId="43B49083" w:rsidR="00FF59ED" w:rsidRPr="009772A3" w:rsidRDefault="00FF59ED" w:rsidP="00FF59ED">
      <w:pPr>
        <w:spacing w:after="0" w:line="276" w:lineRule="auto"/>
        <w:ind w:firstLine="720"/>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De asemenea, SA Moldovagaz a comunicat că neconformarea </w:t>
      </w:r>
      <w:r w:rsidRPr="009772A3">
        <w:rPr>
          <w:rFonts w:asciiTheme="majorHAnsi" w:hAnsiTheme="majorHAnsi" w:cstheme="majorHAnsi"/>
          <w:sz w:val="24"/>
          <w:szCs w:val="24"/>
          <w:lang w:val="ro-MD"/>
        </w:rPr>
        <w:t xml:space="preserve">de către ANRE a </w:t>
      </w:r>
      <w:r w:rsidRPr="009772A3">
        <w:rPr>
          <w:rFonts w:asciiTheme="majorHAnsi" w:hAnsiTheme="majorHAnsi" w:cstheme="majorHAnsi"/>
          <w:bCs/>
          <w:iCs/>
          <w:noProof/>
          <w:sz w:val="24"/>
          <w:szCs w:val="24"/>
          <w:shd w:val="clear" w:color="auto" w:fill="FFFFFF"/>
          <w:lang w:val="ro-MD"/>
        </w:rPr>
        <w:t>M</w:t>
      </w:r>
      <w:r w:rsidRPr="009772A3">
        <w:rPr>
          <w:rFonts w:asciiTheme="majorHAnsi" w:hAnsiTheme="majorHAnsi" w:cstheme="majorHAnsi"/>
          <w:sz w:val="24"/>
          <w:szCs w:val="24"/>
          <w:lang w:val="ro-MD"/>
        </w:rPr>
        <w:t xml:space="preserve">etodologiei nr. 678 din 2014 la prevederile art.98 </w:t>
      </w:r>
      <w:r w:rsidR="00E5781B" w:rsidRPr="009772A3">
        <w:rPr>
          <w:rFonts w:asciiTheme="majorHAnsi" w:hAnsiTheme="majorHAnsi" w:cstheme="majorHAnsi"/>
          <w:sz w:val="24"/>
          <w:szCs w:val="24"/>
          <w:lang w:val="ro-MD"/>
        </w:rPr>
        <w:t xml:space="preserve">alin. </w:t>
      </w:r>
      <w:r w:rsidRPr="009772A3">
        <w:rPr>
          <w:rFonts w:asciiTheme="majorHAnsi" w:hAnsiTheme="majorHAnsi" w:cstheme="majorHAnsi"/>
          <w:sz w:val="24"/>
          <w:szCs w:val="24"/>
          <w:lang w:val="ro-MD"/>
        </w:rPr>
        <w:t>(4)</w:t>
      </w:r>
      <w:r w:rsidRPr="009772A3">
        <w:rPr>
          <w:rStyle w:val="FootnoteReference"/>
          <w:rFonts w:asciiTheme="majorHAnsi" w:hAnsiTheme="majorHAnsi" w:cstheme="majorHAnsi"/>
          <w:sz w:val="24"/>
          <w:szCs w:val="24"/>
          <w:lang w:val="ro-MD"/>
        </w:rPr>
        <w:footnoteReference w:id="180"/>
      </w:r>
      <w:r w:rsidRPr="009772A3">
        <w:rPr>
          <w:rFonts w:asciiTheme="majorHAnsi" w:hAnsiTheme="majorHAnsi" w:cstheme="majorHAnsi"/>
          <w:sz w:val="24"/>
          <w:szCs w:val="24"/>
          <w:lang w:val="ro-MD"/>
        </w:rPr>
        <w:t xml:space="preserve"> și art. 7 pct.2 </w:t>
      </w:r>
      <w:r w:rsidR="00E5781B" w:rsidRPr="009772A3">
        <w:rPr>
          <w:rFonts w:asciiTheme="majorHAnsi" w:hAnsiTheme="majorHAnsi" w:cstheme="majorHAnsi"/>
          <w:sz w:val="24"/>
          <w:szCs w:val="24"/>
          <w:lang w:val="ro-MD"/>
        </w:rPr>
        <w:t>lit.</w:t>
      </w:r>
      <w:r w:rsidRPr="009772A3">
        <w:rPr>
          <w:rFonts w:asciiTheme="majorHAnsi" w:hAnsiTheme="majorHAnsi" w:cstheme="majorHAnsi"/>
          <w:sz w:val="24"/>
          <w:szCs w:val="24"/>
          <w:lang w:val="ro-MD"/>
        </w:rPr>
        <w:t xml:space="preserve"> (h)</w:t>
      </w:r>
      <w:r w:rsidRPr="009772A3">
        <w:rPr>
          <w:rStyle w:val="FootnoteReference"/>
          <w:rFonts w:asciiTheme="majorHAnsi" w:hAnsiTheme="majorHAnsi" w:cstheme="majorHAnsi"/>
          <w:sz w:val="24"/>
          <w:szCs w:val="24"/>
          <w:lang w:val="ro-MD"/>
        </w:rPr>
        <w:footnoteReference w:id="181"/>
      </w:r>
      <w:r w:rsidRPr="009772A3">
        <w:rPr>
          <w:rFonts w:asciiTheme="majorHAnsi" w:hAnsiTheme="majorHAnsi" w:cstheme="majorHAnsi"/>
          <w:sz w:val="24"/>
          <w:szCs w:val="24"/>
          <w:lang w:val="ro-MD"/>
        </w:rPr>
        <w:t xml:space="preserve"> din Legea nr. 108/2016, a </w:t>
      </w:r>
      <w:r w:rsidR="000054B7" w:rsidRPr="009772A3">
        <w:rPr>
          <w:rFonts w:asciiTheme="majorHAnsi" w:hAnsiTheme="majorHAnsi" w:cstheme="majorHAnsi"/>
          <w:sz w:val="24"/>
          <w:szCs w:val="24"/>
          <w:lang w:val="ro-MD"/>
        </w:rPr>
        <w:t xml:space="preserve">afectat </w:t>
      </w:r>
      <w:r w:rsidRPr="009772A3">
        <w:rPr>
          <w:rFonts w:asciiTheme="majorHAnsi" w:hAnsiTheme="majorHAnsi" w:cstheme="majorHAnsi"/>
          <w:sz w:val="24"/>
          <w:szCs w:val="24"/>
          <w:lang w:val="ro-MD"/>
        </w:rPr>
        <w:t xml:space="preserve">corectitudinea aplicării tarifelor de către SRL Moldovatransgaz. Astfel, reieșind din prevederile pct. 19 al Metodologiei nr. 678 din 2014, </w:t>
      </w:r>
      <w:r w:rsidRPr="009772A3">
        <w:rPr>
          <w:rFonts w:asciiTheme="majorHAnsi" w:hAnsiTheme="majorHAnsi" w:cstheme="majorHAnsi"/>
          <w:bCs/>
          <w:iCs/>
          <w:noProof/>
          <w:sz w:val="24"/>
          <w:szCs w:val="24"/>
          <w:shd w:val="clear" w:color="auto" w:fill="FFFFFF"/>
          <w:lang w:val="ro-MD"/>
        </w:rPr>
        <w:t>SA Moldovagaz consideră că ANRE a exc</w:t>
      </w:r>
      <w:r w:rsidR="00E5781B" w:rsidRPr="009772A3">
        <w:rPr>
          <w:rFonts w:asciiTheme="majorHAnsi" w:hAnsiTheme="majorHAnsi" w:cstheme="majorHAnsi"/>
          <w:bCs/>
          <w:iCs/>
          <w:noProof/>
          <w:sz w:val="24"/>
          <w:szCs w:val="24"/>
          <w:shd w:val="clear" w:color="auto" w:fill="FFFFFF"/>
          <w:lang w:val="ro-MD"/>
        </w:rPr>
        <w:t>l</w:t>
      </w:r>
      <w:r w:rsidRPr="009772A3">
        <w:rPr>
          <w:rFonts w:asciiTheme="majorHAnsi" w:hAnsiTheme="majorHAnsi" w:cstheme="majorHAnsi"/>
          <w:bCs/>
          <w:iCs/>
          <w:noProof/>
          <w:sz w:val="24"/>
          <w:szCs w:val="24"/>
          <w:shd w:val="clear" w:color="auto" w:fill="FFFFFF"/>
          <w:lang w:val="ro-MD"/>
        </w:rPr>
        <w:t xml:space="preserve">us dublu </w:t>
      </w:r>
      <w:r w:rsidRPr="009772A3">
        <w:rPr>
          <w:rFonts w:asciiTheme="majorHAnsi" w:hAnsiTheme="majorHAnsi" w:cstheme="majorHAnsi"/>
          <w:sz w:val="24"/>
          <w:szCs w:val="24"/>
          <w:lang w:val="ro-MD"/>
        </w:rPr>
        <w:t>venitul obținut conform contractelor pentru transportul fluxurilor transfrontaliere de gaze naturale</w:t>
      </w:r>
      <w:r w:rsidR="00E5781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o</w:t>
      </w:r>
      <w:r w:rsidR="000054B7"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dată la d</w:t>
      </w:r>
      <w:r w:rsidR="000054B7"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terminarea t</w:t>
      </w:r>
      <w:r w:rsidRPr="009772A3">
        <w:rPr>
          <w:rFonts w:asciiTheme="majorHAnsi" w:hAnsiTheme="majorHAnsi"/>
          <w:sz w:val="24"/>
          <w:szCs w:val="24"/>
          <w:lang w:val="ro-MD"/>
        </w:rPr>
        <w:t xml:space="preserve">arifului mediu final la gazele naturale furnizate de către furnizorul de gaze naturale și a doua oară </w:t>
      </w:r>
      <w:r w:rsidR="00E5781B" w:rsidRPr="009772A3">
        <w:rPr>
          <w:rFonts w:asciiTheme="majorHAnsi" w:hAnsiTheme="majorHAnsi" w:cstheme="majorHAnsi"/>
          <w:sz w:val="24"/>
          <w:szCs w:val="24"/>
          <w:lang w:val="ro-MD"/>
        </w:rPr>
        <w:t xml:space="preserve">– </w:t>
      </w:r>
      <w:r w:rsidRPr="009772A3">
        <w:rPr>
          <w:rFonts w:asciiTheme="majorHAnsi" w:hAnsiTheme="majorHAnsi"/>
          <w:sz w:val="24"/>
          <w:szCs w:val="24"/>
          <w:lang w:val="ro-MD"/>
        </w:rPr>
        <w:t>la determinarea tarifelor reglementate pentru serviciul de transport.</w:t>
      </w:r>
    </w:p>
    <w:p w14:paraId="25FB442A" w14:textId="0118D9AB" w:rsidR="00472979" w:rsidRPr="009772A3" w:rsidRDefault="00472979" w:rsidP="003C2ED0">
      <w:pPr>
        <w:pStyle w:val="Heading1"/>
        <w:numPr>
          <w:ilvl w:val="2"/>
          <w:numId w:val="2"/>
        </w:numPr>
        <w:spacing w:line="276" w:lineRule="auto"/>
        <w:ind w:left="0" w:firstLine="0"/>
        <w:jc w:val="both"/>
        <w:rPr>
          <w:color w:val="auto"/>
          <w:lang w:val="ro-MD"/>
        </w:rPr>
      </w:pPr>
      <w:bookmarkStart w:id="234" w:name="_Toc119496461"/>
      <w:r w:rsidRPr="009772A3">
        <w:rPr>
          <w:color w:val="auto"/>
          <w:lang w:val="ro-MD"/>
        </w:rPr>
        <w:t>Întreprinderile de distribuție a gazelor naturale nu și-au realizat pe deplin angajamentele contractuale și au admis datorii compromise față de SA Moldovagaz în sumă totală de cca 1.603.528,2 mii lei.</w:t>
      </w:r>
      <w:bookmarkEnd w:id="234"/>
      <w:r w:rsidRPr="009772A3">
        <w:rPr>
          <w:color w:val="auto"/>
          <w:lang w:val="ro-MD"/>
        </w:rPr>
        <w:t xml:space="preserve"> </w:t>
      </w:r>
    </w:p>
    <w:p w14:paraId="3372C085" w14:textId="314FB445" w:rsidR="00472979" w:rsidRPr="009772A3" w:rsidRDefault="00472979"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Până în anul 2016, companiile de distribuție asigurau și funcția de furnizare a gazelor naturale către consumatorii finali, în baza contractelor încheiate cu SA Moldovagaz. Conform contractelor de furnizare a gazelor naturale, companiile de distribuție se obligau să procure, să furnizeze, să colecteze și </w:t>
      </w:r>
      <w:r w:rsidR="000E5EEB" w:rsidRPr="009772A3">
        <w:rPr>
          <w:rFonts w:asciiTheme="majorHAnsi" w:hAnsiTheme="majorHAnsi" w:cstheme="majorHAnsi"/>
          <w:bCs/>
          <w:iCs/>
          <w:noProof/>
          <w:sz w:val="24"/>
          <w:szCs w:val="24"/>
          <w:shd w:val="clear" w:color="auto" w:fill="FFFFFF"/>
          <w:lang w:val="ro-MD"/>
        </w:rPr>
        <w:t xml:space="preserve">să </w:t>
      </w:r>
      <w:r w:rsidRPr="009772A3">
        <w:rPr>
          <w:rFonts w:asciiTheme="majorHAnsi" w:hAnsiTheme="majorHAnsi" w:cstheme="majorHAnsi"/>
          <w:bCs/>
          <w:iCs/>
          <w:noProof/>
          <w:sz w:val="24"/>
          <w:szCs w:val="24"/>
          <w:shd w:val="clear" w:color="auto" w:fill="FFFFFF"/>
          <w:lang w:val="ro-MD"/>
        </w:rPr>
        <w:t xml:space="preserve">încaseze plățile de la consumatori cu achitarea gazelor procurate de la SA Moldovagaz. </w:t>
      </w:r>
    </w:p>
    <w:p w14:paraId="5450902C" w14:textId="77777777" w:rsidR="00472979" w:rsidRPr="009772A3" w:rsidRDefault="00472979"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Totodată, companiile de distribuție, conform contratelelor de distribuție, asigură achitarea diferenței între volumul gazelor primite spre distribuție și cele de facto furnizate consumatorilor finali, care reprezintă pierderile și consumul tehnologic al acestora</w:t>
      </w:r>
      <w:r w:rsidRPr="009772A3">
        <w:rPr>
          <w:rStyle w:val="FootnoteReference"/>
          <w:rFonts w:asciiTheme="majorHAnsi" w:hAnsiTheme="majorHAnsi" w:cstheme="majorHAnsi"/>
          <w:bCs/>
          <w:iCs/>
          <w:noProof/>
          <w:sz w:val="24"/>
          <w:szCs w:val="24"/>
          <w:shd w:val="clear" w:color="auto" w:fill="FFFFFF"/>
          <w:lang w:val="ro-MD"/>
        </w:rPr>
        <w:footnoteReference w:id="182"/>
      </w:r>
      <w:r w:rsidRPr="009772A3">
        <w:rPr>
          <w:rFonts w:asciiTheme="majorHAnsi" w:hAnsiTheme="majorHAnsi" w:cstheme="majorHAnsi"/>
          <w:bCs/>
          <w:iCs/>
          <w:noProof/>
          <w:sz w:val="24"/>
          <w:szCs w:val="24"/>
          <w:shd w:val="clear" w:color="auto" w:fill="FFFFFF"/>
          <w:lang w:val="ro-MD"/>
        </w:rPr>
        <w:t>.</w:t>
      </w:r>
    </w:p>
    <w:p w14:paraId="31B7CA5E" w14:textId="77777777" w:rsidR="00472979" w:rsidRPr="009772A3" w:rsidRDefault="00472979"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Probele colectate de audit denotă că companiile de distribuție nu și-au onorat pe deplin și conform angajamentele de plată asumate prin contractele de procurare și distribuție a gazelor naturale, au admis datorii, inclusiv cu termenul de achitare și prescripție expirat, care la 31.12.2021 au însumat 1.603.528,2 mii lei.</w:t>
      </w:r>
    </w:p>
    <w:p w14:paraId="72DB3E94" w14:textId="7152510B" w:rsidR="00472979" w:rsidRPr="009772A3" w:rsidRDefault="00472979"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Totodată, </w:t>
      </w:r>
      <w:r w:rsidR="00950E1B" w:rsidRPr="009772A3">
        <w:rPr>
          <w:rFonts w:asciiTheme="majorHAnsi" w:hAnsiTheme="majorHAnsi" w:cstheme="majorHAnsi"/>
          <w:bCs/>
          <w:iCs/>
          <w:noProof/>
          <w:sz w:val="24"/>
          <w:szCs w:val="24"/>
          <w:shd w:val="clear" w:color="auto" w:fill="FFFFFF"/>
          <w:lang w:val="ro-MD"/>
        </w:rPr>
        <w:t xml:space="preserve">ca </w:t>
      </w:r>
      <w:r w:rsidRPr="009772A3">
        <w:rPr>
          <w:rFonts w:asciiTheme="majorHAnsi" w:hAnsiTheme="majorHAnsi" w:cstheme="majorHAnsi"/>
          <w:bCs/>
          <w:iCs/>
          <w:noProof/>
          <w:sz w:val="24"/>
          <w:szCs w:val="24"/>
          <w:shd w:val="clear" w:color="auto" w:fill="FFFFFF"/>
          <w:lang w:val="ro-MD"/>
        </w:rPr>
        <w:t xml:space="preserve">urmare </w:t>
      </w:r>
      <w:r w:rsidR="00950E1B" w:rsidRPr="009772A3">
        <w:rPr>
          <w:rFonts w:asciiTheme="majorHAnsi" w:hAnsiTheme="majorHAnsi" w:cstheme="majorHAnsi"/>
          <w:bCs/>
          <w:iCs/>
          <w:noProof/>
          <w:sz w:val="24"/>
          <w:szCs w:val="24"/>
          <w:shd w:val="clear" w:color="auto" w:fill="FFFFFF"/>
          <w:lang w:val="ro-MD"/>
        </w:rPr>
        <w:t xml:space="preserve">a </w:t>
      </w:r>
      <w:r w:rsidRPr="009772A3">
        <w:rPr>
          <w:rFonts w:asciiTheme="majorHAnsi" w:hAnsiTheme="majorHAnsi" w:cstheme="majorHAnsi"/>
          <w:bCs/>
          <w:iCs/>
          <w:noProof/>
          <w:sz w:val="24"/>
          <w:szCs w:val="24"/>
          <w:shd w:val="clear" w:color="auto" w:fill="FFFFFF"/>
          <w:lang w:val="ro-MD"/>
        </w:rPr>
        <w:t xml:space="preserve">analizelor efectuate, auditul a </w:t>
      </w:r>
      <w:r w:rsidR="00950E1B" w:rsidRPr="009772A3">
        <w:rPr>
          <w:rFonts w:asciiTheme="majorHAnsi" w:hAnsiTheme="majorHAnsi" w:cstheme="majorHAnsi"/>
          <w:bCs/>
          <w:iCs/>
          <w:noProof/>
          <w:sz w:val="24"/>
          <w:szCs w:val="24"/>
          <w:shd w:val="clear" w:color="auto" w:fill="FFFFFF"/>
          <w:lang w:val="ro-MD"/>
        </w:rPr>
        <w:t xml:space="preserve">stabilit </w:t>
      </w:r>
      <w:r w:rsidRPr="009772A3">
        <w:rPr>
          <w:rFonts w:asciiTheme="majorHAnsi" w:hAnsiTheme="majorHAnsi" w:cstheme="majorHAnsi"/>
          <w:bCs/>
          <w:iCs/>
          <w:noProof/>
          <w:sz w:val="24"/>
          <w:szCs w:val="24"/>
          <w:shd w:val="clear" w:color="auto" w:fill="FFFFFF"/>
          <w:lang w:val="ro-MD"/>
        </w:rPr>
        <w:t>că companiile de distribuție</w:t>
      </w:r>
      <w:r w:rsidR="00950E1B"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deși au furnizat gazele naturale procurate de la SA Moldovagaz, consumatorilor finali, nu au asigurat încasarea deplină a plăților de la aceștia. Suma plăților </w:t>
      </w:r>
      <w:r w:rsidR="000E5EEB" w:rsidRPr="009772A3">
        <w:rPr>
          <w:rFonts w:asciiTheme="majorHAnsi" w:hAnsiTheme="majorHAnsi" w:cstheme="majorHAnsi"/>
          <w:bCs/>
          <w:iCs/>
          <w:noProof/>
          <w:sz w:val="24"/>
          <w:szCs w:val="24"/>
          <w:shd w:val="clear" w:color="auto" w:fill="FFFFFF"/>
          <w:lang w:val="ro-MD"/>
        </w:rPr>
        <w:t xml:space="preserve">neîncasate </w:t>
      </w:r>
      <w:r w:rsidRPr="009772A3">
        <w:rPr>
          <w:rFonts w:asciiTheme="majorHAnsi" w:hAnsiTheme="majorHAnsi" w:cstheme="majorHAnsi"/>
          <w:bCs/>
          <w:iCs/>
          <w:noProof/>
          <w:sz w:val="24"/>
          <w:szCs w:val="24"/>
          <w:shd w:val="clear" w:color="auto" w:fill="FFFFFF"/>
          <w:lang w:val="ro-MD"/>
        </w:rPr>
        <w:t xml:space="preserve">a constituit cca 246.332,3 mii lei și este cu mult mai mică decât plățile datorate față de SA Moldovagaz. Majoritatea absolută a acestor creanțe este compromisă. </w:t>
      </w:r>
    </w:p>
    <w:p w14:paraId="5FFCAA13" w14:textId="496E0960" w:rsidR="00472979" w:rsidRPr="009772A3" w:rsidRDefault="00472979"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Societatea nu a fost în măsură să explice cauzele divergențelor semnificative formate dintre sumele datorate de consumatori și cele datorate de companiile de distribuție.</w:t>
      </w:r>
    </w:p>
    <w:p w14:paraId="7B1593E9" w14:textId="37E86EF5" w:rsidR="00472979" w:rsidRPr="009772A3" w:rsidRDefault="00472979" w:rsidP="0047297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 menționat că echilibrul financiar al societății se determină ca raportul </w:t>
      </w:r>
      <w:r w:rsidR="00963D0A" w:rsidRPr="009772A3">
        <w:rPr>
          <w:rFonts w:asciiTheme="majorHAnsi" w:hAnsiTheme="majorHAnsi" w:cstheme="majorHAnsi"/>
          <w:sz w:val="24"/>
          <w:szCs w:val="24"/>
          <w:lang w:val="ro-MD"/>
        </w:rPr>
        <w:t>di</w:t>
      </w:r>
      <w:r w:rsidRPr="009772A3">
        <w:rPr>
          <w:rFonts w:asciiTheme="majorHAnsi" w:hAnsiTheme="majorHAnsi" w:cstheme="majorHAnsi"/>
          <w:sz w:val="24"/>
          <w:szCs w:val="24"/>
          <w:lang w:val="ro-MD"/>
        </w:rPr>
        <w:t>ntre creanțe și disponibilitățile bănești, pe de o parte, și datorii, pe de altă parte. Prin urmare, aspectul gestionarii eficiente a creanțelor și datoriilor societății este fundamental pentru procesul decizional</w:t>
      </w:r>
      <w:r w:rsidR="00963D0A" w:rsidRPr="009772A3">
        <w:rPr>
          <w:rFonts w:asciiTheme="majorHAnsi" w:hAnsiTheme="majorHAnsi" w:cstheme="majorHAnsi"/>
          <w:sz w:val="24"/>
          <w:szCs w:val="24"/>
          <w:lang w:val="ro-MD"/>
        </w:rPr>
        <w:t>, în vederea</w:t>
      </w:r>
      <w:r w:rsidRPr="009772A3">
        <w:rPr>
          <w:rFonts w:asciiTheme="majorHAnsi" w:hAnsiTheme="majorHAnsi" w:cstheme="majorHAnsi"/>
          <w:sz w:val="24"/>
          <w:szCs w:val="24"/>
          <w:lang w:val="ro-MD"/>
        </w:rPr>
        <w:t xml:space="preserve"> evit</w:t>
      </w:r>
      <w:r w:rsidR="00963D0A" w:rsidRPr="009772A3">
        <w:rPr>
          <w:rFonts w:asciiTheme="majorHAnsi" w:hAnsiTheme="majorHAnsi" w:cstheme="majorHAnsi"/>
          <w:sz w:val="24"/>
          <w:szCs w:val="24"/>
          <w:lang w:val="ro-MD"/>
        </w:rPr>
        <w:t>ării</w:t>
      </w:r>
      <w:r w:rsidRPr="009772A3">
        <w:rPr>
          <w:rFonts w:asciiTheme="majorHAnsi" w:hAnsiTheme="majorHAnsi" w:cstheme="majorHAnsi"/>
          <w:sz w:val="24"/>
          <w:szCs w:val="24"/>
          <w:lang w:val="ro-MD"/>
        </w:rPr>
        <w:t xml:space="preserve"> blocajelor financiare și asigur</w:t>
      </w:r>
      <w:r w:rsidR="00963D0A" w:rsidRPr="009772A3">
        <w:rPr>
          <w:rFonts w:asciiTheme="majorHAnsi" w:hAnsiTheme="majorHAnsi" w:cstheme="majorHAnsi"/>
          <w:sz w:val="24"/>
          <w:szCs w:val="24"/>
          <w:lang w:val="ro-MD"/>
        </w:rPr>
        <w:t>ării</w:t>
      </w:r>
      <w:r w:rsidRPr="009772A3">
        <w:rPr>
          <w:rFonts w:asciiTheme="majorHAnsi" w:hAnsiTheme="majorHAnsi" w:cstheme="majorHAnsi"/>
          <w:sz w:val="24"/>
          <w:szCs w:val="24"/>
          <w:lang w:val="ro-MD"/>
        </w:rPr>
        <w:t xml:space="preserve"> stabilității financiare pe termen scurt</w:t>
      </w:r>
      <w:r w:rsidR="00963D0A"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mediu</w:t>
      </w:r>
      <w:r w:rsidR="00963D0A" w:rsidRPr="009772A3">
        <w:rPr>
          <w:rFonts w:asciiTheme="majorHAnsi" w:hAnsiTheme="majorHAnsi" w:cstheme="majorHAnsi"/>
          <w:sz w:val="24"/>
          <w:szCs w:val="24"/>
          <w:lang w:val="ro-MD"/>
        </w:rPr>
        <w:t xml:space="preserve"> și </w:t>
      </w:r>
      <w:r w:rsidRPr="009772A3">
        <w:rPr>
          <w:rFonts w:asciiTheme="majorHAnsi" w:hAnsiTheme="majorHAnsi" w:cstheme="majorHAnsi"/>
          <w:sz w:val="24"/>
          <w:szCs w:val="24"/>
          <w:lang w:val="ro-MD"/>
        </w:rPr>
        <w:t xml:space="preserve">lung. </w:t>
      </w:r>
    </w:p>
    <w:p w14:paraId="3CB20F8A" w14:textId="6AF57E4C" w:rsidR="009339B2" w:rsidRPr="009772A3" w:rsidRDefault="009339B2" w:rsidP="006A341E">
      <w:pPr>
        <w:pStyle w:val="Heading1"/>
        <w:numPr>
          <w:ilvl w:val="2"/>
          <w:numId w:val="2"/>
        </w:numPr>
        <w:spacing w:line="276" w:lineRule="auto"/>
        <w:ind w:left="0" w:firstLine="0"/>
        <w:jc w:val="both"/>
        <w:rPr>
          <w:color w:val="auto"/>
          <w:lang w:val="ro-MD"/>
        </w:rPr>
      </w:pPr>
      <w:bookmarkStart w:id="235" w:name="_Toc119496462"/>
      <w:r w:rsidRPr="009772A3">
        <w:rPr>
          <w:color w:val="auto"/>
          <w:lang w:val="ro-MD"/>
        </w:rPr>
        <w:t>Efectele casării creanțelor privind penalitățile aplicate și prejudiciile calculate de SA Moldovagaz</w:t>
      </w:r>
      <w:bookmarkEnd w:id="235"/>
    </w:p>
    <w:p w14:paraId="530B8EB8" w14:textId="6FBBA071" w:rsidR="00472979" w:rsidRPr="009772A3" w:rsidRDefault="00472979"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Casarea creanțelor privind penalitățile aplicate și prejudiciile calculate</w:t>
      </w:r>
      <w:r w:rsidR="00963D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 rezultat al neonorării</w:t>
      </w:r>
      <w:r w:rsidR="00963D0A" w:rsidRPr="009772A3">
        <w:rPr>
          <w:rFonts w:asciiTheme="majorHAnsi" w:hAnsiTheme="majorHAnsi" w:cstheme="majorHAnsi"/>
          <w:sz w:val="24"/>
          <w:szCs w:val="24"/>
          <w:lang w:val="ro-MD"/>
        </w:rPr>
        <w:t xml:space="preserve"> în termen a</w:t>
      </w:r>
      <w:r w:rsidRPr="009772A3">
        <w:rPr>
          <w:rFonts w:asciiTheme="majorHAnsi" w:hAnsiTheme="majorHAnsi" w:cstheme="majorHAnsi"/>
          <w:sz w:val="24"/>
          <w:szCs w:val="24"/>
          <w:lang w:val="ro-MD"/>
        </w:rPr>
        <w:t xml:space="preserve"> angajamentelor de plat</w:t>
      </w:r>
      <w:r w:rsidR="00963D0A"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a gazelor furnizate de întreprinderile de distribuție a gazelor naturale, a majorat cheltuielile SA Moldovagaz cu 51.122,6 mii lei.</w:t>
      </w:r>
    </w:p>
    <w:p w14:paraId="7D6F0766" w14:textId="72A25F2E" w:rsidR="00472979" w:rsidRPr="009772A3" w:rsidRDefault="00472979" w:rsidP="0047297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perioada 2017</w:t>
      </w:r>
      <w:r w:rsidR="00963D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2021, potrivit datelor eviden</w:t>
      </w:r>
      <w:r w:rsidR="000E5EEB" w:rsidRPr="009772A3">
        <w:rPr>
          <w:rFonts w:asciiTheme="majorHAnsi" w:hAnsiTheme="majorHAnsi" w:cstheme="majorHAnsi"/>
          <w:sz w:val="24"/>
          <w:szCs w:val="24"/>
          <w:lang w:val="ro-MD"/>
        </w:rPr>
        <w:t>ț</w:t>
      </w:r>
      <w:r w:rsidRPr="009772A3">
        <w:rPr>
          <w:rFonts w:asciiTheme="majorHAnsi" w:hAnsiTheme="majorHAnsi" w:cstheme="majorHAnsi"/>
          <w:sz w:val="24"/>
          <w:szCs w:val="24"/>
          <w:lang w:val="ro-MD"/>
        </w:rPr>
        <w:t>ei contabile, cheltuielile SA Moldovagaz privind lipsurile și pierderile din deteriorarea activelor imobilizate și circulante au constituit 67.194,0 mii lei. Se relevă că majoritatea acestor cheltuieli reprezintă creanțele compromise trecute la pierderi în baza hotărârilor Consiliului de administrație nr.79 din 08.12.2017 și nr.13 din 28.12.2019, aferente:</w:t>
      </w:r>
    </w:p>
    <w:p w14:paraId="277BDD1A" w14:textId="779032FA" w:rsidR="00472979" w:rsidRPr="009772A3" w:rsidRDefault="00472979" w:rsidP="00472979">
      <w:pPr>
        <w:pStyle w:val="ListParagraph"/>
        <w:numPr>
          <w:ilvl w:val="0"/>
          <w:numId w:val="9"/>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casării creanțelor compromise ale întreprinderilor de distribuție, în sumă totală de 51.122,6 mii lei</w:t>
      </w:r>
      <w:r w:rsidR="00963D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aferente penalităților aplicate și prejudiciilor calculate ca rezultat al neonorării angajamentelor asumate și neplata în termen a gazelor furnizate</w:t>
      </w:r>
      <w:r w:rsidR="00AB72CA" w:rsidRPr="009772A3">
        <w:rPr>
          <w:rFonts w:asciiTheme="majorHAnsi" w:hAnsiTheme="majorHAnsi" w:cstheme="majorHAnsi"/>
          <w:sz w:val="24"/>
          <w:szCs w:val="24"/>
          <w:lang w:val="ro-MD"/>
        </w:rPr>
        <w:t>, precum și pentru supraconsumul de gaze naturale</w:t>
      </w:r>
      <w:r w:rsidRPr="009772A3">
        <w:rPr>
          <w:rFonts w:asciiTheme="majorHAnsi" w:hAnsiTheme="majorHAnsi" w:cstheme="majorHAnsi"/>
          <w:sz w:val="24"/>
          <w:szCs w:val="24"/>
          <w:lang w:val="ro-MD"/>
        </w:rPr>
        <w:t xml:space="preserve"> în perioada 2011</w:t>
      </w:r>
      <w:r w:rsidR="00963D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2015, și</w:t>
      </w:r>
    </w:p>
    <w:p w14:paraId="55DDEA76" w14:textId="3C3C796F" w:rsidR="00472979" w:rsidRPr="009772A3" w:rsidRDefault="00472979" w:rsidP="00472979">
      <w:pPr>
        <w:pStyle w:val="ListParagraph"/>
        <w:numPr>
          <w:ilvl w:val="0"/>
          <w:numId w:val="9"/>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casării creanțelor compromise ale SA Glodeni Zahăr</w:t>
      </w:r>
      <w:r w:rsidR="00963D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sumă totală de 4.906,7 mii lei, SRL Larga</w:t>
      </w:r>
      <w:r w:rsidR="00963D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Vin – în sumă totală de 336,1 mii lei, SRL Hunter-SC – în sumă totală de 10.702,0 mii lei, rezultate din insolvența și incapacitatea de plată ale debit</w:t>
      </w:r>
      <w:r w:rsidR="00963D0A" w:rsidRPr="009772A3">
        <w:rPr>
          <w:rFonts w:asciiTheme="majorHAnsi" w:hAnsiTheme="majorHAnsi" w:cstheme="majorHAnsi"/>
          <w:sz w:val="24"/>
          <w:szCs w:val="24"/>
          <w:lang w:val="ro-MD"/>
        </w:rPr>
        <w:t>o</w:t>
      </w:r>
      <w:r w:rsidRPr="009772A3">
        <w:rPr>
          <w:rFonts w:asciiTheme="majorHAnsi" w:hAnsiTheme="majorHAnsi" w:cstheme="majorHAnsi"/>
          <w:sz w:val="24"/>
          <w:szCs w:val="24"/>
          <w:lang w:val="ro-MD"/>
        </w:rPr>
        <w:t>rilor și în corespundere cu art.86 (r</w:t>
      </w:r>
      <w:r w:rsidRPr="009772A3">
        <w:rPr>
          <w:rFonts w:asciiTheme="majorHAnsi" w:hAnsiTheme="majorHAnsi" w:cstheme="majorHAnsi"/>
          <w:bCs/>
          <w:sz w:val="24"/>
          <w:szCs w:val="24"/>
          <w:lang w:val="ro-MD"/>
        </w:rPr>
        <w:t>estituirea documentului executoriu</w:t>
      </w:r>
      <w:r w:rsidRPr="009772A3">
        <w:rPr>
          <w:rFonts w:asciiTheme="majorHAnsi" w:hAnsiTheme="majorHAnsi" w:cstheme="majorHAnsi"/>
          <w:sz w:val="24"/>
          <w:szCs w:val="24"/>
          <w:lang w:val="ro-MD"/>
        </w:rPr>
        <w:t>) din Codul de executare nr.443 din 24.12.2004.</w:t>
      </w:r>
    </w:p>
    <w:p w14:paraId="3D789DAA" w14:textId="544F09C0" w:rsidR="00472979" w:rsidRPr="009772A3" w:rsidRDefault="00472979" w:rsidP="0047297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Auditul nu </w:t>
      </w:r>
      <w:r w:rsidR="009339B2"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obținut probe suficiente și adecvate privind epuizarea tuturor căilor de colectare a datoriilor întreprinderilor de distribuție față de SA Moldovagaz, în sumă totală de 51.122,6 mii lei</w:t>
      </w:r>
      <w:r w:rsidR="00963D0A"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aferente penalităților aplicate și prejudiciilor calculate ca rezultat al neonorării angajamentelor asumate și nepl</w:t>
      </w:r>
      <w:r w:rsidR="00121EB2" w:rsidRPr="009772A3">
        <w:rPr>
          <w:rFonts w:asciiTheme="majorHAnsi" w:hAnsiTheme="majorHAnsi" w:cstheme="majorHAnsi"/>
          <w:sz w:val="24"/>
          <w:szCs w:val="24"/>
          <w:lang w:val="ro-MD"/>
        </w:rPr>
        <w:t>ății</w:t>
      </w:r>
      <w:r w:rsidRPr="009772A3">
        <w:rPr>
          <w:rFonts w:asciiTheme="majorHAnsi" w:hAnsiTheme="majorHAnsi" w:cstheme="majorHAnsi"/>
          <w:sz w:val="24"/>
          <w:szCs w:val="24"/>
          <w:lang w:val="ro-MD"/>
        </w:rPr>
        <w:t xml:space="preserve"> în termen a gazelor furnizate în perioada 2011</w:t>
      </w:r>
      <w:r w:rsidR="00121EB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2015, chiar dacă acestea reprezintă o provocare majoră și necesită acțiuni sporite din partea persoanelor responsabile din cadrul societății, inclusiv din partea Serviciului juridic. </w:t>
      </w:r>
    </w:p>
    <w:p w14:paraId="516F39C0" w14:textId="34894E34" w:rsidR="001C7C42" w:rsidRPr="009772A3" w:rsidRDefault="001C7C42" w:rsidP="001C7C4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SA Moldovagaz explică că datoria debitoa</w:t>
      </w:r>
      <w:r w:rsidR="005C1246" w:rsidRPr="009772A3">
        <w:rPr>
          <w:rFonts w:asciiTheme="majorHAnsi" w:hAnsiTheme="majorHAnsi" w:cstheme="majorHAnsi"/>
          <w:sz w:val="24"/>
          <w:szCs w:val="24"/>
          <w:lang w:val="ro-MD"/>
        </w:rPr>
        <w:t xml:space="preserve">re </w:t>
      </w:r>
      <w:r w:rsidRPr="009772A3">
        <w:rPr>
          <w:rFonts w:asciiTheme="majorHAnsi" w:hAnsiTheme="majorHAnsi" w:cstheme="majorHAnsi"/>
          <w:sz w:val="24"/>
          <w:szCs w:val="24"/>
          <w:lang w:val="ro-MD"/>
        </w:rPr>
        <w:t>indicată mai sus a fost formată în condițiile în care întreprinderile de distribuție practic au fost lipsite de dreptul de a încasa de la marea majoritate a consumatorilor săi a penalităților pentru achitarea cu întârziere sau neachitarea gazelor naturale furnizate, la acel moment fiind interzis</w:t>
      </w:r>
      <w:r w:rsidR="00121EB2"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prin legislație calcularea și încasarea penalităților de la consumatorii casnici. Totodată, tarifele aprobate de ANRE din an în an nu acoperea</w:t>
      </w:r>
      <w:r w:rsidR="005C1246"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toate cheltuielile legate de furnizarea gazelor naturale, fiind generate pierderi. Mai mult </w:t>
      </w:r>
      <w:r w:rsidR="00121EB2" w:rsidRPr="009772A3">
        <w:rPr>
          <w:rFonts w:asciiTheme="majorHAnsi" w:hAnsiTheme="majorHAnsi" w:cstheme="majorHAnsi"/>
          <w:sz w:val="24"/>
          <w:szCs w:val="24"/>
          <w:lang w:val="ro-MD"/>
        </w:rPr>
        <w:t>decât</w:t>
      </w:r>
      <w:r w:rsidRPr="009772A3">
        <w:rPr>
          <w:rFonts w:asciiTheme="majorHAnsi" w:hAnsiTheme="majorHAnsi" w:cstheme="majorHAnsi"/>
          <w:sz w:val="24"/>
          <w:szCs w:val="24"/>
          <w:lang w:val="ro-MD"/>
        </w:rPr>
        <w:t xml:space="preserve"> atât, începând cu anul 2016, când activitatea de furnizare pe întreg teritoriul Republicii Moldova a fost preluată de la operatorii sistemului de distribuție de către SA</w:t>
      </w:r>
      <w:r w:rsidR="00121EB2"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„Moldovagaz”, întreprinderile de distribuție nu mai aveau surse pentru achitarea acestor datorii. </w:t>
      </w:r>
      <w:r w:rsidR="00121EB2" w:rsidRPr="009772A3">
        <w:rPr>
          <w:rFonts w:asciiTheme="majorHAnsi" w:hAnsiTheme="majorHAnsi" w:cstheme="majorHAnsi"/>
          <w:sz w:val="24"/>
          <w:szCs w:val="24"/>
          <w:lang w:val="ro-MD"/>
        </w:rPr>
        <w:t>Prin urmare</w:t>
      </w:r>
      <w:r w:rsidRPr="009772A3">
        <w:rPr>
          <w:rFonts w:asciiTheme="majorHAnsi" w:hAnsiTheme="majorHAnsi" w:cstheme="majorHAnsi"/>
          <w:sz w:val="24"/>
          <w:szCs w:val="24"/>
          <w:lang w:val="ro-MD"/>
        </w:rPr>
        <w:t>, încasarea sumelor respective de la întreprinderile de distribuție a devenit imposibilă.</w:t>
      </w:r>
    </w:p>
    <w:p w14:paraId="15623864" w14:textId="1289E3F4" w:rsidR="0024595C" w:rsidRPr="009772A3" w:rsidRDefault="0024595C" w:rsidP="0024595C">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Având în vedere cele relatate, se consideră că, în condițiile </w:t>
      </w:r>
      <w:r w:rsidR="00121EB2" w:rsidRPr="009772A3">
        <w:rPr>
          <w:rFonts w:asciiTheme="majorHAnsi" w:hAnsiTheme="majorHAnsi" w:cstheme="majorHAnsi"/>
          <w:sz w:val="24"/>
          <w:szCs w:val="24"/>
          <w:lang w:val="ro-MD"/>
        </w:rPr>
        <w:t xml:space="preserve">în care </w:t>
      </w:r>
      <w:r w:rsidRPr="009772A3">
        <w:rPr>
          <w:rFonts w:asciiTheme="majorHAnsi" w:hAnsiTheme="majorHAnsi" w:cstheme="majorHAnsi"/>
          <w:sz w:val="24"/>
          <w:szCs w:val="24"/>
          <w:lang w:val="ro-MD"/>
        </w:rPr>
        <w:t xml:space="preserve">întreprinderile de distribuție înregistrează rezultate financiare pozitive, încasarea acestor datorii ar </w:t>
      </w:r>
      <w:r w:rsidR="005C1246" w:rsidRPr="009772A3">
        <w:rPr>
          <w:rFonts w:asciiTheme="majorHAnsi" w:hAnsiTheme="majorHAnsi" w:cstheme="majorHAnsi"/>
          <w:sz w:val="24"/>
          <w:szCs w:val="24"/>
          <w:lang w:val="ro-MD"/>
        </w:rPr>
        <w:t xml:space="preserve">fi putut </w:t>
      </w:r>
      <w:r w:rsidRPr="009772A3">
        <w:rPr>
          <w:rFonts w:asciiTheme="majorHAnsi" w:hAnsiTheme="majorHAnsi" w:cstheme="majorHAnsi"/>
          <w:sz w:val="24"/>
          <w:szCs w:val="24"/>
          <w:lang w:val="ro-MD"/>
        </w:rPr>
        <w:t xml:space="preserve">spori veniturile societății, ceea ce ar </w:t>
      </w:r>
      <w:r w:rsidR="00F9159E" w:rsidRPr="009772A3">
        <w:rPr>
          <w:rFonts w:asciiTheme="majorHAnsi" w:hAnsiTheme="majorHAnsi" w:cstheme="majorHAnsi"/>
          <w:sz w:val="24"/>
          <w:szCs w:val="24"/>
          <w:lang w:val="ro-MD"/>
        </w:rPr>
        <w:t xml:space="preserve">fi </w:t>
      </w:r>
      <w:r w:rsidRPr="009772A3">
        <w:rPr>
          <w:rFonts w:asciiTheme="majorHAnsi" w:hAnsiTheme="majorHAnsi" w:cstheme="majorHAnsi"/>
          <w:sz w:val="24"/>
          <w:szCs w:val="24"/>
          <w:lang w:val="ro-MD"/>
        </w:rPr>
        <w:t>contribui</w:t>
      </w:r>
      <w:r w:rsidR="00F9159E" w:rsidRPr="009772A3">
        <w:rPr>
          <w:rFonts w:asciiTheme="majorHAnsi" w:hAnsiTheme="majorHAnsi" w:cstheme="majorHAnsi"/>
          <w:sz w:val="24"/>
          <w:szCs w:val="24"/>
          <w:lang w:val="ro-MD"/>
        </w:rPr>
        <w:t>t</w:t>
      </w:r>
      <w:r w:rsidRPr="009772A3">
        <w:rPr>
          <w:rFonts w:asciiTheme="majorHAnsi" w:hAnsiTheme="majorHAnsi" w:cstheme="majorHAnsi"/>
          <w:sz w:val="24"/>
          <w:szCs w:val="24"/>
          <w:lang w:val="ro-MD"/>
        </w:rPr>
        <w:t xml:space="preserve"> la diminuarea datoriilor istorice, a căror plată reprezintă o provocare pentru societate.</w:t>
      </w:r>
    </w:p>
    <w:p w14:paraId="477F9C6F" w14:textId="01054248" w:rsidR="00472979" w:rsidRPr="009772A3" w:rsidRDefault="00472979" w:rsidP="006A341E">
      <w:pPr>
        <w:pStyle w:val="Heading1"/>
        <w:numPr>
          <w:ilvl w:val="2"/>
          <w:numId w:val="2"/>
        </w:numPr>
        <w:spacing w:line="276" w:lineRule="auto"/>
        <w:ind w:left="0" w:firstLine="0"/>
        <w:jc w:val="both"/>
        <w:rPr>
          <w:color w:val="auto"/>
          <w:lang w:val="ro-MD"/>
        </w:rPr>
      </w:pPr>
      <w:bookmarkStart w:id="236" w:name="_Toc119245488"/>
      <w:bookmarkStart w:id="237" w:name="_Toc119496463"/>
      <w:bookmarkEnd w:id="236"/>
      <w:r w:rsidRPr="009772A3">
        <w:rPr>
          <w:color w:val="auto"/>
          <w:lang w:val="ro-MD"/>
        </w:rPr>
        <w:t xml:space="preserve">SA Moldovagaz nu a asigurat încasarea conformă și deplină de la consumatorii finali </w:t>
      </w:r>
      <w:r w:rsidR="00F9159E" w:rsidRPr="009772A3">
        <w:rPr>
          <w:color w:val="auto"/>
          <w:lang w:val="ro-MD"/>
        </w:rPr>
        <w:t xml:space="preserve">a </w:t>
      </w:r>
      <w:r w:rsidRPr="009772A3">
        <w:rPr>
          <w:color w:val="auto"/>
          <w:lang w:val="ro-MD"/>
        </w:rPr>
        <w:t>plățil</w:t>
      </w:r>
      <w:r w:rsidR="00F9159E" w:rsidRPr="009772A3">
        <w:rPr>
          <w:color w:val="auto"/>
          <w:lang w:val="ro-MD"/>
        </w:rPr>
        <w:t>or</w:t>
      </w:r>
      <w:r w:rsidRPr="009772A3">
        <w:rPr>
          <w:color w:val="auto"/>
          <w:lang w:val="ro-MD"/>
        </w:rPr>
        <w:t xml:space="preserve"> datorate pentru gazele naturale consumate</w:t>
      </w:r>
      <w:r w:rsidR="00F9159E" w:rsidRPr="009772A3">
        <w:rPr>
          <w:color w:val="auto"/>
          <w:lang w:val="ro-MD"/>
        </w:rPr>
        <w:t>,</w:t>
      </w:r>
      <w:r w:rsidRPr="009772A3">
        <w:rPr>
          <w:color w:val="auto"/>
          <w:lang w:val="ro-MD"/>
        </w:rPr>
        <w:t xml:space="preserve"> în sumă totală de cca </w:t>
      </w:r>
      <w:r w:rsidR="009F637D" w:rsidRPr="009772A3">
        <w:rPr>
          <w:color w:val="auto"/>
          <w:lang w:val="ro-MD"/>
        </w:rPr>
        <w:t>790.412,6</w:t>
      </w:r>
      <w:r w:rsidRPr="009772A3">
        <w:rPr>
          <w:color w:val="auto"/>
          <w:lang w:val="ro-MD"/>
        </w:rPr>
        <w:t xml:space="preserve"> mii lei.</w:t>
      </w:r>
      <w:bookmarkEnd w:id="237"/>
    </w:p>
    <w:p w14:paraId="05A137D4" w14:textId="48B4148D" w:rsidR="00472979" w:rsidRPr="009772A3" w:rsidRDefault="00472979"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Deși potrivit contractelor de furnizare a gazelor naturale încheiate de SA </w:t>
      </w:r>
      <w:r w:rsidR="001B4045" w:rsidRPr="009772A3">
        <w:rPr>
          <w:rFonts w:asciiTheme="majorHAnsi" w:hAnsiTheme="majorHAnsi" w:cstheme="majorHAnsi"/>
          <w:bCs/>
          <w:iCs/>
          <w:noProof/>
          <w:sz w:val="24"/>
          <w:szCs w:val="24"/>
          <w:shd w:val="clear" w:color="auto" w:fill="FFFFFF"/>
          <w:lang w:val="ro-MD"/>
        </w:rPr>
        <w:t>M</w:t>
      </w:r>
      <w:r w:rsidRPr="009772A3">
        <w:rPr>
          <w:rFonts w:asciiTheme="majorHAnsi" w:hAnsiTheme="majorHAnsi" w:cstheme="majorHAnsi"/>
          <w:bCs/>
          <w:iCs/>
          <w:noProof/>
          <w:sz w:val="24"/>
          <w:szCs w:val="24"/>
          <w:shd w:val="clear" w:color="auto" w:fill="FFFFFF"/>
          <w:lang w:val="ro-MD"/>
        </w:rPr>
        <w:t>oldovagaz cu consumatorii finali, SA Moldovagaz urma să asigure încasarea plăților pentru gazele consumate, probele colectate de audit denotă nerealizarea deplină și conformă a acestei funcții. SA Moldovagaz nu a asigurat încasarea conformă și deplină de la consumatori a plăților datorate pentru gazele naturale consumate, acumulând la 31.12.2021 creanțe în valoare totală de cca 1.855.345,7 mii lei</w:t>
      </w:r>
      <w:r w:rsidR="001B4045" w:rsidRPr="009772A3">
        <w:rPr>
          <w:rFonts w:asciiTheme="majorHAnsi" w:hAnsiTheme="majorHAnsi" w:cstheme="majorHAnsi"/>
          <w:bCs/>
          <w:iCs/>
          <w:noProof/>
          <w:sz w:val="24"/>
          <w:szCs w:val="24"/>
          <w:shd w:val="clear" w:color="auto" w:fill="FFFFFF"/>
          <w:lang w:val="ro-MD"/>
        </w:rPr>
        <w:t>, din care creanțe</w:t>
      </w:r>
      <w:r w:rsidR="0075577F" w:rsidRPr="009772A3">
        <w:rPr>
          <w:rFonts w:asciiTheme="majorHAnsi" w:hAnsiTheme="majorHAnsi" w:cstheme="majorHAnsi"/>
          <w:bCs/>
          <w:iCs/>
          <w:noProof/>
          <w:sz w:val="24"/>
          <w:szCs w:val="24"/>
          <w:shd w:val="clear" w:color="auto" w:fill="FFFFFF"/>
          <w:lang w:val="ro-MD"/>
        </w:rPr>
        <w:t>le</w:t>
      </w:r>
      <w:r w:rsidR="001B4045" w:rsidRPr="009772A3">
        <w:rPr>
          <w:rFonts w:asciiTheme="majorHAnsi" w:hAnsiTheme="majorHAnsi" w:cstheme="majorHAnsi"/>
          <w:bCs/>
          <w:iCs/>
          <w:noProof/>
          <w:sz w:val="24"/>
          <w:szCs w:val="24"/>
          <w:shd w:val="clear" w:color="auto" w:fill="FFFFFF"/>
          <w:lang w:val="ro-MD"/>
        </w:rPr>
        <w:t xml:space="preserve"> </w:t>
      </w:r>
      <w:r w:rsidR="009539DE" w:rsidRPr="009772A3">
        <w:rPr>
          <w:rFonts w:asciiTheme="majorHAnsi" w:hAnsiTheme="majorHAnsi" w:cstheme="majorHAnsi"/>
          <w:bCs/>
          <w:iCs/>
          <w:noProof/>
          <w:sz w:val="24"/>
          <w:szCs w:val="24"/>
          <w:shd w:val="clear" w:color="auto" w:fill="FFFFFF"/>
          <w:lang w:val="ro-MD"/>
        </w:rPr>
        <w:t xml:space="preserve">cu termen de apariție mai mare de 360 zile </w:t>
      </w:r>
      <w:r w:rsidR="0075577F" w:rsidRPr="009772A3">
        <w:rPr>
          <w:rFonts w:asciiTheme="majorHAnsi" w:hAnsiTheme="majorHAnsi" w:cstheme="majorHAnsi"/>
          <w:bCs/>
          <w:iCs/>
          <w:noProof/>
          <w:sz w:val="24"/>
          <w:szCs w:val="24"/>
          <w:shd w:val="clear" w:color="auto" w:fill="FFFFFF"/>
          <w:lang w:val="ro-MD"/>
        </w:rPr>
        <w:t xml:space="preserve">constituie </w:t>
      </w:r>
      <w:r w:rsidR="009539DE" w:rsidRPr="009772A3">
        <w:rPr>
          <w:rFonts w:asciiTheme="majorHAnsi" w:hAnsiTheme="majorHAnsi" w:cstheme="majorHAnsi"/>
          <w:bCs/>
          <w:iCs/>
          <w:noProof/>
          <w:sz w:val="24"/>
          <w:szCs w:val="24"/>
          <w:shd w:val="clear" w:color="auto" w:fill="FFFFFF"/>
          <w:lang w:val="ro-MD"/>
        </w:rPr>
        <w:t xml:space="preserve"> 790</w:t>
      </w:r>
      <w:r w:rsidR="0075577F" w:rsidRPr="009772A3">
        <w:rPr>
          <w:rFonts w:asciiTheme="majorHAnsi" w:hAnsiTheme="majorHAnsi" w:cstheme="majorHAnsi"/>
          <w:bCs/>
          <w:iCs/>
          <w:noProof/>
          <w:sz w:val="24"/>
          <w:szCs w:val="24"/>
          <w:shd w:val="clear" w:color="auto" w:fill="FFFFFF"/>
          <w:lang w:val="ro-MD"/>
        </w:rPr>
        <w:t>.</w:t>
      </w:r>
      <w:r w:rsidR="009539DE" w:rsidRPr="009772A3">
        <w:rPr>
          <w:rFonts w:asciiTheme="majorHAnsi" w:hAnsiTheme="majorHAnsi" w:cstheme="majorHAnsi"/>
          <w:bCs/>
          <w:iCs/>
          <w:noProof/>
          <w:sz w:val="24"/>
          <w:szCs w:val="24"/>
          <w:shd w:val="clear" w:color="auto" w:fill="FFFFFF"/>
          <w:lang w:val="ro-MD"/>
        </w:rPr>
        <w:t>412,6 mii lei, inclusiv 659</w:t>
      </w:r>
      <w:r w:rsidR="0075577F" w:rsidRPr="009772A3">
        <w:rPr>
          <w:rFonts w:asciiTheme="majorHAnsi" w:hAnsiTheme="majorHAnsi" w:cstheme="majorHAnsi"/>
          <w:bCs/>
          <w:iCs/>
          <w:noProof/>
          <w:sz w:val="24"/>
          <w:szCs w:val="24"/>
          <w:shd w:val="clear" w:color="auto" w:fill="FFFFFF"/>
          <w:lang w:val="ro-MD"/>
        </w:rPr>
        <w:t>.</w:t>
      </w:r>
      <w:r w:rsidR="009539DE" w:rsidRPr="009772A3">
        <w:rPr>
          <w:rFonts w:asciiTheme="majorHAnsi" w:hAnsiTheme="majorHAnsi" w:cstheme="majorHAnsi"/>
          <w:bCs/>
          <w:iCs/>
          <w:noProof/>
          <w:sz w:val="24"/>
          <w:szCs w:val="24"/>
          <w:shd w:val="clear" w:color="auto" w:fill="FFFFFF"/>
          <w:lang w:val="ro-MD"/>
        </w:rPr>
        <w:t>978,9 mii lei sunt creanțele SA Termoelectrica</w:t>
      </w:r>
      <w:r w:rsidR="001B4045" w:rsidRPr="009772A3">
        <w:rPr>
          <w:rFonts w:asciiTheme="majorHAnsi" w:hAnsiTheme="majorHAnsi" w:cstheme="majorHAnsi"/>
          <w:bCs/>
          <w:iCs/>
          <w:noProof/>
          <w:sz w:val="24"/>
          <w:szCs w:val="24"/>
          <w:shd w:val="clear" w:color="auto" w:fill="FFFFFF"/>
          <w:lang w:val="ro-MD"/>
        </w:rPr>
        <w:t xml:space="preserve">, </w:t>
      </w:r>
      <w:r w:rsidRPr="009772A3">
        <w:rPr>
          <w:rFonts w:asciiTheme="majorHAnsi" w:hAnsiTheme="majorHAnsi" w:cstheme="majorHAnsi"/>
          <w:bCs/>
          <w:iCs/>
          <w:noProof/>
          <w:sz w:val="24"/>
          <w:szCs w:val="24"/>
          <w:shd w:val="clear" w:color="auto" w:fill="FFFFFF"/>
          <w:lang w:val="ro-MD"/>
        </w:rPr>
        <w:t xml:space="preserve">lipsindu-se </w:t>
      </w:r>
      <w:r w:rsidR="001B4045" w:rsidRPr="009772A3">
        <w:rPr>
          <w:rFonts w:asciiTheme="majorHAnsi" w:hAnsiTheme="majorHAnsi" w:cstheme="majorHAnsi"/>
          <w:bCs/>
          <w:iCs/>
          <w:noProof/>
          <w:sz w:val="24"/>
          <w:szCs w:val="24"/>
          <w:shd w:val="clear" w:color="auto" w:fill="FFFFFF"/>
          <w:lang w:val="ro-MD"/>
        </w:rPr>
        <w:t xml:space="preserve">astfel </w:t>
      </w:r>
      <w:r w:rsidRPr="009772A3">
        <w:rPr>
          <w:rFonts w:asciiTheme="majorHAnsi" w:hAnsiTheme="majorHAnsi" w:cstheme="majorHAnsi"/>
          <w:bCs/>
          <w:iCs/>
          <w:noProof/>
          <w:sz w:val="24"/>
          <w:szCs w:val="24"/>
          <w:shd w:val="clear" w:color="auto" w:fill="FFFFFF"/>
          <w:lang w:val="ro-MD"/>
        </w:rPr>
        <w:t>de lichidități pentru achitarea datoriilor sale față de SA Gazprom.</w:t>
      </w:r>
    </w:p>
    <w:p w14:paraId="14E769E7" w14:textId="3F854522" w:rsidR="00472979" w:rsidRPr="009772A3" w:rsidRDefault="00472979"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 menționat că în pofida încheierii unor ac</w:t>
      </w:r>
      <w:r w:rsidR="001B4045" w:rsidRPr="009772A3">
        <w:rPr>
          <w:rFonts w:asciiTheme="majorHAnsi" w:hAnsiTheme="majorHAnsi" w:cstheme="majorHAnsi"/>
          <w:bCs/>
          <w:iCs/>
          <w:noProof/>
          <w:sz w:val="24"/>
          <w:szCs w:val="24"/>
          <w:shd w:val="clear" w:color="auto" w:fill="FFFFFF"/>
          <w:lang w:val="ro-MD"/>
        </w:rPr>
        <w:t>o</w:t>
      </w:r>
      <w:r w:rsidRPr="009772A3">
        <w:rPr>
          <w:rFonts w:asciiTheme="majorHAnsi" w:hAnsiTheme="majorHAnsi" w:cstheme="majorHAnsi"/>
          <w:bCs/>
          <w:iCs/>
          <w:noProof/>
          <w:sz w:val="24"/>
          <w:szCs w:val="24"/>
          <w:shd w:val="clear" w:color="auto" w:fill="FFFFFF"/>
          <w:lang w:val="ro-MD"/>
        </w:rPr>
        <w:t>rduri și planuri de restructurare a datoriilor cu unii consumatori finali, încasarea reală a acestor plăți datorate este una deficitară și de lungă durată, ceea ce nu conduce la stingerea mai sporită a datoriilor istorice ale SA Moldovagaz față de SA Gazprom.</w:t>
      </w:r>
    </w:p>
    <w:p w14:paraId="2F5302B7" w14:textId="56396194" w:rsidR="00FF50EF" w:rsidRPr="009772A3" w:rsidRDefault="00FF50EF" w:rsidP="006A341E">
      <w:pPr>
        <w:pStyle w:val="Heading1"/>
        <w:numPr>
          <w:ilvl w:val="2"/>
          <w:numId w:val="2"/>
        </w:numPr>
        <w:spacing w:line="276" w:lineRule="auto"/>
        <w:ind w:left="0" w:firstLine="0"/>
        <w:jc w:val="both"/>
        <w:rPr>
          <w:color w:val="auto"/>
          <w:lang w:val="ro-MD"/>
        </w:rPr>
      </w:pPr>
      <w:bookmarkStart w:id="238" w:name="_Toc119496464"/>
      <w:r w:rsidRPr="009772A3">
        <w:rPr>
          <w:color w:val="auto"/>
          <w:lang w:val="ro-MD"/>
        </w:rPr>
        <w:t>Managementul economico</w:t>
      </w:r>
      <w:r w:rsidR="0075577F" w:rsidRPr="009772A3">
        <w:rPr>
          <w:color w:val="auto"/>
          <w:lang w:val="ro-MD"/>
        </w:rPr>
        <w:t>-</w:t>
      </w:r>
      <w:r w:rsidRPr="009772A3">
        <w:rPr>
          <w:color w:val="auto"/>
          <w:lang w:val="ro-MD"/>
        </w:rPr>
        <w:t>financiar deficitar al SRL Completgaz a generat grupului SA Moldovagaz pierderi în sumă totală de 135.109,7 mii lei.</w:t>
      </w:r>
      <w:bookmarkEnd w:id="238"/>
    </w:p>
    <w:p w14:paraId="1E9BFF93" w14:textId="23973F29" w:rsidR="00FF50EF" w:rsidRPr="009772A3" w:rsidRDefault="00FF50EF" w:rsidP="00FF50EF">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Deși Consiliul de observatori al SA Moldovagaz a hotărât crearea unei entități dependente, SRL Completgaz, </w:t>
      </w:r>
      <w:r w:rsidR="0075577F" w:rsidRPr="009772A3">
        <w:rPr>
          <w:rFonts w:asciiTheme="majorHAnsi" w:hAnsiTheme="majorHAnsi" w:cstheme="majorHAnsi"/>
          <w:bCs/>
          <w:iCs/>
          <w:noProof/>
          <w:sz w:val="24"/>
          <w:szCs w:val="24"/>
          <w:shd w:val="clear" w:color="auto" w:fill="FFFFFF"/>
          <w:lang w:val="ro-MD"/>
        </w:rPr>
        <w:t>în</w:t>
      </w:r>
      <w:r w:rsidRPr="009772A3">
        <w:rPr>
          <w:rFonts w:asciiTheme="majorHAnsi" w:hAnsiTheme="majorHAnsi" w:cstheme="majorHAnsi"/>
          <w:bCs/>
          <w:iCs/>
          <w:noProof/>
          <w:sz w:val="24"/>
          <w:szCs w:val="24"/>
          <w:shd w:val="clear" w:color="auto" w:fill="FFFFFF"/>
          <w:lang w:val="ro-MD"/>
        </w:rPr>
        <w:t xml:space="preserve"> scopul de a obține profituri pe baza efectuării operațiunilor comerciale legate de achitarea </w:t>
      </w:r>
      <w:r w:rsidR="00EC5801" w:rsidRPr="00CF3AD4">
        <w:rPr>
          <w:rFonts w:asciiTheme="majorHAnsi" w:hAnsiTheme="majorHAnsi" w:cstheme="majorHAnsi"/>
          <w:bCs/>
          <w:iCs/>
          <w:noProof/>
          <w:sz w:val="24"/>
          <w:szCs w:val="24"/>
          <w:shd w:val="clear" w:color="auto" w:fill="FFFFFF"/>
          <w:lang w:val="ro-MD"/>
        </w:rPr>
        <w:t xml:space="preserve">în termen </w:t>
      </w:r>
      <w:r w:rsidRPr="00CF3AD4">
        <w:rPr>
          <w:rFonts w:asciiTheme="majorHAnsi" w:hAnsiTheme="majorHAnsi" w:cstheme="majorHAnsi"/>
          <w:bCs/>
          <w:iCs/>
          <w:noProof/>
          <w:sz w:val="24"/>
          <w:szCs w:val="24"/>
          <w:shd w:val="clear" w:color="auto" w:fill="FFFFFF"/>
          <w:lang w:val="ro-MD"/>
        </w:rPr>
        <w:t xml:space="preserve">oportun </w:t>
      </w:r>
      <w:r w:rsidR="0075577F" w:rsidRPr="00CF3AD4">
        <w:rPr>
          <w:rFonts w:asciiTheme="majorHAnsi" w:hAnsiTheme="majorHAnsi" w:cstheme="majorHAnsi"/>
          <w:bCs/>
          <w:iCs/>
          <w:noProof/>
          <w:sz w:val="24"/>
          <w:szCs w:val="24"/>
          <w:shd w:val="clear" w:color="auto" w:fill="FFFFFF"/>
          <w:lang w:val="ro-MD"/>
        </w:rPr>
        <w:t xml:space="preserve">de </w:t>
      </w:r>
      <w:r w:rsidRPr="00CF3AD4">
        <w:rPr>
          <w:rFonts w:asciiTheme="majorHAnsi" w:hAnsiTheme="majorHAnsi" w:cstheme="majorHAnsi"/>
          <w:bCs/>
          <w:iCs/>
          <w:noProof/>
          <w:sz w:val="24"/>
          <w:szCs w:val="24"/>
          <w:shd w:val="clear" w:color="auto" w:fill="FFFFFF"/>
          <w:lang w:val="ro-MD"/>
        </w:rPr>
        <w:t xml:space="preserve">consumatori </w:t>
      </w:r>
      <w:r w:rsidR="0075577F" w:rsidRPr="00CF3AD4">
        <w:rPr>
          <w:rFonts w:asciiTheme="majorHAnsi" w:hAnsiTheme="majorHAnsi" w:cstheme="majorHAnsi"/>
          <w:bCs/>
          <w:iCs/>
          <w:noProof/>
          <w:sz w:val="24"/>
          <w:szCs w:val="24"/>
          <w:shd w:val="clear" w:color="auto" w:fill="FFFFFF"/>
          <w:lang w:val="ro-MD"/>
        </w:rPr>
        <w:t>a</w:t>
      </w:r>
      <w:r w:rsidRPr="00CF3AD4">
        <w:rPr>
          <w:rFonts w:asciiTheme="majorHAnsi" w:hAnsiTheme="majorHAnsi" w:cstheme="majorHAnsi"/>
          <w:bCs/>
          <w:iCs/>
          <w:noProof/>
          <w:sz w:val="24"/>
          <w:szCs w:val="24"/>
          <w:shd w:val="clear" w:color="auto" w:fill="FFFFFF"/>
          <w:lang w:val="ro-MD"/>
        </w:rPr>
        <w:t xml:space="preserve"> gazel</w:t>
      </w:r>
      <w:r w:rsidR="0075577F" w:rsidRPr="00CF3AD4">
        <w:rPr>
          <w:rFonts w:asciiTheme="majorHAnsi" w:hAnsiTheme="majorHAnsi" w:cstheme="majorHAnsi"/>
          <w:bCs/>
          <w:iCs/>
          <w:noProof/>
          <w:sz w:val="24"/>
          <w:szCs w:val="24"/>
          <w:shd w:val="clear" w:color="auto" w:fill="FFFFFF"/>
          <w:lang w:val="ro-MD"/>
        </w:rPr>
        <w:t>or</w:t>
      </w:r>
      <w:r w:rsidRPr="009772A3">
        <w:rPr>
          <w:rFonts w:asciiTheme="majorHAnsi" w:hAnsiTheme="majorHAnsi" w:cstheme="majorHAnsi"/>
          <w:bCs/>
          <w:iCs/>
          <w:noProof/>
          <w:sz w:val="24"/>
          <w:szCs w:val="24"/>
          <w:shd w:val="clear" w:color="auto" w:fill="FFFFFF"/>
          <w:lang w:val="ro-MD"/>
        </w:rPr>
        <w:t xml:space="preserve"> naturale, din cauza managementului economico</w:t>
      </w:r>
      <w:r w:rsidR="0075577F"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financiar </w:t>
      </w:r>
      <w:r w:rsidR="0020185E" w:rsidRPr="009772A3">
        <w:rPr>
          <w:rFonts w:asciiTheme="majorHAnsi" w:hAnsiTheme="majorHAnsi" w:cstheme="majorHAnsi"/>
          <w:bCs/>
          <w:iCs/>
          <w:noProof/>
          <w:sz w:val="24"/>
          <w:szCs w:val="24"/>
          <w:shd w:val="clear" w:color="auto" w:fill="FFFFFF"/>
          <w:lang w:val="ro-MD"/>
        </w:rPr>
        <w:t xml:space="preserve">deficitar </w:t>
      </w:r>
      <w:r w:rsidRPr="009772A3">
        <w:rPr>
          <w:rFonts w:asciiTheme="majorHAnsi" w:hAnsiTheme="majorHAnsi" w:cstheme="majorHAnsi"/>
          <w:bCs/>
          <w:iCs/>
          <w:noProof/>
          <w:sz w:val="24"/>
          <w:szCs w:val="24"/>
          <w:shd w:val="clear" w:color="auto" w:fill="FFFFFF"/>
          <w:lang w:val="ro-MD"/>
        </w:rPr>
        <w:t>și incapacității de plată, ace</w:t>
      </w:r>
      <w:r w:rsidR="0075577F" w:rsidRPr="009772A3">
        <w:rPr>
          <w:rFonts w:asciiTheme="majorHAnsi" w:hAnsiTheme="majorHAnsi" w:cstheme="majorHAnsi"/>
          <w:bCs/>
          <w:iCs/>
          <w:noProof/>
          <w:sz w:val="24"/>
          <w:szCs w:val="24"/>
          <w:shd w:val="clear" w:color="auto" w:fill="FFFFFF"/>
          <w:lang w:val="ro-MD"/>
        </w:rPr>
        <w:t>a</w:t>
      </w:r>
      <w:r w:rsidRPr="009772A3">
        <w:rPr>
          <w:rFonts w:asciiTheme="majorHAnsi" w:hAnsiTheme="majorHAnsi" w:cstheme="majorHAnsi"/>
          <w:bCs/>
          <w:iCs/>
          <w:noProof/>
          <w:sz w:val="24"/>
          <w:szCs w:val="24"/>
          <w:shd w:val="clear" w:color="auto" w:fill="FFFFFF"/>
          <w:lang w:val="ro-MD"/>
        </w:rPr>
        <w:t>sta, în anul 2009, potrivit unei Hotărâri a Curții de apel economice, a intrat în proces de insolvabilitate</w:t>
      </w:r>
      <w:r w:rsidRPr="009772A3">
        <w:rPr>
          <w:rFonts w:asciiTheme="majorHAnsi" w:hAnsiTheme="majorHAnsi" w:cstheme="majorHAnsi"/>
          <w:bCs/>
          <w:iCs/>
          <w:noProof/>
          <w:sz w:val="24"/>
          <w:shd w:val="clear" w:color="auto" w:fill="FFFFFF"/>
          <w:vertAlign w:val="superscript"/>
          <w:lang w:val="ro-MD"/>
        </w:rPr>
        <w:footnoteReference w:id="183"/>
      </w:r>
      <w:r w:rsidRPr="009772A3">
        <w:rPr>
          <w:rFonts w:asciiTheme="majorHAnsi" w:hAnsiTheme="majorHAnsi" w:cstheme="majorHAnsi"/>
          <w:bCs/>
          <w:iCs/>
          <w:noProof/>
          <w:sz w:val="24"/>
          <w:szCs w:val="24"/>
          <w:shd w:val="clear" w:color="auto" w:fill="FFFFFF"/>
          <w:lang w:val="ro-MD"/>
        </w:rPr>
        <w:t>, după care în anul 2022 a fost lichidată</w:t>
      </w:r>
      <w:r w:rsidRPr="009772A3">
        <w:rPr>
          <w:rFonts w:asciiTheme="majorHAnsi" w:hAnsiTheme="majorHAnsi" w:cstheme="majorHAnsi"/>
          <w:bCs/>
          <w:iCs/>
          <w:noProof/>
          <w:sz w:val="24"/>
          <w:shd w:val="clear" w:color="auto" w:fill="FFFFFF"/>
          <w:vertAlign w:val="superscript"/>
          <w:lang w:val="ro-MD"/>
        </w:rPr>
        <w:footnoteReference w:id="184"/>
      </w:r>
      <w:r w:rsidRPr="009772A3">
        <w:rPr>
          <w:rFonts w:asciiTheme="majorHAnsi" w:hAnsiTheme="majorHAnsi" w:cstheme="majorHAnsi"/>
          <w:bCs/>
          <w:iCs/>
          <w:noProof/>
          <w:sz w:val="24"/>
          <w:szCs w:val="24"/>
          <w:shd w:val="clear" w:color="auto" w:fill="FFFFFF"/>
          <w:lang w:val="ro-MD"/>
        </w:rPr>
        <w:t>.</w:t>
      </w:r>
    </w:p>
    <w:p w14:paraId="61A85CC1" w14:textId="7815D089" w:rsidR="00FF50EF" w:rsidRPr="009772A3" w:rsidRDefault="0075577F" w:rsidP="00FF50EF">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Ca u</w:t>
      </w:r>
      <w:r w:rsidR="00FF50EF" w:rsidRPr="009772A3">
        <w:rPr>
          <w:rFonts w:asciiTheme="majorHAnsi" w:hAnsiTheme="majorHAnsi" w:cstheme="majorHAnsi"/>
          <w:bCs/>
          <w:iCs/>
          <w:noProof/>
          <w:sz w:val="24"/>
          <w:szCs w:val="24"/>
          <w:shd w:val="clear" w:color="auto" w:fill="FFFFFF"/>
          <w:lang w:val="ro-MD"/>
        </w:rPr>
        <w:t xml:space="preserve">rmare </w:t>
      </w:r>
      <w:r w:rsidRPr="009772A3">
        <w:rPr>
          <w:rFonts w:asciiTheme="majorHAnsi" w:hAnsiTheme="majorHAnsi" w:cstheme="majorHAnsi"/>
          <w:bCs/>
          <w:iCs/>
          <w:noProof/>
          <w:sz w:val="24"/>
          <w:szCs w:val="24"/>
          <w:shd w:val="clear" w:color="auto" w:fill="FFFFFF"/>
          <w:lang w:val="ro-MD"/>
        </w:rPr>
        <w:t xml:space="preserve">a </w:t>
      </w:r>
      <w:r w:rsidR="00FF50EF" w:rsidRPr="009772A3">
        <w:rPr>
          <w:rFonts w:asciiTheme="majorHAnsi" w:hAnsiTheme="majorHAnsi" w:cstheme="majorHAnsi"/>
          <w:bCs/>
          <w:iCs/>
          <w:noProof/>
          <w:sz w:val="24"/>
          <w:szCs w:val="24"/>
          <w:shd w:val="clear" w:color="auto" w:fill="FFFFFF"/>
          <w:lang w:val="ro-MD"/>
        </w:rPr>
        <w:t>activității economico-financiare eșuate și procedurii de lichidare</w:t>
      </w:r>
      <w:r w:rsidRPr="009772A3">
        <w:rPr>
          <w:rFonts w:asciiTheme="majorHAnsi" w:hAnsiTheme="majorHAnsi" w:cstheme="majorHAnsi"/>
          <w:bCs/>
          <w:iCs/>
          <w:noProof/>
          <w:sz w:val="24"/>
          <w:szCs w:val="24"/>
          <w:shd w:val="clear" w:color="auto" w:fill="FFFFFF"/>
          <w:lang w:val="ro-MD"/>
        </w:rPr>
        <w:t>,</w:t>
      </w:r>
      <w:r w:rsidR="00FF50EF" w:rsidRPr="009772A3">
        <w:rPr>
          <w:rFonts w:asciiTheme="majorHAnsi" w:hAnsiTheme="majorHAnsi" w:cstheme="majorHAnsi"/>
          <w:bCs/>
          <w:iCs/>
          <w:noProof/>
          <w:sz w:val="24"/>
          <w:szCs w:val="24"/>
          <w:shd w:val="clear" w:color="auto" w:fill="FFFFFF"/>
          <w:lang w:val="ro-MD"/>
        </w:rPr>
        <w:t xml:space="preserve"> grupul SA Moldovagaz a suportat pierderi și cheltuieli în sumă totală de 33.557,2 mii lei, dintre care: i) </w:t>
      </w:r>
      <w:r w:rsidR="000A63FA" w:rsidRPr="009772A3">
        <w:rPr>
          <w:rFonts w:asciiTheme="majorHAnsi" w:hAnsiTheme="majorHAnsi" w:cstheme="majorHAnsi"/>
          <w:bCs/>
          <w:iCs/>
          <w:noProof/>
          <w:sz w:val="24"/>
          <w:szCs w:val="24"/>
          <w:shd w:val="clear" w:color="auto" w:fill="FFFFFF"/>
          <w:lang w:val="ro-MD"/>
        </w:rPr>
        <w:t xml:space="preserve">SRL Moldovatransgaz – 21.263,3 mii lei, </w:t>
      </w:r>
      <w:r w:rsidR="00FF50EF" w:rsidRPr="009772A3">
        <w:rPr>
          <w:rFonts w:asciiTheme="majorHAnsi" w:hAnsiTheme="majorHAnsi" w:cstheme="majorHAnsi"/>
          <w:bCs/>
          <w:iCs/>
          <w:noProof/>
          <w:sz w:val="24"/>
          <w:szCs w:val="24"/>
          <w:shd w:val="clear" w:color="auto" w:fill="FFFFFF"/>
          <w:lang w:val="ro-MD"/>
        </w:rPr>
        <w:t xml:space="preserve">ii) </w:t>
      </w:r>
      <w:r w:rsidR="000A63FA" w:rsidRPr="009772A3">
        <w:rPr>
          <w:rFonts w:asciiTheme="majorHAnsi" w:hAnsiTheme="majorHAnsi" w:cstheme="majorHAnsi"/>
          <w:bCs/>
          <w:iCs/>
          <w:noProof/>
          <w:sz w:val="24"/>
          <w:szCs w:val="24"/>
          <w:shd w:val="clear" w:color="auto" w:fill="FFFFFF"/>
          <w:lang w:val="ro-MD"/>
        </w:rPr>
        <w:t xml:space="preserve">SA Moldovagaz </w:t>
      </w:r>
      <w:r w:rsidRPr="009772A3">
        <w:rPr>
          <w:rFonts w:asciiTheme="majorHAnsi" w:hAnsiTheme="majorHAnsi" w:cstheme="majorHAnsi"/>
          <w:bCs/>
          <w:iCs/>
          <w:noProof/>
          <w:sz w:val="24"/>
          <w:szCs w:val="24"/>
          <w:shd w:val="clear" w:color="auto" w:fill="FFFFFF"/>
          <w:lang w:val="ro-MD"/>
        </w:rPr>
        <w:t>–</w:t>
      </w:r>
      <w:r w:rsidR="000A63FA" w:rsidRPr="009772A3">
        <w:rPr>
          <w:rFonts w:asciiTheme="majorHAnsi" w:hAnsiTheme="majorHAnsi" w:cstheme="majorHAnsi"/>
          <w:bCs/>
          <w:iCs/>
          <w:noProof/>
          <w:sz w:val="24"/>
          <w:szCs w:val="24"/>
          <w:shd w:val="clear" w:color="auto" w:fill="FFFFFF"/>
          <w:lang w:val="ro-MD"/>
        </w:rPr>
        <w:t xml:space="preserve"> 9.378,2 mii lei, </w:t>
      </w:r>
      <w:r w:rsidR="00FF50EF" w:rsidRPr="009772A3">
        <w:rPr>
          <w:rFonts w:asciiTheme="majorHAnsi" w:hAnsiTheme="majorHAnsi" w:cstheme="majorHAnsi"/>
          <w:bCs/>
          <w:iCs/>
          <w:noProof/>
          <w:sz w:val="24"/>
          <w:szCs w:val="24"/>
          <w:shd w:val="clear" w:color="auto" w:fill="FFFFFF"/>
          <w:lang w:val="ro-MD"/>
        </w:rPr>
        <w:t>iii) SRL Ialoveni</w:t>
      </w:r>
      <w:r w:rsidRPr="009772A3">
        <w:rPr>
          <w:rFonts w:asciiTheme="majorHAnsi" w:hAnsiTheme="majorHAnsi" w:cstheme="majorHAnsi"/>
          <w:bCs/>
          <w:iCs/>
          <w:noProof/>
          <w:sz w:val="24"/>
          <w:szCs w:val="24"/>
          <w:shd w:val="clear" w:color="auto" w:fill="FFFFFF"/>
          <w:lang w:val="ro-MD"/>
        </w:rPr>
        <w:t>-</w:t>
      </w:r>
      <w:r w:rsidR="00FF50EF" w:rsidRPr="009772A3">
        <w:rPr>
          <w:rFonts w:asciiTheme="majorHAnsi" w:hAnsiTheme="majorHAnsi" w:cstheme="majorHAnsi"/>
          <w:bCs/>
          <w:iCs/>
          <w:noProof/>
          <w:sz w:val="24"/>
          <w:szCs w:val="24"/>
          <w:shd w:val="clear" w:color="auto" w:fill="FFFFFF"/>
          <w:lang w:val="ro-MD"/>
        </w:rPr>
        <w:t xml:space="preserve">gaz – 1.785,2 mii lei, iv) SRL Edineț-gaz – 521,2 mii lei, v) </w:t>
      </w:r>
      <w:r w:rsidR="000A63FA" w:rsidRPr="009772A3">
        <w:rPr>
          <w:rFonts w:asciiTheme="majorHAnsi" w:hAnsiTheme="majorHAnsi" w:cstheme="majorHAnsi"/>
          <w:bCs/>
          <w:iCs/>
          <w:noProof/>
          <w:sz w:val="24"/>
          <w:szCs w:val="24"/>
          <w:shd w:val="clear" w:color="auto" w:fill="FFFFFF"/>
          <w:lang w:val="ro-MD"/>
        </w:rPr>
        <w:t xml:space="preserve">SRL Florești-gaz – 243,3 mii lei, </w:t>
      </w:r>
      <w:r w:rsidR="00FF50EF" w:rsidRPr="009772A3">
        <w:rPr>
          <w:rFonts w:asciiTheme="majorHAnsi" w:hAnsiTheme="majorHAnsi" w:cstheme="majorHAnsi"/>
          <w:bCs/>
          <w:iCs/>
          <w:noProof/>
          <w:sz w:val="24"/>
          <w:szCs w:val="24"/>
          <w:shd w:val="clear" w:color="auto" w:fill="FFFFFF"/>
          <w:lang w:val="ro-MD"/>
        </w:rPr>
        <w:t>vi) SRL Chișinău</w:t>
      </w:r>
      <w:r w:rsidRPr="009772A3">
        <w:rPr>
          <w:rFonts w:asciiTheme="majorHAnsi" w:hAnsiTheme="majorHAnsi" w:cstheme="majorHAnsi"/>
          <w:bCs/>
          <w:iCs/>
          <w:noProof/>
          <w:sz w:val="24"/>
          <w:szCs w:val="24"/>
          <w:shd w:val="clear" w:color="auto" w:fill="FFFFFF"/>
          <w:lang w:val="ro-MD"/>
        </w:rPr>
        <w:t>-</w:t>
      </w:r>
      <w:r w:rsidR="00FF50EF" w:rsidRPr="009772A3">
        <w:rPr>
          <w:rFonts w:asciiTheme="majorHAnsi" w:hAnsiTheme="majorHAnsi" w:cstheme="majorHAnsi"/>
          <w:bCs/>
          <w:iCs/>
          <w:noProof/>
          <w:sz w:val="24"/>
          <w:szCs w:val="24"/>
          <w:shd w:val="clear" w:color="auto" w:fill="FFFFFF"/>
          <w:lang w:val="ro-MD"/>
        </w:rPr>
        <w:t>gaz – 269,6 mii lei, și vii)</w:t>
      </w:r>
      <w:r w:rsidR="000A63FA" w:rsidRPr="009772A3">
        <w:rPr>
          <w:rFonts w:asciiTheme="majorHAnsi" w:hAnsiTheme="majorHAnsi" w:cstheme="majorHAnsi"/>
          <w:bCs/>
          <w:iCs/>
          <w:noProof/>
          <w:sz w:val="24"/>
          <w:szCs w:val="24"/>
          <w:shd w:val="clear" w:color="auto" w:fill="FFFFFF"/>
          <w:lang w:val="ro-MD"/>
        </w:rPr>
        <w:t xml:space="preserve"> SRL Gagauz</w:t>
      </w:r>
      <w:r w:rsidRPr="009772A3">
        <w:rPr>
          <w:rFonts w:asciiTheme="majorHAnsi" w:hAnsiTheme="majorHAnsi" w:cstheme="majorHAnsi"/>
          <w:bCs/>
          <w:iCs/>
          <w:noProof/>
          <w:sz w:val="24"/>
          <w:szCs w:val="24"/>
          <w:shd w:val="clear" w:color="auto" w:fill="FFFFFF"/>
          <w:lang w:val="ro-MD"/>
        </w:rPr>
        <w:t>-</w:t>
      </w:r>
      <w:r w:rsidR="000A63FA" w:rsidRPr="009772A3">
        <w:rPr>
          <w:rFonts w:asciiTheme="majorHAnsi" w:hAnsiTheme="majorHAnsi" w:cstheme="majorHAnsi"/>
          <w:bCs/>
          <w:iCs/>
          <w:noProof/>
          <w:sz w:val="24"/>
          <w:szCs w:val="24"/>
          <w:shd w:val="clear" w:color="auto" w:fill="FFFFFF"/>
          <w:lang w:val="ro-MD"/>
        </w:rPr>
        <w:t>gaz – 96,5 mii lei</w:t>
      </w:r>
      <w:r w:rsidR="00674D32" w:rsidRPr="009772A3">
        <w:rPr>
          <w:rFonts w:asciiTheme="majorHAnsi" w:hAnsiTheme="majorHAnsi" w:cstheme="majorHAnsi"/>
          <w:bCs/>
          <w:iCs/>
          <w:noProof/>
          <w:sz w:val="24"/>
          <w:szCs w:val="24"/>
          <w:shd w:val="clear" w:color="auto" w:fill="FFFFFF"/>
          <w:lang w:val="ro-MD"/>
        </w:rPr>
        <w:t>.</w:t>
      </w:r>
    </w:p>
    <w:p w14:paraId="12FB345A" w14:textId="63E6DFE1" w:rsidR="00FF50EF" w:rsidRPr="009772A3" w:rsidRDefault="00FF50EF" w:rsidP="00FF50EF">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Mai mult decât atât, examinările de audit au relevat și faptul că</w:t>
      </w:r>
      <w:r w:rsidR="000F5D12"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reieșind din prevederile legale cu privire la insolvabilitate</w:t>
      </w:r>
      <w:r w:rsidRPr="009772A3">
        <w:rPr>
          <w:rFonts w:asciiTheme="majorHAnsi" w:hAnsiTheme="majorHAnsi" w:cstheme="majorHAnsi"/>
          <w:bCs/>
          <w:iCs/>
          <w:noProof/>
          <w:sz w:val="24"/>
          <w:shd w:val="clear" w:color="auto" w:fill="FFFFFF"/>
          <w:vertAlign w:val="superscript"/>
          <w:lang w:val="ro-MD"/>
        </w:rPr>
        <w:footnoteReference w:id="185"/>
      </w:r>
      <w:r w:rsidRPr="009772A3">
        <w:rPr>
          <w:rFonts w:asciiTheme="majorHAnsi" w:hAnsiTheme="majorHAnsi" w:cstheme="majorHAnsi"/>
          <w:bCs/>
          <w:iCs/>
          <w:noProof/>
          <w:sz w:val="24"/>
          <w:szCs w:val="24"/>
          <w:shd w:val="clear" w:color="auto" w:fill="FFFFFF"/>
          <w:lang w:val="ro-MD"/>
        </w:rPr>
        <w:t>, SA Moldovagaz, ca fondator al SRL Completgaz, a fost atrasă la răspundere subsidiară pentru datoria companiei</w:t>
      </w:r>
      <w:r w:rsidR="000F5D12"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fiice în sumă totală de 5.247,0 mii dolari SUA, față de Fera Management LLC, dat fiind constatarea culpei fondatorului conform unei încheieri a Curții de </w:t>
      </w:r>
      <w:r w:rsidR="00BB6F14" w:rsidRPr="009772A3">
        <w:rPr>
          <w:rFonts w:asciiTheme="majorHAnsi" w:hAnsiTheme="majorHAnsi" w:cstheme="majorHAnsi"/>
          <w:bCs/>
          <w:iCs/>
          <w:noProof/>
          <w:sz w:val="24"/>
          <w:szCs w:val="24"/>
          <w:shd w:val="clear" w:color="auto" w:fill="FFFFFF"/>
          <w:lang w:val="ro-MD"/>
        </w:rPr>
        <w:t>A</w:t>
      </w:r>
      <w:r w:rsidRPr="009772A3">
        <w:rPr>
          <w:rFonts w:asciiTheme="majorHAnsi" w:hAnsiTheme="majorHAnsi" w:cstheme="majorHAnsi"/>
          <w:bCs/>
          <w:iCs/>
          <w:noProof/>
          <w:sz w:val="24"/>
          <w:szCs w:val="24"/>
          <w:shd w:val="clear" w:color="auto" w:fill="FFFFFF"/>
          <w:lang w:val="ro-MD"/>
        </w:rPr>
        <w:t xml:space="preserve">pel </w:t>
      </w:r>
      <w:r w:rsidR="00BB6F14" w:rsidRPr="009772A3">
        <w:rPr>
          <w:rFonts w:asciiTheme="majorHAnsi" w:hAnsiTheme="majorHAnsi" w:cstheme="majorHAnsi"/>
          <w:bCs/>
          <w:iCs/>
          <w:noProof/>
          <w:sz w:val="24"/>
          <w:szCs w:val="24"/>
          <w:shd w:val="clear" w:color="auto" w:fill="FFFFFF"/>
          <w:lang w:val="ro-MD"/>
        </w:rPr>
        <w:t>E</w:t>
      </w:r>
      <w:r w:rsidRPr="009772A3">
        <w:rPr>
          <w:rFonts w:asciiTheme="majorHAnsi" w:hAnsiTheme="majorHAnsi" w:cstheme="majorHAnsi"/>
          <w:bCs/>
          <w:iCs/>
          <w:noProof/>
          <w:sz w:val="24"/>
          <w:szCs w:val="24"/>
          <w:shd w:val="clear" w:color="auto" w:fill="FFFFFF"/>
          <w:lang w:val="ro-MD"/>
        </w:rPr>
        <w:t>conomice</w:t>
      </w:r>
      <w:r w:rsidRPr="009772A3">
        <w:rPr>
          <w:rFonts w:asciiTheme="majorHAnsi" w:hAnsiTheme="majorHAnsi" w:cstheme="majorHAnsi"/>
          <w:bCs/>
          <w:iCs/>
          <w:noProof/>
          <w:sz w:val="24"/>
          <w:szCs w:val="24"/>
          <w:shd w:val="clear" w:color="auto" w:fill="FFFFFF"/>
          <w:vertAlign w:val="superscript"/>
          <w:lang w:val="ro-MD"/>
        </w:rPr>
        <w:footnoteReference w:id="186"/>
      </w:r>
      <w:r w:rsidRPr="009772A3">
        <w:rPr>
          <w:rFonts w:asciiTheme="majorHAnsi" w:hAnsiTheme="majorHAnsi" w:cstheme="majorHAnsi"/>
          <w:bCs/>
          <w:iCs/>
          <w:noProof/>
          <w:sz w:val="24"/>
          <w:szCs w:val="24"/>
          <w:shd w:val="clear" w:color="auto" w:fill="FFFFFF"/>
          <w:lang w:val="ro-MD"/>
        </w:rPr>
        <w:t xml:space="preserve">. Datoria pretinsă </w:t>
      </w:r>
      <w:r w:rsidR="000F5D12" w:rsidRPr="009772A3">
        <w:rPr>
          <w:rFonts w:asciiTheme="majorHAnsi" w:hAnsiTheme="majorHAnsi" w:cstheme="majorHAnsi"/>
          <w:bCs/>
          <w:iCs/>
          <w:noProof/>
          <w:sz w:val="24"/>
          <w:szCs w:val="24"/>
          <w:shd w:val="clear" w:color="auto" w:fill="FFFFFF"/>
          <w:lang w:val="ro-MD"/>
        </w:rPr>
        <w:t>a fost</w:t>
      </w:r>
      <w:r w:rsidRPr="009772A3">
        <w:rPr>
          <w:rFonts w:asciiTheme="majorHAnsi" w:hAnsiTheme="majorHAnsi" w:cstheme="majorHAnsi"/>
          <w:bCs/>
          <w:iCs/>
          <w:noProof/>
          <w:sz w:val="24"/>
          <w:szCs w:val="24"/>
          <w:shd w:val="clear" w:color="auto" w:fill="FFFFFF"/>
          <w:lang w:val="ro-MD"/>
        </w:rPr>
        <w:t xml:space="preserve"> achitată de SA Moldovagaz în anul 2015, cu echivalentul acesteia în sumă de 101.552,5 mii lei.</w:t>
      </w:r>
    </w:p>
    <w:p w14:paraId="4A142B2C" w14:textId="2B27B758" w:rsidR="00FF50EF" w:rsidRPr="009772A3" w:rsidRDefault="00FF50EF" w:rsidP="00FF50EF">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Deși pe acest caz a fost pornită o cauză penală încă înainte de anul 2016, nu există încă o decizie finală a organului de urmărire penală</w:t>
      </w:r>
      <w:r w:rsidRPr="009772A3">
        <w:rPr>
          <w:rFonts w:asciiTheme="majorHAnsi" w:hAnsiTheme="majorHAnsi" w:cstheme="majorHAnsi"/>
          <w:bCs/>
          <w:iCs/>
          <w:noProof/>
          <w:sz w:val="24"/>
          <w:shd w:val="clear" w:color="auto" w:fill="FFFFFF"/>
          <w:vertAlign w:val="superscript"/>
          <w:lang w:val="ro-MD"/>
        </w:rPr>
        <w:footnoteReference w:id="187"/>
      </w:r>
      <w:r w:rsidRPr="009772A3">
        <w:rPr>
          <w:rFonts w:asciiTheme="majorHAnsi" w:hAnsiTheme="majorHAnsi" w:cstheme="majorHAnsi"/>
          <w:bCs/>
          <w:iCs/>
          <w:noProof/>
          <w:sz w:val="24"/>
          <w:szCs w:val="24"/>
          <w:shd w:val="clear" w:color="auto" w:fill="FFFFFF"/>
          <w:lang w:val="ro-MD"/>
        </w:rPr>
        <w:t>.</w:t>
      </w:r>
    </w:p>
    <w:p w14:paraId="5F928599" w14:textId="0EA56659" w:rsidR="00D7575D" w:rsidRPr="009772A3" w:rsidRDefault="00D7575D" w:rsidP="00F04D9A">
      <w:pPr>
        <w:pStyle w:val="Heading1"/>
        <w:numPr>
          <w:ilvl w:val="2"/>
          <w:numId w:val="2"/>
        </w:numPr>
        <w:spacing w:line="276" w:lineRule="auto"/>
        <w:ind w:left="0" w:firstLine="0"/>
        <w:jc w:val="both"/>
        <w:rPr>
          <w:color w:val="auto"/>
          <w:lang w:val="ro-MD"/>
        </w:rPr>
      </w:pPr>
      <w:bookmarkStart w:id="239" w:name="_Toc119496465"/>
      <w:r w:rsidRPr="009772A3">
        <w:rPr>
          <w:color w:val="auto"/>
          <w:lang w:val="ro-MD"/>
        </w:rPr>
        <w:t>Cu privire la creanțele compromise pentru gazele naturale furnizate de către SRL Florești</w:t>
      </w:r>
      <w:r w:rsidR="000F5D12" w:rsidRPr="009772A3">
        <w:rPr>
          <w:color w:val="auto"/>
          <w:lang w:val="ro-MD"/>
        </w:rPr>
        <w:t>-</w:t>
      </w:r>
      <w:r w:rsidRPr="009772A3">
        <w:rPr>
          <w:color w:val="auto"/>
          <w:lang w:val="ro-MD"/>
        </w:rPr>
        <w:t>gaz.</w:t>
      </w:r>
      <w:bookmarkEnd w:id="239"/>
      <w:r w:rsidRPr="009772A3">
        <w:rPr>
          <w:color w:val="auto"/>
          <w:lang w:val="ro-MD"/>
        </w:rPr>
        <w:t xml:space="preserve">  </w:t>
      </w:r>
    </w:p>
    <w:p w14:paraId="7E1D80F5" w14:textId="7C5EC33C" w:rsidR="00605B02" w:rsidRPr="009772A3" w:rsidRDefault="00605B02" w:rsidP="004F4116">
      <w:pPr>
        <w:spacing w:after="0" w:line="276" w:lineRule="auto"/>
        <w:ind w:firstLine="709"/>
        <w:jc w:val="both"/>
        <w:rPr>
          <w:rFonts w:asciiTheme="majorHAnsi" w:hAnsiTheme="majorHAnsi" w:cstheme="majorHAnsi"/>
          <w:bCs/>
          <w:i/>
          <w:iCs/>
          <w:noProof/>
          <w:sz w:val="24"/>
          <w:szCs w:val="24"/>
          <w:shd w:val="clear" w:color="auto" w:fill="FFFFFF"/>
          <w:lang w:val="ro-MD"/>
        </w:rPr>
      </w:pPr>
      <w:r w:rsidRPr="009772A3">
        <w:rPr>
          <w:rFonts w:asciiTheme="majorHAnsi" w:hAnsiTheme="majorHAnsi" w:cstheme="majorHAnsi"/>
          <w:bCs/>
          <w:i/>
          <w:iCs/>
          <w:noProof/>
          <w:sz w:val="24"/>
          <w:szCs w:val="24"/>
          <w:shd w:val="clear" w:color="auto" w:fill="FFFFFF"/>
          <w:lang w:val="ro-MD"/>
        </w:rPr>
        <w:t>Nerealizarea conformă a atribuțiilor și drepturilor contractuale de către SRL Florești</w:t>
      </w:r>
      <w:r w:rsidR="000F5D12" w:rsidRPr="009772A3">
        <w:rPr>
          <w:rFonts w:asciiTheme="majorHAnsi" w:hAnsiTheme="majorHAnsi" w:cstheme="majorHAnsi"/>
          <w:bCs/>
          <w:i/>
          <w:iCs/>
          <w:noProof/>
          <w:sz w:val="24"/>
          <w:szCs w:val="24"/>
          <w:shd w:val="clear" w:color="auto" w:fill="FFFFFF"/>
          <w:lang w:val="ro-MD"/>
        </w:rPr>
        <w:t>-</w:t>
      </w:r>
      <w:r w:rsidRPr="009772A3">
        <w:rPr>
          <w:rFonts w:asciiTheme="majorHAnsi" w:hAnsiTheme="majorHAnsi" w:cstheme="majorHAnsi"/>
          <w:bCs/>
          <w:i/>
          <w:iCs/>
          <w:noProof/>
          <w:sz w:val="24"/>
          <w:szCs w:val="24"/>
          <w:shd w:val="clear" w:color="auto" w:fill="FFFFFF"/>
          <w:lang w:val="ro-MD"/>
        </w:rPr>
        <w:t>gaz, a condiționat formarea unor creanțe compromise pentru gazele naturale furnizate unor agenți economici, în sumă totală de 76.003,25 mii lei.</w:t>
      </w:r>
    </w:p>
    <w:p w14:paraId="4CE9223A" w14:textId="11A606BD" w:rsidR="00605B02" w:rsidRPr="009772A3" w:rsidRDefault="00605B02" w:rsidP="00605B02">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Deși potrivit contractelor de furnizare a gazelor naturale încheiate între consumatori – persoane juridice și operatorul sistemului de distribuție, operatorul este în drept să deconecteze instalația de utilizare a consumatorului de la rețeaua de gaze naturale în cazul neachitării în decurs de 10 zile calendaristice din data limită indicată în factură, a plăților pentru gaze</w:t>
      </w:r>
      <w:r w:rsidR="000F5D12" w:rsidRPr="009772A3">
        <w:rPr>
          <w:rFonts w:asciiTheme="majorHAnsi" w:hAnsiTheme="majorHAnsi" w:cstheme="majorHAnsi"/>
          <w:bCs/>
          <w:iCs/>
          <w:noProof/>
          <w:sz w:val="24"/>
          <w:szCs w:val="24"/>
          <w:shd w:val="clear" w:color="auto" w:fill="FFFFFF"/>
          <w:lang w:val="ro-MD"/>
        </w:rPr>
        <w:t>le</w:t>
      </w:r>
      <w:r w:rsidRPr="009772A3">
        <w:rPr>
          <w:rFonts w:asciiTheme="majorHAnsi" w:hAnsiTheme="majorHAnsi" w:cstheme="majorHAnsi"/>
          <w:bCs/>
          <w:iCs/>
          <w:noProof/>
          <w:sz w:val="24"/>
          <w:szCs w:val="24"/>
          <w:shd w:val="clear" w:color="auto" w:fill="FFFFFF"/>
          <w:lang w:val="ro-MD"/>
        </w:rPr>
        <w:t xml:space="preserve"> naturale consumate, probele colectate de audit atestă că SRL Florești</w:t>
      </w:r>
      <w:r w:rsidR="000F5D12"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gaz nu a făcut uz de obligațiile și drepturile de aplicare conformă a acestora, ceea ce a condiționat: i) furnizarea în continuare a gazelor naturale unor agenți economici care nu și-au onorat obligațiile contractuale, ii) acumularea unor creanțe comerciale compromise, în sumă totală de 76.003,25 mii lei și iii) dispute și litigii ulterioare rezultate din incapacitatea de plată, intentarea procesului de insolvabilitate sau lichidarea agentului economic, consumator de gaze naturale.</w:t>
      </w:r>
    </w:p>
    <w:p w14:paraId="26D2E237" w14:textId="22BF8732" w:rsidR="00605B02" w:rsidRPr="009772A3" w:rsidRDefault="00605B02" w:rsidP="00605B02">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 menționat că aceste creanțe au fost formate până în anul 2017, iar tentativele de restituire întreprinse de către SRL „Florești-gaz” durează mai mulți ani fără succes (de la 7 ani și mai mult), unele din ele întrun</w:t>
      </w:r>
      <w:r w:rsidR="000F5D12" w:rsidRPr="009772A3">
        <w:rPr>
          <w:rFonts w:asciiTheme="majorHAnsi" w:hAnsiTheme="majorHAnsi" w:cstheme="majorHAnsi"/>
          <w:bCs/>
          <w:iCs/>
          <w:noProof/>
          <w:sz w:val="24"/>
          <w:szCs w:val="24"/>
          <w:shd w:val="clear" w:color="auto" w:fill="FFFFFF"/>
          <w:lang w:val="ro-MD"/>
        </w:rPr>
        <w:t>ind</w:t>
      </w:r>
      <w:r w:rsidRPr="009772A3">
        <w:rPr>
          <w:rFonts w:asciiTheme="majorHAnsi" w:hAnsiTheme="majorHAnsi" w:cstheme="majorHAnsi"/>
          <w:bCs/>
          <w:iCs/>
          <w:noProof/>
          <w:sz w:val="24"/>
          <w:szCs w:val="24"/>
          <w:shd w:val="clear" w:color="auto" w:fill="FFFFFF"/>
          <w:lang w:val="ro-MD"/>
        </w:rPr>
        <w:t xml:space="preserve"> deja criteriile legale de trecere la pierderi. Astfel</w:t>
      </w:r>
      <w:r w:rsidR="00BB6F14"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w:t>
      </w:r>
    </w:p>
    <w:p w14:paraId="033D14FA" w14:textId="4E7F811C" w:rsidR="00605B02" w:rsidRPr="009772A3" w:rsidRDefault="00605B02" w:rsidP="00F04D9A">
      <w:pPr>
        <w:pStyle w:val="ListParagraph"/>
        <w:numPr>
          <w:ilvl w:val="0"/>
          <w:numId w:val="25"/>
        </w:numPr>
        <w:spacing w:line="259"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în anii 2016-2017, SRL „Florești-gaz” a recuperat de la SRL „SEF-GAZ” bunuri în valoare totală de 1.799,4 mii lei (conductă de gaze – 2,7 km, țevi, un autocamion), la etapa actuală ace</w:t>
      </w:r>
      <w:r w:rsidR="00902964"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sta nu mai dispune de alte valori materiale pentru stingerea creanței de 3.426,18, fiind și în procedură de lichidare, aspect care certifică certitudinea trecerii la pierderi a creanțelor;</w:t>
      </w:r>
    </w:p>
    <w:p w14:paraId="595A68C0" w14:textId="1B62F4D7" w:rsidR="00605B02" w:rsidRPr="009772A3" w:rsidRDefault="00605B02" w:rsidP="00F04D9A">
      <w:pPr>
        <w:pStyle w:val="ListParagraph"/>
        <w:numPr>
          <w:ilvl w:val="0"/>
          <w:numId w:val="25"/>
        </w:numPr>
        <w:spacing w:line="259" w:lineRule="auto"/>
        <w:ind w:left="709" w:hanging="283"/>
        <w:jc w:val="both"/>
        <w:rPr>
          <w:rFonts w:asciiTheme="majorHAnsi" w:hAnsiTheme="majorHAnsi"/>
          <w:sz w:val="24"/>
          <w:szCs w:val="24"/>
          <w:lang w:val="ro-MD"/>
        </w:rPr>
      </w:pPr>
      <w:r w:rsidRPr="009772A3">
        <w:rPr>
          <w:rFonts w:asciiTheme="majorHAnsi" w:hAnsiTheme="majorHAnsi" w:cstheme="majorHAnsi"/>
          <w:sz w:val="24"/>
          <w:szCs w:val="24"/>
          <w:lang w:val="ro-MD"/>
        </w:rPr>
        <w:t>SA</w:t>
      </w:r>
      <w:r w:rsidRPr="009772A3">
        <w:rPr>
          <w:rFonts w:asciiTheme="majorHAnsi" w:hAnsiTheme="majorHAnsi"/>
          <w:sz w:val="24"/>
          <w:szCs w:val="24"/>
          <w:lang w:val="ro-MD"/>
        </w:rPr>
        <w:t xml:space="preserve"> „Cristal-Flor” în anul 2011 a fost radiată din Registrul de stat al persoanelor juridice, fapt ce face creanța de </w:t>
      </w:r>
      <w:r w:rsidRPr="009772A3">
        <w:rPr>
          <w:rFonts w:asciiTheme="majorHAnsi" w:hAnsiTheme="majorHAnsi" w:cstheme="majorHAnsi"/>
          <w:sz w:val="24"/>
          <w:szCs w:val="24"/>
          <w:lang w:val="ro-MD"/>
        </w:rPr>
        <w:t xml:space="preserve">41.869,1 </w:t>
      </w:r>
      <w:r w:rsidRPr="009772A3">
        <w:rPr>
          <w:rFonts w:asciiTheme="majorHAnsi" w:hAnsiTheme="majorHAnsi"/>
          <w:sz w:val="24"/>
          <w:szCs w:val="24"/>
          <w:lang w:val="ro-MD"/>
        </w:rPr>
        <w:t xml:space="preserve">mii lei să fie cert nerecuperabilă. </w:t>
      </w:r>
      <w:r w:rsidR="00731E1C" w:rsidRPr="009772A3">
        <w:rPr>
          <w:rFonts w:asciiTheme="majorHAnsi" w:hAnsiTheme="majorHAnsi"/>
          <w:sz w:val="24"/>
          <w:szCs w:val="24"/>
          <w:lang w:val="ro-MD"/>
        </w:rPr>
        <w:t>Conform evidenței contabile</w:t>
      </w:r>
      <w:r w:rsidR="00BB6F14" w:rsidRPr="009772A3">
        <w:rPr>
          <w:rFonts w:asciiTheme="majorHAnsi" w:hAnsiTheme="majorHAnsi"/>
          <w:sz w:val="24"/>
          <w:szCs w:val="24"/>
          <w:lang w:val="ro-MD"/>
        </w:rPr>
        <w:t>,</w:t>
      </w:r>
      <w:r w:rsidR="00731E1C" w:rsidRPr="009772A3">
        <w:rPr>
          <w:rFonts w:asciiTheme="majorHAnsi" w:hAnsiTheme="majorHAnsi"/>
          <w:sz w:val="24"/>
          <w:szCs w:val="24"/>
          <w:lang w:val="ro-MD"/>
        </w:rPr>
        <w:t xml:space="preserve"> datoria menționată a fost formată </w:t>
      </w:r>
      <w:r w:rsidR="00BB6F14" w:rsidRPr="009772A3">
        <w:rPr>
          <w:rFonts w:asciiTheme="majorHAnsi" w:hAnsiTheme="majorHAnsi"/>
          <w:sz w:val="24"/>
          <w:szCs w:val="24"/>
          <w:lang w:val="ro-MD"/>
        </w:rPr>
        <w:t>ca</w:t>
      </w:r>
      <w:r w:rsidR="00731E1C" w:rsidRPr="009772A3">
        <w:rPr>
          <w:rFonts w:asciiTheme="majorHAnsi" w:hAnsiTheme="majorHAnsi"/>
          <w:sz w:val="24"/>
          <w:szCs w:val="24"/>
          <w:lang w:val="ro-MD"/>
        </w:rPr>
        <w:t xml:space="preserve"> rezultat</w:t>
      </w:r>
      <w:r w:rsidR="00BB6F14" w:rsidRPr="009772A3">
        <w:rPr>
          <w:rFonts w:asciiTheme="majorHAnsi" w:hAnsiTheme="majorHAnsi"/>
          <w:sz w:val="24"/>
          <w:szCs w:val="24"/>
          <w:lang w:val="ro-MD"/>
        </w:rPr>
        <w:t xml:space="preserve"> a</w:t>
      </w:r>
      <w:r w:rsidR="00731E1C" w:rsidRPr="009772A3">
        <w:rPr>
          <w:rFonts w:asciiTheme="majorHAnsi" w:hAnsiTheme="majorHAnsi"/>
          <w:sz w:val="24"/>
          <w:szCs w:val="24"/>
          <w:lang w:val="ro-MD"/>
        </w:rPr>
        <w:t>l livrărilor de gaze naturale în perioada 01.11.2010-29.07.2011, din care în perioada 15.06.201</w:t>
      </w:r>
      <w:r w:rsidR="001336A8" w:rsidRPr="009772A3">
        <w:rPr>
          <w:rFonts w:asciiTheme="majorHAnsi" w:hAnsiTheme="majorHAnsi"/>
          <w:sz w:val="24"/>
          <w:szCs w:val="24"/>
          <w:lang w:val="ro-MD"/>
        </w:rPr>
        <w:t>1</w:t>
      </w:r>
      <w:r w:rsidR="00731E1C" w:rsidRPr="009772A3">
        <w:rPr>
          <w:rFonts w:asciiTheme="majorHAnsi" w:hAnsiTheme="majorHAnsi"/>
          <w:sz w:val="24"/>
          <w:szCs w:val="24"/>
          <w:lang w:val="ro-MD"/>
        </w:rPr>
        <w:t>-29.07.2011 au fost livrate gaze în sumă de 4</w:t>
      </w:r>
      <w:r w:rsidR="00BB6F14" w:rsidRPr="009772A3">
        <w:rPr>
          <w:rFonts w:asciiTheme="majorHAnsi" w:hAnsiTheme="majorHAnsi"/>
          <w:sz w:val="24"/>
          <w:szCs w:val="24"/>
          <w:lang w:val="ro-MD"/>
        </w:rPr>
        <w:t>.</w:t>
      </w:r>
      <w:r w:rsidR="00731E1C" w:rsidRPr="009772A3">
        <w:rPr>
          <w:rFonts w:asciiTheme="majorHAnsi" w:hAnsiTheme="majorHAnsi"/>
          <w:sz w:val="24"/>
          <w:szCs w:val="24"/>
          <w:lang w:val="ro-MD"/>
        </w:rPr>
        <w:t>488,83 mii lei. De menționat că din data de 14.06.2011</w:t>
      </w:r>
      <w:r w:rsidR="00BB6F14" w:rsidRPr="009772A3">
        <w:rPr>
          <w:rFonts w:asciiTheme="majorHAnsi" w:hAnsiTheme="majorHAnsi"/>
          <w:sz w:val="24"/>
          <w:szCs w:val="24"/>
          <w:lang w:val="ro-MD"/>
        </w:rPr>
        <w:t>,</w:t>
      </w:r>
      <w:r w:rsidR="00731E1C" w:rsidRPr="009772A3">
        <w:rPr>
          <w:rFonts w:asciiTheme="majorHAnsi" w:hAnsiTheme="majorHAnsi"/>
          <w:sz w:val="24"/>
          <w:szCs w:val="24"/>
          <w:lang w:val="ro-MD"/>
        </w:rPr>
        <w:t xml:space="preserve"> SRL Florești</w:t>
      </w:r>
      <w:r w:rsidR="00BB6F14" w:rsidRPr="009772A3">
        <w:rPr>
          <w:rFonts w:asciiTheme="majorHAnsi" w:hAnsiTheme="majorHAnsi"/>
          <w:sz w:val="24"/>
          <w:szCs w:val="24"/>
          <w:lang w:val="ro-MD"/>
        </w:rPr>
        <w:t>-</w:t>
      </w:r>
      <w:r w:rsidR="00731E1C" w:rsidRPr="009772A3">
        <w:rPr>
          <w:rFonts w:asciiTheme="majorHAnsi" w:hAnsiTheme="majorHAnsi"/>
          <w:sz w:val="24"/>
          <w:szCs w:val="24"/>
          <w:lang w:val="ro-MD"/>
        </w:rPr>
        <w:t xml:space="preserve">gaz a fost obligată de către </w:t>
      </w:r>
      <w:r w:rsidR="0001146C" w:rsidRPr="009772A3">
        <w:rPr>
          <w:rFonts w:asciiTheme="majorHAnsi" w:hAnsiTheme="majorHAnsi"/>
          <w:sz w:val="24"/>
          <w:szCs w:val="24"/>
          <w:lang w:val="ro-MD"/>
        </w:rPr>
        <w:t xml:space="preserve">Curtea de Apel Economică </w:t>
      </w:r>
      <w:r w:rsidR="000F3216" w:rsidRPr="009772A3">
        <w:rPr>
          <w:rFonts w:asciiTheme="majorHAnsi" w:hAnsiTheme="majorHAnsi"/>
          <w:sz w:val="24"/>
          <w:szCs w:val="24"/>
          <w:lang w:val="ro-MD"/>
        </w:rPr>
        <w:t xml:space="preserve">de </w:t>
      </w:r>
      <w:r w:rsidR="00731E1C" w:rsidRPr="009772A3">
        <w:rPr>
          <w:rFonts w:asciiTheme="majorHAnsi" w:hAnsiTheme="majorHAnsi"/>
          <w:sz w:val="24"/>
          <w:szCs w:val="24"/>
          <w:lang w:val="ro-MD"/>
        </w:rPr>
        <w:t xml:space="preserve">a nu sista livrarea gazelor naturale către SA Cristal-Flor. </w:t>
      </w:r>
      <w:r w:rsidR="0001146C" w:rsidRPr="009772A3">
        <w:rPr>
          <w:rFonts w:asciiTheme="majorHAnsi" w:hAnsiTheme="majorHAnsi"/>
          <w:sz w:val="24"/>
          <w:szCs w:val="24"/>
          <w:lang w:val="ro-MD"/>
        </w:rPr>
        <w:t>SRL Florești</w:t>
      </w:r>
      <w:r w:rsidR="00BB6F14" w:rsidRPr="009772A3">
        <w:rPr>
          <w:rFonts w:asciiTheme="majorHAnsi" w:hAnsiTheme="majorHAnsi"/>
          <w:sz w:val="24"/>
          <w:szCs w:val="24"/>
          <w:lang w:val="ro-MD"/>
        </w:rPr>
        <w:t>-</w:t>
      </w:r>
      <w:r w:rsidR="0001146C" w:rsidRPr="009772A3">
        <w:rPr>
          <w:rFonts w:asciiTheme="majorHAnsi" w:hAnsiTheme="majorHAnsi"/>
          <w:sz w:val="24"/>
          <w:szCs w:val="24"/>
          <w:lang w:val="ro-MD"/>
        </w:rPr>
        <w:t xml:space="preserve">Gaz a întreprins un șir de măsuri pentru a recupera datoria dată, ultima acțiune (04.01.2012) </w:t>
      </w:r>
      <w:r w:rsidR="00BB6F14" w:rsidRPr="009772A3">
        <w:rPr>
          <w:rFonts w:asciiTheme="majorHAnsi" w:hAnsiTheme="majorHAnsi"/>
          <w:sz w:val="24"/>
          <w:szCs w:val="24"/>
          <w:lang w:val="ro-MD"/>
        </w:rPr>
        <w:t>fiind</w:t>
      </w:r>
      <w:r w:rsidR="0001146C" w:rsidRPr="009772A3">
        <w:rPr>
          <w:rFonts w:asciiTheme="majorHAnsi" w:hAnsiTheme="majorHAnsi"/>
          <w:sz w:val="24"/>
          <w:szCs w:val="24"/>
          <w:lang w:val="ro-MD"/>
        </w:rPr>
        <w:t xml:space="preserve"> înaintarea </w:t>
      </w:r>
      <w:r w:rsidR="0064589B" w:rsidRPr="009772A3">
        <w:rPr>
          <w:rFonts w:asciiTheme="majorHAnsi" w:hAnsiTheme="majorHAnsi"/>
          <w:sz w:val="24"/>
          <w:szCs w:val="24"/>
          <w:lang w:val="ro-MD"/>
        </w:rPr>
        <w:t xml:space="preserve">unei </w:t>
      </w:r>
      <w:r w:rsidR="0001146C" w:rsidRPr="009772A3">
        <w:rPr>
          <w:rFonts w:asciiTheme="majorHAnsi" w:hAnsiTheme="majorHAnsi"/>
          <w:sz w:val="24"/>
          <w:szCs w:val="24"/>
          <w:lang w:val="ro-MD"/>
        </w:rPr>
        <w:t xml:space="preserve">cereri </w:t>
      </w:r>
      <w:r w:rsidR="0064589B" w:rsidRPr="009772A3">
        <w:rPr>
          <w:rFonts w:asciiTheme="majorHAnsi" w:hAnsiTheme="majorHAnsi"/>
          <w:sz w:val="24"/>
          <w:szCs w:val="24"/>
          <w:lang w:val="ro-MD"/>
        </w:rPr>
        <w:t>la</w:t>
      </w:r>
      <w:r w:rsidR="0001146C" w:rsidRPr="009772A3">
        <w:rPr>
          <w:rFonts w:asciiTheme="majorHAnsi" w:hAnsiTheme="majorHAnsi"/>
          <w:sz w:val="24"/>
          <w:szCs w:val="24"/>
          <w:lang w:val="ro-MD"/>
        </w:rPr>
        <w:t xml:space="preserve"> Curtea Europeană a Drepturilor Omului</w:t>
      </w:r>
      <w:r w:rsidR="00BB6F14" w:rsidRPr="009772A3">
        <w:rPr>
          <w:rFonts w:asciiTheme="majorHAnsi" w:hAnsiTheme="majorHAnsi"/>
          <w:sz w:val="24"/>
          <w:szCs w:val="24"/>
          <w:lang w:val="ro-MD"/>
        </w:rPr>
        <w:t>;</w:t>
      </w:r>
    </w:p>
    <w:p w14:paraId="7C7174DA" w14:textId="6AF49AFE" w:rsidR="00605B02" w:rsidRPr="009772A3" w:rsidRDefault="00605B02" w:rsidP="00F04D9A">
      <w:pPr>
        <w:pStyle w:val="ListParagraph"/>
        <w:numPr>
          <w:ilvl w:val="0"/>
          <w:numId w:val="25"/>
        </w:numPr>
        <w:spacing w:line="259" w:lineRule="auto"/>
        <w:ind w:left="709" w:hanging="283"/>
        <w:jc w:val="both"/>
        <w:rPr>
          <w:rFonts w:asciiTheme="majorHAnsi" w:hAnsiTheme="majorHAnsi"/>
          <w:sz w:val="24"/>
          <w:szCs w:val="24"/>
          <w:lang w:val="ro-MD"/>
        </w:rPr>
      </w:pPr>
      <w:r w:rsidRPr="009772A3">
        <w:rPr>
          <w:rFonts w:asciiTheme="majorHAnsi" w:hAnsiTheme="majorHAnsi"/>
          <w:sz w:val="24"/>
          <w:szCs w:val="24"/>
          <w:lang w:val="ro-MD"/>
        </w:rPr>
        <w:t xml:space="preserve">deși SC DigoMobil SRL la 17.06.2011 înregistra o datorie </w:t>
      </w:r>
      <w:r w:rsidR="00902964" w:rsidRPr="009772A3">
        <w:rPr>
          <w:rFonts w:asciiTheme="majorHAnsi" w:hAnsiTheme="majorHAnsi"/>
          <w:sz w:val="24"/>
          <w:szCs w:val="24"/>
          <w:lang w:val="ro-MD"/>
        </w:rPr>
        <w:t xml:space="preserve">față </w:t>
      </w:r>
      <w:r w:rsidRPr="009772A3">
        <w:rPr>
          <w:rFonts w:asciiTheme="majorHAnsi" w:hAnsiTheme="majorHAnsi"/>
          <w:sz w:val="24"/>
          <w:szCs w:val="24"/>
          <w:lang w:val="ro-MD"/>
        </w:rPr>
        <w:t>de SRL Florești</w:t>
      </w:r>
      <w:r w:rsidR="0064589B" w:rsidRPr="009772A3">
        <w:rPr>
          <w:rFonts w:asciiTheme="majorHAnsi" w:hAnsiTheme="majorHAnsi"/>
          <w:sz w:val="24"/>
          <w:szCs w:val="24"/>
          <w:lang w:val="ro-MD"/>
        </w:rPr>
        <w:t>-</w:t>
      </w:r>
      <w:r w:rsidRPr="009772A3">
        <w:rPr>
          <w:rFonts w:asciiTheme="majorHAnsi" w:hAnsiTheme="majorHAnsi"/>
          <w:sz w:val="24"/>
          <w:szCs w:val="24"/>
          <w:lang w:val="ro-MD"/>
        </w:rPr>
        <w:t xml:space="preserve">gaz în sumă de </w:t>
      </w:r>
      <w:r w:rsidRPr="009772A3">
        <w:rPr>
          <w:rFonts w:asciiTheme="majorHAnsi" w:hAnsiTheme="majorHAnsi" w:cstheme="majorHAnsi"/>
          <w:sz w:val="24"/>
          <w:szCs w:val="24"/>
          <w:lang w:val="ro-MD"/>
        </w:rPr>
        <w:t>15.347,09</w:t>
      </w:r>
      <w:r w:rsidRPr="009772A3">
        <w:rPr>
          <w:rFonts w:asciiTheme="majorHAnsi" w:hAnsiTheme="majorHAnsi"/>
          <w:sz w:val="24"/>
          <w:szCs w:val="24"/>
          <w:lang w:val="ro-MD"/>
        </w:rPr>
        <w:t xml:space="preserve"> mii lei, aceasta nu a putut fi încasată dat fiind intentarea procedurii falimentului operatorului economic, consumator de gaze naturale</w:t>
      </w:r>
      <w:r w:rsidR="0064589B" w:rsidRPr="009772A3">
        <w:rPr>
          <w:rFonts w:asciiTheme="majorHAnsi" w:hAnsiTheme="majorHAnsi"/>
          <w:sz w:val="24"/>
          <w:szCs w:val="24"/>
          <w:lang w:val="ro-MD"/>
        </w:rPr>
        <w:t>;</w:t>
      </w:r>
    </w:p>
    <w:p w14:paraId="279CBDA4" w14:textId="5F20E04A" w:rsidR="00605B02" w:rsidRPr="00CF3AD4" w:rsidRDefault="00605B02" w:rsidP="00F04D9A">
      <w:pPr>
        <w:pStyle w:val="ListParagraph"/>
        <w:numPr>
          <w:ilvl w:val="0"/>
          <w:numId w:val="25"/>
        </w:numPr>
        <w:spacing w:after="0" w:line="259" w:lineRule="auto"/>
        <w:ind w:left="709" w:hanging="283"/>
        <w:jc w:val="both"/>
        <w:rPr>
          <w:rFonts w:asciiTheme="majorHAnsi" w:hAnsiTheme="majorHAnsi"/>
          <w:sz w:val="24"/>
          <w:szCs w:val="24"/>
          <w:lang w:val="ro-MD"/>
        </w:rPr>
      </w:pPr>
      <w:r w:rsidRPr="00F04D9A">
        <w:rPr>
          <w:rFonts w:asciiTheme="majorHAnsi" w:hAnsiTheme="majorHAnsi"/>
          <w:sz w:val="24"/>
          <w:szCs w:val="24"/>
          <w:lang w:val="ro-MD"/>
        </w:rPr>
        <w:t xml:space="preserve">deși prin decizia nr.2ac-808/14 din 29.01.2015 </w:t>
      </w:r>
      <w:r w:rsidR="00902964" w:rsidRPr="00F04D9A">
        <w:rPr>
          <w:rFonts w:asciiTheme="majorHAnsi" w:hAnsiTheme="majorHAnsi"/>
          <w:sz w:val="24"/>
          <w:szCs w:val="24"/>
          <w:lang w:val="ro-MD"/>
        </w:rPr>
        <w:t xml:space="preserve">a </w:t>
      </w:r>
      <w:r w:rsidRPr="00F04D9A">
        <w:rPr>
          <w:rFonts w:asciiTheme="majorHAnsi" w:hAnsiTheme="majorHAnsi"/>
          <w:sz w:val="24"/>
          <w:szCs w:val="24"/>
          <w:lang w:val="ro-MD"/>
        </w:rPr>
        <w:t>Colegiul</w:t>
      </w:r>
      <w:r w:rsidR="00902964" w:rsidRPr="00F04D9A">
        <w:rPr>
          <w:rFonts w:asciiTheme="majorHAnsi" w:hAnsiTheme="majorHAnsi"/>
          <w:sz w:val="24"/>
          <w:szCs w:val="24"/>
          <w:lang w:val="ro-MD"/>
        </w:rPr>
        <w:t>ui</w:t>
      </w:r>
      <w:r w:rsidRPr="00F04D9A">
        <w:rPr>
          <w:rFonts w:asciiTheme="majorHAnsi" w:hAnsiTheme="majorHAnsi"/>
          <w:sz w:val="24"/>
          <w:szCs w:val="24"/>
          <w:lang w:val="ro-MD"/>
        </w:rPr>
        <w:t xml:space="preserve"> Civil </w:t>
      </w:r>
      <w:r w:rsidR="00902964" w:rsidRPr="00F04D9A">
        <w:rPr>
          <w:rFonts w:asciiTheme="majorHAnsi" w:hAnsiTheme="majorHAnsi"/>
          <w:sz w:val="24"/>
          <w:szCs w:val="24"/>
          <w:lang w:val="ro-MD"/>
        </w:rPr>
        <w:t xml:space="preserve">al Curții </w:t>
      </w:r>
      <w:r w:rsidRPr="00F04D9A">
        <w:rPr>
          <w:rFonts w:asciiTheme="majorHAnsi" w:hAnsiTheme="majorHAnsi"/>
          <w:sz w:val="24"/>
          <w:szCs w:val="24"/>
          <w:lang w:val="ro-MD"/>
        </w:rPr>
        <w:t xml:space="preserve">de Apel a fost respinsă cererea de apel depusă de către ÎCS Cristal-Impex SRL și menținută hotărârea </w:t>
      </w:r>
      <w:r w:rsidR="0064589B" w:rsidRPr="00F04D9A">
        <w:rPr>
          <w:rFonts w:asciiTheme="majorHAnsi" w:hAnsiTheme="majorHAnsi"/>
          <w:sz w:val="24"/>
          <w:szCs w:val="24"/>
          <w:lang w:val="ro-MD"/>
        </w:rPr>
        <w:t>J</w:t>
      </w:r>
      <w:r w:rsidRPr="00F04D9A">
        <w:rPr>
          <w:rFonts w:asciiTheme="majorHAnsi" w:hAnsiTheme="majorHAnsi"/>
          <w:sz w:val="24"/>
          <w:szCs w:val="24"/>
          <w:lang w:val="ro-MD"/>
        </w:rPr>
        <w:t>udecătoriei Căușeni din 18.11.2013</w:t>
      </w:r>
      <w:r w:rsidR="0064589B" w:rsidRPr="00F04D9A">
        <w:rPr>
          <w:rFonts w:asciiTheme="majorHAnsi" w:hAnsiTheme="majorHAnsi"/>
          <w:sz w:val="24"/>
          <w:szCs w:val="24"/>
          <w:lang w:val="ro-MD"/>
        </w:rPr>
        <w:t>,</w:t>
      </w:r>
      <w:r w:rsidRPr="00F04D9A">
        <w:rPr>
          <w:rFonts w:asciiTheme="majorHAnsi" w:hAnsiTheme="majorHAnsi"/>
          <w:sz w:val="24"/>
          <w:szCs w:val="24"/>
          <w:lang w:val="ro-MD"/>
        </w:rPr>
        <w:t xml:space="preserve"> prin care s</w:t>
      </w:r>
      <w:r w:rsidR="00902964" w:rsidRPr="00F04D9A">
        <w:rPr>
          <w:rFonts w:asciiTheme="majorHAnsi" w:hAnsiTheme="majorHAnsi"/>
          <w:sz w:val="24"/>
          <w:szCs w:val="24"/>
          <w:lang w:val="ro-MD"/>
        </w:rPr>
        <w:t>-</w:t>
      </w:r>
      <w:r w:rsidRPr="00F04D9A">
        <w:rPr>
          <w:rFonts w:asciiTheme="majorHAnsi" w:hAnsiTheme="majorHAnsi"/>
          <w:sz w:val="24"/>
          <w:szCs w:val="24"/>
          <w:lang w:val="ro-MD"/>
        </w:rPr>
        <w:t>a decis încasarea de la ÎCS Cristal-Impex SRL în beneficiul SRL Florești</w:t>
      </w:r>
      <w:r w:rsidR="0064589B" w:rsidRPr="00F04D9A">
        <w:rPr>
          <w:rFonts w:asciiTheme="majorHAnsi" w:hAnsiTheme="majorHAnsi"/>
          <w:sz w:val="24"/>
          <w:szCs w:val="24"/>
          <w:lang w:val="ro-MD"/>
        </w:rPr>
        <w:t>-</w:t>
      </w:r>
      <w:r w:rsidRPr="00F04D9A">
        <w:rPr>
          <w:rFonts w:asciiTheme="majorHAnsi" w:hAnsiTheme="majorHAnsi"/>
          <w:sz w:val="24"/>
          <w:szCs w:val="24"/>
          <w:lang w:val="ro-MD"/>
        </w:rPr>
        <w:t xml:space="preserve">Gaz a datoriei pentru gazele consumate </w:t>
      </w:r>
      <w:r w:rsidR="00505036" w:rsidRPr="00F04D9A">
        <w:rPr>
          <w:rFonts w:asciiTheme="majorHAnsi" w:hAnsiTheme="majorHAnsi"/>
          <w:sz w:val="24"/>
          <w:szCs w:val="24"/>
          <w:lang w:val="ro-MD"/>
        </w:rPr>
        <w:t>în perioada august</w:t>
      </w:r>
      <w:r w:rsidR="0064589B" w:rsidRPr="00F04D9A">
        <w:rPr>
          <w:rFonts w:asciiTheme="majorHAnsi" w:hAnsiTheme="majorHAnsi"/>
          <w:sz w:val="24"/>
          <w:szCs w:val="24"/>
          <w:lang w:val="ro-MD"/>
        </w:rPr>
        <w:t>-</w:t>
      </w:r>
      <w:r w:rsidR="00505036" w:rsidRPr="00F04D9A">
        <w:rPr>
          <w:rFonts w:asciiTheme="majorHAnsi" w:hAnsiTheme="majorHAnsi"/>
          <w:sz w:val="24"/>
          <w:szCs w:val="24"/>
          <w:lang w:val="ro-MD"/>
        </w:rPr>
        <w:t xml:space="preserve">noiembrie 2011 </w:t>
      </w:r>
      <w:r w:rsidRPr="00F04D9A">
        <w:rPr>
          <w:rFonts w:asciiTheme="majorHAnsi" w:hAnsiTheme="majorHAnsi"/>
          <w:sz w:val="24"/>
          <w:szCs w:val="24"/>
          <w:lang w:val="ro-MD"/>
        </w:rPr>
        <w:t xml:space="preserve">în sumă de 15.104,86 mii lei, aceasta nu </w:t>
      </w:r>
      <w:r w:rsidR="00505036" w:rsidRPr="00F04D9A">
        <w:rPr>
          <w:rFonts w:asciiTheme="majorHAnsi" w:hAnsiTheme="majorHAnsi"/>
          <w:sz w:val="24"/>
          <w:szCs w:val="24"/>
          <w:lang w:val="ro-MD"/>
        </w:rPr>
        <w:t xml:space="preserve">a </w:t>
      </w:r>
      <w:r w:rsidRPr="00F04D9A">
        <w:rPr>
          <w:rFonts w:asciiTheme="majorHAnsi" w:hAnsiTheme="majorHAnsi"/>
          <w:sz w:val="24"/>
          <w:szCs w:val="24"/>
          <w:lang w:val="ro-MD"/>
        </w:rPr>
        <w:t>p</w:t>
      </w:r>
      <w:r w:rsidR="00505036" w:rsidRPr="00F04D9A">
        <w:rPr>
          <w:rFonts w:asciiTheme="majorHAnsi" w:hAnsiTheme="majorHAnsi"/>
          <w:sz w:val="24"/>
          <w:szCs w:val="24"/>
          <w:lang w:val="ro-MD"/>
        </w:rPr>
        <w:t xml:space="preserve">utut </w:t>
      </w:r>
      <w:r w:rsidRPr="00F04D9A">
        <w:rPr>
          <w:rFonts w:asciiTheme="majorHAnsi" w:hAnsiTheme="majorHAnsi"/>
          <w:sz w:val="24"/>
          <w:szCs w:val="24"/>
          <w:lang w:val="ro-MD"/>
        </w:rPr>
        <w:t xml:space="preserve">fi încasată dat fiind intentarea procesului de insolvabilitate asupra agentului economic. </w:t>
      </w:r>
      <w:r w:rsidRPr="00CF3AD4">
        <w:rPr>
          <w:rFonts w:asciiTheme="majorHAnsi" w:hAnsiTheme="majorHAnsi"/>
          <w:sz w:val="24"/>
          <w:szCs w:val="24"/>
          <w:lang w:val="ro-MD"/>
        </w:rPr>
        <w:t>De menționat și faptul că punctul de livrare a gazelor pentru ÎCS Cristal-Impex SRL era unul și același cu al SA Cristal</w:t>
      </w:r>
      <w:r w:rsidR="0064589B" w:rsidRPr="00CF3AD4">
        <w:rPr>
          <w:rFonts w:asciiTheme="majorHAnsi" w:hAnsiTheme="majorHAnsi"/>
          <w:sz w:val="24"/>
          <w:szCs w:val="24"/>
          <w:lang w:val="ro-MD"/>
        </w:rPr>
        <w:t>-</w:t>
      </w:r>
      <w:r w:rsidRPr="00CF3AD4">
        <w:rPr>
          <w:rFonts w:asciiTheme="majorHAnsi" w:hAnsiTheme="majorHAnsi"/>
          <w:sz w:val="24"/>
          <w:szCs w:val="24"/>
          <w:lang w:val="ro-MD"/>
        </w:rPr>
        <w:t>Flor și SC DigoMobil</w:t>
      </w:r>
      <w:r w:rsidR="00902964" w:rsidRPr="00CF3AD4">
        <w:rPr>
          <w:rFonts w:asciiTheme="majorHAnsi" w:hAnsiTheme="majorHAnsi"/>
          <w:sz w:val="24"/>
          <w:szCs w:val="24"/>
          <w:lang w:val="ro-MD"/>
        </w:rPr>
        <w:t xml:space="preserve"> </w:t>
      </w:r>
      <w:r w:rsidR="00972912" w:rsidRPr="00CF3AD4">
        <w:rPr>
          <w:rFonts w:asciiTheme="majorHAnsi" w:hAnsiTheme="majorHAnsi"/>
          <w:sz w:val="24"/>
          <w:szCs w:val="24"/>
          <w:lang w:val="ro-MD"/>
        </w:rPr>
        <w:t xml:space="preserve">SRL </w:t>
      </w:r>
      <w:r w:rsidR="0064589B" w:rsidRPr="00CF3AD4">
        <w:rPr>
          <w:rFonts w:asciiTheme="majorHAnsi" w:hAnsiTheme="majorHAnsi"/>
          <w:sz w:val="24"/>
          <w:szCs w:val="24"/>
          <w:lang w:val="ro-MD"/>
        </w:rPr>
        <w:t>–</w:t>
      </w:r>
      <w:r w:rsidR="00972912" w:rsidRPr="00CF3AD4">
        <w:rPr>
          <w:rFonts w:asciiTheme="majorHAnsi" w:hAnsiTheme="majorHAnsi"/>
          <w:sz w:val="24"/>
          <w:szCs w:val="24"/>
          <w:lang w:val="ro-MD"/>
        </w:rPr>
        <w:t xml:space="preserve"> </w:t>
      </w:r>
      <w:r w:rsidR="00902964" w:rsidRPr="00CF3AD4">
        <w:rPr>
          <w:rFonts w:asciiTheme="majorHAnsi" w:hAnsiTheme="majorHAnsi"/>
          <w:sz w:val="24"/>
          <w:szCs w:val="24"/>
          <w:lang w:val="ro-MD"/>
        </w:rPr>
        <w:t>fosta fabrică de sticlă din or.Florești</w:t>
      </w:r>
      <w:r w:rsidRPr="00CF3AD4">
        <w:rPr>
          <w:rFonts w:asciiTheme="majorHAnsi" w:hAnsiTheme="majorHAnsi"/>
          <w:sz w:val="24"/>
          <w:szCs w:val="24"/>
          <w:lang w:val="ro-MD"/>
        </w:rPr>
        <w:t xml:space="preserve">, care la acel moment deja înregistrau datorii față de SRL Florești Gaz în sumă de </w:t>
      </w:r>
      <w:r w:rsidRPr="00CF3AD4">
        <w:rPr>
          <w:rFonts w:asciiTheme="majorHAnsi" w:hAnsiTheme="majorHAnsi" w:cstheme="majorHAnsi"/>
          <w:sz w:val="24"/>
          <w:szCs w:val="24"/>
          <w:lang w:val="ro-MD"/>
        </w:rPr>
        <w:t xml:space="preserve">41.869,08 </w:t>
      </w:r>
      <w:r w:rsidRPr="00CF3AD4">
        <w:rPr>
          <w:rFonts w:asciiTheme="majorHAnsi" w:hAnsiTheme="majorHAnsi"/>
          <w:sz w:val="24"/>
          <w:szCs w:val="24"/>
          <w:lang w:val="ro-MD"/>
        </w:rPr>
        <w:t>mii lei și</w:t>
      </w:r>
      <w:r w:rsidR="0064589B" w:rsidRPr="00CF3AD4">
        <w:rPr>
          <w:rFonts w:asciiTheme="majorHAnsi" w:hAnsiTheme="majorHAnsi"/>
          <w:sz w:val="24"/>
          <w:szCs w:val="24"/>
          <w:lang w:val="ro-MD"/>
        </w:rPr>
        <w:t>, respectiv,</w:t>
      </w:r>
      <w:r w:rsidRPr="00CF3AD4">
        <w:rPr>
          <w:rFonts w:asciiTheme="majorHAnsi" w:hAnsiTheme="majorHAnsi"/>
          <w:sz w:val="24"/>
          <w:szCs w:val="24"/>
          <w:lang w:val="ro-MD"/>
        </w:rPr>
        <w:t xml:space="preserve"> de </w:t>
      </w:r>
      <w:r w:rsidRPr="00CF3AD4">
        <w:rPr>
          <w:rFonts w:asciiTheme="majorHAnsi" w:hAnsiTheme="majorHAnsi" w:cstheme="majorHAnsi"/>
          <w:sz w:val="24"/>
          <w:szCs w:val="24"/>
          <w:lang w:val="ro-MD"/>
        </w:rPr>
        <w:t>15.347,09</w:t>
      </w:r>
      <w:r w:rsidRPr="00CF3AD4">
        <w:rPr>
          <w:rFonts w:asciiTheme="majorHAnsi" w:hAnsiTheme="majorHAnsi"/>
          <w:sz w:val="24"/>
          <w:szCs w:val="24"/>
          <w:lang w:val="ro-MD"/>
        </w:rPr>
        <w:t xml:space="preserve">  mii lei.</w:t>
      </w:r>
    </w:p>
    <w:p w14:paraId="43240C87" w14:textId="7BA182E7" w:rsidR="00605B02" w:rsidRPr="009772A3" w:rsidRDefault="00605B02" w:rsidP="003E3A84">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Deși conducerea SRL Florești-gaz explică că aceste creanțe s-au format din cauza imposibilității debranșării consumatorilor nominalizați de la rețelele de gaze, aceasta nu a putut oferi probe concrete care ar certifica imposibilit</w:t>
      </w:r>
      <w:r w:rsidR="00045824" w:rsidRPr="009772A3">
        <w:rPr>
          <w:rFonts w:asciiTheme="majorHAnsi" w:hAnsiTheme="majorHAnsi" w:cstheme="majorHAnsi"/>
          <w:bCs/>
          <w:iCs/>
          <w:noProof/>
          <w:sz w:val="24"/>
          <w:szCs w:val="24"/>
          <w:shd w:val="clear" w:color="auto" w:fill="FFFFFF"/>
          <w:lang w:val="ro-MD"/>
        </w:rPr>
        <w:t>atea</w:t>
      </w:r>
      <w:r w:rsidRPr="009772A3">
        <w:rPr>
          <w:rFonts w:asciiTheme="majorHAnsi" w:hAnsiTheme="majorHAnsi" w:cstheme="majorHAnsi"/>
          <w:bCs/>
          <w:iCs/>
          <w:noProof/>
          <w:sz w:val="24"/>
          <w:szCs w:val="24"/>
          <w:shd w:val="clear" w:color="auto" w:fill="FFFFFF"/>
          <w:lang w:val="ro-MD"/>
        </w:rPr>
        <w:t xml:space="preserve"> debranșării </w:t>
      </w:r>
      <w:r w:rsidR="00F04D9A">
        <w:rPr>
          <w:rFonts w:asciiTheme="majorHAnsi" w:hAnsiTheme="majorHAnsi" w:cstheme="majorHAnsi"/>
          <w:bCs/>
          <w:iCs/>
          <w:noProof/>
          <w:sz w:val="24"/>
          <w:szCs w:val="24"/>
          <w:shd w:val="clear" w:color="auto" w:fill="FFFFFF"/>
          <w:lang w:val="ro-MD"/>
        </w:rPr>
        <w:t xml:space="preserve">acestora </w:t>
      </w:r>
      <w:r w:rsidRPr="009772A3">
        <w:rPr>
          <w:rFonts w:asciiTheme="majorHAnsi" w:hAnsiTheme="majorHAnsi" w:cstheme="majorHAnsi"/>
          <w:bCs/>
          <w:iCs/>
          <w:noProof/>
          <w:sz w:val="24"/>
          <w:szCs w:val="24"/>
          <w:shd w:val="clear" w:color="auto" w:fill="FFFFFF"/>
          <w:lang w:val="ro-MD"/>
        </w:rPr>
        <w:t>la etapa incipientă de formare a datoriilor.</w:t>
      </w:r>
    </w:p>
    <w:p w14:paraId="5F4C890A" w14:textId="2687FAA7" w:rsidR="00E9204F" w:rsidRPr="009772A3" w:rsidRDefault="00E9204F" w:rsidP="00F04D9A">
      <w:pPr>
        <w:pStyle w:val="Heading1"/>
        <w:numPr>
          <w:ilvl w:val="2"/>
          <w:numId w:val="2"/>
        </w:numPr>
        <w:spacing w:line="276" w:lineRule="auto"/>
        <w:ind w:left="0" w:firstLine="0"/>
        <w:jc w:val="both"/>
        <w:rPr>
          <w:color w:val="auto"/>
          <w:lang w:val="ro-MD"/>
        </w:rPr>
      </w:pPr>
      <w:bookmarkStart w:id="240" w:name="_Toc119496466"/>
      <w:r w:rsidRPr="009772A3">
        <w:rPr>
          <w:color w:val="auto"/>
          <w:lang w:val="ro-MD"/>
        </w:rPr>
        <w:t>Neconstituirea în timp util a provizioanelor aferente unor creanțe cu risc sporit de compromitere, influențează direct stabilitatea și managementul financiar al grupului SA Moldovagaz.</w:t>
      </w:r>
      <w:bookmarkEnd w:id="240"/>
      <w:r w:rsidRPr="009772A3">
        <w:rPr>
          <w:color w:val="auto"/>
          <w:lang w:val="ro-MD"/>
        </w:rPr>
        <w:t> </w:t>
      </w:r>
    </w:p>
    <w:p w14:paraId="16322C69" w14:textId="7D59D0FE" w:rsidR="00E9204F" w:rsidRPr="009772A3" w:rsidRDefault="00E9204F" w:rsidP="00E9204F">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Deși, potrivit cadrului de reglementare aplicabil</w:t>
      </w:r>
      <w:r w:rsidRPr="009772A3">
        <w:rPr>
          <w:rFonts w:asciiTheme="majorHAnsi" w:hAnsiTheme="majorHAnsi" w:cstheme="majorHAnsi"/>
          <w:bCs/>
          <w:iCs/>
          <w:noProof/>
          <w:sz w:val="24"/>
          <w:szCs w:val="24"/>
          <w:shd w:val="clear" w:color="auto" w:fill="FFFFFF"/>
          <w:vertAlign w:val="superscript"/>
          <w:lang w:val="ro-MD"/>
        </w:rPr>
        <w:footnoteReference w:id="188"/>
      </w:r>
      <w:r w:rsidRPr="009772A3">
        <w:rPr>
          <w:rFonts w:asciiTheme="majorHAnsi" w:hAnsiTheme="majorHAnsi" w:cstheme="majorHAnsi"/>
          <w:bCs/>
          <w:iCs/>
          <w:noProof/>
          <w:sz w:val="24"/>
          <w:szCs w:val="24"/>
          <w:shd w:val="clear" w:color="auto" w:fill="FFFFFF"/>
          <w:lang w:val="ro-MD"/>
        </w:rPr>
        <w:t xml:space="preserve">, entitatea urmează să constituie provizioane pentru acoperirea anumitor pierderi sau cheltuieli a căror cauză este precisă și asupra cărora există o incertitudine în ceea ce privește mărimea sau data producerii lor, auditul a </w:t>
      </w:r>
      <w:r w:rsidR="00045824" w:rsidRPr="009772A3">
        <w:rPr>
          <w:rFonts w:asciiTheme="majorHAnsi" w:hAnsiTheme="majorHAnsi" w:cstheme="majorHAnsi"/>
          <w:bCs/>
          <w:iCs/>
          <w:noProof/>
          <w:sz w:val="24"/>
          <w:szCs w:val="24"/>
          <w:shd w:val="clear" w:color="auto" w:fill="FFFFFF"/>
          <w:lang w:val="ro-MD"/>
        </w:rPr>
        <w:t xml:space="preserve">stabilit </w:t>
      </w:r>
      <w:r w:rsidRPr="009772A3">
        <w:rPr>
          <w:rFonts w:asciiTheme="majorHAnsi" w:hAnsiTheme="majorHAnsi" w:cstheme="majorHAnsi"/>
          <w:bCs/>
          <w:iCs/>
          <w:noProof/>
          <w:sz w:val="24"/>
          <w:szCs w:val="24"/>
          <w:shd w:val="clear" w:color="auto" w:fill="FFFFFF"/>
          <w:lang w:val="ro-MD"/>
        </w:rPr>
        <w:t xml:space="preserve">că atât SA Moldovagaz, cât și întreprinderile sale de transport și distribuție a gazelor naturale până în prezent, chiar dacă au reglementat modalitatea de creare, calculare și contabilizare a acestora în corelație cu riscurile şi cheltuielile estimate, nu au creat sau au creat insuficient provizioane pentru creanțele compromise. </w:t>
      </w:r>
    </w:p>
    <w:p w14:paraId="1DDE8194" w14:textId="69956A9B" w:rsidR="00E9204F" w:rsidRPr="009772A3" w:rsidRDefault="00E9204F" w:rsidP="00E9204F">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 xml:space="preserve">Astfel, deși la 31.12.2021 SA Moldovagaz a creat provizioane în sumă totală de </w:t>
      </w:r>
      <w:r w:rsidR="00DD1C98" w:rsidRPr="009772A3">
        <w:rPr>
          <w:rFonts w:asciiTheme="majorHAnsi" w:hAnsiTheme="majorHAnsi" w:cstheme="majorHAnsi"/>
          <w:bCs/>
          <w:iCs/>
          <w:noProof/>
          <w:sz w:val="24"/>
          <w:szCs w:val="24"/>
          <w:shd w:val="clear" w:color="auto" w:fill="FFFFFF"/>
          <w:lang w:val="ro-MD"/>
        </w:rPr>
        <w:t>209.830,9</w:t>
      </w:r>
      <w:r w:rsidRPr="009772A3">
        <w:rPr>
          <w:rFonts w:asciiTheme="majorHAnsi" w:hAnsiTheme="majorHAnsi" w:cstheme="majorHAnsi"/>
          <w:bCs/>
          <w:iCs/>
          <w:noProof/>
          <w:sz w:val="24"/>
          <w:szCs w:val="24"/>
          <w:shd w:val="clear" w:color="auto" w:fill="FFFFFF"/>
          <w:lang w:val="ro-MD"/>
        </w:rPr>
        <w:t xml:space="preserve"> mii lei, SRL Moldovatransgaz </w:t>
      </w:r>
      <w:r w:rsidR="00045824" w:rsidRPr="009772A3">
        <w:rPr>
          <w:rFonts w:asciiTheme="majorHAnsi" w:hAnsiTheme="majorHAnsi" w:cstheme="majorHAnsi"/>
          <w:bCs/>
          <w:iCs/>
          <w:noProof/>
          <w:sz w:val="24"/>
          <w:szCs w:val="24"/>
          <w:shd w:val="clear" w:color="auto" w:fill="FFFFFF"/>
          <w:lang w:val="ro-MD"/>
        </w:rPr>
        <w:t xml:space="preserve">– </w:t>
      </w:r>
      <w:r w:rsidRPr="009772A3">
        <w:rPr>
          <w:rFonts w:asciiTheme="majorHAnsi" w:hAnsiTheme="majorHAnsi" w:cstheme="majorHAnsi"/>
          <w:bCs/>
          <w:iCs/>
          <w:noProof/>
          <w:sz w:val="24"/>
          <w:szCs w:val="24"/>
          <w:shd w:val="clear" w:color="auto" w:fill="FFFFFF"/>
          <w:lang w:val="ro-MD"/>
        </w:rPr>
        <w:t>în sumă totală de 11.324,6 mii lei</w:t>
      </w:r>
      <w:r w:rsidR="000F7E62" w:rsidRPr="009772A3">
        <w:rPr>
          <w:rFonts w:asciiTheme="majorHAnsi" w:hAnsiTheme="majorHAnsi" w:cstheme="majorHAnsi"/>
          <w:bCs/>
          <w:iCs/>
          <w:noProof/>
          <w:sz w:val="24"/>
          <w:szCs w:val="24"/>
          <w:shd w:val="clear" w:color="auto" w:fill="FFFFFF"/>
          <w:lang w:val="ro-MD"/>
        </w:rPr>
        <w:t>, SRL Chișinău-gaz</w:t>
      </w:r>
      <w:r w:rsidRPr="009772A3">
        <w:rPr>
          <w:rFonts w:asciiTheme="majorHAnsi" w:hAnsiTheme="majorHAnsi" w:cstheme="majorHAnsi"/>
          <w:bCs/>
          <w:iCs/>
          <w:noProof/>
          <w:sz w:val="24"/>
          <w:szCs w:val="24"/>
          <w:shd w:val="clear" w:color="auto" w:fill="FFFFFF"/>
          <w:lang w:val="ro-MD"/>
        </w:rPr>
        <w:t xml:space="preserve"> și SRL Florești gaz </w:t>
      </w:r>
      <w:r w:rsidR="00045824" w:rsidRPr="009772A3">
        <w:rPr>
          <w:rFonts w:asciiTheme="majorHAnsi" w:hAnsiTheme="majorHAnsi" w:cstheme="majorHAnsi"/>
          <w:bCs/>
          <w:iCs/>
          <w:noProof/>
          <w:sz w:val="24"/>
          <w:szCs w:val="24"/>
          <w:shd w:val="clear" w:color="auto" w:fill="FFFFFF"/>
          <w:lang w:val="ro-MD"/>
        </w:rPr>
        <w:t xml:space="preserve">– </w:t>
      </w:r>
      <w:r w:rsidRPr="009772A3">
        <w:rPr>
          <w:rFonts w:asciiTheme="majorHAnsi" w:hAnsiTheme="majorHAnsi" w:cstheme="majorHAnsi"/>
          <w:bCs/>
          <w:iCs/>
          <w:noProof/>
          <w:sz w:val="24"/>
          <w:szCs w:val="24"/>
          <w:shd w:val="clear" w:color="auto" w:fill="FFFFFF"/>
          <w:lang w:val="ro-MD"/>
        </w:rPr>
        <w:t>în sumă de zero lei, acestea nu acoperă în întregime datoriile compromise ale unor operatori economici aflați în situație financiară nefavorabilă</w:t>
      </w:r>
      <w:r w:rsidR="00312342" w:rsidRPr="009772A3">
        <w:rPr>
          <w:rFonts w:asciiTheme="majorHAnsi" w:hAnsiTheme="majorHAnsi" w:cstheme="majorHAnsi"/>
          <w:bCs/>
          <w:iCs/>
          <w:noProof/>
          <w:sz w:val="24"/>
          <w:szCs w:val="24"/>
          <w:shd w:val="clear" w:color="auto" w:fill="FFFFFF"/>
          <w:lang w:val="ro-MD"/>
        </w:rPr>
        <w:t xml:space="preserve">, </w:t>
      </w:r>
      <w:r w:rsidRPr="009772A3">
        <w:rPr>
          <w:rFonts w:asciiTheme="majorHAnsi" w:hAnsiTheme="majorHAnsi" w:cstheme="majorHAnsi"/>
          <w:bCs/>
          <w:iCs/>
          <w:noProof/>
          <w:sz w:val="24"/>
          <w:szCs w:val="24"/>
          <w:shd w:val="clear" w:color="auto" w:fill="FFFFFF"/>
          <w:lang w:val="ro-MD"/>
        </w:rPr>
        <w:t xml:space="preserve">în proces de faliment sau lichidare, care au constituit </w:t>
      </w:r>
      <w:r w:rsidR="00531649" w:rsidRPr="009772A3">
        <w:rPr>
          <w:rFonts w:asciiTheme="majorHAnsi" w:hAnsiTheme="majorHAnsi" w:cstheme="majorHAnsi"/>
          <w:bCs/>
          <w:iCs/>
          <w:noProof/>
          <w:sz w:val="24"/>
          <w:szCs w:val="24"/>
          <w:shd w:val="clear" w:color="auto" w:fill="FFFFFF"/>
          <w:lang w:val="ro-MD"/>
        </w:rPr>
        <w:t>la ace</w:t>
      </w:r>
      <w:r w:rsidR="00045824" w:rsidRPr="009772A3">
        <w:rPr>
          <w:rFonts w:asciiTheme="majorHAnsi" w:hAnsiTheme="majorHAnsi" w:cstheme="majorHAnsi"/>
          <w:bCs/>
          <w:iCs/>
          <w:noProof/>
          <w:sz w:val="24"/>
          <w:szCs w:val="24"/>
          <w:shd w:val="clear" w:color="auto" w:fill="FFFFFF"/>
          <w:lang w:val="ro-MD"/>
        </w:rPr>
        <w:t>e</w:t>
      </w:r>
      <w:r w:rsidR="00531649" w:rsidRPr="009772A3">
        <w:rPr>
          <w:rFonts w:asciiTheme="majorHAnsi" w:hAnsiTheme="majorHAnsi" w:cstheme="majorHAnsi"/>
          <w:bCs/>
          <w:iCs/>
          <w:noProof/>
          <w:sz w:val="24"/>
          <w:szCs w:val="24"/>
          <w:shd w:val="clear" w:color="auto" w:fill="FFFFFF"/>
          <w:lang w:val="ro-MD"/>
        </w:rPr>
        <w:t>ași dată</w:t>
      </w:r>
      <w:r w:rsidR="00045824" w:rsidRPr="009772A3">
        <w:rPr>
          <w:rFonts w:asciiTheme="majorHAnsi" w:hAnsiTheme="majorHAnsi" w:cstheme="majorHAnsi"/>
          <w:bCs/>
          <w:iCs/>
          <w:noProof/>
          <w:sz w:val="24"/>
          <w:szCs w:val="24"/>
          <w:shd w:val="clear" w:color="auto" w:fill="FFFFFF"/>
          <w:lang w:val="ro-MD"/>
        </w:rPr>
        <w:t>,</w:t>
      </w:r>
      <w:r w:rsidR="00531649" w:rsidRPr="009772A3">
        <w:rPr>
          <w:rFonts w:asciiTheme="majorHAnsi" w:hAnsiTheme="majorHAnsi" w:cstheme="majorHAnsi"/>
          <w:bCs/>
          <w:iCs/>
          <w:noProof/>
          <w:sz w:val="24"/>
          <w:szCs w:val="24"/>
          <w:shd w:val="clear" w:color="auto" w:fill="FFFFFF"/>
          <w:lang w:val="ro-MD"/>
        </w:rPr>
        <w:t xml:space="preserve"> </w:t>
      </w:r>
      <w:r w:rsidR="00312342" w:rsidRPr="009772A3">
        <w:rPr>
          <w:rFonts w:asciiTheme="majorHAnsi" w:hAnsiTheme="majorHAnsi" w:cstheme="majorHAnsi"/>
          <w:bCs/>
          <w:iCs/>
          <w:noProof/>
          <w:sz w:val="24"/>
          <w:szCs w:val="24"/>
          <w:shd w:val="clear" w:color="auto" w:fill="FFFFFF"/>
          <w:lang w:val="ro-MD"/>
        </w:rPr>
        <w:t>respectiv</w:t>
      </w:r>
      <w:r w:rsidR="00045824" w:rsidRPr="009772A3">
        <w:rPr>
          <w:rFonts w:asciiTheme="majorHAnsi" w:hAnsiTheme="majorHAnsi" w:cstheme="majorHAnsi"/>
          <w:bCs/>
          <w:iCs/>
          <w:noProof/>
          <w:sz w:val="24"/>
          <w:szCs w:val="24"/>
          <w:shd w:val="clear" w:color="auto" w:fill="FFFFFF"/>
          <w:lang w:val="ro-MD"/>
        </w:rPr>
        <w:t>,</w:t>
      </w:r>
      <w:r w:rsidR="00312342" w:rsidRPr="009772A3">
        <w:rPr>
          <w:rFonts w:asciiTheme="majorHAnsi" w:hAnsiTheme="majorHAnsi" w:cstheme="majorHAnsi"/>
          <w:bCs/>
          <w:iCs/>
          <w:noProof/>
          <w:sz w:val="24"/>
          <w:szCs w:val="24"/>
          <w:shd w:val="clear" w:color="auto" w:fill="FFFFFF"/>
          <w:lang w:val="ro-MD"/>
        </w:rPr>
        <w:t xml:space="preserve"> </w:t>
      </w:r>
      <w:r w:rsidRPr="009772A3">
        <w:rPr>
          <w:rFonts w:asciiTheme="majorHAnsi" w:hAnsiTheme="majorHAnsi" w:cstheme="majorHAnsi"/>
          <w:bCs/>
          <w:iCs/>
          <w:noProof/>
          <w:sz w:val="24"/>
          <w:szCs w:val="24"/>
          <w:shd w:val="clear" w:color="auto" w:fill="FFFFFF"/>
          <w:lang w:val="ro-MD"/>
        </w:rPr>
        <w:t>2.719.770,0 mii lei, 29.295,4 mii lei</w:t>
      </w:r>
      <w:r w:rsidR="000F7E62" w:rsidRPr="009772A3">
        <w:rPr>
          <w:rFonts w:asciiTheme="majorHAnsi" w:hAnsiTheme="majorHAnsi" w:cstheme="majorHAnsi"/>
          <w:bCs/>
          <w:iCs/>
          <w:noProof/>
          <w:sz w:val="24"/>
          <w:szCs w:val="24"/>
          <w:shd w:val="clear" w:color="auto" w:fill="FFFFFF"/>
          <w:lang w:val="ro-MD"/>
        </w:rPr>
        <w:t>, 13.876,5 mii lei</w:t>
      </w:r>
      <w:r w:rsidRPr="009772A3">
        <w:rPr>
          <w:rFonts w:asciiTheme="majorHAnsi" w:hAnsiTheme="majorHAnsi" w:cstheme="majorHAnsi"/>
          <w:bCs/>
          <w:iCs/>
          <w:noProof/>
          <w:sz w:val="24"/>
          <w:szCs w:val="24"/>
          <w:shd w:val="clear" w:color="auto" w:fill="FFFFFF"/>
          <w:lang w:val="ro-MD"/>
        </w:rPr>
        <w:t xml:space="preserve"> și 76.003,2 mii lei. </w:t>
      </w:r>
    </w:p>
    <w:p w14:paraId="7C1DBE8A" w14:textId="2427AF67" w:rsidR="00E9204F" w:rsidRPr="009772A3" w:rsidRDefault="00E9204F" w:rsidP="00E9204F">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 menționat că</w:t>
      </w:r>
      <w:r w:rsidR="00045824"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potrivit prevederilor cadrului normativ în vigoare</w:t>
      </w:r>
      <w:r w:rsidRPr="009772A3">
        <w:rPr>
          <w:rFonts w:asciiTheme="majorHAnsi" w:hAnsiTheme="majorHAnsi" w:cstheme="majorHAnsi"/>
          <w:bCs/>
          <w:iCs/>
          <w:noProof/>
          <w:sz w:val="24"/>
          <w:szCs w:val="24"/>
          <w:shd w:val="clear" w:color="auto" w:fill="FFFFFF"/>
          <w:vertAlign w:val="superscript"/>
          <w:lang w:val="ro-MD"/>
        </w:rPr>
        <w:footnoteReference w:id="189"/>
      </w:r>
      <w:r w:rsidRPr="009772A3">
        <w:rPr>
          <w:rFonts w:asciiTheme="majorHAnsi" w:hAnsiTheme="majorHAnsi" w:cstheme="majorHAnsi"/>
          <w:bCs/>
          <w:iCs/>
          <w:noProof/>
          <w:sz w:val="24"/>
          <w:szCs w:val="24"/>
          <w:shd w:val="clear" w:color="auto" w:fill="FFFFFF"/>
          <w:lang w:val="ro-MD"/>
        </w:rPr>
        <w:t>, creanțele se consideră compromise în cazuri în care termenul de prescripție prevăzut de legislația în vigoare a expirat sau cumpărătorul se află în situație financiară nefavorabilă, respectiv acestea neavând acoperire garantată și nu pot fi încasate.</w:t>
      </w:r>
    </w:p>
    <w:p w14:paraId="32CA1086" w14:textId="12EC60B9" w:rsidR="00183A6B" w:rsidRPr="009772A3" w:rsidRDefault="00183A6B" w:rsidP="00F04D9A">
      <w:pPr>
        <w:pStyle w:val="Heading1"/>
        <w:numPr>
          <w:ilvl w:val="2"/>
          <w:numId w:val="2"/>
        </w:numPr>
        <w:spacing w:line="276" w:lineRule="auto"/>
        <w:ind w:left="0" w:firstLine="0"/>
        <w:jc w:val="both"/>
        <w:rPr>
          <w:color w:val="auto"/>
          <w:lang w:val="ro-MD"/>
        </w:rPr>
      </w:pPr>
      <w:bookmarkStart w:id="241" w:name="_Toc119496467"/>
      <w:r w:rsidRPr="009772A3">
        <w:rPr>
          <w:color w:val="auto"/>
          <w:lang w:val="ro-MD"/>
        </w:rPr>
        <w:t>Din cauza administrării neconforme a procesului de achiziții, SRL Moldovatransgaz a suportat cheltuieli majorate pentru procurarea unor bunuri și servicii, cu cca 71.100,0 mii lei.</w:t>
      </w:r>
      <w:bookmarkEnd w:id="241"/>
    </w:p>
    <w:p w14:paraId="0CE8B109" w14:textId="77777777" w:rsidR="00183A6B" w:rsidRPr="009772A3" w:rsidRDefault="00183A6B" w:rsidP="00183A6B">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Conform Politicii controlului intern</w:t>
      </w:r>
      <w:r w:rsidRPr="009772A3">
        <w:rPr>
          <w:rFonts w:asciiTheme="majorHAnsi" w:hAnsiTheme="majorHAnsi" w:cstheme="majorHAnsi"/>
          <w:bCs/>
          <w:iCs/>
          <w:noProof/>
          <w:sz w:val="24"/>
          <w:szCs w:val="24"/>
          <w:shd w:val="clear" w:color="auto" w:fill="FFFFFF"/>
          <w:vertAlign w:val="superscript"/>
          <w:lang w:val="ro-MD"/>
        </w:rPr>
        <w:footnoteReference w:id="190"/>
      </w:r>
      <w:r w:rsidRPr="009772A3">
        <w:rPr>
          <w:rFonts w:asciiTheme="majorHAnsi" w:hAnsiTheme="majorHAnsi" w:cstheme="majorHAnsi"/>
          <w:bCs/>
          <w:iCs/>
          <w:noProof/>
          <w:sz w:val="24"/>
          <w:szCs w:val="24"/>
          <w:shd w:val="clear" w:color="auto" w:fill="FFFFFF"/>
          <w:lang w:val="ro-MD"/>
        </w:rPr>
        <w:t>, grupul SA Moldovagaz proiectează și implementează sisteme, procese și proceduri care să asigure: i) economicitatea, eficacitatea şi eficienţa operaţiunilor, ii) conformitatea cu cadrul normativ şi reglementările interne și externe, iii) siguranţa şi optimizarea activelor şi a pasivelor, și iv) fiabilitatea şi integritatea informaţiei financiare şi operaţionale.</w:t>
      </w:r>
    </w:p>
    <w:p w14:paraId="55DC5D44" w14:textId="4E36F865" w:rsidR="00183A6B" w:rsidRPr="009772A3" w:rsidRDefault="00183A6B" w:rsidP="00183A6B">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Testele de audit realizate atestă că în anul 2012 ANRE a aprobat rezultatele a două controale efectuate în activitatea reglementată a SRL Moldovatransgaz</w:t>
      </w:r>
      <w:r w:rsidR="009E5A26"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potrivit cărora s-a constatat că societatea a administrat neadecvat procesul de achiziții a mărfurilor și serviciilor, acesta fiind desfășurat în condiții de transparență limitată, în lipsa unei concurențe reale, admițând tranzacții cu conflicte de interese și utilizarea unui șir de intermediari, inclusiv din zone off-shore, dintre care unii s-au dovedit a fi delincvenți cu elemente de pseudo-activitate (fantome) și au fost calificați ca atare de Serviciul Fiscal de Stat, iar alți furnizori, nerezidenți, ulterior au fost dizolvați administrativ de autoritățile statelor respective. Conform deciziilor ANRE nr.484 din 13.09.2012 și nr.489 din 08.11.2012, aceste acțiuni au condiționat în final cheltuieli suplimentare în sumă totală de circa 71.100,0 mii lei. Prin urmare, ANRE a hotărât obligarea conducerii SRL Moldovatransgaz să întreprindă acțiuni în vederea remedierii pe viitor a neajunsurilor și abaterilor nominalizate în raport, iar materialele colectate în cadrul controalelor să fie remise Procuraturii Generale pentru examinare </w:t>
      </w:r>
      <w:r w:rsidR="00C5631C" w:rsidRPr="009772A3">
        <w:rPr>
          <w:rFonts w:asciiTheme="majorHAnsi" w:hAnsiTheme="majorHAnsi" w:cstheme="majorHAnsi"/>
          <w:bCs/>
          <w:iCs/>
          <w:noProof/>
          <w:sz w:val="24"/>
          <w:szCs w:val="24"/>
          <w:shd w:val="clear" w:color="auto" w:fill="FFFFFF"/>
          <w:lang w:val="ro-MD"/>
        </w:rPr>
        <w:t xml:space="preserve">conform </w:t>
      </w:r>
      <w:r w:rsidRPr="009772A3">
        <w:rPr>
          <w:rFonts w:asciiTheme="majorHAnsi" w:hAnsiTheme="majorHAnsi" w:cstheme="majorHAnsi"/>
          <w:bCs/>
          <w:iCs/>
          <w:noProof/>
          <w:sz w:val="24"/>
          <w:szCs w:val="24"/>
          <w:shd w:val="clear" w:color="auto" w:fill="FFFFFF"/>
          <w:lang w:val="ro-MD"/>
        </w:rPr>
        <w:t>competenț</w:t>
      </w:r>
      <w:r w:rsidR="00C5631C" w:rsidRPr="009772A3">
        <w:rPr>
          <w:rFonts w:asciiTheme="majorHAnsi" w:hAnsiTheme="majorHAnsi" w:cstheme="majorHAnsi"/>
          <w:bCs/>
          <w:iCs/>
          <w:noProof/>
          <w:sz w:val="24"/>
          <w:szCs w:val="24"/>
          <w:shd w:val="clear" w:color="auto" w:fill="FFFFFF"/>
          <w:lang w:val="ro-MD"/>
        </w:rPr>
        <w:t>ei</w:t>
      </w:r>
      <w:r w:rsidRPr="009772A3">
        <w:rPr>
          <w:rFonts w:asciiTheme="majorHAnsi" w:hAnsiTheme="majorHAnsi" w:cstheme="majorHAnsi"/>
          <w:bCs/>
          <w:iCs/>
          <w:noProof/>
          <w:sz w:val="24"/>
          <w:szCs w:val="24"/>
          <w:shd w:val="clear" w:color="auto" w:fill="FFFFFF"/>
          <w:lang w:val="ro-MD"/>
        </w:rPr>
        <w:t xml:space="preserve">. La 27.07.2015, Procuratura </w:t>
      </w:r>
      <w:r w:rsidR="00C5631C" w:rsidRPr="009772A3">
        <w:rPr>
          <w:rFonts w:asciiTheme="majorHAnsi" w:hAnsiTheme="majorHAnsi" w:cstheme="majorHAnsi"/>
          <w:bCs/>
          <w:iCs/>
          <w:noProof/>
          <w:sz w:val="24"/>
          <w:szCs w:val="24"/>
          <w:shd w:val="clear" w:color="auto" w:fill="FFFFFF"/>
          <w:lang w:val="ro-MD"/>
        </w:rPr>
        <w:t>A</w:t>
      </w:r>
      <w:r w:rsidRPr="009772A3">
        <w:rPr>
          <w:rFonts w:asciiTheme="majorHAnsi" w:hAnsiTheme="majorHAnsi" w:cstheme="majorHAnsi"/>
          <w:bCs/>
          <w:iCs/>
          <w:noProof/>
          <w:sz w:val="24"/>
          <w:szCs w:val="24"/>
          <w:shd w:val="clear" w:color="auto" w:fill="FFFFFF"/>
          <w:lang w:val="ro-MD"/>
        </w:rPr>
        <w:t xml:space="preserve">nticorupție a clasat procesul penal din </w:t>
      </w:r>
      <w:r w:rsidR="00C5631C" w:rsidRPr="009772A3">
        <w:rPr>
          <w:rFonts w:asciiTheme="majorHAnsi" w:hAnsiTheme="majorHAnsi" w:cstheme="majorHAnsi"/>
          <w:bCs/>
          <w:iCs/>
          <w:noProof/>
          <w:sz w:val="24"/>
          <w:szCs w:val="24"/>
          <w:shd w:val="clear" w:color="auto" w:fill="FFFFFF"/>
          <w:lang w:val="ro-MD"/>
        </w:rPr>
        <w:t xml:space="preserve">cauza </w:t>
      </w:r>
      <w:r w:rsidRPr="009772A3">
        <w:rPr>
          <w:rFonts w:asciiTheme="majorHAnsi" w:hAnsiTheme="majorHAnsi" w:cstheme="majorHAnsi"/>
          <w:bCs/>
          <w:iCs/>
          <w:noProof/>
          <w:sz w:val="24"/>
          <w:szCs w:val="24"/>
          <w:shd w:val="clear" w:color="auto" w:fill="FFFFFF"/>
          <w:lang w:val="ro-MD"/>
        </w:rPr>
        <w:t>că fapta nu întrunește elementele infracțiunii. De menționat că entitatea nu a întreprins nicio acțiune suplimentară pentru a elucida situația descrisă sau a identifica posibilități pentru recuperarea prejudiciilor enunțate de ANRE.</w:t>
      </w:r>
    </w:p>
    <w:p w14:paraId="5D8777B3" w14:textId="5DD8D0E9" w:rsidR="00183A6B" w:rsidRPr="009772A3" w:rsidRDefault="00183A6B" w:rsidP="00183A6B">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În contextul celor expuse, din cauza implicării insuficiente a responsabililor din cadrul entității, se relevă o gestionare necorespunzătoare a riscurilor de neconformitate</w:t>
      </w:r>
      <w:r w:rsidR="00C5631C"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care afectează atât situația financiară a societății</w:t>
      </w:r>
      <w:r w:rsidR="00C5631C" w:rsidRPr="009772A3">
        <w:rPr>
          <w:rFonts w:asciiTheme="majorHAnsi" w:hAnsiTheme="majorHAnsi" w:cstheme="majorHAnsi"/>
          <w:bCs/>
          <w:iCs/>
          <w:noProof/>
          <w:sz w:val="24"/>
          <w:szCs w:val="24"/>
          <w:shd w:val="clear" w:color="auto" w:fill="FFFFFF"/>
          <w:lang w:val="ro-MD"/>
        </w:rPr>
        <w:t>,</w:t>
      </w:r>
      <w:r w:rsidRPr="009772A3">
        <w:rPr>
          <w:rFonts w:asciiTheme="majorHAnsi" w:hAnsiTheme="majorHAnsi" w:cstheme="majorHAnsi"/>
          <w:bCs/>
          <w:iCs/>
          <w:noProof/>
          <w:sz w:val="24"/>
          <w:szCs w:val="24"/>
          <w:shd w:val="clear" w:color="auto" w:fill="FFFFFF"/>
          <w:lang w:val="ro-MD"/>
        </w:rPr>
        <w:t xml:space="preserve"> cât și denotă o utilizare ineficientă a resurselor deținute cu posibil impact asupra tarifelor pentru consumatorii finali.</w:t>
      </w:r>
    </w:p>
    <w:p w14:paraId="11489782" w14:textId="2DE40E8A" w:rsidR="00CF6B47" w:rsidRPr="009772A3" w:rsidRDefault="00CF6B47" w:rsidP="00166A11">
      <w:pPr>
        <w:pStyle w:val="Heading1"/>
        <w:numPr>
          <w:ilvl w:val="2"/>
          <w:numId w:val="2"/>
        </w:numPr>
        <w:spacing w:line="276" w:lineRule="auto"/>
        <w:ind w:left="0" w:firstLine="0"/>
        <w:jc w:val="both"/>
        <w:rPr>
          <w:color w:val="auto"/>
          <w:lang w:val="ro-MD"/>
        </w:rPr>
      </w:pPr>
      <w:bookmarkStart w:id="242" w:name="_Toc119496468"/>
      <w:r w:rsidRPr="009772A3">
        <w:rPr>
          <w:color w:val="auto"/>
          <w:lang w:val="ro-MD"/>
        </w:rPr>
        <w:t>Efectele aplicării neconforme a unei Hotărâri a ANRE</w:t>
      </w:r>
      <w:bookmarkEnd w:id="242"/>
      <w:r w:rsidRPr="009772A3">
        <w:rPr>
          <w:color w:val="auto"/>
          <w:lang w:val="ro-MD"/>
        </w:rPr>
        <w:t xml:space="preserve"> </w:t>
      </w:r>
    </w:p>
    <w:p w14:paraId="3107EDDD" w14:textId="06F225DD" w:rsidR="00183A6B" w:rsidRPr="009772A3" w:rsidRDefault="00183A6B" w:rsidP="004F4116">
      <w:pPr>
        <w:spacing w:after="0" w:line="276" w:lineRule="auto"/>
        <w:ind w:firstLine="709"/>
        <w:jc w:val="both"/>
        <w:rPr>
          <w:rFonts w:asciiTheme="majorHAnsi" w:hAnsiTheme="majorHAnsi" w:cstheme="majorHAnsi"/>
          <w:bCs/>
          <w:i/>
          <w:iCs/>
          <w:noProof/>
          <w:sz w:val="24"/>
          <w:szCs w:val="24"/>
          <w:shd w:val="clear" w:color="auto" w:fill="FFFFFF"/>
          <w:lang w:val="ro-MD"/>
        </w:rPr>
      </w:pPr>
      <w:r w:rsidRPr="009772A3">
        <w:rPr>
          <w:rFonts w:asciiTheme="majorHAnsi" w:hAnsiTheme="majorHAnsi" w:cstheme="majorHAnsi"/>
          <w:bCs/>
          <w:i/>
          <w:iCs/>
          <w:noProof/>
          <w:sz w:val="24"/>
          <w:szCs w:val="24"/>
          <w:shd w:val="clear" w:color="auto" w:fill="FFFFFF"/>
          <w:lang w:val="ro-MD"/>
        </w:rPr>
        <w:t>Aplicarea neconformă a unei Hotărâri a ANRE a generat un șir de litigii și cheltuieli de reprezentare în instanțele de judecată, precum și recalcularea plăților pentru gaze</w:t>
      </w:r>
      <w:r w:rsidR="00C5631C" w:rsidRPr="009772A3">
        <w:rPr>
          <w:rFonts w:asciiTheme="majorHAnsi" w:hAnsiTheme="majorHAnsi" w:cstheme="majorHAnsi"/>
          <w:bCs/>
          <w:i/>
          <w:iCs/>
          <w:noProof/>
          <w:sz w:val="24"/>
          <w:szCs w:val="24"/>
          <w:shd w:val="clear" w:color="auto" w:fill="FFFFFF"/>
          <w:lang w:val="ro-MD"/>
        </w:rPr>
        <w:t>le</w:t>
      </w:r>
      <w:r w:rsidRPr="009772A3">
        <w:rPr>
          <w:rFonts w:asciiTheme="majorHAnsi" w:hAnsiTheme="majorHAnsi" w:cstheme="majorHAnsi"/>
          <w:bCs/>
          <w:i/>
          <w:iCs/>
          <w:noProof/>
          <w:sz w:val="24"/>
          <w:szCs w:val="24"/>
          <w:shd w:val="clear" w:color="auto" w:fill="FFFFFF"/>
          <w:lang w:val="ro-MD"/>
        </w:rPr>
        <w:t xml:space="preserve"> naturale furnizate în sumă totală de 353.020,7 mii lei.</w:t>
      </w:r>
    </w:p>
    <w:p w14:paraId="183D0DFB" w14:textId="30B22E49" w:rsidR="00183A6B" w:rsidRPr="009772A3" w:rsidRDefault="00183A6B" w:rsidP="00183A6B">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Potrivit cadrului legal</w:t>
      </w:r>
      <w:r w:rsidRPr="009772A3">
        <w:rPr>
          <w:rFonts w:asciiTheme="majorHAnsi" w:hAnsiTheme="majorHAnsi" w:cstheme="majorHAnsi"/>
          <w:bCs/>
          <w:iCs/>
          <w:noProof/>
          <w:sz w:val="24"/>
          <w:szCs w:val="24"/>
          <w:shd w:val="clear" w:color="auto" w:fill="FFFFFF"/>
          <w:vertAlign w:val="superscript"/>
          <w:lang w:val="ro-MD"/>
        </w:rPr>
        <w:footnoteReference w:id="191"/>
      </w:r>
      <w:r w:rsidRPr="009772A3">
        <w:rPr>
          <w:rFonts w:asciiTheme="majorHAnsi" w:hAnsiTheme="majorHAnsi" w:cstheme="majorHAnsi"/>
          <w:bCs/>
          <w:iCs/>
          <w:noProof/>
          <w:sz w:val="24"/>
          <w:szCs w:val="24"/>
          <w:shd w:val="clear" w:color="auto" w:fill="FFFFFF"/>
          <w:lang w:val="ro-MD"/>
        </w:rPr>
        <w:t xml:space="preserve"> și Metodologi</w:t>
      </w:r>
      <w:r w:rsidR="00C5631C" w:rsidRPr="009772A3">
        <w:rPr>
          <w:rFonts w:asciiTheme="majorHAnsi" w:hAnsiTheme="majorHAnsi" w:cstheme="majorHAnsi"/>
          <w:bCs/>
          <w:iCs/>
          <w:noProof/>
          <w:sz w:val="24"/>
          <w:szCs w:val="24"/>
          <w:shd w:val="clear" w:color="auto" w:fill="FFFFFF"/>
          <w:lang w:val="ro-MD"/>
        </w:rPr>
        <w:t>ei</w:t>
      </w:r>
      <w:r w:rsidRPr="009772A3">
        <w:rPr>
          <w:rFonts w:asciiTheme="majorHAnsi" w:hAnsiTheme="majorHAnsi" w:cstheme="majorHAnsi"/>
          <w:bCs/>
          <w:iCs/>
          <w:noProof/>
          <w:sz w:val="24"/>
          <w:szCs w:val="24"/>
          <w:shd w:val="clear" w:color="auto" w:fill="FFFFFF"/>
          <w:lang w:val="ro-MD"/>
        </w:rPr>
        <w:t xml:space="preserve"> de calculare și aplicare a tarifelor și prețurilor reglementate la gazele naturale, aprobată prin Hotărârea Consiliului de administrație al </w:t>
      </w:r>
      <w:r w:rsidR="004B2CBC" w:rsidRPr="009772A3">
        <w:rPr>
          <w:rFonts w:asciiTheme="majorHAnsi" w:hAnsiTheme="majorHAnsi" w:cstheme="majorHAnsi"/>
          <w:bCs/>
          <w:iCs/>
          <w:noProof/>
          <w:sz w:val="24"/>
          <w:szCs w:val="24"/>
          <w:shd w:val="clear" w:color="auto" w:fill="FFFFFF"/>
          <w:lang w:val="ro-MD"/>
        </w:rPr>
        <w:t>ANRE</w:t>
      </w:r>
      <w:r w:rsidRPr="009772A3">
        <w:rPr>
          <w:rFonts w:asciiTheme="majorHAnsi" w:hAnsiTheme="majorHAnsi" w:cstheme="majorHAnsi"/>
          <w:bCs/>
          <w:iCs/>
          <w:noProof/>
          <w:sz w:val="24"/>
          <w:szCs w:val="24"/>
          <w:shd w:val="clear" w:color="auto" w:fill="FFFFFF"/>
          <w:lang w:val="ro-MD"/>
        </w:rPr>
        <w:t xml:space="preserve"> nr. 678 din 22.08.2014, </w:t>
      </w:r>
      <w:r w:rsidR="004B2CBC" w:rsidRPr="009772A3">
        <w:rPr>
          <w:rFonts w:asciiTheme="majorHAnsi" w:hAnsiTheme="majorHAnsi" w:cstheme="majorHAnsi"/>
          <w:bCs/>
          <w:iCs/>
          <w:noProof/>
          <w:sz w:val="24"/>
          <w:szCs w:val="24"/>
          <w:shd w:val="clear" w:color="auto" w:fill="FFFFFF"/>
          <w:lang w:val="ro-MD"/>
        </w:rPr>
        <w:t xml:space="preserve">în </w:t>
      </w:r>
      <w:r w:rsidRPr="009772A3">
        <w:rPr>
          <w:rFonts w:asciiTheme="majorHAnsi" w:hAnsiTheme="majorHAnsi" w:cstheme="majorHAnsi"/>
          <w:bCs/>
          <w:iCs/>
          <w:noProof/>
          <w:sz w:val="24"/>
          <w:szCs w:val="24"/>
          <w:shd w:val="clear" w:color="auto" w:fill="FFFFFF"/>
          <w:lang w:val="ro-MD"/>
        </w:rPr>
        <w:t>scopul asigurării securității energetice a statului, având drept principiu alimentarea fiabilă a consumatorilor cu gaze naturale și ajustarea tarifelor și prețurilor la costurile reale, strict necesare pentru procurarea, transportarea, distribuția și furnizarea gazelor naturale, Consiliul de administrație al ANRE aprobă tarifele și prețurile reglementate la gazele naturale.</w:t>
      </w:r>
    </w:p>
    <w:p w14:paraId="794E0FBA" w14:textId="60DF6DB0" w:rsidR="00183A6B" w:rsidRPr="009772A3" w:rsidRDefault="00183A6B" w:rsidP="00183A6B">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Dat fiind considerarea nelegală și neimplementarea conformă de către SA Moldovagaz a Hotărâri</w:t>
      </w:r>
      <w:r w:rsidR="00C5631C" w:rsidRPr="009772A3">
        <w:rPr>
          <w:rFonts w:asciiTheme="majorHAnsi" w:hAnsiTheme="majorHAnsi" w:cstheme="majorHAnsi"/>
          <w:bCs/>
          <w:iCs/>
          <w:noProof/>
          <w:sz w:val="24"/>
          <w:szCs w:val="24"/>
          <w:shd w:val="clear" w:color="auto" w:fill="FFFFFF"/>
          <w:lang w:val="ro-MD"/>
        </w:rPr>
        <w:t>i</w:t>
      </w:r>
      <w:r w:rsidRPr="009772A3">
        <w:rPr>
          <w:rFonts w:asciiTheme="majorHAnsi" w:hAnsiTheme="majorHAnsi" w:cstheme="majorHAnsi"/>
          <w:bCs/>
          <w:iCs/>
          <w:noProof/>
          <w:sz w:val="24"/>
          <w:szCs w:val="24"/>
          <w:shd w:val="clear" w:color="auto" w:fill="FFFFFF"/>
          <w:lang w:val="ro-MD"/>
        </w:rPr>
        <w:t xml:space="preserve"> Consiliului de administrație al ANRE nr.88 din 16.03.2018, a</w:t>
      </w:r>
      <w:r w:rsidR="00166A11">
        <w:rPr>
          <w:rFonts w:asciiTheme="majorHAnsi" w:hAnsiTheme="majorHAnsi" w:cstheme="majorHAnsi"/>
          <w:bCs/>
          <w:iCs/>
          <w:noProof/>
          <w:sz w:val="24"/>
          <w:szCs w:val="24"/>
          <w:shd w:val="clear" w:color="auto" w:fill="FFFFFF"/>
          <w:lang w:val="ro-MD"/>
        </w:rPr>
        <w:t>u</w:t>
      </w:r>
      <w:r w:rsidRPr="009772A3">
        <w:rPr>
          <w:rFonts w:asciiTheme="majorHAnsi" w:hAnsiTheme="majorHAnsi" w:cstheme="majorHAnsi"/>
          <w:bCs/>
          <w:iCs/>
          <w:noProof/>
          <w:sz w:val="24"/>
          <w:szCs w:val="24"/>
          <w:shd w:val="clear" w:color="auto" w:fill="FFFFFF"/>
          <w:lang w:val="ro-MD"/>
        </w:rPr>
        <w:t xml:space="preserve"> </w:t>
      </w:r>
      <w:r w:rsidR="00C5631C" w:rsidRPr="009772A3">
        <w:rPr>
          <w:rFonts w:asciiTheme="majorHAnsi" w:hAnsiTheme="majorHAnsi" w:cstheme="majorHAnsi"/>
          <w:bCs/>
          <w:iCs/>
          <w:noProof/>
          <w:sz w:val="24"/>
          <w:szCs w:val="24"/>
          <w:shd w:val="clear" w:color="auto" w:fill="FFFFFF"/>
          <w:lang w:val="ro-MD"/>
        </w:rPr>
        <w:t xml:space="preserve">fost </w:t>
      </w:r>
      <w:r w:rsidRPr="009772A3">
        <w:rPr>
          <w:rFonts w:asciiTheme="majorHAnsi" w:hAnsiTheme="majorHAnsi" w:cstheme="majorHAnsi"/>
          <w:bCs/>
          <w:iCs/>
          <w:noProof/>
          <w:sz w:val="24"/>
          <w:szCs w:val="24"/>
          <w:shd w:val="clear" w:color="auto" w:fill="FFFFFF"/>
          <w:lang w:val="ro-MD"/>
        </w:rPr>
        <w:t>generat</w:t>
      </w:r>
      <w:r w:rsidR="00166A11">
        <w:rPr>
          <w:rFonts w:asciiTheme="majorHAnsi" w:hAnsiTheme="majorHAnsi" w:cstheme="majorHAnsi"/>
          <w:bCs/>
          <w:iCs/>
          <w:noProof/>
          <w:sz w:val="24"/>
          <w:szCs w:val="24"/>
          <w:shd w:val="clear" w:color="auto" w:fill="FFFFFF"/>
          <w:lang w:val="ro-MD"/>
        </w:rPr>
        <w:t>e</w:t>
      </w:r>
      <w:r w:rsidRPr="009772A3">
        <w:rPr>
          <w:rFonts w:asciiTheme="majorHAnsi" w:hAnsiTheme="majorHAnsi" w:cstheme="majorHAnsi"/>
          <w:bCs/>
          <w:iCs/>
          <w:noProof/>
          <w:sz w:val="24"/>
          <w:szCs w:val="24"/>
          <w:shd w:val="clear" w:color="auto" w:fill="FFFFFF"/>
          <w:lang w:val="ro-MD"/>
        </w:rPr>
        <w:t xml:space="preserve"> un șir de litigii atât cu Agenția, cât și cu consumatorii finali de gaze naturale – persoane juridice, care într-un final s-au soldat cu obligarea operatorului de furnizare a gazelor naturale să efectueze recalcularea plăților pentru gaze conform tarifelor aprobate de ANRE, începând cu data de 1 ianuarie 2018. Pentru aplicarea neconformă a Hotărârii ANRE, SA Moldovagaz a fost nevoită să suporte cheltuieli de reprezentare în instanțele de judecată.</w:t>
      </w:r>
    </w:p>
    <w:p w14:paraId="0CD68B01" w14:textId="22A63C25" w:rsidR="00472979" w:rsidRPr="009772A3" w:rsidRDefault="00183A6B" w:rsidP="00472979">
      <w:pPr>
        <w:spacing w:after="0" w:line="276" w:lineRule="auto"/>
        <w:ind w:firstLine="709"/>
        <w:jc w:val="both"/>
        <w:rPr>
          <w:rFonts w:asciiTheme="majorHAnsi" w:hAnsiTheme="majorHAnsi" w:cstheme="majorHAnsi"/>
          <w:bCs/>
          <w:iCs/>
          <w:noProof/>
          <w:sz w:val="24"/>
          <w:szCs w:val="24"/>
          <w:shd w:val="clear" w:color="auto" w:fill="FFFFFF"/>
          <w:lang w:val="ro-MD"/>
        </w:rPr>
      </w:pPr>
      <w:r w:rsidRPr="009772A3">
        <w:rPr>
          <w:rFonts w:asciiTheme="majorHAnsi" w:hAnsiTheme="majorHAnsi" w:cstheme="majorHAnsi"/>
          <w:bCs/>
          <w:iCs/>
          <w:noProof/>
          <w:sz w:val="24"/>
          <w:szCs w:val="24"/>
          <w:shd w:val="clear" w:color="auto" w:fill="FFFFFF"/>
          <w:lang w:val="ro-MD"/>
        </w:rPr>
        <w:t>De menționat că recalcularea respectivă s-a efectuat în anul 2021 și a constituit 353.020,7 mii lei</w:t>
      </w:r>
      <w:r w:rsidR="004B2CBC" w:rsidRPr="009772A3">
        <w:rPr>
          <w:rFonts w:asciiTheme="majorHAnsi" w:hAnsiTheme="majorHAnsi" w:cstheme="majorHAnsi"/>
          <w:bCs/>
          <w:iCs/>
          <w:noProof/>
          <w:sz w:val="24"/>
          <w:szCs w:val="24"/>
          <w:shd w:val="clear" w:color="auto" w:fill="FFFFFF"/>
          <w:lang w:val="ro-MD"/>
        </w:rPr>
        <w:t xml:space="preserve">, totodată SA Moldovagaz încă în anul 2018 a format un provizion pentru efectuarea recalculului respectiv în sumă de </w:t>
      </w:r>
      <w:r w:rsidR="00563865" w:rsidRPr="009772A3">
        <w:rPr>
          <w:rFonts w:asciiTheme="majorHAnsi" w:hAnsiTheme="majorHAnsi" w:cstheme="majorHAnsi"/>
          <w:bCs/>
          <w:iCs/>
          <w:noProof/>
          <w:sz w:val="24"/>
          <w:szCs w:val="24"/>
          <w:shd w:val="clear" w:color="auto" w:fill="FFFFFF"/>
          <w:lang w:val="ro-MD"/>
        </w:rPr>
        <w:t>282.291,6</w:t>
      </w:r>
      <w:r w:rsidR="004B2CBC" w:rsidRPr="009772A3">
        <w:rPr>
          <w:rFonts w:asciiTheme="majorHAnsi" w:hAnsiTheme="majorHAnsi" w:cstheme="majorHAnsi"/>
          <w:bCs/>
          <w:iCs/>
          <w:noProof/>
          <w:sz w:val="24"/>
          <w:szCs w:val="24"/>
          <w:shd w:val="clear" w:color="auto" w:fill="FFFFFF"/>
          <w:lang w:val="ro-MD"/>
        </w:rPr>
        <w:t xml:space="preserve"> mii lei</w:t>
      </w:r>
      <w:r w:rsidRPr="009772A3">
        <w:rPr>
          <w:rFonts w:asciiTheme="majorHAnsi" w:hAnsiTheme="majorHAnsi" w:cstheme="majorHAnsi"/>
          <w:bCs/>
          <w:iCs/>
          <w:noProof/>
          <w:sz w:val="24"/>
          <w:szCs w:val="24"/>
          <w:shd w:val="clear" w:color="auto" w:fill="FFFFFF"/>
          <w:lang w:val="ro-MD"/>
        </w:rPr>
        <w:t>.</w:t>
      </w:r>
    </w:p>
    <w:p w14:paraId="55DA12DD" w14:textId="77777777" w:rsidR="00351890" w:rsidRPr="009772A3" w:rsidRDefault="00351890" w:rsidP="00166A11">
      <w:pPr>
        <w:pStyle w:val="Heading1"/>
        <w:numPr>
          <w:ilvl w:val="2"/>
          <w:numId w:val="2"/>
        </w:numPr>
        <w:spacing w:line="276" w:lineRule="auto"/>
        <w:ind w:left="0" w:firstLine="0"/>
        <w:jc w:val="both"/>
        <w:rPr>
          <w:color w:val="auto"/>
          <w:lang w:val="ro-MD"/>
        </w:rPr>
      </w:pPr>
      <w:bookmarkStart w:id="243" w:name="_Toc119496469"/>
      <w:r w:rsidRPr="009772A3">
        <w:rPr>
          <w:color w:val="auto"/>
          <w:lang w:val="ro-MD"/>
        </w:rPr>
        <w:t>Cu referire la Planul de acțiuni cu privire la identificarea surselor și mecanismului juridic de stingere a datoriilor SA Moldovagaz față de SA Gazprom.</w:t>
      </w:r>
      <w:bookmarkEnd w:id="243"/>
    </w:p>
    <w:p w14:paraId="11987089" w14:textId="71529E49" w:rsidR="00912A67" w:rsidRPr="009772A3" w:rsidRDefault="00912A67" w:rsidP="004F4116">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 xml:space="preserve">Deși a fost elaborat Planul de acțiuni cu privire la identificarea surselor și mecanismului juridic de stingere a datoriilor SA Moldovagaz față de SA Gazprom, acesta nu a fost implementat, ceea ce a generat cheltuieli administrative suplimentare, </w:t>
      </w:r>
      <w:r w:rsidR="00D7575D" w:rsidRPr="009772A3">
        <w:rPr>
          <w:rFonts w:asciiTheme="majorHAnsi" w:hAnsiTheme="majorHAnsi" w:cstheme="majorHAnsi"/>
          <w:i/>
          <w:sz w:val="24"/>
          <w:szCs w:val="24"/>
          <w:lang w:val="ro-MD"/>
        </w:rPr>
        <w:t>fără a contribui</w:t>
      </w:r>
      <w:r w:rsidRPr="009772A3">
        <w:rPr>
          <w:rFonts w:asciiTheme="majorHAnsi" w:hAnsiTheme="majorHAnsi" w:cstheme="majorHAnsi"/>
          <w:i/>
          <w:sz w:val="24"/>
          <w:szCs w:val="24"/>
          <w:lang w:val="ro-MD"/>
        </w:rPr>
        <w:t xml:space="preserve"> la diminuarea datoriilor istorice.</w:t>
      </w:r>
    </w:p>
    <w:p w14:paraId="039ED31C" w14:textId="5A74CF9A" w:rsidR="00472979" w:rsidRPr="009772A3" w:rsidRDefault="00472979" w:rsidP="0047297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Având</w:t>
      </w:r>
      <w:r w:rsidRPr="009772A3">
        <w:rPr>
          <w:rFonts w:asciiTheme="majorHAnsi" w:hAnsiTheme="majorHAnsi" w:cstheme="majorHAnsi"/>
          <w:sz w:val="24"/>
          <w:szCs w:val="24"/>
          <w:lang w:val="ro-MD"/>
        </w:rPr>
        <w:t xml:space="preserve"> în vedere datoriile </w:t>
      </w:r>
      <w:r w:rsidR="00166A11">
        <w:rPr>
          <w:rFonts w:asciiTheme="majorHAnsi" w:hAnsiTheme="majorHAnsi" w:cstheme="majorHAnsi"/>
          <w:sz w:val="24"/>
          <w:szCs w:val="24"/>
          <w:lang w:val="ro-MD"/>
        </w:rPr>
        <w:t>SA Moldovagaz</w:t>
      </w:r>
      <w:r w:rsidRPr="009772A3">
        <w:rPr>
          <w:rFonts w:asciiTheme="majorHAnsi" w:hAnsiTheme="majorHAnsi" w:cstheme="majorHAnsi"/>
          <w:sz w:val="24"/>
          <w:szCs w:val="24"/>
          <w:lang w:val="ro-MD"/>
        </w:rPr>
        <w:t>, atât a</w:t>
      </w:r>
      <w:r w:rsidR="00C5631C"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malului drept</w:t>
      </w:r>
      <w:r w:rsidR="00C5631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cât și a</w:t>
      </w:r>
      <w:r w:rsidR="00C5631C"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malului stâng al Nistrului, acumulate față de SA Gazprom, precum și ținând cont de necesitatea rambursării acestora, SA Moldovagaz a contractat</w:t>
      </w:r>
      <w:r w:rsidRPr="009772A3">
        <w:rPr>
          <w:rStyle w:val="FootnoteReference"/>
          <w:rFonts w:asciiTheme="majorHAnsi" w:hAnsiTheme="majorHAnsi" w:cstheme="majorHAnsi"/>
          <w:sz w:val="24"/>
          <w:szCs w:val="24"/>
          <w:lang w:val="ro-MD"/>
        </w:rPr>
        <w:footnoteReference w:id="192"/>
      </w:r>
      <w:r w:rsidRPr="009772A3">
        <w:rPr>
          <w:rFonts w:asciiTheme="majorHAnsi" w:hAnsiTheme="majorHAnsi" w:cstheme="majorHAnsi"/>
          <w:sz w:val="24"/>
          <w:szCs w:val="24"/>
          <w:lang w:val="ro-MD"/>
        </w:rPr>
        <w:t xml:space="preserve"> o companie de audit în vederea oferirii serviciilor de consultanță, pentru: i) întocmirea documentațiilor de drept care să prevadă mecanismele de stingere a acestora, și ii) soluționarea drepturilor patrimoniale asupra activelor companiilor de distribuție a gazelor naturale, inclusiv inventarierii acestora. </w:t>
      </w:r>
    </w:p>
    <w:p w14:paraId="7F159B54" w14:textId="06C7436E" w:rsidR="00472979" w:rsidRPr="009772A3" w:rsidRDefault="00472979" w:rsidP="00472979">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bCs/>
          <w:iCs/>
          <w:noProof/>
          <w:sz w:val="24"/>
          <w:szCs w:val="24"/>
          <w:shd w:val="clear" w:color="auto" w:fill="FFFFFF"/>
          <w:lang w:val="ro-MD"/>
        </w:rPr>
        <w:t>Probele</w:t>
      </w:r>
      <w:r w:rsidRPr="009772A3">
        <w:rPr>
          <w:rFonts w:asciiTheme="majorHAnsi" w:hAnsiTheme="majorHAnsi" w:cstheme="majorHAnsi"/>
          <w:sz w:val="24"/>
          <w:szCs w:val="24"/>
          <w:lang w:val="ro-MD"/>
        </w:rPr>
        <w:t xml:space="preserve"> acumulate de audit relevă că</w:t>
      </w:r>
      <w:r w:rsidR="0049460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deși compania contractată a elaborat și </w:t>
      </w:r>
      <w:r w:rsidR="0049460B"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 xml:space="preserve">oferit SA Moldovagaz un raport și un plan de acțiuni cu privire la sursele și mecanismul juridic de stingere a datoriilor societății față de SA Gazprom și soluționarea statutului juridic al drepturilor patrimoniale asupra activelor companiilor de distribuție a gazelor naturale, pentru care s-au achitat 75,0 mii dolari SUA, acestea nu și-au găsit finalitate prin acțiuni concrete de implementare, cauza fiind lipsa asigurărilor cu privire la plenitudinea și regularitatea formării acestora, pentru adoptarea deciziilor de rigoare de către organele de conducere competente. </w:t>
      </w:r>
    </w:p>
    <w:p w14:paraId="00504980" w14:textId="4178F155" w:rsidR="003961C6" w:rsidRPr="009772A3" w:rsidRDefault="003961C6"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La acest capitol SA Moldovagaz explică că procesul de identificare a surselor și mecanismului juridic de stingere a datoriilor SA Moldovagaz față de SA Gazprom se află </w:t>
      </w:r>
      <w:r w:rsidR="00166A11" w:rsidRPr="00CF3AD4">
        <w:rPr>
          <w:rFonts w:asciiTheme="majorHAnsi" w:hAnsiTheme="majorHAnsi" w:cstheme="majorHAnsi"/>
          <w:sz w:val="24"/>
          <w:szCs w:val="24"/>
          <w:lang w:val="ro-MD"/>
        </w:rPr>
        <w:t>până în prezent</w:t>
      </w:r>
      <w:r w:rsidR="00166A11" w:rsidRPr="00166A11">
        <w:rPr>
          <w:rFonts w:asciiTheme="majorHAnsi" w:hAnsiTheme="majorHAnsi" w:cstheme="majorHAnsi"/>
          <w:sz w:val="24"/>
          <w:szCs w:val="24"/>
          <w:lang w:val="ro-MD"/>
        </w:rPr>
        <w:t xml:space="preserve"> </w:t>
      </w:r>
      <w:r w:rsidRPr="00166A11">
        <w:rPr>
          <w:rFonts w:asciiTheme="majorHAnsi" w:hAnsiTheme="majorHAnsi" w:cstheme="majorHAnsi"/>
          <w:sz w:val="24"/>
          <w:szCs w:val="24"/>
          <w:lang w:val="ro-MD"/>
        </w:rPr>
        <w:t>la</w:t>
      </w:r>
      <w:r w:rsidRPr="009772A3">
        <w:rPr>
          <w:rFonts w:asciiTheme="majorHAnsi" w:hAnsiTheme="majorHAnsi" w:cstheme="majorHAnsi"/>
          <w:sz w:val="24"/>
          <w:szCs w:val="24"/>
          <w:lang w:val="ro-MD"/>
        </w:rPr>
        <w:t xml:space="preserve"> etapa negocierii între acționarii majoritari ai Societății.</w:t>
      </w:r>
      <w:r w:rsidR="00925C0A"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La data de 29.10.</w:t>
      </w:r>
      <w:r w:rsidR="00166A11">
        <w:rPr>
          <w:rFonts w:asciiTheme="majorHAnsi" w:hAnsiTheme="majorHAnsi" w:cstheme="majorHAnsi"/>
          <w:sz w:val="24"/>
          <w:szCs w:val="24"/>
          <w:lang w:val="ro-MD"/>
        </w:rPr>
        <w:t>20</w:t>
      </w:r>
      <w:r w:rsidRPr="009772A3">
        <w:rPr>
          <w:rFonts w:asciiTheme="majorHAnsi" w:hAnsiTheme="majorHAnsi" w:cstheme="majorHAnsi"/>
          <w:sz w:val="24"/>
          <w:szCs w:val="24"/>
          <w:lang w:val="ro-MD"/>
        </w:rPr>
        <w:t xml:space="preserve">21 a fost semnat Procesul-verbal privind soluționarea aspectelor problematice din sectorul gazelor naturale al Republicii Moldova, punctul 4 din care prevede </w:t>
      </w:r>
      <w:r w:rsidR="00925C0A" w:rsidRPr="009772A3">
        <w:rPr>
          <w:rFonts w:asciiTheme="majorHAnsi" w:hAnsiTheme="majorHAnsi" w:cstheme="majorHAnsi"/>
          <w:sz w:val="24"/>
          <w:szCs w:val="24"/>
          <w:lang w:val="ro-MD"/>
        </w:rPr>
        <w:t xml:space="preserve">că </w:t>
      </w:r>
      <w:r w:rsidRPr="009772A3">
        <w:rPr>
          <w:rFonts w:asciiTheme="majorHAnsi" w:hAnsiTheme="majorHAnsi" w:cstheme="majorHAnsi"/>
          <w:sz w:val="24"/>
          <w:szCs w:val="24"/>
          <w:lang w:val="ro-MD"/>
        </w:rPr>
        <w:t>„</w:t>
      </w:r>
      <w:r w:rsidR="008A609B" w:rsidRPr="009772A3">
        <w:rPr>
          <w:rFonts w:asciiTheme="majorHAnsi" w:hAnsiTheme="majorHAnsi" w:cstheme="majorHAnsi"/>
          <w:sz w:val="24"/>
          <w:szCs w:val="24"/>
          <w:lang w:val="ro-MD"/>
        </w:rPr>
        <w:t xml:space="preserve">până </w:t>
      </w:r>
      <w:r w:rsidRPr="009772A3">
        <w:rPr>
          <w:rFonts w:asciiTheme="majorHAnsi" w:hAnsiTheme="majorHAnsi" w:cstheme="majorHAnsi"/>
          <w:sz w:val="24"/>
          <w:szCs w:val="24"/>
          <w:lang w:val="ro-MD"/>
        </w:rPr>
        <w:t>la 01.05.2022 SA „Moldovagaz” și SA „Gazprom” vor semna un Acord privind reglementarea datoriei SA „Moldovagaz</w:t>
      </w:r>
      <w:r w:rsidR="0049460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față de SA „Gazprom” și SRL „Factoring-Finan</w:t>
      </w:r>
      <w:r w:rsidR="004D7BCA" w:rsidRPr="009772A3">
        <w:rPr>
          <w:rFonts w:asciiTheme="majorHAnsi" w:hAnsiTheme="majorHAnsi" w:cstheme="majorHAnsi"/>
          <w:sz w:val="24"/>
          <w:szCs w:val="24"/>
          <w:lang w:val="ro-MD"/>
        </w:rPr>
        <w:t>ce</w:t>
      </w:r>
      <w:r w:rsidRPr="009772A3">
        <w:rPr>
          <w:rFonts w:asciiTheme="majorHAnsi" w:hAnsiTheme="majorHAnsi" w:cstheme="majorHAnsi"/>
          <w:sz w:val="24"/>
          <w:szCs w:val="24"/>
          <w:lang w:val="ro-MD"/>
        </w:rPr>
        <w:t>” pentru gazele naturale livrate consumatorilor de pe malul drept al Nistrului, care va prevedea stingerea integrală a datoriei, inclusiv a penalității, în decurs de 5 ani”.</w:t>
      </w:r>
    </w:p>
    <w:p w14:paraId="232071C4" w14:textId="4AF3A195" w:rsidR="003961C6" w:rsidRPr="009772A3" w:rsidRDefault="003961C6"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scrisoa</w:t>
      </w:r>
      <w:r w:rsidR="00A814EC" w:rsidRPr="009772A3">
        <w:rPr>
          <w:rFonts w:asciiTheme="majorHAnsi" w:hAnsiTheme="majorHAnsi" w:cstheme="majorHAnsi"/>
          <w:sz w:val="24"/>
          <w:szCs w:val="24"/>
          <w:lang w:val="ro-MD"/>
        </w:rPr>
        <w:t xml:space="preserve">rea nr. 05-6 din 11.01.2022, </w:t>
      </w:r>
      <w:r w:rsidRPr="009772A3">
        <w:rPr>
          <w:rFonts w:asciiTheme="majorHAnsi" w:hAnsiTheme="majorHAnsi" w:cstheme="majorHAnsi"/>
          <w:sz w:val="24"/>
          <w:szCs w:val="24"/>
          <w:lang w:val="ro-MD"/>
        </w:rPr>
        <w:t>SA „Gazprom” a remis SA „Moldovagaz” proiectul Acordului privind soluționarea datoriei în sumă de 729</w:t>
      </w:r>
      <w:r w:rsidR="002F31E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254</w:t>
      </w:r>
      <w:r w:rsidR="002F31E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497,02 dolari SUA (în continuare – Acord) și Graficul de achitare a datoriei menționate, care a fost transmis pentru examinare Agenției Proprietății Publice.</w:t>
      </w:r>
    </w:p>
    <w:p w14:paraId="2EB943DF" w14:textId="06B3B36C" w:rsidR="003961C6" w:rsidRPr="009772A3" w:rsidRDefault="003961C6"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 potrivit pct. 5 din Procesul-verbal din 29.10.2021</w:t>
      </w:r>
      <w:r w:rsidR="00D2436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w:t>
      </w:r>
      <w:r w:rsidR="00D2436F"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nă la încheierea Acordului prevăzut la p. 4 al prezentului Proces-verbal, partea moldovenească va efectua auditu</w:t>
      </w:r>
      <w:r w:rsidR="00925C0A" w:rsidRPr="009772A3">
        <w:rPr>
          <w:rFonts w:asciiTheme="majorHAnsi" w:hAnsiTheme="majorHAnsi" w:cstheme="majorHAnsi"/>
          <w:sz w:val="24"/>
          <w:szCs w:val="24"/>
          <w:lang w:val="ro-MD"/>
        </w:rPr>
        <w:t xml:space="preserve">l independent al datoriei </w:t>
      </w:r>
      <w:r w:rsidRPr="009772A3">
        <w:rPr>
          <w:rFonts w:asciiTheme="majorHAnsi" w:hAnsiTheme="majorHAnsi" w:cstheme="majorHAnsi"/>
          <w:sz w:val="24"/>
          <w:szCs w:val="24"/>
          <w:lang w:val="ro-MD"/>
        </w:rPr>
        <w:t xml:space="preserve">SA „Moldovagaz” consumatorilor de pe malul drept al Nistrului. Raportul final al auditului va fi coordonat de către Consiliul de </w:t>
      </w:r>
      <w:r w:rsidR="00D2436F" w:rsidRPr="009772A3">
        <w:rPr>
          <w:rFonts w:asciiTheme="majorHAnsi" w:hAnsiTheme="majorHAnsi" w:cstheme="majorHAnsi"/>
          <w:sz w:val="24"/>
          <w:szCs w:val="24"/>
          <w:lang w:val="ro-MD"/>
        </w:rPr>
        <w:t>o</w:t>
      </w:r>
      <w:r w:rsidRPr="009772A3">
        <w:rPr>
          <w:rFonts w:asciiTheme="majorHAnsi" w:hAnsiTheme="majorHAnsi" w:cstheme="majorHAnsi"/>
          <w:sz w:val="24"/>
          <w:szCs w:val="24"/>
          <w:lang w:val="ro-MD"/>
        </w:rPr>
        <w:t>bservatori al SA „Moldovagaz”</w:t>
      </w:r>
      <w:r w:rsidR="00D2436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w:t>
      </w:r>
    </w:p>
    <w:p w14:paraId="146D97CF" w14:textId="57CF2C1C" w:rsidR="003961C6" w:rsidRPr="009772A3" w:rsidRDefault="003961C6"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 Însă, </w:t>
      </w:r>
      <w:r w:rsidR="00D2436F" w:rsidRPr="009772A3">
        <w:rPr>
          <w:rFonts w:asciiTheme="majorHAnsi" w:hAnsiTheme="majorHAnsi" w:cstheme="majorHAnsi"/>
          <w:sz w:val="24"/>
          <w:szCs w:val="24"/>
          <w:lang w:val="ro-MD"/>
        </w:rPr>
        <w:t>î</w:t>
      </w:r>
      <w:r w:rsidRPr="009772A3">
        <w:rPr>
          <w:rFonts w:asciiTheme="majorHAnsi" w:hAnsiTheme="majorHAnsi" w:cstheme="majorHAnsi"/>
          <w:sz w:val="24"/>
          <w:szCs w:val="24"/>
          <w:lang w:val="ro-MD"/>
        </w:rPr>
        <w:t>n circumstanțe care nu depind de managementul SA „Moldovagaz”</w:t>
      </w:r>
      <w:r w:rsidR="00D2436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auditul datoriei nu a fost efectuat p</w:t>
      </w:r>
      <w:r w:rsidR="00D2436F"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nă la 01.05.2022 și, respectiv, Acordul p</w:t>
      </w:r>
      <w:r w:rsidR="00166A11">
        <w:rPr>
          <w:rFonts w:asciiTheme="majorHAnsi" w:hAnsiTheme="majorHAnsi" w:cstheme="majorHAnsi"/>
          <w:sz w:val="24"/>
          <w:szCs w:val="24"/>
          <w:lang w:val="ro-MD"/>
        </w:rPr>
        <w:t>â</w:t>
      </w:r>
      <w:r w:rsidRPr="009772A3">
        <w:rPr>
          <w:rFonts w:asciiTheme="majorHAnsi" w:hAnsiTheme="majorHAnsi" w:cstheme="majorHAnsi"/>
          <w:sz w:val="24"/>
          <w:szCs w:val="24"/>
          <w:lang w:val="ro-MD"/>
        </w:rPr>
        <w:t>nă la 01.05.2022 nu a fost semnat.</w:t>
      </w:r>
    </w:p>
    <w:p w14:paraId="4B6592DA" w14:textId="31B14B75" w:rsidR="003961C6" w:rsidRPr="009772A3" w:rsidRDefault="003961C6" w:rsidP="004F4116">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 în conformitate cu H</w:t>
      </w:r>
      <w:r w:rsidR="00D2436F"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 xml:space="preserve"> nr.484 din 29</w:t>
      </w:r>
      <w:r w:rsidR="00D2436F" w:rsidRPr="009772A3">
        <w:rPr>
          <w:rFonts w:asciiTheme="majorHAnsi" w:hAnsiTheme="majorHAnsi" w:cstheme="majorHAnsi"/>
          <w:sz w:val="24"/>
          <w:szCs w:val="24"/>
          <w:lang w:val="ro-MD"/>
        </w:rPr>
        <w:t>.12.</w:t>
      </w:r>
      <w:r w:rsidRPr="009772A3">
        <w:rPr>
          <w:rFonts w:asciiTheme="majorHAnsi" w:hAnsiTheme="majorHAnsi" w:cstheme="majorHAnsi"/>
          <w:sz w:val="24"/>
          <w:szCs w:val="24"/>
          <w:lang w:val="ro-MD"/>
        </w:rPr>
        <w:t>2021 „Cu privire la efectuarea audit</w:t>
      </w:r>
      <w:r w:rsidR="00FE4CBB" w:rsidRPr="009772A3">
        <w:rPr>
          <w:rFonts w:asciiTheme="majorHAnsi" w:hAnsiTheme="majorHAnsi" w:cstheme="majorHAnsi"/>
          <w:sz w:val="24"/>
          <w:szCs w:val="24"/>
          <w:lang w:val="ro-MD"/>
        </w:rPr>
        <w:t>ului</w:t>
      </w:r>
      <w:r w:rsidRPr="009772A3">
        <w:rPr>
          <w:rFonts w:asciiTheme="majorHAnsi" w:hAnsiTheme="majorHAnsi" w:cstheme="majorHAnsi"/>
          <w:sz w:val="24"/>
          <w:szCs w:val="24"/>
          <w:lang w:val="ro-MD"/>
        </w:rPr>
        <w:t xml:space="preserve"> independent al dato</w:t>
      </w:r>
      <w:r w:rsidR="00A814EC" w:rsidRPr="009772A3">
        <w:rPr>
          <w:rFonts w:asciiTheme="majorHAnsi" w:hAnsiTheme="majorHAnsi" w:cstheme="majorHAnsi"/>
          <w:sz w:val="24"/>
          <w:szCs w:val="24"/>
          <w:lang w:val="ro-MD"/>
        </w:rPr>
        <w:t>riei SA „Moldovagaz” față de SA</w:t>
      </w:r>
      <w:r w:rsidRPr="009772A3">
        <w:rPr>
          <w:rFonts w:asciiTheme="majorHAnsi" w:hAnsiTheme="majorHAnsi" w:cstheme="majorHAnsi"/>
          <w:sz w:val="24"/>
          <w:szCs w:val="24"/>
          <w:lang w:val="ro-MD"/>
        </w:rPr>
        <w:t xml:space="preserve"> „Gazprom” și </w:t>
      </w:r>
      <w:r w:rsidR="00D2436F" w:rsidRPr="009772A3">
        <w:rPr>
          <w:rFonts w:asciiTheme="majorHAnsi" w:hAnsiTheme="majorHAnsi" w:cstheme="majorHAnsi"/>
          <w:sz w:val="24"/>
          <w:szCs w:val="24"/>
          <w:lang w:val="ro-MD"/>
        </w:rPr>
        <w:t>OOO „</w:t>
      </w:r>
      <w:r w:rsidRPr="009772A3">
        <w:rPr>
          <w:rFonts w:asciiTheme="majorHAnsi" w:hAnsiTheme="majorHAnsi" w:cstheme="majorHAnsi"/>
          <w:sz w:val="24"/>
          <w:szCs w:val="24"/>
          <w:lang w:val="ro-MD"/>
        </w:rPr>
        <w:t>Factoring Finan</w:t>
      </w:r>
      <w:r w:rsidR="00D2436F" w:rsidRPr="009772A3">
        <w:rPr>
          <w:rFonts w:asciiTheme="majorHAnsi" w:hAnsiTheme="majorHAnsi" w:cstheme="majorHAnsi"/>
          <w:sz w:val="24"/>
          <w:szCs w:val="24"/>
          <w:lang w:val="ro-MD"/>
        </w:rPr>
        <w:t>s”</w:t>
      </w:r>
      <w:r w:rsidRPr="009772A3">
        <w:rPr>
          <w:rFonts w:asciiTheme="majorHAnsi" w:hAnsiTheme="majorHAnsi" w:cstheme="majorHAnsi"/>
          <w:sz w:val="24"/>
          <w:szCs w:val="24"/>
          <w:lang w:val="ro-MD"/>
        </w:rPr>
        <w:t xml:space="preserve"> </w:t>
      </w:r>
      <w:r w:rsidR="00D2436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SRL </w:t>
      </w:r>
      <w:r w:rsidR="00D2436F" w:rsidRPr="009772A3">
        <w:rPr>
          <w:rFonts w:asciiTheme="majorHAnsi" w:hAnsiTheme="majorHAnsi" w:cstheme="majorHAnsi"/>
          <w:sz w:val="24"/>
          <w:szCs w:val="24"/>
          <w:lang w:val="ro-MD"/>
        </w:rPr>
        <w:t xml:space="preserve">„Factoring Finance”) </w:t>
      </w:r>
      <w:r w:rsidRPr="009772A3">
        <w:rPr>
          <w:rFonts w:asciiTheme="majorHAnsi" w:hAnsiTheme="majorHAnsi" w:cstheme="majorHAnsi"/>
          <w:sz w:val="24"/>
          <w:szCs w:val="24"/>
          <w:lang w:val="ro-MD"/>
        </w:rPr>
        <w:t xml:space="preserve">pentru gazele livrate consumatorilor de pe malul drept al Nistrului”, precum și în baza alin.6 din Dispoziția Comisiei pentru Situații </w:t>
      </w:r>
      <w:r w:rsidR="00FE4CBB"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xcepționale a Republicii Moldova nr.30 din 13 iulie 2022, la 10 august 2022 Agenția Proprietății Publice a Republicii Moldova a semnat un contract cu companiile „Wikborg Rein Advokatfirma” din Norvegia și </w:t>
      </w:r>
      <w:r w:rsidR="00FE4CB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Forensic Risk Alliance &amp; Co</w:t>
      </w:r>
      <w:r w:rsidR="00FE4CB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din Marea Britanie, conform căruia auditorii trebuie să finalizeze auditul până la 30 ianuarie 2023.</w:t>
      </w:r>
    </w:p>
    <w:p w14:paraId="2C401DFD" w14:textId="4B02208C" w:rsidR="006D0F6F" w:rsidRPr="009772A3" w:rsidRDefault="006D0F6F" w:rsidP="00166A11">
      <w:pPr>
        <w:pStyle w:val="Heading1"/>
        <w:numPr>
          <w:ilvl w:val="2"/>
          <w:numId w:val="2"/>
        </w:numPr>
        <w:spacing w:line="276" w:lineRule="auto"/>
        <w:ind w:left="0" w:firstLine="0"/>
        <w:jc w:val="both"/>
        <w:rPr>
          <w:color w:val="auto"/>
          <w:lang w:val="ro-MD"/>
        </w:rPr>
      </w:pPr>
      <w:bookmarkStart w:id="244" w:name="_Toc118977907"/>
      <w:bookmarkStart w:id="245" w:name="_Toc119245496"/>
      <w:bookmarkStart w:id="246" w:name="_Toc117775799"/>
      <w:bookmarkStart w:id="247" w:name="_Toc119496470"/>
      <w:bookmarkEnd w:id="244"/>
      <w:bookmarkEnd w:id="245"/>
      <w:r w:rsidRPr="009772A3">
        <w:rPr>
          <w:color w:val="auto"/>
          <w:lang w:val="ro-MD"/>
        </w:rPr>
        <w:t>Admiterea cheltuielilor nepro</w:t>
      </w:r>
      <w:r w:rsidR="00DF56D5" w:rsidRPr="009772A3">
        <w:rPr>
          <w:color w:val="auto"/>
          <w:lang w:val="ro-MD"/>
        </w:rPr>
        <w:t>ductive, economic neargumentate și</w:t>
      </w:r>
      <w:r w:rsidRPr="009772A3">
        <w:rPr>
          <w:color w:val="auto"/>
          <w:lang w:val="ro-MD"/>
        </w:rPr>
        <w:t xml:space="preserve"> nejustificate</w:t>
      </w:r>
      <w:r w:rsidR="00DF56D5" w:rsidRPr="009772A3">
        <w:rPr>
          <w:color w:val="auto"/>
          <w:lang w:val="ro-MD"/>
        </w:rPr>
        <w:t>,</w:t>
      </w:r>
      <w:r w:rsidRPr="009772A3">
        <w:rPr>
          <w:color w:val="auto"/>
          <w:lang w:val="ro-MD"/>
        </w:rPr>
        <w:t xml:space="preserve"> în sumă totală de 1.</w:t>
      </w:r>
      <w:r w:rsidR="00B065DC" w:rsidRPr="009772A3">
        <w:rPr>
          <w:color w:val="auto"/>
          <w:lang w:val="ro-MD"/>
        </w:rPr>
        <w:t>000</w:t>
      </w:r>
      <w:r w:rsidR="00ED49E6" w:rsidRPr="009772A3">
        <w:rPr>
          <w:color w:val="auto"/>
          <w:lang w:val="ro-MD"/>
        </w:rPr>
        <w:t>.</w:t>
      </w:r>
      <w:r w:rsidR="00B065DC" w:rsidRPr="009772A3">
        <w:rPr>
          <w:color w:val="auto"/>
          <w:lang w:val="ro-MD"/>
        </w:rPr>
        <w:t>214</w:t>
      </w:r>
      <w:r w:rsidR="00ED49E6" w:rsidRPr="009772A3">
        <w:rPr>
          <w:color w:val="auto"/>
          <w:lang w:val="ro-MD"/>
        </w:rPr>
        <w:t>,</w:t>
      </w:r>
      <w:r w:rsidR="00B065DC" w:rsidRPr="009772A3">
        <w:rPr>
          <w:color w:val="auto"/>
          <w:lang w:val="ro-MD"/>
        </w:rPr>
        <w:t>0</w:t>
      </w:r>
      <w:r w:rsidRPr="009772A3">
        <w:rPr>
          <w:color w:val="auto"/>
          <w:lang w:val="ro-MD"/>
        </w:rPr>
        <w:t xml:space="preserve"> mii lei, în contextul existenței datoriilor, au impact negativ asupra funcționării eficiente și asigurării viabilității financiare a </w:t>
      </w:r>
      <w:r w:rsidR="00DF56D5" w:rsidRPr="009772A3">
        <w:rPr>
          <w:color w:val="auto"/>
          <w:lang w:val="ro-MD"/>
        </w:rPr>
        <w:t xml:space="preserve">grupului SA </w:t>
      </w:r>
      <w:r w:rsidR="000E378B" w:rsidRPr="009772A3">
        <w:rPr>
          <w:color w:val="auto"/>
          <w:lang w:val="ro-MD"/>
        </w:rPr>
        <w:t>M</w:t>
      </w:r>
      <w:r w:rsidR="00DF56D5" w:rsidRPr="009772A3">
        <w:rPr>
          <w:color w:val="auto"/>
          <w:lang w:val="ro-MD"/>
        </w:rPr>
        <w:t>oldovagaz</w:t>
      </w:r>
      <w:r w:rsidRPr="009772A3">
        <w:rPr>
          <w:color w:val="auto"/>
          <w:lang w:val="ro-MD"/>
        </w:rPr>
        <w:t>.</w:t>
      </w:r>
      <w:bookmarkEnd w:id="246"/>
      <w:bookmarkEnd w:id="247"/>
    </w:p>
    <w:p w14:paraId="2F5FF2AE" w14:textId="632BC4E7" w:rsidR="006D0F6F" w:rsidRPr="009772A3" w:rsidRDefault="006D0F6F" w:rsidP="00DF56D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b/>
        <w:t>C</w:t>
      </w:r>
      <w:r w:rsidR="000E378B" w:rsidRPr="009772A3">
        <w:rPr>
          <w:rFonts w:asciiTheme="majorHAnsi" w:hAnsiTheme="majorHAnsi" w:cstheme="majorHAnsi"/>
          <w:sz w:val="24"/>
          <w:szCs w:val="24"/>
          <w:lang w:val="ro-MD"/>
        </w:rPr>
        <w:t xml:space="preserve">odul </w:t>
      </w:r>
      <w:r w:rsidR="00FE4CBB" w:rsidRPr="009772A3">
        <w:rPr>
          <w:rFonts w:asciiTheme="majorHAnsi" w:hAnsiTheme="majorHAnsi" w:cstheme="majorHAnsi"/>
          <w:sz w:val="24"/>
          <w:szCs w:val="24"/>
          <w:lang w:val="ro-MD"/>
        </w:rPr>
        <w:t>f</w:t>
      </w:r>
      <w:r w:rsidR="000E378B" w:rsidRPr="009772A3">
        <w:rPr>
          <w:rFonts w:asciiTheme="majorHAnsi" w:hAnsiTheme="majorHAnsi" w:cstheme="majorHAnsi"/>
          <w:sz w:val="24"/>
          <w:szCs w:val="24"/>
          <w:lang w:val="ro-MD"/>
        </w:rPr>
        <w:t xml:space="preserve">iscal </w:t>
      </w:r>
      <w:r w:rsidRPr="009772A3">
        <w:rPr>
          <w:rFonts w:asciiTheme="majorHAnsi" w:hAnsiTheme="majorHAnsi" w:cstheme="majorHAnsi"/>
          <w:sz w:val="24"/>
          <w:szCs w:val="24"/>
          <w:lang w:val="ro-MD"/>
        </w:rPr>
        <w:t xml:space="preserve">limitează și nu acceptă în scopuri fiscale cheltuielile suportate care nu sunt aferente activității de întreprinzător. Potrivit informațiilor prezentate </w:t>
      </w:r>
      <w:r w:rsidRPr="00386A81">
        <w:rPr>
          <w:rFonts w:asciiTheme="majorHAnsi" w:hAnsiTheme="majorHAnsi" w:cstheme="majorHAnsi"/>
          <w:sz w:val="24"/>
          <w:szCs w:val="24"/>
          <w:lang w:val="ro-MD"/>
        </w:rPr>
        <w:t>în Anexa 2D</w:t>
      </w:r>
      <w:r w:rsidRPr="009772A3">
        <w:rPr>
          <w:rFonts w:asciiTheme="majorHAnsi" w:hAnsiTheme="majorHAnsi" w:cstheme="majorHAnsi"/>
          <w:sz w:val="24"/>
          <w:szCs w:val="24"/>
          <w:lang w:val="ro-MD"/>
        </w:rPr>
        <w:t xml:space="preserve"> </w:t>
      </w:r>
      <w:r w:rsidR="0020185E" w:rsidRPr="009772A3">
        <w:rPr>
          <w:rFonts w:asciiTheme="majorHAnsi" w:hAnsiTheme="majorHAnsi" w:cstheme="majorHAnsi"/>
          <w:sz w:val="24"/>
          <w:szCs w:val="24"/>
          <w:lang w:val="ro-MD"/>
        </w:rPr>
        <w:t xml:space="preserve">la declarațiile VEN </w:t>
      </w:r>
      <w:r w:rsidRPr="009772A3">
        <w:rPr>
          <w:rFonts w:asciiTheme="majorHAnsi" w:hAnsiTheme="majorHAnsi" w:cstheme="majorHAnsi"/>
          <w:sz w:val="24"/>
          <w:szCs w:val="24"/>
          <w:lang w:val="ro-MD"/>
        </w:rPr>
        <w:t xml:space="preserve">„Ajustarea (majorarea/micșorarea) cheltuielilor conform prevederilor legislației fiscale” la Declarația cu privire la impozitul pe venit în perioada 2011-2021, întreprinderile din sectorul gazelor naturale au efectuat și </w:t>
      </w:r>
      <w:r w:rsidR="00FE4CBB" w:rsidRPr="009772A3">
        <w:rPr>
          <w:rFonts w:asciiTheme="majorHAnsi" w:hAnsiTheme="majorHAnsi" w:cstheme="majorHAnsi"/>
          <w:sz w:val="24"/>
          <w:szCs w:val="24"/>
          <w:lang w:val="ro-MD"/>
        </w:rPr>
        <w:t xml:space="preserve">au </w:t>
      </w:r>
      <w:r w:rsidRPr="009772A3">
        <w:rPr>
          <w:rFonts w:asciiTheme="majorHAnsi" w:hAnsiTheme="majorHAnsi" w:cstheme="majorHAnsi"/>
          <w:sz w:val="24"/>
          <w:szCs w:val="24"/>
          <w:lang w:val="ro-MD"/>
        </w:rPr>
        <w:t>înregistrat în contabilitatea financiară cheltuieli care nu sunt legate de activitatea de întreprinzător</w:t>
      </w:r>
      <w:r w:rsidR="00FE4CB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valoare de </w:t>
      </w:r>
      <w:r w:rsidR="00B065DC" w:rsidRPr="009772A3">
        <w:rPr>
          <w:rFonts w:asciiTheme="majorHAnsi" w:hAnsiTheme="majorHAnsi" w:cstheme="majorHAnsi"/>
          <w:sz w:val="24"/>
          <w:szCs w:val="24"/>
          <w:lang w:val="ro-MD"/>
        </w:rPr>
        <w:t>3.807.679,6</w:t>
      </w:r>
      <w:r w:rsidRPr="009772A3">
        <w:rPr>
          <w:rFonts w:asciiTheme="majorHAnsi" w:hAnsiTheme="majorHAnsi" w:cstheme="majorHAnsi"/>
          <w:sz w:val="24"/>
          <w:szCs w:val="24"/>
          <w:lang w:val="ro-MD"/>
        </w:rPr>
        <w:t xml:space="preserve"> mii lei, iar </w:t>
      </w:r>
      <w:r w:rsidR="00FE4CBB" w:rsidRPr="009772A3">
        <w:rPr>
          <w:rFonts w:asciiTheme="majorHAnsi" w:hAnsiTheme="majorHAnsi" w:cstheme="majorHAnsi"/>
          <w:sz w:val="24"/>
          <w:szCs w:val="24"/>
          <w:lang w:val="ro-MD"/>
        </w:rPr>
        <w:t xml:space="preserve">cele </w:t>
      </w:r>
      <w:r w:rsidRPr="009772A3">
        <w:rPr>
          <w:rFonts w:asciiTheme="majorHAnsi" w:hAnsiTheme="majorHAnsi" w:cstheme="majorHAnsi"/>
          <w:sz w:val="24"/>
          <w:szCs w:val="24"/>
          <w:lang w:val="ro-MD"/>
        </w:rPr>
        <w:t>recunoscute în scopuri fiscale au constituit 2</w:t>
      </w:r>
      <w:r w:rsidR="00512CB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8</w:t>
      </w:r>
      <w:r w:rsidR="00B065DC" w:rsidRPr="009772A3">
        <w:rPr>
          <w:rFonts w:asciiTheme="majorHAnsi" w:hAnsiTheme="majorHAnsi" w:cstheme="majorHAnsi"/>
          <w:sz w:val="24"/>
          <w:szCs w:val="24"/>
          <w:lang w:val="ro-MD"/>
        </w:rPr>
        <w:t>07</w:t>
      </w:r>
      <w:r w:rsidR="00512CBB" w:rsidRPr="009772A3">
        <w:rPr>
          <w:rFonts w:asciiTheme="majorHAnsi" w:hAnsiTheme="majorHAnsi" w:cstheme="majorHAnsi"/>
          <w:sz w:val="24"/>
          <w:szCs w:val="24"/>
          <w:lang w:val="ro-MD"/>
        </w:rPr>
        <w:t>.</w:t>
      </w:r>
      <w:r w:rsidR="00B065DC" w:rsidRPr="009772A3">
        <w:rPr>
          <w:rFonts w:asciiTheme="majorHAnsi" w:hAnsiTheme="majorHAnsi" w:cstheme="majorHAnsi"/>
          <w:sz w:val="24"/>
          <w:szCs w:val="24"/>
          <w:lang w:val="ro-MD"/>
        </w:rPr>
        <w:t>465</w:t>
      </w:r>
      <w:r w:rsidRPr="009772A3">
        <w:rPr>
          <w:rFonts w:asciiTheme="majorHAnsi" w:hAnsiTheme="majorHAnsi" w:cstheme="majorHAnsi"/>
          <w:sz w:val="24"/>
          <w:szCs w:val="24"/>
          <w:lang w:val="ro-MD"/>
        </w:rPr>
        <w:t>,</w:t>
      </w:r>
      <w:r w:rsidR="00B065DC" w:rsidRPr="009772A3">
        <w:rPr>
          <w:rFonts w:asciiTheme="majorHAnsi" w:hAnsiTheme="majorHAnsi" w:cstheme="majorHAnsi"/>
          <w:sz w:val="24"/>
          <w:szCs w:val="24"/>
          <w:lang w:val="ro-MD"/>
        </w:rPr>
        <w:t>6</w:t>
      </w:r>
      <w:r w:rsidRPr="009772A3">
        <w:rPr>
          <w:rFonts w:asciiTheme="majorHAnsi" w:hAnsiTheme="majorHAnsi" w:cstheme="majorHAnsi"/>
          <w:sz w:val="24"/>
          <w:szCs w:val="24"/>
          <w:lang w:val="ro-MD"/>
        </w:rPr>
        <w:t xml:space="preserve"> mii lei, sau cu </w:t>
      </w:r>
      <w:r w:rsidR="00B065DC" w:rsidRPr="009772A3">
        <w:rPr>
          <w:rFonts w:asciiTheme="majorHAnsi" w:hAnsiTheme="majorHAnsi" w:cstheme="majorHAnsi"/>
          <w:sz w:val="24"/>
          <w:szCs w:val="24"/>
          <w:lang w:val="ro-MD"/>
        </w:rPr>
        <w:t xml:space="preserve">1.000.214,0 </w:t>
      </w:r>
      <w:r w:rsidRPr="009772A3">
        <w:rPr>
          <w:rFonts w:asciiTheme="majorHAnsi" w:hAnsiTheme="majorHAnsi" w:cstheme="majorHAnsi"/>
          <w:sz w:val="24"/>
          <w:szCs w:val="24"/>
          <w:lang w:val="ro-MD"/>
        </w:rPr>
        <w:t>mii lei</w:t>
      </w:r>
      <w:r w:rsidR="002D54A1" w:rsidRPr="009772A3">
        <w:rPr>
          <w:rFonts w:asciiTheme="majorHAnsi" w:hAnsiTheme="majorHAnsi" w:cstheme="majorHAnsi"/>
          <w:sz w:val="24"/>
          <w:szCs w:val="24"/>
          <w:lang w:val="ro-MD"/>
        </w:rPr>
        <w:t xml:space="preserve"> (inclusiv creanțe compromise decontate în sumă de 103.121,0 mii lei)</w:t>
      </w:r>
      <w:r w:rsidRPr="009772A3">
        <w:rPr>
          <w:rFonts w:asciiTheme="majorHAnsi" w:hAnsiTheme="majorHAnsi" w:cstheme="majorHAnsi"/>
          <w:sz w:val="24"/>
          <w:szCs w:val="24"/>
          <w:lang w:val="ro-MD"/>
        </w:rPr>
        <w:t xml:space="preserve"> mai puțin decât cele înregistrate în contabilitatea financiară.</w:t>
      </w:r>
    </w:p>
    <w:p w14:paraId="0EEDC333" w14:textId="0EFA1F23" w:rsidR="006D0F6F" w:rsidRPr="009772A3" w:rsidRDefault="006D0F6F" w:rsidP="00DF56D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Prin urmare, se constată că întreprinderile din sectorul gazelor naturale și-au asumat suportarea acestor cheltuieli din contul mijloacelor financiare proprii</w:t>
      </w:r>
      <w:r w:rsidR="00FE4CB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lipsa existenței surselor de acoperire a acestora, acțiune care a influențat și asupra gradului de îndatorare a entității.</w:t>
      </w:r>
    </w:p>
    <w:p w14:paraId="526621AA" w14:textId="03DB6214" w:rsidR="006D0F6F" w:rsidRPr="009772A3" w:rsidRDefault="006D0F6F" w:rsidP="00DF56D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w:t>
      </w:r>
      <w:r w:rsidR="00FE4CBB"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se constată că au fost ajustate/diminuate cheltuielile în scopuri fiscale în sumă de 648</w:t>
      </w:r>
      <w:r w:rsidR="00DF56D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740,23 mii lei aferente pierderilor înregistrate în urma tranzacțiilor între persoanele interdependente</w:t>
      </w:r>
      <w:r w:rsidRPr="009772A3">
        <w:rPr>
          <w:rFonts w:asciiTheme="majorHAnsi" w:hAnsiTheme="majorHAnsi" w:cstheme="majorHAnsi"/>
          <w:sz w:val="24"/>
          <w:szCs w:val="24"/>
          <w:vertAlign w:val="superscript"/>
          <w:lang w:val="ro-MD"/>
        </w:rPr>
        <w:footnoteReference w:id="193"/>
      </w:r>
      <w:r w:rsidRPr="009772A3">
        <w:rPr>
          <w:rFonts w:asciiTheme="majorHAnsi" w:hAnsiTheme="majorHAnsi" w:cstheme="majorHAnsi"/>
          <w:sz w:val="24"/>
          <w:szCs w:val="24"/>
          <w:lang w:val="ro-MD"/>
        </w:rPr>
        <w:t>, neținând cont de faptul că activitatea prestată între persoanele interdependente este reglementată de organul regulator ANRE și trebuiau recunoscute în scopuri fiscale în baza soluției fiscale individuale care urma a fi solicitată de la SFS.</w:t>
      </w:r>
    </w:p>
    <w:p w14:paraId="3326620E" w14:textId="212DB93F" w:rsidR="006D0F6F" w:rsidRPr="009772A3" w:rsidRDefault="006D0F6F" w:rsidP="00DF56D5">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Pct. 54 din Metodologia nr. 678</w:t>
      </w:r>
      <w:r w:rsidRPr="009772A3">
        <w:rPr>
          <w:rFonts w:asciiTheme="majorHAnsi" w:hAnsiTheme="majorHAnsi" w:cstheme="majorHAnsi"/>
          <w:sz w:val="24"/>
          <w:vertAlign w:val="superscript"/>
          <w:lang w:val="ro-MD"/>
        </w:rPr>
        <w:footnoteReference w:id="194"/>
      </w:r>
      <w:r w:rsidRPr="009772A3">
        <w:rPr>
          <w:rFonts w:asciiTheme="majorHAnsi" w:hAnsiTheme="majorHAnsi" w:cstheme="majorHAnsi"/>
          <w:sz w:val="24"/>
          <w:szCs w:val="24"/>
          <w:lang w:val="ro-MD"/>
        </w:rPr>
        <w:t xml:space="preserve"> (pct. 14 din Metodologia nr.443</w:t>
      </w:r>
      <w:r w:rsidRPr="009772A3">
        <w:rPr>
          <w:rFonts w:asciiTheme="majorHAnsi" w:hAnsiTheme="majorHAnsi" w:cstheme="majorHAnsi"/>
          <w:sz w:val="24"/>
          <w:vertAlign w:val="superscript"/>
          <w:lang w:val="ro-MD"/>
        </w:rPr>
        <w:footnoteReference w:id="195"/>
      </w:r>
      <w:r w:rsidRPr="009772A3">
        <w:rPr>
          <w:rFonts w:asciiTheme="majorHAnsi" w:hAnsiTheme="majorHAnsi" w:cstheme="majorHAnsi"/>
          <w:sz w:val="24"/>
          <w:szCs w:val="24"/>
          <w:lang w:val="ro-MD"/>
        </w:rPr>
        <w:t>) stipulează că cheltuielile economic neargumentate, nejustificate și/sau care, conform procesului tehnologic, nu sunt necesare pentru prestarea serviciilor de furnizare, transport și distribuție a gazelor naturale și/sau nu țin de activitatea reglementată</w:t>
      </w:r>
      <w:r w:rsidR="00C1791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nu se includ în costurile reglementate ale întreprinderilor de gaze naturale. Astfel, conform prevederilor Metodologiei nr.678</w:t>
      </w:r>
      <w:r w:rsidR="00C1791F"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w:t>
      </w:r>
      <w:r w:rsidR="00C1791F" w:rsidRPr="009772A3">
        <w:rPr>
          <w:rFonts w:asciiTheme="majorHAnsi" w:hAnsiTheme="majorHAnsi" w:cstheme="majorHAnsi"/>
          <w:sz w:val="24"/>
          <w:szCs w:val="24"/>
          <w:lang w:val="ro-MD"/>
        </w:rPr>
        <w:t>nr.</w:t>
      </w:r>
      <w:r w:rsidRPr="009772A3">
        <w:rPr>
          <w:rFonts w:asciiTheme="majorHAnsi" w:hAnsiTheme="majorHAnsi" w:cstheme="majorHAnsi"/>
          <w:sz w:val="24"/>
          <w:szCs w:val="24"/>
          <w:lang w:val="ro-MD"/>
        </w:rPr>
        <w:t>443)</w:t>
      </w:r>
      <w:r w:rsidR="00C1791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expres nu sunt acceptate în scopuri tarifare </w:t>
      </w:r>
      <w:r w:rsidR="00B065DC" w:rsidRPr="009772A3">
        <w:rPr>
          <w:rFonts w:asciiTheme="majorHAnsi" w:hAnsiTheme="majorHAnsi" w:cstheme="majorHAnsi"/>
          <w:sz w:val="24"/>
          <w:szCs w:val="24"/>
          <w:lang w:val="ro-MD"/>
        </w:rPr>
        <w:t xml:space="preserve">următoarele </w:t>
      </w:r>
      <w:r w:rsidRPr="009772A3">
        <w:rPr>
          <w:rFonts w:asciiTheme="majorHAnsi" w:hAnsiTheme="majorHAnsi" w:cstheme="majorHAnsi"/>
          <w:sz w:val="24"/>
          <w:szCs w:val="24"/>
          <w:lang w:val="ro-MD"/>
        </w:rPr>
        <w:t>cheltuieli:</w:t>
      </w:r>
    </w:p>
    <w:p w14:paraId="628C911F" w14:textId="6D064C23" w:rsidR="006D0F6F" w:rsidRPr="009772A3" w:rsidRDefault="006D0F6F" w:rsidP="00105603">
      <w:pPr>
        <w:pStyle w:val="ListParagraph"/>
        <w:numPr>
          <w:ilvl w:val="0"/>
          <w:numId w:val="20"/>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cheltuielile privind creanțele decontate </w:t>
      </w:r>
      <w:r w:rsidR="00C74A4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103</w:t>
      </w:r>
      <w:r w:rsidR="00C74A4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120,99 mii lei</w:t>
      </w:r>
      <w:r w:rsidR="00C1791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45A82A87" w14:textId="49113FA9" w:rsidR="006D0F6F" w:rsidRPr="009772A3" w:rsidRDefault="006D0F6F" w:rsidP="00105603">
      <w:pPr>
        <w:pStyle w:val="ListParagraph"/>
        <w:numPr>
          <w:ilvl w:val="0"/>
          <w:numId w:val="20"/>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penalități, amenzi </w:t>
      </w:r>
      <w:r w:rsidR="00C1791F" w:rsidRPr="009772A3">
        <w:rPr>
          <w:rFonts w:asciiTheme="majorHAnsi" w:hAnsiTheme="majorHAnsi" w:cstheme="majorHAnsi"/>
          <w:sz w:val="24"/>
          <w:szCs w:val="24"/>
          <w:lang w:val="ro-MD"/>
        </w:rPr>
        <w:t>ș</w:t>
      </w:r>
      <w:r w:rsidRPr="009772A3">
        <w:rPr>
          <w:rFonts w:asciiTheme="majorHAnsi" w:hAnsiTheme="majorHAnsi" w:cstheme="majorHAnsi"/>
          <w:sz w:val="24"/>
          <w:szCs w:val="24"/>
          <w:lang w:val="ro-MD"/>
        </w:rPr>
        <w:t xml:space="preserve">i alte sancțiuni aplicate pentru încălcarea actelor normative </w:t>
      </w:r>
      <w:r w:rsidR="00C1791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54</w:t>
      </w:r>
      <w:r w:rsidR="00C74A4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144,83 mii lei</w:t>
      </w:r>
      <w:r w:rsidR="00C1791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5F7455D5" w14:textId="47359E9E" w:rsidR="006D0F6F" w:rsidRPr="009772A3" w:rsidRDefault="006D0F6F" w:rsidP="00105603">
      <w:pPr>
        <w:pStyle w:val="ListParagraph"/>
        <w:numPr>
          <w:ilvl w:val="0"/>
          <w:numId w:val="20"/>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suma contribuțiilor bănești și în forma nemonetar</w:t>
      </w:r>
      <w:r w:rsidR="00C1791F"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efectuate în scopuri filantropice </w:t>
      </w:r>
      <w:r w:rsidR="00C1791F" w:rsidRPr="009772A3">
        <w:rPr>
          <w:rFonts w:asciiTheme="majorHAnsi" w:hAnsiTheme="majorHAnsi" w:cstheme="majorHAnsi"/>
          <w:sz w:val="24"/>
          <w:szCs w:val="24"/>
          <w:lang w:val="ro-MD"/>
        </w:rPr>
        <w:t>ș</w:t>
      </w:r>
      <w:r w:rsidRPr="009772A3">
        <w:rPr>
          <w:rFonts w:asciiTheme="majorHAnsi" w:hAnsiTheme="majorHAnsi" w:cstheme="majorHAnsi"/>
          <w:sz w:val="24"/>
          <w:szCs w:val="24"/>
          <w:lang w:val="ro-MD"/>
        </w:rPr>
        <w:t xml:space="preserve">i de sponsorizare, inclusiv donații </w:t>
      </w:r>
      <w:r w:rsidR="00C1791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17</w:t>
      </w:r>
      <w:r w:rsidR="00C1791F"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323,24 mii lei</w:t>
      </w:r>
      <w:r w:rsidRPr="009772A3">
        <w:rPr>
          <w:rFonts w:asciiTheme="majorHAnsi" w:hAnsiTheme="majorHAnsi" w:cstheme="majorHAnsi"/>
          <w:sz w:val="24"/>
          <w:vertAlign w:val="superscript"/>
          <w:lang w:val="ro-MD"/>
        </w:rPr>
        <w:footnoteReference w:id="196"/>
      </w:r>
      <w:r w:rsidR="00C74A41" w:rsidRPr="009772A3">
        <w:rPr>
          <w:rFonts w:asciiTheme="majorHAnsi" w:hAnsiTheme="majorHAnsi" w:cstheme="majorHAnsi"/>
          <w:sz w:val="24"/>
          <w:szCs w:val="24"/>
          <w:lang w:val="ro-MD"/>
        </w:rPr>
        <w:t>;</w:t>
      </w:r>
    </w:p>
    <w:p w14:paraId="0D0DAF96" w14:textId="75F21E3D" w:rsidR="006D0F6F" w:rsidRPr="009772A3" w:rsidRDefault="006D0F6F" w:rsidP="00105603">
      <w:pPr>
        <w:pStyle w:val="ListParagraph"/>
        <w:numPr>
          <w:ilvl w:val="0"/>
          <w:numId w:val="20"/>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cheltuielile aferente taxelor de aderare și cotizațiilor de membru destinate activității patronatelor – 6</w:t>
      </w:r>
      <w:r w:rsidR="00C74A4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214,84 mii lei</w:t>
      </w:r>
      <w:r w:rsidR="00C74A41" w:rsidRPr="009772A3">
        <w:rPr>
          <w:rFonts w:asciiTheme="majorHAnsi" w:hAnsiTheme="majorHAnsi" w:cstheme="majorHAnsi"/>
          <w:sz w:val="24"/>
          <w:szCs w:val="24"/>
          <w:lang w:val="ro-MD"/>
        </w:rPr>
        <w:t>;</w:t>
      </w:r>
    </w:p>
    <w:p w14:paraId="1D6D1B2E" w14:textId="6F12F447" w:rsidR="006D0F6F" w:rsidRPr="009772A3" w:rsidRDefault="006D0F6F" w:rsidP="00105603">
      <w:pPr>
        <w:pStyle w:val="ListParagraph"/>
        <w:numPr>
          <w:ilvl w:val="0"/>
          <w:numId w:val="20"/>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alte cheltuieli ce nu țin de activitatea de întreprinzător – 697</w:t>
      </w:r>
      <w:r w:rsidR="00C74A41"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074,80 mii lei.</w:t>
      </w:r>
    </w:p>
    <w:p w14:paraId="182D5A80" w14:textId="427D1868" w:rsidR="0056769B" w:rsidRDefault="0056769B">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Informații aferente cheltuielilor ce nu țin de activitatea de antreprenor, în perioada 2011 – 2021, se prezintă în Anexa nr.1</w:t>
      </w:r>
      <w:r w:rsidR="009556A7" w:rsidRPr="009772A3">
        <w:rPr>
          <w:rFonts w:asciiTheme="majorHAnsi" w:hAnsiTheme="majorHAnsi" w:cstheme="majorHAnsi"/>
          <w:sz w:val="24"/>
          <w:szCs w:val="24"/>
          <w:lang w:val="ro-MD"/>
        </w:rPr>
        <w:t>1</w:t>
      </w:r>
      <w:r w:rsidRPr="009772A3">
        <w:rPr>
          <w:rFonts w:asciiTheme="majorHAnsi" w:hAnsiTheme="majorHAnsi" w:cstheme="majorHAnsi"/>
          <w:sz w:val="24"/>
          <w:szCs w:val="24"/>
          <w:lang w:val="ro-MD"/>
        </w:rPr>
        <w:t xml:space="preserve"> la prezentul Raport de audit.</w:t>
      </w:r>
    </w:p>
    <w:p w14:paraId="541E29DE" w14:textId="77777777" w:rsidR="00105603" w:rsidRPr="009772A3" w:rsidRDefault="00105603">
      <w:pPr>
        <w:spacing w:after="0" w:line="276" w:lineRule="auto"/>
        <w:ind w:firstLine="709"/>
        <w:jc w:val="both"/>
        <w:rPr>
          <w:rFonts w:asciiTheme="majorHAnsi" w:hAnsiTheme="majorHAnsi" w:cstheme="majorHAnsi"/>
          <w:sz w:val="24"/>
          <w:szCs w:val="24"/>
          <w:lang w:val="ro-MD"/>
        </w:rPr>
      </w:pPr>
    </w:p>
    <w:p w14:paraId="7D54CD3F" w14:textId="4C4BB812" w:rsidR="00EB3064" w:rsidRPr="009772A3" w:rsidRDefault="00EB3064" w:rsidP="00CF3AD4">
      <w:pPr>
        <w:pStyle w:val="Heading1"/>
        <w:numPr>
          <w:ilvl w:val="0"/>
          <w:numId w:val="2"/>
        </w:numPr>
        <w:spacing w:before="0" w:line="276" w:lineRule="auto"/>
        <w:ind w:left="0" w:firstLine="0"/>
        <w:jc w:val="left"/>
        <w:rPr>
          <w:rFonts w:cstheme="majorHAnsi"/>
          <w:color w:val="auto"/>
          <w:sz w:val="28"/>
          <w:szCs w:val="24"/>
          <w:lang w:val="ro-MD"/>
        </w:rPr>
      </w:pPr>
      <w:bookmarkStart w:id="248" w:name="_Toc119496471"/>
      <w:r w:rsidRPr="009772A3">
        <w:rPr>
          <w:color w:val="auto"/>
          <w:sz w:val="28"/>
          <w:lang w:val="ro-MD"/>
        </w:rPr>
        <w:t>GUVERNANȚA</w:t>
      </w:r>
      <w:r w:rsidRPr="009772A3">
        <w:rPr>
          <w:rFonts w:cstheme="majorHAnsi"/>
          <w:color w:val="auto"/>
          <w:sz w:val="28"/>
          <w:szCs w:val="24"/>
          <w:lang w:val="ro-MD"/>
        </w:rPr>
        <w:t xml:space="preserve"> CORPORATIVĂ</w:t>
      </w:r>
      <w:bookmarkEnd w:id="248"/>
    </w:p>
    <w:p w14:paraId="7E423A9D" w14:textId="29942390" w:rsidR="00FD1AA6" w:rsidRPr="009772A3" w:rsidRDefault="00FF5583" w:rsidP="00CF3AD4">
      <w:pPr>
        <w:pStyle w:val="Heading1"/>
        <w:numPr>
          <w:ilvl w:val="2"/>
          <w:numId w:val="2"/>
        </w:numPr>
        <w:spacing w:before="0" w:line="276" w:lineRule="auto"/>
        <w:ind w:left="0" w:firstLine="0"/>
        <w:jc w:val="both"/>
        <w:rPr>
          <w:color w:val="auto"/>
          <w:lang w:val="ro-MD"/>
        </w:rPr>
      </w:pPr>
      <w:bookmarkStart w:id="249" w:name="_Toc119496472"/>
      <w:r w:rsidRPr="009772A3">
        <w:rPr>
          <w:color w:val="auto"/>
          <w:lang w:val="ro-MD"/>
        </w:rPr>
        <w:t xml:space="preserve">Organele de conducere ale SA Moldovagaz nu au asigurat implementarea conformă a unor direcții principale de activitate stabilite prin Statutul societății, fiind admisă o gestiune financiară precară, care a generat acumularea </w:t>
      </w:r>
      <w:r w:rsidR="00EA6AE2" w:rsidRPr="009772A3">
        <w:rPr>
          <w:color w:val="auto"/>
          <w:lang w:val="ro-MD"/>
        </w:rPr>
        <w:t xml:space="preserve">în perioada 1999-2015 a </w:t>
      </w:r>
      <w:r w:rsidRPr="009772A3">
        <w:rPr>
          <w:color w:val="auto"/>
          <w:lang w:val="ro-MD"/>
        </w:rPr>
        <w:t>noilor datorii.</w:t>
      </w:r>
      <w:bookmarkEnd w:id="249"/>
    </w:p>
    <w:p w14:paraId="4C06FAF9" w14:textId="0ED06DAF" w:rsidR="005120A8" w:rsidRPr="009772A3" w:rsidRDefault="005120A8" w:rsidP="005120A8">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Pentru garantarea siguranţei fondurilor oferite de acţionari şi utilizarea acestora în mod eficient, reducerea riscurilor pe care investitorii nu sunt capabili să le anticipeze şi/sau nu doresc să le accepte şi a căror gestionare pe termen lung de către investitori provoacă reducerea atractivităţii investiţionale a SA Moldovagaz şi a valorii acţiunilor sale, fondatorii au instituit următoarele organe de conducere și control ale Societății:</w:t>
      </w:r>
    </w:p>
    <w:p w14:paraId="558D9D12" w14:textId="201EEF22" w:rsidR="005120A8" w:rsidRPr="009772A3" w:rsidRDefault="005120A8"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Adunarea generală a acționarilor;</w:t>
      </w:r>
    </w:p>
    <w:p w14:paraId="34CF98E7" w14:textId="15348A40" w:rsidR="005120A8" w:rsidRPr="009772A3" w:rsidRDefault="005120A8"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Consiliul de </w:t>
      </w:r>
      <w:r w:rsidR="00056B17" w:rsidRPr="009772A3">
        <w:rPr>
          <w:rFonts w:asciiTheme="majorHAnsi" w:hAnsiTheme="majorHAnsi" w:cstheme="majorHAnsi"/>
          <w:sz w:val="24"/>
          <w:szCs w:val="24"/>
          <w:lang w:val="ro-MD"/>
        </w:rPr>
        <w:t>o</w:t>
      </w:r>
      <w:r w:rsidRPr="009772A3">
        <w:rPr>
          <w:rFonts w:asciiTheme="majorHAnsi" w:hAnsiTheme="majorHAnsi" w:cstheme="majorHAnsi"/>
          <w:sz w:val="24"/>
          <w:szCs w:val="24"/>
          <w:lang w:val="ro-MD"/>
        </w:rPr>
        <w:t>bservatori;</w:t>
      </w:r>
    </w:p>
    <w:p w14:paraId="1B2995D6" w14:textId="1BA87545" w:rsidR="005120A8" w:rsidRPr="009772A3" w:rsidRDefault="005120A8"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Organul colegial executiv denumit „Consiliul de </w:t>
      </w:r>
      <w:r w:rsidR="00056B17"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dministrație”;</w:t>
      </w:r>
    </w:p>
    <w:p w14:paraId="2565E3E6" w14:textId="62219AAC" w:rsidR="005120A8" w:rsidRPr="009772A3" w:rsidRDefault="005120A8"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Comisia de cenzori.</w:t>
      </w:r>
    </w:p>
    <w:p w14:paraId="50E4A806" w14:textId="11B52D3A" w:rsidR="005120A8" w:rsidRPr="009772A3" w:rsidRDefault="005120A8" w:rsidP="005120A8">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Atribuțiile și modul de activitate ale organelor de conducere și control sunt determinate de Statut</w:t>
      </w:r>
      <w:r w:rsidR="00056B17" w:rsidRPr="009772A3">
        <w:rPr>
          <w:rFonts w:asciiTheme="majorHAnsi" w:hAnsiTheme="majorHAnsi" w:cstheme="majorHAnsi"/>
          <w:sz w:val="24"/>
          <w:szCs w:val="24"/>
          <w:lang w:val="ro-MD"/>
        </w:rPr>
        <w:t>ul</w:t>
      </w:r>
      <w:r w:rsidRPr="009772A3">
        <w:rPr>
          <w:rFonts w:asciiTheme="majorHAnsi" w:hAnsiTheme="majorHAnsi" w:cstheme="majorHAnsi"/>
          <w:sz w:val="24"/>
          <w:szCs w:val="24"/>
          <w:lang w:val="ro-MD"/>
        </w:rPr>
        <w:t xml:space="preserve"> și de Regulamentele aprobate de Adunare</w:t>
      </w:r>
      <w:r w:rsidR="00056B17" w:rsidRPr="009772A3">
        <w:rPr>
          <w:rFonts w:asciiTheme="majorHAnsi" w:hAnsiTheme="majorHAnsi" w:cstheme="majorHAnsi"/>
          <w:sz w:val="24"/>
          <w:szCs w:val="24"/>
          <w:lang w:val="ro-MD"/>
        </w:rPr>
        <w:t>a generală</w:t>
      </w:r>
      <w:r w:rsidRPr="009772A3">
        <w:rPr>
          <w:rFonts w:asciiTheme="majorHAnsi" w:hAnsiTheme="majorHAnsi" w:cstheme="majorHAnsi"/>
          <w:sz w:val="24"/>
          <w:szCs w:val="24"/>
          <w:lang w:val="ro-MD"/>
        </w:rPr>
        <w:t xml:space="preserve"> sau </w:t>
      </w:r>
      <w:r w:rsidR="00056B17"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Consiliul de </w:t>
      </w:r>
      <w:r w:rsidR="00056B17" w:rsidRPr="009772A3">
        <w:rPr>
          <w:rFonts w:asciiTheme="majorHAnsi" w:hAnsiTheme="majorHAnsi" w:cstheme="majorHAnsi"/>
          <w:sz w:val="24"/>
          <w:szCs w:val="24"/>
          <w:lang w:val="ro-MD"/>
        </w:rPr>
        <w:t>o</w:t>
      </w:r>
      <w:r w:rsidRPr="009772A3">
        <w:rPr>
          <w:rFonts w:asciiTheme="majorHAnsi" w:hAnsiTheme="majorHAnsi" w:cstheme="majorHAnsi"/>
          <w:sz w:val="24"/>
          <w:szCs w:val="24"/>
          <w:lang w:val="ro-MD"/>
        </w:rPr>
        <w:t>bservatori.</w:t>
      </w:r>
    </w:p>
    <w:p w14:paraId="668EBA9D" w14:textId="0920A786" w:rsidR="009A2D9F" w:rsidRPr="009772A3" w:rsidRDefault="009A2D9F" w:rsidP="009A2D9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 urmare a examinării modului de realizare a atribuțiilor principalelor organe de conducere și control al</w:t>
      </w:r>
      <w:r w:rsidR="00056B17"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societății, pentru asigurarea unei guvernanțe corporative, care să conducă la gestionarea companiei, patrimoniului și resurselor financiare în conformitate cu principiile de: i) economicitate, eficacitate şi eficienţă, ii) conformitate cu cadrul normativ şi reglementările interne, iii) siguranţă şi optimizare a activelor şi a pasivelor, și iv) fiabilitate şi integritate a informaţiei financiare şi operaţionale, s-a</w:t>
      </w:r>
      <w:r w:rsidR="00056B17"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 xml:space="preserve"> constatat următoarele:</w:t>
      </w:r>
    </w:p>
    <w:p w14:paraId="1088EEED" w14:textId="7CAF8263" w:rsidR="0087189C" w:rsidRPr="009772A3" w:rsidRDefault="0087189C"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Adunarea </w:t>
      </w:r>
      <w:r w:rsidR="00056B17"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 xml:space="preserve">enerală a </w:t>
      </w:r>
      <w:r w:rsidR="00056B17"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cționarilor </w:t>
      </w:r>
      <w:r w:rsidR="00A70333" w:rsidRPr="009772A3">
        <w:rPr>
          <w:rFonts w:asciiTheme="majorHAnsi" w:hAnsiTheme="majorHAnsi" w:cstheme="majorHAnsi"/>
          <w:sz w:val="24"/>
          <w:szCs w:val="24"/>
          <w:lang w:val="ro-MD"/>
        </w:rPr>
        <w:t>a stabilit</w:t>
      </w:r>
      <w:r w:rsidRPr="009772A3">
        <w:rPr>
          <w:rFonts w:asciiTheme="majorHAnsi" w:hAnsiTheme="majorHAnsi" w:cstheme="majorHAnsi"/>
          <w:sz w:val="24"/>
          <w:szCs w:val="24"/>
          <w:lang w:val="ro-MD"/>
        </w:rPr>
        <w:t xml:space="preserve"> </w:t>
      </w:r>
      <w:r w:rsidR="00A70333" w:rsidRPr="009772A3">
        <w:rPr>
          <w:rFonts w:asciiTheme="majorHAnsi" w:hAnsiTheme="majorHAnsi" w:cstheme="majorHAnsi"/>
          <w:sz w:val="24"/>
          <w:szCs w:val="24"/>
          <w:lang w:val="ro-MD"/>
        </w:rPr>
        <w:t xml:space="preserve">direcția principală de activitate a SA Moldovagaz „efectuarea în termen a plăților pentru gaze, consolidarea stării financiare și asigurarea profitabilității sectorului de gaze”, acest deziderat nu a fost respectat </w:t>
      </w:r>
      <w:r w:rsidR="00335B82" w:rsidRPr="009772A3">
        <w:rPr>
          <w:rFonts w:asciiTheme="majorHAnsi" w:hAnsiTheme="majorHAnsi" w:cstheme="majorHAnsi"/>
          <w:sz w:val="24"/>
          <w:szCs w:val="24"/>
          <w:lang w:val="ro-MD"/>
        </w:rPr>
        <w:t xml:space="preserve">întocmai </w:t>
      </w:r>
      <w:r w:rsidR="006D7506" w:rsidRPr="009772A3">
        <w:rPr>
          <w:rFonts w:asciiTheme="majorHAnsi" w:hAnsiTheme="majorHAnsi" w:cstheme="majorHAnsi"/>
          <w:sz w:val="24"/>
          <w:szCs w:val="24"/>
          <w:lang w:val="ro-MD"/>
        </w:rPr>
        <w:t>pe perioada 1999-2015</w:t>
      </w:r>
      <w:r w:rsidR="009331CE" w:rsidRPr="009772A3">
        <w:rPr>
          <w:rFonts w:asciiTheme="majorHAnsi" w:hAnsiTheme="majorHAnsi" w:cstheme="majorHAnsi"/>
          <w:sz w:val="24"/>
          <w:szCs w:val="24"/>
          <w:lang w:val="ro-MD"/>
        </w:rPr>
        <w:t xml:space="preserve"> </w:t>
      </w:r>
      <w:r w:rsidR="00A70333" w:rsidRPr="009772A3">
        <w:rPr>
          <w:rFonts w:asciiTheme="majorHAnsi" w:hAnsiTheme="majorHAnsi" w:cstheme="majorHAnsi"/>
          <w:sz w:val="24"/>
          <w:szCs w:val="24"/>
          <w:lang w:val="ro-MD"/>
        </w:rPr>
        <w:t>și</w:t>
      </w:r>
      <w:r w:rsidR="009331CE" w:rsidRPr="009772A3">
        <w:rPr>
          <w:rFonts w:asciiTheme="majorHAnsi" w:hAnsiTheme="majorHAnsi" w:cstheme="majorHAnsi"/>
          <w:sz w:val="24"/>
          <w:szCs w:val="24"/>
          <w:lang w:val="ro-MD"/>
        </w:rPr>
        <w:t xml:space="preserve"> până la moment rămâne ne</w:t>
      </w:r>
      <w:r w:rsidR="00A70333" w:rsidRPr="009772A3">
        <w:rPr>
          <w:rFonts w:asciiTheme="majorHAnsi" w:hAnsiTheme="majorHAnsi" w:cstheme="majorHAnsi"/>
          <w:sz w:val="24"/>
          <w:szCs w:val="24"/>
          <w:lang w:val="ro-MD"/>
        </w:rPr>
        <w:t>implementat</w:t>
      </w:r>
      <w:r w:rsidR="009331CE" w:rsidRPr="009772A3">
        <w:rPr>
          <w:rFonts w:asciiTheme="majorHAnsi" w:hAnsiTheme="majorHAnsi" w:cstheme="majorHAnsi"/>
          <w:sz w:val="24"/>
          <w:szCs w:val="24"/>
          <w:lang w:val="ro-MD"/>
        </w:rPr>
        <w:t xml:space="preserve"> pe deplin,</w:t>
      </w:r>
      <w:r w:rsidR="00A70333" w:rsidRPr="009772A3">
        <w:rPr>
          <w:rFonts w:asciiTheme="majorHAnsi" w:hAnsiTheme="majorHAnsi" w:cstheme="majorHAnsi"/>
          <w:sz w:val="24"/>
          <w:szCs w:val="24"/>
          <w:lang w:val="ro-MD"/>
        </w:rPr>
        <w:t xml:space="preserve"> fiind admise acumulări </w:t>
      </w:r>
      <w:r w:rsidR="00CB0AC3" w:rsidRPr="009772A3">
        <w:rPr>
          <w:rFonts w:asciiTheme="majorHAnsi" w:hAnsiTheme="majorHAnsi" w:cstheme="majorHAnsi"/>
          <w:sz w:val="24"/>
          <w:szCs w:val="24"/>
          <w:lang w:val="ro-MD"/>
        </w:rPr>
        <w:t>p</w:t>
      </w:r>
      <w:r w:rsidR="00993E38" w:rsidRPr="009772A3">
        <w:rPr>
          <w:rFonts w:asciiTheme="majorHAnsi" w:hAnsiTheme="majorHAnsi" w:cstheme="majorHAnsi"/>
          <w:sz w:val="24"/>
          <w:szCs w:val="24"/>
          <w:lang w:val="ro-MD"/>
        </w:rPr>
        <w:t>â</w:t>
      </w:r>
      <w:r w:rsidR="00CB0AC3" w:rsidRPr="009772A3">
        <w:rPr>
          <w:rFonts w:asciiTheme="majorHAnsi" w:hAnsiTheme="majorHAnsi" w:cstheme="majorHAnsi"/>
          <w:sz w:val="24"/>
          <w:szCs w:val="24"/>
          <w:lang w:val="ro-MD"/>
        </w:rPr>
        <w:t xml:space="preserve">nă în anul 2016 </w:t>
      </w:r>
      <w:r w:rsidR="00A70333" w:rsidRPr="009772A3">
        <w:rPr>
          <w:rFonts w:asciiTheme="majorHAnsi" w:hAnsiTheme="majorHAnsi" w:cstheme="majorHAnsi"/>
          <w:sz w:val="24"/>
          <w:szCs w:val="24"/>
          <w:lang w:val="ro-MD"/>
        </w:rPr>
        <w:t>de noi datorii;</w:t>
      </w:r>
    </w:p>
    <w:p w14:paraId="204714BA" w14:textId="4893356B" w:rsidR="00EA6AE2" w:rsidRPr="009772A3" w:rsidRDefault="00E554FC"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organele de conducere ale SA Moldovagaz examinează și aprobă direcțiile prioritare de dezvoltare, pentru perioada </w:t>
      </w:r>
      <w:r w:rsidR="00912236">
        <w:rPr>
          <w:rFonts w:asciiTheme="majorHAnsi" w:hAnsiTheme="majorHAnsi" w:cstheme="majorHAnsi"/>
          <w:sz w:val="24"/>
          <w:szCs w:val="24"/>
          <w:lang w:val="ro-MD"/>
        </w:rPr>
        <w:t>verifica</w:t>
      </w:r>
      <w:r w:rsidR="00912236" w:rsidRPr="009772A3">
        <w:rPr>
          <w:rFonts w:asciiTheme="majorHAnsi" w:hAnsiTheme="majorHAnsi" w:cstheme="majorHAnsi"/>
          <w:sz w:val="24"/>
          <w:szCs w:val="24"/>
          <w:lang w:val="ro-MD"/>
        </w:rPr>
        <w:t>tă</w:t>
      </w:r>
      <w:r w:rsidR="008945E1">
        <w:rPr>
          <w:rFonts w:asciiTheme="majorHAnsi" w:hAnsiTheme="majorHAnsi" w:cstheme="majorHAnsi"/>
          <w:sz w:val="24"/>
          <w:szCs w:val="24"/>
          <w:lang w:val="ro-MD"/>
        </w:rPr>
        <w:t>,</w:t>
      </w:r>
      <w:r w:rsidR="00912236" w:rsidRPr="009772A3">
        <w:rPr>
          <w:rFonts w:asciiTheme="majorHAnsi" w:hAnsiTheme="majorHAnsi" w:cstheme="majorHAnsi"/>
          <w:sz w:val="24"/>
          <w:szCs w:val="24"/>
          <w:lang w:val="ro-MD"/>
        </w:rPr>
        <w:t xml:space="preserve"> </w:t>
      </w:r>
      <w:r w:rsidR="00912236">
        <w:rPr>
          <w:rFonts w:asciiTheme="majorHAnsi" w:hAnsiTheme="majorHAnsi" w:cstheme="majorHAnsi"/>
          <w:sz w:val="24"/>
          <w:szCs w:val="24"/>
          <w:lang w:val="ro-MD"/>
        </w:rPr>
        <w:t xml:space="preserve">auditul nu a identificat existența unor </w:t>
      </w:r>
      <w:r w:rsidRPr="009772A3">
        <w:rPr>
          <w:rFonts w:asciiTheme="majorHAnsi" w:hAnsiTheme="majorHAnsi" w:cstheme="majorHAnsi"/>
          <w:sz w:val="24"/>
          <w:szCs w:val="24"/>
          <w:lang w:val="ro-MD"/>
        </w:rPr>
        <w:t xml:space="preserve">decizii </w:t>
      </w:r>
      <w:r w:rsidR="00912236">
        <w:rPr>
          <w:rFonts w:asciiTheme="majorHAnsi" w:hAnsiTheme="majorHAnsi" w:cstheme="majorHAnsi"/>
          <w:sz w:val="24"/>
          <w:szCs w:val="24"/>
          <w:lang w:val="ro-MD"/>
        </w:rPr>
        <w:t>pertinente</w:t>
      </w:r>
      <w:r w:rsidR="00912236" w:rsidRPr="00912236">
        <w:rPr>
          <w:rFonts w:asciiTheme="majorHAnsi" w:hAnsiTheme="majorHAnsi" w:cstheme="majorHAnsi"/>
          <w:sz w:val="24"/>
          <w:szCs w:val="24"/>
          <w:lang w:val="ro-MD"/>
        </w:rPr>
        <w:t xml:space="preserve"> </w:t>
      </w:r>
      <w:r w:rsidR="00912236">
        <w:rPr>
          <w:rFonts w:asciiTheme="majorHAnsi" w:hAnsiTheme="majorHAnsi" w:cstheme="majorHAnsi"/>
          <w:sz w:val="24"/>
          <w:szCs w:val="24"/>
          <w:lang w:val="ro-MD"/>
        </w:rPr>
        <w:t xml:space="preserve">a </w:t>
      </w:r>
      <w:r w:rsidR="00912236" w:rsidRPr="009772A3">
        <w:rPr>
          <w:rFonts w:asciiTheme="majorHAnsi" w:hAnsiTheme="majorHAnsi" w:cstheme="majorHAnsi"/>
          <w:sz w:val="24"/>
          <w:szCs w:val="24"/>
          <w:lang w:val="ro-MD"/>
        </w:rPr>
        <w:t>organel</w:t>
      </w:r>
      <w:r w:rsidR="00912236">
        <w:rPr>
          <w:rFonts w:asciiTheme="majorHAnsi" w:hAnsiTheme="majorHAnsi" w:cstheme="majorHAnsi"/>
          <w:sz w:val="24"/>
          <w:szCs w:val="24"/>
          <w:lang w:val="ro-MD"/>
        </w:rPr>
        <w:t>or</w:t>
      </w:r>
      <w:r w:rsidR="00912236" w:rsidRPr="009772A3">
        <w:rPr>
          <w:rFonts w:asciiTheme="majorHAnsi" w:hAnsiTheme="majorHAnsi" w:cstheme="majorHAnsi"/>
          <w:sz w:val="24"/>
          <w:szCs w:val="24"/>
          <w:lang w:val="ro-MD"/>
        </w:rPr>
        <w:t xml:space="preserve"> de conducere </w:t>
      </w:r>
      <w:r w:rsidR="00912236" w:rsidRPr="009772A3">
        <w:rPr>
          <w:rStyle w:val="FootnoteReference"/>
          <w:sz w:val="24"/>
          <w:szCs w:val="24"/>
          <w:lang w:val="ro-MD"/>
        </w:rPr>
        <w:footnoteReference w:id="197"/>
      </w:r>
      <w:r w:rsidR="00912236">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cu privire la subiecte</w:t>
      </w:r>
      <w:r w:rsidR="00993E38"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sensibile</w:t>
      </w:r>
      <w:r w:rsidR="00993E3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precum sunt: i) investițiile și cheltuielile nejustificate și neacceptate de ANRE spre recuperare prin tarif, ii) achizițiile neconforme și neeficiente identificate de auditul intern și ANRE, și iii) cheltuielile ce nu țin de activitatea de antreprenor, care au fost ajustate în scopuri fiscal</w:t>
      </w:r>
      <w:r w:rsidR="00993E38"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w:t>
      </w:r>
      <w:r w:rsidR="005030F4" w:rsidRPr="009772A3">
        <w:rPr>
          <w:rFonts w:asciiTheme="majorHAnsi" w:hAnsiTheme="majorHAnsi" w:cstheme="majorHAnsi"/>
          <w:sz w:val="24"/>
          <w:szCs w:val="24"/>
          <w:lang w:val="ro-MD"/>
        </w:rPr>
        <w:t xml:space="preserve"> </w:t>
      </w:r>
    </w:p>
    <w:p w14:paraId="0C46F55A" w14:textId="3B6F3780" w:rsidR="005030F4" w:rsidRPr="009772A3" w:rsidRDefault="005030F4"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desi în cadrul societății există direcții strategice privind rambursarea datoriilor SA Moldovagaz față de SA Gazprom, precum și planuri de reorganizare a întreprinderilor de transport și distribuție a gazelor natural</w:t>
      </w:r>
      <w:r w:rsidR="00B746E5"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acestea nu au fost implementate;</w:t>
      </w:r>
    </w:p>
    <w:p w14:paraId="0D8C1860" w14:textId="5BFD8B4F" w:rsidR="0087189C" w:rsidRPr="009772A3" w:rsidRDefault="0087189C"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Guvernul Republicii Moldova, prin intermediul reprezentanților săi în Consiliul de observatori și Consiliul de administrație, are capacitatea de a bloca anumite cheltuieli ineficiente și nejustificate pe care ANRE nu le acceptă spre recuperare prin tarif, </w:t>
      </w:r>
      <w:r w:rsidR="000D157C">
        <w:rPr>
          <w:rFonts w:asciiTheme="majorHAnsi" w:hAnsiTheme="majorHAnsi" w:cstheme="majorHAnsi"/>
          <w:sz w:val="24"/>
          <w:szCs w:val="24"/>
          <w:lang w:val="ro-MD"/>
        </w:rPr>
        <w:t xml:space="preserve">acesta </w:t>
      </w:r>
      <w:r w:rsidRPr="009772A3">
        <w:rPr>
          <w:rFonts w:asciiTheme="majorHAnsi" w:hAnsiTheme="majorHAnsi" w:cstheme="majorHAnsi"/>
          <w:sz w:val="24"/>
          <w:szCs w:val="24"/>
          <w:lang w:val="ro-MD"/>
        </w:rPr>
        <w:t>nu a făcut uz de acest drept. În Procesele</w:t>
      </w:r>
      <w:r w:rsidR="00B746E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verbale ale ședințelor Consiliului de observatori și Consiliului de administrație lipsesc </w:t>
      </w:r>
      <w:r w:rsidR="00B746E5" w:rsidRPr="009772A3">
        <w:rPr>
          <w:rFonts w:asciiTheme="majorHAnsi" w:hAnsiTheme="majorHAnsi" w:cstheme="majorHAnsi"/>
          <w:sz w:val="24"/>
          <w:szCs w:val="24"/>
          <w:lang w:val="ro-MD"/>
        </w:rPr>
        <w:t xml:space="preserve">consemnările </w:t>
      </w:r>
      <w:r w:rsidRPr="009772A3">
        <w:rPr>
          <w:rFonts w:asciiTheme="majorHAnsi" w:hAnsiTheme="majorHAnsi" w:cstheme="majorHAnsi"/>
          <w:sz w:val="24"/>
          <w:szCs w:val="24"/>
          <w:lang w:val="ro-MD"/>
        </w:rPr>
        <w:t xml:space="preserve">privind opiniile separate ale acestora; </w:t>
      </w:r>
    </w:p>
    <w:p w14:paraId="1A0B3BBE" w14:textId="67E8F344" w:rsidR="00BA1A10" w:rsidRPr="009772A3" w:rsidRDefault="00A10D7B"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Consiliul de observatori ia decizii cu privire la crearea, reorganizarea sau dizolvarea societăților dependente, filialelor, reprezentanțelor și sucursalelor, aderarea la întreprinderi mixte, asociații sau alte uniuni, precum și cu privire la modificările și completările introduse în acest sens în Statut, acesta nu a fost implicat în procesul de creare a companiei dependente SRL Transautogaz;</w:t>
      </w:r>
    </w:p>
    <w:p w14:paraId="3C8358B8" w14:textId="6071EB90" w:rsidR="00EF2AE9" w:rsidRPr="009772A3" w:rsidRDefault="008F1B84"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Consiulul de administrație a elaborat și </w:t>
      </w:r>
      <w:r w:rsidR="00B746E5"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aprobat Politic</w:t>
      </w:r>
      <w:r w:rsidR="00B746E5"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de control intern, </w:t>
      </w:r>
      <w:r w:rsidR="000D157C">
        <w:rPr>
          <w:rFonts w:asciiTheme="majorHAnsi" w:hAnsiTheme="majorHAnsi" w:cstheme="majorHAnsi"/>
          <w:sz w:val="24"/>
          <w:szCs w:val="24"/>
          <w:lang w:val="ro-MD"/>
        </w:rPr>
        <w:t xml:space="preserve">acesta </w:t>
      </w:r>
      <w:r w:rsidRPr="009772A3">
        <w:rPr>
          <w:rFonts w:asciiTheme="majorHAnsi" w:hAnsiTheme="majorHAnsi" w:cstheme="majorHAnsi"/>
          <w:sz w:val="24"/>
          <w:szCs w:val="24"/>
          <w:lang w:val="ro-MD"/>
        </w:rPr>
        <w:t>nu a asigurat implementarea conformă a acesteia, prin identificarea riscurilor în activitate, inclusiv a riscului de fraudă, precum și nu a stabilit măsurile de atenuare a acestora</w:t>
      </w:r>
      <w:r w:rsidR="00EF2AE9" w:rsidRPr="009772A3">
        <w:rPr>
          <w:rFonts w:asciiTheme="majorHAnsi" w:hAnsiTheme="majorHAnsi" w:cstheme="majorHAnsi"/>
          <w:sz w:val="24"/>
          <w:szCs w:val="24"/>
          <w:lang w:val="ro-MD"/>
        </w:rPr>
        <w:t>. De menționat că</w:t>
      </w:r>
      <w:r w:rsidR="00B746E5" w:rsidRPr="009772A3">
        <w:rPr>
          <w:rFonts w:asciiTheme="majorHAnsi" w:hAnsiTheme="majorHAnsi" w:cstheme="majorHAnsi"/>
          <w:sz w:val="24"/>
          <w:szCs w:val="24"/>
          <w:lang w:val="ro-MD"/>
        </w:rPr>
        <w:t>,</w:t>
      </w:r>
      <w:r w:rsidR="00EF2AE9" w:rsidRPr="009772A3">
        <w:rPr>
          <w:rFonts w:asciiTheme="majorHAnsi" w:hAnsiTheme="majorHAnsi" w:cstheme="majorHAnsi"/>
          <w:sz w:val="24"/>
          <w:szCs w:val="24"/>
          <w:lang w:val="ro-MD"/>
        </w:rPr>
        <w:t xml:space="preserve"> în pofida faptului că în cadrul SA Moldovagaz a fost instituită Comisi</w:t>
      </w:r>
      <w:r w:rsidR="00B746E5" w:rsidRPr="009772A3">
        <w:rPr>
          <w:rFonts w:asciiTheme="majorHAnsi" w:hAnsiTheme="majorHAnsi" w:cstheme="majorHAnsi"/>
          <w:sz w:val="24"/>
          <w:szCs w:val="24"/>
          <w:lang w:val="ro-MD"/>
        </w:rPr>
        <w:t>a</w:t>
      </w:r>
      <w:r w:rsidR="00EF2AE9" w:rsidRPr="009772A3">
        <w:rPr>
          <w:rFonts w:asciiTheme="majorHAnsi" w:hAnsiTheme="majorHAnsi" w:cstheme="majorHAnsi"/>
          <w:sz w:val="24"/>
          <w:szCs w:val="24"/>
          <w:lang w:val="ro-MD"/>
        </w:rPr>
        <w:t xml:space="preserve"> privind organizarea sistemului de management intern al riscurilor, formată dintr-un președinte și 10 membri din cadrul societății, se denotă că, din anul 2016</w:t>
      </w:r>
      <w:r w:rsidR="00B746E5" w:rsidRPr="009772A3">
        <w:rPr>
          <w:rFonts w:asciiTheme="majorHAnsi" w:hAnsiTheme="majorHAnsi" w:cstheme="majorHAnsi"/>
          <w:sz w:val="24"/>
          <w:szCs w:val="24"/>
          <w:lang w:val="ro-MD"/>
        </w:rPr>
        <w:t>,</w:t>
      </w:r>
      <w:r w:rsidR="00EF2AE9" w:rsidRPr="009772A3">
        <w:rPr>
          <w:rFonts w:asciiTheme="majorHAnsi" w:hAnsiTheme="majorHAnsi" w:cstheme="majorHAnsi"/>
          <w:sz w:val="24"/>
          <w:szCs w:val="24"/>
          <w:lang w:val="ro-MD"/>
        </w:rPr>
        <w:t xml:space="preserve"> comisia este nefuncțională, iar din componența acesteia 7 persoane, sau circa 65%</w:t>
      </w:r>
      <w:r w:rsidR="00B746E5" w:rsidRPr="009772A3">
        <w:rPr>
          <w:rFonts w:asciiTheme="majorHAnsi" w:hAnsiTheme="majorHAnsi" w:cstheme="majorHAnsi"/>
          <w:sz w:val="24"/>
          <w:szCs w:val="24"/>
          <w:lang w:val="ro-MD"/>
        </w:rPr>
        <w:t>,</w:t>
      </w:r>
      <w:r w:rsidR="00EF2AE9" w:rsidRPr="009772A3">
        <w:rPr>
          <w:rFonts w:asciiTheme="majorHAnsi" w:hAnsiTheme="majorHAnsi" w:cstheme="majorHAnsi"/>
          <w:sz w:val="24"/>
          <w:szCs w:val="24"/>
          <w:lang w:val="ro-MD"/>
        </w:rPr>
        <w:t xml:space="preserve"> nu mai activează în cadrul SA Moldovagaz</w:t>
      </w:r>
      <w:r w:rsidR="00B746E5" w:rsidRPr="009772A3">
        <w:rPr>
          <w:rFonts w:asciiTheme="majorHAnsi" w:hAnsiTheme="majorHAnsi" w:cstheme="majorHAnsi"/>
          <w:sz w:val="24"/>
          <w:szCs w:val="24"/>
          <w:lang w:val="ro-MD"/>
        </w:rPr>
        <w:t>;</w:t>
      </w:r>
      <w:r w:rsidR="00EF2AE9" w:rsidRPr="009772A3">
        <w:rPr>
          <w:rFonts w:asciiTheme="majorHAnsi" w:hAnsiTheme="majorHAnsi" w:cstheme="majorHAnsi"/>
          <w:sz w:val="24"/>
          <w:szCs w:val="24"/>
          <w:lang w:val="ro-MD"/>
        </w:rPr>
        <w:t xml:space="preserve"> </w:t>
      </w:r>
    </w:p>
    <w:p w14:paraId="514582B3" w14:textId="5BCED191" w:rsidR="00A10D7B" w:rsidRPr="009772A3" w:rsidRDefault="00A10D7B"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5142F3">
        <w:rPr>
          <w:rFonts w:asciiTheme="majorHAnsi" w:hAnsiTheme="majorHAnsi" w:cstheme="majorHAnsi"/>
          <w:sz w:val="24"/>
          <w:szCs w:val="24"/>
          <w:lang w:val="ro-MD"/>
        </w:rPr>
        <w:t xml:space="preserve">deși Consiliul de </w:t>
      </w:r>
      <w:r w:rsidR="0051421F" w:rsidRPr="005142F3">
        <w:rPr>
          <w:rFonts w:asciiTheme="majorHAnsi" w:hAnsiTheme="majorHAnsi" w:cstheme="majorHAnsi"/>
          <w:sz w:val="24"/>
          <w:szCs w:val="24"/>
          <w:lang w:val="ro-MD"/>
        </w:rPr>
        <w:t xml:space="preserve">administrație </w:t>
      </w:r>
      <w:r w:rsidRPr="005142F3">
        <w:rPr>
          <w:rFonts w:asciiTheme="majorHAnsi" w:hAnsiTheme="majorHAnsi" w:cstheme="majorHAnsi"/>
          <w:sz w:val="24"/>
          <w:szCs w:val="24"/>
          <w:lang w:val="ro-MD"/>
        </w:rPr>
        <w:t>nu</w:t>
      </w:r>
      <w:r w:rsidRPr="009772A3">
        <w:rPr>
          <w:rFonts w:asciiTheme="majorHAnsi" w:hAnsiTheme="majorHAnsi" w:cstheme="majorHAnsi"/>
          <w:sz w:val="24"/>
          <w:szCs w:val="24"/>
          <w:lang w:val="ro-MD"/>
        </w:rPr>
        <w:t>mește și revocă conducătorii întreprinderilor din regiunea Transnistriană, SA Moldovagaz comunică că nu controlează patrimoniul și activitatea acestor întreprinderi, informațiile financiare ale acestora nefiind consolidate în situațiile financiare consolidate ale societății;</w:t>
      </w:r>
    </w:p>
    <w:p w14:paraId="35DA1F33" w14:textId="1339BE3C" w:rsidR="008F1B84" w:rsidRPr="009772A3" w:rsidRDefault="008F1B84"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deși, conform Legii cu privire la societățile </w:t>
      </w:r>
      <w:r w:rsidR="00583639" w:rsidRPr="009772A3">
        <w:rPr>
          <w:rFonts w:asciiTheme="majorHAnsi" w:hAnsiTheme="majorHAnsi" w:cstheme="majorHAnsi"/>
          <w:sz w:val="24"/>
          <w:szCs w:val="24"/>
          <w:lang w:val="ro-MD"/>
        </w:rPr>
        <w:t xml:space="preserve">pe </w:t>
      </w:r>
      <w:r w:rsidRPr="009772A3">
        <w:rPr>
          <w:rFonts w:asciiTheme="majorHAnsi" w:hAnsiTheme="majorHAnsi" w:cstheme="majorHAnsi"/>
          <w:sz w:val="24"/>
          <w:szCs w:val="24"/>
          <w:lang w:val="ro-MD"/>
        </w:rPr>
        <w:t>acțiuni</w:t>
      </w:r>
      <w:r w:rsidRPr="009772A3">
        <w:rPr>
          <w:rFonts w:asciiTheme="majorHAnsi" w:hAnsiTheme="majorHAnsi" w:cstheme="majorHAnsi"/>
          <w:sz w:val="24"/>
          <w:szCs w:val="24"/>
          <w:vertAlign w:val="superscript"/>
          <w:lang w:val="ro-MD"/>
        </w:rPr>
        <w:footnoteReference w:id="198"/>
      </w:r>
      <w:r w:rsidRPr="009772A3">
        <w:rPr>
          <w:rFonts w:asciiTheme="majorHAnsi" w:hAnsiTheme="majorHAnsi" w:cstheme="majorHAnsi"/>
          <w:sz w:val="24"/>
          <w:szCs w:val="24"/>
          <w:lang w:val="ro-MD"/>
        </w:rPr>
        <w:t xml:space="preserve">, Comisia de cenzori a societăţii exercită controlul obligatoriu al activităţii economico-financiare a societății, se constată că în perioada auditată Comisia nu </w:t>
      </w:r>
      <w:r w:rsidR="004D7BCA" w:rsidRPr="009772A3">
        <w:rPr>
          <w:rFonts w:asciiTheme="majorHAnsi" w:hAnsiTheme="majorHAnsi" w:cstheme="majorHAnsi"/>
          <w:sz w:val="24"/>
          <w:szCs w:val="24"/>
          <w:lang w:val="ro-MD"/>
        </w:rPr>
        <w:t>a abordat în rapoartele sale și alte probleme/informații dec</w:t>
      </w:r>
      <w:r w:rsidR="00034FD5" w:rsidRPr="009772A3">
        <w:rPr>
          <w:rFonts w:asciiTheme="majorHAnsi" w:hAnsiTheme="majorHAnsi" w:cstheme="majorHAnsi"/>
          <w:sz w:val="24"/>
          <w:szCs w:val="24"/>
          <w:lang w:val="ro-MD"/>
        </w:rPr>
        <w:t>â</w:t>
      </w:r>
      <w:r w:rsidR="004D7BCA" w:rsidRPr="009772A3">
        <w:rPr>
          <w:rFonts w:asciiTheme="majorHAnsi" w:hAnsiTheme="majorHAnsi" w:cstheme="majorHAnsi"/>
          <w:sz w:val="24"/>
          <w:szCs w:val="24"/>
          <w:lang w:val="ro-MD"/>
        </w:rPr>
        <w:t>t cele indicate în</w:t>
      </w:r>
      <w:r w:rsidRPr="009772A3">
        <w:rPr>
          <w:rFonts w:asciiTheme="majorHAnsi" w:hAnsiTheme="majorHAnsi" w:cstheme="majorHAnsi"/>
          <w:sz w:val="24"/>
          <w:szCs w:val="24"/>
          <w:lang w:val="ro-MD"/>
        </w:rPr>
        <w:t xml:space="preserve"> raportul narativ aferent situațiilor financiare anuale, încheiate și raportate Adunării </w:t>
      </w:r>
      <w:r w:rsidR="00034FD5"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enerale a</w:t>
      </w:r>
      <w:r w:rsidR="0036144C" w:rsidRPr="009772A3">
        <w:rPr>
          <w:rFonts w:asciiTheme="majorHAnsi" w:hAnsiTheme="majorHAnsi" w:cstheme="majorHAnsi"/>
          <w:sz w:val="24"/>
          <w:szCs w:val="24"/>
          <w:lang w:val="ro-MD"/>
        </w:rPr>
        <w:t xml:space="preserve"> </w:t>
      </w:r>
      <w:r w:rsidR="00034FD5" w:rsidRPr="009772A3">
        <w:rPr>
          <w:rFonts w:asciiTheme="majorHAnsi" w:hAnsiTheme="majorHAnsi" w:cstheme="majorHAnsi"/>
          <w:sz w:val="24"/>
          <w:szCs w:val="24"/>
          <w:lang w:val="ro-MD"/>
        </w:rPr>
        <w:t>a</w:t>
      </w:r>
      <w:r w:rsidR="0036144C" w:rsidRPr="009772A3">
        <w:rPr>
          <w:rFonts w:asciiTheme="majorHAnsi" w:hAnsiTheme="majorHAnsi" w:cstheme="majorHAnsi"/>
          <w:sz w:val="24"/>
          <w:szCs w:val="24"/>
          <w:lang w:val="ro-MD"/>
        </w:rPr>
        <w:t>cționarilor;</w:t>
      </w:r>
    </w:p>
    <w:p w14:paraId="514CAA81" w14:textId="2943B853" w:rsidR="0036144C" w:rsidRPr="009772A3" w:rsidRDefault="0036144C" w:rsidP="005B76E2">
      <w:pPr>
        <w:pStyle w:val="ListParagraph"/>
        <w:numPr>
          <w:ilvl w:val="0"/>
          <w:numId w:val="17"/>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directorii întreprinderilor</w:t>
      </w:r>
      <w:r w:rsidR="00034FD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fiice nu au asigurat implementarea deplină a recomandărilor înaintate de auditul extern și </w:t>
      </w:r>
      <w:r w:rsidR="00034FD5" w:rsidRPr="009772A3">
        <w:rPr>
          <w:rFonts w:asciiTheme="majorHAnsi" w:hAnsiTheme="majorHAnsi" w:cstheme="majorHAnsi"/>
          <w:sz w:val="24"/>
          <w:szCs w:val="24"/>
          <w:lang w:val="ro-MD"/>
        </w:rPr>
        <w:t xml:space="preserve">cel </w:t>
      </w:r>
      <w:r w:rsidRPr="009772A3">
        <w:rPr>
          <w:rFonts w:asciiTheme="majorHAnsi" w:hAnsiTheme="majorHAnsi" w:cstheme="majorHAnsi"/>
          <w:sz w:val="24"/>
          <w:szCs w:val="24"/>
          <w:lang w:val="ro-MD"/>
        </w:rPr>
        <w:t>intern, nefiind astfel consolidate procesele și sistemele de gestiune a patrimoniului administrat, inclusiv a veniturilor și cheltuielilor aferente.</w:t>
      </w:r>
    </w:p>
    <w:p w14:paraId="4B0AF297" w14:textId="2603084B" w:rsidR="00A453B9" w:rsidRPr="009772A3" w:rsidRDefault="00A453B9" w:rsidP="00A453B9">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Aceste lacune au perturbat eficacitatea activităților de control (procesele de luare a deciziilor, de autorizare și aprobare, verificare, supraveghere și documentare) menite să asigure implementarea scopurilor, direcțiilor principale de dezvoltare și, ca rezultat</w:t>
      </w:r>
      <w:r w:rsidR="00034FD5" w:rsidRPr="009772A3">
        <w:rPr>
          <w:rFonts w:asciiTheme="majorHAnsi" w:hAnsiTheme="majorHAnsi" w:cstheme="majorHAnsi"/>
          <w:sz w:val="24"/>
          <w:szCs w:val="24"/>
          <w:vertAlign w:val="baseline"/>
          <w:lang w:val="ro-MD"/>
        </w:rPr>
        <w:t>,</w:t>
      </w:r>
      <w:r w:rsidRPr="009772A3">
        <w:rPr>
          <w:rFonts w:asciiTheme="majorHAnsi" w:hAnsiTheme="majorHAnsi" w:cstheme="majorHAnsi"/>
          <w:sz w:val="24"/>
          <w:szCs w:val="24"/>
          <w:vertAlign w:val="baseline"/>
          <w:lang w:val="ro-MD"/>
        </w:rPr>
        <w:t xml:space="preserve"> gestionarea conformă a patrimoniului și resurselor financiare de către SA Moldovagaz și companiile sale afiliate, aspecte identificate și expuse în capitolele anterioare din prezentul Raport.</w:t>
      </w:r>
    </w:p>
    <w:p w14:paraId="2ED4FABE" w14:textId="72286BDE" w:rsidR="00FD1AA6" w:rsidRPr="009772A3" w:rsidRDefault="00FD1AA6" w:rsidP="000D157C">
      <w:pPr>
        <w:pStyle w:val="Heading1"/>
        <w:numPr>
          <w:ilvl w:val="2"/>
          <w:numId w:val="2"/>
        </w:numPr>
        <w:spacing w:line="276" w:lineRule="auto"/>
        <w:ind w:left="0" w:firstLine="0"/>
        <w:jc w:val="both"/>
        <w:rPr>
          <w:color w:val="auto"/>
          <w:lang w:val="ro-MD"/>
        </w:rPr>
      </w:pPr>
      <w:bookmarkStart w:id="250" w:name="_Toc119496473"/>
      <w:r w:rsidRPr="009772A3">
        <w:rPr>
          <w:color w:val="auto"/>
          <w:lang w:val="ro-MD"/>
        </w:rPr>
        <w:t xml:space="preserve">Decizia Consiliului de administrație al SA Moldovagaz cu privire la fondarea companiei afiliate SRL Transautogaz a eludat împuternicirile delegate </w:t>
      </w:r>
      <w:r w:rsidR="000D157C" w:rsidRPr="000D157C">
        <w:rPr>
          <w:color w:val="auto"/>
          <w:lang w:val="ro-MD"/>
        </w:rPr>
        <w:t xml:space="preserve">Consiliului de observatori </w:t>
      </w:r>
      <w:r w:rsidRPr="009772A3">
        <w:rPr>
          <w:color w:val="auto"/>
          <w:lang w:val="ro-MD"/>
        </w:rPr>
        <w:t>.</w:t>
      </w:r>
      <w:bookmarkEnd w:id="250"/>
    </w:p>
    <w:p w14:paraId="1395FA97" w14:textId="04D7E7A2" w:rsidR="00BC430D" w:rsidRPr="009772A3" w:rsidRDefault="00BC430D" w:rsidP="00BC430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scopul aprovizionării consumatorilor din zona sa de activitate cu gaz</w:t>
      </w:r>
      <w:r w:rsidR="00C42E3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natural</w:t>
      </w:r>
      <w:r w:rsidR="00C42E3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comprimat</w:t>
      </w:r>
      <w:r w:rsidR="00C42E3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și lichefiat</w:t>
      </w:r>
      <w:r w:rsidR="00C42E3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exploat</w:t>
      </w:r>
      <w:r w:rsidR="00AF3F8A"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r</w:t>
      </w:r>
      <w:r w:rsidR="00AF3F8A" w:rsidRPr="009772A3">
        <w:rPr>
          <w:rFonts w:asciiTheme="majorHAnsi" w:hAnsiTheme="majorHAnsi" w:cstheme="majorHAnsi"/>
          <w:sz w:val="24"/>
          <w:szCs w:val="24"/>
          <w:lang w:val="ro-MD"/>
        </w:rPr>
        <w:t>ii</w:t>
      </w:r>
      <w:r w:rsidRPr="009772A3">
        <w:rPr>
          <w:rFonts w:asciiTheme="majorHAnsi" w:hAnsiTheme="majorHAnsi" w:cstheme="majorHAnsi"/>
          <w:sz w:val="24"/>
          <w:szCs w:val="24"/>
          <w:lang w:val="ro-MD"/>
        </w:rPr>
        <w:t xml:space="preserve"> sigur</w:t>
      </w:r>
      <w:r w:rsidR="00C42E3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a stațiilor de alimentare cu gaze naturale comprimate</w:t>
      </w:r>
      <w:r w:rsidR="00AD4E8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baza unei activități financiar</w:t>
      </w:r>
      <w:r w:rsidR="00C42E3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economic</w:t>
      </w:r>
      <w:r w:rsidR="00C42E3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eficiente și profitabile, Consiliul de administrație al SA Moldovagaz a decis</w:t>
      </w:r>
      <w:r w:rsidRPr="009772A3">
        <w:rPr>
          <w:rStyle w:val="FootnoteReference"/>
          <w:rFonts w:asciiTheme="majorHAnsi" w:hAnsiTheme="majorHAnsi" w:cstheme="majorHAnsi"/>
          <w:sz w:val="24"/>
          <w:szCs w:val="24"/>
          <w:lang w:val="ro-MD"/>
        </w:rPr>
        <w:footnoteReference w:id="199"/>
      </w:r>
      <w:r w:rsidRPr="009772A3">
        <w:rPr>
          <w:rFonts w:asciiTheme="majorHAnsi" w:hAnsiTheme="majorHAnsi" w:cstheme="majorHAnsi"/>
          <w:sz w:val="24"/>
          <w:szCs w:val="24"/>
          <w:lang w:val="ro-MD"/>
        </w:rPr>
        <w:t xml:space="preserve"> crearea unei societăți comerciale separate, în subordinea SRL Moldovatransgaz, care să asigure activitatea menționată prin intermediul stațiilor de alimentare specializate.</w:t>
      </w:r>
    </w:p>
    <w:p w14:paraId="7BBB40A1" w14:textId="011554CB" w:rsidR="00BC430D" w:rsidRPr="009772A3" w:rsidRDefault="00BC430D" w:rsidP="00BC430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potrivit Statutului SA Moldovagaz</w:t>
      </w:r>
      <w:r w:rsidRPr="009772A3">
        <w:rPr>
          <w:rStyle w:val="FootnoteReference"/>
          <w:rFonts w:asciiTheme="majorHAnsi" w:hAnsiTheme="majorHAnsi" w:cstheme="majorHAnsi"/>
          <w:sz w:val="24"/>
          <w:szCs w:val="24"/>
          <w:lang w:val="ro-MD"/>
        </w:rPr>
        <w:footnoteReference w:id="200"/>
      </w:r>
      <w:r w:rsidRPr="009772A3">
        <w:rPr>
          <w:rFonts w:asciiTheme="majorHAnsi" w:hAnsiTheme="majorHAnsi" w:cstheme="majorHAnsi"/>
          <w:sz w:val="24"/>
          <w:szCs w:val="24"/>
          <w:lang w:val="ro-MD"/>
        </w:rPr>
        <w:t xml:space="preserve">, Adunarea </w:t>
      </w:r>
      <w:r w:rsidR="00AD4E83" w:rsidRPr="009772A3">
        <w:rPr>
          <w:rFonts w:asciiTheme="majorHAnsi" w:hAnsiTheme="majorHAnsi" w:cstheme="majorHAnsi"/>
          <w:sz w:val="24"/>
          <w:szCs w:val="24"/>
          <w:lang w:val="ro-MD"/>
        </w:rPr>
        <w:t>g</w:t>
      </w:r>
      <w:r w:rsidRPr="009772A3">
        <w:rPr>
          <w:rFonts w:asciiTheme="majorHAnsi" w:hAnsiTheme="majorHAnsi" w:cstheme="majorHAnsi"/>
          <w:sz w:val="24"/>
          <w:szCs w:val="24"/>
          <w:lang w:val="ro-MD"/>
        </w:rPr>
        <w:t xml:space="preserve">enerală a </w:t>
      </w:r>
      <w:r w:rsidR="00AD4E83"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cționarilor a atribuit Consiliului de observatori al societății atribuțiile: i) de a lua decizii cu privire la crearea, reorganizarea sau dizolvarea societăților dependente, filialelor, reprezentanțelor și sucursalelor, aderarea la întreprinderi mixte, asociații sau alte uniuni, precum și cu privire la modificările și completările introduse în acest sens în Statut, ii) de a numi sau revoca conducătorii filialelor și reprezentanțelor, precum și iii) </w:t>
      </w:r>
      <w:r w:rsidR="00AD4E83" w:rsidRPr="009772A3">
        <w:rPr>
          <w:rFonts w:asciiTheme="majorHAnsi" w:hAnsiTheme="majorHAnsi" w:cstheme="majorHAnsi"/>
          <w:sz w:val="24"/>
          <w:szCs w:val="24"/>
          <w:lang w:val="ro-MD"/>
        </w:rPr>
        <w:t xml:space="preserve">de a </w:t>
      </w:r>
      <w:r w:rsidRPr="009772A3">
        <w:rPr>
          <w:rFonts w:asciiTheme="majorHAnsi" w:hAnsiTheme="majorHAnsi" w:cstheme="majorHAnsi"/>
          <w:sz w:val="24"/>
          <w:szCs w:val="24"/>
          <w:lang w:val="ro-MD"/>
        </w:rPr>
        <w:t>aproba statutele societăților dependente, probele colectate de audit denotă că</w:t>
      </w:r>
      <w:r w:rsidR="00AD4E8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contrar prevederilor menționate, în lipsa unor coordonări și decizii ale organului de conducere competent, Consiliul de administrație, în lipsa î</w:t>
      </w:r>
      <w:r w:rsidR="004F59D7" w:rsidRPr="009772A3">
        <w:rPr>
          <w:rFonts w:asciiTheme="majorHAnsi" w:hAnsiTheme="majorHAnsi" w:cstheme="majorHAnsi"/>
          <w:sz w:val="24"/>
          <w:szCs w:val="24"/>
          <w:lang w:val="ro-MD"/>
        </w:rPr>
        <w:t>mputernicirilor de rigoare</w:t>
      </w:r>
      <w:r w:rsidRPr="009772A3">
        <w:rPr>
          <w:rFonts w:asciiTheme="majorHAnsi" w:hAnsiTheme="majorHAnsi" w:cstheme="majorHAnsi"/>
          <w:sz w:val="24"/>
          <w:szCs w:val="24"/>
          <w:lang w:val="ro-MD"/>
        </w:rPr>
        <w:t xml:space="preserve"> a hotărât crearea SRL Transautogaz, a aprobat Statutul societății comerciale și a numit conducătorul acesteia.</w:t>
      </w:r>
    </w:p>
    <w:p w14:paraId="59AB4F28" w14:textId="2A62B01C" w:rsidR="00BC430D" w:rsidRPr="009772A3" w:rsidRDefault="00BC430D" w:rsidP="00BC430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De menționat că asumarea de către Consiliul de administrație al SA Moldovagaz a unor decizii care eludează prevederile Statutului și împuternicirile delegate prin acest act normativ, generează riscuri de gestionare netransparentă și neconformă </w:t>
      </w:r>
      <w:r w:rsidR="0059451D"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patrimoniului transmis în gestiune.</w:t>
      </w:r>
    </w:p>
    <w:p w14:paraId="2FF4ED35" w14:textId="4912E45F" w:rsidR="008E6581" w:rsidRPr="009772A3" w:rsidRDefault="008E6581" w:rsidP="00BC430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Mai mult decât atât, </w:t>
      </w:r>
      <w:r w:rsidR="007A30FC" w:rsidRPr="009772A3">
        <w:rPr>
          <w:rFonts w:asciiTheme="majorHAnsi" w:hAnsiTheme="majorHAnsi" w:cstheme="majorHAnsi"/>
          <w:sz w:val="24"/>
          <w:szCs w:val="24"/>
          <w:lang w:val="ro-MD"/>
        </w:rPr>
        <w:t xml:space="preserve">auditul a constatat că SA Moldovagaz nu a avut o abordare consecvență în ceea ce privește activitatea operațională a SRL Transautogaz. Deși în anul 2020 </w:t>
      </w:r>
      <w:r w:rsidR="001038C7" w:rsidRPr="009772A3">
        <w:rPr>
          <w:rFonts w:asciiTheme="majorHAnsi" w:hAnsiTheme="majorHAnsi" w:cstheme="majorHAnsi"/>
          <w:sz w:val="24"/>
          <w:szCs w:val="24"/>
          <w:lang w:val="ro-MD"/>
        </w:rPr>
        <w:t>s-</w:t>
      </w:r>
      <w:r w:rsidR="007A30FC" w:rsidRPr="009772A3">
        <w:rPr>
          <w:rFonts w:asciiTheme="majorHAnsi" w:hAnsiTheme="majorHAnsi" w:cstheme="majorHAnsi"/>
          <w:sz w:val="24"/>
          <w:szCs w:val="24"/>
          <w:lang w:val="ro-MD"/>
        </w:rPr>
        <w:t xml:space="preserve">a decis obținerea unor licențe pentru furnizarea gazelor naturale la tarife </w:t>
      </w:r>
      <w:r w:rsidR="000431F6" w:rsidRPr="009772A3">
        <w:rPr>
          <w:rFonts w:asciiTheme="majorHAnsi" w:hAnsiTheme="majorHAnsi" w:cstheme="majorHAnsi"/>
          <w:sz w:val="24"/>
          <w:szCs w:val="24"/>
          <w:lang w:val="ro-MD"/>
        </w:rPr>
        <w:t>ne</w:t>
      </w:r>
      <w:r w:rsidR="007A30FC" w:rsidRPr="009772A3">
        <w:rPr>
          <w:rFonts w:asciiTheme="majorHAnsi" w:hAnsiTheme="majorHAnsi" w:cstheme="majorHAnsi"/>
          <w:sz w:val="24"/>
          <w:szCs w:val="24"/>
          <w:lang w:val="ro-MD"/>
        </w:rPr>
        <w:t>reglementate și pentru furnizarea energiei electrice consumatorilor non-casnici din Republica Moldova, astfel de activități economice</w:t>
      </w:r>
      <w:r w:rsidR="001038C7" w:rsidRPr="009772A3">
        <w:rPr>
          <w:rFonts w:asciiTheme="majorHAnsi" w:hAnsiTheme="majorHAnsi" w:cstheme="majorHAnsi"/>
          <w:sz w:val="24"/>
          <w:szCs w:val="24"/>
          <w:lang w:val="ro-MD"/>
        </w:rPr>
        <w:t xml:space="preserve"> practic nu au fost realizate</w:t>
      </w:r>
      <w:r w:rsidR="007A30FC" w:rsidRPr="009772A3">
        <w:rPr>
          <w:rFonts w:asciiTheme="majorHAnsi" w:hAnsiTheme="majorHAnsi" w:cstheme="majorHAnsi"/>
          <w:sz w:val="24"/>
          <w:szCs w:val="24"/>
          <w:lang w:val="ro-MD"/>
        </w:rPr>
        <w:t>. Dacă pentru prima licență SRL Transautogaz a efectuat unele tranzacții de v</w:t>
      </w:r>
      <w:r w:rsidR="000E0757" w:rsidRPr="009772A3">
        <w:rPr>
          <w:rFonts w:asciiTheme="majorHAnsi" w:hAnsiTheme="majorHAnsi" w:cstheme="majorHAnsi"/>
          <w:sz w:val="24"/>
          <w:szCs w:val="24"/>
          <w:lang w:val="ro-MD"/>
        </w:rPr>
        <w:t>â</w:t>
      </w:r>
      <w:r w:rsidR="007A30FC" w:rsidRPr="009772A3">
        <w:rPr>
          <w:rFonts w:asciiTheme="majorHAnsi" w:hAnsiTheme="majorHAnsi" w:cstheme="majorHAnsi"/>
          <w:sz w:val="24"/>
          <w:szCs w:val="24"/>
          <w:lang w:val="ro-MD"/>
        </w:rPr>
        <w:t>nzare a gazelor naturale, atunci pentru a doua nu a efectuat nicio activitate.</w:t>
      </w:r>
      <w:r w:rsidR="000C08F1" w:rsidRPr="009772A3">
        <w:rPr>
          <w:rFonts w:asciiTheme="majorHAnsi" w:hAnsiTheme="majorHAnsi" w:cstheme="majorHAnsi"/>
          <w:sz w:val="24"/>
          <w:szCs w:val="24"/>
          <w:lang w:val="ro-MD"/>
        </w:rPr>
        <w:t xml:space="preserve"> Activitatea de furnizarea a gazelor naturale a fost desfășurată de SRL Transautogaz doar pe parcursul unui an</w:t>
      </w:r>
      <w:r w:rsidR="000E0757" w:rsidRPr="009772A3">
        <w:rPr>
          <w:rFonts w:asciiTheme="majorHAnsi" w:hAnsiTheme="majorHAnsi" w:cstheme="majorHAnsi"/>
          <w:sz w:val="24"/>
          <w:szCs w:val="24"/>
          <w:lang w:val="ro-MD"/>
        </w:rPr>
        <w:t>:</w:t>
      </w:r>
      <w:r w:rsidR="000C08F1" w:rsidRPr="009772A3">
        <w:rPr>
          <w:rFonts w:asciiTheme="majorHAnsi" w:hAnsiTheme="majorHAnsi" w:cstheme="majorHAnsi"/>
          <w:sz w:val="24"/>
          <w:szCs w:val="24"/>
          <w:lang w:val="ro-MD"/>
        </w:rPr>
        <w:t xml:space="preserve"> trimestrul IV 2020 – trimestrele I </w:t>
      </w:r>
      <w:r w:rsidR="000D157C">
        <w:rPr>
          <w:rFonts w:asciiTheme="majorHAnsi" w:hAnsiTheme="majorHAnsi" w:cstheme="majorHAnsi"/>
          <w:sz w:val="24"/>
          <w:szCs w:val="24"/>
          <w:lang w:val="ro-MD"/>
        </w:rPr>
        <w:t>-</w:t>
      </w:r>
      <w:r w:rsidR="000D157C" w:rsidRPr="009772A3">
        <w:rPr>
          <w:rFonts w:asciiTheme="majorHAnsi" w:hAnsiTheme="majorHAnsi" w:cstheme="majorHAnsi"/>
          <w:sz w:val="24"/>
          <w:szCs w:val="24"/>
          <w:lang w:val="ro-MD"/>
        </w:rPr>
        <w:t xml:space="preserve"> </w:t>
      </w:r>
      <w:r w:rsidR="000C08F1" w:rsidRPr="009772A3">
        <w:rPr>
          <w:rFonts w:asciiTheme="majorHAnsi" w:hAnsiTheme="majorHAnsi" w:cstheme="majorHAnsi"/>
          <w:sz w:val="24"/>
          <w:szCs w:val="24"/>
          <w:lang w:val="ro-MD"/>
        </w:rPr>
        <w:t>III 2021.</w:t>
      </w:r>
    </w:p>
    <w:p w14:paraId="23BD9EEB" w14:textId="0E2B926E" w:rsidR="008760F7" w:rsidRPr="009772A3" w:rsidRDefault="008760F7" w:rsidP="00BC430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Totodată, </w:t>
      </w:r>
      <w:r w:rsidR="008E6581" w:rsidRPr="009772A3">
        <w:rPr>
          <w:rFonts w:asciiTheme="majorHAnsi" w:hAnsiTheme="majorHAnsi" w:cstheme="majorHAnsi"/>
          <w:sz w:val="24"/>
          <w:szCs w:val="24"/>
          <w:lang w:val="ro-MD"/>
        </w:rPr>
        <w:t xml:space="preserve">examinările de audit au atestat </w:t>
      </w:r>
      <w:r w:rsidRPr="009772A3">
        <w:rPr>
          <w:rFonts w:asciiTheme="majorHAnsi" w:hAnsiTheme="majorHAnsi" w:cstheme="majorHAnsi"/>
          <w:sz w:val="24"/>
          <w:szCs w:val="24"/>
          <w:lang w:val="ro-MD"/>
        </w:rPr>
        <w:t>că și SRL Bălți</w:t>
      </w:r>
      <w:r w:rsidR="000E07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 a fondat două întreprinderi – SRL Realexpresgaz și SRL Bălțigazmontaj</w:t>
      </w:r>
      <w:r w:rsidR="000E07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fără </w:t>
      </w:r>
      <w:r w:rsidR="000E0757" w:rsidRPr="009772A3">
        <w:rPr>
          <w:rFonts w:asciiTheme="majorHAnsi" w:hAnsiTheme="majorHAnsi" w:cstheme="majorHAnsi"/>
          <w:sz w:val="24"/>
          <w:szCs w:val="24"/>
          <w:lang w:val="ro-MD"/>
        </w:rPr>
        <w:t xml:space="preserve">a aplica </w:t>
      </w:r>
      <w:r w:rsidRPr="009772A3">
        <w:rPr>
          <w:rFonts w:asciiTheme="majorHAnsi" w:hAnsiTheme="majorHAnsi" w:cstheme="majorHAnsi"/>
          <w:sz w:val="24"/>
          <w:szCs w:val="24"/>
          <w:lang w:val="ro-MD"/>
        </w:rPr>
        <w:t>o strategie clară de afaceri, aspect care a condiționat ulterior nu doar lipsa activit</w:t>
      </w:r>
      <w:r w:rsidR="000E0757" w:rsidRPr="009772A3">
        <w:rPr>
          <w:rFonts w:asciiTheme="majorHAnsi" w:hAnsiTheme="majorHAnsi" w:cstheme="majorHAnsi"/>
          <w:sz w:val="24"/>
          <w:szCs w:val="24"/>
          <w:lang w:val="ro-MD"/>
        </w:rPr>
        <w:t>ății</w:t>
      </w:r>
      <w:r w:rsidRPr="009772A3">
        <w:rPr>
          <w:rFonts w:asciiTheme="majorHAnsi" w:hAnsiTheme="majorHAnsi" w:cstheme="majorHAnsi"/>
          <w:sz w:val="24"/>
          <w:szCs w:val="24"/>
          <w:lang w:val="ro-MD"/>
        </w:rPr>
        <w:t xml:space="preserve"> de business</w:t>
      </w:r>
      <w:r w:rsidR="000E07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dar și cheltuieli privind fondarea și administrarea acestor societăți. De exemplu, SRL Realexpresgaz</w:t>
      </w:r>
      <w:r w:rsidR="000E07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lipsa unei viziuni clare de afaceri și activități reale desfășurate</w:t>
      </w:r>
      <w:r w:rsidR="000E07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vândut în anul 2018 unei alte companii din sistemul SA Moldovagaz – SRL Transautogaz, cel mai mare activ de care dispunea – stația de alimentare cu gaze naturale din or. Sîngerei.</w:t>
      </w:r>
    </w:p>
    <w:p w14:paraId="6310CBE7" w14:textId="05F8A99A" w:rsidR="008760F7" w:rsidRPr="009772A3" w:rsidRDefault="008760F7" w:rsidP="00BC430D">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 la 31.12.2021 SRL Realexpresgaz</w:t>
      </w:r>
      <w:r w:rsidR="000E07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din valoarea totală a activelor de 0,9 mii lei, înregistra datorii de 125,9 mii lei. La fel</w:t>
      </w:r>
      <w:r w:rsidR="000E0757"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și SRL Bălțigazmontaj</w:t>
      </w:r>
      <w:r w:rsidR="00EC0E5A" w:rsidRPr="009772A3">
        <w:rPr>
          <w:rFonts w:asciiTheme="majorHAnsi" w:hAnsiTheme="majorHAnsi" w:cstheme="majorHAnsi"/>
          <w:sz w:val="24"/>
          <w:szCs w:val="24"/>
          <w:lang w:val="ro-MD"/>
        </w:rPr>
        <w:t xml:space="preserve"> înregistra active de doar 8,5 mii lei în lipsa unor datorii.</w:t>
      </w:r>
    </w:p>
    <w:p w14:paraId="7C507A1C" w14:textId="4BDCB25F" w:rsidR="00FD1AA6" w:rsidRPr="009772A3" w:rsidRDefault="00FD1AA6" w:rsidP="00456294">
      <w:pPr>
        <w:pStyle w:val="Heading1"/>
        <w:numPr>
          <w:ilvl w:val="2"/>
          <w:numId w:val="2"/>
        </w:numPr>
        <w:spacing w:line="276" w:lineRule="auto"/>
        <w:ind w:left="0" w:firstLine="0"/>
        <w:jc w:val="both"/>
        <w:rPr>
          <w:color w:val="auto"/>
          <w:lang w:val="ro-MD"/>
        </w:rPr>
      </w:pPr>
      <w:bookmarkStart w:id="251" w:name="_Toc119245501"/>
      <w:bookmarkStart w:id="252" w:name="_Toc119496474"/>
      <w:bookmarkEnd w:id="251"/>
      <w:r w:rsidRPr="009772A3">
        <w:rPr>
          <w:color w:val="auto"/>
          <w:lang w:val="ro-MD"/>
        </w:rPr>
        <w:t xml:space="preserve">Neimplementarea </w:t>
      </w:r>
      <w:r w:rsidR="00A31EEB" w:rsidRPr="009772A3">
        <w:rPr>
          <w:color w:val="auto"/>
          <w:lang w:val="ro-MD"/>
        </w:rPr>
        <w:t xml:space="preserve">deplină </w:t>
      </w:r>
      <w:r w:rsidR="00134F5F" w:rsidRPr="009772A3">
        <w:rPr>
          <w:color w:val="auto"/>
          <w:lang w:val="ro-MD"/>
        </w:rPr>
        <w:t xml:space="preserve">și </w:t>
      </w:r>
      <w:r w:rsidR="00A31EEB" w:rsidRPr="009772A3">
        <w:rPr>
          <w:color w:val="auto"/>
          <w:lang w:val="ro-MD"/>
        </w:rPr>
        <w:t>în termen</w:t>
      </w:r>
      <w:r w:rsidR="003A1D68" w:rsidRPr="009772A3">
        <w:rPr>
          <w:color w:val="auto"/>
          <w:lang w:val="ro-MD"/>
        </w:rPr>
        <w:t>ele</w:t>
      </w:r>
      <w:r w:rsidR="00A31EEB" w:rsidRPr="009772A3">
        <w:rPr>
          <w:color w:val="auto"/>
          <w:lang w:val="ro-MD"/>
        </w:rPr>
        <w:t xml:space="preserve"> preconiza</w:t>
      </w:r>
      <w:r w:rsidR="003A1D68" w:rsidRPr="009772A3">
        <w:rPr>
          <w:color w:val="auto"/>
          <w:lang w:val="ro-MD"/>
        </w:rPr>
        <w:t>te</w:t>
      </w:r>
      <w:r w:rsidR="00A31EEB" w:rsidRPr="009772A3">
        <w:rPr>
          <w:color w:val="auto"/>
          <w:lang w:val="ro-MD"/>
        </w:rPr>
        <w:t xml:space="preserve"> </w:t>
      </w:r>
      <w:r w:rsidRPr="009772A3">
        <w:rPr>
          <w:color w:val="auto"/>
          <w:lang w:val="ro-MD"/>
        </w:rPr>
        <w:t>a planurilor de reorganizare a întreprinderilor de distribuție a gazelor naturale</w:t>
      </w:r>
      <w:r w:rsidR="003A1D68" w:rsidRPr="009772A3">
        <w:rPr>
          <w:color w:val="auto"/>
          <w:lang w:val="ro-MD"/>
        </w:rPr>
        <w:t>,</w:t>
      </w:r>
      <w:r w:rsidRPr="009772A3">
        <w:rPr>
          <w:color w:val="auto"/>
          <w:lang w:val="ro-MD"/>
        </w:rPr>
        <w:t xml:space="preserve"> a generat costuri și cheltuieli de întreținere </w:t>
      </w:r>
      <w:r w:rsidR="009E4BA8" w:rsidRPr="009772A3">
        <w:rPr>
          <w:color w:val="auto"/>
          <w:lang w:val="ro-MD"/>
        </w:rPr>
        <w:t xml:space="preserve">a </w:t>
      </w:r>
      <w:r w:rsidR="00AA2316" w:rsidRPr="009772A3">
        <w:rPr>
          <w:color w:val="auto"/>
          <w:lang w:val="ro-MD"/>
        </w:rPr>
        <w:t>actualului sistem</w:t>
      </w:r>
      <w:r w:rsidR="003A1D68" w:rsidRPr="009772A3">
        <w:rPr>
          <w:color w:val="auto"/>
          <w:lang w:val="ro-MD"/>
        </w:rPr>
        <w:t>,</w:t>
      </w:r>
      <w:r w:rsidR="00AA2316" w:rsidRPr="009772A3">
        <w:rPr>
          <w:color w:val="auto"/>
          <w:lang w:val="ro-MD"/>
        </w:rPr>
        <w:t xml:space="preserve"> de cca 139.320,2 mii lei anual</w:t>
      </w:r>
      <w:r w:rsidRPr="009772A3">
        <w:rPr>
          <w:color w:val="auto"/>
          <w:lang w:val="ro-MD"/>
        </w:rPr>
        <w:t>.</w:t>
      </w:r>
      <w:bookmarkEnd w:id="252"/>
    </w:p>
    <w:p w14:paraId="525C33D3" w14:textId="5D6085A8" w:rsidR="0041240E" w:rsidRPr="009772A3" w:rsidRDefault="0041240E" w:rsidP="0041240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scopul sporirii eficienței gestionării complexului de gaze naturale al SA Moldovagaz, Consiliul de observatori a aprobat în decembrie 2014</w:t>
      </w:r>
      <w:r w:rsidRPr="009772A3">
        <w:rPr>
          <w:rStyle w:val="FootnoteReference"/>
          <w:rFonts w:asciiTheme="majorHAnsi" w:hAnsiTheme="majorHAnsi" w:cstheme="majorHAnsi"/>
          <w:sz w:val="24"/>
          <w:szCs w:val="24"/>
          <w:lang w:val="ro-MD"/>
        </w:rPr>
        <w:footnoteReference w:id="201"/>
      </w:r>
      <w:r w:rsidRPr="009772A3">
        <w:rPr>
          <w:rFonts w:asciiTheme="majorHAnsi" w:hAnsiTheme="majorHAnsi" w:cstheme="majorHAnsi"/>
          <w:sz w:val="24"/>
          <w:szCs w:val="24"/>
          <w:lang w:val="ro-MD"/>
        </w:rPr>
        <w:t xml:space="preserve"> un plan de acțiuni cu privire la reorganizarea întreprinderilor de distribuție și transport, în baza unui concept juridico</w:t>
      </w:r>
      <w:r w:rsidR="003A1D6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economic. Planul prevedea realizarea până la sfârșitul anului 2015 a unui set de acțiuni conceptual create</w:t>
      </w:r>
      <w:r w:rsidR="001D5F55"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care să conducă la </w:t>
      </w:r>
      <w:r w:rsidR="0020185E" w:rsidRPr="009772A3">
        <w:rPr>
          <w:rFonts w:asciiTheme="majorHAnsi" w:hAnsiTheme="majorHAnsi" w:cstheme="majorHAnsi"/>
          <w:sz w:val="24"/>
          <w:szCs w:val="24"/>
          <w:lang w:val="ro-MD"/>
        </w:rPr>
        <w:t xml:space="preserve">fuzionarea </w:t>
      </w:r>
      <w:r w:rsidRPr="009772A3">
        <w:rPr>
          <w:rFonts w:asciiTheme="majorHAnsi" w:hAnsiTheme="majorHAnsi" w:cstheme="majorHAnsi"/>
          <w:sz w:val="24"/>
          <w:szCs w:val="24"/>
          <w:lang w:val="ro-MD"/>
        </w:rPr>
        <w:t xml:space="preserve">celor 12 întreprinderi de distribuție a gazelor naturale într-una </w:t>
      </w:r>
      <w:r w:rsidRPr="00456294">
        <w:rPr>
          <w:rFonts w:asciiTheme="majorHAnsi" w:hAnsiTheme="majorHAnsi" w:cstheme="majorHAnsi"/>
          <w:sz w:val="24"/>
          <w:szCs w:val="24"/>
          <w:lang w:val="ro-MD"/>
        </w:rPr>
        <w:t>singură</w:t>
      </w:r>
      <w:r w:rsidR="0020185E" w:rsidRPr="00456294">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Moldovagaz – Distribuție</w:t>
      </w:r>
      <w:r w:rsidR="0020185E" w:rsidRPr="00CF3AD4">
        <w:rPr>
          <w:rFonts w:asciiTheme="majorHAnsi" w:hAnsiTheme="majorHAnsi" w:cstheme="majorHAnsi"/>
          <w:sz w:val="24"/>
          <w:szCs w:val="24"/>
          <w:lang w:val="ro-MD"/>
        </w:rPr>
        <w:t>)</w:t>
      </w:r>
      <w:r w:rsidRPr="00CF3AD4">
        <w:rPr>
          <w:rFonts w:asciiTheme="majorHAnsi" w:hAnsiTheme="majorHAnsi" w:cstheme="majorHAnsi"/>
          <w:sz w:val="24"/>
          <w:szCs w:val="24"/>
          <w:lang w:val="ro-MD"/>
        </w:rPr>
        <w:t xml:space="preserve"> și acordarea unei independențe funcționale și decizionale </w:t>
      </w:r>
      <w:r w:rsidR="009B491A" w:rsidRPr="00CF3AD4">
        <w:rPr>
          <w:rFonts w:asciiTheme="majorHAnsi" w:hAnsiTheme="majorHAnsi" w:cstheme="majorHAnsi"/>
          <w:sz w:val="24"/>
          <w:szCs w:val="24"/>
          <w:lang w:val="ro-MD"/>
        </w:rPr>
        <w:t>operatorulu</w:t>
      </w:r>
      <w:r w:rsidRPr="00CF3AD4">
        <w:rPr>
          <w:rFonts w:asciiTheme="majorHAnsi" w:hAnsiTheme="majorHAnsi" w:cstheme="majorHAnsi"/>
          <w:sz w:val="24"/>
          <w:szCs w:val="24"/>
          <w:lang w:val="ro-MD"/>
        </w:rPr>
        <w:t>i</w:t>
      </w:r>
      <w:r w:rsidR="009B491A" w:rsidRPr="00CF3AD4">
        <w:rPr>
          <w:rFonts w:asciiTheme="majorHAnsi" w:hAnsiTheme="majorHAnsi" w:cstheme="majorHAnsi"/>
          <w:sz w:val="24"/>
          <w:szCs w:val="24"/>
          <w:lang w:val="ro-MD"/>
        </w:rPr>
        <w:t xml:space="preserve"> </w:t>
      </w:r>
      <w:r w:rsidRPr="00CF3AD4">
        <w:rPr>
          <w:rFonts w:asciiTheme="majorHAnsi" w:hAnsiTheme="majorHAnsi" w:cstheme="majorHAnsi"/>
          <w:sz w:val="24"/>
          <w:szCs w:val="24"/>
          <w:lang w:val="ro-MD"/>
        </w:rPr>
        <w:t>de transport</w:t>
      </w:r>
      <w:r w:rsidRPr="00456294">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1D5F55"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fectul economic așteptat </w:t>
      </w:r>
      <w:r w:rsidR="00B00383" w:rsidRPr="009772A3">
        <w:rPr>
          <w:rFonts w:asciiTheme="majorHAnsi" w:hAnsiTheme="majorHAnsi" w:cstheme="majorHAnsi"/>
          <w:sz w:val="24"/>
          <w:szCs w:val="24"/>
          <w:lang w:val="ro-MD"/>
        </w:rPr>
        <w:t xml:space="preserve">consta în </w:t>
      </w:r>
      <w:r w:rsidRPr="009772A3">
        <w:rPr>
          <w:rFonts w:asciiTheme="majorHAnsi" w:hAnsiTheme="majorHAnsi" w:cstheme="majorHAnsi"/>
          <w:sz w:val="24"/>
          <w:szCs w:val="24"/>
          <w:lang w:val="ro-MD"/>
        </w:rPr>
        <w:t xml:space="preserve">economisirea resurselor financiare de cca 139.320,2 mii lei anual, în condițiile suportării unor cheltuieli pentru reformă de cca 19.072,3 mii lei, precum și </w:t>
      </w:r>
      <w:r w:rsidR="00B00383" w:rsidRPr="009772A3">
        <w:rPr>
          <w:rFonts w:asciiTheme="majorHAnsi" w:hAnsiTheme="majorHAnsi" w:cstheme="majorHAnsi"/>
          <w:sz w:val="24"/>
          <w:szCs w:val="24"/>
          <w:lang w:val="ro-MD"/>
        </w:rPr>
        <w:t xml:space="preserve">în acordarea </w:t>
      </w:r>
      <w:r w:rsidRPr="009772A3">
        <w:rPr>
          <w:rFonts w:asciiTheme="majorHAnsi" w:hAnsiTheme="majorHAnsi" w:cstheme="majorHAnsi"/>
          <w:sz w:val="24"/>
          <w:szCs w:val="24"/>
          <w:lang w:val="ro-MD"/>
        </w:rPr>
        <w:t>unei mai mari independențe funcționale și decizionale companiei</w:t>
      </w:r>
      <w:r w:rsidR="00B0038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fiice Moldovatransgaz, în conformitate cu Legea </w:t>
      </w:r>
      <w:r w:rsidR="00B00383" w:rsidRPr="009772A3">
        <w:rPr>
          <w:rFonts w:asciiTheme="majorHAnsi" w:hAnsiTheme="majorHAnsi" w:cstheme="majorHAnsi"/>
          <w:sz w:val="24"/>
          <w:szCs w:val="24"/>
          <w:lang w:val="ro-MD"/>
        </w:rPr>
        <w:t xml:space="preserve">privind </w:t>
      </w:r>
      <w:r w:rsidRPr="009772A3">
        <w:rPr>
          <w:rFonts w:asciiTheme="majorHAnsi" w:hAnsiTheme="majorHAnsi" w:cstheme="majorHAnsi"/>
          <w:sz w:val="24"/>
          <w:szCs w:val="24"/>
          <w:lang w:val="ro-MD"/>
        </w:rPr>
        <w:t>gazel</w:t>
      </w:r>
      <w:r w:rsidR="00B00383"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naturale</w:t>
      </w:r>
      <w:r w:rsidRPr="009772A3">
        <w:rPr>
          <w:rStyle w:val="FootnoteReference"/>
          <w:rFonts w:asciiTheme="majorHAnsi" w:hAnsiTheme="majorHAnsi" w:cstheme="majorHAnsi"/>
          <w:sz w:val="24"/>
          <w:szCs w:val="24"/>
          <w:lang w:val="ro-MD"/>
        </w:rPr>
        <w:footnoteReference w:id="202"/>
      </w:r>
      <w:r w:rsidRPr="009772A3">
        <w:rPr>
          <w:rFonts w:asciiTheme="majorHAnsi" w:hAnsiTheme="majorHAnsi" w:cstheme="majorHAnsi"/>
          <w:sz w:val="24"/>
          <w:szCs w:val="24"/>
          <w:lang w:val="ro-MD"/>
        </w:rPr>
        <w:t>.</w:t>
      </w:r>
    </w:p>
    <w:p w14:paraId="363CF4A1" w14:textId="5AF461C2" w:rsidR="0041240E" w:rsidRPr="009772A3" w:rsidRDefault="0041240E" w:rsidP="0041240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Probele de audit colectate relevă că nerealizarea conformă a planului de acțiuni aprobat de Consiliul de observatori al societății, cu modificările și completările ulterioare, în condițiile unor cheltuieli suportate de cel puțin 9.963,2 mii lei</w:t>
      </w:r>
      <w:r w:rsidRPr="009772A3">
        <w:rPr>
          <w:rStyle w:val="FootnoteReference"/>
          <w:rFonts w:asciiTheme="majorHAnsi" w:hAnsiTheme="majorHAnsi" w:cstheme="majorHAnsi"/>
          <w:sz w:val="24"/>
          <w:szCs w:val="24"/>
          <w:lang w:val="ro-MD"/>
        </w:rPr>
        <w:footnoteReference w:id="203"/>
      </w:r>
      <w:r w:rsidRPr="009772A3">
        <w:rPr>
          <w:rFonts w:asciiTheme="majorHAnsi" w:hAnsiTheme="majorHAnsi" w:cstheme="majorHAnsi"/>
          <w:sz w:val="24"/>
          <w:szCs w:val="24"/>
          <w:lang w:val="ro-MD"/>
        </w:rPr>
        <w:t>, din cauza lipsei de consens și tergiversării aprobării actelor de reorganizare, a generat nu doar revizuirea și amânarea termen</w:t>
      </w:r>
      <w:r w:rsidR="00B00383" w:rsidRPr="009772A3">
        <w:rPr>
          <w:rFonts w:asciiTheme="majorHAnsi" w:hAnsiTheme="majorHAnsi" w:cstheme="majorHAnsi"/>
          <w:sz w:val="24"/>
          <w:szCs w:val="24"/>
          <w:lang w:val="ro-MD"/>
        </w:rPr>
        <w:t>elor</w:t>
      </w:r>
      <w:r w:rsidRPr="009772A3">
        <w:rPr>
          <w:rFonts w:asciiTheme="majorHAnsi" w:hAnsiTheme="majorHAnsi" w:cstheme="majorHAnsi"/>
          <w:sz w:val="24"/>
          <w:szCs w:val="24"/>
          <w:lang w:val="ro-MD"/>
        </w:rPr>
        <w:t xml:space="preserve"> acestuia de mai multe ori, dar și menținerea costurilor actuale de funcționare a complexului de distribuție a gazelor naturale, precum și ratarea unor beneficii economice așteptate din economisirea </w:t>
      </w:r>
      <w:r w:rsidR="00456294">
        <w:rPr>
          <w:rFonts w:asciiTheme="majorHAnsi" w:hAnsiTheme="majorHAnsi" w:cstheme="majorHAnsi"/>
          <w:sz w:val="24"/>
          <w:szCs w:val="24"/>
          <w:lang w:val="ro-MD"/>
        </w:rPr>
        <w:t>cheltuieli</w:t>
      </w:r>
      <w:r w:rsidR="00456294" w:rsidRPr="009772A3">
        <w:rPr>
          <w:rFonts w:asciiTheme="majorHAnsi" w:hAnsiTheme="majorHAnsi" w:cstheme="majorHAnsi"/>
          <w:sz w:val="24"/>
          <w:szCs w:val="24"/>
          <w:lang w:val="ro-MD"/>
        </w:rPr>
        <w:t xml:space="preserve">lor </w:t>
      </w:r>
      <w:r w:rsidRPr="009772A3">
        <w:rPr>
          <w:rFonts w:asciiTheme="majorHAnsi" w:hAnsiTheme="majorHAnsi" w:cstheme="majorHAnsi"/>
          <w:sz w:val="24"/>
          <w:szCs w:val="24"/>
          <w:lang w:val="ro-MD"/>
        </w:rPr>
        <w:t xml:space="preserve">administrative și </w:t>
      </w:r>
      <w:r w:rsidR="00B00383"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distribuție de cca 139.320,2 mii lei anual.</w:t>
      </w:r>
    </w:p>
    <w:p w14:paraId="5B818932" w14:textId="02B354C8" w:rsidR="0041240E" w:rsidRPr="009772A3" w:rsidRDefault="0041240E" w:rsidP="0041240E">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 menționat că reforma inițiată de Consiliul de observatori al SA Moldovagaz, deși a rămas pe agenda organelor de conducere</w:t>
      </w:r>
      <w:r w:rsidR="00B0038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B00383" w:rsidRPr="009772A3">
        <w:rPr>
          <w:rFonts w:asciiTheme="majorHAnsi" w:hAnsiTheme="majorHAnsi" w:cstheme="majorHAnsi"/>
          <w:sz w:val="24"/>
          <w:szCs w:val="24"/>
          <w:lang w:val="ro-MD"/>
        </w:rPr>
        <w:t>este</w:t>
      </w:r>
      <w:r w:rsidRPr="009772A3">
        <w:rPr>
          <w:rFonts w:asciiTheme="majorHAnsi" w:hAnsiTheme="majorHAnsi" w:cstheme="majorHAnsi"/>
          <w:sz w:val="24"/>
          <w:szCs w:val="24"/>
          <w:lang w:val="ro-MD"/>
        </w:rPr>
        <w:t xml:space="preserve"> neimplementată până în prezent. </w:t>
      </w:r>
    </w:p>
    <w:p w14:paraId="6AE5629F" w14:textId="6B3CC787" w:rsidR="00E941D4" w:rsidRPr="009772A3" w:rsidRDefault="00C80429" w:rsidP="00E941D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w:t>
      </w:r>
      <w:r w:rsidR="00E941D4" w:rsidRPr="009772A3">
        <w:rPr>
          <w:rFonts w:asciiTheme="majorHAnsi" w:hAnsiTheme="majorHAnsi" w:cstheme="majorHAnsi"/>
          <w:sz w:val="24"/>
          <w:szCs w:val="24"/>
          <w:lang w:val="ro-MD"/>
        </w:rPr>
        <w:t>eși separarea operatorilor sistemelor de transport urma să fie implementată încă până la 01.01.2020</w:t>
      </w:r>
      <w:r w:rsidR="00E941D4" w:rsidRPr="009772A3">
        <w:rPr>
          <w:rStyle w:val="FootnoteReference"/>
          <w:rFonts w:cstheme="majorHAnsi"/>
          <w:sz w:val="24"/>
          <w:szCs w:val="24"/>
          <w:lang w:val="ro-MD"/>
        </w:rPr>
        <w:footnoteReference w:id="204"/>
      </w:r>
      <w:r w:rsidR="00E941D4" w:rsidRPr="009772A3">
        <w:rPr>
          <w:rFonts w:asciiTheme="majorHAnsi" w:hAnsiTheme="majorHAnsi" w:cstheme="majorHAnsi"/>
          <w:sz w:val="24"/>
          <w:szCs w:val="24"/>
          <w:lang w:val="ro-MD"/>
        </w:rPr>
        <w:t xml:space="preserve">, în pofida tuturor cheltuielilor efectuate se atestă neconformarea la prevederile cadrului normativ. Mai mult decât atât, conform modificărilor </w:t>
      </w:r>
      <w:r w:rsidR="00456294">
        <w:rPr>
          <w:rFonts w:asciiTheme="majorHAnsi" w:hAnsiTheme="majorHAnsi" w:cstheme="majorHAnsi"/>
          <w:sz w:val="24"/>
          <w:szCs w:val="24"/>
          <w:lang w:val="ro-MD"/>
        </w:rPr>
        <w:t xml:space="preserve">aprobate prin legea </w:t>
      </w:r>
      <w:r w:rsidR="00B958DE" w:rsidRPr="009772A3">
        <w:rPr>
          <w:rFonts w:asciiTheme="majorHAnsi" w:hAnsiTheme="majorHAnsi" w:cstheme="majorHAnsi"/>
          <w:sz w:val="24"/>
          <w:szCs w:val="24"/>
          <w:lang w:val="ro-MD"/>
        </w:rPr>
        <w:t>nr.</w:t>
      </w:r>
      <w:r w:rsidR="00E941D4" w:rsidRPr="009772A3">
        <w:rPr>
          <w:rFonts w:asciiTheme="majorHAnsi" w:hAnsiTheme="majorHAnsi" w:cstheme="majorHAnsi"/>
          <w:sz w:val="24"/>
          <w:szCs w:val="24"/>
          <w:lang w:val="ro-MD"/>
        </w:rPr>
        <w:t xml:space="preserve">249 din 29.07.2022, SRL ,Moldovatransgaz riscă să fie amendată pentru neimplementarea prevederilor legale cu sancțiuni </w:t>
      </w:r>
      <w:r w:rsidR="00B958DE" w:rsidRPr="009772A3">
        <w:rPr>
          <w:rFonts w:asciiTheme="majorHAnsi" w:hAnsiTheme="majorHAnsi" w:cstheme="majorHAnsi"/>
          <w:sz w:val="24"/>
          <w:szCs w:val="24"/>
          <w:lang w:val="ro-MD"/>
        </w:rPr>
        <w:t xml:space="preserve">în cuantum </w:t>
      </w:r>
      <w:r w:rsidR="00E941D4" w:rsidRPr="009772A3">
        <w:rPr>
          <w:rFonts w:asciiTheme="majorHAnsi" w:hAnsiTheme="majorHAnsi" w:cstheme="majorHAnsi"/>
          <w:sz w:val="24"/>
          <w:szCs w:val="24"/>
          <w:lang w:val="ro-MD"/>
        </w:rPr>
        <w:t>de 10% din cifra de afacere. Responsabilii din cadrul entității au informat Fondatorul despre posibilele riscuri și au solicitat soluționarea în termen</w:t>
      </w:r>
      <w:r w:rsidR="00B958DE" w:rsidRPr="009772A3">
        <w:rPr>
          <w:rFonts w:asciiTheme="majorHAnsi" w:hAnsiTheme="majorHAnsi" w:cstheme="majorHAnsi"/>
          <w:sz w:val="24"/>
          <w:szCs w:val="24"/>
          <w:lang w:val="ro-MD"/>
        </w:rPr>
        <w:t>e</w:t>
      </w:r>
      <w:r w:rsidR="00E941D4" w:rsidRPr="009772A3">
        <w:rPr>
          <w:rFonts w:asciiTheme="majorHAnsi" w:hAnsiTheme="majorHAnsi" w:cstheme="majorHAnsi"/>
          <w:sz w:val="24"/>
          <w:szCs w:val="24"/>
          <w:lang w:val="ro-MD"/>
        </w:rPr>
        <w:t xml:space="preserve"> cât mai restrân</w:t>
      </w:r>
      <w:r w:rsidR="00B958DE" w:rsidRPr="009772A3">
        <w:rPr>
          <w:rFonts w:asciiTheme="majorHAnsi" w:hAnsiTheme="majorHAnsi" w:cstheme="majorHAnsi"/>
          <w:sz w:val="24"/>
          <w:szCs w:val="24"/>
          <w:lang w:val="ro-MD"/>
        </w:rPr>
        <w:t>se</w:t>
      </w:r>
      <w:r w:rsidR="00E941D4" w:rsidRPr="009772A3">
        <w:rPr>
          <w:rFonts w:asciiTheme="majorHAnsi" w:hAnsiTheme="majorHAnsi" w:cstheme="majorHAnsi"/>
          <w:sz w:val="24"/>
          <w:szCs w:val="24"/>
          <w:lang w:val="ro-MD"/>
        </w:rPr>
        <w:t xml:space="preserve"> a situației create. </w:t>
      </w:r>
    </w:p>
    <w:p w14:paraId="4DBC4133" w14:textId="15E7DADF" w:rsidR="009E4BA8" w:rsidRPr="009772A3" w:rsidRDefault="009E4BA8" w:rsidP="00E941D4">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Potrivit explicațiilor SA Moldovagaz, neadoptarea deciziilor aferente se explică prin poziția principială a acționarului majoritar SA </w:t>
      </w:r>
      <w:r w:rsidR="00BA47C1" w:rsidRPr="009772A3">
        <w:rPr>
          <w:rFonts w:asciiTheme="majorHAnsi" w:hAnsiTheme="majorHAnsi" w:cstheme="majorHAnsi"/>
          <w:sz w:val="24"/>
          <w:szCs w:val="24"/>
          <w:lang w:val="ro-MD"/>
        </w:rPr>
        <w:t>Gazprom</w:t>
      </w:r>
      <w:r w:rsidRPr="009772A3">
        <w:rPr>
          <w:rFonts w:asciiTheme="majorHAnsi" w:hAnsiTheme="majorHAnsi" w:cstheme="majorHAnsi"/>
          <w:sz w:val="24"/>
          <w:szCs w:val="24"/>
          <w:lang w:val="ro-MD"/>
        </w:rPr>
        <w:t>, conform căreia realizarea planurilor de reorganizare poate fi acceptată numai după aprobarea mecanismului de reglementare a datoriilor față de SA „Gazprom” pentru gazele naturale furnizate consumatorilor de pe malul drept al r</w:t>
      </w:r>
      <w:r w:rsidR="00B958DE" w:rsidRPr="009772A3">
        <w:rPr>
          <w:rFonts w:asciiTheme="majorHAnsi" w:hAnsiTheme="majorHAnsi" w:cstheme="majorHAnsi"/>
          <w:sz w:val="24"/>
          <w:szCs w:val="24"/>
          <w:lang w:val="ro-MD"/>
        </w:rPr>
        <w:t>â</w:t>
      </w:r>
      <w:r w:rsidRPr="009772A3">
        <w:rPr>
          <w:rFonts w:asciiTheme="majorHAnsi" w:hAnsiTheme="majorHAnsi" w:cstheme="majorHAnsi"/>
          <w:sz w:val="24"/>
          <w:szCs w:val="24"/>
          <w:lang w:val="ro-MD"/>
        </w:rPr>
        <w:t>ului Nistru, decizie care depășește competențele managementului companiei.</w:t>
      </w:r>
    </w:p>
    <w:p w14:paraId="3ED34D61" w14:textId="7AC450EF" w:rsidR="00E50792" w:rsidRPr="009772A3" w:rsidRDefault="00E50792" w:rsidP="00456294">
      <w:pPr>
        <w:pStyle w:val="Heading1"/>
        <w:numPr>
          <w:ilvl w:val="2"/>
          <w:numId w:val="2"/>
        </w:numPr>
        <w:spacing w:line="276" w:lineRule="auto"/>
        <w:ind w:left="0" w:firstLine="0"/>
        <w:jc w:val="both"/>
        <w:rPr>
          <w:color w:val="auto"/>
          <w:lang w:val="ro-MD"/>
        </w:rPr>
      </w:pPr>
      <w:bookmarkStart w:id="253" w:name="_Toc119245503"/>
      <w:bookmarkStart w:id="254" w:name="_Toc119245504"/>
      <w:bookmarkStart w:id="255" w:name="_Toc119245505"/>
      <w:bookmarkStart w:id="256" w:name="_Toc119245506"/>
      <w:bookmarkStart w:id="257" w:name="_Toc119245507"/>
      <w:bookmarkStart w:id="258" w:name="_Toc119245508"/>
      <w:bookmarkStart w:id="259" w:name="_Toc119245509"/>
      <w:bookmarkStart w:id="260" w:name="_Toc119245510"/>
      <w:bookmarkStart w:id="261" w:name="_Toc119245511"/>
      <w:bookmarkStart w:id="262" w:name="_Toc119245512"/>
      <w:bookmarkStart w:id="263" w:name="_Toc119245513"/>
      <w:bookmarkStart w:id="264" w:name="_Toc119245514"/>
      <w:bookmarkStart w:id="265" w:name="_Toc119245515"/>
      <w:bookmarkStart w:id="266" w:name="_Toc119245516"/>
      <w:bookmarkStart w:id="267" w:name="_Toc119245517"/>
      <w:bookmarkStart w:id="268" w:name="_Toc119245518"/>
      <w:bookmarkStart w:id="269" w:name="_Toc119245519"/>
      <w:bookmarkStart w:id="270" w:name="_Toc119245520"/>
      <w:bookmarkStart w:id="271" w:name="_Toc119245521"/>
      <w:bookmarkStart w:id="272" w:name="_Toc119245522"/>
      <w:bookmarkStart w:id="273" w:name="_Toc119496475"/>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9772A3">
        <w:rPr>
          <w:color w:val="auto"/>
          <w:lang w:val="ro-MD"/>
        </w:rPr>
        <w:t>A</w:t>
      </w:r>
      <w:r w:rsidR="002E63B2" w:rsidRPr="009772A3">
        <w:rPr>
          <w:color w:val="auto"/>
          <w:lang w:val="ro-MD"/>
        </w:rPr>
        <w:t xml:space="preserve">cordarea unor împrumuturi în valoare totală de </w:t>
      </w:r>
      <w:r w:rsidR="00300395" w:rsidRPr="009772A3">
        <w:rPr>
          <w:color w:val="auto"/>
          <w:lang w:val="ro-MD"/>
        </w:rPr>
        <w:t>100</w:t>
      </w:r>
      <w:r w:rsidR="00A958C3" w:rsidRPr="009772A3">
        <w:rPr>
          <w:color w:val="auto"/>
          <w:lang w:val="ro-MD"/>
        </w:rPr>
        <w:t>.000</w:t>
      </w:r>
      <w:r w:rsidR="00D33418" w:rsidRPr="009772A3">
        <w:rPr>
          <w:color w:val="auto"/>
          <w:lang w:val="ro-MD"/>
        </w:rPr>
        <w:t>,0 mi</w:t>
      </w:r>
      <w:r w:rsidR="00A958C3" w:rsidRPr="009772A3">
        <w:rPr>
          <w:color w:val="auto"/>
          <w:lang w:val="ro-MD"/>
        </w:rPr>
        <w:t>i</w:t>
      </w:r>
      <w:r w:rsidR="00D33418" w:rsidRPr="009772A3">
        <w:rPr>
          <w:color w:val="auto"/>
          <w:lang w:val="ro-MD"/>
        </w:rPr>
        <w:t xml:space="preserve"> lei</w:t>
      </w:r>
      <w:r w:rsidR="00657A31" w:rsidRPr="009772A3">
        <w:rPr>
          <w:color w:val="auto"/>
          <w:lang w:val="ro-MD"/>
        </w:rPr>
        <w:t xml:space="preserve"> în lipsa unor obiective clar urmărite, </w:t>
      </w:r>
      <w:r w:rsidR="008B4A08" w:rsidRPr="009772A3">
        <w:rPr>
          <w:color w:val="auto"/>
          <w:lang w:val="ro-MD"/>
        </w:rPr>
        <w:t xml:space="preserve">a </w:t>
      </w:r>
      <w:r w:rsidR="008B4A08" w:rsidRPr="009772A3">
        <w:rPr>
          <w:rFonts w:cstheme="majorHAnsi"/>
          <w:color w:val="auto"/>
          <w:szCs w:val="24"/>
          <w:lang w:val="ro-MD"/>
        </w:rPr>
        <w:t>dezafectat mijloacele financiare din circuitul activității economice a SRL Moldovatransgaz</w:t>
      </w:r>
      <w:r w:rsidR="00657A31" w:rsidRPr="009772A3">
        <w:rPr>
          <w:color w:val="auto"/>
          <w:lang w:val="ro-MD"/>
        </w:rPr>
        <w:t>.</w:t>
      </w:r>
      <w:bookmarkEnd w:id="273"/>
    </w:p>
    <w:p w14:paraId="67BB42A2" w14:textId="79D1F560" w:rsidR="00B958DE" w:rsidRPr="009772A3" w:rsidRDefault="00E50792" w:rsidP="00E5079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Activitățile auditului au relevat situații de dezafectare a mijloacelor din circuitul activității economice a SRL Moldovatransgaz. Astfel, neavând prevăzut în statut un asemenea gen de activitate și </w:t>
      </w:r>
      <w:r w:rsidR="00B958DE" w:rsidRPr="009772A3">
        <w:rPr>
          <w:rFonts w:asciiTheme="majorHAnsi" w:hAnsiTheme="majorHAnsi" w:cstheme="majorHAnsi"/>
          <w:sz w:val="24"/>
          <w:szCs w:val="24"/>
          <w:lang w:val="ro-MD"/>
        </w:rPr>
        <w:t xml:space="preserve">înregistrând </w:t>
      </w:r>
      <w:r w:rsidRPr="009772A3">
        <w:rPr>
          <w:rFonts w:asciiTheme="majorHAnsi" w:hAnsiTheme="majorHAnsi" w:cstheme="majorHAnsi"/>
          <w:sz w:val="24"/>
          <w:szCs w:val="24"/>
          <w:lang w:val="ro-MD"/>
        </w:rPr>
        <w:t>la 31.03.2019 datorii față de SA Moldovagaz în sumă de 357</w:t>
      </w:r>
      <w:r w:rsidR="00C43392"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7</w:t>
      </w:r>
      <w:r w:rsidR="00C43392"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C43392"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la 12.04</w:t>
      </w:r>
      <w:r w:rsidR="00C8042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2019 </w:t>
      </w:r>
      <w:r w:rsidR="00C80429" w:rsidRPr="009772A3">
        <w:rPr>
          <w:rFonts w:asciiTheme="majorHAnsi" w:hAnsiTheme="majorHAnsi" w:cstheme="majorHAnsi"/>
          <w:sz w:val="24"/>
          <w:szCs w:val="24"/>
          <w:lang w:val="ro-MD"/>
        </w:rPr>
        <w:t xml:space="preserve">SRL Moldovatransgaz </w:t>
      </w:r>
      <w:r w:rsidRPr="009772A3">
        <w:rPr>
          <w:rFonts w:asciiTheme="majorHAnsi" w:hAnsiTheme="majorHAnsi" w:cstheme="majorHAnsi"/>
          <w:sz w:val="24"/>
          <w:szCs w:val="24"/>
          <w:lang w:val="ro-MD"/>
        </w:rPr>
        <w:t xml:space="preserve">a încheiat </w:t>
      </w:r>
      <w:r w:rsidR="00E458ED" w:rsidRPr="009772A3">
        <w:rPr>
          <w:rFonts w:asciiTheme="majorHAnsi" w:hAnsiTheme="majorHAnsi" w:cstheme="majorHAnsi"/>
          <w:sz w:val="24"/>
          <w:szCs w:val="24"/>
          <w:lang w:val="ro-MD"/>
        </w:rPr>
        <w:t xml:space="preserve">un </w:t>
      </w:r>
      <w:r w:rsidRPr="009772A3">
        <w:rPr>
          <w:rFonts w:asciiTheme="majorHAnsi" w:hAnsiTheme="majorHAnsi" w:cstheme="majorHAnsi"/>
          <w:sz w:val="24"/>
          <w:szCs w:val="24"/>
          <w:lang w:val="ro-MD"/>
        </w:rPr>
        <w:t>contract</w:t>
      </w:r>
      <w:r w:rsidR="00E458ED" w:rsidRPr="009772A3">
        <w:rPr>
          <w:rStyle w:val="FootnoteReference"/>
          <w:rFonts w:asciiTheme="majorHAnsi" w:hAnsiTheme="majorHAnsi" w:cstheme="majorHAnsi"/>
          <w:sz w:val="24"/>
          <w:szCs w:val="24"/>
          <w:lang w:val="ro-MD"/>
        </w:rPr>
        <w:footnoteReference w:id="205"/>
      </w:r>
      <w:r w:rsidRPr="009772A3">
        <w:rPr>
          <w:rFonts w:asciiTheme="majorHAnsi" w:hAnsiTheme="majorHAnsi" w:cstheme="majorHAnsi"/>
          <w:sz w:val="24"/>
          <w:szCs w:val="24"/>
          <w:lang w:val="ro-MD"/>
        </w:rPr>
        <w:t xml:space="preserve"> privind acordarea unui împrumut în sumă de 100</w:t>
      </w:r>
      <w:r w:rsidR="004512E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0</w:t>
      </w:r>
      <w:r w:rsidR="004512E0"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4512E0"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pe un termen de o lună, cu o dobândă de 7% pe an, calculată zilnic la durata de 360 </w:t>
      </w:r>
      <w:r w:rsidR="00B958DE"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 xml:space="preserve">zile a unui an calendaristic la soldul împrumutului nerambursat. </w:t>
      </w:r>
    </w:p>
    <w:p w14:paraId="7186406C" w14:textId="73230F8C" w:rsidR="00E50792" w:rsidRPr="009772A3" w:rsidRDefault="00E50792" w:rsidP="00E5079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Auditul denotă că, contractul respectiv a fost încheiat cu nerespectarea reglementărilor interne aprobate</w:t>
      </w:r>
      <w:r w:rsidRPr="009772A3">
        <w:rPr>
          <w:rFonts w:asciiTheme="majorHAnsi" w:hAnsiTheme="majorHAnsi" w:cstheme="majorHAnsi"/>
          <w:sz w:val="24"/>
          <w:vertAlign w:val="superscript"/>
          <w:lang w:val="ro-MD"/>
        </w:rPr>
        <w:footnoteReference w:id="206"/>
      </w:r>
      <w:r w:rsidRPr="009772A3">
        <w:rPr>
          <w:rFonts w:asciiTheme="majorHAnsi" w:hAnsiTheme="majorHAnsi" w:cstheme="majorHAnsi"/>
          <w:sz w:val="24"/>
          <w:szCs w:val="24"/>
          <w:lang w:val="ro-MD"/>
        </w:rPr>
        <w:t>. Astfel, potrivit reglementărilor</w:t>
      </w:r>
      <w:r w:rsidR="00B958D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contractul urma a fi coordonat cu Secți</w:t>
      </w:r>
      <w:r w:rsidR="00B958DE"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economico-financiar</w:t>
      </w:r>
      <w:r w:rsidR="00B958DE"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xml:space="preserve"> și Secți</w:t>
      </w:r>
      <w:r w:rsidR="00B958DE"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 juridic</w:t>
      </w:r>
      <w:r w:rsidR="00B958DE" w:rsidRPr="009772A3">
        <w:rPr>
          <w:rFonts w:asciiTheme="majorHAnsi" w:hAnsiTheme="majorHAnsi" w:cstheme="majorHAnsi"/>
          <w:sz w:val="24"/>
          <w:szCs w:val="24"/>
          <w:lang w:val="ro-MD"/>
        </w:rPr>
        <w:t>ă</w:t>
      </w:r>
      <w:r w:rsidRPr="009772A3">
        <w:rPr>
          <w:rFonts w:asciiTheme="majorHAnsi" w:hAnsiTheme="majorHAnsi" w:cstheme="majorHAnsi"/>
          <w:sz w:val="24"/>
          <w:szCs w:val="24"/>
          <w:lang w:val="ro-MD"/>
        </w:rPr>
        <w:t>, fapt care nu s-a realizat. Totodată</w:t>
      </w:r>
      <w:r w:rsidR="00B958D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contractul nu a fost înregistrat în registrul evidenței contractelor, precum și nu a prevăzut sancțiuni pentru nerespectarea clauzelor contractuale. </w:t>
      </w:r>
    </w:p>
    <w:p w14:paraId="466265EC" w14:textId="0B10C51F" w:rsidR="00E50792" w:rsidRPr="009772A3" w:rsidRDefault="00E50792" w:rsidP="00E5079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În scopul sistematizării plăților propuse spre coordonare preventivă</w:t>
      </w:r>
      <w:r w:rsidR="00B958D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precum și a nivelului de monitorizare a acestora, prin scrisoarea SA Moldovagaz</w:t>
      </w:r>
      <w:r w:rsidRPr="009772A3">
        <w:rPr>
          <w:rFonts w:asciiTheme="majorHAnsi" w:hAnsiTheme="majorHAnsi" w:cstheme="majorHAnsi"/>
          <w:sz w:val="24"/>
          <w:szCs w:val="24"/>
          <w:vertAlign w:val="superscript"/>
          <w:lang w:val="ro-MD"/>
        </w:rPr>
        <w:footnoteReference w:id="207"/>
      </w:r>
      <w:r w:rsidRPr="009772A3">
        <w:rPr>
          <w:rFonts w:asciiTheme="majorHAnsi" w:hAnsiTheme="majorHAnsi" w:cstheme="majorHAnsi"/>
          <w:sz w:val="24"/>
          <w:szCs w:val="24"/>
          <w:lang w:val="ro-MD"/>
        </w:rPr>
        <w:t xml:space="preserve"> societățile afiliate urmau să propună săptămânal Planul achitărilor prognozate spre efectuare. Plata contractului menționat a fost inclusă în planul plăților la 15.04.2019 (plan separat față </w:t>
      </w:r>
      <w:r w:rsidR="00D33418" w:rsidRPr="009772A3">
        <w:rPr>
          <w:rFonts w:asciiTheme="majorHAnsi" w:hAnsiTheme="majorHAnsi" w:cstheme="majorHAnsi"/>
          <w:sz w:val="24"/>
          <w:szCs w:val="24"/>
          <w:lang w:val="ro-MD"/>
        </w:rPr>
        <w:t>de planul celorlalte plăți).</w:t>
      </w:r>
      <w:r w:rsidRPr="009772A3">
        <w:rPr>
          <w:rFonts w:asciiTheme="majorHAnsi" w:hAnsiTheme="majorHAnsi" w:cstheme="majorHAnsi"/>
          <w:sz w:val="24"/>
          <w:szCs w:val="24"/>
          <w:lang w:val="ro-MD"/>
        </w:rPr>
        <w:t xml:space="preserve"> Prin acordul adițional din 07.05.2019</w:t>
      </w:r>
      <w:r w:rsidR="00B958D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a fost prelungită perioada de acordare a împrumutului până la 60 </w:t>
      </w:r>
      <w:r w:rsidR="00B958DE" w:rsidRPr="009772A3">
        <w:rPr>
          <w:rFonts w:asciiTheme="majorHAnsi" w:hAnsiTheme="majorHAnsi" w:cstheme="majorHAnsi"/>
          <w:sz w:val="24"/>
          <w:szCs w:val="24"/>
          <w:lang w:val="ro-MD"/>
        </w:rPr>
        <w:t xml:space="preserve">de </w:t>
      </w:r>
      <w:r w:rsidRPr="009772A3">
        <w:rPr>
          <w:rFonts w:asciiTheme="majorHAnsi" w:hAnsiTheme="majorHAnsi" w:cstheme="majorHAnsi"/>
          <w:sz w:val="24"/>
          <w:szCs w:val="24"/>
          <w:lang w:val="ro-MD"/>
        </w:rPr>
        <w:t>zile.  Deși SRL</w:t>
      </w:r>
      <w:r w:rsidR="00B958DE"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Moldovatransgaz n</w:t>
      </w:r>
      <w:r w:rsidR="00B958DE" w:rsidRPr="009772A3">
        <w:rPr>
          <w:rFonts w:asciiTheme="majorHAnsi" w:hAnsiTheme="majorHAnsi" w:cstheme="majorHAnsi"/>
          <w:sz w:val="24"/>
          <w:szCs w:val="24"/>
          <w:lang w:val="ro-MD"/>
        </w:rPr>
        <w:t xml:space="preserve">u </w:t>
      </w:r>
      <w:r w:rsidRPr="009772A3">
        <w:rPr>
          <w:rFonts w:asciiTheme="majorHAnsi" w:hAnsiTheme="majorHAnsi" w:cstheme="majorHAnsi"/>
          <w:sz w:val="24"/>
          <w:szCs w:val="24"/>
          <w:lang w:val="ro-MD"/>
        </w:rPr>
        <w:t xml:space="preserve">a </w:t>
      </w:r>
      <w:r w:rsidR="00B958DE" w:rsidRPr="009772A3">
        <w:rPr>
          <w:rFonts w:asciiTheme="majorHAnsi" w:hAnsiTheme="majorHAnsi" w:cstheme="majorHAnsi"/>
          <w:sz w:val="24"/>
          <w:szCs w:val="24"/>
          <w:lang w:val="ro-MD"/>
        </w:rPr>
        <w:t>obținut</w:t>
      </w:r>
      <w:r w:rsidRPr="009772A3">
        <w:rPr>
          <w:rFonts w:asciiTheme="majorHAnsi" w:hAnsiTheme="majorHAnsi" w:cstheme="majorHAnsi"/>
          <w:sz w:val="24"/>
          <w:szCs w:val="24"/>
          <w:lang w:val="ro-MD"/>
        </w:rPr>
        <w:t xml:space="preserve"> acceptul fondatorului privind efectuarea plății respective, la 15.04.2019 a primit pe cont un avans de la SA Moldovagaz pentru servicii</w:t>
      </w:r>
      <w:r w:rsidR="00B958DE" w:rsidRPr="009772A3">
        <w:rPr>
          <w:rFonts w:asciiTheme="majorHAnsi" w:hAnsiTheme="majorHAnsi" w:cstheme="majorHAnsi"/>
          <w:sz w:val="24"/>
          <w:szCs w:val="24"/>
          <w:lang w:val="ro-MD"/>
        </w:rPr>
        <w:t>le</w:t>
      </w:r>
      <w:r w:rsidRPr="009772A3">
        <w:rPr>
          <w:rFonts w:asciiTheme="majorHAnsi" w:hAnsiTheme="majorHAnsi" w:cstheme="majorHAnsi"/>
          <w:sz w:val="24"/>
          <w:szCs w:val="24"/>
          <w:lang w:val="ro-MD"/>
        </w:rPr>
        <w:t xml:space="preserve"> de transport a</w:t>
      </w:r>
      <w:r w:rsidR="00B958DE" w:rsidRPr="009772A3">
        <w:rPr>
          <w:rFonts w:asciiTheme="majorHAnsi" w:hAnsiTheme="majorHAnsi" w:cstheme="majorHAnsi"/>
          <w:sz w:val="24"/>
          <w:szCs w:val="24"/>
          <w:lang w:val="ro-MD"/>
        </w:rPr>
        <w:t>l</w:t>
      </w:r>
      <w:r w:rsidRPr="009772A3">
        <w:rPr>
          <w:rFonts w:asciiTheme="majorHAnsi" w:hAnsiTheme="majorHAnsi" w:cstheme="majorHAnsi"/>
          <w:sz w:val="24"/>
          <w:szCs w:val="24"/>
          <w:lang w:val="ro-MD"/>
        </w:rPr>
        <w:t xml:space="preserve"> gazelor conform contractului 2MM-1</w:t>
      </w:r>
      <w:r w:rsidR="00DE4675" w:rsidRPr="009772A3">
        <w:rPr>
          <w:rFonts w:asciiTheme="majorHAnsi" w:hAnsiTheme="majorHAnsi" w:cstheme="majorHAnsi"/>
          <w:sz w:val="24"/>
          <w:szCs w:val="24"/>
          <w:lang w:val="ro-MD"/>
        </w:rPr>
        <w:t>6 din 30.12.2016</w:t>
      </w:r>
      <w:r w:rsidR="00B958DE" w:rsidRPr="009772A3">
        <w:rPr>
          <w:rFonts w:asciiTheme="majorHAnsi" w:hAnsiTheme="majorHAnsi" w:cstheme="majorHAnsi"/>
          <w:sz w:val="24"/>
          <w:szCs w:val="24"/>
          <w:lang w:val="ro-MD"/>
        </w:rPr>
        <w:t>,</w:t>
      </w:r>
      <w:r w:rsidR="00DE4675" w:rsidRPr="009772A3">
        <w:rPr>
          <w:rFonts w:asciiTheme="majorHAnsi" w:hAnsiTheme="majorHAnsi" w:cstheme="majorHAnsi"/>
          <w:sz w:val="24"/>
          <w:szCs w:val="24"/>
          <w:lang w:val="ro-MD"/>
        </w:rPr>
        <w:t xml:space="preserve"> în sumă de 100.</w:t>
      </w:r>
      <w:r w:rsidRPr="009772A3">
        <w:rPr>
          <w:rFonts w:asciiTheme="majorHAnsi" w:hAnsiTheme="majorHAnsi" w:cstheme="majorHAnsi"/>
          <w:sz w:val="24"/>
          <w:szCs w:val="24"/>
          <w:lang w:val="ro-MD"/>
        </w:rPr>
        <w:t>0</w:t>
      </w:r>
      <w:r w:rsidR="00DE4675"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DE4675"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În ace</w:t>
      </w:r>
      <w:r w:rsidR="00B958DE"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ași zi</w:t>
      </w:r>
      <w:r w:rsidR="00B958DE"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prin ordin</w:t>
      </w:r>
      <w:r w:rsidR="00B958DE" w:rsidRPr="009772A3">
        <w:rPr>
          <w:rFonts w:asciiTheme="majorHAnsi" w:hAnsiTheme="majorHAnsi" w:cstheme="majorHAnsi"/>
          <w:sz w:val="24"/>
          <w:szCs w:val="24"/>
          <w:lang w:val="ro-MD"/>
        </w:rPr>
        <w:t>ul</w:t>
      </w:r>
      <w:r w:rsidRPr="009772A3">
        <w:rPr>
          <w:rFonts w:asciiTheme="majorHAnsi" w:hAnsiTheme="majorHAnsi" w:cstheme="majorHAnsi"/>
          <w:sz w:val="24"/>
          <w:szCs w:val="24"/>
          <w:lang w:val="ro-MD"/>
        </w:rPr>
        <w:t xml:space="preserve"> de plată</w:t>
      </w:r>
      <w:r w:rsidRPr="009772A3">
        <w:rPr>
          <w:rFonts w:asciiTheme="majorHAnsi" w:hAnsiTheme="majorHAnsi" w:cstheme="majorHAnsi"/>
          <w:sz w:val="24"/>
          <w:vertAlign w:val="superscript"/>
          <w:lang w:val="ro-MD"/>
        </w:rPr>
        <w:footnoteReference w:id="208"/>
      </w:r>
      <w:r w:rsidRPr="009772A3">
        <w:rPr>
          <w:rFonts w:asciiTheme="majorHAnsi" w:hAnsiTheme="majorHAnsi" w:cstheme="majorHAnsi"/>
          <w:sz w:val="24"/>
          <w:szCs w:val="24"/>
          <w:lang w:val="ro-MD"/>
        </w:rPr>
        <w:t xml:space="preserve"> suma respectivă a fost transferată </w:t>
      </w:r>
      <w:r w:rsidR="00E458ED" w:rsidRPr="009772A3">
        <w:rPr>
          <w:rFonts w:asciiTheme="majorHAnsi" w:hAnsiTheme="majorHAnsi" w:cstheme="majorHAnsi"/>
          <w:sz w:val="24"/>
          <w:szCs w:val="24"/>
          <w:lang w:val="ro-MD"/>
        </w:rPr>
        <w:t>împrumutatului</w:t>
      </w:r>
      <w:r w:rsidRPr="009772A3">
        <w:rPr>
          <w:rFonts w:asciiTheme="majorHAnsi" w:hAnsiTheme="majorHAnsi" w:cstheme="majorHAnsi"/>
          <w:sz w:val="24"/>
          <w:szCs w:val="24"/>
          <w:lang w:val="ro-MD"/>
        </w:rPr>
        <w:t xml:space="preserve"> conform contractului încheiat. La 03.06.2019 și </w:t>
      </w:r>
      <w:r w:rsidR="00520D20" w:rsidRPr="009772A3">
        <w:rPr>
          <w:rFonts w:asciiTheme="majorHAnsi" w:hAnsiTheme="majorHAnsi" w:cstheme="majorHAnsi"/>
          <w:sz w:val="24"/>
          <w:szCs w:val="24"/>
          <w:lang w:val="ro-MD"/>
        </w:rPr>
        <w:t>la</w:t>
      </w:r>
      <w:r w:rsidR="00B223B8"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07.06.2019</w:t>
      </w:r>
      <w:r w:rsidR="00520D20"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00E458ED" w:rsidRPr="009772A3">
        <w:rPr>
          <w:rFonts w:asciiTheme="majorHAnsi" w:hAnsiTheme="majorHAnsi" w:cstheme="majorHAnsi"/>
          <w:sz w:val="24"/>
          <w:szCs w:val="24"/>
          <w:lang w:val="ro-MD"/>
        </w:rPr>
        <w:t>împrumutatul</w:t>
      </w:r>
      <w:r w:rsidRPr="009772A3">
        <w:rPr>
          <w:rFonts w:asciiTheme="majorHAnsi" w:hAnsiTheme="majorHAnsi" w:cstheme="majorHAnsi"/>
          <w:sz w:val="24"/>
          <w:szCs w:val="24"/>
          <w:lang w:val="ro-MD"/>
        </w:rPr>
        <w:t xml:space="preserve"> a </w:t>
      </w:r>
      <w:r w:rsidR="00B223B8" w:rsidRPr="009772A3">
        <w:rPr>
          <w:rFonts w:asciiTheme="majorHAnsi" w:hAnsiTheme="majorHAnsi" w:cstheme="majorHAnsi"/>
          <w:sz w:val="24"/>
          <w:szCs w:val="24"/>
          <w:lang w:val="ro-MD"/>
        </w:rPr>
        <w:t xml:space="preserve">rambursat </w:t>
      </w:r>
      <w:r w:rsidRPr="009772A3">
        <w:rPr>
          <w:rFonts w:asciiTheme="majorHAnsi" w:hAnsiTheme="majorHAnsi" w:cstheme="majorHAnsi"/>
          <w:sz w:val="24"/>
          <w:szCs w:val="24"/>
          <w:lang w:val="ro-MD"/>
        </w:rPr>
        <w:t>împrumutul, transferând pe c</w:t>
      </w:r>
      <w:r w:rsidR="00313B29" w:rsidRPr="009772A3">
        <w:rPr>
          <w:rFonts w:asciiTheme="majorHAnsi" w:hAnsiTheme="majorHAnsi" w:cstheme="majorHAnsi"/>
          <w:sz w:val="24"/>
          <w:szCs w:val="24"/>
          <w:lang w:val="ro-MD"/>
        </w:rPr>
        <w:t>ontul SRL Moldovatransgaz 10.</w:t>
      </w:r>
      <w:r w:rsidRPr="009772A3">
        <w:rPr>
          <w:rFonts w:asciiTheme="majorHAnsi" w:hAnsiTheme="majorHAnsi" w:cstheme="majorHAnsi"/>
          <w:sz w:val="24"/>
          <w:szCs w:val="24"/>
          <w:lang w:val="ro-MD"/>
        </w:rPr>
        <w:t>0</w:t>
      </w:r>
      <w:r w:rsidR="00313B29"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313B29" w:rsidRPr="009772A3">
        <w:rPr>
          <w:rFonts w:asciiTheme="majorHAnsi" w:hAnsiTheme="majorHAnsi" w:cstheme="majorHAnsi"/>
          <w:sz w:val="24"/>
          <w:szCs w:val="24"/>
          <w:lang w:val="ro-MD"/>
        </w:rPr>
        <w:t>i lei și</w:t>
      </w:r>
      <w:r w:rsidR="00B223B8" w:rsidRPr="009772A3">
        <w:rPr>
          <w:rFonts w:asciiTheme="majorHAnsi" w:hAnsiTheme="majorHAnsi" w:cstheme="majorHAnsi"/>
          <w:sz w:val="24"/>
          <w:szCs w:val="24"/>
          <w:lang w:val="ro-MD"/>
        </w:rPr>
        <w:t>,</w:t>
      </w:r>
      <w:r w:rsidR="00313B29" w:rsidRPr="009772A3">
        <w:rPr>
          <w:rFonts w:asciiTheme="majorHAnsi" w:hAnsiTheme="majorHAnsi" w:cstheme="majorHAnsi"/>
          <w:sz w:val="24"/>
          <w:szCs w:val="24"/>
          <w:lang w:val="ro-MD"/>
        </w:rPr>
        <w:t xml:space="preserve"> respectiv</w:t>
      </w:r>
      <w:r w:rsidR="00B223B8" w:rsidRPr="009772A3">
        <w:rPr>
          <w:rFonts w:asciiTheme="majorHAnsi" w:hAnsiTheme="majorHAnsi" w:cstheme="majorHAnsi"/>
          <w:sz w:val="24"/>
          <w:szCs w:val="24"/>
          <w:lang w:val="ro-MD"/>
        </w:rPr>
        <w:t>,</w:t>
      </w:r>
      <w:r w:rsidR="00313B29" w:rsidRPr="009772A3">
        <w:rPr>
          <w:rFonts w:asciiTheme="majorHAnsi" w:hAnsiTheme="majorHAnsi" w:cstheme="majorHAnsi"/>
          <w:sz w:val="24"/>
          <w:szCs w:val="24"/>
          <w:lang w:val="ro-MD"/>
        </w:rPr>
        <w:t xml:space="preserve"> 90.</w:t>
      </w:r>
      <w:r w:rsidRPr="009772A3">
        <w:rPr>
          <w:rFonts w:asciiTheme="majorHAnsi" w:hAnsiTheme="majorHAnsi" w:cstheme="majorHAnsi"/>
          <w:sz w:val="24"/>
          <w:szCs w:val="24"/>
          <w:lang w:val="ro-MD"/>
        </w:rPr>
        <w:t>0</w:t>
      </w:r>
      <w:r w:rsidR="00313B29" w:rsidRPr="009772A3">
        <w:rPr>
          <w:rFonts w:asciiTheme="majorHAnsi" w:hAnsiTheme="majorHAnsi" w:cstheme="majorHAnsi"/>
          <w:sz w:val="24"/>
          <w:szCs w:val="24"/>
          <w:lang w:val="ro-MD"/>
        </w:rPr>
        <w:t>00,0</w:t>
      </w:r>
      <w:r w:rsidRPr="009772A3">
        <w:rPr>
          <w:rFonts w:asciiTheme="majorHAnsi" w:hAnsiTheme="majorHAnsi" w:cstheme="majorHAnsi"/>
          <w:sz w:val="24"/>
          <w:szCs w:val="24"/>
          <w:lang w:val="ro-MD"/>
        </w:rPr>
        <w:t xml:space="preserve"> mi</w:t>
      </w:r>
      <w:r w:rsidR="00313B29"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w:t>
      </w:r>
      <w:r w:rsidR="00B223B8" w:rsidRPr="009772A3">
        <w:rPr>
          <w:rFonts w:asciiTheme="majorHAnsi" w:hAnsiTheme="majorHAnsi" w:cstheme="majorHAnsi"/>
          <w:sz w:val="24"/>
          <w:szCs w:val="24"/>
          <w:lang w:val="ro-MD"/>
        </w:rPr>
        <w:t>Ca u</w:t>
      </w:r>
      <w:r w:rsidRPr="009772A3">
        <w:rPr>
          <w:rFonts w:asciiTheme="majorHAnsi" w:hAnsiTheme="majorHAnsi" w:cstheme="majorHAnsi"/>
          <w:sz w:val="24"/>
          <w:szCs w:val="24"/>
          <w:lang w:val="ro-MD"/>
        </w:rPr>
        <w:t xml:space="preserve">rmare </w:t>
      </w:r>
      <w:r w:rsidR="00B223B8"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acestei tranzacții</w:t>
      </w:r>
      <w:r w:rsidR="00B223B8"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SRL Moldovatransgaz a </w:t>
      </w:r>
      <w:r w:rsidR="00B223B8" w:rsidRPr="009772A3">
        <w:rPr>
          <w:rFonts w:asciiTheme="majorHAnsi" w:hAnsiTheme="majorHAnsi" w:cstheme="majorHAnsi"/>
          <w:sz w:val="24"/>
          <w:szCs w:val="24"/>
          <w:lang w:val="ro-MD"/>
        </w:rPr>
        <w:t xml:space="preserve">obținut </w:t>
      </w:r>
      <w:r w:rsidRPr="009772A3">
        <w:rPr>
          <w:rFonts w:asciiTheme="majorHAnsi" w:hAnsiTheme="majorHAnsi" w:cstheme="majorHAnsi"/>
          <w:sz w:val="24"/>
          <w:szCs w:val="24"/>
          <w:lang w:val="ro-MD"/>
        </w:rPr>
        <w:t xml:space="preserve">un venit din dobândă </w:t>
      </w:r>
      <w:r w:rsidR="00D815C9" w:rsidRPr="009772A3">
        <w:rPr>
          <w:rFonts w:asciiTheme="majorHAnsi" w:hAnsiTheme="majorHAnsi" w:cstheme="majorHAnsi"/>
          <w:sz w:val="24"/>
          <w:szCs w:val="24"/>
          <w:lang w:val="ro-MD"/>
        </w:rPr>
        <w:t>în sumă de 1.</w:t>
      </w:r>
      <w:r w:rsidRPr="009772A3">
        <w:rPr>
          <w:rFonts w:asciiTheme="majorHAnsi" w:hAnsiTheme="majorHAnsi" w:cstheme="majorHAnsi"/>
          <w:sz w:val="24"/>
          <w:szCs w:val="24"/>
          <w:lang w:val="ro-MD"/>
        </w:rPr>
        <w:t>023</w:t>
      </w:r>
      <w:r w:rsidR="00D815C9" w:rsidRPr="009772A3">
        <w:rPr>
          <w:rFonts w:asciiTheme="majorHAnsi" w:hAnsiTheme="majorHAnsi" w:cstheme="majorHAnsi"/>
          <w:sz w:val="24"/>
          <w:szCs w:val="24"/>
          <w:lang w:val="ro-MD"/>
        </w:rPr>
        <w:t>,0</w:t>
      </w:r>
      <w:r w:rsidRPr="009772A3">
        <w:rPr>
          <w:rFonts w:asciiTheme="majorHAnsi" w:hAnsiTheme="majorHAnsi" w:cstheme="majorHAnsi"/>
          <w:sz w:val="24"/>
          <w:szCs w:val="24"/>
          <w:lang w:val="ro-MD"/>
        </w:rPr>
        <w:t xml:space="preserve"> mi</w:t>
      </w:r>
      <w:r w:rsidR="00D815C9" w:rsidRPr="009772A3">
        <w:rPr>
          <w:rFonts w:asciiTheme="majorHAnsi" w:hAnsiTheme="majorHAnsi" w:cstheme="majorHAnsi"/>
          <w:sz w:val="24"/>
          <w:szCs w:val="24"/>
          <w:lang w:val="ro-MD"/>
        </w:rPr>
        <w:t>i</w:t>
      </w:r>
      <w:r w:rsidRPr="009772A3">
        <w:rPr>
          <w:rFonts w:asciiTheme="majorHAnsi" w:hAnsiTheme="majorHAnsi" w:cstheme="majorHAnsi"/>
          <w:sz w:val="24"/>
          <w:szCs w:val="24"/>
          <w:lang w:val="ro-MD"/>
        </w:rPr>
        <w:t xml:space="preserve"> lei, care a fost transferat pe contul societății la 07.06.2019.</w:t>
      </w:r>
    </w:p>
    <w:p w14:paraId="5A37BD1F" w14:textId="15BF85CC" w:rsidR="00FD1AA6" w:rsidRPr="009772A3" w:rsidRDefault="00A752FB" w:rsidP="00456294">
      <w:pPr>
        <w:pStyle w:val="Heading1"/>
        <w:numPr>
          <w:ilvl w:val="2"/>
          <w:numId w:val="2"/>
        </w:numPr>
        <w:spacing w:line="276" w:lineRule="auto"/>
        <w:ind w:left="0" w:firstLine="0"/>
        <w:jc w:val="both"/>
        <w:rPr>
          <w:color w:val="auto"/>
          <w:lang w:val="ro-MD"/>
        </w:rPr>
      </w:pPr>
      <w:bookmarkStart w:id="274" w:name="_Toc118885396"/>
      <w:bookmarkStart w:id="275" w:name="_Toc118885546"/>
      <w:bookmarkStart w:id="276" w:name="_Toc118886790"/>
      <w:bookmarkStart w:id="277" w:name="_Toc118964705"/>
      <w:bookmarkStart w:id="278" w:name="_Toc118977917"/>
      <w:bookmarkStart w:id="279" w:name="_Toc119245524"/>
      <w:bookmarkStart w:id="280" w:name="_Toc119496476"/>
      <w:bookmarkEnd w:id="274"/>
      <w:bookmarkEnd w:id="275"/>
      <w:bookmarkEnd w:id="276"/>
      <w:bookmarkEnd w:id="277"/>
      <w:bookmarkEnd w:id="278"/>
      <w:bookmarkEnd w:id="279"/>
      <w:r w:rsidRPr="009772A3">
        <w:rPr>
          <w:color w:val="auto"/>
          <w:lang w:val="ro-MD"/>
        </w:rPr>
        <w:t>Subdiviziunea de a</w:t>
      </w:r>
      <w:r w:rsidR="00FD1AA6" w:rsidRPr="009772A3">
        <w:rPr>
          <w:color w:val="auto"/>
          <w:lang w:val="ro-MD"/>
        </w:rPr>
        <w:t>udit intern</w:t>
      </w:r>
      <w:r w:rsidRPr="009772A3">
        <w:rPr>
          <w:color w:val="auto"/>
          <w:lang w:val="ro-MD"/>
        </w:rPr>
        <w:t xml:space="preserve"> este preponderent axată pe efectuarea controalelor financiare în cadrul întreprinderilor de transport și </w:t>
      </w:r>
      <w:r w:rsidR="00BC472A" w:rsidRPr="009772A3">
        <w:rPr>
          <w:color w:val="auto"/>
          <w:lang w:val="ro-MD"/>
        </w:rPr>
        <w:t xml:space="preserve">distribuție a gazelor naturale, și </w:t>
      </w:r>
      <w:r w:rsidR="00F80788" w:rsidRPr="009772A3">
        <w:rPr>
          <w:color w:val="auto"/>
          <w:lang w:val="ro-MD"/>
        </w:rPr>
        <w:t>nu</w:t>
      </w:r>
      <w:r w:rsidR="00BC472A" w:rsidRPr="009772A3">
        <w:rPr>
          <w:color w:val="auto"/>
          <w:lang w:val="ro-MD"/>
        </w:rPr>
        <w:t xml:space="preserve"> pe </w:t>
      </w:r>
      <w:r w:rsidR="008367CA">
        <w:rPr>
          <w:color w:val="auto"/>
          <w:lang w:val="ro-MD"/>
        </w:rPr>
        <w:t xml:space="preserve">verificarea </w:t>
      </w:r>
      <w:r w:rsidR="00BC472A" w:rsidRPr="009772A3">
        <w:rPr>
          <w:color w:val="auto"/>
          <w:lang w:val="ro-MD"/>
        </w:rPr>
        <w:t>activitățil</w:t>
      </w:r>
      <w:r w:rsidR="008367CA">
        <w:rPr>
          <w:color w:val="auto"/>
          <w:lang w:val="ro-MD"/>
        </w:rPr>
        <w:t>or</w:t>
      </w:r>
      <w:r w:rsidR="00BC472A" w:rsidRPr="009772A3">
        <w:rPr>
          <w:color w:val="auto"/>
          <w:lang w:val="ro-MD"/>
        </w:rPr>
        <w:t xml:space="preserve"> SA Moldovagaz,</w:t>
      </w:r>
      <w:r w:rsidR="008E79B4" w:rsidRPr="009772A3">
        <w:rPr>
          <w:color w:val="auto"/>
          <w:lang w:val="ro-MD"/>
        </w:rPr>
        <w:t xml:space="preserve"> fapt ce </w:t>
      </w:r>
      <w:r w:rsidR="00F80788" w:rsidRPr="009772A3">
        <w:rPr>
          <w:color w:val="auto"/>
          <w:lang w:val="ro-MD"/>
        </w:rPr>
        <w:t>nu</w:t>
      </w:r>
      <w:r w:rsidR="008E79B4" w:rsidRPr="009772A3">
        <w:rPr>
          <w:color w:val="auto"/>
          <w:lang w:val="ro-MD"/>
        </w:rPr>
        <w:t xml:space="preserve"> contribui</w:t>
      </w:r>
      <w:r w:rsidR="00F80788" w:rsidRPr="009772A3">
        <w:rPr>
          <w:color w:val="auto"/>
          <w:lang w:val="ro-MD"/>
        </w:rPr>
        <w:t>e</w:t>
      </w:r>
      <w:r w:rsidR="00BC472A" w:rsidRPr="009772A3">
        <w:rPr>
          <w:color w:val="auto"/>
          <w:lang w:val="ro-MD"/>
        </w:rPr>
        <w:t xml:space="preserve"> la îmbunătăţirea proceselor de guvernanţă, managementul riscului şi control în cadrul companiei</w:t>
      </w:r>
      <w:r w:rsidR="00786E33" w:rsidRPr="009772A3">
        <w:rPr>
          <w:color w:val="auto"/>
          <w:lang w:val="ro-MD"/>
        </w:rPr>
        <w:t>-</w:t>
      </w:r>
      <w:r w:rsidR="00BC472A" w:rsidRPr="009772A3">
        <w:rPr>
          <w:color w:val="auto"/>
          <w:lang w:val="ro-MD"/>
        </w:rPr>
        <w:t>mamă.</w:t>
      </w:r>
      <w:bookmarkEnd w:id="280"/>
    </w:p>
    <w:p w14:paraId="17778EC0" w14:textId="2D0CA375" w:rsidR="002734F2" w:rsidRPr="009772A3" w:rsidRDefault="002734F2" w:rsidP="002734F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Potrivit Standardelor internaționale de audit intern</w:t>
      </w:r>
      <w:r w:rsidRPr="009772A3">
        <w:rPr>
          <w:rFonts w:asciiTheme="majorHAnsi" w:hAnsiTheme="majorHAnsi" w:cstheme="majorHAnsi"/>
          <w:sz w:val="24"/>
          <w:szCs w:val="24"/>
          <w:vertAlign w:val="superscript"/>
          <w:lang w:val="ro-MD"/>
        </w:rPr>
        <w:footnoteReference w:id="209"/>
      </w:r>
      <w:r w:rsidRPr="009772A3">
        <w:rPr>
          <w:rFonts w:asciiTheme="majorHAnsi" w:hAnsiTheme="majorHAnsi" w:cstheme="majorHAnsi"/>
          <w:sz w:val="24"/>
          <w:szCs w:val="24"/>
          <w:lang w:val="ro-MD"/>
        </w:rPr>
        <w:t xml:space="preserve">, activitatea de audit intern trebuie să evalueze şi să contribuie la îmbunătăţirea proceselor de guvernanţă, managementul riscului şi controlul organizaţiei, folosind o abordare sistematică şi metodică bazată pe risc. </w:t>
      </w:r>
    </w:p>
    <w:p w14:paraId="50749748" w14:textId="09DB2D0D" w:rsidR="00590370" w:rsidRPr="009772A3" w:rsidRDefault="002734F2" w:rsidP="002734F2">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Deși în cadrul SA Moldovagaz a fost instituită și funcționează subdiviziunea de audit intern cu 4 unități de personal, aceasta nu efectuează misiuni de audit intern în cadrul societății pe acțiuni</w:t>
      </w:r>
      <w:r w:rsidR="00590370" w:rsidRPr="009772A3">
        <w:rPr>
          <w:rFonts w:asciiTheme="majorHAnsi" w:hAnsiTheme="majorHAnsi" w:cstheme="majorHAnsi"/>
          <w:sz w:val="24"/>
          <w:szCs w:val="24"/>
          <w:lang w:val="ro-MD"/>
        </w:rPr>
        <w:t>, ca companie</w:t>
      </w:r>
      <w:r w:rsidR="00A80989" w:rsidRPr="009772A3">
        <w:rPr>
          <w:rFonts w:asciiTheme="majorHAnsi" w:hAnsiTheme="majorHAnsi" w:cstheme="majorHAnsi"/>
          <w:sz w:val="24"/>
          <w:szCs w:val="24"/>
          <w:lang w:val="ro-MD"/>
        </w:rPr>
        <w:t>-</w:t>
      </w:r>
      <w:r w:rsidR="00590370" w:rsidRPr="009772A3">
        <w:rPr>
          <w:rFonts w:asciiTheme="majorHAnsi" w:hAnsiTheme="majorHAnsi" w:cstheme="majorHAnsi"/>
          <w:sz w:val="24"/>
          <w:szCs w:val="24"/>
          <w:lang w:val="ro-MD"/>
        </w:rPr>
        <w:t>mamă</w:t>
      </w:r>
      <w:r w:rsidRPr="009772A3">
        <w:rPr>
          <w:rFonts w:asciiTheme="majorHAnsi" w:hAnsiTheme="majorHAnsi" w:cstheme="majorHAnsi"/>
          <w:sz w:val="24"/>
          <w:szCs w:val="24"/>
          <w:lang w:val="ro-MD"/>
        </w:rPr>
        <w:t xml:space="preserve">, </w:t>
      </w:r>
      <w:r w:rsidR="006976A1" w:rsidRPr="009772A3">
        <w:rPr>
          <w:rFonts w:asciiTheme="majorHAnsi" w:hAnsiTheme="majorHAnsi" w:cstheme="majorHAnsi"/>
          <w:sz w:val="24"/>
          <w:szCs w:val="24"/>
          <w:lang w:val="ro-MD"/>
        </w:rPr>
        <w:t>neoferind</w:t>
      </w:r>
      <w:r w:rsidR="0093752E" w:rsidRPr="009772A3">
        <w:rPr>
          <w:rFonts w:asciiTheme="majorHAnsi" w:hAnsiTheme="majorHAnsi" w:cstheme="majorHAnsi"/>
          <w:sz w:val="24"/>
          <w:szCs w:val="24"/>
          <w:lang w:val="ro-MD"/>
        </w:rPr>
        <w:t xml:space="preserve"> organel</w:t>
      </w:r>
      <w:r w:rsidR="006976A1" w:rsidRPr="009772A3">
        <w:rPr>
          <w:rFonts w:asciiTheme="majorHAnsi" w:hAnsiTheme="majorHAnsi" w:cstheme="majorHAnsi"/>
          <w:sz w:val="24"/>
          <w:szCs w:val="24"/>
          <w:lang w:val="ro-MD"/>
        </w:rPr>
        <w:t>or</w:t>
      </w:r>
      <w:r w:rsidR="0093752E" w:rsidRPr="009772A3">
        <w:rPr>
          <w:rFonts w:asciiTheme="majorHAnsi" w:hAnsiTheme="majorHAnsi" w:cstheme="majorHAnsi"/>
          <w:sz w:val="24"/>
          <w:szCs w:val="24"/>
          <w:lang w:val="ro-MD"/>
        </w:rPr>
        <w:t xml:space="preserve"> de conducere </w:t>
      </w:r>
      <w:r w:rsidR="006976A1" w:rsidRPr="009772A3">
        <w:rPr>
          <w:rFonts w:asciiTheme="majorHAnsi" w:hAnsiTheme="majorHAnsi" w:cstheme="majorHAnsi"/>
          <w:sz w:val="24"/>
          <w:szCs w:val="24"/>
          <w:lang w:val="ro-MD"/>
        </w:rPr>
        <w:t>rapoarte</w:t>
      </w:r>
      <w:r w:rsidR="00590370"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de asigurare destinate să aducă valoare </w:t>
      </w:r>
      <w:r w:rsidR="006976A1" w:rsidRPr="009772A3">
        <w:rPr>
          <w:rFonts w:asciiTheme="majorHAnsi" w:hAnsiTheme="majorHAnsi" w:cstheme="majorHAnsi"/>
          <w:sz w:val="24"/>
          <w:szCs w:val="24"/>
          <w:lang w:val="ro-MD"/>
        </w:rPr>
        <w:t>societății</w:t>
      </w:r>
      <w:r w:rsidRPr="009772A3">
        <w:rPr>
          <w:rFonts w:asciiTheme="majorHAnsi" w:hAnsiTheme="majorHAnsi" w:cstheme="majorHAnsi"/>
          <w:sz w:val="24"/>
          <w:szCs w:val="24"/>
          <w:lang w:val="ro-MD"/>
        </w:rPr>
        <w:t xml:space="preserve">, </w:t>
      </w:r>
      <w:r w:rsidR="00590370" w:rsidRPr="009772A3">
        <w:rPr>
          <w:rFonts w:asciiTheme="majorHAnsi" w:hAnsiTheme="majorHAnsi" w:cstheme="majorHAnsi"/>
          <w:sz w:val="24"/>
          <w:szCs w:val="24"/>
          <w:lang w:val="ro-MD"/>
        </w:rPr>
        <w:t xml:space="preserve">prin contribuția sa la </w:t>
      </w:r>
      <w:r w:rsidRPr="009772A3">
        <w:rPr>
          <w:rFonts w:asciiTheme="majorHAnsi" w:hAnsiTheme="majorHAnsi" w:cstheme="majorHAnsi"/>
          <w:sz w:val="24"/>
          <w:szCs w:val="24"/>
          <w:lang w:val="ro-MD"/>
        </w:rPr>
        <w:t>îmbunătăţirea proceselor de guvernanţă</w:t>
      </w:r>
      <w:r w:rsidR="00590370" w:rsidRPr="009772A3">
        <w:rPr>
          <w:rFonts w:asciiTheme="majorHAnsi" w:hAnsiTheme="majorHAnsi" w:cstheme="majorHAnsi"/>
          <w:sz w:val="24"/>
          <w:szCs w:val="24"/>
          <w:lang w:val="ro-MD"/>
        </w:rPr>
        <w:t xml:space="preserve"> corporativă</w:t>
      </w:r>
      <w:r w:rsidRPr="009772A3">
        <w:rPr>
          <w:rFonts w:asciiTheme="majorHAnsi" w:hAnsiTheme="majorHAnsi" w:cstheme="majorHAnsi"/>
          <w:sz w:val="24"/>
          <w:szCs w:val="24"/>
          <w:lang w:val="ro-MD"/>
        </w:rPr>
        <w:t xml:space="preserve">, managementul riscului şi controlul </w:t>
      </w:r>
      <w:r w:rsidR="00737F35" w:rsidRPr="009772A3">
        <w:rPr>
          <w:rFonts w:asciiTheme="majorHAnsi" w:hAnsiTheme="majorHAnsi" w:cstheme="majorHAnsi"/>
          <w:sz w:val="24"/>
          <w:szCs w:val="24"/>
          <w:lang w:val="ro-MD"/>
        </w:rPr>
        <w:t>intern</w:t>
      </w:r>
      <w:r w:rsidRPr="009772A3">
        <w:rPr>
          <w:rFonts w:asciiTheme="majorHAnsi" w:hAnsiTheme="majorHAnsi" w:cstheme="majorHAnsi"/>
          <w:sz w:val="24"/>
          <w:szCs w:val="24"/>
          <w:lang w:val="ro-MD"/>
        </w:rPr>
        <w:t xml:space="preserve">. </w:t>
      </w:r>
    </w:p>
    <w:p w14:paraId="61DB16DD" w14:textId="050E7063" w:rsidR="00B1216F" w:rsidRPr="009772A3" w:rsidRDefault="00737F35" w:rsidP="00B1216F">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Astfel</w:t>
      </w:r>
      <w:r w:rsidR="002734F2" w:rsidRPr="009772A3">
        <w:rPr>
          <w:rFonts w:asciiTheme="majorHAnsi" w:hAnsiTheme="majorHAnsi" w:cstheme="majorHAnsi"/>
          <w:sz w:val="24"/>
          <w:szCs w:val="24"/>
          <w:lang w:val="ro-MD"/>
        </w:rPr>
        <w:t xml:space="preserve">, se remarcă </w:t>
      </w:r>
      <w:r w:rsidRPr="009772A3">
        <w:rPr>
          <w:rFonts w:asciiTheme="majorHAnsi" w:hAnsiTheme="majorHAnsi" w:cstheme="majorHAnsi"/>
          <w:sz w:val="24"/>
          <w:szCs w:val="24"/>
          <w:lang w:val="ro-MD"/>
        </w:rPr>
        <w:t xml:space="preserve">necesitatea </w:t>
      </w:r>
      <w:r w:rsidR="002734F2" w:rsidRPr="009772A3">
        <w:rPr>
          <w:rFonts w:asciiTheme="majorHAnsi" w:hAnsiTheme="majorHAnsi" w:cstheme="majorHAnsi"/>
          <w:sz w:val="24"/>
          <w:szCs w:val="24"/>
          <w:lang w:val="ro-MD"/>
        </w:rPr>
        <w:t>elabor</w:t>
      </w:r>
      <w:r w:rsidRPr="009772A3">
        <w:rPr>
          <w:rFonts w:asciiTheme="majorHAnsi" w:hAnsiTheme="majorHAnsi" w:cstheme="majorHAnsi"/>
          <w:sz w:val="24"/>
          <w:szCs w:val="24"/>
          <w:lang w:val="ro-MD"/>
        </w:rPr>
        <w:t>ării</w:t>
      </w:r>
      <w:r w:rsidR="002734F2" w:rsidRPr="009772A3">
        <w:rPr>
          <w:rFonts w:asciiTheme="majorHAnsi" w:hAnsiTheme="majorHAnsi" w:cstheme="majorHAnsi"/>
          <w:sz w:val="24"/>
          <w:szCs w:val="24"/>
          <w:lang w:val="ro-MD"/>
        </w:rPr>
        <w:t xml:space="preserve"> și aprob</w:t>
      </w:r>
      <w:r w:rsidRPr="009772A3">
        <w:rPr>
          <w:rFonts w:asciiTheme="majorHAnsi" w:hAnsiTheme="majorHAnsi" w:cstheme="majorHAnsi"/>
          <w:sz w:val="24"/>
          <w:szCs w:val="24"/>
          <w:lang w:val="ro-MD"/>
        </w:rPr>
        <w:t>ării</w:t>
      </w:r>
      <w:r w:rsidR="002734F2" w:rsidRPr="009772A3">
        <w:rPr>
          <w:rFonts w:asciiTheme="majorHAnsi" w:hAnsiTheme="majorHAnsi" w:cstheme="majorHAnsi"/>
          <w:sz w:val="24"/>
          <w:szCs w:val="24"/>
          <w:lang w:val="ro-MD"/>
        </w:rPr>
        <w:t xml:space="preserve"> cartei de audit intern </w:t>
      </w:r>
      <w:r w:rsidRPr="009772A3">
        <w:rPr>
          <w:rFonts w:asciiTheme="majorHAnsi" w:hAnsiTheme="majorHAnsi" w:cstheme="majorHAnsi"/>
          <w:sz w:val="24"/>
          <w:szCs w:val="24"/>
          <w:lang w:val="ro-MD"/>
        </w:rPr>
        <w:t xml:space="preserve">pentru </w:t>
      </w:r>
      <w:r w:rsidR="002734F2" w:rsidRPr="009772A3">
        <w:rPr>
          <w:rFonts w:asciiTheme="majorHAnsi" w:hAnsiTheme="majorHAnsi" w:cstheme="majorHAnsi"/>
          <w:sz w:val="24"/>
          <w:szCs w:val="24"/>
          <w:lang w:val="ro-MD"/>
        </w:rPr>
        <w:t>activitatea subdiviziunii</w:t>
      </w:r>
      <w:r w:rsidR="00A80989" w:rsidRPr="009772A3">
        <w:rPr>
          <w:rFonts w:asciiTheme="majorHAnsi" w:hAnsiTheme="majorHAnsi" w:cstheme="majorHAnsi"/>
          <w:sz w:val="24"/>
          <w:szCs w:val="24"/>
          <w:lang w:val="ro-MD"/>
        </w:rPr>
        <w:t>,</w:t>
      </w:r>
      <w:r w:rsidR="002734F2"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care actualmente se </w:t>
      </w:r>
      <w:r w:rsidR="002734F2" w:rsidRPr="009772A3">
        <w:rPr>
          <w:rFonts w:asciiTheme="majorHAnsi" w:hAnsiTheme="majorHAnsi" w:cstheme="majorHAnsi"/>
          <w:sz w:val="24"/>
          <w:szCs w:val="24"/>
          <w:lang w:val="ro-MD"/>
        </w:rPr>
        <w:t xml:space="preserve">desfășurată în baza Regulamentului </w:t>
      </w:r>
      <w:r w:rsidR="00A80989" w:rsidRPr="009772A3">
        <w:rPr>
          <w:rFonts w:asciiTheme="majorHAnsi" w:hAnsiTheme="majorHAnsi" w:cstheme="majorHAnsi"/>
          <w:sz w:val="24"/>
          <w:szCs w:val="24"/>
          <w:lang w:val="ro-MD"/>
        </w:rPr>
        <w:t>S</w:t>
      </w:r>
      <w:r w:rsidR="002734F2" w:rsidRPr="009772A3">
        <w:rPr>
          <w:rFonts w:asciiTheme="majorHAnsi" w:hAnsiTheme="majorHAnsi" w:cstheme="majorHAnsi"/>
          <w:sz w:val="24"/>
          <w:szCs w:val="24"/>
          <w:lang w:val="ro-MD"/>
        </w:rPr>
        <w:t>ecției audit intern și control</w:t>
      </w:r>
      <w:r w:rsidR="002734F2" w:rsidRPr="009772A3">
        <w:rPr>
          <w:rFonts w:asciiTheme="majorHAnsi" w:hAnsiTheme="majorHAnsi" w:cstheme="majorHAnsi"/>
          <w:vertAlign w:val="superscript"/>
          <w:lang w:val="ro-MD"/>
        </w:rPr>
        <w:footnoteReference w:id="210"/>
      </w:r>
      <w:r w:rsidR="002734F2"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și urmează a fi</w:t>
      </w:r>
      <w:r w:rsidR="002734F2" w:rsidRPr="009772A3">
        <w:rPr>
          <w:rFonts w:asciiTheme="majorHAnsi" w:hAnsiTheme="majorHAnsi" w:cstheme="majorHAnsi"/>
          <w:sz w:val="24"/>
          <w:szCs w:val="24"/>
          <w:lang w:val="ro-MD"/>
        </w:rPr>
        <w:t xml:space="preserve"> racordat</w:t>
      </w:r>
      <w:r w:rsidR="003E0C58" w:rsidRPr="009772A3">
        <w:rPr>
          <w:rFonts w:asciiTheme="majorHAnsi" w:hAnsiTheme="majorHAnsi" w:cstheme="majorHAnsi"/>
          <w:sz w:val="24"/>
          <w:szCs w:val="24"/>
          <w:lang w:val="ro-MD"/>
        </w:rPr>
        <w:t>ă</w:t>
      </w:r>
      <w:r w:rsidR="002734F2" w:rsidRPr="009772A3">
        <w:rPr>
          <w:rFonts w:asciiTheme="majorHAnsi" w:hAnsiTheme="majorHAnsi" w:cstheme="majorHAnsi"/>
          <w:sz w:val="24"/>
          <w:szCs w:val="24"/>
          <w:lang w:val="ro-MD"/>
        </w:rPr>
        <w:t xml:space="preserve"> la prevederile Standardelor internaționale de audit intern. Regulamentul aprobat nu reglementează tipul misiunilor de asigurare</w:t>
      </w:r>
      <w:r w:rsidR="002734F2" w:rsidRPr="009772A3">
        <w:rPr>
          <w:rFonts w:asciiTheme="majorHAnsi" w:hAnsiTheme="majorHAnsi" w:cstheme="majorHAnsi"/>
          <w:vertAlign w:val="superscript"/>
          <w:lang w:val="ro-MD"/>
        </w:rPr>
        <w:footnoteReference w:id="211"/>
      </w:r>
      <w:r w:rsidR="002734F2" w:rsidRPr="009772A3">
        <w:rPr>
          <w:rFonts w:asciiTheme="majorHAnsi" w:hAnsiTheme="majorHAnsi" w:cstheme="majorHAnsi"/>
          <w:sz w:val="24"/>
          <w:szCs w:val="24"/>
          <w:vertAlign w:val="superscript"/>
          <w:lang w:val="ro-MD"/>
        </w:rPr>
        <w:t xml:space="preserve"> </w:t>
      </w:r>
      <w:r w:rsidR="002734F2" w:rsidRPr="009772A3">
        <w:rPr>
          <w:rFonts w:asciiTheme="majorHAnsi" w:hAnsiTheme="majorHAnsi" w:cstheme="majorHAnsi"/>
          <w:sz w:val="24"/>
          <w:szCs w:val="24"/>
          <w:lang w:val="ro-MD"/>
        </w:rPr>
        <w:t>care ar fi trebuit definite în carta auditului intern și nu prevede realizarea misiunilor de audit intern în cadrul</w:t>
      </w:r>
      <w:r w:rsidR="00412C5D" w:rsidRPr="009772A3">
        <w:rPr>
          <w:rFonts w:asciiTheme="majorHAnsi" w:hAnsiTheme="majorHAnsi" w:cstheme="majorHAnsi"/>
          <w:sz w:val="24"/>
          <w:szCs w:val="24"/>
          <w:lang w:val="ro-MD"/>
        </w:rPr>
        <w:t xml:space="preserve"> SA </w:t>
      </w:r>
      <w:r w:rsidR="002734F2" w:rsidRPr="009772A3">
        <w:rPr>
          <w:rFonts w:asciiTheme="majorHAnsi" w:hAnsiTheme="majorHAnsi" w:cstheme="majorHAnsi"/>
          <w:sz w:val="24"/>
          <w:szCs w:val="24"/>
          <w:lang w:val="ro-MD"/>
        </w:rPr>
        <w:t>Moldovagaz, ci doar a controalelor documentare ale activității economico-financiare a societăților afiliate.</w:t>
      </w:r>
      <w:r w:rsidR="00B1216F" w:rsidRPr="009772A3">
        <w:rPr>
          <w:rFonts w:asciiTheme="majorHAnsi" w:hAnsiTheme="majorHAnsi" w:cstheme="majorHAnsi"/>
          <w:sz w:val="24"/>
          <w:szCs w:val="24"/>
          <w:lang w:val="ro-MD"/>
        </w:rPr>
        <w:t xml:space="preserve"> Astfel, situațiile constatate aferente activității de audit intern </w:t>
      </w:r>
      <w:r w:rsidR="007625BC" w:rsidRPr="009772A3">
        <w:rPr>
          <w:rFonts w:asciiTheme="majorHAnsi" w:hAnsiTheme="majorHAnsi" w:cstheme="majorHAnsi"/>
          <w:sz w:val="24"/>
          <w:szCs w:val="24"/>
          <w:lang w:val="ro-MD"/>
        </w:rPr>
        <w:t>nu asigură</w:t>
      </w:r>
      <w:r w:rsidR="00B1216F" w:rsidRPr="009772A3">
        <w:rPr>
          <w:rFonts w:asciiTheme="majorHAnsi" w:hAnsiTheme="majorHAnsi" w:cstheme="majorHAnsi"/>
          <w:sz w:val="24"/>
          <w:szCs w:val="24"/>
          <w:lang w:val="ro-MD"/>
        </w:rPr>
        <w:t xml:space="preserve"> buna guvernanță corporativă în vederea </w:t>
      </w:r>
      <w:r w:rsidR="007625BC" w:rsidRPr="009772A3">
        <w:rPr>
          <w:rFonts w:asciiTheme="majorHAnsi" w:hAnsiTheme="majorHAnsi" w:cstheme="majorHAnsi"/>
          <w:sz w:val="24"/>
          <w:szCs w:val="24"/>
          <w:lang w:val="ro-MD"/>
        </w:rPr>
        <w:t>îmbunătățirii</w:t>
      </w:r>
      <w:r w:rsidR="00B1216F" w:rsidRPr="009772A3">
        <w:rPr>
          <w:rFonts w:asciiTheme="majorHAnsi" w:hAnsiTheme="majorHAnsi" w:cstheme="majorHAnsi"/>
          <w:sz w:val="24"/>
          <w:szCs w:val="24"/>
          <w:lang w:val="ro-MD"/>
        </w:rPr>
        <w:t xml:space="preserve"> rezultatelor planificate de SA Moldovagaz.</w:t>
      </w:r>
    </w:p>
    <w:p w14:paraId="0E03E6BE" w14:textId="15FA2F7A" w:rsidR="00590370" w:rsidRPr="009772A3" w:rsidRDefault="00590370" w:rsidP="002734F2">
      <w:pPr>
        <w:spacing w:after="0" w:line="276" w:lineRule="auto"/>
        <w:ind w:firstLine="709"/>
        <w:jc w:val="both"/>
        <w:rPr>
          <w:rFonts w:asciiTheme="majorHAnsi" w:hAnsiTheme="majorHAnsi" w:cstheme="majorHAnsi"/>
          <w:i/>
          <w:sz w:val="24"/>
          <w:szCs w:val="24"/>
          <w:lang w:val="ro-MD"/>
        </w:rPr>
      </w:pPr>
      <w:r w:rsidRPr="009772A3">
        <w:rPr>
          <w:rFonts w:asciiTheme="majorHAnsi" w:hAnsiTheme="majorHAnsi" w:cstheme="majorHAnsi"/>
          <w:i/>
          <w:sz w:val="24"/>
          <w:szCs w:val="24"/>
          <w:lang w:val="ro-MD"/>
        </w:rPr>
        <w:t xml:space="preserve">Notă: În anul 2022, Secția audit intern și control a revizuit Regulamentul de activitate, care a fost </w:t>
      </w:r>
      <w:r w:rsidR="00A80989" w:rsidRPr="009772A3">
        <w:rPr>
          <w:rFonts w:asciiTheme="majorHAnsi" w:hAnsiTheme="majorHAnsi" w:cstheme="majorHAnsi"/>
          <w:i/>
          <w:sz w:val="24"/>
          <w:szCs w:val="24"/>
          <w:lang w:val="ro-MD"/>
        </w:rPr>
        <w:t>ajustat</w:t>
      </w:r>
      <w:r w:rsidRPr="009772A3">
        <w:rPr>
          <w:rFonts w:asciiTheme="majorHAnsi" w:hAnsiTheme="majorHAnsi" w:cstheme="majorHAnsi"/>
          <w:i/>
          <w:sz w:val="24"/>
          <w:szCs w:val="24"/>
          <w:lang w:val="ro-MD"/>
        </w:rPr>
        <w:t xml:space="preserve"> la modificările recente din legislația aferentă domeniului de activitate al SA Moldovagaz.</w:t>
      </w:r>
    </w:p>
    <w:p w14:paraId="2EEEF659" w14:textId="10875F03" w:rsidR="002734F2" w:rsidRDefault="00FB30E3" w:rsidP="00FB30E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Totodată, deși p</w:t>
      </w:r>
      <w:r w:rsidR="002734F2" w:rsidRPr="009772A3">
        <w:rPr>
          <w:rFonts w:asciiTheme="majorHAnsi" w:hAnsiTheme="majorHAnsi" w:cstheme="majorHAnsi"/>
          <w:sz w:val="24"/>
          <w:szCs w:val="24"/>
          <w:lang w:val="ro-MD"/>
        </w:rPr>
        <w:t xml:space="preserve">otrivit Regulamentului de control intern, </w:t>
      </w:r>
      <w:r w:rsidR="0027493A" w:rsidRPr="009772A3">
        <w:rPr>
          <w:rFonts w:asciiTheme="majorHAnsi" w:hAnsiTheme="majorHAnsi" w:cstheme="majorHAnsi"/>
          <w:sz w:val="24"/>
          <w:szCs w:val="24"/>
          <w:lang w:val="ro-MD"/>
        </w:rPr>
        <w:t xml:space="preserve">SA Moldovagaz urma să </w:t>
      </w:r>
      <w:r w:rsidR="002734F2" w:rsidRPr="009772A3">
        <w:rPr>
          <w:rFonts w:asciiTheme="majorHAnsi" w:hAnsiTheme="majorHAnsi" w:cstheme="majorHAnsi"/>
          <w:sz w:val="24"/>
          <w:szCs w:val="24"/>
          <w:lang w:val="ro-MD"/>
        </w:rPr>
        <w:t>evalu</w:t>
      </w:r>
      <w:r w:rsidR="0027493A" w:rsidRPr="009772A3">
        <w:rPr>
          <w:rFonts w:asciiTheme="majorHAnsi" w:hAnsiTheme="majorHAnsi" w:cstheme="majorHAnsi"/>
          <w:sz w:val="24"/>
          <w:szCs w:val="24"/>
          <w:lang w:val="ro-MD"/>
        </w:rPr>
        <w:t>eze</w:t>
      </w:r>
      <w:r w:rsidR="002734F2" w:rsidRPr="009772A3">
        <w:rPr>
          <w:rFonts w:asciiTheme="majorHAnsi" w:hAnsiTheme="majorHAnsi" w:cstheme="majorHAnsi"/>
          <w:sz w:val="24"/>
          <w:szCs w:val="24"/>
          <w:lang w:val="ro-MD"/>
        </w:rPr>
        <w:t xml:space="preserve"> periodic sistemul de control intern, </w:t>
      </w:r>
      <w:r w:rsidR="00514152" w:rsidRPr="009772A3">
        <w:rPr>
          <w:rFonts w:asciiTheme="majorHAnsi" w:hAnsiTheme="majorHAnsi" w:cstheme="majorHAnsi"/>
          <w:sz w:val="24"/>
          <w:szCs w:val="24"/>
          <w:lang w:val="ro-MD"/>
        </w:rPr>
        <w:t>se relevă</w:t>
      </w:r>
      <w:r w:rsidRPr="009772A3">
        <w:rPr>
          <w:rFonts w:asciiTheme="majorHAnsi" w:hAnsiTheme="majorHAnsi" w:cstheme="majorHAnsi"/>
          <w:sz w:val="24"/>
          <w:szCs w:val="24"/>
          <w:lang w:val="ro-MD"/>
        </w:rPr>
        <w:t xml:space="preserve"> că în cadrul </w:t>
      </w:r>
      <w:r w:rsidR="00A80989" w:rsidRPr="009772A3">
        <w:rPr>
          <w:rFonts w:asciiTheme="majorHAnsi" w:hAnsiTheme="majorHAnsi" w:cstheme="majorHAnsi"/>
          <w:sz w:val="24"/>
          <w:szCs w:val="24"/>
          <w:lang w:val="ro-MD"/>
        </w:rPr>
        <w:t>societății</w:t>
      </w:r>
      <w:r w:rsidR="002734F2" w:rsidRPr="009772A3">
        <w:rPr>
          <w:rFonts w:asciiTheme="majorHAnsi" w:hAnsiTheme="majorHAnsi" w:cstheme="majorHAnsi"/>
          <w:sz w:val="24"/>
          <w:szCs w:val="24"/>
          <w:lang w:val="ro-MD"/>
        </w:rPr>
        <w:t xml:space="preserve"> o asemenea evaluare nu s-a efectuat</w:t>
      </w:r>
      <w:r w:rsidRPr="009772A3">
        <w:rPr>
          <w:rFonts w:asciiTheme="majorHAnsi" w:hAnsiTheme="majorHAnsi" w:cstheme="majorHAnsi"/>
          <w:sz w:val="24"/>
          <w:szCs w:val="24"/>
          <w:lang w:val="ro-MD"/>
        </w:rPr>
        <w:t xml:space="preserve">, fapt ce nu a permis obținerea unei imagini cu privire la </w:t>
      </w:r>
      <w:r w:rsidR="00621E53" w:rsidRPr="009772A3">
        <w:rPr>
          <w:rFonts w:asciiTheme="majorHAnsi" w:hAnsiTheme="majorHAnsi" w:cstheme="majorHAnsi"/>
          <w:sz w:val="24"/>
          <w:szCs w:val="24"/>
          <w:lang w:val="ro-MD"/>
        </w:rPr>
        <w:t xml:space="preserve">posibilele </w:t>
      </w:r>
      <w:r w:rsidRPr="009772A3">
        <w:rPr>
          <w:rFonts w:asciiTheme="majorHAnsi" w:hAnsiTheme="majorHAnsi" w:cstheme="majorHAnsi"/>
          <w:sz w:val="24"/>
          <w:szCs w:val="24"/>
          <w:lang w:val="ro-MD"/>
        </w:rPr>
        <w:t xml:space="preserve">lacune în sistemul de control intern, care abordate corespunzător </w:t>
      </w:r>
      <w:r w:rsidR="00D74B4C" w:rsidRPr="009772A3">
        <w:rPr>
          <w:rFonts w:asciiTheme="majorHAnsi" w:hAnsiTheme="majorHAnsi" w:cstheme="majorHAnsi"/>
          <w:sz w:val="24"/>
          <w:szCs w:val="24"/>
          <w:lang w:val="ro-MD"/>
        </w:rPr>
        <w:t xml:space="preserve">ar </w:t>
      </w:r>
      <w:r w:rsidRPr="009772A3">
        <w:rPr>
          <w:rFonts w:asciiTheme="majorHAnsi" w:hAnsiTheme="majorHAnsi" w:cstheme="majorHAnsi"/>
          <w:sz w:val="24"/>
          <w:szCs w:val="24"/>
          <w:lang w:val="ro-MD"/>
        </w:rPr>
        <w:t>contribui la consolidarea proceselor de guvernanță corporativă</w:t>
      </w:r>
      <w:r w:rsidR="002734F2" w:rsidRPr="009772A3">
        <w:rPr>
          <w:rFonts w:asciiTheme="majorHAnsi" w:hAnsiTheme="majorHAnsi" w:cstheme="majorHAnsi"/>
          <w:sz w:val="24"/>
          <w:szCs w:val="24"/>
          <w:lang w:val="ro-MD"/>
        </w:rPr>
        <w:t xml:space="preserve">.  </w:t>
      </w:r>
    </w:p>
    <w:p w14:paraId="32CF15D8" w14:textId="77777777" w:rsidR="005142F3" w:rsidRDefault="005142F3" w:rsidP="00FB30E3">
      <w:pPr>
        <w:spacing w:after="0" w:line="276" w:lineRule="auto"/>
        <w:ind w:firstLine="709"/>
        <w:jc w:val="both"/>
        <w:rPr>
          <w:rFonts w:asciiTheme="majorHAnsi" w:hAnsiTheme="majorHAnsi" w:cstheme="majorHAnsi"/>
          <w:sz w:val="24"/>
          <w:szCs w:val="24"/>
          <w:lang w:val="ro-MD"/>
        </w:rPr>
        <w:sectPr w:rsidR="005142F3" w:rsidSect="00CF3AD4">
          <w:pgSz w:w="11906" w:h="16838"/>
          <w:pgMar w:top="1140" w:right="851" w:bottom="1418" w:left="1701" w:header="720" w:footer="428" w:gutter="0"/>
          <w:cols w:space="720"/>
        </w:sectPr>
      </w:pPr>
    </w:p>
    <w:p w14:paraId="09B5264D" w14:textId="6DA9C9A3" w:rsidR="00700D79" w:rsidRPr="009772A3" w:rsidRDefault="002358B4" w:rsidP="00105BD5">
      <w:pPr>
        <w:pStyle w:val="Heading1"/>
        <w:numPr>
          <w:ilvl w:val="0"/>
          <w:numId w:val="2"/>
        </w:numPr>
        <w:spacing w:line="276" w:lineRule="auto"/>
        <w:ind w:left="0" w:firstLine="0"/>
        <w:jc w:val="left"/>
        <w:rPr>
          <w:rFonts w:cstheme="majorHAnsi"/>
          <w:color w:val="auto"/>
          <w:sz w:val="28"/>
          <w:szCs w:val="24"/>
          <w:lang w:val="ro-MD"/>
        </w:rPr>
      </w:pPr>
      <w:bookmarkStart w:id="281" w:name="_Toc118886792"/>
      <w:bookmarkStart w:id="282" w:name="_Toc118964707"/>
      <w:bookmarkStart w:id="283" w:name="_Toc118977919"/>
      <w:bookmarkStart w:id="284" w:name="_Toc119245526"/>
      <w:bookmarkStart w:id="285" w:name="_Toc47338798"/>
      <w:bookmarkStart w:id="286" w:name="_Toc119496477"/>
      <w:bookmarkEnd w:id="281"/>
      <w:bookmarkEnd w:id="282"/>
      <w:bookmarkEnd w:id="283"/>
      <w:bookmarkEnd w:id="284"/>
      <w:r w:rsidRPr="009772A3">
        <w:rPr>
          <w:color w:val="auto"/>
          <w:sz w:val="28"/>
          <w:lang w:val="ro-MD"/>
        </w:rPr>
        <w:t>CONCLUZIA</w:t>
      </w:r>
      <w:r w:rsidRPr="009772A3">
        <w:rPr>
          <w:rFonts w:cstheme="majorHAnsi"/>
          <w:color w:val="auto"/>
          <w:sz w:val="28"/>
          <w:szCs w:val="24"/>
          <w:lang w:val="ro-MD"/>
        </w:rPr>
        <w:t xml:space="preserve"> GENERALĂ</w:t>
      </w:r>
      <w:bookmarkEnd w:id="285"/>
      <w:bookmarkEnd w:id="286"/>
    </w:p>
    <w:p w14:paraId="51952C68" w14:textId="6F7CB168" w:rsidR="00F81FD3" w:rsidRPr="009772A3" w:rsidRDefault="0025110E" w:rsidP="00F81FD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Ca</w:t>
      </w:r>
      <w:r w:rsidR="00F81FD3" w:rsidRPr="009772A3">
        <w:rPr>
          <w:rFonts w:asciiTheme="majorHAnsi" w:hAnsiTheme="majorHAnsi" w:cstheme="majorHAnsi"/>
          <w:sz w:val="24"/>
          <w:szCs w:val="24"/>
          <w:lang w:val="ro-MD"/>
        </w:rPr>
        <w:t xml:space="preserve"> rezultat</w:t>
      </w:r>
      <w:r w:rsidRPr="009772A3">
        <w:rPr>
          <w:rFonts w:asciiTheme="majorHAnsi" w:hAnsiTheme="majorHAnsi" w:cstheme="majorHAnsi"/>
          <w:sz w:val="24"/>
          <w:szCs w:val="24"/>
          <w:lang w:val="ro-MD"/>
        </w:rPr>
        <w:t xml:space="preserve"> al</w:t>
      </w:r>
      <w:r w:rsidR="00F81FD3" w:rsidRPr="009772A3">
        <w:rPr>
          <w:rFonts w:asciiTheme="majorHAnsi" w:hAnsiTheme="majorHAnsi" w:cstheme="majorHAnsi"/>
          <w:sz w:val="24"/>
          <w:szCs w:val="24"/>
          <w:lang w:val="ro-MD"/>
        </w:rPr>
        <w:t xml:space="preserve"> auditului efectuat cu privire la faptul dacă </w:t>
      </w:r>
      <w:r w:rsidR="008470F1" w:rsidRPr="009772A3">
        <w:rPr>
          <w:rFonts w:asciiTheme="majorHAnsi" w:hAnsiTheme="majorHAnsi" w:cstheme="majorHAnsi"/>
          <w:sz w:val="24"/>
          <w:szCs w:val="24"/>
          <w:lang w:val="ro-MD"/>
        </w:rPr>
        <w:t xml:space="preserve">cheltuielile și investițiile </w:t>
      </w:r>
      <w:r w:rsidR="00F81FD3" w:rsidRPr="009772A3">
        <w:rPr>
          <w:rFonts w:asciiTheme="majorHAnsi" w:hAnsiTheme="majorHAnsi" w:cstheme="majorHAnsi"/>
          <w:sz w:val="24"/>
          <w:szCs w:val="24"/>
          <w:lang w:val="ro-MD"/>
        </w:rPr>
        <w:t xml:space="preserve">la întreprinderile de gaze naturale cărora le-au fost impuse obligații de serviciu public, precum și la întreprinderile înrudite, astfel cum sunt definite în </w:t>
      </w:r>
      <w:hyperlink r:id="rId27" w:history="1">
        <w:r w:rsidR="00F81FD3" w:rsidRPr="009772A3">
          <w:rPr>
            <w:rFonts w:asciiTheme="majorHAnsi" w:hAnsiTheme="majorHAnsi" w:cstheme="majorHAnsi"/>
            <w:sz w:val="24"/>
            <w:szCs w:val="24"/>
            <w:lang w:val="ro-MD"/>
          </w:rPr>
          <w:t>Legea nr.108/2016</w:t>
        </w:r>
      </w:hyperlink>
      <w:r w:rsidR="00F81FD3" w:rsidRPr="009772A3">
        <w:rPr>
          <w:rFonts w:asciiTheme="majorHAnsi" w:hAnsiTheme="majorHAnsi" w:cstheme="majorHAnsi"/>
          <w:sz w:val="24"/>
          <w:szCs w:val="24"/>
          <w:lang w:val="ro-MD"/>
        </w:rPr>
        <w:t xml:space="preserve"> cu privire la gazele naturale, inc</w:t>
      </w:r>
      <w:r w:rsidR="008470F1" w:rsidRPr="009772A3">
        <w:rPr>
          <w:rFonts w:asciiTheme="majorHAnsi" w:hAnsiTheme="majorHAnsi" w:cstheme="majorHAnsi"/>
          <w:sz w:val="24"/>
          <w:szCs w:val="24"/>
          <w:lang w:val="ro-MD"/>
        </w:rPr>
        <w:t xml:space="preserve">lusiv la cele deținute indirect, </w:t>
      </w:r>
      <w:r w:rsidR="008470F1" w:rsidRPr="00CF3AD4">
        <w:rPr>
          <w:rFonts w:asciiTheme="majorHAnsi" w:hAnsiTheme="majorHAnsi" w:cstheme="majorHAnsi"/>
          <w:sz w:val="24"/>
          <w:szCs w:val="24"/>
          <w:lang w:val="ro-MD"/>
        </w:rPr>
        <w:t>a</w:t>
      </w:r>
      <w:r w:rsidR="00F81FD3" w:rsidRPr="00CF3AD4">
        <w:rPr>
          <w:rFonts w:asciiTheme="majorHAnsi" w:hAnsiTheme="majorHAnsi" w:cstheme="majorHAnsi"/>
          <w:sz w:val="24"/>
          <w:szCs w:val="24"/>
          <w:lang w:val="ro-MD"/>
        </w:rPr>
        <w:t xml:space="preserve">u fost gestionate în corespundere cu reglementările emise, identificate drept criterii de </w:t>
      </w:r>
      <w:r w:rsidR="00105BD5" w:rsidRPr="00105BD5">
        <w:rPr>
          <w:rFonts w:asciiTheme="majorHAnsi" w:hAnsiTheme="majorHAnsi" w:cstheme="majorHAnsi"/>
          <w:sz w:val="24"/>
          <w:szCs w:val="24"/>
          <w:lang w:val="ro-MD"/>
        </w:rPr>
        <w:t>conform</w:t>
      </w:r>
      <w:r w:rsidR="00105BD5">
        <w:rPr>
          <w:rFonts w:asciiTheme="majorHAnsi" w:hAnsiTheme="majorHAnsi" w:cstheme="majorHAnsi"/>
          <w:sz w:val="24"/>
          <w:szCs w:val="24"/>
          <w:lang w:val="ro-MD"/>
        </w:rPr>
        <w:t>itate</w:t>
      </w:r>
      <w:r w:rsidR="00F81FD3" w:rsidRPr="009772A3">
        <w:rPr>
          <w:rFonts w:asciiTheme="majorHAnsi" w:hAnsiTheme="majorHAnsi" w:cstheme="majorHAnsi"/>
          <w:sz w:val="24"/>
          <w:szCs w:val="24"/>
          <w:lang w:val="ro-MD"/>
        </w:rPr>
        <w:t xml:space="preserve">, s-a concluzionat că unele activități, procese și proceduri, precum și tranzacții, </w:t>
      </w:r>
      <w:r w:rsidR="00FA65D4" w:rsidRPr="009772A3">
        <w:rPr>
          <w:rFonts w:asciiTheme="majorHAnsi" w:hAnsiTheme="majorHAnsi" w:cstheme="majorHAnsi"/>
          <w:sz w:val="24"/>
          <w:szCs w:val="24"/>
          <w:lang w:val="ro-MD"/>
        </w:rPr>
        <w:t>concepute, create și</w:t>
      </w:r>
      <w:r w:rsidR="00F81FD3" w:rsidRPr="009772A3">
        <w:rPr>
          <w:rFonts w:asciiTheme="majorHAnsi" w:hAnsiTheme="majorHAnsi" w:cstheme="majorHAnsi"/>
          <w:sz w:val="24"/>
          <w:szCs w:val="24"/>
          <w:lang w:val="ro-MD"/>
        </w:rPr>
        <w:t xml:space="preserve"> realizate de </w:t>
      </w:r>
      <w:r w:rsidR="008470F1" w:rsidRPr="009772A3">
        <w:rPr>
          <w:rFonts w:asciiTheme="majorHAnsi" w:hAnsiTheme="majorHAnsi" w:cstheme="majorHAnsi"/>
          <w:sz w:val="24"/>
          <w:szCs w:val="24"/>
          <w:lang w:val="ro-MD"/>
        </w:rPr>
        <w:t xml:space="preserve">SA Moldovagaz și persoanele responsabile de guvernanță, </w:t>
      </w:r>
      <w:r w:rsidR="00F81FD3" w:rsidRPr="009772A3">
        <w:rPr>
          <w:rFonts w:asciiTheme="majorHAnsi" w:hAnsiTheme="majorHAnsi" w:cstheme="majorHAnsi"/>
          <w:sz w:val="24"/>
          <w:szCs w:val="24"/>
          <w:lang w:val="ro-MD"/>
        </w:rPr>
        <w:t>nu au întrunit în totalitate criteriile de conf</w:t>
      </w:r>
      <w:r w:rsidR="008470F1" w:rsidRPr="009772A3">
        <w:rPr>
          <w:rFonts w:asciiTheme="majorHAnsi" w:hAnsiTheme="majorHAnsi" w:cstheme="majorHAnsi"/>
          <w:sz w:val="24"/>
          <w:szCs w:val="24"/>
          <w:lang w:val="ro-MD"/>
        </w:rPr>
        <w:t>ormitate care guvernează aceast holding</w:t>
      </w:r>
      <w:r w:rsidR="00F81FD3" w:rsidRPr="009772A3">
        <w:rPr>
          <w:rFonts w:asciiTheme="majorHAnsi" w:hAnsiTheme="majorHAnsi" w:cstheme="majorHAnsi"/>
          <w:sz w:val="24"/>
          <w:szCs w:val="24"/>
          <w:lang w:val="ro-MD"/>
        </w:rPr>
        <w:t>.</w:t>
      </w:r>
    </w:p>
    <w:p w14:paraId="0FFA08B9" w14:textId="1DAEDBDE" w:rsidR="009202EB" w:rsidRPr="009772A3" w:rsidRDefault="009202EB" w:rsidP="009202EB">
      <w:pPr>
        <w:spacing w:after="0" w:line="276" w:lineRule="auto"/>
        <w:ind w:firstLine="709"/>
        <w:jc w:val="both"/>
        <w:rPr>
          <w:rFonts w:asciiTheme="majorHAnsi" w:hAnsiTheme="majorHAnsi" w:cstheme="majorHAnsi"/>
          <w:b/>
          <w:i/>
          <w:sz w:val="24"/>
          <w:szCs w:val="24"/>
          <w:lang w:val="ro-MD"/>
        </w:rPr>
      </w:pPr>
      <w:r w:rsidRPr="009772A3">
        <w:rPr>
          <w:rFonts w:asciiTheme="majorHAnsi" w:hAnsiTheme="majorHAnsi" w:cstheme="majorHAnsi"/>
          <w:i/>
          <w:sz w:val="24"/>
          <w:szCs w:val="24"/>
          <w:lang w:val="ro-MD"/>
        </w:rPr>
        <w:t xml:space="preserve">Neevaluarea și </w:t>
      </w:r>
      <w:r w:rsidR="00105BD5" w:rsidRPr="009772A3">
        <w:rPr>
          <w:rFonts w:asciiTheme="majorHAnsi" w:hAnsiTheme="majorHAnsi" w:cstheme="majorHAnsi"/>
          <w:i/>
          <w:sz w:val="24"/>
          <w:szCs w:val="24"/>
          <w:lang w:val="ro-MD"/>
        </w:rPr>
        <w:t>ned</w:t>
      </w:r>
      <w:r w:rsidR="00105BD5">
        <w:rPr>
          <w:rFonts w:asciiTheme="majorHAnsi" w:hAnsiTheme="majorHAnsi" w:cstheme="majorHAnsi"/>
          <w:i/>
          <w:sz w:val="24"/>
          <w:szCs w:val="24"/>
          <w:lang w:val="ro-MD"/>
        </w:rPr>
        <w:t>e</w:t>
      </w:r>
      <w:r w:rsidR="00105BD5" w:rsidRPr="009772A3">
        <w:rPr>
          <w:rFonts w:asciiTheme="majorHAnsi" w:hAnsiTheme="majorHAnsi" w:cstheme="majorHAnsi"/>
          <w:i/>
          <w:sz w:val="24"/>
          <w:szCs w:val="24"/>
          <w:lang w:val="ro-MD"/>
        </w:rPr>
        <w:t xml:space="preserve">limitarea </w:t>
      </w:r>
      <w:r w:rsidRPr="009772A3">
        <w:rPr>
          <w:rFonts w:asciiTheme="majorHAnsi" w:hAnsiTheme="majorHAnsi" w:cstheme="majorHAnsi"/>
          <w:i/>
          <w:sz w:val="24"/>
          <w:szCs w:val="24"/>
          <w:lang w:val="ro-MD"/>
        </w:rPr>
        <w:t xml:space="preserve">conformă a investițiilor la fondarea SA Moldovagaz, precum și </w:t>
      </w:r>
      <w:r w:rsidR="006B7782" w:rsidRPr="009772A3">
        <w:rPr>
          <w:rFonts w:asciiTheme="majorHAnsi" w:hAnsiTheme="majorHAnsi" w:cstheme="majorHAnsi"/>
          <w:i/>
          <w:sz w:val="24"/>
          <w:szCs w:val="24"/>
          <w:lang w:val="ro-MD"/>
        </w:rPr>
        <w:t xml:space="preserve">admiterea cheltuielilor, inclusiv </w:t>
      </w:r>
      <w:r w:rsidR="0025110E" w:rsidRPr="009772A3">
        <w:rPr>
          <w:rFonts w:asciiTheme="majorHAnsi" w:hAnsiTheme="majorHAnsi" w:cstheme="majorHAnsi"/>
          <w:i/>
          <w:sz w:val="24"/>
          <w:szCs w:val="24"/>
          <w:lang w:val="ro-MD"/>
        </w:rPr>
        <w:t xml:space="preserve">a </w:t>
      </w:r>
      <w:r w:rsidR="006B7782" w:rsidRPr="009772A3">
        <w:rPr>
          <w:rFonts w:asciiTheme="majorHAnsi" w:hAnsiTheme="majorHAnsi" w:cstheme="majorHAnsi"/>
          <w:i/>
          <w:sz w:val="24"/>
          <w:szCs w:val="24"/>
          <w:lang w:val="ro-MD"/>
        </w:rPr>
        <w:t>cheltuielilor investiționale economic neargumentate și nejustificate</w:t>
      </w:r>
      <w:r w:rsidR="00E044B1" w:rsidRPr="009772A3">
        <w:rPr>
          <w:rFonts w:asciiTheme="majorHAnsi" w:hAnsiTheme="majorHAnsi" w:cstheme="majorHAnsi"/>
          <w:i/>
          <w:sz w:val="24"/>
          <w:szCs w:val="24"/>
          <w:lang w:val="ro-MD"/>
        </w:rPr>
        <w:t xml:space="preserve"> sau</w:t>
      </w:r>
      <w:r w:rsidR="006B7782" w:rsidRPr="009772A3">
        <w:rPr>
          <w:rFonts w:asciiTheme="majorHAnsi" w:hAnsiTheme="majorHAnsi" w:cstheme="majorHAnsi"/>
          <w:i/>
          <w:sz w:val="24"/>
          <w:szCs w:val="24"/>
          <w:lang w:val="ro-MD"/>
        </w:rPr>
        <w:t xml:space="preserve"> neproductive,</w:t>
      </w:r>
      <w:r w:rsidR="00523001" w:rsidRPr="009772A3">
        <w:rPr>
          <w:rFonts w:asciiTheme="majorHAnsi" w:hAnsiTheme="majorHAnsi" w:cstheme="majorHAnsi"/>
          <w:i/>
          <w:sz w:val="24"/>
          <w:szCs w:val="24"/>
          <w:lang w:val="ro-MD"/>
        </w:rPr>
        <w:t xml:space="preserve"> au condiționat determinare</w:t>
      </w:r>
      <w:r w:rsidR="006E045A" w:rsidRPr="009772A3">
        <w:rPr>
          <w:rFonts w:asciiTheme="majorHAnsi" w:hAnsiTheme="majorHAnsi" w:cstheme="majorHAnsi"/>
          <w:i/>
          <w:sz w:val="24"/>
          <w:szCs w:val="24"/>
          <w:lang w:val="ro-MD"/>
        </w:rPr>
        <w:t>a</w:t>
      </w:r>
      <w:r w:rsidR="00523001" w:rsidRPr="009772A3">
        <w:rPr>
          <w:rFonts w:asciiTheme="majorHAnsi" w:hAnsiTheme="majorHAnsi" w:cstheme="majorHAnsi"/>
          <w:i/>
          <w:sz w:val="24"/>
          <w:szCs w:val="24"/>
          <w:lang w:val="ro-MD"/>
        </w:rPr>
        <w:t xml:space="preserve"> incorectă a cotelor de participare, nediminuarea și sporirea datoriilor, ratarea profiturilor suplimentare și înregistrarea pierderilor din activitatea de afaceri</w:t>
      </w:r>
      <w:r w:rsidRPr="009772A3">
        <w:rPr>
          <w:rFonts w:asciiTheme="majorHAnsi" w:hAnsiTheme="majorHAnsi" w:cstheme="majorHAnsi"/>
          <w:i/>
          <w:sz w:val="24"/>
          <w:szCs w:val="24"/>
          <w:lang w:val="ro-MD"/>
        </w:rPr>
        <w:t xml:space="preserve">. </w:t>
      </w:r>
    </w:p>
    <w:p w14:paraId="62D56241" w14:textId="58359B81" w:rsidR="00F81FD3" w:rsidRPr="009772A3" w:rsidRDefault="00F81FD3" w:rsidP="00F81FD3">
      <w:pPr>
        <w:spacing w:after="0" w:line="276" w:lineRule="auto"/>
        <w:ind w:firstLine="709"/>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Concluzia auditului se bazează pe acele aspecte care, ulterior evaluării probelor obținute și efectelor neconformităților identificate, au fost apreciate ca semnificative și capabile să influențeze deciziile utilizatorilor vizați. </w:t>
      </w:r>
    </w:p>
    <w:p w14:paraId="2F27349A" w14:textId="31F53F1C" w:rsidR="00F81FD3" w:rsidRPr="009772A3" w:rsidRDefault="00F81FD3" w:rsidP="00F81FD3">
      <w:pPr>
        <w:spacing w:after="0" w:line="276" w:lineRule="auto"/>
        <w:ind w:firstLine="709"/>
        <w:jc w:val="both"/>
        <w:rPr>
          <w:rFonts w:asciiTheme="majorHAnsi" w:hAnsiTheme="majorHAnsi" w:cstheme="majorHAnsi"/>
          <w:b/>
          <w:sz w:val="24"/>
          <w:szCs w:val="24"/>
          <w:lang w:val="ro-MD"/>
        </w:rPr>
      </w:pPr>
      <w:r w:rsidRPr="009772A3">
        <w:rPr>
          <w:rFonts w:asciiTheme="majorHAnsi" w:hAnsiTheme="majorHAnsi" w:cstheme="majorHAnsi"/>
          <w:b/>
          <w:sz w:val="24"/>
          <w:szCs w:val="24"/>
          <w:lang w:val="ro-MD"/>
        </w:rPr>
        <w:t>În legătură cu fiecare obiectiv specific în parte, ținem să menționăm că:</w:t>
      </w:r>
    </w:p>
    <w:p w14:paraId="5B3A4CDC" w14:textId="6865909C" w:rsidR="00C6559E" w:rsidRPr="009772A3" w:rsidRDefault="008A5340" w:rsidP="00105BD5">
      <w:pPr>
        <w:pStyle w:val="ListParagraph"/>
        <w:numPr>
          <w:ilvl w:val="0"/>
          <w:numId w:val="18"/>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b/>
          <w:i/>
          <w:sz w:val="24"/>
          <w:szCs w:val="24"/>
          <w:lang w:val="ro-MD"/>
        </w:rPr>
        <w:t>conformitatea investițiilor în capitalul social al SA Moldovagaz</w:t>
      </w:r>
      <w:r w:rsidRPr="009772A3">
        <w:rPr>
          <w:rFonts w:asciiTheme="majorHAnsi" w:hAnsiTheme="majorHAnsi" w:cstheme="majorHAnsi"/>
          <w:sz w:val="24"/>
          <w:szCs w:val="24"/>
          <w:lang w:val="ro-MD"/>
        </w:rPr>
        <w:t xml:space="preserve"> a fost influențată de efectele: i) neevaluării conforme și nedelimitării corespunzătoare</w:t>
      </w:r>
      <w:r w:rsidR="00894BCC"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după </w:t>
      </w:r>
      <w:r w:rsidR="00894BCC" w:rsidRPr="009772A3">
        <w:rPr>
          <w:rFonts w:asciiTheme="majorHAnsi" w:hAnsiTheme="majorHAnsi" w:cstheme="majorHAnsi"/>
          <w:sz w:val="24"/>
          <w:szCs w:val="24"/>
          <w:lang w:val="ro-MD"/>
        </w:rPr>
        <w:t xml:space="preserve">același </w:t>
      </w:r>
      <w:r w:rsidRPr="009772A3">
        <w:rPr>
          <w:rFonts w:asciiTheme="majorHAnsi" w:hAnsiTheme="majorHAnsi" w:cstheme="majorHAnsi"/>
          <w:sz w:val="24"/>
          <w:szCs w:val="24"/>
          <w:lang w:val="ro-MD"/>
        </w:rPr>
        <w:t xml:space="preserve">principiul </w:t>
      </w:r>
      <w:r w:rsidR="00894BCC" w:rsidRPr="009772A3">
        <w:rPr>
          <w:rFonts w:asciiTheme="majorHAnsi" w:hAnsiTheme="majorHAnsi" w:cstheme="majorHAnsi"/>
          <w:sz w:val="24"/>
          <w:szCs w:val="24"/>
          <w:lang w:val="ro-MD"/>
        </w:rPr>
        <w:t xml:space="preserve">cu care au fost stinse datoriile, </w:t>
      </w:r>
      <w:r w:rsidRPr="009772A3">
        <w:rPr>
          <w:rFonts w:asciiTheme="majorHAnsi" w:hAnsiTheme="majorHAnsi" w:cstheme="majorHAnsi"/>
          <w:sz w:val="24"/>
          <w:szCs w:val="24"/>
          <w:lang w:val="ro-MD"/>
        </w:rPr>
        <w:t>a patrimoniului investit de acționari la crearea societății,</w:t>
      </w:r>
      <w:r w:rsidR="00374BFC" w:rsidRPr="009772A3">
        <w:rPr>
          <w:rFonts w:asciiTheme="majorHAnsi" w:hAnsiTheme="majorHAnsi" w:cstheme="majorHAnsi"/>
          <w:sz w:val="24"/>
          <w:szCs w:val="24"/>
          <w:lang w:val="ro-MD"/>
        </w:rPr>
        <w:t xml:space="preserve"> ii) evidenței, inclusiv </w:t>
      </w:r>
      <w:r w:rsidR="00C34CA7" w:rsidRPr="009772A3">
        <w:rPr>
          <w:rFonts w:asciiTheme="majorHAnsi" w:hAnsiTheme="majorHAnsi" w:cstheme="majorHAnsi"/>
          <w:sz w:val="24"/>
          <w:szCs w:val="24"/>
          <w:lang w:val="ro-MD"/>
        </w:rPr>
        <w:t xml:space="preserve">a </w:t>
      </w:r>
      <w:r w:rsidR="00374BFC" w:rsidRPr="009772A3">
        <w:rPr>
          <w:rFonts w:asciiTheme="majorHAnsi" w:hAnsiTheme="majorHAnsi" w:cstheme="majorHAnsi"/>
          <w:sz w:val="24"/>
          <w:szCs w:val="24"/>
          <w:lang w:val="ro-MD"/>
        </w:rPr>
        <w:t>evidenței contabile neconforme a patrimoniului investit la societățile reorganizate și</w:t>
      </w:r>
      <w:r w:rsidR="00C34CA7" w:rsidRPr="009772A3">
        <w:rPr>
          <w:rFonts w:asciiTheme="majorHAnsi" w:hAnsiTheme="majorHAnsi" w:cstheme="majorHAnsi"/>
          <w:sz w:val="24"/>
          <w:szCs w:val="24"/>
          <w:lang w:val="ro-MD"/>
        </w:rPr>
        <w:t>,</w:t>
      </w:r>
      <w:r w:rsidR="00374BFC" w:rsidRPr="009772A3">
        <w:rPr>
          <w:rFonts w:asciiTheme="majorHAnsi" w:hAnsiTheme="majorHAnsi" w:cstheme="majorHAnsi"/>
          <w:sz w:val="24"/>
          <w:szCs w:val="24"/>
          <w:lang w:val="ro-MD"/>
        </w:rPr>
        <w:t xml:space="preserve"> ca efect</w:t>
      </w:r>
      <w:r w:rsidR="00C34CA7" w:rsidRPr="009772A3">
        <w:rPr>
          <w:rFonts w:asciiTheme="majorHAnsi" w:hAnsiTheme="majorHAnsi" w:cstheme="majorHAnsi"/>
          <w:sz w:val="24"/>
          <w:szCs w:val="24"/>
          <w:lang w:val="ro-MD"/>
        </w:rPr>
        <w:t>,</w:t>
      </w:r>
      <w:r w:rsidR="00374BFC" w:rsidRPr="009772A3">
        <w:rPr>
          <w:rFonts w:asciiTheme="majorHAnsi" w:hAnsiTheme="majorHAnsi" w:cstheme="majorHAnsi"/>
          <w:sz w:val="24"/>
          <w:szCs w:val="24"/>
          <w:lang w:val="ro-MD"/>
        </w:rPr>
        <w:t xml:space="preserve"> </w:t>
      </w:r>
      <w:r w:rsidR="002F6AA9" w:rsidRPr="009772A3">
        <w:rPr>
          <w:rFonts w:asciiTheme="majorHAnsi" w:hAnsiTheme="majorHAnsi" w:cstheme="majorHAnsi"/>
          <w:sz w:val="24"/>
          <w:szCs w:val="24"/>
          <w:lang w:val="ro-MD"/>
        </w:rPr>
        <w:t>l</w:t>
      </w:r>
      <w:r w:rsidR="00374BFC" w:rsidRPr="009772A3">
        <w:rPr>
          <w:rFonts w:asciiTheme="majorHAnsi" w:hAnsiTheme="majorHAnsi" w:cstheme="majorHAnsi"/>
          <w:sz w:val="24"/>
          <w:szCs w:val="24"/>
          <w:lang w:val="ro-MD"/>
        </w:rPr>
        <w:t xml:space="preserve">a SA Moldovagaz, iii) deciziei regiunii </w:t>
      </w:r>
      <w:r w:rsidR="00C34CA7" w:rsidRPr="009772A3">
        <w:rPr>
          <w:rFonts w:asciiTheme="majorHAnsi" w:hAnsiTheme="majorHAnsi" w:cstheme="majorHAnsi"/>
          <w:sz w:val="24"/>
          <w:szCs w:val="24"/>
          <w:lang w:val="ro-MD"/>
        </w:rPr>
        <w:t>t</w:t>
      </w:r>
      <w:r w:rsidR="00374BFC" w:rsidRPr="009772A3">
        <w:rPr>
          <w:rFonts w:asciiTheme="majorHAnsi" w:hAnsiTheme="majorHAnsi" w:cstheme="majorHAnsi"/>
          <w:sz w:val="24"/>
          <w:szCs w:val="24"/>
          <w:lang w:val="ro-MD"/>
        </w:rPr>
        <w:t xml:space="preserve">ransnistriene de retragere </w:t>
      </w:r>
      <w:r w:rsidR="00894BCC" w:rsidRPr="009772A3">
        <w:rPr>
          <w:rFonts w:asciiTheme="majorHAnsi" w:hAnsiTheme="majorHAnsi" w:cstheme="majorHAnsi"/>
          <w:sz w:val="24"/>
          <w:szCs w:val="24"/>
          <w:lang w:val="ro-MD"/>
        </w:rPr>
        <w:t>a patrimoniului depus în capitalul social al SA Moldovagaz</w:t>
      </w:r>
      <w:r w:rsidR="00374BFC" w:rsidRPr="009772A3">
        <w:rPr>
          <w:rFonts w:asciiTheme="majorHAnsi" w:hAnsiTheme="majorHAnsi" w:cstheme="majorHAnsi"/>
          <w:sz w:val="24"/>
          <w:szCs w:val="24"/>
          <w:lang w:val="ro-MD"/>
        </w:rPr>
        <w:t xml:space="preserve">, iv) diminuării neîntemeiate a cotei de participare în capitalul social al SA Moldovagaz a </w:t>
      </w:r>
      <w:r w:rsidR="00A274BC" w:rsidRPr="00A274BC">
        <w:rPr>
          <w:rFonts w:asciiTheme="majorHAnsi" w:hAnsiTheme="majorHAnsi" w:cstheme="majorHAnsi"/>
          <w:sz w:val="24"/>
          <w:szCs w:val="24"/>
          <w:lang w:val="ro-MD"/>
        </w:rPr>
        <w:t xml:space="preserve">Guvernului </w:t>
      </w:r>
      <w:r w:rsidR="00374BFC" w:rsidRPr="00CF3AD4">
        <w:rPr>
          <w:rFonts w:asciiTheme="majorHAnsi" w:hAnsiTheme="majorHAnsi" w:cstheme="majorHAnsi"/>
          <w:sz w:val="24"/>
          <w:szCs w:val="24"/>
          <w:lang w:val="ro-MD"/>
        </w:rPr>
        <w:t xml:space="preserve">Republicii Moldova, </w:t>
      </w:r>
      <w:r w:rsidR="00374BFC" w:rsidRPr="00A274BC">
        <w:rPr>
          <w:rFonts w:asciiTheme="majorHAnsi" w:hAnsiTheme="majorHAnsi" w:cstheme="majorHAnsi"/>
          <w:sz w:val="24"/>
          <w:szCs w:val="24"/>
          <w:lang w:val="ro-MD"/>
        </w:rPr>
        <w:t xml:space="preserve"> v) </w:t>
      </w:r>
      <w:r w:rsidR="002F6AA9" w:rsidRPr="00A274BC">
        <w:rPr>
          <w:rFonts w:asciiTheme="majorHAnsi" w:hAnsiTheme="majorHAnsi" w:cstheme="majorHAnsi"/>
          <w:sz w:val="24"/>
          <w:szCs w:val="24"/>
          <w:lang w:val="ro-MD"/>
        </w:rPr>
        <w:t>majorării</w:t>
      </w:r>
      <w:r w:rsidRPr="00A274BC">
        <w:rPr>
          <w:rFonts w:asciiTheme="majorHAnsi" w:hAnsiTheme="majorHAnsi" w:cstheme="majorHAnsi"/>
          <w:sz w:val="24"/>
          <w:szCs w:val="24"/>
          <w:lang w:val="ro-MD"/>
        </w:rPr>
        <w:t xml:space="preserve"> nejustificate a datoriei</w:t>
      </w:r>
      <w:r w:rsidR="002F6AA9" w:rsidRPr="00A274BC">
        <w:rPr>
          <w:rFonts w:asciiTheme="majorHAnsi" w:hAnsiTheme="majorHAnsi" w:cstheme="majorHAnsi"/>
          <w:sz w:val="24"/>
          <w:szCs w:val="24"/>
          <w:lang w:val="ro-MD"/>
        </w:rPr>
        <w:t xml:space="preserve"> SA </w:t>
      </w:r>
      <w:r w:rsidR="002F6AA9" w:rsidRPr="00CF3AD4">
        <w:rPr>
          <w:rFonts w:asciiTheme="majorHAnsi" w:hAnsiTheme="majorHAnsi" w:cstheme="majorHAnsi"/>
          <w:sz w:val="24"/>
          <w:szCs w:val="24"/>
          <w:lang w:val="ro-MD"/>
        </w:rPr>
        <w:t>Moldovagaz</w:t>
      </w:r>
      <w:r w:rsidRPr="00CF3AD4">
        <w:rPr>
          <w:rFonts w:asciiTheme="majorHAnsi" w:hAnsiTheme="majorHAnsi" w:cstheme="majorHAnsi"/>
          <w:sz w:val="24"/>
          <w:szCs w:val="24"/>
          <w:lang w:val="ro-MD"/>
        </w:rPr>
        <w:t xml:space="preserve"> </w:t>
      </w:r>
      <w:r w:rsidR="00A274BC" w:rsidRPr="00CF3AD4">
        <w:rPr>
          <w:rFonts w:asciiTheme="majorHAnsi" w:hAnsiTheme="majorHAnsi" w:cstheme="majorHAnsi"/>
          <w:sz w:val="24"/>
          <w:szCs w:val="24"/>
          <w:lang w:val="ro-MD"/>
        </w:rPr>
        <w:t>(</w:t>
      </w:r>
      <w:r w:rsidR="002F6AA9" w:rsidRPr="00CF3AD4">
        <w:rPr>
          <w:rFonts w:asciiTheme="majorHAnsi" w:hAnsiTheme="majorHAnsi" w:cstheme="majorHAnsi"/>
          <w:sz w:val="24"/>
          <w:szCs w:val="24"/>
          <w:lang w:val="ro-MD"/>
        </w:rPr>
        <w:t xml:space="preserve">malul drept al </w:t>
      </w:r>
      <w:r w:rsidR="00C34CA7" w:rsidRPr="00CF3AD4">
        <w:rPr>
          <w:rFonts w:asciiTheme="majorHAnsi" w:hAnsiTheme="majorHAnsi" w:cstheme="majorHAnsi"/>
          <w:sz w:val="24"/>
          <w:szCs w:val="24"/>
          <w:lang w:val="ro-MD"/>
        </w:rPr>
        <w:t xml:space="preserve">râului </w:t>
      </w:r>
      <w:r w:rsidR="002F6AA9" w:rsidRPr="00CF3AD4">
        <w:rPr>
          <w:rFonts w:asciiTheme="majorHAnsi" w:hAnsiTheme="majorHAnsi" w:cstheme="majorHAnsi"/>
          <w:sz w:val="24"/>
          <w:szCs w:val="24"/>
          <w:lang w:val="ro-MD"/>
        </w:rPr>
        <w:t>Nistru</w:t>
      </w:r>
      <w:r w:rsidR="00A274BC" w:rsidRPr="00A274BC">
        <w:rPr>
          <w:rFonts w:asciiTheme="majorHAnsi" w:hAnsiTheme="majorHAnsi" w:cstheme="majorHAnsi"/>
          <w:sz w:val="24"/>
          <w:szCs w:val="24"/>
          <w:lang w:val="ro-MD"/>
        </w:rPr>
        <w:t>)</w:t>
      </w:r>
      <w:r w:rsidR="00374BFC" w:rsidRPr="009772A3">
        <w:rPr>
          <w:rFonts w:asciiTheme="majorHAnsi" w:hAnsiTheme="majorHAnsi" w:cstheme="majorHAnsi"/>
          <w:sz w:val="24"/>
          <w:szCs w:val="24"/>
          <w:lang w:val="ro-MD"/>
        </w:rPr>
        <w:t xml:space="preserve"> pentru gazele consumate, precum și vi) lipsei </w:t>
      </w:r>
      <w:r w:rsidR="00C6559E" w:rsidRPr="009772A3">
        <w:rPr>
          <w:rFonts w:asciiTheme="majorHAnsi" w:hAnsiTheme="majorHAnsi" w:cstheme="majorHAnsi"/>
          <w:sz w:val="24"/>
          <w:szCs w:val="24"/>
          <w:lang w:val="ro-MD"/>
        </w:rPr>
        <w:t xml:space="preserve">unor </w:t>
      </w:r>
      <w:r w:rsidR="00374BFC" w:rsidRPr="009772A3">
        <w:rPr>
          <w:rFonts w:asciiTheme="majorHAnsi" w:hAnsiTheme="majorHAnsi" w:cstheme="majorHAnsi"/>
          <w:sz w:val="24"/>
          <w:szCs w:val="24"/>
          <w:lang w:val="ro-MD"/>
        </w:rPr>
        <w:t>documente</w:t>
      </w:r>
      <w:r w:rsidR="00A274BC">
        <w:rPr>
          <w:rFonts w:asciiTheme="majorHAnsi" w:hAnsiTheme="majorHAnsi" w:cstheme="majorHAnsi"/>
          <w:sz w:val="24"/>
          <w:szCs w:val="24"/>
          <w:lang w:val="ro-MD"/>
        </w:rPr>
        <w:t xml:space="preserve"> </w:t>
      </w:r>
      <w:r w:rsidR="00374BFC" w:rsidRPr="009772A3">
        <w:rPr>
          <w:rFonts w:asciiTheme="majorHAnsi" w:hAnsiTheme="majorHAnsi" w:cstheme="majorHAnsi"/>
          <w:sz w:val="24"/>
          <w:szCs w:val="24"/>
          <w:lang w:val="ro-MD"/>
        </w:rPr>
        <w:t>privind</w:t>
      </w:r>
      <w:r w:rsidR="00C6559E" w:rsidRPr="009772A3">
        <w:rPr>
          <w:rFonts w:asciiTheme="majorHAnsi" w:hAnsiTheme="majorHAnsi" w:cstheme="majorHAnsi"/>
          <w:sz w:val="24"/>
          <w:szCs w:val="24"/>
          <w:lang w:val="ro-MD"/>
        </w:rPr>
        <w:t xml:space="preserve"> modul de formare a datoriilor SA Moldovagaz;</w:t>
      </w:r>
    </w:p>
    <w:p w14:paraId="2882F349" w14:textId="4674823D" w:rsidR="006E7534" w:rsidRPr="009772A3" w:rsidRDefault="00C6559E" w:rsidP="00105BD5">
      <w:pPr>
        <w:pStyle w:val="ListParagraph"/>
        <w:numPr>
          <w:ilvl w:val="0"/>
          <w:numId w:val="18"/>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b/>
          <w:i/>
          <w:sz w:val="24"/>
          <w:szCs w:val="24"/>
          <w:lang w:val="ro-MD"/>
        </w:rPr>
        <w:t>conformitatea executării cheltuielilor investiționale</w:t>
      </w:r>
      <w:r w:rsidRPr="009772A3">
        <w:rPr>
          <w:rFonts w:asciiTheme="majorHAnsi" w:hAnsiTheme="majorHAnsi" w:cstheme="majorHAnsi"/>
          <w:sz w:val="24"/>
          <w:szCs w:val="24"/>
          <w:lang w:val="ro-MD"/>
        </w:rPr>
        <w:t xml:space="preserve"> a fost afectată de consecințele: i) nefundamentării și neplanificării conforme a investițiilor capitale, iar ca efect </w:t>
      </w:r>
      <w:r w:rsidR="00C34CA7"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de </w:t>
      </w:r>
      <w:r w:rsidR="009A1916" w:rsidRPr="009772A3">
        <w:rPr>
          <w:rFonts w:asciiTheme="majorHAnsi" w:hAnsiTheme="majorHAnsi" w:cstheme="majorHAnsi"/>
          <w:sz w:val="24"/>
          <w:szCs w:val="24"/>
          <w:lang w:val="ro-MD"/>
        </w:rPr>
        <w:t>neacceptarea unora spre recuperare prin tarif</w:t>
      </w:r>
      <w:r w:rsidRPr="009772A3">
        <w:rPr>
          <w:rFonts w:asciiTheme="majorHAnsi" w:hAnsiTheme="majorHAnsi" w:cstheme="majorHAnsi"/>
          <w:sz w:val="24"/>
          <w:szCs w:val="24"/>
          <w:lang w:val="ro-MD"/>
        </w:rPr>
        <w:t xml:space="preserve">, ii) </w:t>
      </w:r>
      <w:r w:rsidR="009A1916" w:rsidRPr="009772A3">
        <w:rPr>
          <w:rFonts w:asciiTheme="majorHAnsi" w:hAnsiTheme="majorHAnsi" w:cstheme="majorHAnsi"/>
          <w:sz w:val="24"/>
          <w:szCs w:val="24"/>
          <w:lang w:val="ro-MD"/>
        </w:rPr>
        <w:t xml:space="preserve">neconfirmării documentare a </w:t>
      </w:r>
      <w:r w:rsidR="004A76E4">
        <w:rPr>
          <w:rFonts w:asciiTheme="majorHAnsi" w:hAnsiTheme="majorHAnsi" w:cstheme="majorHAnsi"/>
          <w:sz w:val="24"/>
          <w:szCs w:val="24"/>
          <w:lang w:val="ro-MD"/>
        </w:rPr>
        <w:t xml:space="preserve">unor </w:t>
      </w:r>
      <w:r w:rsidR="009A1916" w:rsidRPr="009772A3">
        <w:rPr>
          <w:rFonts w:asciiTheme="majorHAnsi" w:hAnsiTheme="majorHAnsi" w:cstheme="majorHAnsi"/>
          <w:sz w:val="24"/>
          <w:szCs w:val="24"/>
          <w:lang w:val="ro-MD"/>
        </w:rPr>
        <w:t>investiții</w:t>
      </w:r>
      <w:r w:rsidR="004A76E4">
        <w:rPr>
          <w:rFonts w:asciiTheme="majorHAnsi" w:hAnsiTheme="majorHAnsi" w:cstheme="majorHAnsi"/>
          <w:sz w:val="24"/>
          <w:szCs w:val="24"/>
          <w:lang w:val="ro-MD"/>
        </w:rPr>
        <w:t xml:space="preserve"> efectuate </w:t>
      </w:r>
      <w:r w:rsidR="009A1916" w:rsidRPr="004A76E4">
        <w:rPr>
          <w:rFonts w:asciiTheme="majorHAnsi" w:hAnsiTheme="majorHAnsi" w:cstheme="majorHAnsi"/>
          <w:sz w:val="24"/>
          <w:szCs w:val="24"/>
          <w:lang w:val="ro-MD"/>
        </w:rPr>
        <w:t xml:space="preserve">în </w:t>
      </w:r>
      <w:r w:rsidR="009A1916" w:rsidRPr="00CF3AD4">
        <w:rPr>
          <w:rFonts w:asciiTheme="majorHAnsi" w:hAnsiTheme="majorHAnsi" w:cstheme="majorHAnsi"/>
          <w:sz w:val="24"/>
          <w:szCs w:val="24"/>
          <w:lang w:val="ro-MD"/>
        </w:rPr>
        <w:t>clădiri</w:t>
      </w:r>
      <w:r w:rsidR="009A1916" w:rsidRPr="009772A3">
        <w:rPr>
          <w:rFonts w:asciiTheme="majorHAnsi" w:hAnsiTheme="majorHAnsi" w:cstheme="majorHAnsi"/>
          <w:sz w:val="24"/>
          <w:szCs w:val="24"/>
          <w:lang w:val="ro-MD"/>
        </w:rPr>
        <w:t xml:space="preserve">, iii) </w:t>
      </w:r>
      <w:r w:rsidR="00791E64" w:rsidRPr="009772A3">
        <w:rPr>
          <w:rFonts w:asciiTheme="majorHAnsi" w:hAnsiTheme="majorHAnsi" w:cstheme="majorHAnsi"/>
          <w:sz w:val="24"/>
          <w:szCs w:val="24"/>
          <w:lang w:val="ro-MD"/>
        </w:rPr>
        <w:t>nefinaliz</w:t>
      </w:r>
      <w:r w:rsidR="00FD187A" w:rsidRPr="009772A3">
        <w:rPr>
          <w:rFonts w:asciiTheme="majorHAnsi" w:hAnsiTheme="majorHAnsi" w:cstheme="majorHAnsi"/>
          <w:sz w:val="24"/>
          <w:szCs w:val="24"/>
          <w:lang w:val="ro-MD"/>
        </w:rPr>
        <w:t xml:space="preserve">ării </w:t>
      </w:r>
      <w:r w:rsidR="00791E64" w:rsidRPr="009772A3">
        <w:rPr>
          <w:rFonts w:asciiTheme="majorHAnsi" w:hAnsiTheme="majorHAnsi" w:cstheme="majorHAnsi"/>
          <w:sz w:val="24"/>
          <w:szCs w:val="24"/>
          <w:lang w:val="ro-MD"/>
        </w:rPr>
        <w:t>și netransmiter</w:t>
      </w:r>
      <w:r w:rsidR="00FD187A" w:rsidRPr="009772A3">
        <w:rPr>
          <w:rFonts w:asciiTheme="majorHAnsi" w:hAnsiTheme="majorHAnsi" w:cstheme="majorHAnsi"/>
          <w:sz w:val="24"/>
          <w:szCs w:val="24"/>
          <w:lang w:val="ro-MD"/>
        </w:rPr>
        <w:t>ii</w:t>
      </w:r>
      <w:r w:rsidR="00791E64" w:rsidRPr="009772A3">
        <w:rPr>
          <w:rFonts w:asciiTheme="majorHAnsi" w:hAnsiTheme="majorHAnsi" w:cstheme="majorHAnsi"/>
          <w:sz w:val="24"/>
          <w:szCs w:val="24"/>
          <w:lang w:val="ro-MD"/>
        </w:rPr>
        <w:t xml:space="preserve"> în exploatare a unor imobile</w:t>
      </w:r>
      <w:r w:rsidR="00FD187A" w:rsidRPr="009772A3">
        <w:rPr>
          <w:rFonts w:asciiTheme="majorHAnsi" w:hAnsiTheme="majorHAnsi" w:cstheme="majorHAnsi"/>
          <w:sz w:val="24"/>
          <w:szCs w:val="24"/>
          <w:lang w:val="ro-MD"/>
        </w:rPr>
        <w:t xml:space="preserve"> și acti</w:t>
      </w:r>
      <w:r w:rsidR="002F6AA9" w:rsidRPr="009772A3">
        <w:rPr>
          <w:rFonts w:asciiTheme="majorHAnsi" w:hAnsiTheme="majorHAnsi" w:cstheme="majorHAnsi"/>
          <w:sz w:val="24"/>
          <w:szCs w:val="24"/>
          <w:lang w:val="ro-MD"/>
        </w:rPr>
        <w:t>v</w:t>
      </w:r>
      <w:r w:rsidR="00FD187A" w:rsidRPr="009772A3">
        <w:rPr>
          <w:rFonts w:asciiTheme="majorHAnsi" w:hAnsiTheme="majorHAnsi" w:cstheme="majorHAnsi"/>
          <w:sz w:val="24"/>
          <w:szCs w:val="24"/>
          <w:lang w:val="ro-MD"/>
        </w:rPr>
        <w:t>e aferente infrastructurii de transport și distribuție a gazelor naturale</w:t>
      </w:r>
      <w:r w:rsidR="00791E64" w:rsidRPr="009772A3">
        <w:rPr>
          <w:rFonts w:asciiTheme="majorHAnsi" w:hAnsiTheme="majorHAnsi" w:cstheme="majorHAnsi"/>
          <w:sz w:val="24"/>
          <w:szCs w:val="24"/>
          <w:lang w:val="ro-MD"/>
        </w:rPr>
        <w:t xml:space="preserve">, iv) </w:t>
      </w:r>
      <w:r w:rsidR="00FD187A" w:rsidRPr="009772A3">
        <w:rPr>
          <w:rFonts w:asciiTheme="majorHAnsi" w:hAnsiTheme="majorHAnsi" w:cstheme="majorHAnsi"/>
          <w:sz w:val="24"/>
          <w:szCs w:val="24"/>
          <w:lang w:val="ro-MD"/>
        </w:rPr>
        <w:t xml:space="preserve">majorării neîntemeiate a costurilor unor investiții în infrastructura de distribuție a gazelor naturale, </w:t>
      </w:r>
      <w:r w:rsidR="0092070F" w:rsidRPr="009772A3">
        <w:rPr>
          <w:rFonts w:asciiTheme="majorHAnsi" w:hAnsiTheme="majorHAnsi" w:cstheme="majorHAnsi"/>
          <w:sz w:val="24"/>
          <w:szCs w:val="24"/>
          <w:lang w:val="ro-MD"/>
        </w:rPr>
        <w:t xml:space="preserve">v) nereglemntării sau nearmonizării unor proceduri de achiziții în domeniul gazelor naturale, vi) neplanificării conforme a achizițiilor de bunuri, lucrări și servicii, vii) </w:t>
      </w:r>
      <w:r w:rsidR="00BB3DE1" w:rsidRPr="009772A3">
        <w:rPr>
          <w:rFonts w:asciiTheme="majorHAnsi" w:hAnsiTheme="majorHAnsi" w:cstheme="majorHAnsi"/>
          <w:sz w:val="24"/>
          <w:szCs w:val="24"/>
          <w:lang w:val="ro-MD"/>
        </w:rPr>
        <w:t xml:space="preserve">neaplicării procedurilor de achiziții la procurarea bunurilor, lucrărilor și serviciilor, </w:t>
      </w:r>
      <w:r w:rsidR="004A76E4">
        <w:rPr>
          <w:rFonts w:asciiTheme="majorHAnsi" w:hAnsiTheme="majorHAnsi" w:cstheme="majorHAnsi"/>
          <w:sz w:val="24"/>
          <w:szCs w:val="24"/>
          <w:lang w:val="ro-MD"/>
        </w:rPr>
        <w:t>viii</w:t>
      </w:r>
      <w:r w:rsidR="00BB3DE1" w:rsidRPr="009772A3">
        <w:rPr>
          <w:rFonts w:asciiTheme="majorHAnsi" w:hAnsiTheme="majorHAnsi" w:cstheme="majorHAnsi"/>
          <w:sz w:val="24"/>
          <w:szCs w:val="24"/>
          <w:lang w:val="ro-MD"/>
        </w:rPr>
        <w:t xml:space="preserve">) acordării nejustificate a unor avansuri semnificative la </w:t>
      </w:r>
      <w:r w:rsidR="002F6AA9" w:rsidRPr="009772A3">
        <w:rPr>
          <w:rFonts w:asciiTheme="majorHAnsi" w:hAnsiTheme="majorHAnsi" w:cstheme="majorHAnsi"/>
          <w:sz w:val="24"/>
          <w:szCs w:val="24"/>
          <w:lang w:val="ro-MD"/>
        </w:rPr>
        <w:t>executarea contractelor</w:t>
      </w:r>
      <w:r w:rsidR="00BB3DE1" w:rsidRPr="009772A3">
        <w:rPr>
          <w:rFonts w:asciiTheme="majorHAnsi" w:hAnsiTheme="majorHAnsi" w:cstheme="majorHAnsi"/>
          <w:sz w:val="24"/>
          <w:szCs w:val="24"/>
          <w:lang w:val="ro-MD"/>
        </w:rPr>
        <w:t xml:space="preserve">, și </w:t>
      </w:r>
      <w:r w:rsidR="004A76E4">
        <w:rPr>
          <w:rFonts w:asciiTheme="majorHAnsi" w:hAnsiTheme="majorHAnsi" w:cstheme="majorHAnsi"/>
          <w:sz w:val="24"/>
          <w:szCs w:val="24"/>
          <w:lang w:val="ro-MD"/>
        </w:rPr>
        <w:t>i</w:t>
      </w:r>
      <w:r w:rsidR="00BB3DE1" w:rsidRPr="009772A3">
        <w:rPr>
          <w:rFonts w:asciiTheme="majorHAnsi" w:hAnsiTheme="majorHAnsi" w:cstheme="majorHAnsi"/>
          <w:sz w:val="24"/>
          <w:szCs w:val="24"/>
          <w:lang w:val="ro-MD"/>
        </w:rPr>
        <w:t xml:space="preserve">x) </w:t>
      </w:r>
      <w:r w:rsidR="0092070F" w:rsidRPr="009772A3">
        <w:rPr>
          <w:rFonts w:asciiTheme="majorHAnsi" w:hAnsiTheme="majorHAnsi" w:cstheme="majorHAnsi"/>
          <w:sz w:val="24"/>
          <w:szCs w:val="24"/>
          <w:lang w:val="ro-MD"/>
        </w:rPr>
        <w:t>neaplicării consecvente a practicilor de încasare a garanțiilor de bună execuție a contractelor privind reparația infrastructurii de t</w:t>
      </w:r>
      <w:r w:rsidR="00BB3DE1" w:rsidRPr="009772A3">
        <w:rPr>
          <w:rFonts w:asciiTheme="majorHAnsi" w:hAnsiTheme="majorHAnsi" w:cstheme="majorHAnsi"/>
          <w:sz w:val="24"/>
          <w:szCs w:val="24"/>
          <w:lang w:val="ro-MD"/>
        </w:rPr>
        <w:t>ransport a</w:t>
      </w:r>
      <w:r w:rsidR="00C34CA7" w:rsidRPr="009772A3">
        <w:rPr>
          <w:rFonts w:asciiTheme="majorHAnsi" w:hAnsiTheme="majorHAnsi" w:cstheme="majorHAnsi"/>
          <w:sz w:val="24"/>
          <w:szCs w:val="24"/>
          <w:lang w:val="ro-MD"/>
        </w:rPr>
        <w:t>l</w:t>
      </w:r>
      <w:r w:rsidR="00BB3DE1" w:rsidRPr="009772A3">
        <w:rPr>
          <w:rFonts w:asciiTheme="majorHAnsi" w:hAnsiTheme="majorHAnsi" w:cstheme="majorHAnsi"/>
          <w:sz w:val="24"/>
          <w:szCs w:val="24"/>
          <w:lang w:val="ro-MD"/>
        </w:rPr>
        <w:t xml:space="preserve"> gazelor naturale</w:t>
      </w:r>
      <w:r w:rsidR="002F6AA9" w:rsidRPr="009772A3">
        <w:rPr>
          <w:rFonts w:asciiTheme="majorHAnsi" w:hAnsiTheme="majorHAnsi" w:cstheme="majorHAnsi"/>
          <w:sz w:val="24"/>
          <w:szCs w:val="24"/>
          <w:lang w:val="ro-MD"/>
        </w:rPr>
        <w:t xml:space="preserve"> etc.</w:t>
      </w:r>
      <w:r w:rsidR="00BB3DE1" w:rsidRPr="009772A3">
        <w:rPr>
          <w:rFonts w:asciiTheme="majorHAnsi" w:hAnsiTheme="majorHAnsi" w:cstheme="majorHAnsi"/>
          <w:sz w:val="24"/>
          <w:szCs w:val="24"/>
          <w:lang w:val="ro-MD"/>
        </w:rPr>
        <w:t>;</w:t>
      </w:r>
    </w:p>
    <w:p w14:paraId="70915585" w14:textId="0AECD5C2" w:rsidR="00866CE1" w:rsidRPr="009772A3" w:rsidRDefault="00866CE1" w:rsidP="00105BD5">
      <w:pPr>
        <w:pStyle w:val="ListParagraph"/>
        <w:numPr>
          <w:ilvl w:val="0"/>
          <w:numId w:val="18"/>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b/>
          <w:i/>
          <w:sz w:val="24"/>
          <w:szCs w:val="24"/>
          <w:lang w:val="ro-MD"/>
        </w:rPr>
        <w:t>conformitatea executării cheltuielilor operaționale</w:t>
      </w:r>
      <w:r w:rsidRPr="009772A3">
        <w:rPr>
          <w:rFonts w:asciiTheme="majorHAnsi" w:hAnsiTheme="majorHAnsi" w:cstheme="majorHAnsi"/>
          <w:sz w:val="24"/>
          <w:szCs w:val="24"/>
          <w:lang w:val="ro-MD"/>
        </w:rPr>
        <w:t xml:space="preserve"> a fost afectată de efectele: i) luării unor decizii cu impact asupra cheltuielilor, în lipsa alocațiilor sau soluțiilor de finanțare a acestora, ii) pierderilor semnificative de gaze naturale la distribuția acestora, iii) aplicării tarifelor </w:t>
      </w:r>
      <w:r w:rsidR="004A76E4">
        <w:rPr>
          <w:rFonts w:asciiTheme="majorHAnsi" w:hAnsiTheme="majorHAnsi" w:cstheme="majorHAnsi"/>
          <w:sz w:val="24"/>
          <w:szCs w:val="24"/>
          <w:lang w:val="ro-MD"/>
        </w:rPr>
        <w:t xml:space="preserve">diferențiate </w:t>
      </w:r>
      <w:r w:rsidR="00D03CB3">
        <w:rPr>
          <w:rFonts w:asciiTheme="majorHAnsi" w:hAnsiTheme="majorHAnsi" w:cstheme="majorHAnsi"/>
          <w:sz w:val="24"/>
          <w:szCs w:val="24"/>
          <w:lang w:val="ro-MD"/>
        </w:rPr>
        <w:t xml:space="preserve">la distribuția gazelor </w:t>
      </w:r>
      <w:r w:rsidR="004A76E4">
        <w:rPr>
          <w:rFonts w:asciiTheme="majorHAnsi" w:hAnsiTheme="majorHAnsi" w:cstheme="majorHAnsi"/>
          <w:sz w:val="24"/>
          <w:szCs w:val="24"/>
          <w:lang w:val="ro-MD"/>
        </w:rPr>
        <w:t>ne</w:t>
      </w:r>
      <w:r w:rsidRPr="009772A3">
        <w:rPr>
          <w:rFonts w:asciiTheme="majorHAnsi" w:hAnsiTheme="majorHAnsi" w:cstheme="majorHAnsi"/>
          <w:sz w:val="24"/>
          <w:szCs w:val="24"/>
          <w:lang w:val="ro-MD"/>
        </w:rPr>
        <w:t xml:space="preserve">aprobate de reglementator, iv) admiterii cheltuielilor neargumentate și nejustificate economic, </w:t>
      </w:r>
      <w:r w:rsidR="009A3BE5" w:rsidRPr="009772A3">
        <w:rPr>
          <w:rFonts w:asciiTheme="majorHAnsi" w:hAnsiTheme="majorHAnsi" w:cstheme="majorHAnsi"/>
          <w:sz w:val="24"/>
          <w:szCs w:val="24"/>
          <w:lang w:val="ro-MD"/>
        </w:rPr>
        <w:t xml:space="preserve">v) nejustificării </w:t>
      </w:r>
      <w:r w:rsidR="002F6AA9" w:rsidRPr="009772A3">
        <w:rPr>
          <w:rFonts w:asciiTheme="majorHAnsi" w:hAnsiTheme="majorHAnsi" w:cstheme="majorHAnsi"/>
          <w:sz w:val="24"/>
          <w:szCs w:val="24"/>
          <w:lang w:val="ro-MD"/>
        </w:rPr>
        <w:t>statelor de personal prin</w:t>
      </w:r>
      <w:r w:rsidR="009A3BE5" w:rsidRPr="009772A3">
        <w:rPr>
          <w:rFonts w:asciiTheme="majorHAnsi" w:hAnsiTheme="majorHAnsi" w:cstheme="majorHAnsi"/>
          <w:sz w:val="24"/>
          <w:szCs w:val="24"/>
          <w:lang w:val="ro-MD"/>
        </w:rPr>
        <w:t xml:space="preserve"> normative</w:t>
      </w:r>
      <w:r w:rsidR="002F6AA9" w:rsidRPr="009772A3">
        <w:rPr>
          <w:rFonts w:asciiTheme="majorHAnsi" w:hAnsiTheme="majorHAnsi" w:cstheme="majorHAnsi"/>
          <w:sz w:val="24"/>
          <w:szCs w:val="24"/>
          <w:lang w:val="ro-MD"/>
        </w:rPr>
        <w:t xml:space="preserve"> </w:t>
      </w:r>
      <w:r w:rsidR="009A3BE5" w:rsidRPr="009772A3">
        <w:rPr>
          <w:rFonts w:asciiTheme="majorHAnsi" w:hAnsiTheme="majorHAnsi" w:cstheme="majorHAnsi"/>
          <w:sz w:val="24"/>
          <w:szCs w:val="24"/>
          <w:lang w:val="ro-MD"/>
        </w:rPr>
        <w:t xml:space="preserve">de muncă </w:t>
      </w:r>
      <w:r w:rsidR="002F6AA9" w:rsidRPr="009772A3">
        <w:rPr>
          <w:rFonts w:asciiTheme="majorHAnsi" w:hAnsiTheme="majorHAnsi" w:cstheme="majorHAnsi"/>
          <w:sz w:val="24"/>
          <w:szCs w:val="24"/>
          <w:lang w:val="ro-MD"/>
        </w:rPr>
        <w:t>aprobate regulamentar</w:t>
      </w:r>
      <w:r w:rsidR="009A3BE5" w:rsidRPr="009772A3">
        <w:rPr>
          <w:rFonts w:asciiTheme="majorHAnsi" w:hAnsiTheme="majorHAnsi" w:cstheme="majorHAnsi"/>
          <w:sz w:val="24"/>
          <w:szCs w:val="24"/>
          <w:lang w:val="ro-MD"/>
        </w:rPr>
        <w:t>, vi)</w:t>
      </w:r>
      <w:r w:rsidR="00140149" w:rsidRPr="009772A3">
        <w:rPr>
          <w:rFonts w:asciiTheme="majorHAnsi" w:hAnsiTheme="majorHAnsi" w:cstheme="majorHAnsi"/>
          <w:sz w:val="24"/>
          <w:szCs w:val="24"/>
          <w:lang w:val="ro-MD"/>
        </w:rPr>
        <w:t xml:space="preserve"> </w:t>
      </w:r>
      <w:r w:rsidR="004A76E4">
        <w:rPr>
          <w:rFonts w:asciiTheme="majorHAnsi" w:hAnsiTheme="majorHAnsi" w:cstheme="majorHAnsi"/>
          <w:sz w:val="24"/>
          <w:szCs w:val="24"/>
          <w:lang w:val="ro-MD"/>
        </w:rPr>
        <w:t xml:space="preserve">luării în </w:t>
      </w:r>
      <w:r w:rsidR="00140149" w:rsidRPr="009772A3">
        <w:rPr>
          <w:rFonts w:asciiTheme="majorHAnsi" w:hAnsiTheme="majorHAnsi" w:cstheme="majorHAnsi"/>
          <w:sz w:val="24"/>
          <w:szCs w:val="24"/>
          <w:lang w:val="ro-MD"/>
        </w:rPr>
        <w:t>locațiun</w:t>
      </w:r>
      <w:r w:rsidR="004A76E4">
        <w:rPr>
          <w:rFonts w:asciiTheme="majorHAnsi" w:hAnsiTheme="majorHAnsi" w:cstheme="majorHAnsi"/>
          <w:sz w:val="24"/>
          <w:szCs w:val="24"/>
          <w:lang w:val="ro-MD"/>
        </w:rPr>
        <w:t>e a</w:t>
      </w:r>
      <w:r w:rsidR="00140149" w:rsidRPr="009772A3">
        <w:rPr>
          <w:rFonts w:asciiTheme="majorHAnsi" w:hAnsiTheme="majorHAnsi" w:cstheme="majorHAnsi"/>
          <w:sz w:val="24"/>
          <w:szCs w:val="24"/>
          <w:lang w:val="ro-MD"/>
        </w:rPr>
        <w:t xml:space="preserve"> propriilor spații, </w:t>
      </w:r>
      <w:r w:rsidR="009A3BE5" w:rsidRPr="009772A3">
        <w:rPr>
          <w:rFonts w:asciiTheme="majorHAnsi" w:hAnsiTheme="majorHAnsi" w:cstheme="majorHAnsi"/>
          <w:sz w:val="24"/>
          <w:szCs w:val="24"/>
          <w:lang w:val="ro-MD"/>
        </w:rPr>
        <w:t xml:space="preserve">vii) </w:t>
      </w:r>
      <w:r w:rsidR="00140149" w:rsidRPr="009772A3">
        <w:rPr>
          <w:rFonts w:asciiTheme="majorHAnsi" w:hAnsiTheme="majorHAnsi" w:cstheme="majorHAnsi"/>
          <w:sz w:val="24"/>
          <w:szCs w:val="24"/>
          <w:lang w:val="ro-MD"/>
        </w:rPr>
        <w:t xml:space="preserve">casării creanțelor și neconstituirii provizioanelor, precum și de efectele vii) </w:t>
      </w:r>
      <w:r w:rsidR="009A3BE5" w:rsidRPr="009772A3">
        <w:rPr>
          <w:rFonts w:asciiTheme="majorHAnsi" w:hAnsiTheme="majorHAnsi" w:cstheme="majorHAnsi"/>
          <w:sz w:val="24"/>
          <w:szCs w:val="24"/>
          <w:lang w:val="ro-MD"/>
        </w:rPr>
        <w:t xml:space="preserve">neimplementării recomandărilor auditului intern și </w:t>
      </w:r>
      <w:r w:rsidR="00C34CA7" w:rsidRPr="009772A3">
        <w:rPr>
          <w:rFonts w:asciiTheme="majorHAnsi" w:hAnsiTheme="majorHAnsi" w:cstheme="majorHAnsi"/>
          <w:sz w:val="24"/>
          <w:szCs w:val="24"/>
          <w:lang w:val="ro-MD"/>
        </w:rPr>
        <w:t xml:space="preserve">celui </w:t>
      </w:r>
      <w:r w:rsidR="009A3BE5" w:rsidRPr="009772A3">
        <w:rPr>
          <w:rFonts w:asciiTheme="majorHAnsi" w:hAnsiTheme="majorHAnsi" w:cstheme="majorHAnsi"/>
          <w:sz w:val="24"/>
          <w:szCs w:val="24"/>
          <w:lang w:val="ro-MD"/>
        </w:rPr>
        <w:t>extern;</w:t>
      </w:r>
    </w:p>
    <w:p w14:paraId="1EC089A3" w14:textId="3AD13809" w:rsidR="00A719DD" w:rsidRPr="009772A3" w:rsidRDefault="00A719DD" w:rsidP="00105BD5">
      <w:pPr>
        <w:pStyle w:val="ListParagraph"/>
        <w:numPr>
          <w:ilvl w:val="0"/>
          <w:numId w:val="18"/>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b/>
          <w:i/>
          <w:sz w:val="24"/>
          <w:szCs w:val="24"/>
          <w:lang w:val="ro-MD"/>
        </w:rPr>
        <w:t>conformitatea gestionării patrimoniului public</w:t>
      </w:r>
      <w:r w:rsidRPr="009772A3">
        <w:rPr>
          <w:rFonts w:asciiTheme="majorHAnsi" w:hAnsiTheme="majorHAnsi" w:cstheme="majorHAnsi"/>
          <w:sz w:val="24"/>
          <w:szCs w:val="24"/>
          <w:lang w:val="ro-MD"/>
        </w:rPr>
        <w:t xml:space="preserve"> a fost influențată de efectele: i) transmiterii rețelelor de transport și distribuție a gazelor la întreținere în lipsa unor redevențe privind utilizarea acestora și </w:t>
      </w:r>
      <w:r w:rsidR="00C34CA7"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obligații</w:t>
      </w:r>
      <w:r w:rsidR="00C34CA7" w:rsidRPr="009772A3">
        <w:rPr>
          <w:rFonts w:asciiTheme="majorHAnsi" w:hAnsiTheme="majorHAnsi" w:cstheme="majorHAnsi"/>
          <w:sz w:val="24"/>
          <w:szCs w:val="24"/>
          <w:lang w:val="ro-MD"/>
        </w:rPr>
        <w:t>lor</w:t>
      </w:r>
      <w:r w:rsidRPr="009772A3">
        <w:rPr>
          <w:rFonts w:asciiTheme="majorHAnsi" w:hAnsiTheme="majorHAnsi" w:cstheme="majorHAnsi"/>
          <w:sz w:val="24"/>
          <w:szCs w:val="24"/>
          <w:lang w:val="ro-MD"/>
        </w:rPr>
        <w:t xml:space="preserve"> pentru reparația capitală a </w:t>
      </w:r>
      <w:r w:rsidR="002F6AA9" w:rsidRPr="009772A3">
        <w:rPr>
          <w:rFonts w:asciiTheme="majorHAnsi" w:hAnsiTheme="majorHAnsi" w:cstheme="majorHAnsi"/>
          <w:sz w:val="24"/>
          <w:szCs w:val="24"/>
          <w:lang w:val="ro-MD"/>
        </w:rPr>
        <w:t>acestora</w:t>
      </w:r>
      <w:r w:rsidRPr="009772A3">
        <w:rPr>
          <w:rFonts w:asciiTheme="majorHAnsi" w:hAnsiTheme="majorHAnsi" w:cstheme="majorHAnsi"/>
          <w:sz w:val="24"/>
          <w:szCs w:val="24"/>
          <w:lang w:val="ro-MD"/>
        </w:rPr>
        <w:t xml:space="preserve">, ii) neînregistrării în evidența contabilă a autorităților publice a rețelelor de gaze construite din bugetul acestor entități, precum și de consecințele iii) preluării neconforme de către SA Moldovagaz și recunoașterii necorespunzătoare în evidența contabilă a societății a rețelelor </w:t>
      </w:r>
      <w:r w:rsidR="002F6AA9" w:rsidRPr="009772A3">
        <w:rPr>
          <w:rFonts w:asciiTheme="majorHAnsi" w:hAnsiTheme="majorHAnsi" w:cstheme="majorHAnsi"/>
          <w:sz w:val="24"/>
          <w:szCs w:val="24"/>
          <w:lang w:val="ro-MD"/>
        </w:rPr>
        <w:t xml:space="preserve">de gaze naturale </w:t>
      </w:r>
      <w:r w:rsidR="00D03CB3">
        <w:rPr>
          <w:rFonts w:asciiTheme="majorHAnsi" w:hAnsiTheme="majorHAnsi" w:cstheme="majorHAnsi"/>
          <w:sz w:val="24"/>
          <w:szCs w:val="24"/>
          <w:lang w:val="ro-MD"/>
        </w:rPr>
        <w:t xml:space="preserve">proprietate </w:t>
      </w:r>
      <w:r w:rsidR="002F6AA9" w:rsidRPr="009772A3">
        <w:rPr>
          <w:rFonts w:asciiTheme="majorHAnsi" w:hAnsiTheme="majorHAnsi" w:cstheme="majorHAnsi"/>
          <w:sz w:val="24"/>
          <w:szCs w:val="24"/>
          <w:lang w:val="ro-MD"/>
        </w:rPr>
        <w:t>public</w:t>
      </w:r>
      <w:r w:rsidR="00D03CB3">
        <w:rPr>
          <w:rFonts w:asciiTheme="majorHAnsi" w:hAnsiTheme="majorHAnsi" w:cstheme="majorHAnsi"/>
          <w:sz w:val="24"/>
          <w:szCs w:val="24"/>
          <w:lang w:val="ro-MD"/>
        </w:rPr>
        <w:t>ă</w:t>
      </w:r>
      <w:r w:rsidRPr="009772A3">
        <w:rPr>
          <w:rFonts w:asciiTheme="majorHAnsi" w:hAnsiTheme="majorHAnsi" w:cstheme="majorHAnsi"/>
          <w:sz w:val="24"/>
          <w:szCs w:val="24"/>
          <w:lang w:val="ro-MD"/>
        </w:rPr>
        <w:t>;</w:t>
      </w:r>
    </w:p>
    <w:p w14:paraId="3EFC5504" w14:textId="213F0CF2" w:rsidR="009A3BE5" w:rsidRPr="009772A3" w:rsidRDefault="0094455B" w:rsidP="00105BD5">
      <w:pPr>
        <w:pStyle w:val="ListParagraph"/>
        <w:numPr>
          <w:ilvl w:val="0"/>
          <w:numId w:val="18"/>
        </w:numPr>
        <w:spacing w:after="0" w:line="276" w:lineRule="auto"/>
        <w:ind w:left="709" w:hanging="283"/>
        <w:jc w:val="both"/>
        <w:rPr>
          <w:rFonts w:asciiTheme="majorHAnsi" w:hAnsiTheme="majorHAnsi" w:cstheme="majorHAnsi"/>
          <w:sz w:val="24"/>
          <w:szCs w:val="24"/>
          <w:lang w:val="ro-MD"/>
        </w:rPr>
      </w:pPr>
      <w:r w:rsidRPr="009772A3">
        <w:rPr>
          <w:rFonts w:asciiTheme="majorHAnsi" w:hAnsiTheme="majorHAnsi" w:cstheme="majorHAnsi"/>
          <w:b/>
          <w:i/>
          <w:sz w:val="24"/>
          <w:szCs w:val="24"/>
          <w:lang w:val="ro-MD"/>
        </w:rPr>
        <w:t xml:space="preserve">managementul </w:t>
      </w:r>
      <w:r w:rsidR="00140149" w:rsidRPr="009772A3">
        <w:rPr>
          <w:rFonts w:asciiTheme="majorHAnsi" w:hAnsiTheme="majorHAnsi" w:cstheme="majorHAnsi"/>
          <w:b/>
          <w:i/>
          <w:sz w:val="24"/>
          <w:szCs w:val="24"/>
          <w:lang w:val="ro-MD"/>
        </w:rPr>
        <w:t xml:space="preserve">SA Moldovagaz </w:t>
      </w:r>
      <w:r w:rsidR="00140149" w:rsidRPr="009772A3">
        <w:rPr>
          <w:rFonts w:asciiTheme="majorHAnsi" w:hAnsiTheme="majorHAnsi" w:cstheme="majorHAnsi"/>
          <w:sz w:val="24"/>
          <w:szCs w:val="24"/>
          <w:lang w:val="ro-MD"/>
        </w:rPr>
        <w:t>a fost afectat de: i) planificarea deficitară a veniturilor și cheltuielilor</w:t>
      </w:r>
      <w:r w:rsidRPr="009772A3">
        <w:rPr>
          <w:rFonts w:asciiTheme="majorHAnsi" w:hAnsiTheme="majorHAnsi" w:cstheme="majorHAnsi"/>
          <w:sz w:val="24"/>
          <w:szCs w:val="24"/>
          <w:lang w:val="ro-MD"/>
        </w:rPr>
        <w:t xml:space="preserve"> pentru asigurarea </w:t>
      </w:r>
      <w:r w:rsidR="00C34CA7" w:rsidRPr="009772A3">
        <w:rPr>
          <w:rFonts w:asciiTheme="majorHAnsi" w:hAnsiTheme="majorHAnsi" w:cstheme="majorHAnsi"/>
          <w:sz w:val="24"/>
          <w:szCs w:val="24"/>
          <w:lang w:val="ro-MD"/>
        </w:rPr>
        <w:t>re</w:t>
      </w:r>
      <w:r w:rsidRPr="009772A3">
        <w:rPr>
          <w:rFonts w:asciiTheme="majorHAnsi" w:hAnsiTheme="majorHAnsi" w:cstheme="majorHAnsi"/>
          <w:sz w:val="24"/>
          <w:szCs w:val="24"/>
          <w:lang w:val="ro-MD"/>
        </w:rPr>
        <w:t xml:space="preserve">surselor de finanțare a </w:t>
      </w:r>
      <w:r w:rsidR="00EB5E95" w:rsidRPr="009772A3">
        <w:rPr>
          <w:rFonts w:asciiTheme="majorHAnsi" w:hAnsiTheme="majorHAnsi" w:cstheme="majorHAnsi"/>
          <w:sz w:val="24"/>
          <w:szCs w:val="24"/>
          <w:lang w:val="ro-MD"/>
        </w:rPr>
        <w:t>investițiilor și cheltuielilor neacceptate în scopuri tarifare,</w:t>
      </w:r>
      <w:r w:rsidR="00140149" w:rsidRPr="009772A3">
        <w:rPr>
          <w:rFonts w:asciiTheme="majorHAnsi" w:hAnsiTheme="majorHAnsi" w:cstheme="majorHAnsi"/>
          <w:sz w:val="24"/>
          <w:szCs w:val="24"/>
          <w:lang w:val="ro-MD"/>
        </w:rPr>
        <w:t xml:space="preserve"> ii) nerealizarea sau realizarea neconformă a funcțiilor și atribuțiilor organelor de conducere și administrare, iii) nerealizarea strategiilor și planurilor de diminuare a datoriilor.</w:t>
      </w:r>
    </w:p>
    <w:p w14:paraId="1CDB538C" w14:textId="0AE051BF" w:rsidR="007341AD" w:rsidRPr="009772A3" w:rsidRDefault="007341AD" w:rsidP="007341AD">
      <w:pPr>
        <w:pStyle w:val="FootnoteText"/>
        <w:spacing w:line="276" w:lineRule="auto"/>
        <w:ind w:firstLine="720"/>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 xml:space="preserve">În contextul celor identificate și concluzionate, auditul a înaintat, într-un capitol separat din prezentul Raport de audit, </w:t>
      </w:r>
      <w:r w:rsidR="004D7BCA" w:rsidRPr="009772A3">
        <w:rPr>
          <w:rFonts w:asciiTheme="majorHAnsi" w:hAnsiTheme="majorHAnsi" w:cstheme="majorHAnsi"/>
          <w:sz w:val="24"/>
          <w:szCs w:val="24"/>
          <w:vertAlign w:val="baseline"/>
          <w:lang w:val="ro-MD"/>
        </w:rPr>
        <w:t xml:space="preserve">unele </w:t>
      </w:r>
      <w:r w:rsidRPr="009772A3">
        <w:rPr>
          <w:rFonts w:asciiTheme="majorHAnsi" w:hAnsiTheme="majorHAnsi" w:cstheme="majorHAnsi"/>
          <w:sz w:val="24"/>
          <w:szCs w:val="24"/>
          <w:vertAlign w:val="baseline"/>
          <w:lang w:val="ro-MD"/>
        </w:rPr>
        <w:t>recomandări menite să remedieze lacunele și să</w:t>
      </w:r>
      <w:r w:rsidR="0028454C" w:rsidRPr="009772A3">
        <w:rPr>
          <w:rFonts w:asciiTheme="majorHAnsi" w:hAnsiTheme="majorHAnsi" w:cstheme="majorHAnsi"/>
          <w:sz w:val="24"/>
          <w:szCs w:val="24"/>
          <w:vertAlign w:val="baseline"/>
          <w:lang w:val="ro-MD"/>
        </w:rPr>
        <w:t xml:space="preserve"> diminueze potențialele riscuri</w:t>
      </w:r>
      <w:r w:rsidRPr="009772A3">
        <w:rPr>
          <w:rFonts w:asciiTheme="majorHAnsi" w:hAnsiTheme="majorHAnsi" w:cstheme="majorHAnsi"/>
          <w:sz w:val="24"/>
          <w:szCs w:val="24"/>
          <w:vertAlign w:val="baseline"/>
          <w:lang w:val="ro-MD"/>
        </w:rPr>
        <w:t xml:space="preserve">. </w:t>
      </w:r>
    </w:p>
    <w:p w14:paraId="3373186D" w14:textId="07A3E69D" w:rsidR="00700D79" w:rsidRPr="009772A3" w:rsidRDefault="00C20CC1" w:rsidP="00D03CB3">
      <w:pPr>
        <w:pStyle w:val="Heading1"/>
        <w:numPr>
          <w:ilvl w:val="0"/>
          <w:numId w:val="2"/>
        </w:numPr>
        <w:spacing w:line="276" w:lineRule="auto"/>
        <w:ind w:left="0" w:firstLine="0"/>
        <w:jc w:val="left"/>
        <w:rPr>
          <w:rFonts w:cstheme="majorHAnsi"/>
          <w:color w:val="auto"/>
          <w:sz w:val="28"/>
          <w:szCs w:val="24"/>
          <w:lang w:val="ro-MD"/>
        </w:rPr>
      </w:pPr>
      <w:bookmarkStart w:id="287" w:name="_Toc47338799"/>
      <w:bookmarkStart w:id="288" w:name="_Toc119496478"/>
      <w:r w:rsidRPr="009772A3">
        <w:rPr>
          <w:color w:val="auto"/>
          <w:sz w:val="28"/>
          <w:lang w:val="ro-MD"/>
        </w:rPr>
        <w:t>RECOMANDĂRI</w:t>
      </w:r>
      <w:bookmarkEnd w:id="287"/>
      <w:bookmarkEnd w:id="288"/>
    </w:p>
    <w:p w14:paraId="7196BCA4" w14:textId="208712A1" w:rsidR="005116A4" w:rsidRPr="009772A3" w:rsidRDefault="004B6506" w:rsidP="004F4116">
      <w:pPr>
        <w:pStyle w:val="FootnoteText"/>
        <w:spacing w:line="276" w:lineRule="auto"/>
        <w:jc w:val="both"/>
        <w:rPr>
          <w:rFonts w:cstheme="majorHAnsi"/>
          <w:szCs w:val="24"/>
          <w:lang w:val="ro-MD"/>
        </w:rPr>
      </w:pPr>
      <w:r w:rsidRPr="009772A3">
        <w:rPr>
          <w:rFonts w:asciiTheme="majorHAnsi" w:hAnsiTheme="majorHAnsi" w:cstheme="majorHAnsi"/>
          <w:b/>
          <w:sz w:val="24"/>
          <w:szCs w:val="24"/>
          <w:vertAlign w:val="baseline"/>
          <w:lang w:val="ro-MD"/>
        </w:rPr>
        <w:t>Agenției Proprietății Publice</w:t>
      </w:r>
      <w:r w:rsidR="009853C1" w:rsidRPr="009772A3">
        <w:rPr>
          <w:rFonts w:asciiTheme="majorHAnsi" w:hAnsiTheme="majorHAnsi" w:cstheme="majorHAnsi"/>
          <w:b/>
          <w:sz w:val="24"/>
          <w:szCs w:val="24"/>
          <w:vertAlign w:val="baseline"/>
          <w:lang w:val="ro-MD"/>
        </w:rPr>
        <w:t>:</w:t>
      </w:r>
    </w:p>
    <w:p w14:paraId="052FC5E3" w14:textId="727AFFC2" w:rsidR="00736D5A" w:rsidRPr="009772A3" w:rsidRDefault="00736D5A"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să examineze constatările din prezentul Raport de audit cu elaborarea ulterioară a unui plan de acțiuni privind ameliorarea gestiunii economico</w:t>
      </w:r>
      <w:r w:rsidR="00F07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financiare a SA Moldovagaz și a întreprinderilor fondate de aceasta</w:t>
      </w:r>
      <w:r w:rsidR="008E3D9B" w:rsidRPr="009772A3">
        <w:rPr>
          <w:rFonts w:asciiTheme="majorHAnsi" w:hAnsiTheme="majorHAnsi" w:cstheme="majorHAnsi"/>
          <w:sz w:val="24"/>
          <w:szCs w:val="24"/>
          <w:lang w:val="ro-MD"/>
        </w:rPr>
        <w:t xml:space="preserve">, inclusiv prin prisma prevederilor Hotărârii Guvernului nr.1068 din 21.10.1998 </w:t>
      </w:r>
      <w:r w:rsidR="00F07704" w:rsidRPr="009772A3">
        <w:rPr>
          <w:rFonts w:asciiTheme="majorHAnsi" w:hAnsiTheme="majorHAnsi" w:cstheme="majorHAnsi"/>
          <w:sz w:val="24"/>
          <w:szCs w:val="24"/>
          <w:lang w:val="ro-MD"/>
        </w:rPr>
        <w:t>„C</w:t>
      </w:r>
      <w:r w:rsidR="008E3D9B" w:rsidRPr="009772A3">
        <w:rPr>
          <w:rFonts w:asciiTheme="majorHAnsi" w:hAnsiTheme="majorHAnsi" w:cstheme="majorHAnsi"/>
          <w:sz w:val="24"/>
          <w:szCs w:val="24"/>
          <w:lang w:val="ro-MD"/>
        </w:rPr>
        <w:t xml:space="preserve">u privire la crearea </w:t>
      </w:r>
      <w:r w:rsidR="00F07704" w:rsidRPr="009772A3">
        <w:rPr>
          <w:rFonts w:asciiTheme="majorHAnsi" w:hAnsiTheme="majorHAnsi" w:cstheme="majorHAnsi"/>
          <w:sz w:val="24"/>
          <w:szCs w:val="24"/>
          <w:lang w:val="ro-MD"/>
        </w:rPr>
        <w:t xml:space="preserve">în </w:t>
      </w:r>
      <w:r w:rsidR="008E3D9B" w:rsidRPr="009772A3">
        <w:rPr>
          <w:rFonts w:asciiTheme="majorHAnsi" w:hAnsiTheme="majorHAnsi" w:cstheme="majorHAnsi"/>
          <w:sz w:val="24"/>
          <w:szCs w:val="24"/>
          <w:lang w:val="ro-MD"/>
        </w:rPr>
        <w:t>complexul de gaze al Republicii Moldova a unei societăți pe acțiuni moldo</w:t>
      </w:r>
      <w:r w:rsidR="00F07704" w:rsidRPr="009772A3">
        <w:rPr>
          <w:rFonts w:asciiTheme="majorHAnsi" w:hAnsiTheme="majorHAnsi" w:cstheme="majorHAnsi"/>
          <w:sz w:val="24"/>
          <w:szCs w:val="24"/>
          <w:lang w:val="ro-MD"/>
        </w:rPr>
        <w:t>-</w:t>
      </w:r>
      <w:r w:rsidR="008E3D9B" w:rsidRPr="009772A3">
        <w:rPr>
          <w:rFonts w:asciiTheme="majorHAnsi" w:hAnsiTheme="majorHAnsi" w:cstheme="majorHAnsi"/>
          <w:sz w:val="24"/>
          <w:szCs w:val="24"/>
          <w:lang w:val="ro-MD"/>
        </w:rPr>
        <w:t>ruse</w:t>
      </w:r>
      <w:r w:rsidR="00F07704"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p>
    <w:p w14:paraId="6EEC99BF" w14:textId="73B2A20B" w:rsidR="004B6506" w:rsidRPr="009772A3" w:rsidRDefault="00CC15BE"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să promoveze prin intermediul reprezentaților săi în organele de conducere ale SA Moldovagaz realizarea acțiunilor necesare pentru eliminarea deficiențelor expuse în prezentul Raport de audit;</w:t>
      </w:r>
    </w:p>
    <w:p w14:paraId="671E1577" w14:textId="2B33ECA3" w:rsidR="00E042B2" w:rsidRPr="009772A3" w:rsidRDefault="00E042B2" w:rsidP="00F71869">
      <w:pPr>
        <w:pStyle w:val="FootnoteText"/>
        <w:spacing w:line="276" w:lineRule="auto"/>
        <w:jc w:val="both"/>
        <w:rPr>
          <w:rFonts w:cstheme="majorHAnsi"/>
          <w:szCs w:val="24"/>
          <w:lang w:val="ro-MD"/>
        </w:rPr>
      </w:pPr>
      <w:r w:rsidRPr="009772A3">
        <w:rPr>
          <w:rFonts w:asciiTheme="majorHAnsi" w:hAnsiTheme="majorHAnsi" w:cstheme="majorHAnsi"/>
          <w:b/>
          <w:sz w:val="24"/>
          <w:szCs w:val="24"/>
          <w:vertAlign w:val="baseline"/>
          <w:lang w:val="ro-MD"/>
        </w:rPr>
        <w:t xml:space="preserve">Ministerului </w:t>
      </w:r>
      <w:r w:rsidR="00F07704" w:rsidRPr="009772A3">
        <w:rPr>
          <w:rFonts w:asciiTheme="majorHAnsi" w:hAnsiTheme="majorHAnsi" w:cstheme="majorHAnsi"/>
          <w:b/>
          <w:sz w:val="24"/>
          <w:szCs w:val="24"/>
          <w:vertAlign w:val="baseline"/>
          <w:lang w:val="ro-MD"/>
        </w:rPr>
        <w:t>I</w:t>
      </w:r>
      <w:r w:rsidRPr="009772A3">
        <w:rPr>
          <w:rFonts w:asciiTheme="majorHAnsi" w:hAnsiTheme="majorHAnsi" w:cstheme="majorHAnsi"/>
          <w:b/>
          <w:sz w:val="24"/>
          <w:szCs w:val="24"/>
          <w:vertAlign w:val="baseline"/>
          <w:lang w:val="ro-MD"/>
        </w:rPr>
        <w:t xml:space="preserve">nfrastructurii și </w:t>
      </w:r>
      <w:r w:rsidR="00F07704" w:rsidRPr="009772A3">
        <w:rPr>
          <w:rFonts w:asciiTheme="majorHAnsi" w:hAnsiTheme="majorHAnsi" w:cstheme="majorHAnsi"/>
          <w:b/>
          <w:sz w:val="24"/>
          <w:szCs w:val="24"/>
          <w:vertAlign w:val="baseline"/>
          <w:lang w:val="ro-MD"/>
        </w:rPr>
        <w:t>D</w:t>
      </w:r>
      <w:r w:rsidRPr="009772A3">
        <w:rPr>
          <w:rFonts w:asciiTheme="majorHAnsi" w:hAnsiTheme="majorHAnsi" w:cstheme="majorHAnsi"/>
          <w:b/>
          <w:sz w:val="24"/>
          <w:szCs w:val="24"/>
          <w:vertAlign w:val="baseline"/>
          <w:lang w:val="ro-MD"/>
        </w:rPr>
        <w:t xml:space="preserve">ezvoltării </w:t>
      </w:r>
      <w:r w:rsidR="00F07704" w:rsidRPr="009772A3">
        <w:rPr>
          <w:rFonts w:asciiTheme="majorHAnsi" w:hAnsiTheme="majorHAnsi" w:cstheme="majorHAnsi"/>
          <w:b/>
          <w:sz w:val="24"/>
          <w:szCs w:val="24"/>
          <w:vertAlign w:val="baseline"/>
          <w:lang w:val="ro-MD"/>
        </w:rPr>
        <w:t>R</w:t>
      </w:r>
      <w:r w:rsidRPr="009772A3">
        <w:rPr>
          <w:rFonts w:asciiTheme="majorHAnsi" w:hAnsiTheme="majorHAnsi" w:cstheme="majorHAnsi"/>
          <w:b/>
          <w:sz w:val="24"/>
          <w:szCs w:val="24"/>
          <w:vertAlign w:val="baseline"/>
          <w:lang w:val="ro-MD"/>
        </w:rPr>
        <w:t>egionale</w:t>
      </w:r>
      <w:r w:rsidR="00214E63" w:rsidRPr="009772A3">
        <w:rPr>
          <w:rFonts w:asciiTheme="majorHAnsi" w:hAnsiTheme="majorHAnsi" w:cstheme="majorHAnsi"/>
          <w:b/>
          <w:sz w:val="24"/>
          <w:szCs w:val="24"/>
          <w:vertAlign w:val="baseline"/>
          <w:lang w:val="ro-MD"/>
        </w:rPr>
        <w:t xml:space="preserve"> și Agenției Proprietății Publice</w:t>
      </w:r>
      <w:r w:rsidR="008B3E00" w:rsidRPr="009772A3">
        <w:rPr>
          <w:rFonts w:asciiTheme="majorHAnsi" w:hAnsiTheme="majorHAnsi" w:cstheme="majorHAnsi"/>
          <w:b/>
          <w:sz w:val="24"/>
          <w:szCs w:val="24"/>
          <w:vertAlign w:val="baseline"/>
          <w:lang w:val="ro-MD"/>
        </w:rPr>
        <w:t>:</w:t>
      </w:r>
    </w:p>
    <w:p w14:paraId="0CF526D3" w14:textId="304AF935" w:rsidR="00E042B2" w:rsidRPr="009772A3" w:rsidRDefault="00E042B2"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să asigure inventarierea rețelelor de transport și distribuție a gazelor naturale construite din </w:t>
      </w:r>
      <w:r w:rsidR="003117B4" w:rsidRPr="009772A3">
        <w:rPr>
          <w:rFonts w:asciiTheme="majorHAnsi" w:hAnsiTheme="majorHAnsi" w:cstheme="majorHAnsi"/>
          <w:sz w:val="24"/>
          <w:szCs w:val="24"/>
          <w:lang w:val="ro-MD"/>
        </w:rPr>
        <w:t>re</w:t>
      </w:r>
      <w:r w:rsidRPr="009772A3">
        <w:rPr>
          <w:rFonts w:asciiTheme="majorHAnsi" w:hAnsiTheme="majorHAnsi" w:cstheme="majorHAnsi"/>
          <w:sz w:val="24"/>
          <w:szCs w:val="24"/>
          <w:lang w:val="ro-MD"/>
        </w:rPr>
        <w:t>sursele bugetului public național;</w:t>
      </w:r>
    </w:p>
    <w:p w14:paraId="7F848C55" w14:textId="0209F32C" w:rsidR="008B3E00" w:rsidRPr="009772A3" w:rsidRDefault="00E042B2"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să asigure identificarea și implementarea </w:t>
      </w:r>
      <w:r w:rsidR="000C3D3E" w:rsidRPr="009772A3">
        <w:rPr>
          <w:rFonts w:asciiTheme="majorHAnsi" w:hAnsiTheme="majorHAnsi" w:cstheme="majorHAnsi"/>
          <w:sz w:val="24"/>
          <w:szCs w:val="24"/>
          <w:lang w:val="ro-MD"/>
        </w:rPr>
        <w:t>unui mecanis</w:t>
      </w:r>
      <w:r w:rsidR="003117B4" w:rsidRPr="009772A3">
        <w:rPr>
          <w:rFonts w:asciiTheme="majorHAnsi" w:hAnsiTheme="majorHAnsi" w:cstheme="majorHAnsi"/>
          <w:sz w:val="24"/>
          <w:szCs w:val="24"/>
          <w:lang w:val="ro-MD"/>
        </w:rPr>
        <w:t>m</w:t>
      </w:r>
      <w:r w:rsidR="000C3D3E" w:rsidRPr="009772A3">
        <w:rPr>
          <w:rFonts w:asciiTheme="majorHAnsi" w:hAnsiTheme="majorHAnsi" w:cstheme="majorHAnsi"/>
          <w:sz w:val="24"/>
          <w:szCs w:val="24"/>
          <w:lang w:val="ro-MD"/>
        </w:rPr>
        <w:t xml:space="preserve"> de </w:t>
      </w:r>
      <w:r w:rsidR="003A5195" w:rsidRPr="009772A3">
        <w:rPr>
          <w:rFonts w:asciiTheme="majorHAnsi" w:hAnsiTheme="majorHAnsi" w:cstheme="majorHAnsi"/>
          <w:sz w:val="24"/>
          <w:szCs w:val="24"/>
          <w:lang w:val="ro-MD"/>
        </w:rPr>
        <w:t xml:space="preserve">evaluare și </w:t>
      </w:r>
      <w:r w:rsidR="000C3D3E" w:rsidRPr="009772A3">
        <w:rPr>
          <w:rFonts w:asciiTheme="majorHAnsi" w:hAnsiTheme="majorHAnsi" w:cstheme="majorHAnsi"/>
          <w:sz w:val="24"/>
          <w:szCs w:val="24"/>
          <w:lang w:val="ro-MD"/>
        </w:rPr>
        <w:t>gestiune a rețelelor de gaze proprietate publică</w:t>
      </w:r>
      <w:r w:rsidR="003A5195" w:rsidRPr="009772A3">
        <w:rPr>
          <w:rFonts w:asciiTheme="majorHAnsi" w:hAnsiTheme="majorHAnsi" w:cstheme="majorHAnsi"/>
          <w:sz w:val="24"/>
          <w:szCs w:val="24"/>
          <w:lang w:val="ro-MD"/>
        </w:rPr>
        <w:t xml:space="preserve">, inclusiv </w:t>
      </w:r>
      <w:r w:rsidR="003117B4" w:rsidRPr="009772A3">
        <w:rPr>
          <w:rFonts w:asciiTheme="majorHAnsi" w:hAnsiTheme="majorHAnsi" w:cstheme="majorHAnsi"/>
          <w:sz w:val="24"/>
          <w:szCs w:val="24"/>
          <w:lang w:val="ro-MD"/>
        </w:rPr>
        <w:t xml:space="preserve">a </w:t>
      </w:r>
      <w:r w:rsidR="003A5195" w:rsidRPr="009772A3">
        <w:rPr>
          <w:rFonts w:asciiTheme="majorHAnsi" w:hAnsiTheme="majorHAnsi" w:cstheme="majorHAnsi"/>
          <w:sz w:val="24"/>
          <w:szCs w:val="24"/>
          <w:lang w:val="ro-MD"/>
        </w:rPr>
        <w:t>celor fără proprietar înregistrat</w:t>
      </w:r>
      <w:r w:rsidR="003117B4" w:rsidRPr="009772A3">
        <w:rPr>
          <w:rFonts w:asciiTheme="majorHAnsi" w:hAnsiTheme="majorHAnsi" w:cstheme="majorHAnsi"/>
          <w:sz w:val="24"/>
          <w:szCs w:val="24"/>
          <w:lang w:val="ro-MD"/>
        </w:rPr>
        <w:t>;</w:t>
      </w:r>
    </w:p>
    <w:p w14:paraId="1CF3B6E0" w14:textId="52C29D2D" w:rsidR="008B3E00" w:rsidRPr="009772A3" w:rsidRDefault="008B3E00" w:rsidP="00F71869">
      <w:pPr>
        <w:pStyle w:val="FootnoteText"/>
        <w:spacing w:line="276" w:lineRule="auto"/>
        <w:jc w:val="both"/>
        <w:rPr>
          <w:rFonts w:cstheme="majorHAnsi"/>
          <w:szCs w:val="24"/>
          <w:lang w:val="ro-MD"/>
        </w:rPr>
      </w:pPr>
      <w:r w:rsidRPr="009772A3">
        <w:rPr>
          <w:rFonts w:asciiTheme="majorHAnsi" w:hAnsiTheme="majorHAnsi" w:cstheme="majorHAnsi"/>
          <w:b/>
          <w:sz w:val="24"/>
          <w:szCs w:val="24"/>
          <w:vertAlign w:val="baseline"/>
          <w:lang w:val="ro-MD"/>
        </w:rPr>
        <w:t xml:space="preserve">Ministerului </w:t>
      </w:r>
      <w:r w:rsidR="003117B4" w:rsidRPr="009772A3">
        <w:rPr>
          <w:rFonts w:asciiTheme="majorHAnsi" w:hAnsiTheme="majorHAnsi" w:cstheme="majorHAnsi"/>
          <w:b/>
          <w:sz w:val="24"/>
          <w:szCs w:val="24"/>
          <w:vertAlign w:val="baseline"/>
          <w:lang w:val="ro-MD"/>
        </w:rPr>
        <w:t>F</w:t>
      </w:r>
      <w:r w:rsidRPr="009772A3">
        <w:rPr>
          <w:rFonts w:asciiTheme="majorHAnsi" w:hAnsiTheme="majorHAnsi" w:cstheme="majorHAnsi"/>
          <w:b/>
          <w:sz w:val="24"/>
          <w:szCs w:val="24"/>
          <w:vertAlign w:val="baseline"/>
          <w:lang w:val="ro-MD"/>
        </w:rPr>
        <w:t>inanțelor:</w:t>
      </w:r>
    </w:p>
    <w:p w14:paraId="65FEF434" w14:textId="075F92D4" w:rsidR="008B3E00" w:rsidRPr="009772A3" w:rsidRDefault="008B3E00"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să asigure </w:t>
      </w:r>
      <w:r w:rsidR="005868DA">
        <w:rPr>
          <w:rFonts w:asciiTheme="majorHAnsi" w:hAnsiTheme="majorHAnsi" w:cstheme="majorHAnsi"/>
          <w:sz w:val="24"/>
          <w:szCs w:val="24"/>
          <w:lang w:val="ro-MD"/>
        </w:rPr>
        <w:t xml:space="preserve">coordonarea și </w:t>
      </w:r>
      <w:r w:rsidRPr="009772A3">
        <w:rPr>
          <w:rFonts w:asciiTheme="majorHAnsi" w:hAnsiTheme="majorHAnsi" w:cstheme="majorHAnsi"/>
          <w:sz w:val="24"/>
          <w:szCs w:val="24"/>
          <w:lang w:val="ro-MD"/>
        </w:rPr>
        <w:t xml:space="preserve">promovarea </w:t>
      </w:r>
      <w:r w:rsidR="003117B4" w:rsidRPr="009772A3">
        <w:rPr>
          <w:rFonts w:asciiTheme="majorHAnsi" w:hAnsiTheme="majorHAnsi" w:cstheme="majorHAnsi"/>
          <w:sz w:val="24"/>
          <w:szCs w:val="24"/>
          <w:lang w:val="ro-MD"/>
        </w:rPr>
        <w:t xml:space="preserve">pentru </w:t>
      </w:r>
      <w:r w:rsidRPr="009772A3">
        <w:rPr>
          <w:rFonts w:asciiTheme="majorHAnsi" w:hAnsiTheme="majorHAnsi" w:cstheme="majorHAnsi"/>
          <w:sz w:val="24"/>
          <w:szCs w:val="24"/>
          <w:lang w:val="ro-MD"/>
        </w:rPr>
        <w:t>aprobare a cadrului normativ secundar de implementare</w:t>
      </w:r>
      <w:r w:rsidR="00E94AAC" w:rsidRPr="009772A3">
        <w:rPr>
          <w:rFonts w:asciiTheme="majorHAnsi" w:hAnsiTheme="majorHAnsi" w:cstheme="majorHAnsi"/>
          <w:sz w:val="24"/>
          <w:szCs w:val="24"/>
          <w:lang w:val="ro-MD"/>
        </w:rPr>
        <w:t xml:space="preserve"> a Legii nr.74 din 21.05.2020;</w:t>
      </w:r>
    </w:p>
    <w:p w14:paraId="588E95CD" w14:textId="1D102C1A" w:rsidR="004B6506" w:rsidRPr="009772A3" w:rsidRDefault="009853C1" w:rsidP="00F71869">
      <w:pPr>
        <w:pStyle w:val="FootnoteText"/>
        <w:spacing w:line="276" w:lineRule="auto"/>
        <w:jc w:val="both"/>
        <w:rPr>
          <w:rFonts w:cstheme="majorHAnsi"/>
          <w:szCs w:val="24"/>
          <w:lang w:val="ro-MD"/>
        </w:rPr>
      </w:pPr>
      <w:r w:rsidRPr="009772A3">
        <w:rPr>
          <w:rFonts w:asciiTheme="majorHAnsi" w:hAnsiTheme="majorHAnsi" w:cstheme="majorHAnsi"/>
          <w:b/>
          <w:sz w:val="24"/>
          <w:szCs w:val="24"/>
          <w:vertAlign w:val="baseline"/>
          <w:lang w:val="ro-MD"/>
        </w:rPr>
        <w:t>SA</w:t>
      </w:r>
      <w:r w:rsidR="004B6506" w:rsidRPr="009772A3">
        <w:rPr>
          <w:rFonts w:asciiTheme="majorHAnsi" w:hAnsiTheme="majorHAnsi" w:cstheme="majorHAnsi"/>
          <w:b/>
          <w:sz w:val="24"/>
          <w:szCs w:val="24"/>
          <w:vertAlign w:val="baseline"/>
          <w:lang w:val="ro-MD"/>
        </w:rPr>
        <w:t xml:space="preserve"> Moldovagaz</w:t>
      </w:r>
      <w:r w:rsidRPr="009772A3">
        <w:rPr>
          <w:rFonts w:asciiTheme="majorHAnsi" w:hAnsiTheme="majorHAnsi" w:cstheme="majorHAnsi"/>
          <w:b/>
          <w:sz w:val="24"/>
          <w:szCs w:val="24"/>
          <w:vertAlign w:val="baseline"/>
          <w:lang w:val="ro-MD"/>
        </w:rPr>
        <w:t>:</w:t>
      </w:r>
    </w:p>
    <w:p w14:paraId="37B4FB87" w14:textId="09293734" w:rsidR="004B6506" w:rsidRPr="009772A3" w:rsidRDefault="009853C1"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s</w:t>
      </w:r>
      <w:r w:rsidR="00FE3A26" w:rsidRPr="009772A3">
        <w:rPr>
          <w:rFonts w:asciiTheme="majorHAnsi" w:hAnsiTheme="majorHAnsi" w:cstheme="majorHAnsi"/>
          <w:sz w:val="24"/>
          <w:szCs w:val="24"/>
          <w:lang w:val="ro-MD"/>
        </w:rPr>
        <w:t xml:space="preserve">ă </w:t>
      </w:r>
      <w:r w:rsidRPr="009772A3">
        <w:rPr>
          <w:rFonts w:asciiTheme="majorHAnsi" w:hAnsiTheme="majorHAnsi" w:cstheme="majorHAnsi"/>
          <w:sz w:val="24"/>
          <w:szCs w:val="24"/>
          <w:lang w:val="ro-MD"/>
        </w:rPr>
        <w:t>examineze prezentul Raport de audit în vederea eficientizării activității SA Moldovagaz;</w:t>
      </w:r>
    </w:p>
    <w:p w14:paraId="0D377300" w14:textId="12A6C811" w:rsidR="00E831F2" w:rsidRPr="009772A3" w:rsidRDefault="00E831F2"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să promoveze acțiuni în vederea revizuirii structurii întreprinderilor din </w:t>
      </w:r>
      <w:r w:rsidR="009A44D4" w:rsidRPr="009772A3">
        <w:rPr>
          <w:rFonts w:asciiTheme="majorHAnsi" w:hAnsiTheme="majorHAnsi" w:cstheme="majorHAnsi"/>
          <w:sz w:val="24"/>
          <w:szCs w:val="24"/>
          <w:lang w:val="ro-MD"/>
        </w:rPr>
        <w:t>grupul</w:t>
      </w:r>
      <w:r w:rsidRPr="009772A3">
        <w:rPr>
          <w:rFonts w:asciiTheme="majorHAnsi" w:hAnsiTheme="majorHAnsi" w:cstheme="majorHAnsi"/>
          <w:sz w:val="24"/>
          <w:szCs w:val="24"/>
          <w:lang w:val="ro-MD"/>
        </w:rPr>
        <w:t xml:space="preserve"> SA Moldovagaz și optimizării statelor de personal al</w:t>
      </w:r>
      <w:r w:rsidR="003117B4" w:rsidRPr="009772A3">
        <w:rPr>
          <w:rFonts w:asciiTheme="majorHAnsi" w:hAnsiTheme="majorHAnsi" w:cstheme="majorHAnsi"/>
          <w:sz w:val="24"/>
          <w:szCs w:val="24"/>
          <w:lang w:val="ro-MD"/>
        </w:rPr>
        <w:t>e</w:t>
      </w:r>
      <w:r w:rsidRPr="009772A3">
        <w:rPr>
          <w:rFonts w:asciiTheme="majorHAnsi" w:hAnsiTheme="majorHAnsi" w:cstheme="majorHAnsi"/>
          <w:sz w:val="24"/>
          <w:szCs w:val="24"/>
          <w:lang w:val="ro-MD"/>
        </w:rPr>
        <w:t xml:space="preserve"> acestora; </w:t>
      </w:r>
    </w:p>
    <w:p w14:paraId="4CEEB8B5" w14:textId="0E0632C2" w:rsidR="009853C1" w:rsidRPr="009772A3" w:rsidRDefault="009853C1"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să elaboreze și </w:t>
      </w:r>
      <w:r w:rsidR="00AF4A04" w:rsidRPr="009772A3">
        <w:rPr>
          <w:rFonts w:asciiTheme="majorHAnsi" w:hAnsiTheme="majorHAnsi" w:cstheme="majorHAnsi"/>
          <w:sz w:val="24"/>
          <w:szCs w:val="24"/>
          <w:lang w:val="ro-MD"/>
        </w:rPr>
        <w:t xml:space="preserve">să </w:t>
      </w:r>
      <w:r w:rsidRPr="009772A3">
        <w:rPr>
          <w:rFonts w:asciiTheme="majorHAnsi" w:hAnsiTheme="majorHAnsi" w:cstheme="majorHAnsi"/>
          <w:sz w:val="24"/>
          <w:szCs w:val="24"/>
          <w:lang w:val="ro-MD"/>
        </w:rPr>
        <w:t xml:space="preserve">implementeze </w:t>
      </w:r>
      <w:r w:rsidR="00DE54DA" w:rsidRPr="009772A3">
        <w:rPr>
          <w:rFonts w:asciiTheme="majorHAnsi" w:hAnsiTheme="majorHAnsi" w:cstheme="majorHAnsi"/>
          <w:sz w:val="24"/>
          <w:szCs w:val="24"/>
          <w:lang w:val="ro-MD"/>
        </w:rPr>
        <w:t>un plan</w:t>
      </w:r>
      <w:r w:rsidRPr="009772A3">
        <w:rPr>
          <w:rFonts w:asciiTheme="majorHAnsi" w:hAnsiTheme="majorHAnsi" w:cstheme="majorHAnsi"/>
          <w:sz w:val="24"/>
          <w:szCs w:val="24"/>
          <w:lang w:val="ro-MD"/>
        </w:rPr>
        <w:t xml:space="preserve"> care să </w:t>
      </w:r>
      <w:r w:rsidR="006D6274" w:rsidRPr="009772A3">
        <w:rPr>
          <w:rFonts w:asciiTheme="majorHAnsi" w:hAnsiTheme="majorHAnsi" w:cstheme="majorHAnsi"/>
          <w:sz w:val="24"/>
          <w:szCs w:val="24"/>
          <w:lang w:val="ro-MD"/>
        </w:rPr>
        <w:t xml:space="preserve">asigure redresarea </w:t>
      </w:r>
      <w:r w:rsidRPr="009772A3">
        <w:rPr>
          <w:rFonts w:asciiTheme="majorHAnsi" w:hAnsiTheme="majorHAnsi" w:cstheme="majorHAnsi"/>
          <w:sz w:val="24"/>
          <w:szCs w:val="24"/>
          <w:lang w:val="ro-MD"/>
        </w:rPr>
        <w:t>situați</w:t>
      </w:r>
      <w:r w:rsidR="006D6274" w:rsidRPr="009772A3">
        <w:rPr>
          <w:rFonts w:asciiTheme="majorHAnsi" w:hAnsiTheme="majorHAnsi" w:cstheme="majorHAnsi"/>
          <w:sz w:val="24"/>
          <w:szCs w:val="24"/>
          <w:lang w:val="ro-MD"/>
        </w:rPr>
        <w:t>ei</w:t>
      </w:r>
      <w:r w:rsidRPr="009772A3">
        <w:rPr>
          <w:rFonts w:asciiTheme="majorHAnsi" w:hAnsiTheme="majorHAnsi" w:cstheme="majorHAnsi"/>
          <w:sz w:val="24"/>
          <w:szCs w:val="24"/>
          <w:lang w:val="ro-MD"/>
        </w:rPr>
        <w:t xml:space="preserve"> financiar</w:t>
      </w:r>
      <w:r w:rsidR="006D6274" w:rsidRPr="009772A3">
        <w:rPr>
          <w:rFonts w:asciiTheme="majorHAnsi" w:hAnsiTheme="majorHAnsi" w:cstheme="majorHAnsi"/>
          <w:sz w:val="24"/>
          <w:szCs w:val="24"/>
          <w:lang w:val="ro-MD"/>
        </w:rPr>
        <w:t>e precare</w:t>
      </w:r>
      <w:r w:rsidRPr="009772A3">
        <w:rPr>
          <w:rFonts w:asciiTheme="majorHAnsi" w:hAnsiTheme="majorHAnsi" w:cstheme="majorHAnsi"/>
          <w:sz w:val="24"/>
          <w:szCs w:val="24"/>
          <w:lang w:val="ro-MD"/>
        </w:rPr>
        <w:t>,</w:t>
      </w:r>
      <w:r w:rsidR="00170D92" w:rsidRPr="009772A3">
        <w:rPr>
          <w:rFonts w:asciiTheme="majorHAnsi" w:hAnsiTheme="majorHAnsi" w:cstheme="majorHAnsi"/>
          <w:sz w:val="24"/>
          <w:szCs w:val="24"/>
          <w:lang w:val="ro-MD"/>
        </w:rPr>
        <w:t xml:space="preserve"> </w:t>
      </w:r>
      <w:r w:rsidRPr="009772A3">
        <w:rPr>
          <w:rFonts w:asciiTheme="majorHAnsi" w:hAnsiTheme="majorHAnsi" w:cstheme="majorHAnsi"/>
          <w:sz w:val="24"/>
          <w:szCs w:val="24"/>
          <w:lang w:val="ro-MD"/>
        </w:rPr>
        <w:t xml:space="preserve">cât și </w:t>
      </w:r>
      <w:r w:rsidR="006D6274" w:rsidRPr="009772A3">
        <w:rPr>
          <w:rFonts w:asciiTheme="majorHAnsi" w:hAnsiTheme="majorHAnsi" w:cstheme="majorHAnsi"/>
          <w:sz w:val="24"/>
          <w:szCs w:val="24"/>
          <w:lang w:val="ro-MD"/>
        </w:rPr>
        <w:t xml:space="preserve">a </w:t>
      </w:r>
      <w:r w:rsidRPr="009772A3">
        <w:rPr>
          <w:rFonts w:asciiTheme="majorHAnsi" w:hAnsiTheme="majorHAnsi" w:cstheme="majorHAnsi"/>
          <w:sz w:val="24"/>
          <w:szCs w:val="24"/>
          <w:lang w:val="ro-MD"/>
        </w:rPr>
        <w:t>datoriil</w:t>
      </w:r>
      <w:r w:rsidR="006D6274" w:rsidRPr="009772A3">
        <w:rPr>
          <w:rFonts w:asciiTheme="majorHAnsi" w:hAnsiTheme="majorHAnsi" w:cstheme="majorHAnsi"/>
          <w:sz w:val="24"/>
          <w:szCs w:val="24"/>
          <w:lang w:val="ro-MD"/>
        </w:rPr>
        <w:t>or</w:t>
      </w:r>
      <w:r w:rsidRPr="009772A3">
        <w:rPr>
          <w:rFonts w:asciiTheme="majorHAnsi" w:hAnsiTheme="majorHAnsi" w:cstheme="majorHAnsi"/>
          <w:sz w:val="24"/>
          <w:szCs w:val="24"/>
          <w:lang w:val="ro-MD"/>
        </w:rPr>
        <w:t>;</w:t>
      </w:r>
    </w:p>
    <w:p w14:paraId="3AC0BB83" w14:textId="47C60E49" w:rsidR="00C57B94" w:rsidRPr="009772A3" w:rsidRDefault="00C57B94" w:rsidP="00F71869">
      <w:pPr>
        <w:pStyle w:val="ListParagraph"/>
        <w:numPr>
          <w:ilvl w:val="0"/>
          <w:numId w:val="46"/>
        </w:numPr>
        <w:spacing w:after="0" w:line="276" w:lineRule="auto"/>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să asigure revizuirea și actualizarea reglementărilor interne aferente </w:t>
      </w:r>
      <w:r w:rsidR="00CC49A8" w:rsidRPr="009772A3">
        <w:rPr>
          <w:rFonts w:asciiTheme="majorHAnsi" w:hAnsiTheme="majorHAnsi" w:cstheme="majorHAnsi"/>
          <w:sz w:val="24"/>
          <w:szCs w:val="24"/>
          <w:lang w:val="ro-MD"/>
        </w:rPr>
        <w:t xml:space="preserve">procesului bugetar al societății, </w:t>
      </w:r>
      <w:r w:rsidRPr="009772A3">
        <w:rPr>
          <w:rFonts w:asciiTheme="majorHAnsi" w:hAnsiTheme="majorHAnsi" w:cstheme="majorHAnsi"/>
          <w:sz w:val="24"/>
          <w:szCs w:val="24"/>
          <w:lang w:val="ro-MD"/>
        </w:rPr>
        <w:t>achizițiilor</w:t>
      </w:r>
      <w:r w:rsidR="006D6274" w:rsidRPr="009772A3">
        <w:rPr>
          <w:rFonts w:asciiTheme="majorHAnsi" w:hAnsiTheme="majorHAnsi" w:cstheme="majorHAnsi"/>
          <w:sz w:val="24"/>
          <w:szCs w:val="24"/>
          <w:lang w:val="ro-MD"/>
        </w:rPr>
        <w:t xml:space="preserve"> și investițiilor</w:t>
      </w:r>
      <w:r w:rsidR="009A44D4" w:rsidRPr="009772A3">
        <w:rPr>
          <w:rFonts w:asciiTheme="majorHAnsi" w:hAnsiTheme="majorHAnsi" w:cstheme="majorHAnsi"/>
          <w:sz w:val="24"/>
          <w:szCs w:val="24"/>
          <w:lang w:val="ro-MD"/>
        </w:rPr>
        <w:t>.</w:t>
      </w:r>
    </w:p>
    <w:p w14:paraId="107898D2" w14:textId="77777777" w:rsidR="007E0C89" w:rsidRPr="009772A3" w:rsidRDefault="007E0C89" w:rsidP="007E0C89">
      <w:pPr>
        <w:spacing w:after="0" w:line="276" w:lineRule="auto"/>
        <w:jc w:val="both"/>
        <w:rPr>
          <w:rFonts w:asciiTheme="majorHAnsi" w:hAnsiTheme="majorHAnsi" w:cstheme="majorHAnsi"/>
          <w:sz w:val="24"/>
          <w:szCs w:val="24"/>
          <w:lang w:val="ro-MD"/>
        </w:rPr>
      </w:pPr>
    </w:p>
    <w:p w14:paraId="4665C97B" w14:textId="356A8E0F" w:rsidR="00813B23" w:rsidRPr="009772A3" w:rsidRDefault="001F6B5D" w:rsidP="00C93991">
      <w:pPr>
        <w:pStyle w:val="Heading1"/>
        <w:jc w:val="left"/>
        <w:rPr>
          <w:color w:val="auto"/>
          <w:sz w:val="28"/>
          <w:lang w:val="ro-MD"/>
        </w:rPr>
      </w:pPr>
      <w:bookmarkStart w:id="289" w:name="_Toc47338800"/>
      <w:bookmarkStart w:id="290" w:name="_Toc119496479"/>
      <w:r w:rsidRPr="009772A3">
        <w:rPr>
          <w:color w:val="auto"/>
          <w:sz w:val="28"/>
          <w:lang w:val="ro-MD"/>
        </w:rPr>
        <w:t>SEMNĂTURILE ECHIPEI DE AUDIT</w:t>
      </w:r>
      <w:bookmarkEnd w:id="289"/>
      <w:bookmarkEnd w:id="290"/>
    </w:p>
    <w:p w14:paraId="268A94DE" w14:textId="77777777" w:rsidR="001330C1" w:rsidRDefault="001330C1" w:rsidP="00284199">
      <w:pPr>
        <w:spacing w:after="0" w:line="276" w:lineRule="auto"/>
        <w:jc w:val="both"/>
        <w:rPr>
          <w:rFonts w:asciiTheme="majorHAnsi" w:eastAsia="Times New Roman" w:hAnsiTheme="majorHAnsi" w:cstheme="majorHAnsi"/>
          <w:b/>
          <w:bCs/>
          <w:i/>
          <w:iCs/>
          <w:sz w:val="24"/>
          <w:szCs w:val="24"/>
          <w:lang w:val="ro-MD"/>
        </w:rPr>
      </w:pPr>
    </w:p>
    <w:p w14:paraId="76816E98" w14:textId="0674C141" w:rsidR="001330C1" w:rsidRPr="00CF3AD4" w:rsidRDefault="001330C1" w:rsidP="001330C1">
      <w:pPr>
        <w:spacing w:after="0"/>
        <w:jc w:val="both"/>
        <w:rPr>
          <w:rFonts w:asciiTheme="majorHAnsi" w:hAnsiTheme="majorHAnsi" w:cstheme="majorHAnsi"/>
          <w:sz w:val="20"/>
          <w:szCs w:val="20"/>
          <w:lang w:val="ro-MD"/>
        </w:rPr>
      </w:pPr>
      <w:r w:rsidRPr="00CF3AD4">
        <w:rPr>
          <w:rFonts w:asciiTheme="majorHAnsi" w:hAnsiTheme="majorHAnsi" w:cstheme="majorHAnsi"/>
          <w:iCs/>
          <w:sz w:val="20"/>
          <w:szCs w:val="20"/>
          <w:lang w:val="ro-MD"/>
        </w:rPr>
        <w:t xml:space="preserve">Notă: Prezentul Raport de audit a fost întocmit în baza probelor acumulate de către echipa de audit, în următoarea componență: </w:t>
      </w:r>
      <w:r w:rsidR="0052287C" w:rsidRPr="00CF3AD4">
        <w:rPr>
          <w:rFonts w:asciiTheme="majorHAnsi" w:hAnsiTheme="majorHAnsi" w:cstheme="majorHAnsi"/>
          <w:sz w:val="20"/>
          <w:szCs w:val="20"/>
          <w:lang w:val="ro-MD"/>
        </w:rPr>
        <w:t>Vozian</w:t>
      </w:r>
      <w:r w:rsidR="00D41F64" w:rsidRPr="00D41F64">
        <w:rPr>
          <w:rFonts w:asciiTheme="majorHAnsi" w:hAnsiTheme="majorHAnsi" w:cstheme="majorHAnsi"/>
          <w:sz w:val="20"/>
          <w:szCs w:val="20"/>
          <w:lang w:val="ro-MD"/>
        </w:rPr>
        <w:t xml:space="preserve"> </w:t>
      </w:r>
      <w:r w:rsidR="00D41F64" w:rsidRPr="00005F20">
        <w:rPr>
          <w:rFonts w:asciiTheme="majorHAnsi" w:hAnsiTheme="majorHAnsi" w:cstheme="majorHAnsi"/>
          <w:sz w:val="20"/>
          <w:szCs w:val="20"/>
          <w:lang w:val="ro-MD"/>
        </w:rPr>
        <w:t>Tatiana</w:t>
      </w:r>
      <w:r w:rsidR="0052287C" w:rsidRPr="00CF3AD4">
        <w:rPr>
          <w:rFonts w:asciiTheme="majorHAnsi" w:hAnsiTheme="majorHAnsi" w:cstheme="majorHAnsi"/>
          <w:sz w:val="20"/>
          <w:szCs w:val="20"/>
          <w:lang w:val="ro-MD"/>
        </w:rPr>
        <w:t>, șef al Direcției Generale Metodologie, Planificare și Raportare; Bulmaga</w:t>
      </w:r>
      <w:r w:rsidR="00D41F64" w:rsidRPr="00D41F64">
        <w:rPr>
          <w:rFonts w:asciiTheme="majorHAnsi" w:hAnsiTheme="majorHAnsi" w:cstheme="majorHAnsi"/>
          <w:sz w:val="20"/>
          <w:szCs w:val="20"/>
          <w:lang w:val="ro-MD"/>
        </w:rPr>
        <w:t xml:space="preserve"> </w:t>
      </w:r>
      <w:r w:rsidR="00D41F64" w:rsidRPr="00404958">
        <w:rPr>
          <w:rFonts w:asciiTheme="majorHAnsi" w:hAnsiTheme="majorHAnsi" w:cstheme="majorHAnsi"/>
          <w:sz w:val="20"/>
          <w:szCs w:val="20"/>
          <w:lang w:val="ro-MD"/>
        </w:rPr>
        <w:t>Ion</w:t>
      </w:r>
      <w:r w:rsidR="0052287C" w:rsidRPr="00CF3AD4">
        <w:rPr>
          <w:rFonts w:asciiTheme="majorHAnsi" w:hAnsiTheme="majorHAnsi" w:cstheme="majorHAnsi"/>
          <w:sz w:val="20"/>
          <w:szCs w:val="20"/>
          <w:lang w:val="ro-MD"/>
        </w:rPr>
        <w:t xml:space="preserve">, șef de direcție în cadrul </w:t>
      </w:r>
      <w:r w:rsidR="0052287C" w:rsidRPr="00CF3AD4">
        <w:rPr>
          <w:rFonts w:asciiTheme="majorHAnsi" w:hAnsiTheme="majorHAnsi" w:cstheme="majorHAnsi"/>
          <w:color w:val="000000"/>
          <w:spacing w:val="-3"/>
          <w:sz w:val="20"/>
          <w:szCs w:val="20"/>
          <w:lang w:val="ro-MD"/>
        </w:rPr>
        <w:t>DGA I;</w:t>
      </w:r>
      <w:r w:rsidR="0052287C" w:rsidRPr="00CF3AD4">
        <w:rPr>
          <w:rFonts w:asciiTheme="majorHAnsi" w:hAnsiTheme="majorHAnsi" w:cstheme="majorHAnsi"/>
          <w:sz w:val="20"/>
          <w:szCs w:val="20"/>
          <w:lang w:val="ro-MD"/>
        </w:rPr>
        <w:t xml:space="preserve"> Sîrbu</w:t>
      </w:r>
      <w:r w:rsidR="00D41F64" w:rsidRPr="00D41F64">
        <w:rPr>
          <w:rFonts w:asciiTheme="majorHAnsi" w:hAnsiTheme="majorHAnsi" w:cstheme="majorHAnsi"/>
          <w:sz w:val="20"/>
          <w:szCs w:val="20"/>
          <w:lang w:val="ro-MD"/>
        </w:rPr>
        <w:t xml:space="preserve"> </w:t>
      </w:r>
      <w:r w:rsidR="00D41F64" w:rsidRPr="00E32038">
        <w:rPr>
          <w:rFonts w:asciiTheme="majorHAnsi" w:hAnsiTheme="majorHAnsi" w:cstheme="majorHAnsi"/>
          <w:sz w:val="20"/>
          <w:szCs w:val="20"/>
          <w:lang w:val="ro-MD"/>
        </w:rPr>
        <w:t>Ion</w:t>
      </w:r>
      <w:r w:rsidR="0052287C" w:rsidRPr="00CF3AD4">
        <w:rPr>
          <w:rFonts w:asciiTheme="majorHAnsi" w:hAnsiTheme="majorHAnsi" w:cstheme="majorHAnsi"/>
          <w:sz w:val="20"/>
          <w:szCs w:val="20"/>
          <w:lang w:val="ro-MD"/>
        </w:rPr>
        <w:t xml:space="preserve">, șef de direcție în cadrul </w:t>
      </w:r>
      <w:r w:rsidR="0052287C" w:rsidRPr="00CF3AD4">
        <w:rPr>
          <w:rFonts w:asciiTheme="majorHAnsi" w:hAnsiTheme="majorHAnsi" w:cstheme="majorHAnsi"/>
          <w:color w:val="000000"/>
          <w:spacing w:val="-3"/>
          <w:sz w:val="20"/>
          <w:szCs w:val="20"/>
          <w:lang w:val="ro-MD"/>
        </w:rPr>
        <w:t>DGA IV</w:t>
      </w:r>
      <w:r w:rsidR="0052287C" w:rsidRPr="00CF3AD4">
        <w:rPr>
          <w:rFonts w:asciiTheme="majorHAnsi" w:hAnsiTheme="majorHAnsi" w:cstheme="majorHAnsi"/>
          <w:sz w:val="20"/>
          <w:szCs w:val="20"/>
          <w:lang w:val="ro-MD"/>
        </w:rPr>
        <w:t xml:space="preserve">; </w:t>
      </w:r>
      <w:r w:rsidR="0052287C" w:rsidRPr="00CF3AD4">
        <w:rPr>
          <w:rFonts w:asciiTheme="majorHAnsi" w:eastAsia="Times New Roman" w:hAnsiTheme="majorHAnsi" w:cstheme="majorHAnsi"/>
          <w:sz w:val="20"/>
          <w:szCs w:val="20"/>
          <w:lang w:val="ro-MD" w:eastAsia="ru-RU"/>
        </w:rPr>
        <w:t xml:space="preserve">Răileanu </w:t>
      </w:r>
      <w:r w:rsidR="00D41F64" w:rsidRPr="00095992">
        <w:rPr>
          <w:rFonts w:asciiTheme="majorHAnsi" w:eastAsia="Times New Roman" w:hAnsiTheme="majorHAnsi" w:cstheme="majorHAnsi"/>
          <w:sz w:val="20"/>
          <w:szCs w:val="20"/>
          <w:lang w:val="ro-MD" w:eastAsia="ru-RU"/>
        </w:rPr>
        <w:t xml:space="preserve">Alexandru </w:t>
      </w:r>
      <w:r w:rsidR="0052287C" w:rsidRPr="00CF3AD4">
        <w:rPr>
          <w:rFonts w:asciiTheme="majorHAnsi" w:eastAsia="Times New Roman" w:hAnsiTheme="majorHAnsi" w:cstheme="majorHAnsi"/>
          <w:sz w:val="20"/>
          <w:szCs w:val="20"/>
          <w:lang w:val="ro-MD" w:eastAsia="ru-RU"/>
        </w:rPr>
        <w:t xml:space="preserve">și </w:t>
      </w:r>
      <w:r w:rsidR="0052287C" w:rsidRPr="00CF3AD4">
        <w:rPr>
          <w:rFonts w:asciiTheme="majorHAnsi" w:eastAsia="Times New Roman" w:hAnsiTheme="majorHAnsi" w:cstheme="majorHAnsi"/>
          <w:bCs/>
          <w:iCs/>
          <w:sz w:val="20"/>
          <w:szCs w:val="20"/>
          <w:lang w:val="ro-MD"/>
        </w:rPr>
        <w:t>Pleșca Ion, șefi de direcție</w:t>
      </w:r>
      <w:r w:rsidR="0052287C" w:rsidRPr="00CF3AD4">
        <w:rPr>
          <w:rFonts w:asciiTheme="majorHAnsi" w:hAnsiTheme="majorHAnsi" w:cstheme="majorHAnsi"/>
          <w:iCs/>
          <w:sz w:val="20"/>
          <w:szCs w:val="20"/>
          <w:lang w:val="ro-MD"/>
        </w:rPr>
        <w:t xml:space="preserve"> din cadrul DGA V</w:t>
      </w:r>
      <w:r w:rsidR="00D93BA8">
        <w:rPr>
          <w:rFonts w:asciiTheme="majorHAnsi" w:hAnsiTheme="majorHAnsi" w:cstheme="majorHAnsi"/>
          <w:iCs/>
          <w:sz w:val="20"/>
          <w:szCs w:val="20"/>
          <w:lang w:val="ro-MD"/>
        </w:rPr>
        <w:t>;</w:t>
      </w:r>
      <w:r w:rsidRPr="00CF3AD4">
        <w:rPr>
          <w:rFonts w:asciiTheme="majorHAnsi" w:hAnsiTheme="majorHAnsi" w:cstheme="majorHAnsi"/>
          <w:iCs/>
          <w:sz w:val="20"/>
          <w:szCs w:val="20"/>
          <w:lang w:val="ro-MD"/>
        </w:rPr>
        <w:t xml:space="preserve"> auditorii publici principali –</w:t>
      </w:r>
      <w:r w:rsidR="0052287C" w:rsidRPr="00CF3AD4">
        <w:rPr>
          <w:rFonts w:asciiTheme="majorHAnsi" w:hAnsiTheme="majorHAnsi" w:cstheme="majorHAnsi"/>
          <w:iCs/>
          <w:sz w:val="20"/>
          <w:szCs w:val="20"/>
          <w:lang w:val="ro-MD"/>
        </w:rPr>
        <w:t xml:space="preserve"> </w:t>
      </w:r>
      <w:r w:rsidR="0052287C" w:rsidRPr="00CF3AD4">
        <w:rPr>
          <w:rFonts w:asciiTheme="majorHAnsi" w:eastAsia="Times New Roman" w:hAnsiTheme="majorHAnsi" w:cstheme="majorHAnsi"/>
          <w:sz w:val="20"/>
          <w:szCs w:val="20"/>
          <w:lang w:val="ro-MD" w:eastAsia="ru-RU"/>
        </w:rPr>
        <w:t>Suhan Fiodor</w:t>
      </w:r>
      <w:r w:rsidRPr="00CF3AD4">
        <w:rPr>
          <w:rFonts w:asciiTheme="majorHAnsi" w:hAnsiTheme="majorHAnsi" w:cstheme="majorHAnsi"/>
          <w:iCs/>
          <w:sz w:val="20"/>
          <w:szCs w:val="20"/>
          <w:lang w:val="ro-MD"/>
        </w:rPr>
        <w:t xml:space="preserve">, </w:t>
      </w:r>
      <w:r w:rsidR="0052287C" w:rsidRPr="00CF3AD4">
        <w:rPr>
          <w:rFonts w:asciiTheme="majorHAnsi" w:eastAsia="Times New Roman" w:hAnsiTheme="majorHAnsi" w:cstheme="majorHAnsi"/>
          <w:sz w:val="20"/>
          <w:szCs w:val="20"/>
          <w:lang w:val="ro-MD" w:eastAsia="ru-RU"/>
        </w:rPr>
        <w:t>Sula Tudor, Tonu Lidia</w:t>
      </w:r>
      <w:r w:rsidRPr="00CF3AD4">
        <w:rPr>
          <w:rFonts w:asciiTheme="majorHAnsi" w:hAnsiTheme="majorHAnsi" w:cstheme="majorHAnsi"/>
          <w:iCs/>
          <w:sz w:val="20"/>
          <w:szCs w:val="20"/>
          <w:lang w:val="ro-MD"/>
        </w:rPr>
        <w:t xml:space="preserve">, </w:t>
      </w:r>
      <w:r w:rsidR="00D41F64" w:rsidRPr="0072060C">
        <w:rPr>
          <w:rFonts w:asciiTheme="majorHAnsi" w:eastAsia="Times New Roman" w:hAnsiTheme="majorHAnsi" w:cstheme="majorHAnsi"/>
          <w:sz w:val="20"/>
          <w:szCs w:val="20"/>
          <w:lang w:val="ro-MD" w:eastAsia="ru-RU"/>
        </w:rPr>
        <w:t xml:space="preserve">Poiană Olga, </w:t>
      </w:r>
      <w:r w:rsidR="0052287C" w:rsidRPr="00CF3AD4">
        <w:rPr>
          <w:rStyle w:val="FontStyle14"/>
          <w:rFonts w:asciiTheme="majorHAnsi" w:hAnsiTheme="majorHAnsi" w:cstheme="majorHAnsi"/>
          <w:sz w:val="20"/>
          <w:szCs w:val="20"/>
          <w:lang w:val="ro-MD" w:eastAsia="ro-MD"/>
        </w:rPr>
        <w:t xml:space="preserve">Lungu Igor, </w:t>
      </w:r>
      <w:r w:rsidR="0052287C" w:rsidRPr="00CF3AD4">
        <w:rPr>
          <w:rFonts w:asciiTheme="majorHAnsi" w:eastAsia="Times New Roman" w:hAnsiTheme="majorHAnsi" w:cstheme="majorHAnsi"/>
          <w:sz w:val="20"/>
          <w:szCs w:val="20"/>
          <w:lang w:val="ro-MD" w:eastAsia="ru-RU"/>
        </w:rPr>
        <w:t>Ciubotaru</w:t>
      </w:r>
      <w:r w:rsidR="00D41F64" w:rsidRPr="00D41F64">
        <w:rPr>
          <w:rFonts w:asciiTheme="majorHAnsi" w:eastAsia="Times New Roman" w:hAnsiTheme="majorHAnsi" w:cstheme="majorHAnsi"/>
          <w:sz w:val="20"/>
          <w:szCs w:val="20"/>
          <w:lang w:val="ro-MD" w:eastAsia="ru-RU"/>
        </w:rPr>
        <w:t xml:space="preserve"> </w:t>
      </w:r>
      <w:r w:rsidR="00D41F64" w:rsidRPr="00516C9E">
        <w:rPr>
          <w:rFonts w:asciiTheme="majorHAnsi" w:eastAsia="Times New Roman" w:hAnsiTheme="majorHAnsi" w:cstheme="majorHAnsi"/>
          <w:sz w:val="20"/>
          <w:szCs w:val="20"/>
          <w:lang w:val="ro-MD" w:eastAsia="ru-RU"/>
        </w:rPr>
        <w:t>Dorin</w:t>
      </w:r>
      <w:r w:rsidR="0052287C" w:rsidRPr="00CF3AD4">
        <w:rPr>
          <w:rFonts w:asciiTheme="majorHAnsi" w:eastAsia="Times New Roman" w:hAnsiTheme="majorHAnsi" w:cstheme="majorHAnsi"/>
          <w:sz w:val="20"/>
          <w:szCs w:val="20"/>
          <w:lang w:val="ro-MD" w:eastAsia="ru-RU"/>
        </w:rPr>
        <w:t xml:space="preserve">, </w:t>
      </w:r>
      <w:r w:rsidR="00D93BA8" w:rsidRPr="008A1EE1">
        <w:rPr>
          <w:rFonts w:asciiTheme="majorHAnsi" w:eastAsia="Times New Roman" w:hAnsiTheme="majorHAnsi" w:cstheme="majorHAnsi"/>
          <w:sz w:val="20"/>
          <w:szCs w:val="20"/>
          <w:lang w:val="ro-MD" w:eastAsia="ru-RU"/>
        </w:rPr>
        <w:t xml:space="preserve">Gamulinschi Victor, </w:t>
      </w:r>
      <w:r w:rsidR="0052287C" w:rsidRPr="00CF3AD4">
        <w:rPr>
          <w:rFonts w:asciiTheme="majorHAnsi" w:eastAsia="Times New Roman" w:hAnsiTheme="majorHAnsi" w:cstheme="majorHAnsi"/>
          <w:sz w:val="20"/>
          <w:szCs w:val="20"/>
          <w:lang w:val="ro-MD" w:eastAsia="ru-RU"/>
        </w:rPr>
        <w:t>Diaconu Ana, L</w:t>
      </w:r>
      <w:r w:rsidR="00D41F64" w:rsidRPr="00D41F64">
        <w:rPr>
          <w:rFonts w:asciiTheme="majorHAnsi" w:eastAsia="Times New Roman" w:hAnsiTheme="majorHAnsi" w:cstheme="majorHAnsi"/>
          <w:sz w:val="20"/>
          <w:szCs w:val="20"/>
          <w:lang w:val="ro-MD" w:eastAsia="ru-RU"/>
        </w:rPr>
        <w:t>îsîi</w:t>
      </w:r>
      <w:r w:rsidR="0052287C" w:rsidRPr="00CF3AD4">
        <w:rPr>
          <w:rFonts w:asciiTheme="majorHAnsi" w:eastAsia="Times New Roman" w:hAnsiTheme="majorHAnsi" w:cstheme="majorHAnsi"/>
          <w:sz w:val="20"/>
          <w:szCs w:val="20"/>
          <w:lang w:val="ro-MD" w:eastAsia="ru-RU"/>
        </w:rPr>
        <w:t xml:space="preserve"> Alexandru, </w:t>
      </w:r>
      <w:r w:rsidRPr="00CF3AD4">
        <w:rPr>
          <w:rFonts w:asciiTheme="majorHAnsi" w:hAnsiTheme="majorHAnsi" w:cstheme="majorHAnsi"/>
          <w:iCs/>
          <w:sz w:val="20"/>
          <w:szCs w:val="20"/>
          <w:lang w:val="ro-MD"/>
        </w:rPr>
        <w:t>U</w:t>
      </w:r>
      <w:r w:rsidR="00D41F64" w:rsidRPr="00D41F64">
        <w:rPr>
          <w:rFonts w:asciiTheme="majorHAnsi" w:hAnsiTheme="majorHAnsi" w:cstheme="majorHAnsi"/>
          <w:iCs/>
          <w:sz w:val="20"/>
          <w:szCs w:val="20"/>
          <w:lang w:val="ro-MD"/>
        </w:rPr>
        <w:t xml:space="preserve">ngureanu </w:t>
      </w:r>
      <w:r w:rsidR="00D41F64" w:rsidRPr="00EF6252">
        <w:rPr>
          <w:rFonts w:asciiTheme="majorHAnsi" w:hAnsiTheme="majorHAnsi" w:cstheme="majorHAnsi"/>
          <w:iCs/>
          <w:sz w:val="20"/>
          <w:szCs w:val="20"/>
          <w:lang w:val="ro-MD"/>
        </w:rPr>
        <w:t>Tatiana</w:t>
      </w:r>
      <w:r w:rsidRPr="00CF3AD4">
        <w:rPr>
          <w:rFonts w:asciiTheme="majorHAnsi" w:hAnsiTheme="majorHAnsi" w:cstheme="majorHAnsi"/>
          <w:iCs/>
          <w:sz w:val="20"/>
          <w:szCs w:val="20"/>
          <w:lang w:val="ro-MD"/>
        </w:rPr>
        <w:t xml:space="preserve">; auditorii publici superiori - </w:t>
      </w:r>
      <w:r w:rsidR="0052287C" w:rsidRPr="00CF3AD4">
        <w:rPr>
          <w:rFonts w:asciiTheme="majorHAnsi" w:hAnsiTheme="majorHAnsi" w:cstheme="majorHAnsi"/>
          <w:sz w:val="20"/>
          <w:szCs w:val="20"/>
          <w:lang w:val="ro-MD"/>
        </w:rPr>
        <w:t>Strugulea</w:t>
      </w:r>
      <w:r w:rsidR="00D41F64" w:rsidRPr="00D41F64">
        <w:rPr>
          <w:rFonts w:asciiTheme="majorHAnsi" w:hAnsiTheme="majorHAnsi" w:cstheme="majorHAnsi"/>
          <w:sz w:val="20"/>
          <w:szCs w:val="20"/>
          <w:lang w:val="ro-MD"/>
        </w:rPr>
        <w:t xml:space="preserve"> </w:t>
      </w:r>
      <w:r w:rsidR="00D41F64" w:rsidRPr="00571781">
        <w:rPr>
          <w:rFonts w:asciiTheme="majorHAnsi" w:hAnsiTheme="majorHAnsi" w:cstheme="majorHAnsi"/>
          <w:sz w:val="20"/>
          <w:szCs w:val="20"/>
          <w:lang w:val="ro-MD"/>
        </w:rPr>
        <w:t>Elena</w:t>
      </w:r>
      <w:r w:rsidR="0052287C" w:rsidRPr="00CF3AD4">
        <w:rPr>
          <w:rFonts w:asciiTheme="majorHAnsi" w:hAnsiTheme="majorHAnsi" w:cstheme="majorHAnsi"/>
          <w:sz w:val="20"/>
          <w:szCs w:val="20"/>
          <w:lang w:val="ro-MD"/>
        </w:rPr>
        <w:t xml:space="preserve">, </w:t>
      </w:r>
      <w:r w:rsidR="0052287C" w:rsidRPr="00CF3AD4">
        <w:rPr>
          <w:rFonts w:asciiTheme="majorHAnsi" w:eastAsia="Times New Roman" w:hAnsiTheme="majorHAnsi" w:cstheme="majorHAnsi"/>
          <w:sz w:val="20"/>
          <w:szCs w:val="20"/>
          <w:lang w:val="ro-MD" w:eastAsia="ru-RU"/>
        </w:rPr>
        <w:t xml:space="preserve">Tabacari Maria, Chirtoacă Ecaterina, </w:t>
      </w:r>
      <w:r w:rsidR="0052287C" w:rsidRPr="00CF3AD4">
        <w:rPr>
          <w:rFonts w:asciiTheme="majorHAnsi" w:hAnsiTheme="majorHAnsi" w:cstheme="majorHAnsi"/>
          <w:iCs/>
          <w:sz w:val="20"/>
          <w:szCs w:val="20"/>
          <w:lang w:val="ro-MD"/>
        </w:rPr>
        <w:t>C</w:t>
      </w:r>
      <w:r w:rsidR="00D41F64" w:rsidRPr="00D41F64">
        <w:rPr>
          <w:rFonts w:asciiTheme="majorHAnsi" w:hAnsiTheme="majorHAnsi" w:cstheme="majorHAnsi"/>
          <w:iCs/>
          <w:sz w:val="20"/>
          <w:szCs w:val="20"/>
          <w:lang w:val="ro-MD"/>
        </w:rPr>
        <w:t>ălugăreanu</w:t>
      </w:r>
      <w:r w:rsidR="0052287C" w:rsidRPr="00CF3AD4">
        <w:rPr>
          <w:rFonts w:asciiTheme="majorHAnsi" w:hAnsiTheme="majorHAnsi" w:cstheme="majorHAnsi"/>
          <w:iCs/>
          <w:sz w:val="20"/>
          <w:szCs w:val="20"/>
          <w:lang w:val="ro-MD"/>
        </w:rPr>
        <w:t xml:space="preserve"> </w:t>
      </w:r>
      <w:r w:rsidR="00D41F64" w:rsidRPr="00F8582A">
        <w:rPr>
          <w:rFonts w:asciiTheme="majorHAnsi" w:hAnsiTheme="majorHAnsi" w:cstheme="majorHAnsi"/>
          <w:iCs/>
          <w:sz w:val="20"/>
          <w:szCs w:val="20"/>
          <w:lang w:val="ro-MD"/>
        </w:rPr>
        <w:t>Igor</w:t>
      </w:r>
      <w:r w:rsidR="00D41F64">
        <w:rPr>
          <w:rFonts w:asciiTheme="majorHAnsi" w:hAnsiTheme="majorHAnsi" w:cstheme="majorHAnsi"/>
          <w:iCs/>
          <w:sz w:val="20"/>
          <w:szCs w:val="20"/>
          <w:lang w:val="ro-MD"/>
        </w:rPr>
        <w:t>,</w:t>
      </w:r>
      <w:r w:rsidR="00D41F64" w:rsidRPr="00D41F64">
        <w:rPr>
          <w:rFonts w:asciiTheme="majorHAnsi" w:hAnsiTheme="majorHAnsi" w:cstheme="majorHAnsi"/>
          <w:iCs/>
          <w:sz w:val="20"/>
          <w:szCs w:val="20"/>
          <w:lang w:val="ro-MD"/>
        </w:rPr>
        <w:t xml:space="preserve"> </w:t>
      </w:r>
      <w:r w:rsidRPr="00CF3AD4">
        <w:rPr>
          <w:rFonts w:asciiTheme="majorHAnsi" w:hAnsiTheme="majorHAnsi" w:cstheme="majorHAnsi"/>
          <w:iCs/>
          <w:sz w:val="20"/>
          <w:szCs w:val="20"/>
          <w:lang w:val="ro-MD"/>
        </w:rPr>
        <w:t>M</w:t>
      </w:r>
      <w:r w:rsidR="00D41F64" w:rsidRPr="00D41F64">
        <w:rPr>
          <w:rFonts w:asciiTheme="majorHAnsi" w:hAnsiTheme="majorHAnsi" w:cstheme="majorHAnsi"/>
          <w:iCs/>
          <w:sz w:val="20"/>
          <w:szCs w:val="20"/>
          <w:lang w:val="ro-MD"/>
        </w:rPr>
        <w:t xml:space="preserve">îță </w:t>
      </w:r>
      <w:r w:rsidR="00D41F64" w:rsidRPr="00434C4B">
        <w:rPr>
          <w:rFonts w:asciiTheme="majorHAnsi" w:hAnsiTheme="majorHAnsi" w:cstheme="majorHAnsi"/>
          <w:iCs/>
          <w:sz w:val="20"/>
          <w:szCs w:val="20"/>
          <w:lang w:val="ro-MD"/>
        </w:rPr>
        <w:t>Sergiu</w:t>
      </w:r>
      <w:r w:rsidRPr="00CF3AD4">
        <w:rPr>
          <w:rFonts w:asciiTheme="majorHAnsi" w:hAnsiTheme="majorHAnsi" w:cstheme="majorHAnsi"/>
          <w:iCs/>
          <w:sz w:val="20"/>
          <w:szCs w:val="20"/>
          <w:lang w:val="ro-MD"/>
        </w:rPr>
        <w:t>; auditor</w:t>
      </w:r>
      <w:r w:rsidR="00D41F64">
        <w:rPr>
          <w:rFonts w:asciiTheme="majorHAnsi" w:hAnsiTheme="majorHAnsi" w:cstheme="majorHAnsi"/>
          <w:iCs/>
          <w:sz w:val="20"/>
          <w:szCs w:val="20"/>
          <w:lang w:val="ro-MD"/>
        </w:rPr>
        <w:t>i</w:t>
      </w:r>
      <w:r w:rsidRPr="00CF3AD4">
        <w:rPr>
          <w:rFonts w:asciiTheme="majorHAnsi" w:hAnsiTheme="majorHAnsi" w:cstheme="majorHAnsi"/>
          <w:iCs/>
          <w:sz w:val="20"/>
          <w:szCs w:val="20"/>
          <w:lang w:val="ro-MD"/>
        </w:rPr>
        <w:t xml:space="preserve"> public</w:t>
      </w:r>
      <w:r w:rsidR="00D41F64">
        <w:rPr>
          <w:rFonts w:asciiTheme="majorHAnsi" w:hAnsiTheme="majorHAnsi" w:cstheme="majorHAnsi"/>
          <w:iCs/>
          <w:sz w:val="20"/>
          <w:szCs w:val="20"/>
          <w:lang w:val="ro-MD"/>
        </w:rPr>
        <w:t xml:space="preserve">i </w:t>
      </w:r>
      <w:r w:rsidRPr="00CF3AD4">
        <w:rPr>
          <w:rFonts w:asciiTheme="majorHAnsi" w:hAnsiTheme="majorHAnsi" w:cstheme="majorHAnsi"/>
          <w:iCs/>
          <w:sz w:val="20"/>
          <w:szCs w:val="20"/>
          <w:lang w:val="ro-MD"/>
        </w:rPr>
        <w:t xml:space="preserve">- </w:t>
      </w:r>
      <w:r w:rsidR="00D41F64" w:rsidRPr="00CF3AD4">
        <w:rPr>
          <w:rFonts w:asciiTheme="majorHAnsi" w:eastAsia="Times New Roman" w:hAnsiTheme="majorHAnsi" w:cstheme="majorHAnsi"/>
          <w:sz w:val="20"/>
          <w:szCs w:val="20"/>
          <w:lang w:val="ro-MD" w:eastAsia="ru-RU"/>
        </w:rPr>
        <w:t xml:space="preserve">Manole Aliona, </w:t>
      </w:r>
      <w:r w:rsidRPr="00CF3AD4">
        <w:rPr>
          <w:rFonts w:asciiTheme="majorHAnsi" w:hAnsiTheme="majorHAnsi" w:cstheme="majorHAnsi"/>
          <w:iCs/>
          <w:sz w:val="20"/>
          <w:szCs w:val="20"/>
          <w:lang w:val="ro-MD"/>
        </w:rPr>
        <w:t>P</w:t>
      </w:r>
      <w:r w:rsidR="00D41F64" w:rsidRPr="00D41F64">
        <w:rPr>
          <w:rFonts w:asciiTheme="majorHAnsi" w:hAnsiTheme="majorHAnsi" w:cstheme="majorHAnsi"/>
          <w:iCs/>
          <w:sz w:val="20"/>
          <w:szCs w:val="20"/>
          <w:lang w:val="ro-MD"/>
        </w:rPr>
        <w:t xml:space="preserve">etreanu </w:t>
      </w:r>
      <w:r w:rsidR="00D41F64" w:rsidRPr="00715AE5">
        <w:rPr>
          <w:rFonts w:asciiTheme="majorHAnsi" w:hAnsiTheme="majorHAnsi" w:cstheme="majorHAnsi"/>
          <w:iCs/>
          <w:sz w:val="20"/>
          <w:szCs w:val="20"/>
          <w:lang w:val="ro-MD"/>
        </w:rPr>
        <w:t>Anatolie</w:t>
      </w:r>
      <w:r w:rsidRPr="00CF3AD4">
        <w:rPr>
          <w:rFonts w:asciiTheme="majorHAnsi" w:hAnsiTheme="majorHAnsi" w:cstheme="majorHAnsi"/>
          <w:iCs/>
          <w:sz w:val="20"/>
          <w:szCs w:val="20"/>
          <w:lang w:val="ro-MD"/>
        </w:rPr>
        <w:t>.</w:t>
      </w:r>
    </w:p>
    <w:p w14:paraId="16530868" w14:textId="77777777" w:rsidR="001330C1" w:rsidRDefault="001330C1" w:rsidP="00284199">
      <w:pPr>
        <w:spacing w:after="0" w:line="276" w:lineRule="auto"/>
        <w:jc w:val="both"/>
        <w:rPr>
          <w:rFonts w:asciiTheme="majorHAnsi" w:eastAsia="Times New Roman" w:hAnsiTheme="majorHAnsi" w:cstheme="majorHAnsi"/>
          <w:b/>
          <w:bCs/>
          <w:i/>
          <w:iCs/>
          <w:sz w:val="24"/>
          <w:szCs w:val="24"/>
          <w:lang w:val="ro-MD"/>
        </w:rPr>
      </w:pPr>
    </w:p>
    <w:p w14:paraId="7E8627F1" w14:textId="78909585" w:rsidR="000960D8" w:rsidRPr="009772A3" w:rsidRDefault="001330C1" w:rsidP="00284199">
      <w:pPr>
        <w:spacing w:after="0" w:line="276" w:lineRule="auto"/>
        <w:jc w:val="both"/>
        <w:rPr>
          <w:rFonts w:asciiTheme="majorHAnsi" w:eastAsia="Times New Roman" w:hAnsiTheme="majorHAnsi" w:cstheme="majorHAnsi"/>
          <w:b/>
          <w:bCs/>
          <w:i/>
          <w:iCs/>
          <w:sz w:val="24"/>
          <w:szCs w:val="24"/>
          <w:lang w:val="ro-MD"/>
        </w:rPr>
      </w:pPr>
      <w:r>
        <w:rPr>
          <w:rFonts w:asciiTheme="majorHAnsi" w:eastAsia="Times New Roman" w:hAnsiTheme="majorHAnsi" w:cstheme="majorHAnsi"/>
          <w:b/>
          <w:bCs/>
          <w:i/>
          <w:iCs/>
          <w:sz w:val="24"/>
          <w:szCs w:val="24"/>
          <w:lang w:val="ro-MD"/>
        </w:rPr>
        <w:t>Responsabili de întocmirea Raportului</w:t>
      </w:r>
      <w:r w:rsidRPr="009772A3">
        <w:rPr>
          <w:rFonts w:asciiTheme="majorHAnsi" w:eastAsia="Times New Roman" w:hAnsiTheme="majorHAnsi" w:cstheme="majorHAnsi"/>
          <w:b/>
          <w:bCs/>
          <w:i/>
          <w:iCs/>
          <w:sz w:val="24"/>
          <w:szCs w:val="24"/>
          <w:lang w:val="ro-MD"/>
        </w:rPr>
        <w:t xml:space="preserve"> </w:t>
      </w:r>
      <w:r w:rsidR="000960D8" w:rsidRPr="009772A3">
        <w:rPr>
          <w:rFonts w:asciiTheme="majorHAnsi" w:eastAsia="Times New Roman" w:hAnsiTheme="majorHAnsi" w:cstheme="majorHAnsi"/>
          <w:b/>
          <w:bCs/>
          <w:i/>
          <w:iCs/>
          <w:sz w:val="24"/>
          <w:szCs w:val="24"/>
          <w:lang w:val="ro-MD"/>
        </w:rPr>
        <w:t>de audit:</w:t>
      </w:r>
    </w:p>
    <w:p w14:paraId="15C013CE" w14:textId="6B811808" w:rsidR="0076343C" w:rsidRPr="009772A3" w:rsidRDefault="003342B7" w:rsidP="0076343C">
      <w:pPr>
        <w:tabs>
          <w:tab w:val="left" w:pos="1080"/>
        </w:tabs>
        <w:spacing w:after="0" w:line="276" w:lineRule="auto"/>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bCs/>
          <w:iCs/>
          <w:sz w:val="24"/>
          <w:szCs w:val="24"/>
          <w:lang w:val="ro-MD"/>
        </w:rPr>
        <w:t>ș</w:t>
      </w:r>
      <w:r w:rsidR="000960D8" w:rsidRPr="009772A3">
        <w:rPr>
          <w:rFonts w:asciiTheme="majorHAnsi" w:eastAsia="Times New Roman" w:hAnsiTheme="majorHAnsi" w:cstheme="majorHAnsi"/>
          <w:bCs/>
          <w:iCs/>
          <w:sz w:val="24"/>
          <w:szCs w:val="24"/>
          <w:lang w:val="ro-MD"/>
        </w:rPr>
        <w:t>eful echipei de audit,</w:t>
      </w:r>
      <w:r w:rsidR="001330C1">
        <w:rPr>
          <w:rFonts w:asciiTheme="majorHAnsi" w:eastAsia="Times New Roman" w:hAnsiTheme="majorHAnsi" w:cstheme="majorHAnsi"/>
          <w:sz w:val="24"/>
          <w:szCs w:val="24"/>
          <w:lang w:val="ro-MD"/>
        </w:rPr>
        <w:t xml:space="preserve">           </w:t>
      </w:r>
      <w:r w:rsidR="0076343C" w:rsidRPr="009772A3">
        <w:rPr>
          <w:rFonts w:asciiTheme="majorHAnsi" w:eastAsia="Times New Roman" w:hAnsiTheme="majorHAnsi" w:cstheme="majorHAnsi"/>
          <w:sz w:val="24"/>
          <w:szCs w:val="24"/>
          <w:lang w:val="ro-MD"/>
        </w:rPr>
        <w:tab/>
      </w:r>
      <w:r w:rsidR="00CC09C2" w:rsidRPr="009772A3">
        <w:rPr>
          <w:rFonts w:asciiTheme="majorHAnsi" w:eastAsia="Times New Roman" w:hAnsiTheme="majorHAnsi" w:cstheme="majorHAnsi"/>
          <w:sz w:val="24"/>
          <w:szCs w:val="24"/>
          <w:lang w:val="ro-MD"/>
        </w:rPr>
        <w:tab/>
      </w:r>
      <w:r w:rsidR="0016625B">
        <w:rPr>
          <w:rFonts w:asciiTheme="majorHAnsi" w:eastAsia="Times New Roman" w:hAnsiTheme="majorHAnsi" w:cstheme="majorHAnsi"/>
          <w:sz w:val="24"/>
          <w:szCs w:val="24"/>
          <w:lang w:val="ro-MD"/>
        </w:rPr>
        <w:tab/>
        <w:t xml:space="preserve">        </w:t>
      </w:r>
      <w:r w:rsidR="006770D9">
        <w:rPr>
          <w:rFonts w:asciiTheme="majorHAnsi" w:eastAsia="Times New Roman" w:hAnsiTheme="majorHAnsi" w:cstheme="majorHAnsi"/>
          <w:sz w:val="24"/>
          <w:szCs w:val="24"/>
          <w:lang w:val="ro-MD"/>
        </w:rPr>
        <w:tab/>
      </w:r>
      <w:r w:rsidR="0076343C" w:rsidRPr="009772A3">
        <w:rPr>
          <w:rFonts w:asciiTheme="majorHAnsi" w:eastAsia="Times New Roman" w:hAnsiTheme="majorHAnsi" w:cstheme="majorHAnsi"/>
          <w:sz w:val="24"/>
          <w:szCs w:val="24"/>
          <w:lang w:val="ro-MD"/>
        </w:rPr>
        <w:t>Sergiu ȘTIRBU</w:t>
      </w:r>
    </w:p>
    <w:p w14:paraId="55202482" w14:textId="77777777" w:rsidR="00CC09C2" w:rsidRPr="009772A3" w:rsidRDefault="00CC09C2" w:rsidP="0076343C">
      <w:pPr>
        <w:tabs>
          <w:tab w:val="left" w:pos="1080"/>
        </w:tabs>
        <w:spacing w:after="0" w:line="276" w:lineRule="auto"/>
        <w:jc w:val="both"/>
        <w:rPr>
          <w:rFonts w:asciiTheme="majorHAnsi" w:eastAsia="Times New Roman" w:hAnsiTheme="majorHAnsi" w:cstheme="majorHAnsi"/>
          <w:sz w:val="24"/>
          <w:szCs w:val="24"/>
          <w:lang w:val="ro-MD"/>
        </w:rPr>
      </w:pPr>
    </w:p>
    <w:p w14:paraId="55D8C9B6" w14:textId="77777777" w:rsidR="0016625B" w:rsidRDefault="00C26468" w:rsidP="00C26468">
      <w:pPr>
        <w:tabs>
          <w:tab w:val="left" w:pos="1080"/>
        </w:tabs>
        <w:spacing w:after="0" w:line="276" w:lineRule="auto"/>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șef</w:t>
      </w:r>
      <w:r w:rsidR="003117B4" w:rsidRPr="009772A3">
        <w:rPr>
          <w:rFonts w:asciiTheme="majorHAnsi" w:eastAsia="Times New Roman" w:hAnsiTheme="majorHAnsi" w:cstheme="majorHAnsi"/>
          <w:sz w:val="24"/>
          <w:szCs w:val="24"/>
          <w:lang w:val="ro-MD"/>
        </w:rPr>
        <w:t>ul</w:t>
      </w:r>
      <w:r w:rsidRPr="009772A3">
        <w:rPr>
          <w:rFonts w:asciiTheme="majorHAnsi" w:eastAsia="Times New Roman" w:hAnsiTheme="majorHAnsi" w:cstheme="majorHAnsi"/>
          <w:sz w:val="24"/>
          <w:szCs w:val="24"/>
          <w:lang w:val="ro-MD"/>
        </w:rPr>
        <w:t xml:space="preserve"> Direcției </w:t>
      </w:r>
      <w:r w:rsidR="003117B4" w:rsidRPr="009772A3">
        <w:rPr>
          <w:rFonts w:asciiTheme="majorHAnsi" w:eastAsia="Times New Roman" w:hAnsiTheme="majorHAnsi" w:cstheme="majorHAnsi"/>
          <w:sz w:val="24"/>
          <w:szCs w:val="24"/>
          <w:lang w:val="ro-MD"/>
        </w:rPr>
        <w:t xml:space="preserve">de </w:t>
      </w:r>
      <w:r w:rsidRPr="009772A3">
        <w:rPr>
          <w:rFonts w:asciiTheme="majorHAnsi" w:eastAsia="Times New Roman" w:hAnsiTheme="majorHAnsi" w:cstheme="majorHAnsi"/>
          <w:sz w:val="24"/>
          <w:szCs w:val="24"/>
          <w:lang w:val="ro-MD"/>
        </w:rPr>
        <w:t xml:space="preserve">audit II </w:t>
      </w:r>
    </w:p>
    <w:p w14:paraId="4B4FCAC5" w14:textId="543D7C5C" w:rsidR="00C26468" w:rsidRPr="009772A3" w:rsidRDefault="00C26468" w:rsidP="00C26468">
      <w:pPr>
        <w:tabs>
          <w:tab w:val="left" w:pos="1080"/>
        </w:tabs>
        <w:spacing w:after="0" w:line="276" w:lineRule="auto"/>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în cadrul Direcției generale de audit IV</w:t>
      </w:r>
      <w:r w:rsidRPr="009772A3">
        <w:rPr>
          <w:rFonts w:asciiTheme="majorHAnsi" w:eastAsia="Times New Roman" w:hAnsiTheme="majorHAnsi" w:cstheme="majorHAnsi"/>
          <w:sz w:val="24"/>
          <w:szCs w:val="24"/>
          <w:lang w:val="ro-MD"/>
        </w:rPr>
        <w:tab/>
      </w:r>
      <w:r w:rsidR="00CC09C2" w:rsidRPr="009772A3">
        <w:rPr>
          <w:rFonts w:asciiTheme="majorHAnsi" w:eastAsia="Times New Roman" w:hAnsiTheme="majorHAnsi" w:cstheme="majorHAnsi"/>
          <w:sz w:val="24"/>
          <w:szCs w:val="24"/>
          <w:lang w:val="ro-MD"/>
        </w:rPr>
        <w:tab/>
      </w:r>
      <w:r w:rsidRPr="009772A3">
        <w:rPr>
          <w:rFonts w:asciiTheme="majorHAnsi" w:eastAsia="Times New Roman" w:hAnsiTheme="majorHAnsi" w:cstheme="majorHAnsi"/>
          <w:sz w:val="24"/>
          <w:szCs w:val="24"/>
          <w:lang w:val="ro-MD"/>
        </w:rPr>
        <w:t>Ion SÎRBU</w:t>
      </w:r>
    </w:p>
    <w:p w14:paraId="1AA77A3D" w14:textId="77777777" w:rsidR="00CC09C2" w:rsidRPr="009772A3" w:rsidRDefault="00CC09C2" w:rsidP="00C26468">
      <w:pPr>
        <w:tabs>
          <w:tab w:val="left" w:pos="1080"/>
        </w:tabs>
        <w:spacing w:after="0" w:line="276" w:lineRule="auto"/>
        <w:jc w:val="both"/>
        <w:rPr>
          <w:rFonts w:asciiTheme="majorHAnsi" w:eastAsia="Times New Roman" w:hAnsiTheme="majorHAnsi" w:cstheme="majorHAnsi"/>
          <w:sz w:val="24"/>
          <w:szCs w:val="24"/>
          <w:lang w:val="ro-MD"/>
        </w:rPr>
      </w:pPr>
    </w:p>
    <w:p w14:paraId="1B1B0F69" w14:textId="77777777" w:rsidR="0016625B" w:rsidRDefault="00C26468" w:rsidP="00C26468">
      <w:pPr>
        <w:tabs>
          <w:tab w:val="left" w:pos="1080"/>
        </w:tabs>
        <w:spacing w:after="0" w:line="276" w:lineRule="auto"/>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șef</w:t>
      </w:r>
      <w:r w:rsidR="003117B4" w:rsidRPr="009772A3">
        <w:rPr>
          <w:rFonts w:asciiTheme="majorHAnsi" w:eastAsia="Times New Roman" w:hAnsiTheme="majorHAnsi" w:cstheme="majorHAnsi"/>
          <w:sz w:val="24"/>
          <w:szCs w:val="24"/>
          <w:lang w:val="ro-MD"/>
        </w:rPr>
        <w:t>u</w:t>
      </w:r>
      <w:r w:rsidRPr="009772A3">
        <w:rPr>
          <w:rFonts w:asciiTheme="majorHAnsi" w:eastAsia="Times New Roman" w:hAnsiTheme="majorHAnsi" w:cstheme="majorHAnsi"/>
          <w:sz w:val="24"/>
          <w:szCs w:val="24"/>
          <w:lang w:val="ro-MD"/>
        </w:rPr>
        <w:t xml:space="preserve">l Direcției </w:t>
      </w:r>
      <w:r w:rsidR="003117B4" w:rsidRPr="009772A3">
        <w:rPr>
          <w:rFonts w:asciiTheme="majorHAnsi" w:eastAsia="Times New Roman" w:hAnsiTheme="majorHAnsi" w:cstheme="majorHAnsi"/>
          <w:sz w:val="24"/>
          <w:szCs w:val="24"/>
          <w:lang w:val="ro-MD"/>
        </w:rPr>
        <w:t xml:space="preserve">de </w:t>
      </w:r>
      <w:r w:rsidRPr="009772A3">
        <w:rPr>
          <w:rFonts w:asciiTheme="majorHAnsi" w:eastAsia="Times New Roman" w:hAnsiTheme="majorHAnsi" w:cstheme="majorHAnsi"/>
          <w:sz w:val="24"/>
          <w:szCs w:val="24"/>
          <w:lang w:val="ro-MD"/>
        </w:rPr>
        <w:t xml:space="preserve">audit I </w:t>
      </w:r>
    </w:p>
    <w:p w14:paraId="64F87487" w14:textId="5283CB90" w:rsidR="00C26468" w:rsidRPr="009772A3" w:rsidRDefault="00C26468" w:rsidP="00C26468">
      <w:pPr>
        <w:tabs>
          <w:tab w:val="left" w:pos="1080"/>
        </w:tabs>
        <w:spacing w:after="0" w:line="276" w:lineRule="auto"/>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în cadrul Direcției generale de audit I</w:t>
      </w:r>
      <w:r w:rsidRPr="009772A3">
        <w:rPr>
          <w:rFonts w:asciiTheme="majorHAnsi" w:eastAsia="Times New Roman" w:hAnsiTheme="majorHAnsi" w:cstheme="majorHAnsi"/>
          <w:sz w:val="24"/>
          <w:szCs w:val="24"/>
          <w:lang w:val="ro-MD"/>
        </w:rPr>
        <w:tab/>
      </w:r>
      <w:r w:rsidRPr="009772A3">
        <w:rPr>
          <w:rFonts w:asciiTheme="majorHAnsi" w:eastAsia="Times New Roman" w:hAnsiTheme="majorHAnsi" w:cstheme="majorHAnsi"/>
          <w:sz w:val="24"/>
          <w:szCs w:val="24"/>
          <w:lang w:val="ro-MD"/>
        </w:rPr>
        <w:tab/>
      </w:r>
      <w:r w:rsidR="0016625B">
        <w:rPr>
          <w:rFonts w:asciiTheme="majorHAnsi" w:eastAsia="Times New Roman" w:hAnsiTheme="majorHAnsi" w:cstheme="majorHAnsi"/>
          <w:sz w:val="24"/>
          <w:szCs w:val="24"/>
          <w:lang w:val="ro-MD"/>
        </w:rPr>
        <w:t xml:space="preserve">       </w:t>
      </w:r>
      <w:r w:rsidRPr="009772A3">
        <w:rPr>
          <w:rFonts w:asciiTheme="majorHAnsi" w:eastAsia="Times New Roman" w:hAnsiTheme="majorHAnsi" w:cstheme="majorHAnsi"/>
          <w:sz w:val="24"/>
          <w:szCs w:val="24"/>
          <w:lang w:val="ro-MD"/>
        </w:rPr>
        <w:t>Ion BULMAGA</w:t>
      </w:r>
    </w:p>
    <w:p w14:paraId="4E54A9F1" w14:textId="77777777" w:rsidR="00CC09C2" w:rsidRPr="009772A3" w:rsidRDefault="00CC09C2" w:rsidP="00C26468">
      <w:pPr>
        <w:tabs>
          <w:tab w:val="left" w:pos="1080"/>
        </w:tabs>
        <w:spacing w:after="0" w:line="276" w:lineRule="auto"/>
        <w:jc w:val="both"/>
        <w:rPr>
          <w:rFonts w:asciiTheme="majorHAnsi" w:eastAsia="Times New Roman" w:hAnsiTheme="majorHAnsi" w:cstheme="majorHAnsi"/>
          <w:sz w:val="24"/>
          <w:szCs w:val="24"/>
          <w:lang w:val="ro-MD"/>
        </w:rPr>
      </w:pPr>
    </w:p>
    <w:p w14:paraId="544C0FF9" w14:textId="77777777" w:rsidR="0016625B" w:rsidRDefault="00CC09C2" w:rsidP="00CC09C2">
      <w:pPr>
        <w:tabs>
          <w:tab w:val="left" w:pos="1080"/>
        </w:tabs>
        <w:spacing w:after="0" w:line="276" w:lineRule="auto"/>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 xml:space="preserve">auditor public principal </w:t>
      </w:r>
    </w:p>
    <w:p w14:paraId="53667EA9" w14:textId="5E82A04A" w:rsidR="00CC09C2" w:rsidRPr="009772A3" w:rsidRDefault="00CC09C2" w:rsidP="00CC09C2">
      <w:pPr>
        <w:tabs>
          <w:tab w:val="left" w:pos="1080"/>
        </w:tabs>
        <w:spacing w:after="0" w:line="276" w:lineRule="auto"/>
        <w:jc w:val="both"/>
        <w:rPr>
          <w:rFonts w:asciiTheme="majorHAnsi" w:eastAsia="Times New Roman" w:hAnsiTheme="majorHAnsi" w:cstheme="majorHAnsi"/>
          <w:sz w:val="24"/>
          <w:szCs w:val="24"/>
          <w:lang w:val="ro-MD"/>
        </w:rPr>
      </w:pPr>
      <w:r w:rsidRPr="009772A3">
        <w:rPr>
          <w:rFonts w:asciiTheme="majorHAnsi" w:eastAsia="Times New Roman" w:hAnsiTheme="majorHAnsi" w:cstheme="majorHAnsi"/>
          <w:sz w:val="24"/>
          <w:szCs w:val="24"/>
          <w:lang w:val="ro-MD"/>
        </w:rPr>
        <w:t>în cadrul Direcției generale de audit V</w:t>
      </w:r>
      <w:r w:rsidRPr="009772A3">
        <w:rPr>
          <w:rFonts w:asciiTheme="majorHAnsi" w:eastAsia="Times New Roman" w:hAnsiTheme="majorHAnsi" w:cstheme="majorHAnsi"/>
          <w:sz w:val="24"/>
          <w:szCs w:val="24"/>
          <w:lang w:val="ro-MD"/>
        </w:rPr>
        <w:tab/>
      </w:r>
      <w:r w:rsidRPr="009772A3">
        <w:rPr>
          <w:rFonts w:asciiTheme="majorHAnsi" w:eastAsia="Times New Roman" w:hAnsiTheme="majorHAnsi" w:cstheme="majorHAnsi"/>
          <w:sz w:val="24"/>
          <w:szCs w:val="24"/>
          <w:lang w:val="ro-MD"/>
        </w:rPr>
        <w:tab/>
        <w:t>Ana DIACONU</w:t>
      </w:r>
    </w:p>
    <w:p w14:paraId="4164E57E" w14:textId="77777777" w:rsidR="00CC09C2" w:rsidRPr="009772A3" w:rsidRDefault="00CC09C2" w:rsidP="00C26468">
      <w:pPr>
        <w:tabs>
          <w:tab w:val="left" w:pos="1080"/>
        </w:tabs>
        <w:spacing w:after="0" w:line="276" w:lineRule="auto"/>
        <w:jc w:val="both"/>
        <w:rPr>
          <w:rFonts w:asciiTheme="majorHAnsi" w:eastAsia="Times New Roman" w:hAnsiTheme="majorHAnsi" w:cstheme="majorHAnsi"/>
          <w:sz w:val="24"/>
          <w:szCs w:val="24"/>
          <w:lang w:val="ro-MD"/>
        </w:rPr>
      </w:pPr>
    </w:p>
    <w:p w14:paraId="4DA5B66C" w14:textId="77777777" w:rsidR="00CC0B22" w:rsidRPr="00CF3AD4" w:rsidRDefault="00CC0B22" w:rsidP="00284199">
      <w:pPr>
        <w:pStyle w:val="FootnoteText"/>
        <w:spacing w:line="276" w:lineRule="auto"/>
        <w:jc w:val="both"/>
        <w:rPr>
          <w:rFonts w:asciiTheme="majorHAnsi" w:hAnsiTheme="majorHAnsi" w:cstheme="majorHAnsi"/>
          <w:sz w:val="24"/>
          <w:szCs w:val="24"/>
          <w:vertAlign w:val="baseline"/>
          <w:lang w:val="ro-MD"/>
        </w:rPr>
        <w:sectPr w:rsidR="00CC0B22" w:rsidRPr="00CF3AD4" w:rsidSect="00CF3AD4">
          <w:pgSz w:w="11906" w:h="16838"/>
          <w:pgMar w:top="1140" w:right="851" w:bottom="1418" w:left="1701" w:header="720" w:footer="428" w:gutter="0"/>
          <w:cols w:space="720"/>
        </w:sectPr>
      </w:pPr>
    </w:p>
    <w:p w14:paraId="7D635679" w14:textId="433FE5C4" w:rsidR="00700D79" w:rsidRPr="009772A3" w:rsidRDefault="00700D79" w:rsidP="007A2235">
      <w:pPr>
        <w:pStyle w:val="Heading1"/>
        <w:rPr>
          <w:color w:val="auto"/>
          <w:lang w:val="ro-MD"/>
        </w:rPr>
      </w:pPr>
      <w:bookmarkStart w:id="291" w:name="_Toc47338801"/>
      <w:bookmarkStart w:id="292" w:name="_Toc119496480"/>
      <w:r w:rsidRPr="009772A3">
        <w:rPr>
          <w:color w:val="auto"/>
          <w:lang w:val="ro-MD"/>
        </w:rPr>
        <w:t>ANEXE</w:t>
      </w:r>
      <w:bookmarkEnd w:id="291"/>
      <w:bookmarkEnd w:id="292"/>
    </w:p>
    <w:p w14:paraId="66F951C5" w14:textId="39EC737C" w:rsidR="005A128A" w:rsidRPr="009772A3" w:rsidRDefault="005A128A" w:rsidP="00F15711">
      <w:pPr>
        <w:pStyle w:val="Heading2"/>
        <w:jc w:val="center"/>
        <w:rPr>
          <w:color w:val="auto"/>
          <w:lang w:val="ro-MD"/>
        </w:rPr>
      </w:pPr>
      <w:bookmarkStart w:id="293" w:name="_Toc47338802"/>
      <w:bookmarkStart w:id="294" w:name="_Toc119496481"/>
      <w:r w:rsidRPr="009772A3">
        <w:rPr>
          <w:color w:val="auto"/>
          <w:lang w:val="ro-MD"/>
        </w:rPr>
        <w:t>Anexa nr.1</w:t>
      </w:r>
      <w:r w:rsidR="00E2223B" w:rsidRPr="009772A3">
        <w:rPr>
          <w:color w:val="auto"/>
          <w:lang w:val="ro-MD"/>
        </w:rPr>
        <w:t>.</w:t>
      </w:r>
      <w:r w:rsidR="00282A86" w:rsidRPr="009772A3">
        <w:rPr>
          <w:color w:val="auto"/>
          <w:lang w:val="ro-MD"/>
        </w:rPr>
        <w:t>1</w:t>
      </w:r>
      <w:r w:rsidR="007A2235" w:rsidRPr="009772A3">
        <w:rPr>
          <w:color w:val="auto"/>
          <w:lang w:val="ro-MD"/>
        </w:rPr>
        <w:t xml:space="preserve"> </w:t>
      </w:r>
      <w:bookmarkEnd w:id="293"/>
      <w:r w:rsidR="007576F8" w:rsidRPr="009772A3">
        <w:rPr>
          <w:color w:val="auto"/>
          <w:lang w:val="ro-MD"/>
        </w:rPr>
        <w:t>Responsabilitățile</w:t>
      </w:r>
      <w:r w:rsidR="007576F8" w:rsidRPr="009772A3">
        <w:rPr>
          <w:rFonts w:cstheme="majorHAnsi"/>
          <w:color w:val="auto"/>
          <w:szCs w:val="24"/>
          <w:lang w:val="ro-MD"/>
        </w:rPr>
        <w:t xml:space="preserve"> organelor de conducere și control a</w:t>
      </w:r>
      <w:r w:rsidR="00152F89" w:rsidRPr="009772A3">
        <w:rPr>
          <w:rFonts w:cstheme="majorHAnsi"/>
          <w:color w:val="auto"/>
          <w:szCs w:val="24"/>
          <w:lang w:val="ro-MD"/>
        </w:rPr>
        <w:t>le</w:t>
      </w:r>
      <w:r w:rsidR="007576F8" w:rsidRPr="009772A3">
        <w:rPr>
          <w:rFonts w:cstheme="majorHAnsi"/>
          <w:color w:val="auto"/>
          <w:szCs w:val="24"/>
          <w:lang w:val="ro-MD"/>
        </w:rPr>
        <w:t xml:space="preserve"> SA Moldovagaz</w:t>
      </w:r>
      <w:bookmarkEnd w:id="294"/>
    </w:p>
    <w:p w14:paraId="05C2EF7A" w14:textId="77777777" w:rsidR="003A2118" w:rsidRPr="009772A3" w:rsidRDefault="003A2118" w:rsidP="00284199">
      <w:pPr>
        <w:spacing w:after="0" w:line="276" w:lineRule="auto"/>
        <w:jc w:val="both"/>
        <w:rPr>
          <w:rFonts w:asciiTheme="majorHAnsi" w:hAnsiTheme="majorHAnsi" w:cstheme="majorHAnsi"/>
          <w:b/>
          <w:i/>
          <w:sz w:val="20"/>
          <w:szCs w:val="20"/>
          <w:lang w:val="ro-MD"/>
        </w:rPr>
      </w:pPr>
    </w:p>
    <w:p w14:paraId="11EA685E" w14:textId="24110CAC" w:rsidR="004D6D01" w:rsidRPr="009772A3" w:rsidRDefault="004D6D01" w:rsidP="004D6D01">
      <w:pPr>
        <w:spacing w:after="0" w:line="259" w:lineRule="auto"/>
        <w:ind w:firstLine="720"/>
        <w:jc w:val="both"/>
        <w:rPr>
          <w:rFonts w:asciiTheme="majorHAnsi" w:hAnsiTheme="majorHAnsi" w:cstheme="majorHAnsi"/>
          <w:sz w:val="24"/>
          <w:szCs w:val="24"/>
          <w:lang w:val="ro-MD"/>
        </w:rPr>
      </w:pPr>
      <w:r w:rsidRPr="009772A3">
        <w:rPr>
          <w:rFonts w:asciiTheme="majorHAnsi" w:hAnsiTheme="majorHAnsi" w:cstheme="majorHAnsi"/>
          <w:b/>
          <w:bCs/>
          <w:sz w:val="24"/>
          <w:szCs w:val="24"/>
          <w:lang w:val="ro-MD"/>
        </w:rPr>
        <w:t>Adunarea generală a acționarilor</w:t>
      </w:r>
      <w:r w:rsidRPr="009772A3">
        <w:rPr>
          <w:rStyle w:val="FootnoteReference"/>
          <w:rFonts w:cstheme="majorHAnsi"/>
          <w:b/>
          <w:bCs/>
          <w:sz w:val="24"/>
          <w:szCs w:val="24"/>
          <w:lang w:val="ro-MD"/>
        </w:rPr>
        <w:footnoteReference w:id="212"/>
      </w:r>
      <w:r w:rsidRPr="009772A3">
        <w:rPr>
          <w:rFonts w:asciiTheme="majorHAnsi" w:hAnsiTheme="majorHAnsi" w:cstheme="majorHAnsi"/>
          <w:sz w:val="24"/>
          <w:szCs w:val="24"/>
          <w:lang w:val="ro-MD"/>
        </w:rPr>
        <w:t xml:space="preserve">, organul suprem de conducere al SA Moldovagaz – i) alege membrii Consiliului de observatori și Comisiei de </w:t>
      </w:r>
      <w:r w:rsidR="00152F89" w:rsidRPr="009772A3">
        <w:rPr>
          <w:rFonts w:asciiTheme="majorHAnsi" w:hAnsiTheme="majorHAnsi" w:cstheme="majorHAnsi"/>
          <w:sz w:val="24"/>
          <w:szCs w:val="24"/>
          <w:lang w:val="ro-MD"/>
        </w:rPr>
        <w:t>c</w:t>
      </w:r>
      <w:r w:rsidRPr="009772A3">
        <w:rPr>
          <w:rFonts w:asciiTheme="majorHAnsi" w:hAnsiTheme="majorHAnsi" w:cstheme="majorHAnsi"/>
          <w:sz w:val="24"/>
          <w:szCs w:val="24"/>
          <w:lang w:val="ro-MD"/>
        </w:rPr>
        <w:t xml:space="preserve">enzori, ii) aprobă regulamentele și rapoartele de activitate ale Societății, iii) hotărăște cu privire la modificarea capitalului social, reorganizarea sau dizolvarea Societății, </w:t>
      </w:r>
      <w:r w:rsidR="00046BF2" w:rsidRPr="009772A3">
        <w:rPr>
          <w:rFonts w:asciiTheme="majorHAnsi" w:hAnsiTheme="majorHAnsi" w:cstheme="majorHAnsi"/>
          <w:sz w:val="24"/>
          <w:szCs w:val="24"/>
          <w:lang w:val="ro-MD"/>
        </w:rPr>
        <w:t>i</w:t>
      </w:r>
      <w:r w:rsidR="00046BF2">
        <w:rPr>
          <w:rFonts w:asciiTheme="majorHAnsi" w:hAnsiTheme="majorHAnsi" w:cstheme="majorHAnsi"/>
          <w:sz w:val="24"/>
          <w:szCs w:val="24"/>
          <w:lang w:val="ro-MD"/>
        </w:rPr>
        <w:t>v</w:t>
      </w:r>
      <w:r w:rsidRPr="009772A3">
        <w:rPr>
          <w:rFonts w:asciiTheme="majorHAnsi" w:hAnsiTheme="majorHAnsi" w:cstheme="majorHAnsi"/>
          <w:sz w:val="24"/>
          <w:szCs w:val="24"/>
          <w:lang w:val="ro-MD"/>
        </w:rPr>
        <w:t xml:space="preserve">) decide cu privire la repartizarea profitului net anual, inclusiv plata dividendelor anuale, sau cu privire la acoperirea pierderilor Societății etc. </w:t>
      </w:r>
    </w:p>
    <w:p w14:paraId="68B29106" w14:textId="237E28CE" w:rsidR="004D6D01" w:rsidRPr="009772A3" w:rsidRDefault="004D6D01" w:rsidP="004D6D01">
      <w:pPr>
        <w:spacing w:after="0" w:line="259" w:lineRule="auto"/>
        <w:ind w:firstLine="720"/>
        <w:jc w:val="both"/>
        <w:rPr>
          <w:rFonts w:asciiTheme="majorHAnsi" w:hAnsiTheme="majorHAnsi" w:cstheme="majorHAnsi"/>
          <w:sz w:val="24"/>
          <w:szCs w:val="24"/>
          <w:lang w:val="ro-MD"/>
        </w:rPr>
      </w:pPr>
      <w:r w:rsidRPr="009772A3">
        <w:rPr>
          <w:rFonts w:asciiTheme="majorHAnsi" w:hAnsiTheme="majorHAnsi" w:cstheme="majorHAnsi"/>
          <w:b/>
          <w:bCs/>
          <w:sz w:val="24"/>
          <w:szCs w:val="24"/>
          <w:lang w:val="ro-MD"/>
        </w:rPr>
        <w:t xml:space="preserve">Consiliul de </w:t>
      </w:r>
      <w:r w:rsidR="00152F89" w:rsidRPr="009772A3">
        <w:rPr>
          <w:rFonts w:asciiTheme="majorHAnsi" w:hAnsiTheme="majorHAnsi" w:cstheme="majorHAnsi"/>
          <w:b/>
          <w:bCs/>
          <w:sz w:val="24"/>
          <w:szCs w:val="24"/>
          <w:lang w:val="ro-MD"/>
        </w:rPr>
        <w:t>o</w:t>
      </w:r>
      <w:r w:rsidRPr="009772A3">
        <w:rPr>
          <w:rFonts w:asciiTheme="majorHAnsi" w:hAnsiTheme="majorHAnsi" w:cstheme="majorHAnsi"/>
          <w:b/>
          <w:bCs/>
          <w:sz w:val="24"/>
          <w:szCs w:val="24"/>
          <w:lang w:val="ro-MD"/>
        </w:rPr>
        <w:t>bservatori</w:t>
      </w:r>
      <w:r w:rsidRPr="009772A3">
        <w:rPr>
          <w:rStyle w:val="FootnoteReference"/>
          <w:rFonts w:cstheme="majorHAnsi"/>
          <w:b/>
          <w:bCs/>
          <w:sz w:val="24"/>
          <w:szCs w:val="24"/>
          <w:lang w:val="ro-MD"/>
        </w:rPr>
        <w:footnoteReference w:id="213"/>
      </w:r>
      <w:r w:rsidRPr="009772A3">
        <w:rPr>
          <w:rFonts w:asciiTheme="majorHAnsi" w:hAnsiTheme="majorHAnsi" w:cstheme="majorHAnsi"/>
          <w:sz w:val="24"/>
          <w:szCs w:val="24"/>
          <w:lang w:val="ro-MD"/>
        </w:rPr>
        <w:t xml:space="preserve"> – i) exercită conducerea generală și controlul asupra activității SA Moldovagaz și a Consiliului de </w:t>
      </w:r>
      <w:r w:rsidR="00152F89"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dministrație; ii) aprobă Statutele societăților dependente aflate în subordinea SA Moldovagaz.</w:t>
      </w:r>
      <w:r w:rsidRPr="009772A3">
        <w:rPr>
          <w:rFonts w:asciiTheme="majorHAnsi" w:hAnsiTheme="majorHAnsi" w:cstheme="majorHAnsi"/>
          <w:noProof/>
          <w:sz w:val="24"/>
          <w:lang w:val="ro-MD"/>
        </w:rPr>
        <w:t xml:space="preserve"> Consiliul de </w:t>
      </w:r>
      <w:r w:rsidR="00152F89" w:rsidRPr="009772A3">
        <w:rPr>
          <w:rFonts w:asciiTheme="majorHAnsi" w:hAnsiTheme="majorHAnsi" w:cstheme="majorHAnsi"/>
          <w:noProof/>
          <w:sz w:val="24"/>
          <w:lang w:val="ro-MD"/>
        </w:rPr>
        <w:t>o</w:t>
      </w:r>
      <w:r w:rsidRPr="009772A3">
        <w:rPr>
          <w:rFonts w:asciiTheme="majorHAnsi" w:hAnsiTheme="majorHAnsi" w:cstheme="majorHAnsi"/>
          <w:noProof/>
          <w:sz w:val="24"/>
          <w:lang w:val="ro-MD"/>
        </w:rPr>
        <w:t xml:space="preserve">bservatori aprobă Regulamentul Consiliului de </w:t>
      </w:r>
      <w:r w:rsidR="00152F89" w:rsidRPr="009772A3">
        <w:rPr>
          <w:rFonts w:asciiTheme="majorHAnsi" w:hAnsiTheme="majorHAnsi" w:cstheme="majorHAnsi"/>
          <w:noProof/>
          <w:sz w:val="24"/>
          <w:lang w:val="ro-MD"/>
        </w:rPr>
        <w:t>a</w:t>
      </w:r>
      <w:r w:rsidRPr="009772A3">
        <w:rPr>
          <w:rFonts w:asciiTheme="majorHAnsi" w:hAnsiTheme="majorHAnsi" w:cstheme="majorHAnsi"/>
          <w:noProof/>
          <w:sz w:val="24"/>
          <w:lang w:val="ro-MD"/>
        </w:rPr>
        <w:t xml:space="preserve">dministraţie, numeşte Preşedintele şi membrii Consiliului de </w:t>
      </w:r>
      <w:r w:rsidR="00152F89" w:rsidRPr="009772A3">
        <w:rPr>
          <w:rFonts w:asciiTheme="majorHAnsi" w:hAnsiTheme="majorHAnsi" w:cstheme="majorHAnsi"/>
          <w:noProof/>
          <w:sz w:val="24"/>
          <w:lang w:val="ro-MD"/>
        </w:rPr>
        <w:t>a</w:t>
      </w:r>
      <w:r w:rsidRPr="009772A3">
        <w:rPr>
          <w:rFonts w:asciiTheme="majorHAnsi" w:hAnsiTheme="majorHAnsi" w:cstheme="majorHAnsi"/>
          <w:noProof/>
          <w:sz w:val="24"/>
          <w:lang w:val="ro-MD"/>
        </w:rPr>
        <w:t>dministraţie, încetează anticipat atribuţiile lor, stabileşte cuantumul salariului, remuneraţiei şi compensaţiilor lor, îi atrage la răspundere sau îi eliberează de răspundere.</w:t>
      </w:r>
    </w:p>
    <w:p w14:paraId="257279D5" w14:textId="724C15E3" w:rsidR="004D6D01" w:rsidRPr="009772A3" w:rsidRDefault="004D6D01" w:rsidP="004D6D01">
      <w:pPr>
        <w:spacing w:after="0" w:line="259" w:lineRule="auto"/>
        <w:ind w:firstLine="720"/>
        <w:jc w:val="both"/>
        <w:rPr>
          <w:rFonts w:asciiTheme="majorHAnsi" w:hAnsiTheme="majorHAnsi" w:cstheme="majorHAnsi"/>
          <w:sz w:val="24"/>
          <w:szCs w:val="24"/>
          <w:lang w:val="ro-MD"/>
        </w:rPr>
      </w:pPr>
      <w:r w:rsidRPr="009772A3">
        <w:rPr>
          <w:rFonts w:asciiTheme="majorHAnsi" w:hAnsiTheme="majorHAnsi" w:cstheme="majorHAnsi"/>
          <w:b/>
          <w:bCs/>
          <w:sz w:val="24"/>
          <w:szCs w:val="24"/>
          <w:lang w:val="ro-MD"/>
        </w:rPr>
        <w:t xml:space="preserve">Consiliul de </w:t>
      </w:r>
      <w:r w:rsidR="00152F89" w:rsidRPr="009772A3">
        <w:rPr>
          <w:rFonts w:asciiTheme="majorHAnsi" w:hAnsiTheme="majorHAnsi" w:cstheme="majorHAnsi"/>
          <w:b/>
          <w:bCs/>
          <w:sz w:val="24"/>
          <w:szCs w:val="24"/>
          <w:lang w:val="ro-MD"/>
        </w:rPr>
        <w:t>a</w:t>
      </w:r>
      <w:r w:rsidRPr="009772A3">
        <w:rPr>
          <w:rFonts w:asciiTheme="majorHAnsi" w:hAnsiTheme="majorHAnsi" w:cstheme="majorHAnsi"/>
          <w:b/>
          <w:bCs/>
          <w:sz w:val="24"/>
          <w:szCs w:val="24"/>
          <w:lang w:val="ro-MD"/>
        </w:rPr>
        <w:t>dministrație</w:t>
      </w:r>
      <w:r w:rsidRPr="009772A3">
        <w:rPr>
          <w:rStyle w:val="FootnoteReference"/>
          <w:rFonts w:cstheme="majorHAnsi"/>
          <w:b/>
          <w:bCs/>
          <w:sz w:val="24"/>
          <w:szCs w:val="24"/>
          <w:lang w:val="ro-MD"/>
        </w:rPr>
        <w:footnoteReference w:id="214"/>
      </w:r>
      <w:r w:rsidRPr="009772A3">
        <w:rPr>
          <w:rFonts w:asciiTheme="majorHAnsi" w:hAnsiTheme="majorHAnsi" w:cstheme="majorHAnsi"/>
          <w:sz w:val="24"/>
          <w:szCs w:val="24"/>
          <w:lang w:val="ro-MD"/>
        </w:rPr>
        <w:t>, organ colegial executiv al SA Moldovagaz</w:t>
      </w:r>
      <w:r w:rsidR="00152F89"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w:t>
      </w:r>
      <w:r w:rsidRPr="009772A3">
        <w:rPr>
          <w:rFonts w:asciiTheme="majorHAnsi" w:hAnsiTheme="majorHAnsi" w:cstheme="majorHAnsi"/>
          <w:noProof/>
          <w:sz w:val="24"/>
          <w:lang w:val="ro-MD"/>
        </w:rPr>
        <w:t xml:space="preserve">condus de Preşedinte. Consiliul de </w:t>
      </w:r>
      <w:r w:rsidR="00152F89" w:rsidRPr="009772A3">
        <w:rPr>
          <w:rFonts w:asciiTheme="majorHAnsi" w:hAnsiTheme="majorHAnsi" w:cstheme="majorHAnsi"/>
          <w:noProof/>
          <w:sz w:val="24"/>
          <w:lang w:val="ro-MD"/>
        </w:rPr>
        <w:t>a</w:t>
      </w:r>
      <w:r w:rsidRPr="009772A3">
        <w:rPr>
          <w:rFonts w:asciiTheme="majorHAnsi" w:hAnsiTheme="majorHAnsi" w:cstheme="majorHAnsi"/>
          <w:noProof/>
          <w:sz w:val="24"/>
          <w:lang w:val="ro-MD"/>
        </w:rPr>
        <w:t>dministraţie</w:t>
      </w:r>
      <w:r w:rsidRPr="009772A3">
        <w:rPr>
          <w:rFonts w:asciiTheme="majorHAnsi" w:hAnsiTheme="majorHAnsi" w:cstheme="majorHAnsi"/>
          <w:sz w:val="24"/>
          <w:szCs w:val="24"/>
          <w:lang w:val="ro-MD"/>
        </w:rPr>
        <w:t xml:space="preserve"> – i) execută hotărârile Adunării generale a acționarilor și deciziile Consiliului de </w:t>
      </w:r>
      <w:r w:rsidR="00152F89" w:rsidRPr="009772A3">
        <w:rPr>
          <w:rFonts w:asciiTheme="majorHAnsi" w:hAnsiTheme="majorHAnsi" w:cstheme="majorHAnsi"/>
          <w:sz w:val="24"/>
          <w:szCs w:val="24"/>
          <w:lang w:val="ro-MD"/>
        </w:rPr>
        <w:t>o</w:t>
      </w:r>
      <w:r w:rsidRPr="009772A3">
        <w:rPr>
          <w:rFonts w:asciiTheme="majorHAnsi" w:hAnsiTheme="majorHAnsi" w:cstheme="majorHAnsi"/>
          <w:sz w:val="24"/>
          <w:szCs w:val="24"/>
          <w:lang w:val="ro-MD"/>
        </w:rPr>
        <w:t xml:space="preserve">bservatori; ii) numește și demite conducătorii SRL-urilor fondate de către SA Moldovagaz. </w:t>
      </w:r>
    </w:p>
    <w:p w14:paraId="33B8B460" w14:textId="6C3D4E6A" w:rsidR="004D6D01" w:rsidRPr="009772A3" w:rsidRDefault="004D6D01" w:rsidP="00CF3AD4">
      <w:pPr>
        <w:spacing w:after="0" w:line="276" w:lineRule="auto"/>
        <w:ind w:firstLine="823"/>
        <w:jc w:val="both"/>
        <w:rPr>
          <w:rFonts w:asciiTheme="majorHAnsi" w:hAnsiTheme="majorHAnsi" w:cstheme="majorHAnsi"/>
          <w:noProof/>
          <w:sz w:val="24"/>
          <w:lang w:val="ro-MD"/>
        </w:rPr>
      </w:pPr>
      <w:r w:rsidRPr="009772A3">
        <w:rPr>
          <w:rFonts w:asciiTheme="majorHAnsi" w:hAnsiTheme="majorHAnsi" w:cstheme="majorHAnsi"/>
          <w:noProof/>
          <w:sz w:val="24"/>
          <w:lang w:val="ro-MD"/>
        </w:rPr>
        <w:t xml:space="preserve">De competenţa Consiliului de </w:t>
      </w:r>
      <w:r w:rsidR="00152F89" w:rsidRPr="009772A3">
        <w:rPr>
          <w:rFonts w:asciiTheme="majorHAnsi" w:hAnsiTheme="majorHAnsi" w:cstheme="majorHAnsi"/>
          <w:noProof/>
          <w:sz w:val="24"/>
          <w:lang w:val="ro-MD"/>
        </w:rPr>
        <w:t>a</w:t>
      </w:r>
      <w:r w:rsidRPr="009772A3">
        <w:rPr>
          <w:rFonts w:asciiTheme="majorHAnsi" w:hAnsiTheme="majorHAnsi" w:cstheme="majorHAnsi"/>
          <w:noProof/>
          <w:sz w:val="24"/>
          <w:lang w:val="ro-MD"/>
        </w:rPr>
        <w:t xml:space="preserve">dministraţie ţin toate chestiunile de conducere a activităţii curente a Societăţii, cu excepţia chestiunilor ce ţin de competenţa Adunării </w:t>
      </w:r>
      <w:r w:rsidR="00152F89" w:rsidRPr="009772A3">
        <w:rPr>
          <w:rFonts w:asciiTheme="majorHAnsi" w:hAnsiTheme="majorHAnsi" w:cstheme="majorHAnsi"/>
          <w:noProof/>
          <w:sz w:val="24"/>
          <w:lang w:val="ro-MD"/>
        </w:rPr>
        <w:t xml:space="preserve">generale a acțioinarilor </w:t>
      </w:r>
      <w:r w:rsidRPr="009772A3">
        <w:rPr>
          <w:rFonts w:asciiTheme="majorHAnsi" w:hAnsiTheme="majorHAnsi" w:cstheme="majorHAnsi"/>
          <w:noProof/>
          <w:sz w:val="24"/>
          <w:lang w:val="ro-MD"/>
        </w:rPr>
        <w:t xml:space="preserve">şi Consiliului de </w:t>
      </w:r>
      <w:r w:rsidR="00152F89" w:rsidRPr="009772A3">
        <w:rPr>
          <w:rFonts w:asciiTheme="majorHAnsi" w:hAnsiTheme="majorHAnsi" w:cstheme="majorHAnsi"/>
          <w:noProof/>
          <w:sz w:val="24"/>
          <w:lang w:val="ro-MD"/>
        </w:rPr>
        <w:t>o</w:t>
      </w:r>
      <w:r w:rsidRPr="009772A3">
        <w:rPr>
          <w:rFonts w:asciiTheme="majorHAnsi" w:hAnsiTheme="majorHAnsi" w:cstheme="majorHAnsi"/>
          <w:noProof/>
          <w:sz w:val="24"/>
          <w:lang w:val="ro-MD"/>
        </w:rPr>
        <w:t xml:space="preserve">bservatori. Consiliul de </w:t>
      </w:r>
      <w:r w:rsidR="00152F89" w:rsidRPr="009772A3">
        <w:rPr>
          <w:rFonts w:asciiTheme="majorHAnsi" w:hAnsiTheme="majorHAnsi" w:cstheme="majorHAnsi"/>
          <w:noProof/>
          <w:sz w:val="24"/>
          <w:lang w:val="ro-MD"/>
        </w:rPr>
        <w:t>a</w:t>
      </w:r>
      <w:r w:rsidRPr="009772A3">
        <w:rPr>
          <w:rFonts w:asciiTheme="majorHAnsi" w:hAnsiTheme="majorHAnsi" w:cstheme="majorHAnsi"/>
          <w:noProof/>
          <w:sz w:val="24"/>
          <w:lang w:val="ro-MD"/>
        </w:rPr>
        <w:t xml:space="preserve">dministraţie este numit de Consiliul de </w:t>
      </w:r>
      <w:r w:rsidR="00152F89" w:rsidRPr="009772A3">
        <w:rPr>
          <w:rFonts w:asciiTheme="majorHAnsi" w:hAnsiTheme="majorHAnsi" w:cstheme="majorHAnsi"/>
          <w:noProof/>
          <w:sz w:val="24"/>
          <w:lang w:val="ro-MD"/>
        </w:rPr>
        <w:t>o</w:t>
      </w:r>
      <w:r w:rsidRPr="009772A3">
        <w:rPr>
          <w:rFonts w:asciiTheme="majorHAnsi" w:hAnsiTheme="majorHAnsi" w:cstheme="majorHAnsi"/>
          <w:noProof/>
          <w:sz w:val="24"/>
          <w:lang w:val="ro-MD"/>
        </w:rPr>
        <w:t>bservatori într-o componenţă de 9 persoane</w:t>
      </w:r>
      <w:r w:rsidR="00152F89" w:rsidRPr="009772A3">
        <w:rPr>
          <w:rFonts w:asciiTheme="majorHAnsi" w:hAnsiTheme="majorHAnsi" w:cstheme="majorHAnsi"/>
          <w:noProof/>
          <w:sz w:val="24"/>
          <w:lang w:val="ro-MD"/>
        </w:rPr>
        <w:t>,</w:t>
      </w:r>
      <w:r w:rsidRPr="009772A3">
        <w:rPr>
          <w:rFonts w:asciiTheme="majorHAnsi" w:hAnsiTheme="majorHAnsi" w:cstheme="majorHAnsi"/>
          <w:noProof/>
          <w:sz w:val="24"/>
          <w:lang w:val="ro-MD"/>
        </w:rPr>
        <w:t xml:space="preserve"> pe un termen de 3 ani</w:t>
      </w:r>
      <w:r w:rsidR="00152F89" w:rsidRPr="009772A3">
        <w:rPr>
          <w:rFonts w:asciiTheme="majorHAnsi" w:hAnsiTheme="majorHAnsi" w:cstheme="majorHAnsi"/>
          <w:noProof/>
          <w:sz w:val="24"/>
          <w:lang w:val="ro-MD"/>
        </w:rPr>
        <w:t>.</w:t>
      </w:r>
    </w:p>
    <w:p w14:paraId="1C8988F6" w14:textId="394AB18F" w:rsidR="00CC0B22" w:rsidRPr="009772A3" w:rsidRDefault="004D6D01" w:rsidP="00ED6F83">
      <w:pPr>
        <w:spacing w:after="0" w:line="259" w:lineRule="auto"/>
        <w:ind w:firstLine="720"/>
        <w:jc w:val="both"/>
        <w:rPr>
          <w:rFonts w:asciiTheme="majorHAnsi" w:hAnsiTheme="majorHAnsi" w:cstheme="majorHAnsi"/>
          <w:noProof/>
          <w:sz w:val="24"/>
          <w:lang w:val="ro-MD"/>
        </w:rPr>
      </w:pPr>
      <w:r w:rsidRPr="009772A3">
        <w:rPr>
          <w:rFonts w:asciiTheme="majorHAnsi" w:hAnsiTheme="majorHAnsi" w:cstheme="majorHAnsi"/>
          <w:b/>
          <w:bCs/>
          <w:sz w:val="24"/>
          <w:szCs w:val="24"/>
          <w:lang w:val="ro-MD"/>
        </w:rPr>
        <w:t>Comisia de cenzori</w:t>
      </w:r>
      <w:r w:rsidRPr="009772A3">
        <w:rPr>
          <w:rStyle w:val="FootnoteReference"/>
          <w:rFonts w:cstheme="majorHAnsi"/>
          <w:b/>
          <w:bCs/>
          <w:sz w:val="24"/>
          <w:szCs w:val="24"/>
          <w:lang w:val="ro-MD"/>
        </w:rPr>
        <w:footnoteReference w:id="215"/>
      </w:r>
      <w:r w:rsidRPr="009772A3">
        <w:rPr>
          <w:rFonts w:asciiTheme="majorHAnsi" w:hAnsiTheme="majorHAnsi" w:cstheme="majorHAnsi"/>
          <w:sz w:val="24"/>
          <w:szCs w:val="24"/>
          <w:lang w:val="ro-MD"/>
        </w:rPr>
        <w:t xml:space="preserve"> – exercită controlul activității economico-financiare a SA Moldovagaz.</w:t>
      </w:r>
      <w:r w:rsidR="00ED6F83" w:rsidRPr="009772A3">
        <w:rPr>
          <w:rFonts w:asciiTheme="majorHAnsi" w:hAnsiTheme="majorHAnsi" w:cstheme="majorHAnsi"/>
          <w:sz w:val="24"/>
          <w:szCs w:val="24"/>
          <w:lang w:val="ro-MD"/>
        </w:rPr>
        <w:t xml:space="preserve"> </w:t>
      </w:r>
      <w:r w:rsidRPr="009772A3">
        <w:rPr>
          <w:rFonts w:asciiTheme="majorHAnsi" w:hAnsiTheme="majorHAnsi" w:cstheme="majorHAnsi"/>
          <w:noProof/>
          <w:sz w:val="24"/>
          <w:lang w:val="ro-MD"/>
        </w:rPr>
        <w:t>Comisia de cenzori este aleasă de Adunare</w:t>
      </w:r>
      <w:r w:rsidR="00152F89" w:rsidRPr="009772A3">
        <w:rPr>
          <w:rFonts w:asciiTheme="majorHAnsi" w:hAnsiTheme="majorHAnsi" w:cstheme="majorHAnsi"/>
          <w:noProof/>
          <w:sz w:val="24"/>
          <w:lang w:val="ro-MD"/>
        </w:rPr>
        <w:t>a</w:t>
      </w:r>
      <w:r w:rsidRPr="009772A3">
        <w:rPr>
          <w:rFonts w:asciiTheme="majorHAnsi" w:hAnsiTheme="majorHAnsi" w:cstheme="majorHAnsi"/>
          <w:noProof/>
          <w:sz w:val="24"/>
          <w:lang w:val="ro-MD"/>
        </w:rPr>
        <w:t xml:space="preserve"> </w:t>
      </w:r>
      <w:r w:rsidR="00152F89" w:rsidRPr="009772A3">
        <w:rPr>
          <w:rFonts w:asciiTheme="majorHAnsi" w:hAnsiTheme="majorHAnsi" w:cstheme="majorHAnsi"/>
          <w:noProof/>
          <w:sz w:val="24"/>
          <w:lang w:val="ro-MD"/>
        </w:rPr>
        <w:t xml:space="preserve">generală a acționarilor </w:t>
      </w:r>
      <w:r w:rsidRPr="009772A3">
        <w:rPr>
          <w:rFonts w:asciiTheme="majorHAnsi" w:hAnsiTheme="majorHAnsi" w:cstheme="majorHAnsi"/>
          <w:noProof/>
          <w:sz w:val="24"/>
          <w:lang w:val="ro-MD"/>
        </w:rPr>
        <w:t>în număr de 3 persoane</w:t>
      </w:r>
      <w:r w:rsidR="00152F89" w:rsidRPr="009772A3">
        <w:rPr>
          <w:rFonts w:asciiTheme="majorHAnsi" w:hAnsiTheme="majorHAnsi" w:cstheme="majorHAnsi"/>
          <w:noProof/>
          <w:sz w:val="24"/>
          <w:lang w:val="ro-MD"/>
        </w:rPr>
        <w:t>,</w:t>
      </w:r>
      <w:r w:rsidRPr="009772A3">
        <w:rPr>
          <w:rFonts w:asciiTheme="majorHAnsi" w:hAnsiTheme="majorHAnsi" w:cstheme="majorHAnsi"/>
          <w:noProof/>
          <w:sz w:val="24"/>
          <w:lang w:val="ro-MD"/>
        </w:rPr>
        <w:t xml:space="preserve"> pe un termen de 3 ani</w:t>
      </w:r>
      <w:r w:rsidR="00CC0B22" w:rsidRPr="009772A3">
        <w:rPr>
          <w:rFonts w:asciiTheme="majorHAnsi" w:hAnsiTheme="majorHAnsi" w:cstheme="majorHAnsi"/>
          <w:noProof/>
          <w:sz w:val="24"/>
          <w:lang w:val="ro-MD"/>
        </w:rPr>
        <w:t>.</w:t>
      </w:r>
    </w:p>
    <w:p w14:paraId="7D83C7CF" w14:textId="77777777" w:rsidR="00CC0B22" w:rsidRPr="009772A3" w:rsidRDefault="00CC0B22" w:rsidP="004F4116">
      <w:pPr>
        <w:spacing w:after="0" w:line="259" w:lineRule="auto"/>
        <w:jc w:val="both"/>
        <w:rPr>
          <w:rFonts w:asciiTheme="majorHAnsi" w:hAnsiTheme="majorHAnsi" w:cstheme="majorHAnsi"/>
          <w:noProof/>
          <w:sz w:val="24"/>
          <w:lang w:val="ro-MD"/>
        </w:rPr>
        <w:sectPr w:rsidR="00CC0B22" w:rsidRPr="009772A3" w:rsidSect="00FE2E22">
          <w:pgSz w:w="11906" w:h="16838"/>
          <w:pgMar w:top="1140" w:right="851" w:bottom="1418" w:left="1701" w:header="720" w:footer="720" w:gutter="0"/>
          <w:cols w:space="720"/>
        </w:sectPr>
      </w:pPr>
    </w:p>
    <w:p w14:paraId="14011FF8" w14:textId="752617FE" w:rsidR="00CC0B22" w:rsidRPr="009772A3" w:rsidRDefault="00CC0B22" w:rsidP="00CC0B22">
      <w:pPr>
        <w:pStyle w:val="Heading2"/>
        <w:jc w:val="center"/>
        <w:rPr>
          <w:color w:val="auto"/>
          <w:lang w:val="ro-MD"/>
        </w:rPr>
      </w:pPr>
      <w:bookmarkStart w:id="295" w:name="_Toc119496482"/>
      <w:r w:rsidRPr="009772A3">
        <w:rPr>
          <w:color w:val="auto"/>
          <w:lang w:val="ro-MD"/>
        </w:rPr>
        <w:t>Anexa nr.</w:t>
      </w:r>
      <w:r w:rsidR="00282A86" w:rsidRPr="009772A3">
        <w:rPr>
          <w:color w:val="auto"/>
          <w:lang w:val="ro-MD"/>
        </w:rPr>
        <w:t>1.</w:t>
      </w:r>
      <w:r w:rsidRPr="009772A3">
        <w:rPr>
          <w:color w:val="auto"/>
          <w:lang w:val="ro-MD"/>
        </w:rPr>
        <w:t>2. Responsabilitățile</w:t>
      </w:r>
      <w:r w:rsidRPr="009772A3">
        <w:rPr>
          <w:rFonts w:cstheme="majorHAnsi"/>
          <w:color w:val="auto"/>
          <w:szCs w:val="24"/>
          <w:lang w:val="ro-MD"/>
        </w:rPr>
        <w:t xml:space="preserve"> ANRE în domeniul de reglementare a preţurilor şi a tarifelor</w:t>
      </w:r>
      <w:bookmarkEnd w:id="295"/>
    </w:p>
    <w:p w14:paraId="577A0548" w14:textId="0ACCFD3E" w:rsidR="00425FF0" w:rsidRPr="009772A3" w:rsidRDefault="00CC0B22"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b/>
          <w:noProof/>
          <w:sz w:val="24"/>
          <w:lang w:val="ro-MD"/>
        </w:rPr>
        <w:t>Responsabilitățile ANRE în domeniul de reglementare a preţurilor şi a tarifelor la transportul, distribuția și furnizarea gazelor naturale</w:t>
      </w:r>
      <w:r w:rsidR="00425FF0" w:rsidRPr="009772A3">
        <w:rPr>
          <w:rFonts w:asciiTheme="majorHAnsi" w:hAnsiTheme="majorHAnsi" w:cstheme="majorHAnsi"/>
          <w:sz w:val="24"/>
          <w:szCs w:val="24"/>
          <w:lang w:val="ro-MD"/>
        </w:rPr>
        <w:t>:</w:t>
      </w:r>
    </w:p>
    <w:p w14:paraId="7F299297" w14:textId="5F015A40"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a) elaborează şi aprobă metodologiile de calculare, de aprobare şi de aplicare a tarifelor reglementate pentru serviciul de transport al gazelor naturale, pentru serviciul de distribuţie a gazelor naturale, inclusiv a tarifelor diferenţiate în funcţie de nivelul presiunii în reţelele de gaze naturale, a tarifului reglementat pentru serviciul de stocare a gazelor naturale, precum şi a preţurilor reglementate pentru furnizarea de ultimă opţiune şi pentru furnizarea gazelor naturale anumitor categorii de consumatori finali</w:t>
      </w:r>
      <w:r w:rsidR="003D4236"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 xml:space="preserve"> în contextul obligaţiei de serviciu public, inclusiv a preţurilor diferenţiate în funcţie de consum;</w:t>
      </w:r>
    </w:p>
    <w:p w14:paraId="78E99939" w14:textId="77777777"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b) elaborează şi aprobă metodologia de calculare, de aprobare şi de aplicare a tarifelor reglementate pentru serviciile auxiliare prestate de către operatorul sistemului de transport şi de către operatorul sistemului de distribuţie, inclusiv a tarifelor de racordare şi a tarifelor de reconectare;</w:t>
      </w:r>
    </w:p>
    <w:p w14:paraId="34A80EFA" w14:textId="77777777"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 elaborează şi aprobă Regulamentul privind procedurile de prezentare şi de examinare a cererilor titularilor de licenţe privind preţurile şi tarifele reglementate; </w:t>
      </w:r>
    </w:p>
    <w:p w14:paraId="2E535C9F" w14:textId="08E00898"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d) aprobă tarifele reglementate pentru serviciul de transport al gazelor naturale, pentru serviciul de distribuţie a gazelor naturale, inclusiv tarifele diferenţiate în funcţie de nivelul presiunii în reţelele de gaze naturale, tariful reglementat pentru serviciul de stocare a gazelor naturale, precum şi preţurile reglementate pentru furnizarea de ultimă opţiune şi pentru furnizarea gazelor naturale anumitor categorii de consumatori finali în contextul obligaţiei de serviciu public, inclusiv preţurile diferenţiate în funcţie de consum, calculate în conformitate cu metodologiile respective de calculare a preţurilor şi a tarifelor reglementate;</w:t>
      </w:r>
    </w:p>
    <w:p w14:paraId="4F150465" w14:textId="77777777"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e) aprobă tarifele reglementate pentru serviciile auxiliare prestate de către operatorul sistemului de transport şi de către operatorul sistemului de distribuţie, calculate în conformitate cu metodologia respectivă;</w:t>
      </w:r>
    </w:p>
    <w:p w14:paraId="74567F37" w14:textId="77777777"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f) asigură ca preţurile şi tarifele reglementate şi metodologiile de calculare a acestora să fie aprobate înainte de intrarea acestora în vigoare, în condiţiile stabilite în </w:t>
      </w:r>
      <w:hyperlink r:id="rId28" w:history="1">
        <w:r w:rsidRPr="009772A3">
          <w:rPr>
            <w:rFonts w:asciiTheme="majorHAnsi" w:hAnsiTheme="majorHAnsi" w:cstheme="majorHAnsi"/>
            <w:sz w:val="24"/>
            <w:szCs w:val="24"/>
            <w:lang w:val="ro-MD"/>
          </w:rPr>
          <w:t>Legea nr.173-XIII din 6 iulie 1994</w:t>
        </w:r>
      </w:hyperlink>
      <w:r w:rsidRPr="009772A3">
        <w:rPr>
          <w:rFonts w:asciiTheme="majorHAnsi" w:hAnsiTheme="majorHAnsi" w:cstheme="majorHAnsi"/>
          <w:sz w:val="24"/>
          <w:szCs w:val="24"/>
          <w:lang w:val="ro-MD"/>
        </w:rPr>
        <w:t xml:space="preserve"> privind modul de publicare şi intrare în vigoare a actelor oficiale, precum şi ca aceste preţuri şi tarife reglementate să fie justificate, rezonabile, transparente şi nediscriminatorii, bazate pe performanţă, să reflecte cheltuielile necesare şi justificate, să permită efectuarea de investiţii pentru asigurarea funcţionării continue a reţelelor de gaze naturale şi să ofere stimulente pentru a spori eficienţa şi pentru a asigura securitatea aprovizionării cu gaze naturale;</w:t>
      </w:r>
    </w:p>
    <w:p w14:paraId="355B49BB" w14:textId="77777777"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g) monitorizează corectitudinea aplicării de către titularii de licenţe a metodologiilor aprobate, a preţurilor şi a tarifelor reglementate, aprobate în conformitate cu metodologiile respective;</w:t>
      </w:r>
    </w:p>
    <w:p w14:paraId="0A286261" w14:textId="117F1222"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 stabileşte, în condiţiile prezentei legi, în vederea evitării discriminărilor, a subvenţiilor încrucişate şi a denaturării concurenţei, cerinţe privind separarea contabilităţii pe tipuri de activităţi desfăşurate de întreprinderile de gaze naturale, reglementate prin aprobarea de preţuri sau tarife, şi pe categorii de consumatori cărora le este asigurată furnizarea gazelor naturale în contextul obligaţiilor de serviciu public, de asemenea monitorizează respectarea acestor cerinţe;</w:t>
      </w:r>
    </w:p>
    <w:p w14:paraId="4A52D5BD" w14:textId="02FC9C35"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i) asigură excluderea subvenţiilor încrucişate între activităţile de producere, transport, distribuţie, stocare şi furnizare a gazelor naturale şi monitorizează respectarea de către întreprinderile de gaze naturale a principiului costurilor şi al cheltuielilor necesare şi justificate. Cheltuielile care nu s</w:t>
      </w:r>
      <w:r w:rsidR="003D4236" w:rsidRPr="009772A3">
        <w:rPr>
          <w:rFonts w:asciiTheme="majorHAnsi" w:hAnsiTheme="majorHAnsi" w:cstheme="majorHAnsi"/>
          <w:sz w:val="24"/>
          <w:szCs w:val="24"/>
          <w:lang w:val="ro-MD"/>
        </w:rPr>
        <w:t>u</w:t>
      </w:r>
      <w:r w:rsidRPr="009772A3">
        <w:rPr>
          <w:rFonts w:asciiTheme="majorHAnsi" w:hAnsiTheme="majorHAnsi" w:cstheme="majorHAnsi"/>
          <w:sz w:val="24"/>
          <w:szCs w:val="24"/>
          <w:lang w:val="ro-MD"/>
        </w:rPr>
        <w:t>nt necesare şi justificate nu se iau în calcul la aprobarea preţurilor şi tarifelor reglementate;</w:t>
      </w:r>
    </w:p>
    <w:p w14:paraId="66DE9DD5" w14:textId="77777777" w:rsidR="00425FF0" w:rsidRPr="009772A3" w:rsidRDefault="00425FF0" w:rsidP="00CF3AD4">
      <w:pPr>
        <w:spacing w:after="0" w:line="240" w:lineRule="auto"/>
        <w:ind w:firstLine="720"/>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j) elaborează şi aprobă, în scopul calculării tarifelor, metodologiile de determinare a consumului tehnologic şi a pierderilor de gaze naturale în reţelele de transport şi de distribuţie a gazelor naturale.</w:t>
      </w:r>
    </w:p>
    <w:p w14:paraId="1987692E" w14:textId="3718F93A" w:rsidR="00975C4E" w:rsidRPr="009772A3" w:rsidRDefault="00975C4E">
      <w:pPr>
        <w:spacing w:line="259" w:lineRule="auto"/>
        <w:rPr>
          <w:rFonts w:asciiTheme="majorHAnsi" w:hAnsiTheme="majorHAnsi" w:cstheme="majorHAnsi"/>
          <w:b/>
          <w:i/>
          <w:sz w:val="20"/>
          <w:szCs w:val="20"/>
          <w:lang w:val="ro-MD"/>
        </w:rPr>
      </w:pPr>
      <w:r w:rsidRPr="009772A3">
        <w:rPr>
          <w:rFonts w:asciiTheme="majorHAnsi" w:hAnsiTheme="majorHAnsi" w:cstheme="majorHAnsi"/>
          <w:b/>
          <w:i/>
          <w:sz w:val="20"/>
          <w:szCs w:val="20"/>
          <w:lang w:val="ro-MD"/>
        </w:rPr>
        <w:br w:type="page"/>
      </w:r>
    </w:p>
    <w:p w14:paraId="1D35C9E7" w14:textId="77777777" w:rsidR="0084647E" w:rsidRPr="00CF3AD4" w:rsidRDefault="0084647E" w:rsidP="00763942">
      <w:pPr>
        <w:pStyle w:val="Heading2"/>
        <w:jc w:val="center"/>
        <w:rPr>
          <w:color w:val="auto"/>
          <w:lang w:val="ro-MD"/>
        </w:rPr>
        <w:sectPr w:rsidR="0084647E" w:rsidRPr="00CF3AD4" w:rsidSect="00CF3AD4">
          <w:pgSz w:w="11906" w:h="16838"/>
          <w:pgMar w:top="993" w:right="851" w:bottom="1134" w:left="1701" w:header="720" w:footer="424" w:gutter="0"/>
          <w:cols w:space="720"/>
        </w:sectPr>
      </w:pPr>
      <w:bookmarkStart w:id="296" w:name="_Toc8744973"/>
      <w:bookmarkStart w:id="297" w:name="_Toc43974835"/>
    </w:p>
    <w:p w14:paraId="53A4C04B" w14:textId="0898FEC3" w:rsidR="001B3942" w:rsidRPr="009772A3" w:rsidRDefault="007576F8" w:rsidP="00763942">
      <w:pPr>
        <w:pStyle w:val="Heading2"/>
        <w:jc w:val="center"/>
        <w:rPr>
          <w:color w:val="auto"/>
          <w:lang w:val="ro-MD"/>
        </w:rPr>
      </w:pPr>
      <w:bookmarkStart w:id="298" w:name="_Toc119496483"/>
      <w:r w:rsidRPr="009772A3">
        <w:rPr>
          <w:color w:val="auto"/>
          <w:lang w:val="ro-MD"/>
        </w:rPr>
        <w:t xml:space="preserve">Anexa nr.2. </w:t>
      </w:r>
      <w:r w:rsidR="005F22BE" w:rsidRPr="009772A3">
        <w:rPr>
          <w:color w:val="auto"/>
          <w:lang w:val="ro-MD"/>
        </w:rPr>
        <w:t>Structura corporativă a grupului de întreprinderi al SA Moldovagaz</w:t>
      </w:r>
      <w:bookmarkEnd w:id="298"/>
    </w:p>
    <w:p w14:paraId="433609D0" w14:textId="1D214AEE" w:rsidR="0084647E" w:rsidRPr="009772A3" w:rsidRDefault="005723EF" w:rsidP="0084647E">
      <w:pPr>
        <w:jc w:val="right"/>
        <w:rPr>
          <w:rFonts w:asciiTheme="majorHAnsi" w:hAnsiTheme="majorHAnsi" w:cstheme="majorHAnsi"/>
          <w:b/>
          <w:bCs/>
          <w:sz w:val="24"/>
          <w:szCs w:val="24"/>
          <w:lang w:val="ro-MD"/>
        </w:rPr>
      </w:pPr>
      <w:r w:rsidRPr="009772A3">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724F48F1" wp14:editId="670A7516">
                <wp:simplePos x="0" y="0"/>
                <wp:positionH relativeFrom="column">
                  <wp:posOffset>6076315</wp:posOffset>
                </wp:positionH>
                <wp:positionV relativeFrom="paragraph">
                  <wp:posOffset>3420745</wp:posOffset>
                </wp:positionV>
                <wp:extent cx="2466296" cy="276446"/>
                <wp:effectExtent l="0" t="0" r="0" b="0"/>
                <wp:wrapNone/>
                <wp:docPr id="7" name="Text Box 7"/>
                <wp:cNvGraphicFramePr/>
                <a:graphic xmlns:a="http://schemas.openxmlformats.org/drawingml/2006/main">
                  <a:graphicData uri="http://schemas.microsoft.com/office/word/2010/wordprocessingShape">
                    <wps:wsp>
                      <wps:cNvSpPr txBox="1"/>
                      <wps:spPr>
                        <a:xfrm>
                          <a:off x="0" y="0"/>
                          <a:ext cx="2466296" cy="276446"/>
                        </a:xfrm>
                        <a:prstGeom prst="rect">
                          <a:avLst/>
                        </a:prstGeom>
                        <a:noFill/>
                        <a:ln w="6350">
                          <a:noFill/>
                        </a:ln>
                      </wps:spPr>
                      <wps:txbx>
                        <w:txbxContent>
                          <w:p w14:paraId="321B2818" w14:textId="77777777" w:rsidR="00036D7F" w:rsidRPr="0084647E" w:rsidRDefault="00036D7F" w:rsidP="0084647E">
                            <w:pPr>
                              <w:rPr>
                                <w:rFonts w:asciiTheme="majorHAnsi" w:hAnsiTheme="majorHAnsi" w:cstheme="majorHAnsi"/>
                                <w:b/>
                                <w:bCs/>
                                <w:lang w:val="ro-RO"/>
                              </w:rPr>
                            </w:pPr>
                            <w:r w:rsidRPr="0084647E">
                              <w:rPr>
                                <w:rFonts w:asciiTheme="majorHAnsi" w:hAnsiTheme="majorHAnsi" w:cstheme="majorHAnsi"/>
                                <w:b/>
                                <w:bCs/>
                                <w:lang w:val="ro-RO"/>
                              </w:rPr>
                              <w:t>Teritoriul din partea dreaptă a r. Nistru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F48F1" id="_x0000_t202" coordsize="21600,21600" o:spt="202" path="m,l,21600r21600,l21600,xe">
                <v:stroke joinstyle="miter"/>
                <v:path gradientshapeok="t" o:connecttype="rect"/>
              </v:shapetype>
              <v:shape id="Text Box 7" o:spid="_x0000_s1026" type="#_x0000_t202" style="position:absolute;left:0;text-align:left;margin-left:478.45pt;margin-top:269.35pt;width:194.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" filled="f" stroked="f" strokeweight=".5pt">
                <v:textbox>
                  <w:txbxContent>
                    <w:p w14:paraId="321B2818" w14:textId="77777777" w:rsidR="00036D7F" w:rsidRPr="0084647E" w:rsidRDefault="00036D7F" w:rsidP="0084647E">
                      <w:pPr>
                        <w:rPr>
                          <w:rFonts w:asciiTheme="majorHAnsi" w:hAnsiTheme="majorHAnsi" w:cstheme="majorHAnsi"/>
                          <w:b/>
                          <w:bCs/>
                          <w:lang w:val="ro-RO"/>
                        </w:rPr>
                      </w:pPr>
                      <w:r w:rsidRPr="0084647E">
                        <w:rPr>
                          <w:rFonts w:asciiTheme="majorHAnsi" w:hAnsiTheme="majorHAnsi" w:cstheme="majorHAnsi"/>
                          <w:b/>
                          <w:bCs/>
                          <w:lang w:val="ro-RO"/>
                        </w:rPr>
                        <w:t>Teritoriul din partea dreaptă a r. Nistru</w:t>
                      </w:r>
                    </w:p>
                  </w:txbxContent>
                </v:textbox>
              </v:shape>
            </w:pict>
          </mc:Fallback>
        </mc:AlternateContent>
      </w:r>
      <w:r w:rsidRPr="009772A3">
        <w:rPr>
          <w:rFonts w:asciiTheme="majorHAnsi" w:hAnsiTheme="majorHAnsi" w:cstheme="majorHAnsi"/>
          <w:b/>
          <w:bCs/>
          <w:noProof/>
          <w:sz w:val="24"/>
          <w:szCs w:val="24"/>
        </w:rPr>
        <mc:AlternateContent>
          <mc:Choice Requires="wps">
            <w:drawing>
              <wp:anchor distT="0" distB="0" distL="114300" distR="114300" simplePos="0" relativeHeight="251666432" behindDoc="0" locked="0" layoutInCell="1" allowOverlap="1" wp14:anchorId="00F0F14C" wp14:editId="0D54DF73">
                <wp:simplePos x="0" y="0"/>
                <wp:positionH relativeFrom="column">
                  <wp:posOffset>6108815</wp:posOffset>
                </wp:positionH>
                <wp:positionV relativeFrom="paragraph">
                  <wp:posOffset>4567382</wp:posOffset>
                </wp:positionV>
                <wp:extent cx="2466296" cy="276446"/>
                <wp:effectExtent l="0" t="0" r="0" b="0"/>
                <wp:wrapNone/>
                <wp:docPr id="9" name="Text Box 9"/>
                <wp:cNvGraphicFramePr/>
                <a:graphic xmlns:a="http://schemas.openxmlformats.org/drawingml/2006/main">
                  <a:graphicData uri="http://schemas.microsoft.com/office/word/2010/wordprocessingShape">
                    <wps:wsp>
                      <wps:cNvSpPr txBox="1"/>
                      <wps:spPr>
                        <a:xfrm>
                          <a:off x="0" y="0"/>
                          <a:ext cx="2466296" cy="276446"/>
                        </a:xfrm>
                        <a:prstGeom prst="rect">
                          <a:avLst/>
                        </a:prstGeom>
                        <a:noFill/>
                        <a:ln w="6350">
                          <a:noFill/>
                        </a:ln>
                      </wps:spPr>
                      <wps:txbx>
                        <w:txbxContent>
                          <w:p w14:paraId="6F268249" w14:textId="2226808C" w:rsidR="00036D7F" w:rsidRPr="00127BD6" w:rsidRDefault="00036D7F" w:rsidP="0084647E">
                            <w:pPr>
                              <w:rPr>
                                <w:b/>
                                <w:bCs/>
                                <w:lang w:val="ro-RO"/>
                              </w:rPr>
                            </w:pPr>
                            <w:r w:rsidRPr="00127BD6">
                              <w:rPr>
                                <w:b/>
                                <w:bCs/>
                                <w:lang w:val="ro-RO"/>
                              </w:rPr>
                              <w:t>Te</w:t>
                            </w:r>
                            <w:r>
                              <w:rPr>
                                <w:b/>
                                <w:bCs/>
                                <w:lang w:val="ro-RO"/>
                              </w:rPr>
                              <w:t>ritoriul din partea stângă a r.</w:t>
                            </w:r>
                            <w:r w:rsidRPr="00127BD6">
                              <w:rPr>
                                <w:b/>
                                <w:bCs/>
                                <w:lang w:val="ro-RO"/>
                              </w:rPr>
                              <w:t>Nistru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F14C" id="Text Box 9" o:spid="_x0000_s1027" type="#_x0000_t202" style="position:absolute;left:0;text-align:left;margin-left:481pt;margin-top:359.65pt;width:194.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" filled="f" stroked="f" strokeweight=".5pt">
                <v:textbox>
                  <w:txbxContent>
                    <w:p w14:paraId="6F268249" w14:textId="2226808C" w:rsidR="00036D7F" w:rsidRPr="00127BD6" w:rsidRDefault="00036D7F" w:rsidP="0084647E">
                      <w:pPr>
                        <w:rPr>
                          <w:b/>
                          <w:bCs/>
                          <w:lang w:val="ro-RO"/>
                        </w:rPr>
                      </w:pPr>
                      <w:r w:rsidRPr="00127BD6">
                        <w:rPr>
                          <w:b/>
                          <w:bCs/>
                          <w:lang w:val="ro-RO"/>
                        </w:rPr>
                        <w:t>Te</w:t>
                      </w:r>
                      <w:r>
                        <w:rPr>
                          <w:b/>
                          <w:bCs/>
                          <w:lang w:val="ro-RO"/>
                        </w:rPr>
                        <w:t>ritoriul din partea stângă a r.</w:t>
                      </w:r>
                      <w:r w:rsidRPr="00127BD6">
                        <w:rPr>
                          <w:b/>
                          <w:bCs/>
                          <w:lang w:val="ro-RO"/>
                        </w:rPr>
                        <w:t>Nistru</w:t>
                      </w:r>
                    </w:p>
                  </w:txbxContent>
                </v:textbox>
              </v:shape>
            </w:pict>
          </mc:Fallback>
        </mc:AlternateContent>
      </w:r>
      <w:r w:rsidRPr="009772A3">
        <w:rPr>
          <w:rFonts w:asciiTheme="majorHAnsi" w:hAnsiTheme="majorHAnsi" w:cstheme="majorHAnsi"/>
          <w:b/>
          <w:bCs/>
          <w:noProof/>
          <w:sz w:val="24"/>
          <w:szCs w:val="24"/>
        </w:rPr>
        <mc:AlternateContent>
          <mc:Choice Requires="wps">
            <w:drawing>
              <wp:anchor distT="0" distB="0" distL="114300" distR="114300" simplePos="0" relativeHeight="251656192" behindDoc="1" locked="0" layoutInCell="1" allowOverlap="1" wp14:anchorId="448C07E5" wp14:editId="7206AEA0">
                <wp:simplePos x="0" y="0"/>
                <wp:positionH relativeFrom="margin">
                  <wp:align>left</wp:align>
                </wp:positionH>
                <wp:positionV relativeFrom="paragraph">
                  <wp:posOffset>4043565</wp:posOffset>
                </wp:positionV>
                <wp:extent cx="8831753" cy="1212099"/>
                <wp:effectExtent l="0" t="0" r="26670" b="26670"/>
                <wp:wrapNone/>
                <wp:docPr id="6" name="Rounded Rectangle 6"/>
                <wp:cNvGraphicFramePr/>
                <a:graphic xmlns:a="http://schemas.openxmlformats.org/drawingml/2006/main">
                  <a:graphicData uri="http://schemas.microsoft.com/office/word/2010/wordprocessingShape">
                    <wps:wsp>
                      <wps:cNvSpPr/>
                      <wps:spPr>
                        <a:xfrm>
                          <a:off x="0" y="0"/>
                          <a:ext cx="8831753" cy="1212099"/>
                        </a:xfrm>
                        <a:prstGeom prst="roundRect">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7BA74" id="Rounded Rectangle 6" o:spid="_x0000_s1026" style="position:absolute;margin-left:0;margin-top:318.4pt;width:695.4pt;height:9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" fillcolor="#f7caac [1301]" strokecolor="#41719c" strokeweight="1pt">
                <v:stroke joinstyle="miter"/>
                <w10:wrap anchorx="margin"/>
              </v:roundrect>
            </w:pict>
          </mc:Fallback>
        </mc:AlternateContent>
      </w:r>
      <w:r w:rsidR="008A552D" w:rsidRPr="009772A3">
        <w:rPr>
          <w:rFonts w:asciiTheme="majorHAnsi" w:hAnsiTheme="majorHAnsi" w:cstheme="majorHAnsi"/>
          <w:b/>
          <w:bCs/>
          <w:noProof/>
          <w:sz w:val="24"/>
          <w:szCs w:val="24"/>
        </w:rPr>
        <mc:AlternateContent>
          <mc:Choice Requires="wps">
            <w:drawing>
              <wp:anchor distT="0" distB="0" distL="114300" distR="114300" simplePos="0" relativeHeight="251651072" behindDoc="1" locked="0" layoutInCell="1" allowOverlap="1" wp14:anchorId="0B234A08" wp14:editId="11FED308">
                <wp:simplePos x="0" y="0"/>
                <wp:positionH relativeFrom="margin">
                  <wp:align>left</wp:align>
                </wp:positionH>
                <wp:positionV relativeFrom="paragraph">
                  <wp:posOffset>1480474</wp:posOffset>
                </wp:positionV>
                <wp:extent cx="8797637" cy="2462834"/>
                <wp:effectExtent l="0" t="0" r="22860" b="13970"/>
                <wp:wrapNone/>
                <wp:docPr id="5" name="Rounded Rectangle 5"/>
                <wp:cNvGraphicFramePr/>
                <a:graphic xmlns:a="http://schemas.openxmlformats.org/drawingml/2006/main">
                  <a:graphicData uri="http://schemas.microsoft.com/office/word/2010/wordprocessingShape">
                    <wps:wsp>
                      <wps:cNvSpPr/>
                      <wps:spPr>
                        <a:xfrm>
                          <a:off x="0" y="0"/>
                          <a:ext cx="8797637" cy="2462834"/>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895BC" id="Rounded Rectangle 5" o:spid="_x0000_s1026" style="position:absolute;margin-left:0;margin-top:116.55pt;width:692.75pt;height:193.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" fillcolor="yellow" strokecolor="#1f4d78 [1604]" strokeweight="1pt">
                <v:stroke joinstyle="miter"/>
                <w10:wrap anchorx="margin"/>
              </v:roundrect>
            </w:pict>
          </mc:Fallback>
        </mc:AlternateContent>
      </w:r>
      <w:r w:rsidR="0084647E" w:rsidRPr="009772A3">
        <w:rPr>
          <w:rFonts w:asciiTheme="majorHAnsi" w:hAnsiTheme="majorHAnsi" w:cstheme="majorHAnsi"/>
          <w:b/>
          <w:bCs/>
          <w:noProof/>
          <w:sz w:val="24"/>
          <w:szCs w:val="24"/>
        </w:rPr>
        <w:drawing>
          <wp:inline distT="0" distB="0" distL="0" distR="0" wp14:anchorId="682ABD04" wp14:editId="0CDBBC74">
            <wp:extent cx="8915400" cy="5216237"/>
            <wp:effectExtent l="0" t="0" r="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DB88971" w14:textId="03278109" w:rsidR="0084647E" w:rsidRPr="009772A3" w:rsidRDefault="0084647E" w:rsidP="005723EF">
      <w:pPr>
        <w:spacing w:line="259" w:lineRule="auto"/>
        <w:rPr>
          <w:lang w:val="ro-MD"/>
        </w:rPr>
        <w:sectPr w:rsidR="0084647E" w:rsidRPr="009772A3" w:rsidSect="0084647E">
          <w:pgSz w:w="16838" w:h="11906" w:orient="landscape"/>
          <w:pgMar w:top="1701" w:right="1140" w:bottom="851" w:left="1418" w:header="720" w:footer="720" w:gutter="0"/>
          <w:cols w:space="720"/>
        </w:sectPr>
      </w:pPr>
    </w:p>
    <w:p w14:paraId="66A74764" w14:textId="2D6ECBE3" w:rsidR="005F22BE" w:rsidRPr="009772A3" w:rsidRDefault="00BE2D59" w:rsidP="00BE2D59">
      <w:pPr>
        <w:pStyle w:val="Heading2"/>
        <w:jc w:val="center"/>
        <w:rPr>
          <w:color w:val="auto"/>
          <w:lang w:val="ro-MD"/>
        </w:rPr>
      </w:pPr>
      <w:bookmarkStart w:id="299" w:name="_Toc119496484"/>
      <w:r w:rsidRPr="009772A3">
        <w:rPr>
          <w:color w:val="auto"/>
          <w:lang w:val="ro-MD"/>
        </w:rPr>
        <w:t>Anexa nr.3. Structura patrimonial-financiară a grupului de întreprinderi al SA Moldovagaz</w:t>
      </w:r>
      <w:bookmarkEnd w:id="299"/>
    </w:p>
    <w:p w14:paraId="0452C545" w14:textId="30C871CE" w:rsidR="00BE2D59" w:rsidRPr="009772A3" w:rsidRDefault="00BE2D59" w:rsidP="00BE2D59">
      <w:pPr>
        <w:rPr>
          <w:lang w:val="ro-MD"/>
        </w:rPr>
      </w:pPr>
    </w:p>
    <w:p w14:paraId="14C2B0B3" w14:textId="47722E50" w:rsidR="00BC3143" w:rsidRPr="009772A3" w:rsidRDefault="00BC3143" w:rsidP="00BC3143">
      <w:pPr>
        <w:jc w:val="center"/>
        <w:rPr>
          <w:rFonts w:asciiTheme="majorHAnsi" w:hAnsiTheme="majorHAnsi" w:cstheme="majorHAnsi"/>
          <w:b/>
          <w:sz w:val="24"/>
          <w:szCs w:val="24"/>
          <w:lang w:val="ro-MD"/>
        </w:rPr>
      </w:pPr>
      <w:r w:rsidRPr="009772A3">
        <w:rPr>
          <w:rFonts w:asciiTheme="majorHAnsi" w:hAnsiTheme="majorHAnsi" w:cstheme="majorHAnsi"/>
          <w:b/>
          <w:sz w:val="24"/>
          <w:szCs w:val="24"/>
          <w:lang w:val="ro-MD"/>
        </w:rPr>
        <w:t>Situația patromonială consolidată a grupului de întreprinderi al SA Moldovagaz</w:t>
      </w:r>
    </w:p>
    <w:p w14:paraId="1FB4C1B2" w14:textId="77777777" w:rsidR="00EF0924" w:rsidRPr="009772A3" w:rsidRDefault="00EF0924" w:rsidP="00EF0924">
      <w:pPr>
        <w:spacing w:after="0" w:line="257" w:lineRule="auto"/>
        <w:jc w:val="right"/>
        <w:rPr>
          <w:rFonts w:asciiTheme="majorHAnsi" w:hAnsiTheme="majorHAnsi" w:cstheme="majorHAnsi"/>
          <w:sz w:val="24"/>
          <w:szCs w:val="24"/>
          <w:lang w:val="ro-MD"/>
        </w:rPr>
      </w:pPr>
      <w:r w:rsidRPr="009772A3">
        <w:rPr>
          <w:rFonts w:asciiTheme="majorHAnsi" w:hAnsiTheme="majorHAnsi" w:cstheme="majorHAnsi"/>
          <w:sz w:val="24"/>
          <w:szCs w:val="24"/>
          <w:lang w:val="ro-MD"/>
        </w:rPr>
        <w:t>(mii lei)</w:t>
      </w:r>
    </w:p>
    <w:tbl>
      <w:tblPr>
        <w:tblStyle w:val="PlainTable11"/>
        <w:tblW w:w="10097" w:type="dxa"/>
        <w:tblInd w:w="-856" w:type="dxa"/>
        <w:tblLayout w:type="fixed"/>
        <w:tblLook w:val="04A0" w:firstRow="1" w:lastRow="0" w:firstColumn="1" w:lastColumn="0" w:noHBand="0" w:noVBand="1"/>
      </w:tblPr>
      <w:tblGrid>
        <w:gridCol w:w="567"/>
        <w:gridCol w:w="2552"/>
        <w:gridCol w:w="1134"/>
        <w:gridCol w:w="1134"/>
        <w:gridCol w:w="1134"/>
        <w:gridCol w:w="1134"/>
        <w:gridCol w:w="1134"/>
        <w:gridCol w:w="1282"/>
        <w:gridCol w:w="26"/>
      </w:tblGrid>
      <w:tr w:rsidR="00193733" w:rsidRPr="009772A3" w14:paraId="7EFA5BCE" w14:textId="77777777" w:rsidTr="00CF3AD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97" w:type="dxa"/>
            <w:gridSpan w:val="9"/>
            <w:shd w:val="clear" w:color="auto" w:fill="DEEAF6" w:themeFill="accent1" w:themeFillTint="33"/>
            <w:noWrap/>
            <w:hideMark/>
          </w:tcPr>
          <w:p w14:paraId="7BAB8AD7" w14:textId="58DD53DE" w:rsidR="00193733" w:rsidRPr="009772A3" w:rsidRDefault="00193733" w:rsidP="003D4236">
            <w:pPr>
              <w:ind w:left="35" w:hanging="35"/>
              <w:jc w:val="center"/>
              <w:rPr>
                <w:rFonts w:asciiTheme="majorHAnsi" w:eastAsia="Times New Roman" w:hAnsiTheme="majorHAnsi" w:cstheme="majorHAnsi"/>
                <w:i/>
                <w:iCs/>
                <w:sz w:val="20"/>
                <w:szCs w:val="18"/>
                <w:lang w:val="ro-MD"/>
              </w:rPr>
            </w:pPr>
            <w:r w:rsidRPr="009772A3">
              <w:rPr>
                <w:rFonts w:asciiTheme="majorHAnsi" w:eastAsia="Times New Roman" w:hAnsiTheme="majorHAnsi" w:cstheme="majorHAnsi"/>
                <w:i/>
                <w:iCs/>
                <w:sz w:val="20"/>
                <w:szCs w:val="18"/>
                <w:lang w:val="ro-MD"/>
              </w:rPr>
              <w:t>Bilanțul contabil consolidat pentru anii 2016-2021</w:t>
            </w:r>
          </w:p>
        </w:tc>
      </w:tr>
      <w:tr w:rsidR="00193733" w:rsidRPr="009772A3" w14:paraId="6685EDA8" w14:textId="77777777" w:rsidTr="00CF3A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97" w:type="dxa"/>
            <w:gridSpan w:val="9"/>
            <w:hideMark/>
          </w:tcPr>
          <w:p w14:paraId="65A0D7DC" w14:textId="542BE8F8" w:rsidR="00193733" w:rsidRPr="009772A3" w:rsidRDefault="00193733" w:rsidP="003D4236">
            <w:pPr>
              <w:jc w:val="center"/>
              <w:rPr>
                <w:rFonts w:asciiTheme="majorHAnsi" w:eastAsia="Times New Roman" w:hAnsiTheme="majorHAnsi" w:cstheme="majorHAnsi"/>
                <w:i/>
                <w:iCs/>
                <w:sz w:val="20"/>
                <w:szCs w:val="18"/>
                <w:lang w:val="ro-MD"/>
              </w:rPr>
            </w:pPr>
            <w:r w:rsidRPr="009772A3">
              <w:rPr>
                <w:rFonts w:asciiTheme="majorHAnsi" w:eastAsia="Times New Roman" w:hAnsiTheme="majorHAnsi" w:cstheme="majorHAnsi"/>
                <w:i/>
                <w:iCs/>
                <w:sz w:val="20"/>
                <w:szCs w:val="18"/>
                <w:lang w:val="ro-MD"/>
              </w:rPr>
              <w:t xml:space="preserve">Analiza evoluției și analiza structurală a elementelor patrimoniului consolidat </w:t>
            </w:r>
            <w:r w:rsidR="003D4236" w:rsidRPr="009772A3">
              <w:rPr>
                <w:rFonts w:asciiTheme="majorHAnsi" w:eastAsia="Times New Roman" w:hAnsiTheme="majorHAnsi" w:cstheme="majorHAnsi"/>
                <w:i/>
                <w:iCs/>
                <w:sz w:val="20"/>
                <w:szCs w:val="18"/>
                <w:lang w:val="ro-MD"/>
              </w:rPr>
              <w:t xml:space="preserve">al </w:t>
            </w:r>
            <w:r w:rsidRPr="009772A3">
              <w:rPr>
                <w:rFonts w:asciiTheme="majorHAnsi" w:eastAsia="Times New Roman" w:hAnsiTheme="majorHAnsi" w:cstheme="majorHAnsi"/>
                <w:i/>
                <w:iCs/>
                <w:sz w:val="20"/>
                <w:szCs w:val="18"/>
                <w:lang w:val="ro-MD"/>
              </w:rPr>
              <w:t>SA Moldovagaz</w:t>
            </w:r>
            <w:r w:rsidRPr="009772A3">
              <w:rPr>
                <w:rFonts w:asciiTheme="majorHAnsi" w:eastAsia="Times New Roman" w:hAnsiTheme="majorHAnsi" w:cstheme="majorHAnsi"/>
                <w:i/>
                <w:iCs/>
                <w:sz w:val="20"/>
                <w:szCs w:val="18"/>
                <w:lang w:val="ro-MD"/>
              </w:rPr>
              <w:br/>
              <w:t xml:space="preserve">  pentru an</w:t>
            </w:r>
            <w:r w:rsidR="003D4236" w:rsidRPr="009772A3">
              <w:rPr>
                <w:rFonts w:asciiTheme="majorHAnsi" w:eastAsia="Times New Roman" w:hAnsiTheme="majorHAnsi" w:cstheme="majorHAnsi"/>
                <w:i/>
                <w:iCs/>
                <w:sz w:val="20"/>
                <w:szCs w:val="18"/>
                <w:lang w:val="ro-MD"/>
              </w:rPr>
              <w:t>ii</w:t>
            </w:r>
            <w:r w:rsidRPr="009772A3">
              <w:rPr>
                <w:rFonts w:asciiTheme="majorHAnsi" w:eastAsia="Times New Roman" w:hAnsiTheme="majorHAnsi" w:cstheme="majorHAnsi"/>
                <w:i/>
                <w:iCs/>
                <w:sz w:val="20"/>
                <w:szCs w:val="18"/>
                <w:lang w:val="ro-MD"/>
              </w:rPr>
              <w:t xml:space="preserve"> 2016-2021</w:t>
            </w:r>
          </w:p>
        </w:tc>
      </w:tr>
      <w:tr w:rsidR="00193733" w:rsidRPr="009772A3" w14:paraId="47572753" w14:textId="77777777" w:rsidTr="00CF3AD4">
        <w:trPr>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hideMark/>
          </w:tcPr>
          <w:p w14:paraId="3AFB44F6" w14:textId="77777777" w:rsidR="00193733" w:rsidRPr="009772A3" w:rsidRDefault="00193733" w:rsidP="00193733">
            <w:pPr>
              <w:ind w:left="-138" w:firstLine="138"/>
              <w:jc w:val="cente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Nr.cpt.</w:t>
            </w:r>
          </w:p>
        </w:tc>
        <w:tc>
          <w:tcPr>
            <w:tcW w:w="2552" w:type="dxa"/>
            <w:vMerge w:val="restart"/>
            <w:hideMark/>
          </w:tcPr>
          <w:p w14:paraId="54915FAB" w14:textId="77777777" w:rsidR="00193733" w:rsidRPr="009772A3" w:rsidRDefault="00193733" w:rsidP="00DE3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Denumirea indicatorului</w:t>
            </w:r>
          </w:p>
        </w:tc>
        <w:tc>
          <w:tcPr>
            <w:tcW w:w="6978" w:type="dxa"/>
            <w:gridSpan w:val="7"/>
            <w:hideMark/>
          </w:tcPr>
          <w:p w14:paraId="680FF5D7" w14:textId="77777777" w:rsidR="00193733" w:rsidRPr="009772A3" w:rsidRDefault="00193733" w:rsidP="00DE3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PERIOADA</w:t>
            </w:r>
          </w:p>
        </w:tc>
      </w:tr>
      <w:tr w:rsidR="00193733" w:rsidRPr="009772A3" w14:paraId="36B29682"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58C7C6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vMerge/>
            <w:hideMark/>
          </w:tcPr>
          <w:p w14:paraId="298D9925"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p>
        </w:tc>
        <w:tc>
          <w:tcPr>
            <w:tcW w:w="1134" w:type="dxa"/>
            <w:hideMark/>
          </w:tcPr>
          <w:p w14:paraId="3838E18E" w14:textId="77777777" w:rsidR="00193733" w:rsidRPr="009772A3" w:rsidRDefault="00193733"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2016</w:t>
            </w:r>
          </w:p>
        </w:tc>
        <w:tc>
          <w:tcPr>
            <w:tcW w:w="1134" w:type="dxa"/>
            <w:hideMark/>
          </w:tcPr>
          <w:p w14:paraId="7931D881" w14:textId="77777777" w:rsidR="00193733" w:rsidRPr="009772A3" w:rsidRDefault="00193733"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2017</w:t>
            </w:r>
          </w:p>
        </w:tc>
        <w:tc>
          <w:tcPr>
            <w:tcW w:w="1134" w:type="dxa"/>
            <w:hideMark/>
          </w:tcPr>
          <w:p w14:paraId="084BB77D" w14:textId="77777777" w:rsidR="00193733" w:rsidRPr="009772A3" w:rsidRDefault="00193733"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2018</w:t>
            </w:r>
          </w:p>
        </w:tc>
        <w:tc>
          <w:tcPr>
            <w:tcW w:w="1134" w:type="dxa"/>
            <w:hideMark/>
          </w:tcPr>
          <w:p w14:paraId="5BCAFC2B" w14:textId="77777777" w:rsidR="00193733" w:rsidRPr="009772A3" w:rsidRDefault="00193733"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2019</w:t>
            </w:r>
          </w:p>
        </w:tc>
        <w:tc>
          <w:tcPr>
            <w:tcW w:w="1134" w:type="dxa"/>
            <w:hideMark/>
          </w:tcPr>
          <w:p w14:paraId="1538DB96" w14:textId="77777777" w:rsidR="00193733" w:rsidRPr="009772A3" w:rsidRDefault="00193733"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2020</w:t>
            </w:r>
          </w:p>
        </w:tc>
        <w:tc>
          <w:tcPr>
            <w:tcW w:w="1282" w:type="dxa"/>
            <w:hideMark/>
          </w:tcPr>
          <w:p w14:paraId="414CB46D" w14:textId="77777777" w:rsidR="00193733" w:rsidRPr="009772A3" w:rsidRDefault="00193733"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2021</w:t>
            </w:r>
          </w:p>
        </w:tc>
      </w:tr>
      <w:tr w:rsidR="00193733" w:rsidRPr="009772A3" w14:paraId="416E5512"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7C44DC0E" w14:textId="77777777" w:rsidR="00193733" w:rsidRPr="009772A3" w:rsidRDefault="00193733" w:rsidP="00DE381A">
            <w:pPr>
              <w:jc w:val="cente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A</w:t>
            </w:r>
          </w:p>
        </w:tc>
        <w:tc>
          <w:tcPr>
            <w:tcW w:w="2552" w:type="dxa"/>
            <w:hideMark/>
          </w:tcPr>
          <w:p w14:paraId="78BAF553"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 Imobilizări necorporale </w:t>
            </w:r>
            <w:r w:rsidRPr="009772A3">
              <w:rPr>
                <w:rFonts w:asciiTheme="majorHAnsi" w:eastAsia="Times New Roman" w:hAnsiTheme="majorHAnsi" w:cstheme="majorHAnsi"/>
                <w:i/>
                <w:iCs/>
                <w:sz w:val="16"/>
                <w:szCs w:val="18"/>
                <w:lang w:val="ro-MD"/>
              </w:rPr>
              <w:t>(rd.010+rd.020+rd.030+rd.040)</w:t>
            </w:r>
          </w:p>
        </w:tc>
        <w:tc>
          <w:tcPr>
            <w:tcW w:w="1134" w:type="dxa"/>
            <w:hideMark/>
          </w:tcPr>
          <w:p w14:paraId="3762754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147,86</w:t>
            </w:r>
          </w:p>
        </w:tc>
        <w:tc>
          <w:tcPr>
            <w:tcW w:w="1134" w:type="dxa"/>
            <w:hideMark/>
          </w:tcPr>
          <w:p w14:paraId="5738FB1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173,94</w:t>
            </w:r>
          </w:p>
        </w:tc>
        <w:tc>
          <w:tcPr>
            <w:tcW w:w="1134" w:type="dxa"/>
            <w:hideMark/>
          </w:tcPr>
          <w:p w14:paraId="40051E8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149,80</w:t>
            </w:r>
          </w:p>
        </w:tc>
        <w:tc>
          <w:tcPr>
            <w:tcW w:w="1134" w:type="dxa"/>
            <w:hideMark/>
          </w:tcPr>
          <w:p w14:paraId="1F703ED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125,12</w:t>
            </w:r>
          </w:p>
        </w:tc>
        <w:tc>
          <w:tcPr>
            <w:tcW w:w="1134" w:type="dxa"/>
            <w:hideMark/>
          </w:tcPr>
          <w:p w14:paraId="3026866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112,56</w:t>
            </w:r>
          </w:p>
        </w:tc>
        <w:tc>
          <w:tcPr>
            <w:tcW w:w="1282" w:type="dxa"/>
            <w:hideMark/>
          </w:tcPr>
          <w:p w14:paraId="50FE28C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98,70</w:t>
            </w:r>
          </w:p>
        </w:tc>
      </w:tr>
      <w:tr w:rsidR="00193733" w:rsidRPr="009772A3" w14:paraId="614F094A"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0C26F07"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E2A3110"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1.Imobilizări necorporale în curs de execuție </w:t>
            </w:r>
          </w:p>
        </w:tc>
        <w:tc>
          <w:tcPr>
            <w:tcW w:w="1134" w:type="dxa"/>
            <w:hideMark/>
          </w:tcPr>
          <w:p w14:paraId="33A924A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AEF0B0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F8703E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9AC9DC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E2E1A1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2.922,81</w:t>
            </w:r>
          </w:p>
        </w:tc>
        <w:tc>
          <w:tcPr>
            <w:tcW w:w="1282" w:type="dxa"/>
            <w:hideMark/>
          </w:tcPr>
          <w:p w14:paraId="39AA9CD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4.649,06</w:t>
            </w:r>
          </w:p>
        </w:tc>
      </w:tr>
      <w:tr w:rsidR="00193733" w:rsidRPr="009772A3" w14:paraId="1D134889"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0245664"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D13137D" w14:textId="01C85EEA" w:rsidR="00193733" w:rsidRPr="009772A3" w:rsidRDefault="00193733" w:rsidP="003D42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2.Imobilizări necorporale în exploatare, total</w:t>
            </w:r>
            <w:r w:rsidR="003D4236" w:rsidRPr="009772A3">
              <w:rPr>
                <w:rFonts w:asciiTheme="majorHAnsi" w:eastAsia="Times New Roman" w:hAnsiTheme="majorHAnsi" w:cstheme="majorHAnsi"/>
                <w:sz w:val="16"/>
                <w:szCs w:val="18"/>
                <w:lang w:val="ro-MD"/>
              </w:rPr>
              <w:t>,</w:t>
            </w:r>
            <w:r w:rsidRPr="009772A3">
              <w:rPr>
                <w:rFonts w:asciiTheme="majorHAnsi" w:eastAsia="Times New Roman" w:hAnsiTheme="majorHAnsi" w:cstheme="majorHAnsi"/>
                <w:sz w:val="16"/>
                <w:szCs w:val="18"/>
                <w:lang w:val="ro-MD"/>
              </w:rPr>
              <w:t xml:space="preserve"> din care: </w:t>
            </w:r>
          </w:p>
        </w:tc>
        <w:tc>
          <w:tcPr>
            <w:tcW w:w="1134" w:type="dxa"/>
            <w:hideMark/>
          </w:tcPr>
          <w:p w14:paraId="5FDFA87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147.856,14</w:t>
            </w:r>
          </w:p>
        </w:tc>
        <w:tc>
          <w:tcPr>
            <w:tcW w:w="1134" w:type="dxa"/>
            <w:hideMark/>
          </w:tcPr>
          <w:p w14:paraId="224E68B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173.937,18</w:t>
            </w:r>
          </w:p>
        </w:tc>
        <w:tc>
          <w:tcPr>
            <w:tcW w:w="1134" w:type="dxa"/>
            <w:hideMark/>
          </w:tcPr>
          <w:p w14:paraId="3513467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149.795,09</w:t>
            </w:r>
          </w:p>
        </w:tc>
        <w:tc>
          <w:tcPr>
            <w:tcW w:w="1134" w:type="dxa"/>
            <w:hideMark/>
          </w:tcPr>
          <w:p w14:paraId="3F83EA6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125.120,70</w:t>
            </w:r>
          </w:p>
        </w:tc>
        <w:tc>
          <w:tcPr>
            <w:tcW w:w="1134" w:type="dxa"/>
            <w:hideMark/>
          </w:tcPr>
          <w:p w14:paraId="42C32AD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109.568,63</w:t>
            </w:r>
          </w:p>
        </w:tc>
        <w:tc>
          <w:tcPr>
            <w:tcW w:w="1282" w:type="dxa"/>
            <w:hideMark/>
          </w:tcPr>
          <w:p w14:paraId="5450066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94.042,62</w:t>
            </w:r>
          </w:p>
        </w:tc>
      </w:tr>
      <w:tr w:rsidR="00193733" w:rsidRPr="009772A3" w14:paraId="53519BB9"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7D26772"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DD73251" w14:textId="7EEDE456" w:rsidR="00193733" w:rsidRPr="009772A3" w:rsidRDefault="00193733" w:rsidP="003D42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2.1 concesiuni, licențe și mărci</w:t>
            </w:r>
          </w:p>
        </w:tc>
        <w:tc>
          <w:tcPr>
            <w:tcW w:w="1134" w:type="dxa"/>
            <w:hideMark/>
          </w:tcPr>
          <w:p w14:paraId="33B2263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470EF2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B94CAC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634BD1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1046F20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12.063,75</w:t>
            </w:r>
          </w:p>
        </w:tc>
        <w:tc>
          <w:tcPr>
            <w:tcW w:w="1282" w:type="dxa"/>
            <w:hideMark/>
          </w:tcPr>
          <w:p w14:paraId="0CC0964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12.331,88</w:t>
            </w:r>
          </w:p>
        </w:tc>
      </w:tr>
      <w:tr w:rsidR="00193733" w:rsidRPr="009772A3" w14:paraId="596712AF"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CCFED0F"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FC64505"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xml:space="preserve">2.2 drepturi de autor și titluri de protecție </w:t>
            </w:r>
          </w:p>
        </w:tc>
        <w:tc>
          <w:tcPr>
            <w:tcW w:w="1134" w:type="dxa"/>
            <w:hideMark/>
          </w:tcPr>
          <w:p w14:paraId="0452B24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38EF38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E20C3A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9FDC5A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7793E95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282" w:type="dxa"/>
            <w:hideMark/>
          </w:tcPr>
          <w:p w14:paraId="006C64E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65ABC047"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244A29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E1E1FB7"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xml:space="preserve">2.3 programe informatice </w:t>
            </w:r>
          </w:p>
        </w:tc>
        <w:tc>
          <w:tcPr>
            <w:tcW w:w="1134" w:type="dxa"/>
            <w:hideMark/>
          </w:tcPr>
          <w:p w14:paraId="64B3BDC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E84060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9E7539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A7EB20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39809F2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90.293,24</w:t>
            </w:r>
          </w:p>
        </w:tc>
        <w:tc>
          <w:tcPr>
            <w:tcW w:w="1282" w:type="dxa"/>
            <w:hideMark/>
          </w:tcPr>
          <w:p w14:paraId="166617C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75.676,84</w:t>
            </w:r>
          </w:p>
        </w:tc>
      </w:tr>
      <w:tr w:rsidR="00193733" w:rsidRPr="009772A3" w14:paraId="3765AB2B"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8FC5576"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53675866"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2.4 alte imobilizări necorporale</w:t>
            </w:r>
          </w:p>
        </w:tc>
        <w:tc>
          <w:tcPr>
            <w:tcW w:w="1134" w:type="dxa"/>
            <w:hideMark/>
          </w:tcPr>
          <w:p w14:paraId="3EB7144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092A03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41A554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147183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7F795E2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7.211,63</w:t>
            </w:r>
          </w:p>
        </w:tc>
        <w:tc>
          <w:tcPr>
            <w:tcW w:w="1282" w:type="dxa"/>
            <w:hideMark/>
          </w:tcPr>
          <w:p w14:paraId="6E1F073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6.033,89</w:t>
            </w:r>
          </w:p>
        </w:tc>
      </w:tr>
      <w:tr w:rsidR="00193733" w:rsidRPr="009772A3" w14:paraId="6DF27289"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2645BC6"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F219BE2"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3. Fond comercial </w:t>
            </w:r>
          </w:p>
        </w:tc>
        <w:tc>
          <w:tcPr>
            <w:tcW w:w="1134" w:type="dxa"/>
            <w:hideMark/>
          </w:tcPr>
          <w:p w14:paraId="77662EF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624183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1C2AEA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4B33C5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B1EE99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4BF415B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6FDD0306"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920D62D"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BC53F1C"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4.Avansuri acordate pentru imobilizări necorporale</w:t>
            </w:r>
          </w:p>
        </w:tc>
        <w:tc>
          <w:tcPr>
            <w:tcW w:w="1134" w:type="dxa"/>
            <w:hideMark/>
          </w:tcPr>
          <w:p w14:paraId="6912E8F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57F423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E1CEC16"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699DE3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7EF804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67,95</w:t>
            </w:r>
          </w:p>
        </w:tc>
        <w:tc>
          <w:tcPr>
            <w:tcW w:w="1282" w:type="dxa"/>
            <w:hideMark/>
          </w:tcPr>
          <w:p w14:paraId="5A18435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11,52</w:t>
            </w:r>
          </w:p>
        </w:tc>
      </w:tr>
      <w:tr w:rsidR="00193733" w:rsidRPr="009772A3" w14:paraId="7C87D9D3"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CC9FEE2"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C43E7C3"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II. Imobilizări corporale în curs de execuție  </w:t>
            </w:r>
            <w:r w:rsidRPr="009772A3">
              <w:rPr>
                <w:rFonts w:asciiTheme="majorHAnsi" w:eastAsia="Times New Roman" w:hAnsiTheme="majorHAnsi" w:cstheme="majorHAnsi"/>
                <w:i/>
                <w:iCs/>
                <w:sz w:val="16"/>
                <w:szCs w:val="18"/>
                <w:lang w:val="ro-MD"/>
              </w:rPr>
              <w:t>(rd.060+rd.070+rd.080+rd.090+rd.100+rd.110+rd.120)</w:t>
            </w:r>
          </w:p>
        </w:tc>
        <w:tc>
          <w:tcPr>
            <w:tcW w:w="1134" w:type="dxa"/>
            <w:hideMark/>
          </w:tcPr>
          <w:p w14:paraId="141EFE82" w14:textId="31A96EC2" w:rsidR="00193733"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5.315.501,</w:t>
            </w:r>
            <w:r w:rsidR="00193733" w:rsidRPr="009772A3">
              <w:rPr>
                <w:rFonts w:asciiTheme="majorHAnsi" w:eastAsia="Times New Roman" w:hAnsiTheme="majorHAnsi" w:cstheme="majorHAnsi"/>
                <w:b/>
                <w:bCs/>
                <w:sz w:val="16"/>
                <w:szCs w:val="18"/>
                <w:lang w:val="ro-MD"/>
              </w:rPr>
              <w:t>0</w:t>
            </w:r>
          </w:p>
        </w:tc>
        <w:tc>
          <w:tcPr>
            <w:tcW w:w="1134" w:type="dxa"/>
            <w:hideMark/>
          </w:tcPr>
          <w:p w14:paraId="04166C77" w14:textId="2CB8CC90" w:rsidR="00193733" w:rsidRPr="009772A3" w:rsidRDefault="00E220ED" w:rsidP="00E220ED">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5.300.120,2</w:t>
            </w:r>
          </w:p>
        </w:tc>
        <w:tc>
          <w:tcPr>
            <w:tcW w:w="1134" w:type="dxa"/>
            <w:hideMark/>
          </w:tcPr>
          <w:p w14:paraId="6B4BBD49" w14:textId="6E9654A9" w:rsidR="00193733" w:rsidRPr="009772A3" w:rsidRDefault="00193733" w:rsidP="00E220ED">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w:t>
            </w:r>
            <w:r w:rsidR="00E220ED" w:rsidRPr="009772A3">
              <w:rPr>
                <w:rFonts w:asciiTheme="majorHAnsi" w:eastAsia="Times New Roman" w:hAnsiTheme="majorHAnsi" w:cstheme="majorHAnsi"/>
                <w:b/>
                <w:bCs/>
                <w:sz w:val="16"/>
                <w:szCs w:val="18"/>
                <w:lang w:val="ro-MD"/>
              </w:rPr>
              <w:t>.353.875,6</w:t>
            </w:r>
          </w:p>
        </w:tc>
        <w:tc>
          <w:tcPr>
            <w:tcW w:w="1134" w:type="dxa"/>
            <w:hideMark/>
          </w:tcPr>
          <w:p w14:paraId="53A9923A" w14:textId="656AB7C5" w:rsidR="00193733" w:rsidRPr="009772A3" w:rsidRDefault="00193733" w:rsidP="00E220ED">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5.304.547,3</w:t>
            </w:r>
          </w:p>
        </w:tc>
        <w:tc>
          <w:tcPr>
            <w:tcW w:w="1134" w:type="dxa"/>
            <w:hideMark/>
          </w:tcPr>
          <w:p w14:paraId="2B5BACE3" w14:textId="77C221A6" w:rsidR="00193733" w:rsidRPr="009772A3" w:rsidRDefault="00193733" w:rsidP="00E220ED">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5.120.172,5</w:t>
            </w:r>
          </w:p>
        </w:tc>
        <w:tc>
          <w:tcPr>
            <w:tcW w:w="1282" w:type="dxa"/>
            <w:hideMark/>
          </w:tcPr>
          <w:p w14:paraId="770456EE" w14:textId="56BC2D9C" w:rsidR="00193733" w:rsidRPr="009772A3" w:rsidRDefault="00193733" w:rsidP="00E220ED">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w:t>
            </w:r>
            <w:r w:rsidR="00E220ED" w:rsidRPr="009772A3">
              <w:rPr>
                <w:rFonts w:asciiTheme="majorHAnsi" w:eastAsia="Times New Roman" w:hAnsiTheme="majorHAnsi" w:cstheme="majorHAnsi"/>
                <w:b/>
                <w:bCs/>
                <w:sz w:val="16"/>
                <w:szCs w:val="18"/>
                <w:lang w:val="ro-MD"/>
              </w:rPr>
              <w:t>.053.296</w:t>
            </w:r>
            <w:r w:rsidRPr="009772A3">
              <w:rPr>
                <w:rFonts w:asciiTheme="majorHAnsi" w:eastAsia="Times New Roman" w:hAnsiTheme="majorHAnsi" w:cstheme="majorHAnsi"/>
                <w:b/>
                <w:bCs/>
                <w:sz w:val="16"/>
                <w:szCs w:val="18"/>
                <w:lang w:val="ro-MD"/>
              </w:rPr>
              <w:t>,</w:t>
            </w:r>
            <w:r w:rsidR="00E220ED" w:rsidRPr="009772A3">
              <w:rPr>
                <w:rFonts w:asciiTheme="majorHAnsi" w:eastAsia="Times New Roman" w:hAnsiTheme="majorHAnsi" w:cstheme="majorHAnsi"/>
                <w:b/>
                <w:bCs/>
                <w:sz w:val="16"/>
                <w:szCs w:val="18"/>
                <w:lang w:val="ro-MD"/>
              </w:rPr>
              <w:t>0</w:t>
            </w:r>
          </w:p>
        </w:tc>
      </w:tr>
      <w:tr w:rsidR="00193733" w:rsidRPr="009772A3" w14:paraId="017F686D"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2BC6D1D"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1B2B5F3"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1.Imobilizări corporale în curs de execuție </w:t>
            </w:r>
          </w:p>
        </w:tc>
        <w:tc>
          <w:tcPr>
            <w:tcW w:w="1134" w:type="dxa"/>
            <w:hideMark/>
          </w:tcPr>
          <w:p w14:paraId="0FFAD88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416.521,29</w:t>
            </w:r>
          </w:p>
        </w:tc>
        <w:tc>
          <w:tcPr>
            <w:tcW w:w="1134" w:type="dxa"/>
            <w:hideMark/>
          </w:tcPr>
          <w:p w14:paraId="2551E586"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400.981,40</w:t>
            </w:r>
          </w:p>
        </w:tc>
        <w:tc>
          <w:tcPr>
            <w:tcW w:w="1134" w:type="dxa"/>
            <w:hideMark/>
          </w:tcPr>
          <w:p w14:paraId="51DF12C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157.728,73</w:t>
            </w:r>
          </w:p>
        </w:tc>
        <w:tc>
          <w:tcPr>
            <w:tcW w:w="1134" w:type="dxa"/>
            <w:hideMark/>
          </w:tcPr>
          <w:p w14:paraId="75E058F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84.363,90</w:t>
            </w:r>
          </w:p>
        </w:tc>
        <w:tc>
          <w:tcPr>
            <w:tcW w:w="1134" w:type="dxa"/>
            <w:hideMark/>
          </w:tcPr>
          <w:p w14:paraId="3AC22BE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113.586,75</w:t>
            </w:r>
          </w:p>
        </w:tc>
        <w:tc>
          <w:tcPr>
            <w:tcW w:w="1282" w:type="dxa"/>
            <w:hideMark/>
          </w:tcPr>
          <w:p w14:paraId="461A7EC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99.930,45</w:t>
            </w:r>
          </w:p>
        </w:tc>
      </w:tr>
      <w:tr w:rsidR="00193733" w:rsidRPr="009772A3" w14:paraId="095C24C5"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FD5CAEF"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7D6E22F"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2.Terenuri </w:t>
            </w:r>
          </w:p>
        </w:tc>
        <w:tc>
          <w:tcPr>
            <w:tcW w:w="1134" w:type="dxa"/>
            <w:hideMark/>
          </w:tcPr>
          <w:p w14:paraId="29AFDC4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10.785,84</w:t>
            </w:r>
          </w:p>
        </w:tc>
        <w:tc>
          <w:tcPr>
            <w:tcW w:w="1134" w:type="dxa"/>
            <w:hideMark/>
          </w:tcPr>
          <w:p w14:paraId="5AA1B47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10.845,66</w:t>
            </w:r>
          </w:p>
        </w:tc>
        <w:tc>
          <w:tcPr>
            <w:tcW w:w="1134" w:type="dxa"/>
            <w:hideMark/>
          </w:tcPr>
          <w:p w14:paraId="0896262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11.047,63</w:t>
            </w:r>
          </w:p>
        </w:tc>
        <w:tc>
          <w:tcPr>
            <w:tcW w:w="1134" w:type="dxa"/>
            <w:hideMark/>
          </w:tcPr>
          <w:p w14:paraId="0343206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11.071,56</w:t>
            </w:r>
          </w:p>
        </w:tc>
        <w:tc>
          <w:tcPr>
            <w:tcW w:w="1134" w:type="dxa"/>
            <w:hideMark/>
          </w:tcPr>
          <w:p w14:paraId="413FE98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11.116,99</w:t>
            </w:r>
          </w:p>
        </w:tc>
        <w:tc>
          <w:tcPr>
            <w:tcW w:w="1282" w:type="dxa"/>
            <w:hideMark/>
          </w:tcPr>
          <w:p w14:paraId="4BEE205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17.335,59</w:t>
            </w:r>
          </w:p>
        </w:tc>
      </w:tr>
      <w:tr w:rsidR="00193733" w:rsidRPr="009772A3" w14:paraId="15D0F92D"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EFB47A6"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8F879FA"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 Mijloace fixe total, din care:</w:t>
            </w:r>
          </w:p>
        </w:tc>
        <w:tc>
          <w:tcPr>
            <w:tcW w:w="1134" w:type="dxa"/>
            <w:hideMark/>
          </w:tcPr>
          <w:p w14:paraId="6F6C616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4.888.193,87</w:t>
            </w:r>
          </w:p>
        </w:tc>
        <w:tc>
          <w:tcPr>
            <w:tcW w:w="1134" w:type="dxa"/>
            <w:hideMark/>
          </w:tcPr>
          <w:p w14:paraId="2BE0C64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4.888.293,13</w:t>
            </w:r>
          </w:p>
        </w:tc>
        <w:tc>
          <w:tcPr>
            <w:tcW w:w="1134" w:type="dxa"/>
            <w:hideMark/>
          </w:tcPr>
          <w:p w14:paraId="6923EF0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4.726.643,43</w:t>
            </w:r>
          </w:p>
        </w:tc>
        <w:tc>
          <w:tcPr>
            <w:tcW w:w="1134" w:type="dxa"/>
            <w:hideMark/>
          </w:tcPr>
          <w:p w14:paraId="2296D4B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4.760.324,95</w:t>
            </w:r>
          </w:p>
        </w:tc>
        <w:tc>
          <w:tcPr>
            <w:tcW w:w="1134" w:type="dxa"/>
            <w:hideMark/>
          </w:tcPr>
          <w:p w14:paraId="0F6A2D4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4.543.565,86</w:t>
            </w:r>
          </w:p>
        </w:tc>
        <w:tc>
          <w:tcPr>
            <w:tcW w:w="1282" w:type="dxa"/>
            <w:hideMark/>
          </w:tcPr>
          <w:p w14:paraId="7758696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4.921.340,47</w:t>
            </w:r>
          </w:p>
        </w:tc>
      </w:tr>
      <w:tr w:rsidR="00193733" w:rsidRPr="009772A3" w14:paraId="00E11A1E"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CF3FBF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071599DC"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3.1 clădiri</w:t>
            </w:r>
          </w:p>
        </w:tc>
        <w:tc>
          <w:tcPr>
            <w:tcW w:w="1134" w:type="dxa"/>
            <w:hideMark/>
          </w:tcPr>
          <w:p w14:paraId="62BC34B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93EEEE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E5FE40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FBB4DF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FAAAE6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283.745,87</w:t>
            </w:r>
          </w:p>
        </w:tc>
        <w:tc>
          <w:tcPr>
            <w:tcW w:w="1282" w:type="dxa"/>
            <w:hideMark/>
          </w:tcPr>
          <w:p w14:paraId="11F1B60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699.893,04</w:t>
            </w:r>
          </w:p>
        </w:tc>
      </w:tr>
      <w:tr w:rsidR="00193733" w:rsidRPr="009772A3" w14:paraId="30B22208"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6B38FC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19F4C1D"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xml:space="preserve">3.2 construcții speciale </w:t>
            </w:r>
          </w:p>
        </w:tc>
        <w:tc>
          <w:tcPr>
            <w:tcW w:w="1134" w:type="dxa"/>
            <w:hideMark/>
          </w:tcPr>
          <w:p w14:paraId="1737C7C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1F815E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56E0FD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A63B1A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DA2629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61.206,17</w:t>
            </w:r>
          </w:p>
        </w:tc>
        <w:tc>
          <w:tcPr>
            <w:tcW w:w="1282" w:type="dxa"/>
            <w:hideMark/>
          </w:tcPr>
          <w:p w14:paraId="19AD841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57.090,64</w:t>
            </w:r>
          </w:p>
        </w:tc>
      </w:tr>
      <w:tr w:rsidR="00193733" w:rsidRPr="009772A3" w14:paraId="6A37BDFA"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CD04A0C"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DB59098"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3.3 mașini, utilaje și instalații tehnice</w:t>
            </w:r>
          </w:p>
        </w:tc>
        <w:tc>
          <w:tcPr>
            <w:tcW w:w="1134" w:type="dxa"/>
            <w:hideMark/>
          </w:tcPr>
          <w:p w14:paraId="5978CFB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AC577A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48CD34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9933EA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60D7C5B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4.159.077,89</w:t>
            </w:r>
          </w:p>
        </w:tc>
        <w:tc>
          <w:tcPr>
            <w:tcW w:w="1282" w:type="dxa"/>
            <w:hideMark/>
          </w:tcPr>
          <w:p w14:paraId="50C9D68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4.080.166,50</w:t>
            </w:r>
          </w:p>
        </w:tc>
      </w:tr>
      <w:tr w:rsidR="00193733" w:rsidRPr="009772A3" w14:paraId="1D6D0492"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77FFDDA"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043A92D4"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3.4 mijloace de transport</w:t>
            </w:r>
          </w:p>
        </w:tc>
        <w:tc>
          <w:tcPr>
            <w:tcW w:w="1134" w:type="dxa"/>
            <w:hideMark/>
          </w:tcPr>
          <w:p w14:paraId="561F819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1BB6F0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E9E111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10375A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2CC4712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28.887,25</w:t>
            </w:r>
          </w:p>
        </w:tc>
        <w:tc>
          <w:tcPr>
            <w:tcW w:w="1282" w:type="dxa"/>
            <w:hideMark/>
          </w:tcPr>
          <w:p w14:paraId="073528D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64.747,00</w:t>
            </w:r>
          </w:p>
        </w:tc>
      </w:tr>
      <w:tr w:rsidR="00193733" w:rsidRPr="009772A3" w14:paraId="4F38C859"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A55128D"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CB5B04C"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3.5 inventar și mobilier</w:t>
            </w:r>
          </w:p>
        </w:tc>
        <w:tc>
          <w:tcPr>
            <w:tcW w:w="1134" w:type="dxa"/>
            <w:hideMark/>
          </w:tcPr>
          <w:p w14:paraId="51391DD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73B815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0DE19E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394CCA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3E7CB1D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180,31</w:t>
            </w:r>
          </w:p>
        </w:tc>
        <w:tc>
          <w:tcPr>
            <w:tcW w:w="1282" w:type="dxa"/>
            <w:hideMark/>
          </w:tcPr>
          <w:p w14:paraId="50BF1FE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322,86</w:t>
            </w:r>
          </w:p>
        </w:tc>
      </w:tr>
      <w:tr w:rsidR="00193733" w:rsidRPr="009772A3" w14:paraId="38418C01"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06AE4D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FD9ABCD"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xml:space="preserve">3.6 alte mijloace fixe </w:t>
            </w:r>
          </w:p>
        </w:tc>
        <w:tc>
          <w:tcPr>
            <w:tcW w:w="1134" w:type="dxa"/>
            <w:hideMark/>
          </w:tcPr>
          <w:p w14:paraId="4CA0AAF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ACAC6B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036ABF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C7090E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7574BEA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10.468,38</w:t>
            </w:r>
          </w:p>
        </w:tc>
        <w:tc>
          <w:tcPr>
            <w:tcW w:w="1282" w:type="dxa"/>
            <w:hideMark/>
          </w:tcPr>
          <w:p w14:paraId="1AC2A506"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19.120,43</w:t>
            </w:r>
          </w:p>
        </w:tc>
      </w:tr>
      <w:tr w:rsidR="00193733" w:rsidRPr="009772A3" w14:paraId="7124E901"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5A4DE60"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0F3E4CF"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4.Resurse minerale </w:t>
            </w:r>
          </w:p>
        </w:tc>
        <w:tc>
          <w:tcPr>
            <w:tcW w:w="1134" w:type="dxa"/>
            <w:hideMark/>
          </w:tcPr>
          <w:p w14:paraId="079DD48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CEF3E7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13D66D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B9F956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4348DC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5F30E09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682A0950"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00BB7A3"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C90ADD3"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5.Active biologice imobilizate</w:t>
            </w:r>
          </w:p>
        </w:tc>
        <w:tc>
          <w:tcPr>
            <w:tcW w:w="1134" w:type="dxa"/>
            <w:hideMark/>
          </w:tcPr>
          <w:p w14:paraId="656947A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2EF916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BA95F2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BB3387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58B533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6D04B1E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6A8239FF"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FB441F7"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1537CE5"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6.Investiții imobiliare</w:t>
            </w:r>
          </w:p>
        </w:tc>
        <w:tc>
          <w:tcPr>
            <w:tcW w:w="1134" w:type="dxa"/>
            <w:hideMark/>
          </w:tcPr>
          <w:p w14:paraId="6AEB20B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952661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92466B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458.455,78</w:t>
            </w:r>
          </w:p>
        </w:tc>
        <w:tc>
          <w:tcPr>
            <w:tcW w:w="1134" w:type="dxa"/>
            <w:hideMark/>
          </w:tcPr>
          <w:p w14:paraId="1486325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448.786,94</w:t>
            </w:r>
          </w:p>
        </w:tc>
        <w:tc>
          <w:tcPr>
            <w:tcW w:w="1134" w:type="dxa"/>
            <w:hideMark/>
          </w:tcPr>
          <w:p w14:paraId="7B45C04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439.118,11</w:t>
            </w:r>
          </w:p>
        </w:tc>
        <w:tc>
          <w:tcPr>
            <w:tcW w:w="1282" w:type="dxa"/>
            <w:hideMark/>
          </w:tcPr>
          <w:p w14:paraId="3DEDE54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44906E0A"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0F7DDFB"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00BA0B3"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7.Avansuri acordate pentru imobilizări corporale</w:t>
            </w:r>
          </w:p>
        </w:tc>
        <w:tc>
          <w:tcPr>
            <w:tcW w:w="1134" w:type="dxa"/>
            <w:hideMark/>
          </w:tcPr>
          <w:p w14:paraId="3920EDE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F53D94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EC3B6F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54ED55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C5BE3A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12.784,84</w:t>
            </w:r>
          </w:p>
        </w:tc>
        <w:tc>
          <w:tcPr>
            <w:tcW w:w="1282" w:type="dxa"/>
            <w:hideMark/>
          </w:tcPr>
          <w:p w14:paraId="2C39E84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14.689,47</w:t>
            </w:r>
          </w:p>
        </w:tc>
      </w:tr>
      <w:tr w:rsidR="00193733" w:rsidRPr="009772A3" w14:paraId="28EC4D06"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3DA60B4"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BBCC8E3"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III.Investiții financiare pe termen lung  </w:t>
            </w:r>
            <w:r w:rsidRPr="009772A3">
              <w:rPr>
                <w:rFonts w:asciiTheme="majorHAnsi" w:eastAsia="Times New Roman" w:hAnsiTheme="majorHAnsi" w:cstheme="majorHAnsi"/>
                <w:i/>
                <w:iCs/>
                <w:sz w:val="16"/>
                <w:szCs w:val="18"/>
                <w:lang w:val="ro-MD"/>
              </w:rPr>
              <w:t>(rd.140+rd.150)</w:t>
            </w:r>
          </w:p>
        </w:tc>
        <w:tc>
          <w:tcPr>
            <w:tcW w:w="1134" w:type="dxa"/>
            <w:hideMark/>
          </w:tcPr>
          <w:p w14:paraId="34736ABB" w14:textId="649C9567" w:rsidR="00193733" w:rsidRPr="009772A3" w:rsidRDefault="00CA6D9B"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350.142,6</w:t>
            </w:r>
          </w:p>
        </w:tc>
        <w:tc>
          <w:tcPr>
            <w:tcW w:w="1134" w:type="dxa"/>
            <w:hideMark/>
          </w:tcPr>
          <w:p w14:paraId="4AD25F99" w14:textId="1D2F70F6" w:rsidR="00193733" w:rsidRPr="009772A3" w:rsidRDefault="00CA6D9B"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350.142,6</w:t>
            </w:r>
          </w:p>
        </w:tc>
        <w:tc>
          <w:tcPr>
            <w:tcW w:w="1134" w:type="dxa"/>
            <w:hideMark/>
          </w:tcPr>
          <w:p w14:paraId="03AA5E5B" w14:textId="6BB78D2D" w:rsidR="00193733" w:rsidRPr="009772A3" w:rsidRDefault="00193733" w:rsidP="00CA6D9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350.142,</w:t>
            </w:r>
            <w:r w:rsidR="00CA6D9B" w:rsidRPr="009772A3">
              <w:rPr>
                <w:rFonts w:asciiTheme="majorHAnsi" w:eastAsia="Times New Roman" w:hAnsiTheme="majorHAnsi" w:cstheme="majorHAnsi"/>
                <w:b/>
                <w:bCs/>
                <w:sz w:val="16"/>
                <w:szCs w:val="18"/>
                <w:lang w:val="ro-MD"/>
              </w:rPr>
              <w:t>6</w:t>
            </w:r>
          </w:p>
        </w:tc>
        <w:tc>
          <w:tcPr>
            <w:tcW w:w="1134" w:type="dxa"/>
            <w:hideMark/>
          </w:tcPr>
          <w:p w14:paraId="39F28082" w14:textId="2B19E341" w:rsidR="00193733" w:rsidRPr="009772A3" w:rsidRDefault="00193733" w:rsidP="00CA6D9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370.921,</w:t>
            </w:r>
            <w:r w:rsidR="00CA6D9B" w:rsidRPr="009772A3">
              <w:rPr>
                <w:rFonts w:asciiTheme="majorHAnsi" w:eastAsia="Times New Roman" w:hAnsiTheme="majorHAnsi" w:cstheme="majorHAnsi"/>
                <w:b/>
                <w:bCs/>
                <w:sz w:val="16"/>
                <w:szCs w:val="18"/>
                <w:lang w:val="ro-MD"/>
              </w:rPr>
              <w:t>6</w:t>
            </w:r>
          </w:p>
        </w:tc>
        <w:tc>
          <w:tcPr>
            <w:tcW w:w="1134" w:type="dxa"/>
            <w:hideMark/>
          </w:tcPr>
          <w:p w14:paraId="2738BE97" w14:textId="7F3402C6" w:rsidR="00193733" w:rsidRPr="009772A3" w:rsidRDefault="00193733" w:rsidP="00CA6D9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374.576,</w:t>
            </w:r>
            <w:r w:rsidR="00CA6D9B" w:rsidRPr="009772A3">
              <w:rPr>
                <w:rFonts w:asciiTheme="majorHAnsi" w:eastAsia="Times New Roman" w:hAnsiTheme="majorHAnsi" w:cstheme="majorHAnsi"/>
                <w:b/>
                <w:bCs/>
                <w:sz w:val="16"/>
                <w:szCs w:val="18"/>
                <w:lang w:val="ro-MD"/>
              </w:rPr>
              <w:t>5</w:t>
            </w:r>
          </w:p>
        </w:tc>
        <w:tc>
          <w:tcPr>
            <w:tcW w:w="1282" w:type="dxa"/>
            <w:hideMark/>
          </w:tcPr>
          <w:p w14:paraId="46F465A5" w14:textId="541FCC55" w:rsidR="00193733" w:rsidRPr="009772A3" w:rsidRDefault="00193733" w:rsidP="00CA6D9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377.123,7</w:t>
            </w:r>
          </w:p>
        </w:tc>
      </w:tr>
      <w:tr w:rsidR="00193733" w:rsidRPr="009772A3" w14:paraId="1DF0DEB7"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C53B01B"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0197B5E2"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 Investiții financiare pe termen lung în părți neafiliate</w:t>
            </w:r>
          </w:p>
        </w:tc>
        <w:tc>
          <w:tcPr>
            <w:tcW w:w="1134" w:type="dxa"/>
            <w:hideMark/>
          </w:tcPr>
          <w:p w14:paraId="342949D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12.001,64</w:t>
            </w:r>
          </w:p>
        </w:tc>
        <w:tc>
          <w:tcPr>
            <w:tcW w:w="1134" w:type="dxa"/>
            <w:hideMark/>
          </w:tcPr>
          <w:p w14:paraId="2F01789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12.001,64</w:t>
            </w:r>
          </w:p>
        </w:tc>
        <w:tc>
          <w:tcPr>
            <w:tcW w:w="1134" w:type="dxa"/>
            <w:hideMark/>
          </w:tcPr>
          <w:p w14:paraId="667B4D5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12.001,64</w:t>
            </w:r>
          </w:p>
        </w:tc>
        <w:tc>
          <w:tcPr>
            <w:tcW w:w="1134" w:type="dxa"/>
            <w:hideMark/>
          </w:tcPr>
          <w:p w14:paraId="23540CE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32.780,24</w:t>
            </w:r>
          </w:p>
        </w:tc>
        <w:tc>
          <w:tcPr>
            <w:tcW w:w="1134" w:type="dxa"/>
            <w:hideMark/>
          </w:tcPr>
          <w:p w14:paraId="6A80559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36.435,53</w:t>
            </w:r>
          </w:p>
        </w:tc>
        <w:tc>
          <w:tcPr>
            <w:tcW w:w="1282" w:type="dxa"/>
            <w:hideMark/>
          </w:tcPr>
          <w:p w14:paraId="58610B0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38.982,77</w:t>
            </w:r>
          </w:p>
        </w:tc>
      </w:tr>
      <w:tr w:rsidR="00193733" w:rsidRPr="009772A3" w14:paraId="143C6F5E"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C9CDDC9"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8F5308C"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 Investiții financiare pe termen lung în părți afiliate total, din care:</w:t>
            </w:r>
          </w:p>
        </w:tc>
        <w:tc>
          <w:tcPr>
            <w:tcW w:w="1134" w:type="dxa"/>
            <w:hideMark/>
          </w:tcPr>
          <w:p w14:paraId="2154647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338.140,93</w:t>
            </w:r>
          </w:p>
        </w:tc>
        <w:tc>
          <w:tcPr>
            <w:tcW w:w="1134" w:type="dxa"/>
            <w:hideMark/>
          </w:tcPr>
          <w:p w14:paraId="3D9F21D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338.140,93</w:t>
            </w:r>
          </w:p>
        </w:tc>
        <w:tc>
          <w:tcPr>
            <w:tcW w:w="1134" w:type="dxa"/>
            <w:hideMark/>
          </w:tcPr>
          <w:p w14:paraId="1CE3060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338.140,93</w:t>
            </w:r>
          </w:p>
        </w:tc>
        <w:tc>
          <w:tcPr>
            <w:tcW w:w="1134" w:type="dxa"/>
            <w:hideMark/>
          </w:tcPr>
          <w:p w14:paraId="4C6C411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338.140,93</w:t>
            </w:r>
          </w:p>
        </w:tc>
        <w:tc>
          <w:tcPr>
            <w:tcW w:w="1134" w:type="dxa"/>
            <w:hideMark/>
          </w:tcPr>
          <w:p w14:paraId="70091E4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338.140,93</w:t>
            </w:r>
          </w:p>
        </w:tc>
        <w:tc>
          <w:tcPr>
            <w:tcW w:w="1282" w:type="dxa"/>
            <w:hideMark/>
          </w:tcPr>
          <w:p w14:paraId="28DBD30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338.140,93</w:t>
            </w:r>
          </w:p>
        </w:tc>
      </w:tr>
      <w:tr w:rsidR="00193733" w:rsidRPr="009772A3" w14:paraId="4A704785"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D893439"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3A56F0F"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2.1 acțiuni și cote de participație deținute în părțile afiliate</w:t>
            </w:r>
          </w:p>
        </w:tc>
        <w:tc>
          <w:tcPr>
            <w:tcW w:w="1134" w:type="dxa"/>
            <w:hideMark/>
          </w:tcPr>
          <w:p w14:paraId="3CA2722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F015A7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1F8787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43198D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338.140,93</w:t>
            </w:r>
          </w:p>
        </w:tc>
        <w:tc>
          <w:tcPr>
            <w:tcW w:w="1134" w:type="dxa"/>
            <w:hideMark/>
          </w:tcPr>
          <w:p w14:paraId="1DC21BE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338.140,93</w:t>
            </w:r>
          </w:p>
        </w:tc>
        <w:tc>
          <w:tcPr>
            <w:tcW w:w="1282" w:type="dxa"/>
            <w:hideMark/>
          </w:tcPr>
          <w:p w14:paraId="3AB4F03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338.140,93</w:t>
            </w:r>
          </w:p>
        </w:tc>
      </w:tr>
      <w:tr w:rsidR="00193733" w:rsidRPr="009772A3" w14:paraId="5E4DBBAE"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074957A"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3975332"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2.2 împrumuturi acordate părților afiliate</w:t>
            </w:r>
          </w:p>
        </w:tc>
        <w:tc>
          <w:tcPr>
            <w:tcW w:w="1134" w:type="dxa"/>
            <w:hideMark/>
          </w:tcPr>
          <w:p w14:paraId="7F5F71E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BA111A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D2F9ED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6EE8B0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685795D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282" w:type="dxa"/>
            <w:hideMark/>
          </w:tcPr>
          <w:p w14:paraId="031BD88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55F39F13"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725F4DA"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62F3C97"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2.3 împrumuturi acordate aferente intereselor de participare</w:t>
            </w:r>
          </w:p>
        </w:tc>
        <w:tc>
          <w:tcPr>
            <w:tcW w:w="1134" w:type="dxa"/>
            <w:hideMark/>
          </w:tcPr>
          <w:p w14:paraId="4D344E3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AA85F6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860D5B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5F3015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2687C4E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282" w:type="dxa"/>
            <w:hideMark/>
          </w:tcPr>
          <w:p w14:paraId="419A427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3754D310"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E2A7450"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DBD2E27"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2.4 alte investiții financiare</w:t>
            </w:r>
          </w:p>
        </w:tc>
        <w:tc>
          <w:tcPr>
            <w:tcW w:w="1134" w:type="dxa"/>
            <w:hideMark/>
          </w:tcPr>
          <w:p w14:paraId="1DA0693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DF0E45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D744EB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1FBD6E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134" w:type="dxa"/>
            <w:hideMark/>
          </w:tcPr>
          <w:p w14:paraId="756F7C3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6"/>
                <w:szCs w:val="18"/>
                <w:lang w:val="ro-MD"/>
              </w:rPr>
            </w:pPr>
            <w:r w:rsidRPr="009772A3">
              <w:rPr>
                <w:rFonts w:asciiTheme="majorHAnsi" w:eastAsia="Times New Roman" w:hAnsiTheme="majorHAnsi" w:cstheme="majorHAnsi"/>
                <w:i/>
                <w:iCs/>
                <w:sz w:val="16"/>
                <w:szCs w:val="18"/>
                <w:lang w:val="ro-MD"/>
              </w:rPr>
              <w:t> </w:t>
            </w:r>
          </w:p>
        </w:tc>
        <w:tc>
          <w:tcPr>
            <w:tcW w:w="1282" w:type="dxa"/>
            <w:hideMark/>
          </w:tcPr>
          <w:p w14:paraId="50FDE55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159459EF"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C31E21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0BB0E3B"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IV. Creanțe pe termen lung și alte active imobilizate  </w:t>
            </w:r>
            <w:r w:rsidRPr="009772A3">
              <w:rPr>
                <w:rFonts w:asciiTheme="majorHAnsi" w:eastAsia="Times New Roman" w:hAnsiTheme="majorHAnsi" w:cstheme="majorHAnsi"/>
                <w:i/>
                <w:iCs/>
                <w:sz w:val="16"/>
                <w:szCs w:val="18"/>
                <w:lang w:val="ro-MD"/>
              </w:rPr>
              <w:t>(rd.170+rd.180+rd.190+rd.200+rd.210)</w:t>
            </w:r>
          </w:p>
        </w:tc>
        <w:tc>
          <w:tcPr>
            <w:tcW w:w="1134" w:type="dxa"/>
            <w:hideMark/>
          </w:tcPr>
          <w:p w14:paraId="131DB5AB" w14:textId="3B8534E3" w:rsidR="00193733" w:rsidRPr="009772A3" w:rsidRDefault="000231B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163.995,4</w:t>
            </w:r>
          </w:p>
        </w:tc>
        <w:tc>
          <w:tcPr>
            <w:tcW w:w="1134" w:type="dxa"/>
            <w:hideMark/>
          </w:tcPr>
          <w:p w14:paraId="75CF187D" w14:textId="60256264" w:rsidR="00193733" w:rsidRPr="009772A3" w:rsidRDefault="00193733" w:rsidP="000231B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173.443,</w:t>
            </w:r>
            <w:r w:rsidR="000231BA" w:rsidRPr="009772A3">
              <w:rPr>
                <w:rFonts w:asciiTheme="majorHAnsi" w:eastAsia="Times New Roman" w:hAnsiTheme="majorHAnsi" w:cstheme="majorHAnsi"/>
                <w:b/>
                <w:bCs/>
                <w:sz w:val="16"/>
                <w:szCs w:val="18"/>
                <w:lang w:val="ro-MD"/>
              </w:rPr>
              <w:t>3</w:t>
            </w:r>
          </w:p>
        </w:tc>
        <w:tc>
          <w:tcPr>
            <w:tcW w:w="1134" w:type="dxa"/>
            <w:hideMark/>
          </w:tcPr>
          <w:p w14:paraId="24EB7C88" w14:textId="2B27CE63" w:rsidR="00193733" w:rsidRPr="009772A3" w:rsidRDefault="00193733" w:rsidP="000231B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177.570,9</w:t>
            </w:r>
          </w:p>
        </w:tc>
        <w:tc>
          <w:tcPr>
            <w:tcW w:w="1134" w:type="dxa"/>
            <w:hideMark/>
          </w:tcPr>
          <w:p w14:paraId="79153077" w14:textId="4C86E897" w:rsidR="00193733" w:rsidRPr="009772A3" w:rsidRDefault="00193733" w:rsidP="000231B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1.284.989,6</w:t>
            </w:r>
          </w:p>
        </w:tc>
        <w:tc>
          <w:tcPr>
            <w:tcW w:w="1134" w:type="dxa"/>
            <w:hideMark/>
          </w:tcPr>
          <w:p w14:paraId="3CF134E0" w14:textId="2616BD2E" w:rsidR="00193733" w:rsidRPr="009772A3" w:rsidRDefault="00193733" w:rsidP="000231B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1.165.571,4</w:t>
            </w:r>
          </w:p>
        </w:tc>
        <w:tc>
          <w:tcPr>
            <w:tcW w:w="1282" w:type="dxa"/>
            <w:hideMark/>
          </w:tcPr>
          <w:p w14:paraId="0C8641BB" w14:textId="28372BD1" w:rsidR="00193733" w:rsidRPr="009772A3" w:rsidRDefault="00193733" w:rsidP="000231B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2.109.928,0</w:t>
            </w:r>
          </w:p>
        </w:tc>
      </w:tr>
      <w:tr w:rsidR="00193733" w:rsidRPr="009772A3" w14:paraId="380E0241"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74AE5BC"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0F5C5B2E"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1. Creanțe comerciale pe termen lung </w:t>
            </w:r>
          </w:p>
        </w:tc>
        <w:tc>
          <w:tcPr>
            <w:tcW w:w="1134" w:type="dxa"/>
            <w:hideMark/>
          </w:tcPr>
          <w:p w14:paraId="6522AD2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E5AA3C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64958D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6E10FD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1.079.391,30</w:t>
            </w:r>
          </w:p>
        </w:tc>
        <w:tc>
          <w:tcPr>
            <w:tcW w:w="1134" w:type="dxa"/>
            <w:hideMark/>
          </w:tcPr>
          <w:p w14:paraId="33294A5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52162EC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37AF533B"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C794FA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4F1A3EB"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2.Creanțe ale părților afiliate pe termen lung </w:t>
            </w:r>
          </w:p>
        </w:tc>
        <w:tc>
          <w:tcPr>
            <w:tcW w:w="1134" w:type="dxa"/>
            <w:hideMark/>
          </w:tcPr>
          <w:p w14:paraId="652A379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FA2EE0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891498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8BF47A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D2C38D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148E71C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1BB84421"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C18CEE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EC67745"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3.Alte creanțe pe termen lung </w:t>
            </w:r>
          </w:p>
        </w:tc>
        <w:tc>
          <w:tcPr>
            <w:tcW w:w="1134" w:type="dxa"/>
            <w:hideMark/>
          </w:tcPr>
          <w:p w14:paraId="5EDA558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90EFB9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ED7E0B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AD4EAA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53AF38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949.116,10</w:t>
            </w:r>
          </w:p>
        </w:tc>
        <w:tc>
          <w:tcPr>
            <w:tcW w:w="1282" w:type="dxa"/>
            <w:hideMark/>
          </w:tcPr>
          <w:p w14:paraId="219CE98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1.883.132,92</w:t>
            </w:r>
          </w:p>
        </w:tc>
      </w:tr>
      <w:tr w:rsidR="00193733" w:rsidRPr="009772A3" w14:paraId="510DC517"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71A562C"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8688198"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4.Cheltuieli anticipate pe termen lung </w:t>
            </w:r>
          </w:p>
        </w:tc>
        <w:tc>
          <w:tcPr>
            <w:tcW w:w="1134" w:type="dxa"/>
            <w:hideMark/>
          </w:tcPr>
          <w:p w14:paraId="7C40731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F8D2A0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591359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EC2AC4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D586E3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202.573,01</w:t>
            </w:r>
          </w:p>
        </w:tc>
        <w:tc>
          <w:tcPr>
            <w:tcW w:w="1282" w:type="dxa"/>
            <w:hideMark/>
          </w:tcPr>
          <w:p w14:paraId="7489444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214.803,16</w:t>
            </w:r>
          </w:p>
        </w:tc>
      </w:tr>
      <w:tr w:rsidR="00193733" w:rsidRPr="009772A3" w14:paraId="468E8E2F"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84EE716"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60407C4"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5.Alte active imobilizate</w:t>
            </w:r>
          </w:p>
        </w:tc>
        <w:tc>
          <w:tcPr>
            <w:tcW w:w="1134" w:type="dxa"/>
            <w:hideMark/>
          </w:tcPr>
          <w:p w14:paraId="03AABCB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163.995,42</w:t>
            </w:r>
          </w:p>
        </w:tc>
        <w:tc>
          <w:tcPr>
            <w:tcW w:w="1134" w:type="dxa"/>
            <w:hideMark/>
          </w:tcPr>
          <w:p w14:paraId="4815F85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173.443,28</w:t>
            </w:r>
          </w:p>
        </w:tc>
        <w:tc>
          <w:tcPr>
            <w:tcW w:w="1134" w:type="dxa"/>
            <w:hideMark/>
          </w:tcPr>
          <w:p w14:paraId="0DE50F3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177.570,92</w:t>
            </w:r>
          </w:p>
        </w:tc>
        <w:tc>
          <w:tcPr>
            <w:tcW w:w="1134" w:type="dxa"/>
            <w:hideMark/>
          </w:tcPr>
          <w:p w14:paraId="2785F3F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205.598,32</w:t>
            </w:r>
          </w:p>
        </w:tc>
        <w:tc>
          <w:tcPr>
            <w:tcW w:w="1134" w:type="dxa"/>
            <w:hideMark/>
          </w:tcPr>
          <w:p w14:paraId="58EC568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13.882,31</w:t>
            </w:r>
          </w:p>
        </w:tc>
        <w:tc>
          <w:tcPr>
            <w:tcW w:w="1282" w:type="dxa"/>
            <w:hideMark/>
          </w:tcPr>
          <w:p w14:paraId="7DBFEA5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11.991,92</w:t>
            </w:r>
          </w:p>
        </w:tc>
      </w:tr>
      <w:tr w:rsidR="00193733" w:rsidRPr="009772A3" w14:paraId="0DF7CC0A"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5F174EB"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B1F3F06"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sz w:val="16"/>
                <w:szCs w:val="18"/>
                <w:lang w:val="ro-MD"/>
              </w:rPr>
            </w:pPr>
            <w:r w:rsidRPr="009772A3">
              <w:rPr>
                <w:rFonts w:asciiTheme="majorHAnsi" w:eastAsia="Times New Roman" w:hAnsiTheme="majorHAnsi" w:cstheme="majorHAnsi"/>
                <w:b/>
                <w:bCs/>
                <w:sz w:val="16"/>
                <w:szCs w:val="18"/>
                <w:lang w:val="ro-MD"/>
              </w:rPr>
              <w:t xml:space="preserve">TOTAL ACTIVE IMOBILIZATE  </w:t>
            </w:r>
            <w:r w:rsidRPr="009772A3">
              <w:rPr>
                <w:rFonts w:asciiTheme="majorHAnsi" w:eastAsia="Times New Roman" w:hAnsiTheme="majorHAnsi" w:cstheme="majorHAnsi"/>
                <w:i/>
                <w:iCs/>
                <w:sz w:val="16"/>
                <w:szCs w:val="18"/>
                <w:lang w:val="ro-MD"/>
              </w:rPr>
              <w:t>(rd.050+rd.130+rd.160+rd.220)</w:t>
            </w:r>
          </w:p>
        </w:tc>
        <w:tc>
          <w:tcPr>
            <w:tcW w:w="1134" w:type="dxa"/>
            <w:hideMark/>
          </w:tcPr>
          <w:p w14:paraId="78C1B958" w14:textId="7C0EA3F9" w:rsidR="00193733" w:rsidRPr="009772A3" w:rsidRDefault="000231B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5.977.495,</w:t>
            </w:r>
            <w:r w:rsidR="00193733" w:rsidRPr="009772A3">
              <w:rPr>
                <w:rFonts w:asciiTheme="majorHAnsi" w:eastAsia="Times New Roman" w:hAnsiTheme="majorHAnsi" w:cstheme="majorHAnsi"/>
                <w:b/>
                <w:bCs/>
                <w:sz w:val="16"/>
                <w:szCs w:val="18"/>
                <w:lang w:val="ro-MD"/>
              </w:rPr>
              <w:t>2</w:t>
            </w:r>
          </w:p>
        </w:tc>
        <w:tc>
          <w:tcPr>
            <w:tcW w:w="1134" w:type="dxa"/>
            <w:hideMark/>
          </w:tcPr>
          <w:p w14:paraId="3AF06206" w14:textId="358CEB41" w:rsidR="00193733" w:rsidRPr="009772A3" w:rsidRDefault="000231B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5.997.643,</w:t>
            </w:r>
            <w:r w:rsidR="00193733" w:rsidRPr="009772A3">
              <w:rPr>
                <w:rFonts w:asciiTheme="majorHAnsi" w:eastAsia="Times New Roman" w:hAnsiTheme="majorHAnsi" w:cstheme="majorHAnsi"/>
                <w:b/>
                <w:bCs/>
                <w:sz w:val="16"/>
                <w:szCs w:val="18"/>
                <w:lang w:val="ro-MD"/>
              </w:rPr>
              <w:t>3</w:t>
            </w:r>
          </w:p>
        </w:tc>
        <w:tc>
          <w:tcPr>
            <w:tcW w:w="1134" w:type="dxa"/>
            <w:hideMark/>
          </w:tcPr>
          <w:p w14:paraId="32ED602A" w14:textId="408C9E3F" w:rsidR="00193733" w:rsidRPr="009772A3" w:rsidRDefault="00193733" w:rsidP="000231B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6.031.384,1</w:t>
            </w:r>
          </w:p>
        </w:tc>
        <w:tc>
          <w:tcPr>
            <w:tcW w:w="1134" w:type="dxa"/>
            <w:hideMark/>
          </w:tcPr>
          <w:p w14:paraId="578EF8E2" w14:textId="7AE36357" w:rsidR="00193733" w:rsidRPr="009772A3" w:rsidRDefault="00193733" w:rsidP="000231B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7.085.578,8</w:t>
            </w:r>
          </w:p>
        </w:tc>
        <w:tc>
          <w:tcPr>
            <w:tcW w:w="1134" w:type="dxa"/>
            <w:hideMark/>
          </w:tcPr>
          <w:p w14:paraId="22EED6D6" w14:textId="16361273" w:rsidR="00193733" w:rsidRPr="009772A3" w:rsidRDefault="000231B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6.772.879,8</w:t>
            </w:r>
          </w:p>
        </w:tc>
        <w:tc>
          <w:tcPr>
            <w:tcW w:w="1282" w:type="dxa"/>
            <w:hideMark/>
          </w:tcPr>
          <w:p w14:paraId="3FB49653" w14:textId="5697F560" w:rsidR="00193733" w:rsidRPr="009772A3" w:rsidRDefault="000231B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7.639.050,9</w:t>
            </w:r>
          </w:p>
        </w:tc>
      </w:tr>
      <w:tr w:rsidR="00964481" w:rsidRPr="009772A3" w14:paraId="5201FDCE"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765B65F5" w14:textId="77777777" w:rsidR="00193733" w:rsidRPr="009772A3" w:rsidRDefault="00193733" w:rsidP="00DE381A">
            <w:pPr>
              <w:jc w:val="cente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B</w:t>
            </w:r>
          </w:p>
        </w:tc>
        <w:tc>
          <w:tcPr>
            <w:tcW w:w="2552" w:type="dxa"/>
            <w:hideMark/>
          </w:tcPr>
          <w:p w14:paraId="2B636F67"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Active circulante </w:t>
            </w:r>
            <w:r w:rsidRPr="009772A3">
              <w:rPr>
                <w:rFonts w:asciiTheme="majorHAnsi" w:eastAsia="Times New Roman" w:hAnsiTheme="majorHAnsi" w:cstheme="majorHAnsi"/>
                <w:b/>
                <w:bCs/>
                <w:sz w:val="16"/>
                <w:szCs w:val="18"/>
                <w:lang w:val="ro-MD"/>
              </w:rPr>
              <w:br/>
              <w:t>I.Stocuri</w:t>
            </w:r>
            <w:r w:rsidRPr="009772A3">
              <w:rPr>
                <w:rFonts w:asciiTheme="majorHAnsi" w:eastAsia="Times New Roman" w:hAnsiTheme="majorHAnsi" w:cstheme="majorHAnsi"/>
                <w:i/>
                <w:iCs/>
                <w:sz w:val="16"/>
                <w:szCs w:val="18"/>
                <w:lang w:val="ro-MD"/>
              </w:rPr>
              <w:t xml:space="preserve"> (rd.240+rd.250+rd.260+rd.270+rd.280)</w:t>
            </w:r>
          </w:p>
        </w:tc>
        <w:tc>
          <w:tcPr>
            <w:tcW w:w="1134" w:type="dxa"/>
            <w:hideMark/>
          </w:tcPr>
          <w:p w14:paraId="20B57E96" w14:textId="39EE5AB9" w:rsidR="00193733" w:rsidRPr="009772A3" w:rsidRDefault="001645EF"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210.239,</w:t>
            </w:r>
            <w:r w:rsidR="00193733" w:rsidRPr="009772A3">
              <w:rPr>
                <w:rFonts w:asciiTheme="majorHAnsi" w:eastAsia="Times New Roman" w:hAnsiTheme="majorHAnsi" w:cstheme="majorHAnsi"/>
                <w:b/>
                <w:bCs/>
                <w:sz w:val="16"/>
                <w:szCs w:val="18"/>
                <w:lang w:val="ro-MD"/>
              </w:rPr>
              <w:t>6</w:t>
            </w:r>
          </w:p>
        </w:tc>
        <w:tc>
          <w:tcPr>
            <w:tcW w:w="1134" w:type="dxa"/>
            <w:hideMark/>
          </w:tcPr>
          <w:p w14:paraId="6DC614DC" w14:textId="4189EA2D" w:rsidR="00193733" w:rsidRPr="009772A3" w:rsidRDefault="00193733" w:rsidP="001645E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176.181,6</w:t>
            </w:r>
          </w:p>
        </w:tc>
        <w:tc>
          <w:tcPr>
            <w:tcW w:w="1134" w:type="dxa"/>
            <w:hideMark/>
          </w:tcPr>
          <w:p w14:paraId="631B29FD" w14:textId="05F63187" w:rsidR="00193733" w:rsidRPr="009772A3" w:rsidRDefault="00193733" w:rsidP="001645E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213.630,2</w:t>
            </w:r>
          </w:p>
        </w:tc>
        <w:tc>
          <w:tcPr>
            <w:tcW w:w="1134" w:type="dxa"/>
            <w:hideMark/>
          </w:tcPr>
          <w:p w14:paraId="2426C8AC" w14:textId="21093719" w:rsidR="00193733" w:rsidRPr="009772A3" w:rsidRDefault="00193733" w:rsidP="001645E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191.978,3</w:t>
            </w:r>
          </w:p>
        </w:tc>
        <w:tc>
          <w:tcPr>
            <w:tcW w:w="1134" w:type="dxa"/>
            <w:hideMark/>
          </w:tcPr>
          <w:p w14:paraId="7EED2853" w14:textId="31485571" w:rsidR="00193733" w:rsidRPr="009772A3" w:rsidRDefault="00193733" w:rsidP="001645E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253.947,6</w:t>
            </w:r>
          </w:p>
        </w:tc>
        <w:tc>
          <w:tcPr>
            <w:tcW w:w="1282" w:type="dxa"/>
            <w:hideMark/>
          </w:tcPr>
          <w:p w14:paraId="6B31010B" w14:textId="657BC8AD" w:rsidR="00193733" w:rsidRPr="009772A3" w:rsidRDefault="00193733" w:rsidP="001645E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184.368,9</w:t>
            </w:r>
          </w:p>
        </w:tc>
      </w:tr>
      <w:tr w:rsidR="00193733" w:rsidRPr="009772A3" w14:paraId="51FC9025"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1729696"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407CEAA"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 Materiale și obiecte de mică valoare și scurtă durată</w:t>
            </w:r>
          </w:p>
        </w:tc>
        <w:tc>
          <w:tcPr>
            <w:tcW w:w="1134" w:type="dxa"/>
            <w:hideMark/>
          </w:tcPr>
          <w:p w14:paraId="0A8FFEE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116.907,13</w:t>
            </w:r>
          </w:p>
        </w:tc>
        <w:tc>
          <w:tcPr>
            <w:tcW w:w="1134" w:type="dxa"/>
            <w:hideMark/>
          </w:tcPr>
          <w:p w14:paraId="51322DF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116.035,35</w:t>
            </w:r>
          </w:p>
        </w:tc>
        <w:tc>
          <w:tcPr>
            <w:tcW w:w="1134" w:type="dxa"/>
            <w:hideMark/>
          </w:tcPr>
          <w:p w14:paraId="0D1A655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121.686,58</w:t>
            </w:r>
          </w:p>
        </w:tc>
        <w:tc>
          <w:tcPr>
            <w:tcW w:w="1134" w:type="dxa"/>
            <w:hideMark/>
          </w:tcPr>
          <w:p w14:paraId="48AE000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121.589,97</w:t>
            </w:r>
          </w:p>
        </w:tc>
        <w:tc>
          <w:tcPr>
            <w:tcW w:w="1134" w:type="dxa"/>
            <w:hideMark/>
          </w:tcPr>
          <w:p w14:paraId="56434B4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109.333,40</w:t>
            </w:r>
          </w:p>
        </w:tc>
        <w:tc>
          <w:tcPr>
            <w:tcW w:w="1282" w:type="dxa"/>
            <w:hideMark/>
          </w:tcPr>
          <w:p w14:paraId="6EABDAF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137.423,57</w:t>
            </w:r>
          </w:p>
        </w:tc>
      </w:tr>
      <w:tr w:rsidR="00193733" w:rsidRPr="009772A3" w14:paraId="78506778"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132C7DC"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42A3CC1"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 Active biologice circulante</w:t>
            </w:r>
          </w:p>
        </w:tc>
        <w:tc>
          <w:tcPr>
            <w:tcW w:w="1134" w:type="dxa"/>
            <w:hideMark/>
          </w:tcPr>
          <w:p w14:paraId="13699F4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610B85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A7DC9D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6B5E35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ADFB2C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62DAA09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12C5BB46"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F9E6EE3"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C10E3E4"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3.Producția în curs de execuție </w:t>
            </w:r>
          </w:p>
        </w:tc>
        <w:tc>
          <w:tcPr>
            <w:tcW w:w="1134" w:type="dxa"/>
            <w:hideMark/>
          </w:tcPr>
          <w:p w14:paraId="6F036B1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169,03</w:t>
            </w:r>
          </w:p>
        </w:tc>
        <w:tc>
          <w:tcPr>
            <w:tcW w:w="1134" w:type="dxa"/>
            <w:hideMark/>
          </w:tcPr>
          <w:p w14:paraId="7130DD5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255,26</w:t>
            </w:r>
          </w:p>
        </w:tc>
        <w:tc>
          <w:tcPr>
            <w:tcW w:w="1134" w:type="dxa"/>
            <w:hideMark/>
          </w:tcPr>
          <w:p w14:paraId="7AA97B5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1.692,10</w:t>
            </w:r>
          </w:p>
        </w:tc>
        <w:tc>
          <w:tcPr>
            <w:tcW w:w="1134" w:type="dxa"/>
            <w:hideMark/>
          </w:tcPr>
          <w:p w14:paraId="52EEE11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1.771,57</w:t>
            </w:r>
          </w:p>
        </w:tc>
        <w:tc>
          <w:tcPr>
            <w:tcW w:w="1134" w:type="dxa"/>
            <w:hideMark/>
          </w:tcPr>
          <w:p w14:paraId="313D6F9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2.179,14</w:t>
            </w:r>
          </w:p>
        </w:tc>
        <w:tc>
          <w:tcPr>
            <w:tcW w:w="1282" w:type="dxa"/>
            <w:hideMark/>
          </w:tcPr>
          <w:p w14:paraId="1CEEDDF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1.569,11</w:t>
            </w:r>
          </w:p>
        </w:tc>
      </w:tr>
      <w:tr w:rsidR="00193733" w:rsidRPr="009772A3" w14:paraId="020C112E"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6AE39E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4F04C14"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4.Produse și mărfuri</w:t>
            </w:r>
          </w:p>
        </w:tc>
        <w:tc>
          <w:tcPr>
            <w:tcW w:w="1134" w:type="dxa"/>
            <w:hideMark/>
          </w:tcPr>
          <w:p w14:paraId="31A36A1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93.163,40</w:t>
            </w:r>
          </w:p>
        </w:tc>
        <w:tc>
          <w:tcPr>
            <w:tcW w:w="1134" w:type="dxa"/>
            <w:hideMark/>
          </w:tcPr>
          <w:p w14:paraId="6529D17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59.891,02</w:t>
            </w:r>
          </w:p>
        </w:tc>
        <w:tc>
          <w:tcPr>
            <w:tcW w:w="1134" w:type="dxa"/>
            <w:hideMark/>
          </w:tcPr>
          <w:p w14:paraId="1056A02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90.251,54</w:t>
            </w:r>
          </w:p>
        </w:tc>
        <w:tc>
          <w:tcPr>
            <w:tcW w:w="1134" w:type="dxa"/>
            <w:hideMark/>
          </w:tcPr>
          <w:p w14:paraId="664A8F5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68.616,77</w:t>
            </w:r>
          </w:p>
        </w:tc>
        <w:tc>
          <w:tcPr>
            <w:tcW w:w="1134" w:type="dxa"/>
            <w:hideMark/>
          </w:tcPr>
          <w:p w14:paraId="55691B7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132.290,16</w:t>
            </w:r>
          </w:p>
        </w:tc>
        <w:tc>
          <w:tcPr>
            <w:tcW w:w="1282" w:type="dxa"/>
            <w:hideMark/>
          </w:tcPr>
          <w:p w14:paraId="3C50C7C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37.697,32</w:t>
            </w:r>
          </w:p>
        </w:tc>
      </w:tr>
      <w:tr w:rsidR="00193733" w:rsidRPr="009772A3" w14:paraId="230550AA"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3FBD1ED"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0EB13E21"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5.Avansuri acordate pentru stocuri</w:t>
            </w:r>
          </w:p>
        </w:tc>
        <w:tc>
          <w:tcPr>
            <w:tcW w:w="1134" w:type="dxa"/>
            <w:hideMark/>
          </w:tcPr>
          <w:p w14:paraId="40A937F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6D5504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0769C0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14D5EC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03A2A7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10.144,96</w:t>
            </w:r>
          </w:p>
        </w:tc>
        <w:tc>
          <w:tcPr>
            <w:tcW w:w="1282" w:type="dxa"/>
            <w:hideMark/>
          </w:tcPr>
          <w:p w14:paraId="727C3B8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7.678,97</w:t>
            </w:r>
          </w:p>
        </w:tc>
      </w:tr>
      <w:tr w:rsidR="00193733" w:rsidRPr="009772A3" w14:paraId="2D5CD953"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DF44554"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F146A80"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II. Creanțe curente și alte active circulante </w:t>
            </w:r>
            <w:r w:rsidRPr="009772A3">
              <w:rPr>
                <w:rFonts w:asciiTheme="majorHAnsi" w:eastAsia="Times New Roman" w:hAnsiTheme="majorHAnsi" w:cstheme="majorHAnsi"/>
                <w:i/>
                <w:iCs/>
                <w:sz w:val="16"/>
                <w:szCs w:val="18"/>
                <w:lang w:val="ro-MD"/>
              </w:rPr>
              <w:t>(rd.300+rd.310+rd.320+rd.330+rd.340+rd.350+rd.360)</w:t>
            </w:r>
          </w:p>
        </w:tc>
        <w:tc>
          <w:tcPr>
            <w:tcW w:w="1134" w:type="dxa"/>
            <w:hideMark/>
          </w:tcPr>
          <w:p w14:paraId="0D46992E" w14:textId="2A7A1A8D" w:rsidR="00193733" w:rsidRPr="009772A3" w:rsidRDefault="009D02BF"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5.120.396,8</w:t>
            </w:r>
          </w:p>
        </w:tc>
        <w:tc>
          <w:tcPr>
            <w:tcW w:w="1134" w:type="dxa"/>
            <w:hideMark/>
          </w:tcPr>
          <w:p w14:paraId="686F23AB" w14:textId="7B4853EB" w:rsidR="00193733" w:rsidRPr="009772A3" w:rsidRDefault="009D02BF"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4.755.486,8</w:t>
            </w:r>
          </w:p>
        </w:tc>
        <w:tc>
          <w:tcPr>
            <w:tcW w:w="1134" w:type="dxa"/>
            <w:hideMark/>
          </w:tcPr>
          <w:p w14:paraId="0AB84C8A" w14:textId="23773B3E" w:rsidR="00193733" w:rsidRPr="009772A3" w:rsidRDefault="009D02BF"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4.857.805,</w:t>
            </w:r>
            <w:r w:rsidR="00193733" w:rsidRPr="009772A3">
              <w:rPr>
                <w:rFonts w:asciiTheme="majorHAnsi" w:eastAsia="Times New Roman" w:hAnsiTheme="majorHAnsi" w:cstheme="majorHAnsi"/>
                <w:b/>
                <w:bCs/>
                <w:sz w:val="16"/>
                <w:szCs w:val="18"/>
                <w:lang w:val="ro-MD"/>
              </w:rPr>
              <w:t>9</w:t>
            </w:r>
          </w:p>
        </w:tc>
        <w:tc>
          <w:tcPr>
            <w:tcW w:w="1134" w:type="dxa"/>
            <w:hideMark/>
          </w:tcPr>
          <w:p w14:paraId="5B5CEF72" w14:textId="04F181F8" w:rsidR="00193733" w:rsidRPr="009772A3" w:rsidRDefault="009D02BF"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4.295.559,</w:t>
            </w:r>
            <w:r w:rsidR="00193733" w:rsidRPr="009772A3">
              <w:rPr>
                <w:rFonts w:asciiTheme="majorHAnsi" w:eastAsia="Times New Roman" w:hAnsiTheme="majorHAnsi" w:cstheme="majorHAnsi"/>
                <w:b/>
                <w:bCs/>
                <w:sz w:val="16"/>
                <w:szCs w:val="18"/>
                <w:lang w:val="ro-MD"/>
              </w:rPr>
              <w:t>8</w:t>
            </w:r>
          </w:p>
        </w:tc>
        <w:tc>
          <w:tcPr>
            <w:tcW w:w="1134" w:type="dxa"/>
            <w:hideMark/>
          </w:tcPr>
          <w:p w14:paraId="175AD3CA" w14:textId="229A5A22" w:rsidR="00193733" w:rsidRPr="009772A3" w:rsidRDefault="009D02BF"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3.543.271,7</w:t>
            </w:r>
          </w:p>
        </w:tc>
        <w:tc>
          <w:tcPr>
            <w:tcW w:w="1282" w:type="dxa"/>
            <w:hideMark/>
          </w:tcPr>
          <w:p w14:paraId="127BAB07" w14:textId="705A503F" w:rsidR="00193733" w:rsidRPr="009772A3" w:rsidRDefault="009D02BF"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3.098.863,9</w:t>
            </w:r>
          </w:p>
        </w:tc>
      </w:tr>
      <w:tr w:rsidR="00193733" w:rsidRPr="009772A3" w14:paraId="37DEE7E1"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E0A1E51"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539E91C"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 Creanțe comerciale curente</w:t>
            </w:r>
          </w:p>
        </w:tc>
        <w:tc>
          <w:tcPr>
            <w:tcW w:w="1134" w:type="dxa"/>
            <w:hideMark/>
          </w:tcPr>
          <w:p w14:paraId="59B0AF4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3.941.803,09</w:t>
            </w:r>
          </w:p>
        </w:tc>
        <w:tc>
          <w:tcPr>
            <w:tcW w:w="1134" w:type="dxa"/>
            <w:hideMark/>
          </w:tcPr>
          <w:p w14:paraId="6A4174B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3.711.999,09</w:t>
            </w:r>
          </w:p>
        </w:tc>
        <w:tc>
          <w:tcPr>
            <w:tcW w:w="1134" w:type="dxa"/>
            <w:hideMark/>
          </w:tcPr>
          <w:p w14:paraId="6C283BB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3.620.011,68</w:t>
            </w:r>
          </w:p>
        </w:tc>
        <w:tc>
          <w:tcPr>
            <w:tcW w:w="1134" w:type="dxa"/>
            <w:hideMark/>
          </w:tcPr>
          <w:p w14:paraId="5E88D3F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3.169.057,62</w:t>
            </w:r>
          </w:p>
        </w:tc>
        <w:tc>
          <w:tcPr>
            <w:tcW w:w="1134" w:type="dxa"/>
            <w:hideMark/>
          </w:tcPr>
          <w:p w14:paraId="4239ADB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2.603.235,14</w:t>
            </w:r>
          </w:p>
        </w:tc>
        <w:tc>
          <w:tcPr>
            <w:tcW w:w="1282" w:type="dxa"/>
            <w:hideMark/>
          </w:tcPr>
          <w:p w14:paraId="39CAE5C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1.922.393,95</w:t>
            </w:r>
          </w:p>
        </w:tc>
      </w:tr>
      <w:tr w:rsidR="00193733" w:rsidRPr="009772A3" w14:paraId="40609AC4"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D72669F"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8D7D155"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2.Creanțe ale părților afiliate </w:t>
            </w:r>
          </w:p>
        </w:tc>
        <w:tc>
          <w:tcPr>
            <w:tcW w:w="1134" w:type="dxa"/>
            <w:hideMark/>
          </w:tcPr>
          <w:p w14:paraId="7A866F2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26.876,79</w:t>
            </w:r>
          </w:p>
        </w:tc>
        <w:tc>
          <w:tcPr>
            <w:tcW w:w="1134" w:type="dxa"/>
            <w:hideMark/>
          </w:tcPr>
          <w:p w14:paraId="12645EF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19.163,17</w:t>
            </w:r>
          </w:p>
        </w:tc>
        <w:tc>
          <w:tcPr>
            <w:tcW w:w="1134" w:type="dxa"/>
            <w:hideMark/>
          </w:tcPr>
          <w:p w14:paraId="2F9B7A4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19.253,71</w:t>
            </w:r>
          </w:p>
        </w:tc>
        <w:tc>
          <w:tcPr>
            <w:tcW w:w="1134" w:type="dxa"/>
            <w:hideMark/>
          </w:tcPr>
          <w:p w14:paraId="7AAFB6A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15.316,40</w:t>
            </w:r>
          </w:p>
        </w:tc>
        <w:tc>
          <w:tcPr>
            <w:tcW w:w="1134" w:type="dxa"/>
            <w:hideMark/>
          </w:tcPr>
          <w:p w14:paraId="41FE5CD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3.597,53</w:t>
            </w:r>
          </w:p>
        </w:tc>
        <w:tc>
          <w:tcPr>
            <w:tcW w:w="1282" w:type="dxa"/>
            <w:hideMark/>
          </w:tcPr>
          <w:p w14:paraId="563B6A0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19.406,62</w:t>
            </w:r>
          </w:p>
        </w:tc>
      </w:tr>
      <w:tr w:rsidR="00193733" w:rsidRPr="009772A3" w14:paraId="6B309AC1"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51E187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E9D36BD"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3.Creante ale bugetului </w:t>
            </w:r>
          </w:p>
        </w:tc>
        <w:tc>
          <w:tcPr>
            <w:tcW w:w="1134" w:type="dxa"/>
            <w:hideMark/>
          </w:tcPr>
          <w:p w14:paraId="7049E2A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456.726,35</w:t>
            </w:r>
          </w:p>
        </w:tc>
        <w:tc>
          <w:tcPr>
            <w:tcW w:w="1134" w:type="dxa"/>
            <w:hideMark/>
          </w:tcPr>
          <w:p w14:paraId="5D87F89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451.339,65</w:t>
            </w:r>
          </w:p>
        </w:tc>
        <w:tc>
          <w:tcPr>
            <w:tcW w:w="1134" w:type="dxa"/>
            <w:hideMark/>
          </w:tcPr>
          <w:p w14:paraId="44591C1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621.230,82</w:t>
            </w:r>
          </w:p>
        </w:tc>
        <w:tc>
          <w:tcPr>
            <w:tcW w:w="1134" w:type="dxa"/>
            <w:hideMark/>
          </w:tcPr>
          <w:p w14:paraId="29985B2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600.268,36</w:t>
            </w:r>
          </w:p>
        </w:tc>
        <w:tc>
          <w:tcPr>
            <w:tcW w:w="1134" w:type="dxa"/>
            <w:hideMark/>
          </w:tcPr>
          <w:p w14:paraId="54EDC01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499.403,85</w:t>
            </w:r>
          </w:p>
        </w:tc>
        <w:tc>
          <w:tcPr>
            <w:tcW w:w="1282" w:type="dxa"/>
            <w:hideMark/>
          </w:tcPr>
          <w:p w14:paraId="3FEFBCF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773.265,47</w:t>
            </w:r>
          </w:p>
        </w:tc>
      </w:tr>
      <w:tr w:rsidR="00193733" w:rsidRPr="009772A3" w14:paraId="226258BA"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2ADCE3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0CC96E8"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4.Creante ale personalului </w:t>
            </w:r>
          </w:p>
        </w:tc>
        <w:tc>
          <w:tcPr>
            <w:tcW w:w="1134" w:type="dxa"/>
            <w:hideMark/>
          </w:tcPr>
          <w:p w14:paraId="63C5F8F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3.200,72</w:t>
            </w:r>
          </w:p>
        </w:tc>
        <w:tc>
          <w:tcPr>
            <w:tcW w:w="1134" w:type="dxa"/>
            <w:hideMark/>
          </w:tcPr>
          <w:p w14:paraId="3CED7F9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3.641,91</w:t>
            </w:r>
          </w:p>
        </w:tc>
        <w:tc>
          <w:tcPr>
            <w:tcW w:w="1134" w:type="dxa"/>
            <w:hideMark/>
          </w:tcPr>
          <w:p w14:paraId="7E44857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3.107,68</w:t>
            </w:r>
          </w:p>
        </w:tc>
        <w:tc>
          <w:tcPr>
            <w:tcW w:w="1134" w:type="dxa"/>
            <w:hideMark/>
          </w:tcPr>
          <w:p w14:paraId="25C2111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3.745,91</w:t>
            </w:r>
          </w:p>
        </w:tc>
        <w:tc>
          <w:tcPr>
            <w:tcW w:w="1134" w:type="dxa"/>
            <w:hideMark/>
          </w:tcPr>
          <w:p w14:paraId="21172D0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3.758,34</w:t>
            </w:r>
          </w:p>
        </w:tc>
        <w:tc>
          <w:tcPr>
            <w:tcW w:w="1282" w:type="dxa"/>
            <w:hideMark/>
          </w:tcPr>
          <w:p w14:paraId="11270E7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645,23</w:t>
            </w:r>
          </w:p>
        </w:tc>
      </w:tr>
      <w:tr w:rsidR="00193733" w:rsidRPr="009772A3" w14:paraId="591C4705"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1F2903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193741C"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5. Alte creanțe curente </w:t>
            </w:r>
          </w:p>
        </w:tc>
        <w:tc>
          <w:tcPr>
            <w:tcW w:w="1134" w:type="dxa"/>
            <w:hideMark/>
          </w:tcPr>
          <w:p w14:paraId="50DA1FC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553.816,00</w:t>
            </w:r>
          </w:p>
        </w:tc>
        <w:tc>
          <w:tcPr>
            <w:tcW w:w="1134" w:type="dxa"/>
            <w:hideMark/>
          </w:tcPr>
          <w:p w14:paraId="5B00F0D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519.002,80</w:t>
            </w:r>
          </w:p>
        </w:tc>
        <w:tc>
          <w:tcPr>
            <w:tcW w:w="1134" w:type="dxa"/>
            <w:hideMark/>
          </w:tcPr>
          <w:p w14:paraId="4E23B3F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519.345,88</w:t>
            </w:r>
          </w:p>
        </w:tc>
        <w:tc>
          <w:tcPr>
            <w:tcW w:w="1134" w:type="dxa"/>
            <w:hideMark/>
          </w:tcPr>
          <w:p w14:paraId="4ABB87A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473.312,79</w:t>
            </w:r>
          </w:p>
        </w:tc>
        <w:tc>
          <w:tcPr>
            <w:tcW w:w="1134" w:type="dxa"/>
            <w:hideMark/>
          </w:tcPr>
          <w:p w14:paraId="1750271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421.548,92</w:t>
            </w:r>
          </w:p>
        </w:tc>
        <w:tc>
          <w:tcPr>
            <w:tcW w:w="1282" w:type="dxa"/>
            <w:hideMark/>
          </w:tcPr>
          <w:p w14:paraId="78F7E51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370.693,07</w:t>
            </w:r>
          </w:p>
        </w:tc>
      </w:tr>
      <w:tr w:rsidR="00964481" w:rsidRPr="009772A3" w14:paraId="3E40AA5E"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CDD7657"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711B42F"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6.Cheltuieli anticipate curente </w:t>
            </w:r>
          </w:p>
        </w:tc>
        <w:tc>
          <w:tcPr>
            <w:tcW w:w="1134" w:type="dxa"/>
            <w:hideMark/>
          </w:tcPr>
          <w:p w14:paraId="0D3A3AF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noWrap/>
            <w:hideMark/>
          </w:tcPr>
          <w:p w14:paraId="0DF562B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p>
        </w:tc>
        <w:tc>
          <w:tcPr>
            <w:tcW w:w="1134" w:type="dxa"/>
            <w:hideMark/>
          </w:tcPr>
          <w:p w14:paraId="19D99EF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CB3327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1A3811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4.097,30</w:t>
            </w:r>
          </w:p>
        </w:tc>
        <w:tc>
          <w:tcPr>
            <w:tcW w:w="1282" w:type="dxa"/>
            <w:hideMark/>
          </w:tcPr>
          <w:p w14:paraId="489CB10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4.375,03</w:t>
            </w:r>
          </w:p>
        </w:tc>
      </w:tr>
      <w:tr w:rsidR="00193733" w:rsidRPr="009772A3" w14:paraId="321FFE7B"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1D4BAE7"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9131931"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7.Alte active circulante</w:t>
            </w:r>
          </w:p>
        </w:tc>
        <w:tc>
          <w:tcPr>
            <w:tcW w:w="1134" w:type="dxa"/>
            <w:hideMark/>
          </w:tcPr>
          <w:p w14:paraId="1CBA4E8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17.710,38</w:t>
            </w:r>
          </w:p>
        </w:tc>
        <w:tc>
          <w:tcPr>
            <w:tcW w:w="1134" w:type="dxa"/>
            <w:hideMark/>
          </w:tcPr>
          <w:p w14:paraId="3262A5A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5.053,24</w:t>
            </w:r>
          </w:p>
        </w:tc>
        <w:tc>
          <w:tcPr>
            <w:tcW w:w="1134" w:type="dxa"/>
            <w:hideMark/>
          </w:tcPr>
          <w:p w14:paraId="0D7A862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9.621,13</w:t>
            </w:r>
          </w:p>
        </w:tc>
        <w:tc>
          <w:tcPr>
            <w:tcW w:w="1134" w:type="dxa"/>
            <w:hideMark/>
          </w:tcPr>
          <w:p w14:paraId="3079A21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12.971,61</w:t>
            </w:r>
          </w:p>
        </w:tc>
        <w:tc>
          <w:tcPr>
            <w:tcW w:w="1134" w:type="dxa"/>
            <w:hideMark/>
          </w:tcPr>
          <w:p w14:paraId="454C4C5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7.630,62</w:t>
            </w:r>
          </w:p>
        </w:tc>
        <w:tc>
          <w:tcPr>
            <w:tcW w:w="1282" w:type="dxa"/>
            <w:hideMark/>
          </w:tcPr>
          <w:p w14:paraId="1B193C0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8.084,60</w:t>
            </w:r>
          </w:p>
        </w:tc>
      </w:tr>
      <w:tr w:rsidR="00193733" w:rsidRPr="009772A3" w14:paraId="073CDD38"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07281CA"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3E9D257"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8.Avansuri acordate curente</w:t>
            </w:r>
          </w:p>
        </w:tc>
        <w:tc>
          <w:tcPr>
            <w:tcW w:w="1134" w:type="dxa"/>
            <w:hideMark/>
          </w:tcPr>
          <w:p w14:paraId="0C3710A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120.263,49</w:t>
            </w:r>
          </w:p>
        </w:tc>
        <w:tc>
          <w:tcPr>
            <w:tcW w:w="1134" w:type="dxa"/>
            <w:hideMark/>
          </w:tcPr>
          <w:p w14:paraId="378771B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45.286,95</w:t>
            </w:r>
          </w:p>
        </w:tc>
        <w:tc>
          <w:tcPr>
            <w:tcW w:w="1134" w:type="dxa"/>
            <w:hideMark/>
          </w:tcPr>
          <w:p w14:paraId="62238F5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65.234,69</w:t>
            </w:r>
          </w:p>
        </w:tc>
        <w:tc>
          <w:tcPr>
            <w:tcW w:w="1134" w:type="dxa"/>
            <w:hideMark/>
          </w:tcPr>
          <w:p w14:paraId="093FE0F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20.886,69</w:t>
            </w:r>
          </w:p>
        </w:tc>
        <w:tc>
          <w:tcPr>
            <w:tcW w:w="1134" w:type="dxa"/>
            <w:hideMark/>
          </w:tcPr>
          <w:p w14:paraId="72A6391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6DE8637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1F36EF1C"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4FF731A"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6EF8A69"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III.Investiții financiare curente </w:t>
            </w:r>
            <w:r w:rsidRPr="009772A3">
              <w:rPr>
                <w:rFonts w:asciiTheme="majorHAnsi" w:eastAsia="Times New Roman" w:hAnsiTheme="majorHAnsi" w:cstheme="majorHAnsi"/>
                <w:i/>
                <w:iCs/>
                <w:sz w:val="16"/>
                <w:szCs w:val="18"/>
                <w:lang w:val="ro-MD"/>
              </w:rPr>
              <w:t xml:space="preserve"> (rd.380+rd.390)</w:t>
            </w:r>
          </w:p>
        </w:tc>
        <w:tc>
          <w:tcPr>
            <w:tcW w:w="1134" w:type="dxa"/>
            <w:hideMark/>
          </w:tcPr>
          <w:p w14:paraId="7E9D891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134" w:type="dxa"/>
            <w:hideMark/>
          </w:tcPr>
          <w:p w14:paraId="7CA0A12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134" w:type="dxa"/>
            <w:hideMark/>
          </w:tcPr>
          <w:p w14:paraId="39541E2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B1694A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C52224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282" w:type="dxa"/>
            <w:hideMark/>
          </w:tcPr>
          <w:p w14:paraId="55FB27E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r>
      <w:tr w:rsidR="00193733" w:rsidRPr="009772A3" w14:paraId="0EF9BE89"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97FDA5E"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58E90FC7"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1.Investiții financiare curente în părți neafiliate </w:t>
            </w:r>
          </w:p>
        </w:tc>
        <w:tc>
          <w:tcPr>
            <w:tcW w:w="1134" w:type="dxa"/>
            <w:hideMark/>
          </w:tcPr>
          <w:p w14:paraId="000F380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2E4821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35F6C4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EC9783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215DE9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282" w:type="dxa"/>
            <w:hideMark/>
          </w:tcPr>
          <w:p w14:paraId="1C088C4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0D2A7C9D"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E0F503C"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C85C5B1"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2.Investiții financiare curente în părți afiliate </w:t>
            </w:r>
          </w:p>
        </w:tc>
        <w:tc>
          <w:tcPr>
            <w:tcW w:w="1134" w:type="dxa"/>
            <w:hideMark/>
          </w:tcPr>
          <w:p w14:paraId="42FE047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5FE626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B112DE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D1BE59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244B64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282" w:type="dxa"/>
            <w:hideMark/>
          </w:tcPr>
          <w:p w14:paraId="6112113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964481" w:rsidRPr="009772A3" w14:paraId="5B7B68EB"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1FB578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25963E8"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IV.Numerar și documente bănești </w:t>
            </w:r>
            <w:r w:rsidRPr="009772A3">
              <w:rPr>
                <w:rFonts w:asciiTheme="majorHAnsi" w:eastAsia="Times New Roman" w:hAnsiTheme="majorHAnsi" w:cstheme="majorHAnsi"/>
                <w:i/>
                <w:iCs/>
                <w:sz w:val="16"/>
                <w:szCs w:val="18"/>
                <w:lang w:val="ro-MD"/>
              </w:rPr>
              <w:t>(rd.410)</w:t>
            </w:r>
          </w:p>
        </w:tc>
        <w:tc>
          <w:tcPr>
            <w:tcW w:w="1134" w:type="dxa"/>
            <w:hideMark/>
          </w:tcPr>
          <w:p w14:paraId="0A5A85EA" w14:textId="1F3AC809" w:rsidR="00193733" w:rsidRPr="009772A3" w:rsidRDefault="001136EA"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243.385,</w:t>
            </w:r>
            <w:r w:rsidR="00193733" w:rsidRPr="009772A3">
              <w:rPr>
                <w:rFonts w:asciiTheme="majorHAnsi" w:eastAsia="Times New Roman" w:hAnsiTheme="majorHAnsi" w:cstheme="majorHAnsi"/>
                <w:b/>
                <w:bCs/>
                <w:sz w:val="16"/>
                <w:szCs w:val="18"/>
                <w:lang w:val="ro-MD"/>
              </w:rPr>
              <w:t>8</w:t>
            </w:r>
          </w:p>
        </w:tc>
        <w:tc>
          <w:tcPr>
            <w:tcW w:w="1134" w:type="dxa"/>
            <w:hideMark/>
          </w:tcPr>
          <w:p w14:paraId="4DD01230" w14:textId="74DAE99A" w:rsidR="00193733" w:rsidRPr="009772A3" w:rsidRDefault="001136EA"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1.282.212,</w:t>
            </w:r>
            <w:r w:rsidR="00193733" w:rsidRPr="009772A3">
              <w:rPr>
                <w:rFonts w:asciiTheme="majorHAnsi" w:eastAsia="Times New Roman" w:hAnsiTheme="majorHAnsi" w:cstheme="majorHAnsi"/>
                <w:b/>
                <w:bCs/>
                <w:sz w:val="16"/>
                <w:szCs w:val="18"/>
                <w:lang w:val="ro-MD"/>
              </w:rPr>
              <w:t>0</w:t>
            </w:r>
          </w:p>
        </w:tc>
        <w:tc>
          <w:tcPr>
            <w:tcW w:w="1134" w:type="dxa"/>
            <w:hideMark/>
          </w:tcPr>
          <w:p w14:paraId="42568D69" w14:textId="1651A65E" w:rsidR="00193733" w:rsidRPr="009772A3" w:rsidRDefault="001136EA"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615.366,</w:t>
            </w:r>
            <w:r w:rsidR="00193733" w:rsidRPr="009772A3">
              <w:rPr>
                <w:rFonts w:asciiTheme="majorHAnsi" w:eastAsia="Times New Roman" w:hAnsiTheme="majorHAnsi" w:cstheme="majorHAnsi"/>
                <w:b/>
                <w:bCs/>
                <w:sz w:val="16"/>
                <w:szCs w:val="18"/>
                <w:lang w:val="ro-MD"/>
              </w:rPr>
              <w:t>0</w:t>
            </w:r>
          </w:p>
        </w:tc>
        <w:tc>
          <w:tcPr>
            <w:tcW w:w="1134" w:type="dxa"/>
            <w:hideMark/>
          </w:tcPr>
          <w:p w14:paraId="0D7BC40C" w14:textId="0CEDE22A" w:rsidR="00193733" w:rsidRPr="009772A3" w:rsidRDefault="001136EA"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109.691,9</w:t>
            </w:r>
          </w:p>
        </w:tc>
        <w:tc>
          <w:tcPr>
            <w:tcW w:w="1134" w:type="dxa"/>
            <w:hideMark/>
          </w:tcPr>
          <w:p w14:paraId="601CBE19" w14:textId="19298A0C" w:rsidR="00193733" w:rsidRPr="009772A3" w:rsidRDefault="00193733" w:rsidP="001136E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346.915,8</w:t>
            </w:r>
          </w:p>
        </w:tc>
        <w:tc>
          <w:tcPr>
            <w:tcW w:w="1282" w:type="dxa"/>
            <w:hideMark/>
          </w:tcPr>
          <w:p w14:paraId="49B5B8B2" w14:textId="71D7E9BE" w:rsidR="00193733" w:rsidRPr="009772A3" w:rsidRDefault="00193733" w:rsidP="001136E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184.258,</w:t>
            </w:r>
            <w:r w:rsidR="001136EA" w:rsidRPr="009772A3">
              <w:rPr>
                <w:rFonts w:asciiTheme="majorHAnsi" w:eastAsia="Times New Roman" w:hAnsiTheme="majorHAnsi" w:cstheme="majorHAnsi"/>
                <w:b/>
                <w:bCs/>
                <w:sz w:val="16"/>
                <w:szCs w:val="18"/>
                <w:lang w:val="ro-MD"/>
              </w:rPr>
              <w:t>9</w:t>
            </w:r>
          </w:p>
        </w:tc>
      </w:tr>
      <w:tr w:rsidR="00193733" w:rsidRPr="009772A3" w14:paraId="3B1B17BF"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874DA90"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5F17BF7"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TOTAL ACTIVE CIRCULANTE</w:t>
            </w:r>
          </w:p>
        </w:tc>
        <w:tc>
          <w:tcPr>
            <w:tcW w:w="1134" w:type="dxa"/>
            <w:hideMark/>
          </w:tcPr>
          <w:p w14:paraId="3C2D684E" w14:textId="44776276" w:rsidR="00193733" w:rsidRPr="009772A3" w:rsidRDefault="001136E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5.574.022,1</w:t>
            </w:r>
          </w:p>
        </w:tc>
        <w:tc>
          <w:tcPr>
            <w:tcW w:w="1134" w:type="dxa"/>
            <w:hideMark/>
          </w:tcPr>
          <w:p w14:paraId="35074D4E" w14:textId="7F1DCD39" w:rsidR="00193733" w:rsidRPr="009772A3" w:rsidRDefault="001136E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6.213.880,</w:t>
            </w:r>
            <w:r w:rsidR="00193733" w:rsidRPr="009772A3">
              <w:rPr>
                <w:rFonts w:asciiTheme="majorHAnsi" w:eastAsia="Times New Roman" w:hAnsiTheme="majorHAnsi" w:cstheme="majorHAnsi"/>
                <w:b/>
                <w:bCs/>
                <w:sz w:val="16"/>
                <w:szCs w:val="18"/>
                <w:lang w:val="ro-MD"/>
              </w:rPr>
              <w:t>4</w:t>
            </w:r>
          </w:p>
        </w:tc>
        <w:tc>
          <w:tcPr>
            <w:tcW w:w="1134" w:type="dxa"/>
            <w:hideMark/>
          </w:tcPr>
          <w:p w14:paraId="742D826C" w14:textId="536F732E" w:rsidR="00193733" w:rsidRPr="009772A3" w:rsidRDefault="001136E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5.686.801,8</w:t>
            </w:r>
          </w:p>
        </w:tc>
        <w:tc>
          <w:tcPr>
            <w:tcW w:w="1134" w:type="dxa"/>
            <w:hideMark/>
          </w:tcPr>
          <w:p w14:paraId="10F16851" w14:textId="467872C5" w:rsidR="00193733" w:rsidRPr="009772A3" w:rsidRDefault="001136E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4.597.229,</w:t>
            </w:r>
            <w:r w:rsidR="00193733" w:rsidRPr="009772A3">
              <w:rPr>
                <w:rFonts w:asciiTheme="majorHAnsi" w:eastAsia="Times New Roman" w:hAnsiTheme="majorHAnsi" w:cstheme="majorHAnsi"/>
                <w:b/>
                <w:bCs/>
                <w:sz w:val="16"/>
                <w:szCs w:val="18"/>
                <w:lang w:val="ro-MD"/>
              </w:rPr>
              <w:t>6</w:t>
            </w:r>
          </w:p>
        </w:tc>
        <w:tc>
          <w:tcPr>
            <w:tcW w:w="1134" w:type="dxa"/>
            <w:hideMark/>
          </w:tcPr>
          <w:p w14:paraId="183BA14D" w14:textId="0BB262DD" w:rsidR="00193733" w:rsidRPr="009772A3" w:rsidRDefault="001136E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4.144.135,2</w:t>
            </w:r>
          </w:p>
        </w:tc>
        <w:tc>
          <w:tcPr>
            <w:tcW w:w="1282" w:type="dxa"/>
            <w:hideMark/>
          </w:tcPr>
          <w:p w14:paraId="42A7D174" w14:textId="6506F9C1" w:rsidR="00193733" w:rsidRPr="009772A3" w:rsidRDefault="001136EA"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3.467.491,</w:t>
            </w:r>
            <w:r w:rsidR="00193733" w:rsidRPr="009772A3">
              <w:rPr>
                <w:rFonts w:asciiTheme="majorHAnsi" w:eastAsia="Times New Roman" w:hAnsiTheme="majorHAnsi" w:cstheme="majorHAnsi"/>
                <w:b/>
                <w:bCs/>
                <w:sz w:val="16"/>
                <w:szCs w:val="18"/>
                <w:lang w:val="ro-MD"/>
              </w:rPr>
              <w:t>8</w:t>
            </w:r>
          </w:p>
        </w:tc>
      </w:tr>
      <w:tr w:rsidR="00964481" w:rsidRPr="009772A3" w14:paraId="5545A9E4"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196AD49A" w14:textId="77777777" w:rsidR="00193733" w:rsidRPr="009772A3" w:rsidRDefault="00193733" w:rsidP="00DE381A">
            <w:pP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2552" w:type="dxa"/>
            <w:hideMark/>
          </w:tcPr>
          <w:p w14:paraId="326AE619" w14:textId="77777777" w:rsidR="00193733" w:rsidRPr="009772A3" w:rsidRDefault="00193733"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TOTAL ACTIVE </w:t>
            </w:r>
            <w:r w:rsidRPr="009772A3">
              <w:rPr>
                <w:rFonts w:asciiTheme="majorHAnsi" w:eastAsia="Times New Roman" w:hAnsiTheme="majorHAnsi" w:cstheme="majorHAnsi"/>
                <w:i/>
                <w:iCs/>
                <w:sz w:val="16"/>
                <w:szCs w:val="18"/>
                <w:lang w:val="ro-MD"/>
              </w:rPr>
              <w:t>( rd.230+rd.420)</w:t>
            </w:r>
          </w:p>
        </w:tc>
        <w:tc>
          <w:tcPr>
            <w:tcW w:w="1134" w:type="dxa"/>
            <w:hideMark/>
          </w:tcPr>
          <w:p w14:paraId="4A0A11DE" w14:textId="7D067204" w:rsidR="00193733" w:rsidRPr="009772A3" w:rsidRDefault="001136EA"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11.551.517,3</w:t>
            </w:r>
          </w:p>
        </w:tc>
        <w:tc>
          <w:tcPr>
            <w:tcW w:w="1134" w:type="dxa"/>
            <w:hideMark/>
          </w:tcPr>
          <w:p w14:paraId="7F5C41BE" w14:textId="01399624" w:rsidR="00193733" w:rsidRPr="009772A3" w:rsidRDefault="001136EA"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12.211.523,7</w:t>
            </w:r>
          </w:p>
        </w:tc>
        <w:tc>
          <w:tcPr>
            <w:tcW w:w="1134" w:type="dxa"/>
            <w:hideMark/>
          </w:tcPr>
          <w:p w14:paraId="11531CE6" w14:textId="09A82108" w:rsidR="00193733" w:rsidRPr="009772A3" w:rsidRDefault="00193733" w:rsidP="001136E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11.718.185,9</w:t>
            </w:r>
          </w:p>
        </w:tc>
        <w:tc>
          <w:tcPr>
            <w:tcW w:w="1134" w:type="dxa"/>
            <w:hideMark/>
          </w:tcPr>
          <w:p w14:paraId="3C88553C" w14:textId="1693777E" w:rsidR="00193733" w:rsidRPr="009772A3" w:rsidRDefault="00193733" w:rsidP="001136E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11.682.808,4</w:t>
            </w:r>
          </w:p>
        </w:tc>
        <w:tc>
          <w:tcPr>
            <w:tcW w:w="1134" w:type="dxa"/>
            <w:hideMark/>
          </w:tcPr>
          <w:p w14:paraId="553AA2AE" w14:textId="46058A5E" w:rsidR="00193733" w:rsidRPr="009772A3" w:rsidRDefault="00193733" w:rsidP="001136E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10.917.015,0</w:t>
            </w:r>
          </w:p>
        </w:tc>
        <w:tc>
          <w:tcPr>
            <w:tcW w:w="1282" w:type="dxa"/>
            <w:hideMark/>
          </w:tcPr>
          <w:p w14:paraId="457FDCC7" w14:textId="467EE577" w:rsidR="00193733" w:rsidRPr="009772A3" w:rsidRDefault="001136EA"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11.106.542,</w:t>
            </w:r>
            <w:r w:rsidR="00193733" w:rsidRPr="009772A3">
              <w:rPr>
                <w:rFonts w:asciiTheme="majorHAnsi" w:eastAsia="Times New Roman" w:hAnsiTheme="majorHAnsi" w:cstheme="majorHAnsi"/>
                <w:b/>
                <w:bCs/>
                <w:sz w:val="16"/>
                <w:szCs w:val="18"/>
                <w:lang w:val="ro-MD"/>
              </w:rPr>
              <w:t>7</w:t>
            </w:r>
          </w:p>
        </w:tc>
      </w:tr>
      <w:tr w:rsidR="00193733" w:rsidRPr="009772A3" w14:paraId="496FDD2A"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6C93635F" w14:textId="77777777" w:rsidR="00193733" w:rsidRPr="009772A3" w:rsidRDefault="00193733" w:rsidP="00DE381A">
            <w:pPr>
              <w:jc w:val="cente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C</w:t>
            </w:r>
          </w:p>
        </w:tc>
        <w:tc>
          <w:tcPr>
            <w:tcW w:w="2552" w:type="dxa"/>
            <w:hideMark/>
          </w:tcPr>
          <w:p w14:paraId="6D5821A7"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CAPITAL PROPRIU</w:t>
            </w:r>
          </w:p>
        </w:tc>
        <w:tc>
          <w:tcPr>
            <w:tcW w:w="1134" w:type="dxa"/>
            <w:hideMark/>
          </w:tcPr>
          <w:p w14:paraId="6910047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-3.789.120,48</w:t>
            </w:r>
          </w:p>
        </w:tc>
        <w:tc>
          <w:tcPr>
            <w:tcW w:w="1134" w:type="dxa"/>
            <w:hideMark/>
          </w:tcPr>
          <w:p w14:paraId="268852B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-1.724.851,78</w:t>
            </w:r>
          </w:p>
        </w:tc>
        <w:tc>
          <w:tcPr>
            <w:tcW w:w="1134" w:type="dxa"/>
            <w:hideMark/>
          </w:tcPr>
          <w:p w14:paraId="56DA68F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-1.568.487,12</w:t>
            </w:r>
          </w:p>
        </w:tc>
        <w:tc>
          <w:tcPr>
            <w:tcW w:w="1134" w:type="dxa"/>
            <w:hideMark/>
          </w:tcPr>
          <w:p w14:paraId="13F9727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(1 491 026 773)</w:t>
            </w:r>
          </w:p>
        </w:tc>
        <w:tc>
          <w:tcPr>
            <w:tcW w:w="1134" w:type="dxa"/>
            <w:hideMark/>
          </w:tcPr>
          <w:p w14:paraId="63A93BE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(1 938 509 033)</w:t>
            </w:r>
          </w:p>
        </w:tc>
        <w:tc>
          <w:tcPr>
            <w:tcW w:w="1282" w:type="dxa"/>
            <w:hideMark/>
          </w:tcPr>
          <w:p w14:paraId="6E6C3D1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964481" w:rsidRPr="009772A3" w14:paraId="24556BBA"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3847763"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BE4F6B7"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I.Capital social și neînregistrat </w:t>
            </w:r>
            <w:r w:rsidRPr="009772A3">
              <w:rPr>
                <w:rFonts w:asciiTheme="majorHAnsi" w:eastAsia="Times New Roman" w:hAnsiTheme="majorHAnsi" w:cstheme="majorHAnsi"/>
                <w:i/>
                <w:iCs/>
                <w:sz w:val="16"/>
                <w:szCs w:val="18"/>
                <w:lang w:val="ro-MD"/>
              </w:rPr>
              <w:t>(rd.440+rd.450+rd.460+rd.470+rd.480)</w:t>
            </w:r>
          </w:p>
        </w:tc>
        <w:tc>
          <w:tcPr>
            <w:tcW w:w="1134" w:type="dxa"/>
            <w:hideMark/>
          </w:tcPr>
          <w:p w14:paraId="49D9BDF2" w14:textId="1599F833" w:rsidR="00193733" w:rsidRPr="009772A3" w:rsidRDefault="00964481"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1.430.416,9</w:t>
            </w:r>
          </w:p>
        </w:tc>
        <w:tc>
          <w:tcPr>
            <w:tcW w:w="1134" w:type="dxa"/>
            <w:hideMark/>
          </w:tcPr>
          <w:p w14:paraId="4158C34E" w14:textId="594BD716"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1.430.416,9</w:t>
            </w:r>
          </w:p>
        </w:tc>
        <w:tc>
          <w:tcPr>
            <w:tcW w:w="1134" w:type="dxa"/>
            <w:hideMark/>
          </w:tcPr>
          <w:p w14:paraId="054971BD" w14:textId="5C3176D8"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1.430.416,9</w:t>
            </w:r>
          </w:p>
        </w:tc>
        <w:tc>
          <w:tcPr>
            <w:tcW w:w="1134" w:type="dxa"/>
            <w:hideMark/>
          </w:tcPr>
          <w:p w14:paraId="6D9D1070" w14:textId="150DC302"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1.430.416,9</w:t>
            </w:r>
          </w:p>
        </w:tc>
        <w:tc>
          <w:tcPr>
            <w:tcW w:w="1134" w:type="dxa"/>
            <w:hideMark/>
          </w:tcPr>
          <w:p w14:paraId="3D8C7C0B" w14:textId="33824E1B"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1.332.672,3</w:t>
            </w:r>
          </w:p>
        </w:tc>
        <w:tc>
          <w:tcPr>
            <w:tcW w:w="1282" w:type="dxa"/>
            <w:hideMark/>
          </w:tcPr>
          <w:p w14:paraId="517F8671" w14:textId="094ECEB7"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1.332.672,3</w:t>
            </w:r>
          </w:p>
        </w:tc>
      </w:tr>
      <w:tr w:rsidR="00193733" w:rsidRPr="009772A3" w14:paraId="254DA28E"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C128DC4"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ED5982E"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1.Capital social </w:t>
            </w:r>
          </w:p>
        </w:tc>
        <w:tc>
          <w:tcPr>
            <w:tcW w:w="1134" w:type="dxa"/>
            <w:hideMark/>
          </w:tcPr>
          <w:p w14:paraId="133BFFD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1.430.416,93</w:t>
            </w:r>
          </w:p>
        </w:tc>
        <w:tc>
          <w:tcPr>
            <w:tcW w:w="1134" w:type="dxa"/>
            <w:hideMark/>
          </w:tcPr>
          <w:p w14:paraId="7FD2C0E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1.430.416,93</w:t>
            </w:r>
          </w:p>
        </w:tc>
        <w:tc>
          <w:tcPr>
            <w:tcW w:w="1134" w:type="dxa"/>
            <w:hideMark/>
          </w:tcPr>
          <w:p w14:paraId="534064E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1.430.416,93</w:t>
            </w:r>
          </w:p>
        </w:tc>
        <w:tc>
          <w:tcPr>
            <w:tcW w:w="1134" w:type="dxa"/>
            <w:hideMark/>
          </w:tcPr>
          <w:p w14:paraId="686B778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1.430.416,93</w:t>
            </w:r>
          </w:p>
        </w:tc>
        <w:tc>
          <w:tcPr>
            <w:tcW w:w="1134" w:type="dxa"/>
            <w:hideMark/>
          </w:tcPr>
          <w:p w14:paraId="7DD5B48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1.332.908,00</w:t>
            </w:r>
          </w:p>
        </w:tc>
        <w:tc>
          <w:tcPr>
            <w:tcW w:w="1282" w:type="dxa"/>
            <w:hideMark/>
          </w:tcPr>
          <w:p w14:paraId="0A7AD51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1.332.908,00</w:t>
            </w:r>
          </w:p>
        </w:tc>
      </w:tr>
      <w:tr w:rsidR="00193733" w:rsidRPr="009772A3" w14:paraId="2968B065"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E61FB34"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FEEB6A7"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2.Capital nevărsat</w:t>
            </w:r>
          </w:p>
        </w:tc>
        <w:tc>
          <w:tcPr>
            <w:tcW w:w="1134" w:type="dxa"/>
            <w:hideMark/>
          </w:tcPr>
          <w:p w14:paraId="03E230C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17765C4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2BEA75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725CFF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0A885D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3C23185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57FC4BFA"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043EBC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8B9305F"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3.Capital neînregistrat</w:t>
            </w:r>
          </w:p>
        </w:tc>
        <w:tc>
          <w:tcPr>
            <w:tcW w:w="1134" w:type="dxa"/>
            <w:hideMark/>
          </w:tcPr>
          <w:p w14:paraId="338188C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B67F83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EAAB80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66331D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67C1FF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62E3CB5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32895975"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4FB965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2C2EC8E"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4.Capital retras</w:t>
            </w:r>
          </w:p>
        </w:tc>
        <w:tc>
          <w:tcPr>
            <w:tcW w:w="1134" w:type="dxa"/>
            <w:hideMark/>
          </w:tcPr>
          <w:p w14:paraId="4AF9EDD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125F3F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80C768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12B532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6212D8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(235 700)</w:t>
            </w:r>
          </w:p>
        </w:tc>
        <w:tc>
          <w:tcPr>
            <w:tcW w:w="1282" w:type="dxa"/>
            <w:hideMark/>
          </w:tcPr>
          <w:p w14:paraId="61DB3B9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(235 700)</w:t>
            </w:r>
          </w:p>
        </w:tc>
      </w:tr>
      <w:tr w:rsidR="00193733" w:rsidRPr="009772A3" w14:paraId="54FAD468"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A39BC49"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3F9341A"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5.Patrimoniul primit de la stat cu drept de proprietate</w:t>
            </w:r>
          </w:p>
        </w:tc>
        <w:tc>
          <w:tcPr>
            <w:tcW w:w="1134" w:type="dxa"/>
            <w:hideMark/>
          </w:tcPr>
          <w:p w14:paraId="3A50C5C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7BF3DC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EB1CBC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5E2FB3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FCB4A3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282" w:type="dxa"/>
            <w:hideMark/>
          </w:tcPr>
          <w:p w14:paraId="34EBCBE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111CC9AB"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5B3720C"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02B0F26"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II.Prime de capital </w:t>
            </w:r>
            <w:r w:rsidRPr="009772A3">
              <w:rPr>
                <w:rFonts w:asciiTheme="majorHAnsi" w:eastAsia="Times New Roman" w:hAnsiTheme="majorHAnsi" w:cstheme="majorHAnsi"/>
                <w:i/>
                <w:iCs/>
                <w:sz w:val="16"/>
                <w:szCs w:val="18"/>
                <w:lang w:val="ro-MD"/>
              </w:rPr>
              <w:t>(rd.500)</w:t>
            </w:r>
          </w:p>
        </w:tc>
        <w:tc>
          <w:tcPr>
            <w:tcW w:w="1134" w:type="dxa"/>
            <w:hideMark/>
          </w:tcPr>
          <w:p w14:paraId="4EF1080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0FCD217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B8901C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134" w:type="dxa"/>
            <w:hideMark/>
          </w:tcPr>
          <w:p w14:paraId="6215462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134" w:type="dxa"/>
            <w:hideMark/>
          </w:tcPr>
          <w:p w14:paraId="6531BF8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97.744,63</w:t>
            </w:r>
          </w:p>
        </w:tc>
        <w:tc>
          <w:tcPr>
            <w:tcW w:w="1282" w:type="dxa"/>
            <w:hideMark/>
          </w:tcPr>
          <w:p w14:paraId="408D8B1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97.744,63</w:t>
            </w:r>
          </w:p>
        </w:tc>
      </w:tr>
      <w:tr w:rsidR="00193733" w:rsidRPr="009772A3" w14:paraId="1C3FBB3B"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8716B5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522F56EC"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III.Rezerve </w:t>
            </w:r>
            <w:r w:rsidRPr="009772A3">
              <w:rPr>
                <w:rFonts w:asciiTheme="majorHAnsi" w:eastAsia="Times New Roman" w:hAnsiTheme="majorHAnsi" w:cstheme="majorHAnsi"/>
                <w:i/>
                <w:iCs/>
                <w:sz w:val="16"/>
                <w:szCs w:val="18"/>
                <w:lang w:val="ro-MD"/>
              </w:rPr>
              <w:t>(rd.540)</w:t>
            </w:r>
          </w:p>
        </w:tc>
        <w:tc>
          <w:tcPr>
            <w:tcW w:w="1134" w:type="dxa"/>
            <w:hideMark/>
          </w:tcPr>
          <w:p w14:paraId="7D267AA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16.651,66</w:t>
            </w:r>
          </w:p>
        </w:tc>
        <w:tc>
          <w:tcPr>
            <w:tcW w:w="1134" w:type="dxa"/>
            <w:hideMark/>
          </w:tcPr>
          <w:p w14:paraId="483CD14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33.650,22</w:t>
            </w:r>
          </w:p>
        </w:tc>
        <w:tc>
          <w:tcPr>
            <w:tcW w:w="1134" w:type="dxa"/>
            <w:hideMark/>
          </w:tcPr>
          <w:p w14:paraId="6035850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141.493,05</w:t>
            </w:r>
          </w:p>
        </w:tc>
        <w:tc>
          <w:tcPr>
            <w:tcW w:w="1134" w:type="dxa"/>
            <w:hideMark/>
          </w:tcPr>
          <w:p w14:paraId="003C6D0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159.016,57</w:t>
            </w:r>
          </w:p>
        </w:tc>
        <w:tc>
          <w:tcPr>
            <w:tcW w:w="1134" w:type="dxa"/>
            <w:hideMark/>
          </w:tcPr>
          <w:p w14:paraId="292E7996"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186.057,42</w:t>
            </w:r>
          </w:p>
        </w:tc>
        <w:tc>
          <w:tcPr>
            <w:tcW w:w="1282" w:type="dxa"/>
            <w:hideMark/>
          </w:tcPr>
          <w:p w14:paraId="76FB282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241.043,13</w:t>
            </w:r>
          </w:p>
        </w:tc>
      </w:tr>
      <w:tr w:rsidR="00193733" w:rsidRPr="009772A3" w14:paraId="2523490F"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3FE8B4B"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7329350"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IV.Profit(pierdere) </w:t>
            </w:r>
            <w:r w:rsidRPr="009772A3">
              <w:rPr>
                <w:rFonts w:asciiTheme="majorHAnsi" w:eastAsia="Times New Roman" w:hAnsiTheme="majorHAnsi" w:cstheme="majorHAnsi"/>
                <w:i/>
                <w:iCs/>
                <w:sz w:val="16"/>
                <w:szCs w:val="18"/>
                <w:lang w:val="ro-MD"/>
              </w:rPr>
              <w:t>(rd.550+rd.560+rd.570+rd.580)</w:t>
            </w:r>
          </w:p>
        </w:tc>
        <w:tc>
          <w:tcPr>
            <w:tcW w:w="1134" w:type="dxa"/>
            <w:hideMark/>
          </w:tcPr>
          <w:p w14:paraId="1A4A4074" w14:textId="217F6FFC" w:rsidR="00193733" w:rsidRPr="009772A3" w:rsidRDefault="00964481"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-6.071.237,6</w:t>
            </w:r>
          </w:p>
        </w:tc>
        <w:tc>
          <w:tcPr>
            <w:tcW w:w="1134" w:type="dxa"/>
            <w:hideMark/>
          </w:tcPr>
          <w:p w14:paraId="2D975432" w14:textId="437E8D11" w:rsidR="00193733" w:rsidRPr="009772A3" w:rsidRDefault="00964481"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-4.020.895,2</w:t>
            </w:r>
          </w:p>
        </w:tc>
        <w:tc>
          <w:tcPr>
            <w:tcW w:w="1134" w:type="dxa"/>
            <w:hideMark/>
          </w:tcPr>
          <w:p w14:paraId="2185C288" w14:textId="022E6D83"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-3.968.337,0</w:t>
            </w:r>
          </w:p>
        </w:tc>
        <w:tc>
          <w:tcPr>
            <w:tcW w:w="1134" w:type="dxa"/>
            <w:hideMark/>
          </w:tcPr>
          <w:p w14:paraId="2384900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(3 903 128 264)</w:t>
            </w:r>
          </w:p>
        </w:tc>
        <w:tc>
          <w:tcPr>
            <w:tcW w:w="1134" w:type="dxa"/>
            <w:hideMark/>
          </w:tcPr>
          <w:p w14:paraId="2F9563D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(4 374 307 813)</w:t>
            </w:r>
          </w:p>
        </w:tc>
        <w:tc>
          <w:tcPr>
            <w:tcW w:w="1282" w:type="dxa"/>
            <w:hideMark/>
          </w:tcPr>
          <w:p w14:paraId="1123CAA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(5 227 157 177)</w:t>
            </w:r>
          </w:p>
        </w:tc>
      </w:tr>
      <w:tr w:rsidR="00193733" w:rsidRPr="009772A3" w14:paraId="26EAC011"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5B681BD"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559C1FD4" w14:textId="075DB354" w:rsidR="00193733" w:rsidRPr="009772A3" w:rsidRDefault="00193733" w:rsidP="005A049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1.Corec</w:t>
            </w:r>
            <w:r w:rsidR="005A049A" w:rsidRPr="009772A3">
              <w:rPr>
                <w:rFonts w:asciiTheme="majorHAnsi" w:eastAsia="Times New Roman" w:hAnsiTheme="majorHAnsi" w:cstheme="majorHAnsi"/>
                <w:sz w:val="16"/>
                <w:szCs w:val="18"/>
                <w:lang w:val="ro-MD"/>
              </w:rPr>
              <w:t>tări</w:t>
            </w:r>
            <w:r w:rsidRPr="009772A3">
              <w:rPr>
                <w:rFonts w:asciiTheme="majorHAnsi" w:eastAsia="Times New Roman" w:hAnsiTheme="majorHAnsi" w:cstheme="majorHAnsi"/>
                <w:sz w:val="16"/>
                <w:szCs w:val="18"/>
                <w:lang w:val="ro-MD"/>
              </w:rPr>
              <w:t xml:space="preserve"> ale rezultatelor anilor precedenți </w:t>
            </w:r>
          </w:p>
        </w:tc>
        <w:tc>
          <w:tcPr>
            <w:tcW w:w="1134" w:type="dxa"/>
            <w:hideMark/>
          </w:tcPr>
          <w:p w14:paraId="617DDEA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-2.169,68</w:t>
            </w:r>
          </w:p>
        </w:tc>
        <w:tc>
          <w:tcPr>
            <w:tcW w:w="1134" w:type="dxa"/>
            <w:hideMark/>
          </w:tcPr>
          <w:p w14:paraId="34D2C5C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138.276,59</w:t>
            </w:r>
          </w:p>
        </w:tc>
        <w:tc>
          <w:tcPr>
            <w:tcW w:w="1134" w:type="dxa"/>
            <w:hideMark/>
          </w:tcPr>
          <w:p w14:paraId="14FAC78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-180.199,52</w:t>
            </w:r>
          </w:p>
        </w:tc>
        <w:tc>
          <w:tcPr>
            <w:tcW w:w="1134" w:type="dxa"/>
            <w:hideMark/>
          </w:tcPr>
          <w:p w14:paraId="73C5442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5.007,55</w:t>
            </w:r>
          </w:p>
        </w:tc>
        <w:tc>
          <w:tcPr>
            <w:tcW w:w="1134" w:type="dxa"/>
            <w:hideMark/>
          </w:tcPr>
          <w:p w14:paraId="71D4A29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61,63</w:t>
            </w:r>
          </w:p>
        </w:tc>
        <w:tc>
          <w:tcPr>
            <w:tcW w:w="1282" w:type="dxa"/>
            <w:hideMark/>
          </w:tcPr>
          <w:p w14:paraId="056FA3C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-771.912,52</w:t>
            </w:r>
          </w:p>
        </w:tc>
      </w:tr>
      <w:tr w:rsidR="00193733" w:rsidRPr="009772A3" w14:paraId="4C683E31"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6D71D8D"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559567BD"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2.Profin nerepartizat (pierdere neacoperită) al anilor precedenți</w:t>
            </w:r>
          </w:p>
        </w:tc>
        <w:tc>
          <w:tcPr>
            <w:tcW w:w="1134" w:type="dxa"/>
            <w:hideMark/>
          </w:tcPr>
          <w:p w14:paraId="5FB99C5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-6.421.413,73</w:t>
            </w:r>
          </w:p>
        </w:tc>
        <w:tc>
          <w:tcPr>
            <w:tcW w:w="1134" w:type="dxa"/>
            <w:hideMark/>
          </w:tcPr>
          <w:p w14:paraId="6EB0B2C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-6.098.324,43</w:t>
            </w:r>
          </w:p>
        </w:tc>
        <w:tc>
          <w:tcPr>
            <w:tcW w:w="1134" w:type="dxa"/>
            <w:hideMark/>
          </w:tcPr>
          <w:p w14:paraId="0BC6E345"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-4.129.260,89</w:t>
            </w:r>
          </w:p>
        </w:tc>
        <w:tc>
          <w:tcPr>
            <w:tcW w:w="1134" w:type="dxa"/>
            <w:hideMark/>
          </w:tcPr>
          <w:p w14:paraId="68098E6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(4 002 413 544)</w:t>
            </w:r>
          </w:p>
        </w:tc>
        <w:tc>
          <w:tcPr>
            <w:tcW w:w="1134" w:type="dxa"/>
            <w:hideMark/>
          </w:tcPr>
          <w:p w14:paraId="51A9ECE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(3 933 566 903) </w:t>
            </w:r>
          </w:p>
        </w:tc>
        <w:tc>
          <w:tcPr>
            <w:tcW w:w="1282" w:type="dxa"/>
            <w:hideMark/>
          </w:tcPr>
          <w:p w14:paraId="7EF3073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(4 423 307 813) </w:t>
            </w:r>
          </w:p>
        </w:tc>
      </w:tr>
      <w:tr w:rsidR="00193733" w:rsidRPr="009772A3" w14:paraId="5E52D2BD"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626B1A5"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579EA99" w14:textId="017744B9"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3.Profit net</w:t>
            </w:r>
            <w:r w:rsidR="005A049A" w:rsidRPr="009772A3">
              <w:rPr>
                <w:rFonts w:asciiTheme="majorHAnsi" w:eastAsia="Times New Roman" w:hAnsiTheme="majorHAnsi" w:cstheme="majorHAnsi"/>
                <w:sz w:val="16"/>
                <w:szCs w:val="18"/>
                <w:lang w:val="ro-MD"/>
              </w:rPr>
              <w:t xml:space="preserve"> </w:t>
            </w:r>
            <w:r w:rsidRPr="009772A3">
              <w:rPr>
                <w:rFonts w:asciiTheme="majorHAnsi" w:eastAsia="Times New Roman" w:hAnsiTheme="majorHAnsi" w:cstheme="majorHAnsi"/>
                <w:sz w:val="16"/>
                <w:szCs w:val="18"/>
                <w:lang w:val="ro-MD"/>
              </w:rPr>
              <w:t>(pierdere netă) a</w:t>
            </w:r>
            <w:r w:rsidR="005A049A" w:rsidRPr="009772A3">
              <w:rPr>
                <w:rFonts w:asciiTheme="majorHAnsi" w:eastAsia="Times New Roman" w:hAnsiTheme="majorHAnsi" w:cstheme="majorHAnsi"/>
                <w:sz w:val="16"/>
                <w:szCs w:val="18"/>
                <w:lang w:val="ro-MD"/>
              </w:rPr>
              <w:t>l</w:t>
            </w:r>
            <w:r w:rsidRPr="009772A3">
              <w:rPr>
                <w:rFonts w:asciiTheme="majorHAnsi" w:eastAsia="Times New Roman" w:hAnsiTheme="majorHAnsi" w:cstheme="majorHAnsi"/>
                <w:sz w:val="16"/>
                <w:szCs w:val="18"/>
                <w:lang w:val="ro-MD"/>
              </w:rPr>
              <w:t xml:space="preserve"> perioadei de gestiune</w:t>
            </w:r>
          </w:p>
        </w:tc>
        <w:tc>
          <w:tcPr>
            <w:tcW w:w="1134" w:type="dxa"/>
            <w:hideMark/>
          </w:tcPr>
          <w:p w14:paraId="5129B96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352.345,80</w:t>
            </w:r>
          </w:p>
        </w:tc>
        <w:tc>
          <w:tcPr>
            <w:tcW w:w="1134" w:type="dxa"/>
            <w:hideMark/>
          </w:tcPr>
          <w:p w14:paraId="48B9E19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1.939.152,68</w:t>
            </w:r>
          </w:p>
        </w:tc>
        <w:tc>
          <w:tcPr>
            <w:tcW w:w="1134" w:type="dxa"/>
            <w:hideMark/>
          </w:tcPr>
          <w:p w14:paraId="1E0FEA1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341.123,40</w:t>
            </w:r>
          </w:p>
        </w:tc>
        <w:tc>
          <w:tcPr>
            <w:tcW w:w="1134" w:type="dxa"/>
            <w:hideMark/>
          </w:tcPr>
          <w:p w14:paraId="63937F5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94.277,73</w:t>
            </w:r>
          </w:p>
        </w:tc>
        <w:tc>
          <w:tcPr>
            <w:tcW w:w="1134" w:type="dxa"/>
            <w:hideMark/>
          </w:tcPr>
          <w:p w14:paraId="2C882AE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(440 802 539)</w:t>
            </w:r>
          </w:p>
        </w:tc>
        <w:tc>
          <w:tcPr>
            <w:tcW w:w="1282" w:type="dxa"/>
            <w:hideMark/>
          </w:tcPr>
          <w:p w14:paraId="7EE2D00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(32 139 711)</w:t>
            </w:r>
          </w:p>
        </w:tc>
      </w:tr>
      <w:tr w:rsidR="00193733" w:rsidRPr="009772A3" w14:paraId="727FCCAC"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A6B79CC"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82C587A"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4.Profit utilizat al perioadei de gestiune</w:t>
            </w:r>
          </w:p>
        </w:tc>
        <w:tc>
          <w:tcPr>
            <w:tcW w:w="1134" w:type="dxa"/>
            <w:hideMark/>
          </w:tcPr>
          <w:p w14:paraId="584B4A9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B78551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265714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8B8934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BF6F1B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282" w:type="dxa"/>
            <w:hideMark/>
          </w:tcPr>
          <w:p w14:paraId="2BA4F60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48687A39"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BDBEA0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EADFF03"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V.Rezerve din reevaluare</w:t>
            </w:r>
            <w:r w:rsidRPr="009772A3">
              <w:rPr>
                <w:rFonts w:asciiTheme="majorHAnsi" w:eastAsia="Times New Roman" w:hAnsiTheme="majorHAnsi" w:cstheme="majorHAnsi"/>
                <w:i/>
                <w:iCs/>
                <w:sz w:val="16"/>
                <w:szCs w:val="18"/>
                <w:lang w:val="ro-MD"/>
              </w:rPr>
              <w:t xml:space="preserve"> (rd.600)</w:t>
            </w:r>
          </w:p>
        </w:tc>
        <w:tc>
          <w:tcPr>
            <w:tcW w:w="1134" w:type="dxa"/>
            <w:hideMark/>
          </w:tcPr>
          <w:p w14:paraId="641CE23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431F46C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1EBF2C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73CC862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134" w:type="dxa"/>
            <w:hideMark/>
          </w:tcPr>
          <w:p w14:paraId="0842FD7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282" w:type="dxa"/>
            <w:hideMark/>
          </w:tcPr>
          <w:p w14:paraId="0D030877"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806.212,64</w:t>
            </w:r>
          </w:p>
        </w:tc>
      </w:tr>
      <w:tr w:rsidR="00193733" w:rsidRPr="009772A3" w14:paraId="05E695A3"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B25B100"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004341B"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VI.Alte elemente de capital propriu </w:t>
            </w:r>
            <w:r w:rsidRPr="009772A3">
              <w:rPr>
                <w:rFonts w:asciiTheme="majorHAnsi" w:eastAsia="Times New Roman" w:hAnsiTheme="majorHAnsi" w:cstheme="majorHAnsi"/>
                <w:sz w:val="16"/>
                <w:szCs w:val="18"/>
                <w:lang w:val="ro-MD"/>
              </w:rPr>
              <w:t>(rd.610)</w:t>
            </w:r>
          </w:p>
        </w:tc>
        <w:tc>
          <w:tcPr>
            <w:tcW w:w="1134" w:type="dxa"/>
            <w:hideMark/>
          </w:tcPr>
          <w:p w14:paraId="5C4FA0E3" w14:textId="7D1DDA53" w:rsidR="00193733" w:rsidRPr="009772A3" w:rsidRDefault="00964481"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835.048,5</w:t>
            </w:r>
          </w:p>
        </w:tc>
        <w:tc>
          <w:tcPr>
            <w:tcW w:w="1134" w:type="dxa"/>
            <w:hideMark/>
          </w:tcPr>
          <w:p w14:paraId="75DBFD54" w14:textId="18139B5E"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831.976,2</w:t>
            </w:r>
          </w:p>
        </w:tc>
        <w:tc>
          <w:tcPr>
            <w:tcW w:w="1134" w:type="dxa"/>
            <w:hideMark/>
          </w:tcPr>
          <w:p w14:paraId="139269B1" w14:textId="7FA7D7EC"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827.939,9</w:t>
            </w:r>
          </w:p>
        </w:tc>
        <w:tc>
          <w:tcPr>
            <w:tcW w:w="1134" w:type="dxa"/>
            <w:hideMark/>
          </w:tcPr>
          <w:p w14:paraId="72ED6D9C" w14:textId="2481F2CB"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822.66</w:t>
            </w:r>
            <w:r w:rsidR="00964481" w:rsidRPr="009772A3">
              <w:rPr>
                <w:rFonts w:asciiTheme="majorHAnsi" w:eastAsia="Times New Roman" w:hAnsiTheme="majorHAnsi" w:cstheme="majorHAnsi"/>
                <w:b/>
                <w:bCs/>
                <w:sz w:val="16"/>
                <w:szCs w:val="18"/>
                <w:lang w:val="ro-MD"/>
              </w:rPr>
              <w:t>8,0</w:t>
            </w:r>
          </w:p>
        </w:tc>
        <w:tc>
          <w:tcPr>
            <w:tcW w:w="1134" w:type="dxa"/>
            <w:hideMark/>
          </w:tcPr>
          <w:p w14:paraId="1992F05C" w14:textId="7B93CA27" w:rsidR="00193733" w:rsidRPr="009772A3" w:rsidRDefault="00193733" w:rsidP="0096448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819.324,4</w:t>
            </w:r>
          </w:p>
        </w:tc>
        <w:tc>
          <w:tcPr>
            <w:tcW w:w="1282" w:type="dxa"/>
            <w:hideMark/>
          </w:tcPr>
          <w:p w14:paraId="351BC87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r>
      <w:tr w:rsidR="00193733" w:rsidRPr="009772A3" w14:paraId="567E594D"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A075338" w14:textId="77777777" w:rsidR="00193733" w:rsidRPr="009772A3" w:rsidRDefault="00193733" w:rsidP="00DE381A">
            <w:pPr>
              <w:jc w:val="cente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D</w:t>
            </w:r>
          </w:p>
        </w:tc>
        <w:tc>
          <w:tcPr>
            <w:tcW w:w="2552" w:type="dxa"/>
            <w:hideMark/>
          </w:tcPr>
          <w:p w14:paraId="061096B7"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Datorii comerciale pe termen lung </w:t>
            </w:r>
            <w:r w:rsidRPr="009772A3">
              <w:rPr>
                <w:rFonts w:asciiTheme="majorHAnsi" w:eastAsia="Times New Roman" w:hAnsiTheme="majorHAnsi" w:cstheme="majorHAnsi"/>
                <w:i/>
                <w:iCs/>
                <w:sz w:val="16"/>
                <w:szCs w:val="18"/>
                <w:lang w:val="ro-MD"/>
              </w:rPr>
              <w:t>(rd.700)</w:t>
            </w:r>
          </w:p>
        </w:tc>
        <w:tc>
          <w:tcPr>
            <w:tcW w:w="1134" w:type="dxa"/>
            <w:hideMark/>
          </w:tcPr>
          <w:p w14:paraId="4572984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6.141,98</w:t>
            </w:r>
          </w:p>
        </w:tc>
        <w:tc>
          <w:tcPr>
            <w:tcW w:w="1134" w:type="dxa"/>
            <w:hideMark/>
          </w:tcPr>
          <w:p w14:paraId="58481B8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2.562,37</w:t>
            </w:r>
          </w:p>
        </w:tc>
        <w:tc>
          <w:tcPr>
            <w:tcW w:w="1134" w:type="dxa"/>
            <w:hideMark/>
          </w:tcPr>
          <w:p w14:paraId="6154038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2.357,89</w:t>
            </w:r>
          </w:p>
        </w:tc>
        <w:tc>
          <w:tcPr>
            <w:tcW w:w="1134" w:type="dxa"/>
            <w:hideMark/>
          </w:tcPr>
          <w:p w14:paraId="6F18E9F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1.761,67</w:t>
            </w:r>
          </w:p>
        </w:tc>
        <w:tc>
          <w:tcPr>
            <w:tcW w:w="1134" w:type="dxa"/>
            <w:hideMark/>
          </w:tcPr>
          <w:p w14:paraId="29D4E6A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2.138,86</w:t>
            </w:r>
          </w:p>
        </w:tc>
        <w:tc>
          <w:tcPr>
            <w:tcW w:w="1282" w:type="dxa"/>
            <w:hideMark/>
          </w:tcPr>
          <w:p w14:paraId="67A2400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23.529,35</w:t>
            </w:r>
          </w:p>
        </w:tc>
      </w:tr>
      <w:tr w:rsidR="00964481" w:rsidRPr="009772A3" w14:paraId="49BF2154"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4834D13D" w14:textId="77777777" w:rsidR="00193733" w:rsidRPr="009772A3" w:rsidRDefault="00193733" w:rsidP="00DE381A">
            <w:pPr>
              <w:jc w:val="cente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E</w:t>
            </w:r>
          </w:p>
        </w:tc>
        <w:tc>
          <w:tcPr>
            <w:tcW w:w="2552" w:type="dxa"/>
            <w:hideMark/>
          </w:tcPr>
          <w:p w14:paraId="2D4BEB13"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Datorii curente </w:t>
            </w:r>
            <w:r w:rsidRPr="009772A3">
              <w:rPr>
                <w:rFonts w:asciiTheme="majorHAnsi" w:eastAsia="Times New Roman" w:hAnsiTheme="majorHAnsi" w:cstheme="majorHAnsi"/>
                <w:i/>
                <w:iCs/>
                <w:sz w:val="16"/>
                <w:szCs w:val="18"/>
                <w:lang w:val="ro-MD"/>
              </w:rPr>
              <w:t>(rd.820)</w:t>
            </w:r>
          </w:p>
        </w:tc>
        <w:tc>
          <w:tcPr>
            <w:tcW w:w="1134" w:type="dxa"/>
            <w:hideMark/>
          </w:tcPr>
          <w:p w14:paraId="5486108B" w14:textId="7D6DE904" w:rsidR="00193733" w:rsidRPr="009772A3" w:rsidRDefault="00503D69"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15.334.495,7</w:t>
            </w:r>
          </w:p>
        </w:tc>
        <w:tc>
          <w:tcPr>
            <w:tcW w:w="1134" w:type="dxa"/>
            <w:hideMark/>
          </w:tcPr>
          <w:p w14:paraId="363579C4" w14:textId="14AAA309" w:rsidR="00193733" w:rsidRPr="009772A3" w:rsidRDefault="00503D69"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13.933.813,1</w:t>
            </w:r>
          </w:p>
        </w:tc>
        <w:tc>
          <w:tcPr>
            <w:tcW w:w="1134" w:type="dxa"/>
            <w:hideMark/>
          </w:tcPr>
          <w:p w14:paraId="3C8D22CE" w14:textId="01E15873" w:rsidR="00193733" w:rsidRPr="009772A3" w:rsidRDefault="00503D69"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13.284.315,2</w:t>
            </w:r>
          </w:p>
        </w:tc>
        <w:tc>
          <w:tcPr>
            <w:tcW w:w="1134" w:type="dxa"/>
            <w:hideMark/>
          </w:tcPr>
          <w:p w14:paraId="0D7D0112" w14:textId="3B5AF3AD" w:rsidR="00193733" w:rsidRPr="009772A3" w:rsidRDefault="00503D69"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13.172.073,5</w:t>
            </w:r>
          </w:p>
        </w:tc>
        <w:tc>
          <w:tcPr>
            <w:tcW w:w="1134" w:type="dxa"/>
            <w:hideMark/>
          </w:tcPr>
          <w:p w14:paraId="0F9EC6EA" w14:textId="39E9915D" w:rsidR="00193733" w:rsidRPr="009772A3" w:rsidRDefault="00503D69"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12.538.976,9</w:t>
            </w:r>
          </w:p>
        </w:tc>
        <w:tc>
          <w:tcPr>
            <w:tcW w:w="1282" w:type="dxa"/>
            <w:hideMark/>
          </w:tcPr>
          <w:p w14:paraId="5941BB66" w14:textId="69AA7445" w:rsidR="00193733" w:rsidRPr="009772A3" w:rsidRDefault="00503D69"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13.787.190,0</w:t>
            </w:r>
          </w:p>
        </w:tc>
      </w:tr>
      <w:tr w:rsidR="00193733" w:rsidRPr="009772A3" w14:paraId="2B85532B"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46E7539"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5C93E026"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1.Credite bancare pe termen scurt </w:t>
            </w:r>
          </w:p>
        </w:tc>
        <w:tc>
          <w:tcPr>
            <w:tcW w:w="1134" w:type="dxa"/>
            <w:hideMark/>
          </w:tcPr>
          <w:p w14:paraId="300B06D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38.052,50</w:t>
            </w:r>
          </w:p>
        </w:tc>
        <w:tc>
          <w:tcPr>
            <w:tcW w:w="1134" w:type="dxa"/>
            <w:hideMark/>
          </w:tcPr>
          <w:p w14:paraId="32125BA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6.000,00</w:t>
            </w:r>
          </w:p>
        </w:tc>
        <w:tc>
          <w:tcPr>
            <w:tcW w:w="1134" w:type="dxa"/>
            <w:hideMark/>
          </w:tcPr>
          <w:p w14:paraId="055388B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134" w:type="dxa"/>
            <w:hideMark/>
          </w:tcPr>
          <w:p w14:paraId="70B1776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134" w:type="dxa"/>
            <w:hideMark/>
          </w:tcPr>
          <w:p w14:paraId="633F765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w:t>
            </w:r>
          </w:p>
        </w:tc>
        <w:tc>
          <w:tcPr>
            <w:tcW w:w="1282" w:type="dxa"/>
            <w:hideMark/>
          </w:tcPr>
          <w:p w14:paraId="14AC27F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r>
      <w:tr w:rsidR="00193733" w:rsidRPr="009772A3" w14:paraId="3714C933"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4D473CF"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556BA836" w14:textId="30B56047" w:rsidR="00193733" w:rsidRPr="009772A3" w:rsidRDefault="00193733" w:rsidP="005A04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2.Împrumuturi pe termen scurt total, din care </w:t>
            </w:r>
          </w:p>
        </w:tc>
        <w:tc>
          <w:tcPr>
            <w:tcW w:w="1134" w:type="dxa"/>
            <w:hideMark/>
          </w:tcPr>
          <w:p w14:paraId="1E20FB8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3,34</w:t>
            </w:r>
          </w:p>
        </w:tc>
        <w:tc>
          <w:tcPr>
            <w:tcW w:w="1134" w:type="dxa"/>
            <w:hideMark/>
          </w:tcPr>
          <w:p w14:paraId="725F4B8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3,34</w:t>
            </w:r>
          </w:p>
        </w:tc>
        <w:tc>
          <w:tcPr>
            <w:tcW w:w="1134" w:type="dxa"/>
            <w:hideMark/>
          </w:tcPr>
          <w:p w14:paraId="4CE25FA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3,34</w:t>
            </w:r>
          </w:p>
        </w:tc>
        <w:tc>
          <w:tcPr>
            <w:tcW w:w="1134" w:type="dxa"/>
            <w:hideMark/>
          </w:tcPr>
          <w:p w14:paraId="237D48A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3,34</w:t>
            </w:r>
          </w:p>
        </w:tc>
        <w:tc>
          <w:tcPr>
            <w:tcW w:w="1134" w:type="dxa"/>
            <w:hideMark/>
          </w:tcPr>
          <w:p w14:paraId="1858786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3,34</w:t>
            </w:r>
          </w:p>
        </w:tc>
        <w:tc>
          <w:tcPr>
            <w:tcW w:w="1282" w:type="dxa"/>
            <w:hideMark/>
          </w:tcPr>
          <w:p w14:paraId="15108D9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3,34</w:t>
            </w:r>
          </w:p>
        </w:tc>
      </w:tr>
      <w:tr w:rsidR="00193733" w:rsidRPr="009772A3" w14:paraId="317BFF09"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377803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0A7EC441"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1.Datorii comerciale curente</w:t>
            </w:r>
          </w:p>
        </w:tc>
        <w:tc>
          <w:tcPr>
            <w:tcW w:w="1134" w:type="dxa"/>
            <w:hideMark/>
          </w:tcPr>
          <w:p w14:paraId="3C3BB84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55.903,23</w:t>
            </w:r>
          </w:p>
        </w:tc>
        <w:tc>
          <w:tcPr>
            <w:tcW w:w="1134" w:type="dxa"/>
            <w:hideMark/>
          </w:tcPr>
          <w:p w14:paraId="5A1913EB"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59.274,93</w:t>
            </w:r>
          </w:p>
        </w:tc>
        <w:tc>
          <w:tcPr>
            <w:tcW w:w="1134" w:type="dxa"/>
            <w:hideMark/>
          </w:tcPr>
          <w:p w14:paraId="0F1E0AF2"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50.541,62</w:t>
            </w:r>
          </w:p>
        </w:tc>
        <w:tc>
          <w:tcPr>
            <w:tcW w:w="1134" w:type="dxa"/>
            <w:hideMark/>
          </w:tcPr>
          <w:p w14:paraId="0E96A0F6"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58.444,16</w:t>
            </w:r>
          </w:p>
        </w:tc>
        <w:tc>
          <w:tcPr>
            <w:tcW w:w="1134" w:type="dxa"/>
            <w:hideMark/>
          </w:tcPr>
          <w:p w14:paraId="43A9B5F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43.444,72</w:t>
            </w:r>
          </w:p>
        </w:tc>
        <w:tc>
          <w:tcPr>
            <w:tcW w:w="1282" w:type="dxa"/>
            <w:hideMark/>
          </w:tcPr>
          <w:p w14:paraId="60B5975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272.063,28</w:t>
            </w:r>
          </w:p>
        </w:tc>
      </w:tr>
      <w:tr w:rsidR="00193733" w:rsidRPr="009772A3" w14:paraId="7033444C"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CF3BD9B"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DBDCC22"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2.Datorii față de părțile afiliate curente</w:t>
            </w:r>
          </w:p>
        </w:tc>
        <w:tc>
          <w:tcPr>
            <w:tcW w:w="1134" w:type="dxa"/>
            <w:hideMark/>
          </w:tcPr>
          <w:p w14:paraId="654D12A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11.795.904,53</w:t>
            </w:r>
          </w:p>
        </w:tc>
        <w:tc>
          <w:tcPr>
            <w:tcW w:w="1134" w:type="dxa"/>
            <w:hideMark/>
          </w:tcPr>
          <w:p w14:paraId="58D2B7B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9.747.973,63</w:t>
            </w:r>
          </w:p>
        </w:tc>
        <w:tc>
          <w:tcPr>
            <w:tcW w:w="1134" w:type="dxa"/>
            <w:hideMark/>
          </w:tcPr>
          <w:p w14:paraId="26DEAFCA"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9.870.408,26</w:t>
            </w:r>
          </w:p>
        </w:tc>
        <w:tc>
          <w:tcPr>
            <w:tcW w:w="1134" w:type="dxa"/>
            <w:hideMark/>
          </w:tcPr>
          <w:p w14:paraId="480A96B9"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9.916.387,75</w:t>
            </w:r>
          </w:p>
        </w:tc>
        <w:tc>
          <w:tcPr>
            <w:tcW w:w="1134" w:type="dxa"/>
            <w:hideMark/>
          </w:tcPr>
          <w:p w14:paraId="594515D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9.642.935,47</w:t>
            </w:r>
          </w:p>
        </w:tc>
        <w:tc>
          <w:tcPr>
            <w:tcW w:w="1282" w:type="dxa"/>
            <w:hideMark/>
          </w:tcPr>
          <w:p w14:paraId="4A63C2C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10.485.767,62</w:t>
            </w:r>
          </w:p>
        </w:tc>
      </w:tr>
      <w:tr w:rsidR="00193733" w:rsidRPr="009772A3" w14:paraId="17BC3149"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9CFFDCF"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3B48E51C"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3.Avansuri primite curente</w:t>
            </w:r>
          </w:p>
        </w:tc>
        <w:tc>
          <w:tcPr>
            <w:tcW w:w="1134" w:type="dxa"/>
            <w:hideMark/>
          </w:tcPr>
          <w:p w14:paraId="768A473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28.476,19</w:t>
            </w:r>
          </w:p>
        </w:tc>
        <w:tc>
          <w:tcPr>
            <w:tcW w:w="1134" w:type="dxa"/>
            <w:hideMark/>
          </w:tcPr>
          <w:p w14:paraId="31DA5C2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32.218,96</w:t>
            </w:r>
          </w:p>
        </w:tc>
        <w:tc>
          <w:tcPr>
            <w:tcW w:w="1134" w:type="dxa"/>
            <w:hideMark/>
          </w:tcPr>
          <w:p w14:paraId="210EEC83"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29.922,22</w:t>
            </w:r>
          </w:p>
        </w:tc>
        <w:tc>
          <w:tcPr>
            <w:tcW w:w="1134" w:type="dxa"/>
            <w:hideMark/>
          </w:tcPr>
          <w:p w14:paraId="54941FFA"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35.933,65</w:t>
            </w:r>
          </w:p>
        </w:tc>
        <w:tc>
          <w:tcPr>
            <w:tcW w:w="1134" w:type="dxa"/>
            <w:hideMark/>
          </w:tcPr>
          <w:p w14:paraId="519B911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37.683,03</w:t>
            </w:r>
          </w:p>
        </w:tc>
        <w:tc>
          <w:tcPr>
            <w:tcW w:w="1282" w:type="dxa"/>
            <w:hideMark/>
          </w:tcPr>
          <w:p w14:paraId="581AD076"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40.314,70</w:t>
            </w:r>
          </w:p>
        </w:tc>
      </w:tr>
      <w:tr w:rsidR="00193733" w:rsidRPr="009772A3" w14:paraId="380D42E1"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9BB7F02"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9044021"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4.Datorii față de personal</w:t>
            </w:r>
          </w:p>
        </w:tc>
        <w:tc>
          <w:tcPr>
            <w:tcW w:w="1134" w:type="dxa"/>
            <w:hideMark/>
          </w:tcPr>
          <w:p w14:paraId="531CE1A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44.026,37</w:t>
            </w:r>
          </w:p>
        </w:tc>
        <w:tc>
          <w:tcPr>
            <w:tcW w:w="1134" w:type="dxa"/>
            <w:hideMark/>
          </w:tcPr>
          <w:p w14:paraId="16093E80"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51.358,53</w:t>
            </w:r>
          </w:p>
        </w:tc>
        <w:tc>
          <w:tcPr>
            <w:tcW w:w="1134" w:type="dxa"/>
            <w:hideMark/>
          </w:tcPr>
          <w:p w14:paraId="7BAF79E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44.920,96</w:t>
            </w:r>
          </w:p>
        </w:tc>
        <w:tc>
          <w:tcPr>
            <w:tcW w:w="1134" w:type="dxa"/>
            <w:hideMark/>
          </w:tcPr>
          <w:p w14:paraId="15E3B49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52.963,28</w:t>
            </w:r>
          </w:p>
        </w:tc>
        <w:tc>
          <w:tcPr>
            <w:tcW w:w="1134" w:type="dxa"/>
            <w:hideMark/>
          </w:tcPr>
          <w:p w14:paraId="5B939E1B"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52.701,83</w:t>
            </w:r>
          </w:p>
        </w:tc>
        <w:tc>
          <w:tcPr>
            <w:tcW w:w="1282" w:type="dxa"/>
            <w:hideMark/>
          </w:tcPr>
          <w:p w14:paraId="492553D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49.823,96</w:t>
            </w:r>
          </w:p>
        </w:tc>
      </w:tr>
      <w:tr w:rsidR="00193733" w:rsidRPr="009772A3" w14:paraId="4CA5CCA7"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FCB964A"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70518BF1"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5.Datorii privind asigurările sociale și medicale</w:t>
            </w:r>
          </w:p>
        </w:tc>
        <w:tc>
          <w:tcPr>
            <w:tcW w:w="1134" w:type="dxa"/>
            <w:hideMark/>
          </w:tcPr>
          <w:p w14:paraId="03728E85"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14.435,42</w:t>
            </w:r>
          </w:p>
        </w:tc>
        <w:tc>
          <w:tcPr>
            <w:tcW w:w="1134" w:type="dxa"/>
            <w:hideMark/>
          </w:tcPr>
          <w:p w14:paraId="5CD2426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13.089,20</w:t>
            </w:r>
          </w:p>
        </w:tc>
        <w:tc>
          <w:tcPr>
            <w:tcW w:w="1134" w:type="dxa"/>
            <w:hideMark/>
          </w:tcPr>
          <w:p w14:paraId="094B660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12.882,83</w:t>
            </w:r>
          </w:p>
        </w:tc>
        <w:tc>
          <w:tcPr>
            <w:tcW w:w="1134" w:type="dxa"/>
            <w:hideMark/>
          </w:tcPr>
          <w:p w14:paraId="2C96F6B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17.763,08</w:t>
            </w:r>
          </w:p>
        </w:tc>
        <w:tc>
          <w:tcPr>
            <w:tcW w:w="1134" w:type="dxa"/>
            <w:hideMark/>
          </w:tcPr>
          <w:p w14:paraId="3684675C"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17.693,78</w:t>
            </w:r>
          </w:p>
        </w:tc>
        <w:tc>
          <w:tcPr>
            <w:tcW w:w="1282" w:type="dxa"/>
            <w:hideMark/>
          </w:tcPr>
          <w:p w14:paraId="107DFED4"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20.240,30</w:t>
            </w:r>
          </w:p>
        </w:tc>
      </w:tr>
      <w:tr w:rsidR="00193733" w:rsidRPr="009772A3" w14:paraId="75E3F1D5"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FA90102"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1985123"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6.Alte datorii curente</w:t>
            </w:r>
          </w:p>
        </w:tc>
        <w:tc>
          <w:tcPr>
            <w:tcW w:w="1134" w:type="dxa"/>
            <w:hideMark/>
          </w:tcPr>
          <w:p w14:paraId="2B6D9A6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3.291.042,74</w:t>
            </w:r>
          </w:p>
        </w:tc>
        <w:tc>
          <w:tcPr>
            <w:tcW w:w="1134" w:type="dxa"/>
            <w:hideMark/>
          </w:tcPr>
          <w:p w14:paraId="26C8864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2.737.148,11</w:t>
            </w:r>
          </w:p>
        </w:tc>
        <w:tc>
          <w:tcPr>
            <w:tcW w:w="1134" w:type="dxa"/>
            <w:hideMark/>
          </w:tcPr>
          <w:p w14:paraId="75D53CF8"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2.775.815,46</w:t>
            </w:r>
          </w:p>
        </w:tc>
        <w:tc>
          <w:tcPr>
            <w:tcW w:w="1134" w:type="dxa"/>
            <w:hideMark/>
          </w:tcPr>
          <w:p w14:paraId="1090DFB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2.752.861,93</w:t>
            </w:r>
          </w:p>
        </w:tc>
        <w:tc>
          <w:tcPr>
            <w:tcW w:w="1134" w:type="dxa"/>
            <w:hideMark/>
          </w:tcPr>
          <w:p w14:paraId="20E45A5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2.720.912,95</w:t>
            </w:r>
          </w:p>
        </w:tc>
        <w:tc>
          <w:tcPr>
            <w:tcW w:w="1282" w:type="dxa"/>
            <w:hideMark/>
          </w:tcPr>
          <w:p w14:paraId="736B4932"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2.903.942,99</w:t>
            </w:r>
          </w:p>
        </w:tc>
      </w:tr>
      <w:tr w:rsidR="00193733" w:rsidRPr="009772A3" w14:paraId="44C7DEF1"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4C15D28"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491FAD35"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7.Datorii față de buget </w:t>
            </w:r>
          </w:p>
        </w:tc>
        <w:tc>
          <w:tcPr>
            <w:tcW w:w="1134" w:type="dxa"/>
            <w:hideMark/>
          </w:tcPr>
          <w:p w14:paraId="5F44B6C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30.699,72</w:t>
            </w:r>
          </w:p>
        </w:tc>
        <w:tc>
          <w:tcPr>
            <w:tcW w:w="1134" w:type="dxa"/>
            <w:hideMark/>
          </w:tcPr>
          <w:p w14:paraId="6A23BE30"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218.092,40</w:t>
            </w:r>
          </w:p>
        </w:tc>
        <w:tc>
          <w:tcPr>
            <w:tcW w:w="1134" w:type="dxa"/>
            <w:hideMark/>
          </w:tcPr>
          <w:p w14:paraId="78441A7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23.336,09</w:t>
            </w:r>
          </w:p>
        </w:tc>
        <w:tc>
          <w:tcPr>
            <w:tcW w:w="1134" w:type="dxa"/>
            <w:hideMark/>
          </w:tcPr>
          <w:p w14:paraId="67B9328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17.470,96</w:t>
            </w:r>
          </w:p>
        </w:tc>
        <w:tc>
          <w:tcPr>
            <w:tcW w:w="1134" w:type="dxa"/>
            <w:hideMark/>
          </w:tcPr>
          <w:p w14:paraId="46D5693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23.511,49</w:t>
            </w:r>
          </w:p>
        </w:tc>
        <w:tc>
          <w:tcPr>
            <w:tcW w:w="1282" w:type="dxa"/>
            <w:hideMark/>
          </w:tcPr>
          <w:p w14:paraId="043372CD"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14.927,60</w:t>
            </w:r>
          </w:p>
        </w:tc>
      </w:tr>
      <w:tr w:rsidR="00193733" w:rsidRPr="009772A3" w14:paraId="7C72ED60"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2C08D6E"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6FFE928B"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8.Venituri anticipate curente </w:t>
            </w:r>
          </w:p>
        </w:tc>
        <w:tc>
          <w:tcPr>
            <w:tcW w:w="1134" w:type="dxa"/>
            <w:hideMark/>
          </w:tcPr>
          <w:p w14:paraId="1448D9A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12.161,02</w:t>
            </w:r>
          </w:p>
        </w:tc>
        <w:tc>
          <w:tcPr>
            <w:tcW w:w="1134" w:type="dxa"/>
            <w:hideMark/>
          </w:tcPr>
          <w:p w14:paraId="49D3B35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1.567,98</w:t>
            </w:r>
          </w:p>
        </w:tc>
        <w:tc>
          <w:tcPr>
            <w:tcW w:w="1134" w:type="dxa"/>
            <w:hideMark/>
          </w:tcPr>
          <w:p w14:paraId="5994D7B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1.176,40</w:t>
            </w:r>
          </w:p>
        </w:tc>
        <w:tc>
          <w:tcPr>
            <w:tcW w:w="1134" w:type="dxa"/>
            <w:hideMark/>
          </w:tcPr>
          <w:p w14:paraId="3E256F8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645,02</w:t>
            </w:r>
          </w:p>
        </w:tc>
        <w:tc>
          <w:tcPr>
            <w:tcW w:w="1134" w:type="dxa"/>
            <w:hideMark/>
          </w:tcPr>
          <w:p w14:paraId="3D33C61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90,34</w:t>
            </w:r>
          </w:p>
        </w:tc>
        <w:tc>
          <w:tcPr>
            <w:tcW w:w="1282" w:type="dxa"/>
            <w:hideMark/>
          </w:tcPr>
          <w:p w14:paraId="064411F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106,22</w:t>
            </w:r>
          </w:p>
        </w:tc>
      </w:tr>
      <w:tr w:rsidR="00193733" w:rsidRPr="009772A3" w14:paraId="56DC9DF4"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60096D3D" w14:textId="77777777" w:rsidR="00193733" w:rsidRPr="009772A3" w:rsidRDefault="00193733" w:rsidP="00DE381A">
            <w:pPr>
              <w:jc w:val="cente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F</w:t>
            </w:r>
          </w:p>
        </w:tc>
        <w:tc>
          <w:tcPr>
            <w:tcW w:w="2552" w:type="dxa"/>
            <w:hideMark/>
          </w:tcPr>
          <w:p w14:paraId="64B0B69E"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Provizioane </w:t>
            </w:r>
            <w:r w:rsidRPr="009772A3">
              <w:rPr>
                <w:rFonts w:asciiTheme="majorHAnsi" w:eastAsia="Times New Roman" w:hAnsiTheme="majorHAnsi" w:cstheme="majorHAnsi"/>
                <w:i/>
                <w:iCs/>
                <w:sz w:val="16"/>
                <w:szCs w:val="18"/>
                <w:lang w:val="ro-MD"/>
              </w:rPr>
              <w:t>(rd.830+rd.860)</w:t>
            </w:r>
          </w:p>
        </w:tc>
        <w:tc>
          <w:tcPr>
            <w:tcW w:w="1134" w:type="dxa"/>
            <w:hideMark/>
          </w:tcPr>
          <w:p w14:paraId="6A5AB618" w14:textId="5D396A62" w:rsidR="00193733" w:rsidRPr="009772A3" w:rsidRDefault="00442BC0"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23.790,7</w:t>
            </w:r>
          </w:p>
        </w:tc>
        <w:tc>
          <w:tcPr>
            <w:tcW w:w="1134" w:type="dxa"/>
            <w:hideMark/>
          </w:tcPr>
          <w:p w14:paraId="3508A9BC" w14:textId="42EBE4D6" w:rsidR="00193733" w:rsidRPr="009772A3" w:rsidRDefault="00193733" w:rsidP="00442BC0">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1.067.086,0</w:t>
            </w:r>
          </w:p>
        </w:tc>
        <w:tc>
          <w:tcPr>
            <w:tcW w:w="1134" w:type="dxa"/>
            <w:hideMark/>
          </w:tcPr>
          <w:p w14:paraId="2864642B" w14:textId="16FC2FA5" w:rsidR="00193733" w:rsidRPr="009772A3" w:rsidRDefault="00193733" w:rsidP="00442BC0">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w:t>
            </w:r>
            <w:r w:rsidR="00442BC0" w:rsidRPr="009772A3">
              <w:rPr>
                <w:rFonts w:asciiTheme="majorHAnsi" w:eastAsia="Times New Roman" w:hAnsiTheme="majorHAnsi" w:cstheme="majorHAnsi"/>
                <w:b/>
                <w:bCs/>
                <w:sz w:val="16"/>
                <w:szCs w:val="18"/>
                <w:lang w:val="ro-MD"/>
              </w:rPr>
              <w:t>75.308</w:t>
            </w:r>
            <w:r w:rsidRPr="009772A3">
              <w:rPr>
                <w:rFonts w:asciiTheme="majorHAnsi" w:eastAsia="Times New Roman" w:hAnsiTheme="majorHAnsi" w:cstheme="majorHAnsi"/>
                <w:b/>
                <w:bCs/>
                <w:sz w:val="16"/>
                <w:szCs w:val="18"/>
                <w:lang w:val="ro-MD"/>
              </w:rPr>
              <w:t>,</w:t>
            </w:r>
            <w:r w:rsidR="00442BC0" w:rsidRPr="009772A3">
              <w:rPr>
                <w:rFonts w:asciiTheme="majorHAnsi" w:eastAsia="Times New Roman" w:hAnsiTheme="majorHAnsi" w:cstheme="majorHAnsi"/>
                <w:b/>
                <w:bCs/>
                <w:sz w:val="16"/>
                <w:szCs w:val="18"/>
                <w:lang w:val="ro-MD"/>
              </w:rPr>
              <w:t>0</w:t>
            </w:r>
          </w:p>
        </w:tc>
        <w:tc>
          <w:tcPr>
            <w:tcW w:w="1134" w:type="dxa"/>
            <w:hideMark/>
          </w:tcPr>
          <w:p w14:paraId="2E639B6A" w14:textId="6807D3AE" w:rsidR="00193733" w:rsidRPr="009772A3" w:rsidRDefault="00193733" w:rsidP="00442BC0">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319.600,</w:t>
            </w:r>
            <w:r w:rsidR="00442BC0" w:rsidRPr="009772A3">
              <w:rPr>
                <w:rFonts w:asciiTheme="majorHAnsi" w:eastAsia="Times New Roman" w:hAnsiTheme="majorHAnsi" w:cstheme="majorHAnsi"/>
                <w:b/>
                <w:bCs/>
                <w:sz w:val="16"/>
                <w:szCs w:val="18"/>
                <w:lang w:val="ro-MD"/>
              </w:rPr>
              <w:t>4</w:t>
            </w:r>
          </w:p>
        </w:tc>
        <w:tc>
          <w:tcPr>
            <w:tcW w:w="1134" w:type="dxa"/>
            <w:hideMark/>
          </w:tcPr>
          <w:p w14:paraId="3E4E0A86" w14:textId="3BD3C667" w:rsidR="00193733" w:rsidRPr="009772A3" w:rsidRDefault="00193733" w:rsidP="00442BC0">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314.408,</w:t>
            </w:r>
            <w:r w:rsidR="00442BC0" w:rsidRPr="009772A3">
              <w:rPr>
                <w:rFonts w:asciiTheme="majorHAnsi" w:eastAsia="Times New Roman" w:hAnsiTheme="majorHAnsi" w:cstheme="majorHAnsi"/>
                <w:b/>
                <w:bCs/>
                <w:sz w:val="16"/>
                <w:szCs w:val="18"/>
                <w:lang w:val="ro-MD"/>
              </w:rPr>
              <w:t>3</w:t>
            </w:r>
          </w:p>
        </w:tc>
        <w:tc>
          <w:tcPr>
            <w:tcW w:w="1282" w:type="dxa"/>
            <w:hideMark/>
          </w:tcPr>
          <w:p w14:paraId="52F6886D" w14:textId="0C0E6BA6" w:rsidR="00193733" w:rsidRPr="009772A3" w:rsidRDefault="00193733" w:rsidP="00442BC0">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45.307,8</w:t>
            </w:r>
          </w:p>
        </w:tc>
      </w:tr>
      <w:tr w:rsidR="00193733" w:rsidRPr="009772A3" w14:paraId="474143B9"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8A48A1B"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0B53204D"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1.Provizioane pentru beneficiile angajaților</w:t>
            </w:r>
          </w:p>
        </w:tc>
        <w:tc>
          <w:tcPr>
            <w:tcW w:w="1134" w:type="dxa"/>
            <w:hideMark/>
          </w:tcPr>
          <w:p w14:paraId="0F0AF26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203323D"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FAB248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3A61F9F"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3717EDE7"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20.231,43</w:t>
            </w:r>
          </w:p>
        </w:tc>
        <w:tc>
          <w:tcPr>
            <w:tcW w:w="1282" w:type="dxa"/>
            <w:hideMark/>
          </w:tcPr>
          <w:p w14:paraId="2C0E9A46"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27.440,72</w:t>
            </w:r>
          </w:p>
        </w:tc>
      </w:tr>
      <w:tr w:rsidR="00193733" w:rsidRPr="009772A3" w14:paraId="55ADF830"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DCFF74F"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1E4F6925" w14:textId="77777777" w:rsidR="00193733" w:rsidRPr="009772A3" w:rsidRDefault="00193733"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xml:space="preserve">2. Provizioane pentru impozite </w:t>
            </w:r>
          </w:p>
        </w:tc>
        <w:tc>
          <w:tcPr>
            <w:tcW w:w="1134" w:type="dxa"/>
            <w:hideMark/>
          </w:tcPr>
          <w:p w14:paraId="678162F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69BDA1B9"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AF21ECF"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2594B48E"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1134" w:type="dxa"/>
            <w:hideMark/>
          </w:tcPr>
          <w:p w14:paraId="54DF7EC1"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836,04</w:t>
            </w:r>
          </w:p>
        </w:tc>
        <w:tc>
          <w:tcPr>
            <w:tcW w:w="1282" w:type="dxa"/>
            <w:hideMark/>
          </w:tcPr>
          <w:p w14:paraId="1D0EA3C8" w14:textId="77777777" w:rsidR="00193733" w:rsidRPr="009772A3" w:rsidRDefault="00193733"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1.322,35</w:t>
            </w:r>
          </w:p>
        </w:tc>
      </w:tr>
      <w:tr w:rsidR="00193733" w:rsidRPr="009772A3" w14:paraId="50682E25" w14:textId="77777777" w:rsidTr="00CF3AD4">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E171CB0" w14:textId="77777777" w:rsidR="00193733" w:rsidRPr="009772A3" w:rsidRDefault="00193733" w:rsidP="00DE381A">
            <w:pPr>
              <w:rPr>
                <w:rFonts w:asciiTheme="majorHAnsi" w:eastAsia="Times New Roman" w:hAnsiTheme="majorHAnsi" w:cstheme="majorHAnsi"/>
                <w:sz w:val="16"/>
                <w:szCs w:val="18"/>
                <w:lang w:val="ro-MD"/>
              </w:rPr>
            </w:pPr>
          </w:p>
        </w:tc>
        <w:tc>
          <w:tcPr>
            <w:tcW w:w="2552" w:type="dxa"/>
            <w:hideMark/>
          </w:tcPr>
          <w:p w14:paraId="27B437D9" w14:textId="77777777" w:rsidR="00193733" w:rsidRPr="009772A3" w:rsidRDefault="00193733"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3.Alte provizioane</w:t>
            </w:r>
          </w:p>
        </w:tc>
        <w:tc>
          <w:tcPr>
            <w:tcW w:w="1134" w:type="dxa"/>
            <w:hideMark/>
          </w:tcPr>
          <w:p w14:paraId="47CF443E"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23.790,69</w:t>
            </w:r>
          </w:p>
        </w:tc>
        <w:tc>
          <w:tcPr>
            <w:tcW w:w="1134" w:type="dxa"/>
            <w:hideMark/>
          </w:tcPr>
          <w:p w14:paraId="7579D22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1.067.086,01</w:t>
            </w:r>
          </w:p>
        </w:tc>
        <w:tc>
          <w:tcPr>
            <w:tcW w:w="1134" w:type="dxa"/>
            <w:hideMark/>
          </w:tcPr>
          <w:p w14:paraId="5D7FA431"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475.307,98</w:t>
            </w:r>
          </w:p>
        </w:tc>
        <w:tc>
          <w:tcPr>
            <w:tcW w:w="1134" w:type="dxa"/>
            <w:hideMark/>
          </w:tcPr>
          <w:p w14:paraId="04CAC20C"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319.600,38</w:t>
            </w:r>
          </w:p>
        </w:tc>
        <w:tc>
          <w:tcPr>
            <w:tcW w:w="1134" w:type="dxa"/>
            <w:hideMark/>
          </w:tcPr>
          <w:p w14:paraId="7182FC74"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293.340,79</w:t>
            </w:r>
          </w:p>
        </w:tc>
        <w:tc>
          <w:tcPr>
            <w:tcW w:w="1282" w:type="dxa"/>
            <w:hideMark/>
          </w:tcPr>
          <w:p w14:paraId="491BF3E3" w14:textId="77777777" w:rsidR="00193733" w:rsidRPr="009772A3" w:rsidRDefault="00193733"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16.544,71</w:t>
            </w:r>
          </w:p>
        </w:tc>
      </w:tr>
      <w:tr w:rsidR="00193733" w:rsidRPr="009772A3" w14:paraId="41491BDC" w14:textId="77777777" w:rsidTr="00CF3AD4">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47BF23BF" w14:textId="77777777" w:rsidR="00193733" w:rsidRPr="009772A3" w:rsidRDefault="00193733" w:rsidP="00DE381A">
            <w:pPr>
              <w:rPr>
                <w:rFonts w:asciiTheme="majorHAnsi" w:eastAsia="Times New Roman" w:hAnsiTheme="majorHAnsi" w:cstheme="majorHAnsi"/>
                <w:sz w:val="16"/>
                <w:szCs w:val="18"/>
                <w:lang w:val="ro-MD"/>
              </w:rPr>
            </w:pPr>
            <w:r w:rsidRPr="009772A3">
              <w:rPr>
                <w:rFonts w:asciiTheme="majorHAnsi" w:eastAsia="Times New Roman" w:hAnsiTheme="majorHAnsi" w:cstheme="majorHAnsi"/>
                <w:sz w:val="16"/>
                <w:szCs w:val="18"/>
                <w:lang w:val="ro-MD"/>
              </w:rPr>
              <w:t> </w:t>
            </w:r>
          </w:p>
        </w:tc>
        <w:tc>
          <w:tcPr>
            <w:tcW w:w="2552" w:type="dxa"/>
            <w:hideMark/>
          </w:tcPr>
          <w:p w14:paraId="0ACB3C38" w14:textId="77777777" w:rsidR="00193733" w:rsidRPr="009772A3" w:rsidRDefault="00193733" w:rsidP="00DE381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 xml:space="preserve">TOTAL PASIVE </w:t>
            </w:r>
            <w:r w:rsidRPr="009772A3">
              <w:rPr>
                <w:rFonts w:asciiTheme="majorHAnsi" w:eastAsia="Times New Roman" w:hAnsiTheme="majorHAnsi" w:cstheme="majorHAnsi"/>
                <w:i/>
                <w:iCs/>
                <w:sz w:val="16"/>
                <w:szCs w:val="18"/>
                <w:lang w:val="ro-MD"/>
              </w:rPr>
              <w:t>( rd.620+rd.700+rd.820+rd.870))</w:t>
            </w:r>
          </w:p>
        </w:tc>
        <w:tc>
          <w:tcPr>
            <w:tcW w:w="1134" w:type="dxa"/>
            <w:hideMark/>
          </w:tcPr>
          <w:p w14:paraId="31D1DE0D" w14:textId="116AA951" w:rsidR="00193733" w:rsidRPr="009772A3" w:rsidRDefault="00442BC0"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11.551.517,3</w:t>
            </w:r>
          </w:p>
        </w:tc>
        <w:tc>
          <w:tcPr>
            <w:tcW w:w="1134" w:type="dxa"/>
            <w:hideMark/>
          </w:tcPr>
          <w:p w14:paraId="5B406AEB" w14:textId="6CEA6294" w:rsidR="00193733" w:rsidRPr="009772A3" w:rsidRDefault="00442BC0"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12.211.523,7</w:t>
            </w:r>
          </w:p>
        </w:tc>
        <w:tc>
          <w:tcPr>
            <w:tcW w:w="1134" w:type="dxa"/>
            <w:hideMark/>
          </w:tcPr>
          <w:p w14:paraId="51529D2D" w14:textId="5F6C8B2E" w:rsidR="00193733" w:rsidRPr="009772A3" w:rsidRDefault="00442BC0"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11.718.185,9</w:t>
            </w:r>
          </w:p>
        </w:tc>
        <w:tc>
          <w:tcPr>
            <w:tcW w:w="1134" w:type="dxa"/>
            <w:hideMark/>
          </w:tcPr>
          <w:p w14:paraId="69649F16" w14:textId="6657FB0B" w:rsidR="00193733" w:rsidRPr="009772A3" w:rsidRDefault="00442BC0"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11.682.808,4</w:t>
            </w:r>
          </w:p>
        </w:tc>
        <w:tc>
          <w:tcPr>
            <w:tcW w:w="1134" w:type="dxa"/>
            <w:hideMark/>
          </w:tcPr>
          <w:p w14:paraId="543803BB" w14:textId="1455679A" w:rsidR="00193733" w:rsidRPr="009772A3" w:rsidRDefault="00193733" w:rsidP="00442BC0">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10.917.015,0</w:t>
            </w:r>
          </w:p>
        </w:tc>
        <w:tc>
          <w:tcPr>
            <w:tcW w:w="1282" w:type="dxa"/>
            <w:hideMark/>
          </w:tcPr>
          <w:p w14:paraId="03F3F6A0" w14:textId="07ECE0D1" w:rsidR="00193733" w:rsidRPr="009772A3" w:rsidRDefault="00442BC0"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6"/>
                <w:szCs w:val="18"/>
                <w:lang w:val="ro-MD"/>
              </w:rPr>
            </w:pPr>
            <w:r w:rsidRPr="009772A3">
              <w:rPr>
                <w:rFonts w:asciiTheme="majorHAnsi" w:eastAsia="Times New Roman" w:hAnsiTheme="majorHAnsi" w:cstheme="majorHAnsi"/>
                <w:b/>
                <w:bCs/>
                <w:sz w:val="16"/>
                <w:szCs w:val="18"/>
                <w:lang w:val="ro-MD"/>
              </w:rPr>
              <w:t>11.106.542,</w:t>
            </w:r>
            <w:r w:rsidR="00193733" w:rsidRPr="009772A3">
              <w:rPr>
                <w:rFonts w:asciiTheme="majorHAnsi" w:eastAsia="Times New Roman" w:hAnsiTheme="majorHAnsi" w:cstheme="majorHAnsi"/>
                <w:b/>
                <w:bCs/>
                <w:sz w:val="16"/>
                <w:szCs w:val="18"/>
                <w:lang w:val="ro-MD"/>
              </w:rPr>
              <w:t>7</w:t>
            </w:r>
          </w:p>
        </w:tc>
      </w:tr>
      <w:tr w:rsidR="00193733" w:rsidRPr="009772A3" w14:paraId="29551D10" w14:textId="77777777" w:rsidTr="00CF3A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97" w:type="dxa"/>
            <w:gridSpan w:val="9"/>
            <w:hideMark/>
          </w:tcPr>
          <w:p w14:paraId="2CBEA88E" w14:textId="2D31530B" w:rsidR="00193733" w:rsidRPr="009772A3" w:rsidRDefault="00193733" w:rsidP="00D93D05">
            <w:pPr>
              <w:rPr>
                <w:rFonts w:asciiTheme="majorHAnsi" w:eastAsia="Times New Roman" w:hAnsiTheme="majorHAnsi" w:cstheme="majorHAnsi"/>
                <w:b w:val="0"/>
                <w:sz w:val="16"/>
                <w:szCs w:val="18"/>
                <w:lang w:val="ro-MD"/>
              </w:rPr>
            </w:pPr>
            <w:r w:rsidRPr="009772A3">
              <w:rPr>
                <w:rFonts w:asciiTheme="majorHAnsi" w:eastAsia="Times New Roman" w:hAnsiTheme="majorHAnsi" w:cstheme="majorHAnsi"/>
                <w:i/>
                <w:iCs/>
                <w:sz w:val="16"/>
                <w:szCs w:val="18"/>
                <w:lang w:val="ro-MD"/>
              </w:rPr>
              <w:t>Sursa :</w:t>
            </w:r>
            <w:r w:rsidRPr="009772A3">
              <w:rPr>
                <w:rFonts w:asciiTheme="majorHAnsi" w:eastAsia="Times New Roman" w:hAnsiTheme="majorHAnsi" w:cstheme="majorHAnsi"/>
                <w:sz w:val="16"/>
                <w:szCs w:val="18"/>
                <w:lang w:val="ro-MD"/>
              </w:rPr>
              <w:t xml:space="preserve"> Situațiile financiare consolidate perioada 2016</w:t>
            </w:r>
            <w:r w:rsidR="005A678A">
              <w:rPr>
                <w:rFonts w:asciiTheme="majorHAnsi" w:eastAsia="Times New Roman" w:hAnsiTheme="majorHAnsi" w:cstheme="majorHAnsi"/>
                <w:sz w:val="16"/>
                <w:szCs w:val="18"/>
                <w:lang w:val="ro-MD"/>
              </w:rPr>
              <w:t>-2021</w:t>
            </w:r>
            <w:r w:rsidR="005A049A" w:rsidRPr="009772A3">
              <w:rPr>
                <w:rFonts w:asciiTheme="majorHAnsi" w:eastAsia="Times New Roman" w:hAnsiTheme="majorHAnsi" w:cstheme="majorHAnsi"/>
                <w:sz w:val="16"/>
                <w:szCs w:val="18"/>
                <w:lang w:val="ro-MD"/>
              </w:rPr>
              <w:t>.</w:t>
            </w:r>
            <w:r w:rsidRPr="009772A3">
              <w:rPr>
                <w:rFonts w:asciiTheme="majorHAnsi" w:eastAsia="Times New Roman" w:hAnsiTheme="majorHAnsi" w:cstheme="majorHAnsi"/>
                <w:sz w:val="16"/>
                <w:szCs w:val="18"/>
                <w:lang w:val="ro-MD"/>
              </w:rPr>
              <w:t xml:space="preserve"> </w:t>
            </w:r>
          </w:p>
        </w:tc>
      </w:tr>
    </w:tbl>
    <w:p w14:paraId="10551A28" w14:textId="330DD957" w:rsidR="008A4178" w:rsidRPr="009772A3" w:rsidRDefault="008A4178" w:rsidP="00E220ED">
      <w:pPr>
        <w:jc w:val="center"/>
        <w:rPr>
          <w:rFonts w:asciiTheme="majorHAnsi" w:hAnsiTheme="majorHAnsi" w:cstheme="majorHAnsi"/>
          <w:b/>
          <w:i/>
          <w:sz w:val="18"/>
          <w:szCs w:val="18"/>
          <w:lang w:val="ro-MD"/>
        </w:rPr>
      </w:pPr>
    </w:p>
    <w:p w14:paraId="3557A1D1" w14:textId="77777777" w:rsidR="008A4178" w:rsidRPr="009772A3" w:rsidRDefault="008A4178">
      <w:pPr>
        <w:spacing w:line="259" w:lineRule="auto"/>
        <w:rPr>
          <w:rFonts w:asciiTheme="majorHAnsi" w:hAnsiTheme="majorHAnsi" w:cstheme="majorHAnsi"/>
          <w:b/>
          <w:i/>
          <w:sz w:val="18"/>
          <w:szCs w:val="18"/>
          <w:lang w:val="ro-MD"/>
        </w:rPr>
      </w:pPr>
      <w:r w:rsidRPr="009772A3">
        <w:rPr>
          <w:rFonts w:asciiTheme="majorHAnsi" w:hAnsiTheme="majorHAnsi" w:cstheme="majorHAnsi"/>
          <w:b/>
          <w:i/>
          <w:sz w:val="18"/>
          <w:szCs w:val="18"/>
          <w:lang w:val="ro-MD"/>
        </w:rPr>
        <w:br w:type="page"/>
      </w:r>
    </w:p>
    <w:p w14:paraId="69C1A217" w14:textId="5AD9AE8F" w:rsidR="00682A88" w:rsidRPr="009772A3" w:rsidRDefault="00682A88" w:rsidP="00E220ED">
      <w:pPr>
        <w:jc w:val="center"/>
        <w:rPr>
          <w:rFonts w:asciiTheme="majorHAnsi" w:hAnsiTheme="majorHAnsi" w:cstheme="majorHAnsi"/>
          <w:b/>
          <w:i/>
          <w:sz w:val="24"/>
          <w:szCs w:val="24"/>
          <w:lang w:val="ro-MD"/>
        </w:rPr>
      </w:pPr>
      <w:r w:rsidRPr="009772A3">
        <w:rPr>
          <w:rFonts w:asciiTheme="majorHAnsi" w:hAnsiTheme="majorHAnsi" w:cstheme="majorHAnsi"/>
          <w:b/>
          <w:i/>
          <w:sz w:val="24"/>
          <w:szCs w:val="24"/>
          <w:lang w:val="ro-MD"/>
        </w:rPr>
        <w:t>Situația consolidată de profit și pierdere</w:t>
      </w:r>
      <w:r w:rsidR="001157AA" w:rsidRPr="009772A3">
        <w:rPr>
          <w:rFonts w:asciiTheme="majorHAnsi" w:hAnsiTheme="majorHAnsi" w:cstheme="majorHAnsi"/>
          <w:b/>
          <w:i/>
          <w:sz w:val="24"/>
          <w:szCs w:val="24"/>
          <w:lang w:val="ro-MD"/>
        </w:rPr>
        <w:t xml:space="preserve"> a grupului SA Moldovagaz</w:t>
      </w:r>
    </w:p>
    <w:p w14:paraId="3771F970" w14:textId="707E9AC9" w:rsidR="00E220ED" w:rsidRPr="009772A3" w:rsidRDefault="00682A88" w:rsidP="00682A88">
      <w:pPr>
        <w:jc w:val="right"/>
        <w:rPr>
          <w:rFonts w:asciiTheme="majorHAnsi" w:eastAsia="Times New Roman" w:hAnsiTheme="majorHAnsi" w:cstheme="majorHAnsi"/>
          <w:noProof/>
          <w:sz w:val="24"/>
          <w:szCs w:val="24"/>
          <w:lang w:val="ro-MD"/>
        </w:rPr>
      </w:pPr>
      <w:r w:rsidRPr="009772A3">
        <w:rPr>
          <w:rFonts w:asciiTheme="majorHAnsi" w:hAnsiTheme="majorHAnsi" w:cstheme="majorHAnsi"/>
          <w:i/>
          <w:sz w:val="24"/>
          <w:szCs w:val="24"/>
          <w:lang w:val="ro-MD"/>
        </w:rPr>
        <w:t xml:space="preserve"> </w:t>
      </w:r>
      <w:r w:rsidRPr="009772A3">
        <w:rPr>
          <w:rFonts w:asciiTheme="majorHAnsi" w:eastAsia="Times New Roman" w:hAnsiTheme="majorHAnsi" w:cstheme="majorHAnsi"/>
          <w:noProof/>
          <w:sz w:val="24"/>
          <w:szCs w:val="24"/>
          <w:lang w:val="ro-MD"/>
        </w:rPr>
        <w:t xml:space="preserve"> </w:t>
      </w:r>
      <w:r w:rsidR="00E220ED" w:rsidRPr="009772A3">
        <w:rPr>
          <w:rFonts w:asciiTheme="majorHAnsi" w:eastAsia="Times New Roman" w:hAnsiTheme="majorHAnsi" w:cstheme="majorHAnsi"/>
          <w:noProof/>
          <w:sz w:val="24"/>
          <w:szCs w:val="24"/>
          <w:lang w:val="ro-MD"/>
        </w:rPr>
        <w:t>(mii lei)</w:t>
      </w:r>
    </w:p>
    <w:tbl>
      <w:tblPr>
        <w:tblStyle w:val="PlainTable11"/>
        <w:tblW w:w="10232" w:type="dxa"/>
        <w:tblInd w:w="-856" w:type="dxa"/>
        <w:tblLook w:val="04A0" w:firstRow="1" w:lastRow="0" w:firstColumn="1" w:lastColumn="0" w:noHBand="0" w:noVBand="1"/>
      </w:tblPr>
      <w:tblGrid>
        <w:gridCol w:w="2552"/>
        <w:gridCol w:w="1276"/>
        <w:gridCol w:w="1275"/>
        <w:gridCol w:w="1276"/>
        <w:gridCol w:w="1170"/>
        <w:gridCol w:w="1247"/>
        <w:gridCol w:w="1419"/>
        <w:gridCol w:w="17"/>
      </w:tblGrid>
      <w:tr w:rsidR="00E220ED" w:rsidRPr="009772A3" w14:paraId="516462EA" w14:textId="77777777" w:rsidTr="00682A88">
        <w:trPr>
          <w:gridAfter w:val="1"/>
          <w:cnfStyle w:val="100000000000" w:firstRow="1" w:lastRow="0" w:firstColumn="0" w:lastColumn="0" w:oddVBand="0" w:evenVBand="0" w:oddHBand="0"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2A7B14C1" w14:textId="77777777" w:rsidR="00E220ED" w:rsidRPr="009772A3" w:rsidRDefault="00E220ED"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INDICATORI</w:t>
            </w:r>
          </w:p>
        </w:tc>
        <w:tc>
          <w:tcPr>
            <w:tcW w:w="7663" w:type="dxa"/>
            <w:gridSpan w:val="6"/>
            <w:noWrap/>
            <w:hideMark/>
          </w:tcPr>
          <w:p w14:paraId="4ED80C80" w14:textId="77777777" w:rsidR="00E220ED" w:rsidRPr="009772A3" w:rsidRDefault="00E220ED" w:rsidP="00DE381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PERIOADA </w:t>
            </w:r>
          </w:p>
        </w:tc>
      </w:tr>
      <w:tr w:rsidR="00E220ED" w:rsidRPr="009772A3" w14:paraId="6F3138FB" w14:textId="77777777" w:rsidTr="00682A88">
        <w:trPr>
          <w:gridAfter w:val="1"/>
          <w:cnfStyle w:val="000000100000" w:firstRow="0" w:lastRow="0" w:firstColumn="0" w:lastColumn="0" w:oddVBand="0" w:evenVBand="0" w:oddHBand="1" w:evenHBand="0" w:firstRowFirstColumn="0" w:firstRowLastColumn="0" w:lastRowFirstColumn="0" w:lastRowLastColumn="0"/>
          <w:wAfter w:w="17" w:type="dxa"/>
          <w:trHeight w:val="300"/>
        </w:trPr>
        <w:tc>
          <w:tcPr>
            <w:cnfStyle w:val="001000000000" w:firstRow="0" w:lastRow="0" w:firstColumn="1" w:lastColumn="0" w:oddVBand="0" w:evenVBand="0" w:oddHBand="0" w:evenHBand="0" w:firstRowFirstColumn="0" w:firstRowLastColumn="0" w:lastRowFirstColumn="0" w:lastRowLastColumn="0"/>
            <w:tcW w:w="2552" w:type="dxa"/>
            <w:vMerge/>
            <w:hideMark/>
          </w:tcPr>
          <w:p w14:paraId="133391BD" w14:textId="77777777" w:rsidR="00E220ED" w:rsidRPr="009772A3" w:rsidRDefault="00E220ED" w:rsidP="00DE381A">
            <w:pPr>
              <w:rPr>
                <w:rFonts w:asciiTheme="majorHAnsi" w:eastAsia="Times New Roman" w:hAnsiTheme="majorHAnsi" w:cstheme="majorHAnsi"/>
                <w:sz w:val="18"/>
                <w:szCs w:val="18"/>
                <w:lang w:val="ro-MD"/>
              </w:rPr>
            </w:pPr>
          </w:p>
        </w:tc>
        <w:tc>
          <w:tcPr>
            <w:tcW w:w="1276" w:type="dxa"/>
            <w:hideMark/>
          </w:tcPr>
          <w:p w14:paraId="3C6AB443" w14:textId="77777777" w:rsidR="00E220ED" w:rsidRPr="009772A3" w:rsidRDefault="00E220ED"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2016</w:t>
            </w:r>
          </w:p>
        </w:tc>
        <w:tc>
          <w:tcPr>
            <w:tcW w:w="1275" w:type="dxa"/>
            <w:hideMark/>
          </w:tcPr>
          <w:p w14:paraId="64923572" w14:textId="77777777" w:rsidR="00E220ED" w:rsidRPr="009772A3" w:rsidRDefault="00E220ED"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2017</w:t>
            </w:r>
          </w:p>
        </w:tc>
        <w:tc>
          <w:tcPr>
            <w:tcW w:w="1276" w:type="dxa"/>
            <w:hideMark/>
          </w:tcPr>
          <w:p w14:paraId="58193EB7" w14:textId="77777777" w:rsidR="00E220ED" w:rsidRPr="009772A3" w:rsidRDefault="00E220ED"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2018</w:t>
            </w:r>
          </w:p>
        </w:tc>
        <w:tc>
          <w:tcPr>
            <w:tcW w:w="1170" w:type="dxa"/>
            <w:hideMark/>
          </w:tcPr>
          <w:p w14:paraId="5B87C653" w14:textId="77777777" w:rsidR="00E220ED" w:rsidRPr="009772A3" w:rsidRDefault="00E220ED"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2019</w:t>
            </w:r>
          </w:p>
        </w:tc>
        <w:tc>
          <w:tcPr>
            <w:tcW w:w="1247" w:type="dxa"/>
            <w:hideMark/>
          </w:tcPr>
          <w:p w14:paraId="02D041D0" w14:textId="77777777" w:rsidR="00E220ED" w:rsidRPr="009772A3" w:rsidRDefault="00E220ED"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2020</w:t>
            </w:r>
          </w:p>
        </w:tc>
        <w:tc>
          <w:tcPr>
            <w:tcW w:w="1419" w:type="dxa"/>
            <w:hideMark/>
          </w:tcPr>
          <w:p w14:paraId="0A796C02" w14:textId="77777777" w:rsidR="00E220ED" w:rsidRPr="009772A3" w:rsidRDefault="00E220ED"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2021</w:t>
            </w:r>
          </w:p>
        </w:tc>
      </w:tr>
      <w:tr w:rsidR="00E220ED" w:rsidRPr="009772A3" w14:paraId="1BB309DA" w14:textId="77777777" w:rsidTr="00682A88">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4E63E51E"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Venituri din vânzări</w:t>
            </w:r>
          </w:p>
        </w:tc>
        <w:tc>
          <w:tcPr>
            <w:tcW w:w="1276" w:type="dxa"/>
            <w:hideMark/>
          </w:tcPr>
          <w:p w14:paraId="695988D6"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6.054.941,20</w:t>
            </w:r>
          </w:p>
        </w:tc>
        <w:tc>
          <w:tcPr>
            <w:tcW w:w="1275" w:type="dxa"/>
            <w:hideMark/>
          </w:tcPr>
          <w:p w14:paraId="2AE36AE3"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5.986.315,14</w:t>
            </w:r>
          </w:p>
        </w:tc>
        <w:tc>
          <w:tcPr>
            <w:tcW w:w="1276" w:type="dxa"/>
            <w:hideMark/>
          </w:tcPr>
          <w:p w14:paraId="71884494"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5.554.776,47</w:t>
            </w:r>
          </w:p>
        </w:tc>
        <w:tc>
          <w:tcPr>
            <w:tcW w:w="1170" w:type="dxa"/>
            <w:hideMark/>
          </w:tcPr>
          <w:p w14:paraId="13BBD1DD"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4.880.278,91</w:t>
            </w:r>
          </w:p>
        </w:tc>
        <w:tc>
          <w:tcPr>
            <w:tcW w:w="1247" w:type="dxa"/>
            <w:hideMark/>
          </w:tcPr>
          <w:p w14:paraId="276EB493"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4.688.305,03</w:t>
            </w:r>
          </w:p>
        </w:tc>
        <w:tc>
          <w:tcPr>
            <w:tcW w:w="1419" w:type="dxa"/>
            <w:hideMark/>
          </w:tcPr>
          <w:p w14:paraId="5D122219"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7.244.362,17</w:t>
            </w:r>
          </w:p>
        </w:tc>
      </w:tr>
      <w:tr w:rsidR="00E220ED" w:rsidRPr="009772A3" w14:paraId="7DA638D9" w14:textId="77777777" w:rsidTr="00682A88">
        <w:trPr>
          <w:gridAfter w:val="1"/>
          <w:cnfStyle w:val="000000100000" w:firstRow="0" w:lastRow="0" w:firstColumn="0" w:lastColumn="0" w:oddVBand="0" w:evenVBand="0" w:oddHBand="1"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3E8DB1D5" w14:textId="77777777" w:rsidR="00E220ED" w:rsidRPr="009772A3" w:rsidRDefault="00E220ED" w:rsidP="00DE381A">
            <w:pPr>
              <w:ind w:right="543"/>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Costul vânzărilor</w:t>
            </w:r>
          </w:p>
        </w:tc>
        <w:tc>
          <w:tcPr>
            <w:tcW w:w="1276" w:type="dxa"/>
            <w:hideMark/>
          </w:tcPr>
          <w:p w14:paraId="5CEC16B6"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5.093.169,69</w:t>
            </w:r>
          </w:p>
        </w:tc>
        <w:tc>
          <w:tcPr>
            <w:tcW w:w="1275" w:type="dxa"/>
            <w:hideMark/>
          </w:tcPr>
          <w:p w14:paraId="68303841"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5.529.712,86</w:t>
            </w:r>
          </w:p>
        </w:tc>
        <w:tc>
          <w:tcPr>
            <w:tcW w:w="1276" w:type="dxa"/>
            <w:hideMark/>
          </w:tcPr>
          <w:p w14:paraId="1CEB0449"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4.749.361,18</w:t>
            </w:r>
          </w:p>
        </w:tc>
        <w:tc>
          <w:tcPr>
            <w:tcW w:w="1170" w:type="dxa"/>
            <w:hideMark/>
          </w:tcPr>
          <w:p w14:paraId="7F1022DB"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4.364.926,09</w:t>
            </w:r>
          </w:p>
        </w:tc>
        <w:tc>
          <w:tcPr>
            <w:tcW w:w="1247" w:type="dxa"/>
            <w:hideMark/>
          </w:tcPr>
          <w:p w14:paraId="2916308F"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4.299.994,48</w:t>
            </w:r>
          </w:p>
        </w:tc>
        <w:tc>
          <w:tcPr>
            <w:tcW w:w="1419" w:type="dxa"/>
            <w:hideMark/>
          </w:tcPr>
          <w:p w14:paraId="5351A14F"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6.817.978,93</w:t>
            </w:r>
          </w:p>
        </w:tc>
      </w:tr>
      <w:tr w:rsidR="00E220ED" w:rsidRPr="009772A3" w14:paraId="573A66BF" w14:textId="77777777" w:rsidTr="00682A88">
        <w:trPr>
          <w:gridAfter w:val="1"/>
          <w:wAfter w:w="17" w:type="dxa"/>
          <w:trHeight w:val="299"/>
        </w:trPr>
        <w:tc>
          <w:tcPr>
            <w:cnfStyle w:val="001000000000" w:firstRow="0" w:lastRow="0" w:firstColumn="1" w:lastColumn="0" w:oddVBand="0" w:evenVBand="0" w:oddHBand="0" w:evenHBand="0" w:firstRowFirstColumn="0" w:firstRowLastColumn="0" w:lastRowFirstColumn="0" w:lastRowLastColumn="0"/>
            <w:tcW w:w="2552" w:type="dxa"/>
            <w:hideMark/>
          </w:tcPr>
          <w:p w14:paraId="6CDFE546"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Profit Brut (pierdere brută)</w:t>
            </w:r>
          </w:p>
        </w:tc>
        <w:tc>
          <w:tcPr>
            <w:tcW w:w="1276" w:type="dxa"/>
            <w:hideMark/>
          </w:tcPr>
          <w:p w14:paraId="646BA5CA"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961.771,51</w:t>
            </w:r>
          </w:p>
        </w:tc>
        <w:tc>
          <w:tcPr>
            <w:tcW w:w="1275" w:type="dxa"/>
            <w:hideMark/>
          </w:tcPr>
          <w:p w14:paraId="10C41DDD"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456.602,28</w:t>
            </w:r>
          </w:p>
        </w:tc>
        <w:tc>
          <w:tcPr>
            <w:tcW w:w="1276" w:type="dxa"/>
            <w:hideMark/>
          </w:tcPr>
          <w:p w14:paraId="4EBA54D7"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805.415,29</w:t>
            </w:r>
          </w:p>
        </w:tc>
        <w:tc>
          <w:tcPr>
            <w:tcW w:w="1170" w:type="dxa"/>
            <w:hideMark/>
          </w:tcPr>
          <w:p w14:paraId="5D55A6BA"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515.352,82</w:t>
            </w:r>
          </w:p>
        </w:tc>
        <w:tc>
          <w:tcPr>
            <w:tcW w:w="1247" w:type="dxa"/>
            <w:hideMark/>
          </w:tcPr>
          <w:p w14:paraId="39EA199E"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388.310,55</w:t>
            </w:r>
          </w:p>
        </w:tc>
        <w:tc>
          <w:tcPr>
            <w:tcW w:w="1419" w:type="dxa"/>
            <w:hideMark/>
          </w:tcPr>
          <w:p w14:paraId="64E59963"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426.383,24</w:t>
            </w:r>
          </w:p>
        </w:tc>
      </w:tr>
      <w:tr w:rsidR="00E220ED" w:rsidRPr="009772A3" w14:paraId="7E8B0234" w14:textId="77777777" w:rsidTr="00682A88">
        <w:trPr>
          <w:gridAfter w:val="1"/>
          <w:cnfStyle w:val="000000100000" w:firstRow="0" w:lastRow="0" w:firstColumn="0" w:lastColumn="0" w:oddVBand="0" w:evenVBand="0" w:oddHBand="1"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768489EC"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Alte Venituri din activitatea operațională</w:t>
            </w:r>
          </w:p>
        </w:tc>
        <w:tc>
          <w:tcPr>
            <w:tcW w:w="1276" w:type="dxa"/>
            <w:hideMark/>
          </w:tcPr>
          <w:p w14:paraId="55AC0916"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35.590,64</w:t>
            </w:r>
          </w:p>
        </w:tc>
        <w:tc>
          <w:tcPr>
            <w:tcW w:w="1275" w:type="dxa"/>
            <w:hideMark/>
          </w:tcPr>
          <w:p w14:paraId="43E56FA0"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141.704,78</w:t>
            </w:r>
          </w:p>
        </w:tc>
        <w:tc>
          <w:tcPr>
            <w:tcW w:w="1276" w:type="dxa"/>
            <w:hideMark/>
          </w:tcPr>
          <w:p w14:paraId="53F836C6"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53.726,37</w:t>
            </w:r>
          </w:p>
        </w:tc>
        <w:tc>
          <w:tcPr>
            <w:tcW w:w="1170" w:type="dxa"/>
            <w:hideMark/>
          </w:tcPr>
          <w:p w14:paraId="745A281D"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25.443,76</w:t>
            </w:r>
          </w:p>
        </w:tc>
        <w:tc>
          <w:tcPr>
            <w:tcW w:w="1247" w:type="dxa"/>
            <w:hideMark/>
          </w:tcPr>
          <w:p w14:paraId="41C1C6BD"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22.265,01</w:t>
            </w:r>
          </w:p>
        </w:tc>
        <w:tc>
          <w:tcPr>
            <w:tcW w:w="1419" w:type="dxa"/>
            <w:hideMark/>
          </w:tcPr>
          <w:p w14:paraId="41F21135"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442.546,99</w:t>
            </w:r>
          </w:p>
        </w:tc>
      </w:tr>
      <w:tr w:rsidR="00E220ED" w:rsidRPr="009772A3" w14:paraId="35B328A1" w14:textId="77777777" w:rsidTr="00682A88">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35E090EF"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Cheltuieli de distribuire </w:t>
            </w:r>
          </w:p>
        </w:tc>
        <w:tc>
          <w:tcPr>
            <w:tcW w:w="1276" w:type="dxa"/>
            <w:hideMark/>
          </w:tcPr>
          <w:p w14:paraId="0324E709"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107.832,59</w:t>
            </w:r>
          </w:p>
        </w:tc>
        <w:tc>
          <w:tcPr>
            <w:tcW w:w="1275" w:type="dxa"/>
            <w:hideMark/>
          </w:tcPr>
          <w:p w14:paraId="39BFFF50"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127.714,20</w:t>
            </w:r>
          </w:p>
        </w:tc>
        <w:tc>
          <w:tcPr>
            <w:tcW w:w="1276" w:type="dxa"/>
            <w:hideMark/>
          </w:tcPr>
          <w:p w14:paraId="15B27F00"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166.482,64</w:t>
            </w:r>
          </w:p>
        </w:tc>
        <w:tc>
          <w:tcPr>
            <w:tcW w:w="1170" w:type="dxa"/>
            <w:hideMark/>
          </w:tcPr>
          <w:p w14:paraId="7BBEF2CC"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191.543,34</w:t>
            </w:r>
          </w:p>
        </w:tc>
        <w:tc>
          <w:tcPr>
            <w:tcW w:w="1247" w:type="dxa"/>
            <w:hideMark/>
          </w:tcPr>
          <w:p w14:paraId="6775671B"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540.611,90</w:t>
            </w:r>
          </w:p>
        </w:tc>
        <w:tc>
          <w:tcPr>
            <w:tcW w:w="1419" w:type="dxa"/>
            <w:hideMark/>
          </w:tcPr>
          <w:p w14:paraId="1E015F56"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206.789,22</w:t>
            </w:r>
          </w:p>
        </w:tc>
      </w:tr>
      <w:tr w:rsidR="00E220ED" w:rsidRPr="009772A3" w14:paraId="7C490F0E" w14:textId="77777777" w:rsidTr="00682A88">
        <w:trPr>
          <w:gridAfter w:val="1"/>
          <w:cnfStyle w:val="000000100000" w:firstRow="0" w:lastRow="0" w:firstColumn="0" w:lastColumn="0" w:oddVBand="0" w:evenVBand="0" w:oddHBand="1"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352A7FC8"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Cheltuieli administrative </w:t>
            </w:r>
          </w:p>
        </w:tc>
        <w:tc>
          <w:tcPr>
            <w:tcW w:w="1276" w:type="dxa"/>
            <w:hideMark/>
          </w:tcPr>
          <w:p w14:paraId="3A74E696"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249.295,16</w:t>
            </w:r>
          </w:p>
        </w:tc>
        <w:tc>
          <w:tcPr>
            <w:tcW w:w="1275" w:type="dxa"/>
            <w:hideMark/>
          </w:tcPr>
          <w:p w14:paraId="31BED48C"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282.232,24</w:t>
            </w:r>
          </w:p>
        </w:tc>
        <w:tc>
          <w:tcPr>
            <w:tcW w:w="1276" w:type="dxa"/>
            <w:hideMark/>
          </w:tcPr>
          <w:p w14:paraId="00ECC05A"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261.987,63</w:t>
            </w:r>
          </w:p>
        </w:tc>
        <w:tc>
          <w:tcPr>
            <w:tcW w:w="1170" w:type="dxa"/>
            <w:hideMark/>
          </w:tcPr>
          <w:p w14:paraId="159BE6BC"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221.024,10</w:t>
            </w:r>
          </w:p>
        </w:tc>
        <w:tc>
          <w:tcPr>
            <w:tcW w:w="1247" w:type="dxa"/>
            <w:hideMark/>
          </w:tcPr>
          <w:p w14:paraId="18EF69F5"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217.734,54</w:t>
            </w:r>
          </w:p>
        </w:tc>
        <w:tc>
          <w:tcPr>
            <w:tcW w:w="1419" w:type="dxa"/>
            <w:hideMark/>
          </w:tcPr>
          <w:p w14:paraId="33C088B3"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226.081,57</w:t>
            </w:r>
          </w:p>
        </w:tc>
      </w:tr>
      <w:tr w:rsidR="00E220ED" w:rsidRPr="009772A3" w14:paraId="19D97699" w14:textId="77777777" w:rsidTr="00682A88">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19D39458"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Alte cheltuieli din activitatea operațională</w:t>
            </w:r>
          </w:p>
        </w:tc>
        <w:tc>
          <w:tcPr>
            <w:tcW w:w="1276" w:type="dxa"/>
            <w:hideMark/>
          </w:tcPr>
          <w:p w14:paraId="64EEC6C3"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25.829,86</w:t>
            </w:r>
          </w:p>
        </w:tc>
        <w:tc>
          <w:tcPr>
            <w:tcW w:w="1275" w:type="dxa"/>
            <w:hideMark/>
          </w:tcPr>
          <w:p w14:paraId="374C1C07"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52.854,43</w:t>
            </w:r>
          </w:p>
        </w:tc>
        <w:tc>
          <w:tcPr>
            <w:tcW w:w="1276" w:type="dxa"/>
            <w:hideMark/>
          </w:tcPr>
          <w:p w14:paraId="7DDC15AD"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42.967,83</w:t>
            </w:r>
          </w:p>
        </w:tc>
        <w:tc>
          <w:tcPr>
            <w:tcW w:w="1170" w:type="dxa"/>
            <w:hideMark/>
          </w:tcPr>
          <w:p w14:paraId="7F388594"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25.986,39</w:t>
            </w:r>
          </w:p>
        </w:tc>
        <w:tc>
          <w:tcPr>
            <w:tcW w:w="1247" w:type="dxa"/>
            <w:hideMark/>
          </w:tcPr>
          <w:p w14:paraId="36698929"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36.746,83</w:t>
            </w:r>
          </w:p>
        </w:tc>
        <w:tc>
          <w:tcPr>
            <w:tcW w:w="1419" w:type="dxa"/>
            <w:hideMark/>
          </w:tcPr>
          <w:p w14:paraId="09BFB041"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60.491,04</w:t>
            </w:r>
          </w:p>
        </w:tc>
      </w:tr>
      <w:tr w:rsidR="00E220ED" w:rsidRPr="009772A3" w14:paraId="68B2C608" w14:textId="77777777" w:rsidTr="00682A88">
        <w:trPr>
          <w:gridAfter w:val="1"/>
          <w:cnfStyle w:val="000000100000" w:firstRow="0" w:lastRow="0" w:firstColumn="0" w:lastColumn="0" w:oddVBand="0" w:evenVBand="0" w:oddHBand="1" w:evenHBand="0" w:firstRowFirstColumn="0" w:firstRowLastColumn="0" w:lastRowFirstColumn="0" w:lastRowLastColumn="0"/>
          <w:wAfter w:w="17" w:type="dxa"/>
          <w:trHeight w:val="540"/>
        </w:trPr>
        <w:tc>
          <w:tcPr>
            <w:cnfStyle w:val="001000000000" w:firstRow="0" w:lastRow="0" w:firstColumn="1" w:lastColumn="0" w:oddVBand="0" w:evenVBand="0" w:oddHBand="0" w:evenHBand="0" w:firstRowFirstColumn="0" w:firstRowLastColumn="0" w:lastRowFirstColumn="0" w:lastRowLastColumn="0"/>
            <w:tcW w:w="2552" w:type="dxa"/>
            <w:hideMark/>
          </w:tcPr>
          <w:p w14:paraId="46A77BE9"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Rezultatul din activitatea operațională: profit (pierdere)</w:t>
            </w:r>
          </w:p>
        </w:tc>
        <w:tc>
          <w:tcPr>
            <w:tcW w:w="1276" w:type="dxa"/>
            <w:hideMark/>
          </w:tcPr>
          <w:p w14:paraId="2249798E"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614.404,54</w:t>
            </w:r>
          </w:p>
        </w:tc>
        <w:tc>
          <w:tcPr>
            <w:tcW w:w="1275" w:type="dxa"/>
            <w:hideMark/>
          </w:tcPr>
          <w:p w14:paraId="77C9033E"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135.506,19</w:t>
            </w:r>
          </w:p>
        </w:tc>
        <w:tc>
          <w:tcPr>
            <w:tcW w:w="1276" w:type="dxa"/>
            <w:hideMark/>
          </w:tcPr>
          <w:p w14:paraId="758E4660"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387.703,55</w:t>
            </w:r>
          </w:p>
        </w:tc>
        <w:tc>
          <w:tcPr>
            <w:tcW w:w="1170" w:type="dxa"/>
            <w:hideMark/>
          </w:tcPr>
          <w:p w14:paraId="6E2EBD98"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102.242,76</w:t>
            </w:r>
          </w:p>
        </w:tc>
        <w:tc>
          <w:tcPr>
            <w:tcW w:w="1247" w:type="dxa"/>
            <w:hideMark/>
          </w:tcPr>
          <w:p w14:paraId="122C5FA4"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-384.517,71</w:t>
            </w:r>
          </w:p>
        </w:tc>
        <w:tc>
          <w:tcPr>
            <w:tcW w:w="1419" w:type="dxa"/>
            <w:hideMark/>
          </w:tcPr>
          <w:p w14:paraId="4B5DCDF3"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375.568,39</w:t>
            </w:r>
          </w:p>
        </w:tc>
      </w:tr>
      <w:tr w:rsidR="00E220ED" w:rsidRPr="009772A3" w14:paraId="5142AD9A" w14:textId="77777777" w:rsidTr="00682A88">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2D640A2F"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Rezultatul din alte activități: profit (pierdere)</w:t>
            </w:r>
          </w:p>
        </w:tc>
        <w:tc>
          <w:tcPr>
            <w:tcW w:w="1276" w:type="dxa"/>
            <w:hideMark/>
          </w:tcPr>
          <w:p w14:paraId="71E7686A"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-224.060,71</w:t>
            </w:r>
          </w:p>
        </w:tc>
        <w:tc>
          <w:tcPr>
            <w:tcW w:w="1275" w:type="dxa"/>
            <w:hideMark/>
          </w:tcPr>
          <w:p w14:paraId="559DA550"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2.033.244,45</w:t>
            </w:r>
          </w:p>
        </w:tc>
        <w:tc>
          <w:tcPr>
            <w:tcW w:w="1276" w:type="dxa"/>
            <w:hideMark/>
          </w:tcPr>
          <w:p w14:paraId="1BDBE32E"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-1.253,64</w:t>
            </w:r>
          </w:p>
        </w:tc>
        <w:tc>
          <w:tcPr>
            <w:tcW w:w="1170" w:type="dxa"/>
            <w:hideMark/>
          </w:tcPr>
          <w:p w14:paraId="5DA70B84"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28.141,24</w:t>
            </w:r>
          </w:p>
        </w:tc>
        <w:tc>
          <w:tcPr>
            <w:tcW w:w="1247" w:type="dxa"/>
            <w:hideMark/>
          </w:tcPr>
          <w:p w14:paraId="6C719C72"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-8.033,69</w:t>
            </w:r>
          </w:p>
        </w:tc>
        <w:tc>
          <w:tcPr>
            <w:tcW w:w="1419" w:type="dxa"/>
            <w:hideMark/>
          </w:tcPr>
          <w:p w14:paraId="5D8BA4EB"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-364.438,76</w:t>
            </w:r>
          </w:p>
        </w:tc>
      </w:tr>
      <w:tr w:rsidR="00E220ED" w:rsidRPr="009772A3" w14:paraId="68ECABE9" w14:textId="77777777" w:rsidTr="00682A88">
        <w:trPr>
          <w:gridAfter w:val="1"/>
          <w:cnfStyle w:val="000000100000" w:firstRow="0" w:lastRow="0" w:firstColumn="0" w:lastColumn="0" w:oddVBand="0" w:evenVBand="0" w:oddHBand="1" w:evenHBand="0" w:firstRowFirstColumn="0" w:firstRowLastColumn="0" w:lastRowFirstColumn="0" w:lastRowLastColumn="0"/>
          <w:wAfter w:w="17" w:type="dxa"/>
          <w:trHeight w:val="241"/>
        </w:trPr>
        <w:tc>
          <w:tcPr>
            <w:cnfStyle w:val="001000000000" w:firstRow="0" w:lastRow="0" w:firstColumn="1" w:lastColumn="0" w:oddVBand="0" w:evenVBand="0" w:oddHBand="0" w:evenHBand="0" w:firstRowFirstColumn="0" w:firstRowLastColumn="0" w:lastRowFirstColumn="0" w:lastRowLastColumn="0"/>
            <w:tcW w:w="2552" w:type="dxa"/>
            <w:hideMark/>
          </w:tcPr>
          <w:p w14:paraId="060ACBCF"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Profit (pierdere) până la impozitare </w:t>
            </w:r>
          </w:p>
        </w:tc>
        <w:tc>
          <w:tcPr>
            <w:tcW w:w="1276" w:type="dxa"/>
            <w:hideMark/>
          </w:tcPr>
          <w:p w14:paraId="67397606"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390.343,83</w:t>
            </w:r>
          </w:p>
        </w:tc>
        <w:tc>
          <w:tcPr>
            <w:tcW w:w="1275" w:type="dxa"/>
            <w:hideMark/>
          </w:tcPr>
          <w:p w14:paraId="2271BC5E"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2.168.750,64</w:t>
            </w:r>
          </w:p>
        </w:tc>
        <w:tc>
          <w:tcPr>
            <w:tcW w:w="1276" w:type="dxa"/>
            <w:hideMark/>
          </w:tcPr>
          <w:p w14:paraId="0054231E"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386.449,91</w:t>
            </w:r>
          </w:p>
        </w:tc>
        <w:tc>
          <w:tcPr>
            <w:tcW w:w="1170" w:type="dxa"/>
            <w:hideMark/>
          </w:tcPr>
          <w:p w14:paraId="36D3D585"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130.384,00</w:t>
            </w:r>
          </w:p>
        </w:tc>
        <w:tc>
          <w:tcPr>
            <w:tcW w:w="1247" w:type="dxa"/>
            <w:hideMark/>
          </w:tcPr>
          <w:p w14:paraId="77B31BD1"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-392.551,40</w:t>
            </w:r>
          </w:p>
        </w:tc>
        <w:tc>
          <w:tcPr>
            <w:tcW w:w="1419" w:type="dxa"/>
            <w:hideMark/>
          </w:tcPr>
          <w:p w14:paraId="2D3F1A9C"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11.129,63</w:t>
            </w:r>
          </w:p>
        </w:tc>
      </w:tr>
      <w:tr w:rsidR="00E220ED" w:rsidRPr="009772A3" w14:paraId="6E8698DC" w14:textId="77777777" w:rsidTr="00682A88">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5A8BF04C"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Cheltuieli privind impozitul pe venit </w:t>
            </w:r>
          </w:p>
        </w:tc>
        <w:tc>
          <w:tcPr>
            <w:tcW w:w="1276" w:type="dxa"/>
            <w:hideMark/>
          </w:tcPr>
          <w:p w14:paraId="458E679B"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37.998,03</w:t>
            </w:r>
          </w:p>
        </w:tc>
        <w:tc>
          <w:tcPr>
            <w:tcW w:w="1275" w:type="dxa"/>
            <w:hideMark/>
          </w:tcPr>
          <w:p w14:paraId="0329708A"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229.597,96</w:t>
            </w:r>
          </w:p>
        </w:tc>
        <w:tc>
          <w:tcPr>
            <w:tcW w:w="1276" w:type="dxa"/>
            <w:hideMark/>
          </w:tcPr>
          <w:p w14:paraId="67CF1FB1"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45.326,52</w:t>
            </w:r>
          </w:p>
        </w:tc>
        <w:tc>
          <w:tcPr>
            <w:tcW w:w="1170" w:type="dxa"/>
            <w:hideMark/>
          </w:tcPr>
          <w:p w14:paraId="0FFFC709"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36.106,27</w:t>
            </w:r>
          </w:p>
        </w:tc>
        <w:tc>
          <w:tcPr>
            <w:tcW w:w="1247" w:type="dxa"/>
            <w:hideMark/>
          </w:tcPr>
          <w:p w14:paraId="628366CE"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48.251,18</w:t>
            </w:r>
          </w:p>
        </w:tc>
        <w:tc>
          <w:tcPr>
            <w:tcW w:w="1419" w:type="dxa"/>
            <w:hideMark/>
          </w:tcPr>
          <w:p w14:paraId="660BD210" w14:textId="77777777" w:rsidR="00E220ED" w:rsidRPr="009772A3" w:rsidRDefault="00E220ED"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43.269,34</w:t>
            </w:r>
          </w:p>
        </w:tc>
      </w:tr>
      <w:tr w:rsidR="00E220ED" w:rsidRPr="009772A3" w14:paraId="3DAF80EA" w14:textId="77777777" w:rsidTr="00682A88">
        <w:trPr>
          <w:gridAfter w:val="1"/>
          <w:cnfStyle w:val="000000100000" w:firstRow="0" w:lastRow="0" w:firstColumn="0" w:lastColumn="0" w:oddVBand="0" w:evenVBand="0" w:oddHBand="1" w:evenHBand="0" w:firstRowFirstColumn="0" w:firstRowLastColumn="0" w:lastRowFirstColumn="0" w:lastRowLastColumn="0"/>
          <w:wAfter w:w="17" w:type="dxa"/>
          <w:trHeight w:val="492"/>
        </w:trPr>
        <w:tc>
          <w:tcPr>
            <w:cnfStyle w:val="001000000000" w:firstRow="0" w:lastRow="0" w:firstColumn="1" w:lastColumn="0" w:oddVBand="0" w:evenVBand="0" w:oddHBand="0" w:evenHBand="0" w:firstRowFirstColumn="0" w:firstRowLastColumn="0" w:lastRowFirstColumn="0" w:lastRowLastColumn="0"/>
            <w:tcW w:w="2552" w:type="dxa"/>
            <w:hideMark/>
          </w:tcPr>
          <w:p w14:paraId="3CA32316" w14:textId="77777777" w:rsidR="00E220ED" w:rsidRPr="009772A3" w:rsidRDefault="00E220ED"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Profit net (pierdere netă) al perioadei de gestiune </w:t>
            </w:r>
          </w:p>
        </w:tc>
        <w:tc>
          <w:tcPr>
            <w:tcW w:w="1276" w:type="dxa"/>
            <w:hideMark/>
          </w:tcPr>
          <w:p w14:paraId="5985E3E0"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352.345,79</w:t>
            </w:r>
          </w:p>
        </w:tc>
        <w:tc>
          <w:tcPr>
            <w:tcW w:w="1275" w:type="dxa"/>
            <w:hideMark/>
          </w:tcPr>
          <w:p w14:paraId="0083DCE6"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D93D05">
              <w:rPr>
                <w:rFonts w:asciiTheme="majorHAnsi" w:eastAsia="Times New Roman" w:hAnsiTheme="majorHAnsi" w:cstheme="majorHAnsi"/>
                <w:b/>
                <w:bCs/>
                <w:sz w:val="18"/>
                <w:szCs w:val="18"/>
                <w:lang w:val="ro-MD"/>
              </w:rPr>
              <w:t>1.939.152,68</w:t>
            </w:r>
          </w:p>
        </w:tc>
        <w:tc>
          <w:tcPr>
            <w:tcW w:w="1276" w:type="dxa"/>
            <w:hideMark/>
          </w:tcPr>
          <w:p w14:paraId="5DBE12D5"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341.123,40</w:t>
            </w:r>
          </w:p>
        </w:tc>
        <w:tc>
          <w:tcPr>
            <w:tcW w:w="1170" w:type="dxa"/>
            <w:hideMark/>
          </w:tcPr>
          <w:p w14:paraId="5FE566D2"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94.277,73</w:t>
            </w:r>
          </w:p>
        </w:tc>
        <w:tc>
          <w:tcPr>
            <w:tcW w:w="1247" w:type="dxa"/>
            <w:hideMark/>
          </w:tcPr>
          <w:p w14:paraId="7EA66BBD"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-440.802,57</w:t>
            </w:r>
          </w:p>
        </w:tc>
        <w:tc>
          <w:tcPr>
            <w:tcW w:w="1419" w:type="dxa"/>
            <w:hideMark/>
          </w:tcPr>
          <w:p w14:paraId="51802F9D" w14:textId="77777777" w:rsidR="00E220ED" w:rsidRPr="009772A3" w:rsidRDefault="00E220ED"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-32.139,71</w:t>
            </w:r>
          </w:p>
        </w:tc>
      </w:tr>
      <w:tr w:rsidR="00E220ED" w:rsidRPr="009772A3" w14:paraId="151EE0BA" w14:textId="77777777" w:rsidTr="00682A88">
        <w:trPr>
          <w:trHeight w:val="744"/>
        </w:trPr>
        <w:tc>
          <w:tcPr>
            <w:cnfStyle w:val="001000000000" w:firstRow="0" w:lastRow="0" w:firstColumn="1" w:lastColumn="0" w:oddVBand="0" w:evenVBand="0" w:oddHBand="0" w:evenHBand="0" w:firstRowFirstColumn="0" w:firstRowLastColumn="0" w:lastRowFirstColumn="0" w:lastRowLastColumn="0"/>
            <w:tcW w:w="10232" w:type="dxa"/>
            <w:gridSpan w:val="8"/>
            <w:hideMark/>
          </w:tcPr>
          <w:p w14:paraId="10F1538C" w14:textId="4A9DD443" w:rsidR="00E220ED" w:rsidRPr="009772A3" w:rsidRDefault="00E220ED" w:rsidP="00D93D05">
            <w:pPr>
              <w:rPr>
                <w:rFonts w:asciiTheme="majorHAnsi" w:eastAsia="Times New Roman" w:hAnsiTheme="majorHAnsi" w:cstheme="majorHAnsi"/>
                <w:b w:val="0"/>
                <w:i/>
                <w:iCs/>
                <w:sz w:val="18"/>
                <w:szCs w:val="18"/>
                <w:lang w:val="ro-MD"/>
              </w:rPr>
            </w:pPr>
            <w:r w:rsidRPr="009772A3">
              <w:rPr>
                <w:rFonts w:asciiTheme="majorHAnsi" w:eastAsia="Times New Roman" w:hAnsiTheme="majorHAnsi" w:cstheme="majorHAnsi"/>
                <w:i/>
                <w:iCs/>
                <w:sz w:val="18"/>
                <w:szCs w:val="18"/>
                <w:lang w:val="ro-MD"/>
              </w:rPr>
              <w:t xml:space="preserve">Sursa: Situația consolidată de profit și pierdere </w:t>
            </w:r>
            <w:r w:rsidR="0079781B">
              <w:rPr>
                <w:rFonts w:asciiTheme="majorHAnsi" w:eastAsia="Times New Roman" w:hAnsiTheme="majorHAnsi" w:cstheme="majorHAnsi"/>
                <w:i/>
                <w:iCs/>
                <w:sz w:val="18"/>
                <w:szCs w:val="18"/>
                <w:lang w:val="ro-MD"/>
              </w:rPr>
              <w:t>pe perioada 2016-2021</w:t>
            </w:r>
            <w:r w:rsidR="005A049A" w:rsidRPr="009772A3">
              <w:rPr>
                <w:rFonts w:asciiTheme="majorHAnsi" w:eastAsia="Times New Roman" w:hAnsiTheme="majorHAnsi" w:cstheme="majorHAnsi"/>
                <w:i/>
                <w:iCs/>
                <w:sz w:val="18"/>
                <w:szCs w:val="18"/>
                <w:lang w:val="ro-MD"/>
              </w:rPr>
              <w:t>.</w:t>
            </w:r>
          </w:p>
        </w:tc>
      </w:tr>
    </w:tbl>
    <w:p w14:paraId="5CA00241" w14:textId="77777777" w:rsidR="00E220ED" w:rsidRPr="009772A3" w:rsidRDefault="00E220ED" w:rsidP="00E220ED">
      <w:pPr>
        <w:jc w:val="center"/>
        <w:rPr>
          <w:rFonts w:asciiTheme="majorHAnsi" w:hAnsiTheme="majorHAnsi" w:cstheme="majorHAnsi"/>
          <w:b/>
          <w:i/>
          <w:sz w:val="18"/>
          <w:szCs w:val="18"/>
          <w:lang w:val="ro-MD"/>
        </w:rPr>
      </w:pPr>
    </w:p>
    <w:p w14:paraId="01836AC8" w14:textId="77777777" w:rsidR="00E220ED" w:rsidRPr="009772A3" w:rsidRDefault="00E220ED" w:rsidP="00E220ED">
      <w:pPr>
        <w:jc w:val="center"/>
        <w:rPr>
          <w:rFonts w:asciiTheme="majorHAnsi" w:hAnsiTheme="majorHAnsi" w:cstheme="majorHAnsi"/>
          <w:b/>
          <w:i/>
          <w:sz w:val="18"/>
          <w:szCs w:val="18"/>
          <w:lang w:val="ro-MD"/>
        </w:rPr>
      </w:pPr>
    </w:p>
    <w:p w14:paraId="29A4351A" w14:textId="72D8A845" w:rsidR="008A4178" w:rsidRPr="009772A3" w:rsidRDefault="008A4178">
      <w:pPr>
        <w:spacing w:line="259" w:lineRule="auto"/>
        <w:rPr>
          <w:rFonts w:asciiTheme="majorHAnsi" w:hAnsiTheme="majorHAnsi" w:cstheme="majorHAnsi"/>
          <w:b/>
          <w:i/>
          <w:sz w:val="18"/>
          <w:szCs w:val="18"/>
          <w:lang w:val="ro-MD"/>
        </w:rPr>
      </w:pPr>
      <w:r w:rsidRPr="009772A3">
        <w:rPr>
          <w:rFonts w:asciiTheme="majorHAnsi" w:hAnsiTheme="majorHAnsi" w:cstheme="majorHAnsi"/>
          <w:b/>
          <w:i/>
          <w:sz w:val="18"/>
          <w:szCs w:val="18"/>
          <w:lang w:val="ro-MD"/>
        </w:rPr>
        <w:br w:type="page"/>
      </w:r>
    </w:p>
    <w:p w14:paraId="7BECF951" w14:textId="77777777" w:rsidR="008A4178" w:rsidRPr="00CF3AD4" w:rsidRDefault="008A4178" w:rsidP="00E220ED">
      <w:pPr>
        <w:jc w:val="center"/>
        <w:rPr>
          <w:rFonts w:asciiTheme="majorHAnsi" w:hAnsiTheme="majorHAnsi" w:cstheme="majorHAnsi"/>
          <w:b/>
          <w:i/>
          <w:sz w:val="18"/>
          <w:szCs w:val="18"/>
          <w:lang w:val="ro-MD"/>
        </w:rPr>
        <w:sectPr w:rsidR="008A4178" w:rsidRPr="00CF3AD4" w:rsidSect="00FE2E22">
          <w:pgSz w:w="11906" w:h="16838"/>
          <w:pgMar w:top="1140" w:right="851" w:bottom="1418" w:left="1701" w:header="720" w:footer="720" w:gutter="0"/>
          <w:cols w:space="720"/>
        </w:sectPr>
      </w:pPr>
    </w:p>
    <w:p w14:paraId="7CBC5081" w14:textId="6AE33786" w:rsidR="00E220ED" w:rsidRPr="009772A3" w:rsidRDefault="008A4178" w:rsidP="00E220ED">
      <w:pPr>
        <w:jc w:val="center"/>
        <w:rPr>
          <w:rFonts w:asciiTheme="majorHAnsi" w:hAnsiTheme="majorHAnsi" w:cstheme="majorHAnsi"/>
          <w:b/>
          <w:sz w:val="24"/>
          <w:szCs w:val="24"/>
          <w:lang w:val="ro-MD"/>
        </w:rPr>
      </w:pPr>
      <w:r w:rsidRPr="009772A3">
        <w:rPr>
          <w:rFonts w:asciiTheme="majorHAnsi" w:hAnsiTheme="majorHAnsi" w:cstheme="majorHAnsi"/>
          <w:b/>
          <w:sz w:val="24"/>
          <w:szCs w:val="24"/>
          <w:lang w:val="ro-MD"/>
        </w:rPr>
        <w:t>Situația patromonială individuală a SA Moldovagaz</w:t>
      </w:r>
    </w:p>
    <w:p w14:paraId="29D60817" w14:textId="6F0F3822" w:rsidR="00337CF4" w:rsidRPr="009772A3" w:rsidRDefault="00337CF4" w:rsidP="00337CF4">
      <w:pPr>
        <w:jc w:val="right"/>
        <w:rPr>
          <w:rFonts w:asciiTheme="majorHAnsi" w:hAnsiTheme="majorHAnsi" w:cstheme="majorHAnsi"/>
          <w:i/>
          <w:sz w:val="18"/>
          <w:szCs w:val="18"/>
          <w:lang w:val="ro-MD"/>
        </w:rPr>
      </w:pPr>
      <w:r w:rsidRPr="009772A3">
        <w:rPr>
          <w:rFonts w:asciiTheme="majorHAnsi" w:hAnsiTheme="majorHAnsi" w:cstheme="majorHAnsi"/>
          <w:sz w:val="24"/>
          <w:szCs w:val="24"/>
          <w:lang w:val="ro-MD"/>
        </w:rPr>
        <w:t>(mii lei)</w:t>
      </w:r>
    </w:p>
    <w:tbl>
      <w:tblPr>
        <w:tblStyle w:val="PlainTable11"/>
        <w:tblW w:w="14684" w:type="dxa"/>
        <w:tblInd w:w="-5" w:type="dxa"/>
        <w:tblLayout w:type="fixed"/>
        <w:tblLook w:val="04A0" w:firstRow="1" w:lastRow="0" w:firstColumn="1" w:lastColumn="0" w:noHBand="0" w:noVBand="1"/>
      </w:tblPr>
      <w:tblGrid>
        <w:gridCol w:w="821"/>
        <w:gridCol w:w="4708"/>
        <w:gridCol w:w="1494"/>
        <w:gridCol w:w="1665"/>
        <w:gridCol w:w="1494"/>
        <w:gridCol w:w="1494"/>
        <w:gridCol w:w="1494"/>
        <w:gridCol w:w="1495"/>
        <w:gridCol w:w="19"/>
      </w:tblGrid>
      <w:tr w:rsidR="008A4178" w:rsidRPr="009772A3" w14:paraId="19667C3D" w14:textId="77777777" w:rsidTr="00CF3AD4">
        <w:trPr>
          <w:gridAfter w:val="1"/>
          <w:cnfStyle w:val="100000000000" w:firstRow="1" w:lastRow="0" w:firstColumn="0" w:lastColumn="0" w:oddVBand="0" w:evenVBand="0" w:oddHBand="0"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hideMark/>
          </w:tcPr>
          <w:p w14:paraId="4F50C230" w14:textId="77777777" w:rsidR="008A4178" w:rsidRPr="009772A3" w:rsidRDefault="008A4178"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Nr.cpt.</w:t>
            </w:r>
          </w:p>
        </w:tc>
        <w:tc>
          <w:tcPr>
            <w:tcW w:w="4708" w:type="dxa"/>
            <w:vMerge w:val="restart"/>
            <w:hideMark/>
          </w:tcPr>
          <w:p w14:paraId="68369C47" w14:textId="77777777" w:rsidR="008A4178" w:rsidRPr="009772A3" w:rsidRDefault="008A4178" w:rsidP="00DE381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18"/>
                <w:szCs w:val="18"/>
                <w:lang w:val="ro-MD"/>
              </w:rPr>
            </w:pPr>
            <w:r w:rsidRPr="009772A3">
              <w:rPr>
                <w:rFonts w:asciiTheme="majorHAnsi" w:eastAsia="Times New Roman" w:hAnsiTheme="majorHAnsi" w:cstheme="majorHAnsi"/>
                <w:sz w:val="18"/>
                <w:szCs w:val="18"/>
                <w:lang w:val="ro-MD"/>
              </w:rPr>
              <w:t>Denumirea indicatorului</w:t>
            </w:r>
          </w:p>
        </w:tc>
        <w:tc>
          <w:tcPr>
            <w:tcW w:w="9136" w:type="dxa"/>
            <w:gridSpan w:val="6"/>
            <w:hideMark/>
          </w:tcPr>
          <w:p w14:paraId="7A72990D" w14:textId="77777777" w:rsidR="008A4178" w:rsidRPr="009772A3" w:rsidRDefault="008A4178" w:rsidP="00DE381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18"/>
                <w:szCs w:val="18"/>
                <w:lang w:val="ro-MD"/>
              </w:rPr>
            </w:pPr>
            <w:r w:rsidRPr="009772A3">
              <w:rPr>
                <w:rFonts w:asciiTheme="majorHAnsi" w:eastAsia="Times New Roman" w:hAnsiTheme="majorHAnsi" w:cstheme="majorHAnsi"/>
                <w:sz w:val="18"/>
                <w:szCs w:val="18"/>
                <w:lang w:val="ro-MD"/>
              </w:rPr>
              <w:t>PERIOADA</w:t>
            </w:r>
          </w:p>
        </w:tc>
      </w:tr>
      <w:tr w:rsidR="008A4178" w:rsidRPr="009772A3" w14:paraId="423EB708"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BB8F506"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vMerge/>
            <w:hideMark/>
          </w:tcPr>
          <w:p w14:paraId="519C97E2"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p>
        </w:tc>
        <w:tc>
          <w:tcPr>
            <w:tcW w:w="1494" w:type="dxa"/>
            <w:hideMark/>
          </w:tcPr>
          <w:p w14:paraId="7F7B957C"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2016</w:t>
            </w:r>
          </w:p>
        </w:tc>
        <w:tc>
          <w:tcPr>
            <w:tcW w:w="1665" w:type="dxa"/>
            <w:hideMark/>
          </w:tcPr>
          <w:p w14:paraId="4322B4D3"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2017</w:t>
            </w:r>
          </w:p>
        </w:tc>
        <w:tc>
          <w:tcPr>
            <w:tcW w:w="1494" w:type="dxa"/>
            <w:hideMark/>
          </w:tcPr>
          <w:p w14:paraId="257FE962"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2018</w:t>
            </w:r>
          </w:p>
        </w:tc>
        <w:tc>
          <w:tcPr>
            <w:tcW w:w="1494" w:type="dxa"/>
            <w:hideMark/>
          </w:tcPr>
          <w:p w14:paraId="37290934"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2019</w:t>
            </w:r>
          </w:p>
        </w:tc>
        <w:tc>
          <w:tcPr>
            <w:tcW w:w="1494" w:type="dxa"/>
            <w:hideMark/>
          </w:tcPr>
          <w:p w14:paraId="3C52D700"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2020</w:t>
            </w:r>
          </w:p>
        </w:tc>
        <w:tc>
          <w:tcPr>
            <w:tcW w:w="1495" w:type="dxa"/>
            <w:hideMark/>
          </w:tcPr>
          <w:p w14:paraId="510EDCF0"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2021</w:t>
            </w:r>
          </w:p>
        </w:tc>
      </w:tr>
      <w:tr w:rsidR="008A4178" w:rsidRPr="009772A3" w14:paraId="00F18317"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7B00918F" w14:textId="77777777" w:rsidR="008A4178" w:rsidRPr="009772A3" w:rsidRDefault="008A4178"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A</w:t>
            </w:r>
          </w:p>
        </w:tc>
        <w:tc>
          <w:tcPr>
            <w:tcW w:w="4708" w:type="dxa"/>
            <w:hideMark/>
          </w:tcPr>
          <w:p w14:paraId="5FDD0B1E"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 Imobilizări necorporale </w:t>
            </w:r>
            <w:r w:rsidRPr="009772A3">
              <w:rPr>
                <w:rFonts w:asciiTheme="majorHAnsi" w:eastAsia="Times New Roman" w:hAnsiTheme="majorHAnsi" w:cstheme="majorHAnsi"/>
                <w:i/>
                <w:iCs/>
                <w:sz w:val="18"/>
                <w:szCs w:val="18"/>
                <w:lang w:val="ro-MD"/>
              </w:rPr>
              <w:t>(rd.010+rd.020+rd.030+rd.040)</w:t>
            </w:r>
          </w:p>
        </w:tc>
        <w:tc>
          <w:tcPr>
            <w:tcW w:w="1494" w:type="dxa"/>
            <w:hideMark/>
          </w:tcPr>
          <w:p w14:paraId="3E00549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17.267,76</w:t>
            </w:r>
          </w:p>
        </w:tc>
        <w:tc>
          <w:tcPr>
            <w:tcW w:w="1665" w:type="dxa"/>
            <w:hideMark/>
          </w:tcPr>
          <w:p w14:paraId="2DBA04C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23.466,80</w:t>
            </w:r>
          </w:p>
        </w:tc>
        <w:tc>
          <w:tcPr>
            <w:tcW w:w="1494" w:type="dxa"/>
            <w:hideMark/>
          </w:tcPr>
          <w:p w14:paraId="545599D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23.992,76</w:t>
            </w:r>
          </w:p>
        </w:tc>
        <w:tc>
          <w:tcPr>
            <w:tcW w:w="1494" w:type="dxa"/>
            <w:hideMark/>
          </w:tcPr>
          <w:p w14:paraId="72FC71C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20.397,14</w:t>
            </w:r>
          </w:p>
        </w:tc>
        <w:tc>
          <w:tcPr>
            <w:tcW w:w="1494" w:type="dxa"/>
            <w:hideMark/>
          </w:tcPr>
          <w:p w14:paraId="59A5A58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19.711,45</w:t>
            </w:r>
          </w:p>
        </w:tc>
        <w:tc>
          <w:tcPr>
            <w:tcW w:w="1495" w:type="dxa"/>
            <w:hideMark/>
          </w:tcPr>
          <w:p w14:paraId="42CB00F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17.829,78</w:t>
            </w:r>
          </w:p>
        </w:tc>
      </w:tr>
      <w:tr w:rsidR="008A4178" w:rsidRPr="009772A3" w14:paraId="5DB92A04"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C3EBE0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E0D06FC"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1.Imobilizări necorporale în curs de execuție </w:t>
            </w:r>
          </w:p>
        </w:tc>
        <w:tc>
          <w:tcPr>
            <w:tcW w:w="1494" w:type="dxa"/>
            <w:hideMark/>
          </w:tcPr>
          <w:p w14:paraId="74D1BAD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2CF9233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CC8EAD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2E62F9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3BCACD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517,79</w:t>
            </w:r>
          </w:p>
        </w:tc>
        <w:tc>
          <w:tcPr>
            <w:tcW w:w="1495" w:type="dxa"/>
            <w:hideMark/>
          </w:tcPr>
          <w:p w14:paraId="7840819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837,73</w:t>
            </w:r>
          </w:p>
        </w:tc>
      </w:tr>
      <w:tr w:rsidR="008A4178" w:rsidRPr="009772A3" w14:paraId="2F92A919"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38DCE7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236A478" w14:textId="1FEE2B49" w:rsidR="008A4178" w:rsidRPr="009772A3" w:rsidRDefault="008A4178" w:rsidP="00F05D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2.Imobilizări necorporale în exploatare, total</w:t>
            </w:r>
            <w:r w:rsidR="00F05D14" w:rsidRPr="009772A3">
              <w:rPr>
                <w:rFonts w:asciiTheme="majorHAnsi" w:eastAsia="Times New Roman" w:hAnsiTheme="majorHAnsi" w:cstheme="majorHAnsi"/>
                <w:sz w:val="18"/>
                <w:szCs w:val="18"/>
                <w:lang w:val="ro-MD"/>
              </w:rPr>
              <w:t>,</w:t>
            </w:r>
            <w:r w:rsidRPr="009772A3">
              <w:rPr>
                <w:rFonts w:asciiTheme="majorHAnsi" w:eastAsia="Times New Roman" w:hAnsiTheme="majorHAnsi" w:cstheme="majorHAnsi"/>
                <w:sz w:val="18"/>
                <w:szCs w:val="18"/>
                <w:lang w:val="ro-MD"/>
              </w:rPr>
              <w:t xml:space="preserve"> din care: </w:t>
            </w:r>
          </w:p>
        </w:tc>
        <w:tc>
          <w:tcPr>
            <w:tcW w:w="1494" w:type="dxa"/>
            <w:hideMark/>
          </w:tcPr>
          <w:p w14:paraId="55503F0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17.267,76</w:t>
            </w:r>
          </w:p>
        </w:tc>
        <w:tc>
          <w:tcPr>
            <w:tcW w:w="1665" w:type="dxa"/>
            <w:hideMark/>
          </w:tcPr>
          <w:p w14:paraId="028EA23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23.466,80</w:t>
            </w:r>
          </w:p>
        </w:tc>
        <w:tc>
          <w:tcPr>
            <w:tcW w:w="1494" w:type="dxa"/>
            <w:hideMark/>
          </w:tcPr>
          <w:p w14:paraId="34F129E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23.992,76</w:t>
            </w:r>
          </w:p>
        </w:tc>
        <w:tc>
          <w:tcPr>
            <w:tcW w:w="1494" w:type="dxa"/>
            <w:hideMark/>
          </w:tcPr>
          <w:p w14:paraId="22E1B00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20.397,14</w:t>
            </w:r>
          </w:p>
        </w:tc>
        <w:tc>
          <w:tcPr>
            <w:tcW w:w="1494" w:type="dxa"/>
            <w:hideMark/>
          </w:tcPr>
          <w:p w14:paraId="4729F77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19.172,15</w:t>
            </w:r>
          </w:p>
        </w:tc>
        <w:tc>
          <w:tcPr>
            <w:tcW w:w="1495" w:type="dxa"/>
            <w:hideMark/>
          </w:tcPr>
          <w:p w14:paraId="3007A00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16.992,05</w:t>
            </w:r>
          </w:p>
        </w:tc>
      </w:tr>
      <w:tr w:rsidR="008A4178" w:rsidRPr="009772A3" w14:paraId="4172217E"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86DF049"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CA7EFF2" w14:textId="0EFF5AE7" w:rsidR="008A4178" w:rsidRPr="009772A3" w:rsidRDefault="008A4178" w:rsidP="00F05D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2.1 concesiuni, licențe și mărci</w:t>
            </w:r>
          </w:p>
        </w:tc>
        <w:tc>
          <w:tcPr>
            <w:tcW w:w="1494" w:type="dxa"/>
            <w:hideMark/>
          </w:tcPr>
          <w:p w14:paraId="71ACDF1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0FF68C4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071735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B63874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5448CBF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973,77</w:t>
            </w:r>
          </w:p>
        </w:tc>
        <w:tc>
          <w:tcPr>
            <w:tcW w:w="1495" w:type="dxa"/>
            <w:hideMark/>
          </w:tcPr>
          <w:p w14:paraId="07C591A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1.843,19</w:t>
            </w:r>
          </w:p>
        </w:tc>
      </w:tr>
      <w:tr w:rsidR="008A4178" w:rsidRPr="009772A3" w14:paraId="68DA32CB"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27BA67B"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CAE9000"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xml:space="preserve">2.2 drepturi de autor și titluri de protecție </w:t>
            </w:r>
          </w:p>
        </w:tc>
        <w:tc>
          <w:tcPr>
            <w:tcW w:w="1494" w:type="dxa"/>
            <w:hideMark/>
          </w:tcPr>
          <w:p w14:paraId="7FD74F9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0215ADA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4B47A8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ACD34C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5D6DCB4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5" w:type="dxa"/>
            <w:hideMark/>
          </w:tcPr>
          <w:p w14:paraId="581CEDC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1A1FD9CE"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5DB979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4539A1B"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xml:space="preserve">2.3 programe informatice </w:t>
            </w:r>
          </w:p>
        </w:tc>
        <w:tc>
          <w:tcPr>
            <w:tcW w:w="1494" w:type="dxa"/>
            <w:hideMark/>
          </w:tcPr>
          <w:p w14:paraId="364BC94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1474E5C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3A1013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2B7FAE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5721A05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18.198,38</w:t>
            </w:r>
          </w:p>
        </w:tc>
        <w:tc>
          <w:tcPr>
            <w:tcW w:w="1495" w:type="dxa"/>
            <w:hideMark/>
          </w:tcPr>
          <w:p w14:paraId="401253A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15.148,87</w:t>
            </w:r>
          </w:p>
        </w:tc>
      </w:tr>
      <w:tr w:rsidR="008A4178" w:rsidRPr="009772A3" w14:paraId="6895B4E4"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2F366C9"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EBB1AA3"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2.4 alte imobilizări necorporale</w:t>
            </w:r>
          </w:p>
        </w:tc>
        <w:tc>
          <w:tcPr>
            <w:tcW w:w="1494" w:type="dxa"/>
            <w:hideMark/>
          </w:tcPr>
          <w:p w14:paraId="4AF9D57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6D7E8EB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B36F36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62585B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1887DDF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5" w:type="dxa"/>
            <w:hideMark/>
          </w:tcPr>
          <w:p w14:paraId="2F5B9CA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676EA466"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2498331"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93ACC02"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3. Fond comercial </w:t>
            </w:r>
          </w:p>
        </w:tc>
        <w:tc>
          <w:tcPr>
            <w:tcW w:w="1494" w:type="dxa"/>
            <w:hideMark/>
          </w:tcPr>
          <w:p w14:paraId="0FB1676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23D9C6B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4A95FE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0D1F43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191E7A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456FA73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52CFDC33"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AA5B87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2A29E25"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4.Avansuri acordate pentru imobilizări necorporale</w:t>
            </w:r>
          </w:p>
        </w:tc>
        <w:tc>
          <w:tcPr>
            <w:tcW w:w="1494" w:type="dxa"/>
            <w:hideMark/>
          </w:tcPr>
          <w:p w14:paraId="1399E76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124E4A5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0866D6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01FF00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448B7D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21,51</w:t>
            </w:r>
          </w:p>
        </w:tc>
        <w:tc>
          <w:tcPr>
            <w:tcW w:w="1495" w:type="dxa"/>
            <w:hideMark/>
          </w:tcPr>
          <w:p w14:paraId="74C2089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52BFCC81"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B3F607B"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964FAE5"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II. Imobilizări corporale în curs de execuție  </w:t>
            </w:r>
            <w:r w:rsidRPr="009772A3">
              <w:rPr>
                <w:rFonts w:asciiTheme="majorHAnsi" w:eastAsia="Times New Roman" w:hAnsiTheme="majorHAnsi" w:cstheme="majorHAnsi"/>
                <w:i/>
                <w:iCs/>
                <w:sz w:val="18"/>
                <w:szCs w:val="18"/>
                <w:lang w:val="ro-MD"/>
              </w:rPr>
              <w:t>(rd.060+rd.070+rd.080+rd.090+rd.100+rd.110+rd.120)</w:t>
            </w:r>
          </w:p>
        </w:tc>
        <w:tc>
          <w:tcPr>
            <w:tcW w:w="1494" w:type="dxa"/>
            <w:hideMark/>
          </w:tcPr>
          <w:p w14:paraId="51F9DD1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275.946,77</w:t>
            </w:r>
          </w:p>
        </w:tc>
        <w:tc>
          <w:tcPr>
            <w:tcW w:w="1665" w:type="dxa"/>
            <w:hideMark/>
          </w:tcPr>
          <w:p w14:paraId="79A464A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343.179,88</w:t>
            </w:r>
          </w:p>
        </w:tc>
        <w:tc>
          <w:tcPr>
            <w:tcW w:w="1494" w:type="dxa"/>
            <w:hideMark/>
          </w:tcPr>
          <w:p w14:paraId="32B6EAB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33.030,23</w:t>
            </w:r>
          </w:p>
        </w:tc>
        <w:tc>
          <w:tcPr>
            <w:tcW w:w="1494" w:type="dxa"/>
            <w:hideMark/>
          </w:tcPr>
          <w:p w14:paraId="2E57F67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30.562,66</w:t>
            </w:r>
          </w:p>
        </w:tc>
        <w:tc>
          <w:tcPr>
            <w:tcW w:w="1494" w:type="dxa"/>
            <w:hideMark/>
          </w:tcPr>
          <w:p w14:paraId="7F9696E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33.852,15</w:t>
            </w:r>
          </w:p>
        </w:tc>
        <w:tc>
          <w:tcPr>
            <w:tcW w:w="1495" w:type="dxa"/>
            <w:hideMark/>
          </w:tcPr>
          <w:p w14:paraId="4F28292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38.244,64</w:t>
            </w:r>
          </w:p>
        </w:tc>
      </w:tr>
      <w:tr w:rsidR="008A4178" w:rsidRPr="009772A3" w14:paraId="0AF28C2D"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3155D10"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059FED62"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1.Imobilizări corporale în curs de execuție </w:t>
            </w:r>
          </w:p>
        </w:tc>
        <w:tc>
          <w:tcPr>
            <w:tcW w:w="1494" w:type="dxa"/>
            <w:hideMark/>
          </w:tcPr>
          <w:p w14:paraId="63626F6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268.009,56</w:t>
            </w:r>
          </w:p>
        </w:tc>
        <w:tc>
          <w:tcPr>
            <w:tcW w:w="1665" w:type="dxa"/>
            <w:hideMark/>
          </w:tcPr>
          <w:p w14:paraId="525912C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331.495,63</w:t>
            </w:r>
          </w:p>
        </w:tc>
        <w:tc>
          <w:tcPr>
            <w:tcW w:w="1494" w:type="dxa"/>
            <w:hideMark/>
          </w:tcPr>
          <w:p w14:paraId="3E32D50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1.294,99</w:t>
            </w:r>
          </w:p>
        </w:tc>
        <w:tc>
          <w:tcPr>
            <w:tcW w:w="1494" w:type="dxa"/>
            <w:hideMark/>
          </w:tcPr>
          <w:p w14:paraId="3F2455B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FF979A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50BD585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428,16</w:t>
            </w:r>
          </w:p>
        </w:tc>
      </w:tr>
      <w:tr w:rsidR="008A4178" w:rsidRPr="009772A3" w14:paraId="7CCEA23D"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5F83EE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F92630F"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2.Terenuri </w:t>
            </w:r>
          </w:p>
        </w:tc>
        <w:tc>
          <w:tcPr>
            <w:tcW w:w="1494" w:type="dxa"/>
            <w:hideMark/>
          </w:tcPr>
          <w:p w14:paraId="5DEF1E4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1.727,70</w:t>
            </w:r>
          </w:p>
        </w:tc>
        <w:tc>
          <w:tcPr>
            <w:tcW w:w="1665" w:type="dxa"/>
            <w:hideMark/>
          </w:tcPr>
          <w:p w14:paraId="396A408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1.727,70</w:t>
            </w:r>
          </w:p>
        </w:tc>
        <w:tc>
          <w:tcPr>
            <w:tcW w:w="1494" w:type="dxa"/>
            <w:hideMark/>
          </w:tcPr>
          <w:p w14:paraId="3C3A124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1.727,70</w:t>
            </w:r>
          </w:p>
        </w:tc>
        <w:tc>
          <w:tcPr>
            <w:tcW w:w="1494" w:type="dxa"/>
            <w:hideMark/>
          </w:tcPr>
          <w:p w14:paraId="1ADBC6B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1.727,70</w:t>
            </w:r>
          </w:p>
        </w:tc>
        <w:tc>
          <w:tcPr>
            <w:tcW w:w="1494" w:type="dxa"/>
            <w:hideMark/>
          </w:tcPr>
          <w:p w14:paraId="7C64538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1.735,05</w:t>
            </w:r>
          </w:p>
        </w:tc>
        <w:tc>
          <w:tcPr>
            <w:tcW w:w="1495" w:type="dxa"/>
            <w:hideMark/>
          </w:tcPr>
          <w:p w14:paraId="2FE4EFC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8.281,10</w:t>
            </w:r>
          </w:p>
        </w:tc>
      </w:tr>
      <w:tr w:rsidR="008A4178" w:rsidRPr="009772A3" w14:paraId="5BE2489D"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E330A47"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71E130C"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 Mijloace fixe total, din care:</w:t>
            </w:r>
          </w:p>
        </w:tc>
        <w:tc>
          <w:tcPr>
            <w:tcW w:w="1494" w:type="dxa"/>
            <w:hideMark/>
          </w:tcPr>
          <w:p w14:paraId="47CD714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6.209,51</w:t>
            </w:r>
          </w:p>
        </w:tc>
        <w:tc>
          <w:tcPr>
            <w:tcW w:w="1665" w:type="dxa"/>
            <w:hideMark/>
          </w:tcPr>
          <w:p w14:paraId="2F7E7F7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9.956,54</w:t>
            </w:r>
          </w:p>
        </w:tc>
        <w:tc>
          <w:tcPr>
            <w:tcW w:w="1494" w:type="dxa"/>
            <w:hideMark/>
          </w:tcPr>
          <w:p w14:paraId="22EBC7B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30.007,55</w:t>
            </w:r>
          </w:p>
        </w:tc>
        <w:tc>
          <w:tcPr>
            <w:tcW w:w="1494" w:type="dxa"/>
            <w:hideMark/>
          </w:tcPr>
          <w:p w14:paraId="4A58F9F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28.834,96</w:t>
            </w:r>
          </w:p>
        </w:tc>
        <w:tc>
          <w:tcPr>
            <w:tcW w:w="1494" w:type="dxa"/>
            <w:hideMark/>
          </w:tcPr>
          <w:p w14:paraId="527A4DB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23.969,30</w:t>
            </w:r>
          </w:p>
        </w:tc>
        <w:tc>
          <w:tcPr>
            <w:tcW w:w="1495" w:type="dxa"/>
            <w:hideMark/>
          </w:tcPr>
          <w:p w14:paraId="3903A51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21.390,85</w:t>
            </w:r>
          </w:p>
        </w:tc>
      </w:tr>
      <w:tr w:rsidR="008A4178" w:rsidRPr="009772A3" w14:paraId="37EF66C3"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3088B46"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9D3C6E8"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3.1 clădiri</w:t>
            </w:r>
          </w:p>
        </w:tc>
        <w:tc>
          <w:tcPr>
            <w:tcW w:w="1494" w:type="dxa"/>
            <w:hideMark/>
          </w:tcPr>
          <w:p w14:paraId="5C82A14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1A70EE7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979196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5CF896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5D66B3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3DDBE51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791EE9E4"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646196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7A49B16D"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xml:space="preserve">3.2 construcții speciale </w:t>
            </w:r>
          </w:p>
        </w:tc>
        <w:tc>
          <w:tcPr>
            <w:tcW w:w="1494" w:type="dxa"/>
            <w:hideMark/>
          </w:tcPr>
          <w:p w14:paraId="78288C2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46964B4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ED2ADC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3623E2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AF65BB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4829729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45FA5AB5"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1FFCF82"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DC8757C"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3.3 mașini, utilaje și instalații tehnice</w:t>
            </w:r>
          </w:p>
        </w:tc>
        <w:tc>
          <w:tcPr>
            <w:tcW w:w="1494" w:type="dxa"/>
            <w:hideMark/>
          </w:tcPr>
          <w:p w14:paraId="4E4FE5E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6A345A5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57A79A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699981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7D6B980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17.180,08</w:t>
            </w:r>
          </w:p>
        </w:tc>
        <w:tc>
          <w:tcPr>
            <w:tcW w:w="1495" w:type="dxa"/>
            <w:hideMark/>
          </w:tcPr>
          <w:p w14:paraId="23B3DB8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14.290,92</w:t>
            </w:r>
          </w:p>
        </w:tc>
      </w:tr>
      <w:tr w:rsidR="008A4178" w:rsidRPr="009772A3" w14:paraId="26151270"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076AB3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3935889"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3.4 mijloace de transport</w:t>
            </w:r>
          </w:p>
        </w:tc>
        <w:tc>
          <w:tcPr>
            <w:tcW w:w="1494" w:type="dxa"/>
            <w:hideMark/>
          </w:tcPr>
          <w:p w14:paraId="56B86DC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7C57C48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E1C58F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08D225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316B490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28,94</w:t>
            </w:r>
          </w:p>
        </w:tc>
        <w:tc>
          <w:tcPr>
            <w:tcW w:w="1495" w:type="dxa"/>
            <w:hideMark/>
          </w:tcPr>
          <w:p w14:paraId="7BDE9C0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2.267,76</w:t>
            </w:r>
          </w:p>
        </w:tc>
      </w:tr>
      <w:tr w:rsidR="008A4178" w:rsidRPr="009772A3" w14:paraId="36B0C119"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1710E42"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93CBCF7"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3.5 inventar și mobilier</w:t>
            </w:r>
          </w:p>
        </w:tc>
        <w:tc>
          <w:tcPr>
            <w:tcW w:w="1494" w:type="dxa"/>
            <w:hideMark/>
          </w:tcPr>
          <w:p w14:paraId="6A2A120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6B03005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D3018D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935BBD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4D74B2F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5" w:type="dxa"/>
            <w:hideMark/>
          </w:tcPr>
          <w:p w14:paraId="1102E25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09F28629"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5ECB21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4795700"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xml:space="preserve">3.6 alte mijloace fixe </w:t>
            </w:r>
          </w:p>
        </w:tc>
        <w:tc>
          <w:tcPr>
            <w:tcW w:w="1494" w:type="dxa"/>
            <w:hideMark/>
          </w:tcPr>
          <w:p w14:paraId="4E0B86B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2B3D2ED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53BE08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5225C4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523A446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6.760,28</w:t>
            </w:r>
          </w:p>
        </w:tc>
        <w:tc>
          <w:tcPr>
            <w:tcW w:w="1495" w:type="dxa"/>
            <w:hideMark/>
          </w:tcPr>
          <w:p w14:paraId="205F7AB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4.832,17</w:t>
            </w:r>
          </w:p>
        </w:tc>
      </w:tr>
      <w:tr w:rsidR="008A4178" w:rsidRPr="009772A3" w14:paraId="30F2D530"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8118CA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44E3153"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4.Resurse minerale </w:t>
            </w:r>
          </w:p>
        </w:tc>
        <w:tc>
          <w:tcPr>
            <w:tcW w:w="1494" w:type="dxa"/>
            <w:hideMark/>
          </w:tcPr>
          <w:p w14:paraId="16C6EF4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68D6647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3D9E64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963131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8E0647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637C41B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3660E647"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EE970FF"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0CA0C952"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5.Active biologice imobilizate</w:t>
            </w:r>
          </w:p>
        </w:tc>
        <w:tc>
          <w:tcPr>
            <w:tcW w:w="1494" w:type="dxa"/>
            <w:hideMark/>
          </w:tcPr>
          <w:p w14:paraId="0F580AC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3FA36DA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BB1AFC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AB21E0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E376C6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3F47890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72A40146"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E6EFAA0"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29194E1"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6.Investiții imobiliare</w:t>
            </w:r>
          </w:p>
        </w:tc>
        <w:tc>
          <w:tcPr>
            <w:tcW w:w="1494" w:type="dxa"/>
            <w:hideMark/>
          </w:tcPr>
          <w:p w14:paraId="660963E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1149E7B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B4C033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E235E3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DE2680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71BCCA2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30C0976A"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8D1C2CF"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22B33B9"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7.Avansuri acordate pentru imobilizări corporale</w:t>
            </w:r>
          </w:p>
        </w:tc>
        <w:tc>
          <w:tcPr>
            <w:tcW w:w="1494" w:type="dxa"/>
            <w:hideMark/>
          </w:tcPr>
          <w:p w14:paraId="0E6C26B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6615DA2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F5FC3D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7E8101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CBE93E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8.147,81</w:t>
            </w:r>
          </w:p>
        </w:tc>
        <w:tc>
          <w:tcPr>
            <w:tcW w:w="1495" w:type="dxa"/>
            <w:hideMark/>
          </w:tcPr>
          <w:p w14:paraId="263DED2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8.144,53</w:t>
            </w:r>
          </w:p>
        </w:tc>
      </w:tr>
      <w:tr w:rsidR="008A4178" w:rsidRPr="009772A3" w14:paraId="671E9592"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77D7C9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421D12C"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III.Investiții financiare pe termen lung  </w:t>
            </w:r>
            <w:r w:rsidRPr="009772A3">
              <w:rPr>
                <w:rFonts w:asciiTheme="majorHAnsi" w:eastAsia="Times New Roman" w:hAnsiTheme="majorHAnsi" w:cstheme="majorHAnsi"/>
                <w:i/>
                <w:iCs/>
                <w:sz w:val="18"/>
                <w:szCs w:val="18"/>
                <w:lang w:val="ro-MD"/>
              </w:rPr>
              <w:t>(rd.140+rd.150)</w:t>
            </w:r>
          </w:p>
        </w:tc>
        <w:tc>
          <w:tcPr>
            <w:tcW w:w="1494" w:type="dxa"/>
            <w:hideMark/>
          </w:tcPr>
          <w:p w14:paraId="30626BC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4.727.000,67</w:t>
            </w:r>
          </w:p>
        </w:tc>
        <w:tc>
          <w:tcPr>
            <w:tcW w:w="1665" w:type="dxa"/>
            <w:hideMark/>
          </w:tcPr>
          <w:p w14:paraId="4ACDDFF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4.727.000,67</w:t>
            </w:r>
          </w:p>
        </w:tc>
        <w:tc>
          <w:tcPr>
            <w:tcW w:w="1494" w:type="dxa"/>
            <w:hideMark/>
          </w:tcPr>
          <w:p w14:paraId="571556A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4.730.019,57</w:t>
            </w:r>
          </w:p>
        </w:tc>
        <w:tc>
          <w:tcPr>
            <w:tcW w:w="1494" w:type="dxa"/>
            <w:hideMark/>
          </w:tcPr>
          <w:p w14:paraId="68A920C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4.730.019,57</w:t>
            </w:r>
          </w:p>
        </w:tc>
        <w:tc>
          <w:tcPr>
            <w:tcW w:w="1494" w:type="dxa"/>
            <w:hideMark/>
          </w:tcPr>
          <w:p w14:paraId="3B5C28C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4.730.019,57</w:t>
            </w:r>
          </w:p>
        </w:tc>
        <w:tc>
          <w:tcPr>
            <w:tcW w:w="1495" w:type="dxa"/>
            <w:hideMark/>
          </w:tcPr>
          <w:p w14:paraId="5995E92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4.730.019,57</w:t>
            </w:r>
          </w:p>
        </w:tc>
      </w:tr>
      <w:tr w:rsidR="008A4178" w:rsidRPr="009772A3" w14:paraId="7219F19E"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B5CED6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70CBA26"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 Investiții financiare pe termen lung în părți neafiliate</w:t>
            </w:r>
          </w:p>
        </w:tc>
        <w:tc>
          <w:tcPr>
            <w:tcW w:w="1494" w:type="dxa"/>
            <w:hideMark/>
          </w:tcPr>
          <w:p w14:paraId="1E4E17F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6.073,52</w:t>
            </w:r>
          </w:p>
        </w:tc>
        <w:tc>
          <w:tcPr>
            <w:tcW w:w="1665" w:type="dxa"/>
            <w:hideMark/>
          </w:tcPr>
          <w:p w14:paraId="34F99E7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6.073,52</w:t>
            </w:r>
          </w:p>
        </w:tc>
        <w:tc>
          <w:tcPr>
            <w:tcW w:w="1494" w:type="dxa"/>
            <w:hideMark/>
          </w:tcPr>
          <w:p w14:paraId="674034B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6.073,52</w:t>
            </w:r>
          </w:p>
        </w:tc>
        <w:tc>
          <w:tcPr>
            <w:tcW w:w="1494" w:type="dxa"/>
            <w:hideMark/>
          </w:tcPr>
          <w:p w14:paraId="2533E86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6.073,52</w:t>
            </w:r>
          </w:p>
        </w:tc>
        <w:tc>
          <w:tcPr>
            <w:tcW w:w="1494" w:type="dxa"/>
            <w:hideMark/>
          </w:tcPr>
          <w:p w14:paraId="5367F55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6.073,52</w:t>
            </w:r>
          </w:p>
        </w:tc>
        <w:tc>
          <w:tcPr>
            <w:tcW w:w="1495" w:type="dxa"/>
            <w:hideMark/>
          </w:tcPr>
          <w:p w14:paraId="563CB5D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6.073,52</w:t>
            </w:r>
          </w:p>
        </w:tc>
      </w:tr>
      <w:tr w:rsidR="008A4178" w:rsidRPr="009772A3" w14:paraId="4BC654F1"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85730C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73F7688E"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 Investiții financiare pe termen lung în părți afiliate total, din care:</w:t>
            </w:r>
          </w:p>
        </w:tc>
        <w:tc>
          <w:tcPr>
            <w:tcW w:w="1494" w:type="dxa"/>
            <w:hideMark/>
          </w:tcPr>
          <w:p w14:paraId="7573121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4.720.927,15</w:t>
            </w:r>
          </w:p>
        </w:tc>
        <w:tc>
          <w:tcPr>
            <w:tcW w:w="1665" w:type="dxa"/>
            <w:hideMark/>
          </w:tcPr>
          <w:p w14:paraId="5A8AA63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4.720.927,15</w:t>
            </w:r>
          </w:p>
        </w:tc>
        <w:tc>
          <w:tcPr>
            <w:tcW w:w="1494" w:type="dxa"/>
            <w:hideMark/>
          </w:tcPr>
          <w:p w14:paraId="1416A6E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4.723.946,05</w:t>
            </w:r>
          </w:p>
        </w:tc>
        <w:tc>
          <w:tcPr>
            <w:tcW w:w="1494" w:type="dxa"/>
            <w:hideMark/>
          </w:tcPr>
          <w:p w14:paraId="440DC47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4.723.946,05</w:t>
            </w:r>
          </w:p>
        </w:tc>
        <w:tc>
          <w:tcPr>
            <w:tcW w:w="1494" w:type="dxa"/>
            <w:hideMark/>
          </w:tcPr>
          <w:p w14:paraId="5F37975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4.723.946,05</w:t>
            </w:r>
          </w:p>
        </w:tc>
        <w:tc>
          <w:tcPr>
            <w:tcW w:w="1495" w:type="dxa"/>
            <w:hideMark/>
          </w:tcPr>
          <w:p w14:paraId="72B6040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4.723.946,05</w:t>
            </w:r>
          </w:p>
        </w:tc>
      </w:tr>
      <w:tr w:rsidR="008A4178" w:rsidRPr="009772A3" w14:paraId="5A150E0D"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2B582E3"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86AF011"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2.1 acțiuni și cote de participație deținute în părțile afiliate</w:t>
            </w:r>
          </w:p>
        </w:tc>
        <w:tc>
          <w:tcPr>
            <w:tcW w:w="1494" w:type="dxa"/>
            <w:hideMark/>
          </w:tcPr>
          <w:p w14:paraId="19889F7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295A18D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077683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FE6C33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52DC647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713.621,81</w:t>
            </w:r>
          </w:p>
        </w:tc>
        <w:tc>
          <w:tcPr>
            <w:tcW w:w="1495" w:type="dxa"/>
            <w:hideMark/>
          </w:tcPr>
          <w:p w14:paraId="6C06C08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713.621,81</w:t>
            </w:r>
          </w:p>
        </w:tc>
      </w:tr>
      <w:tr w:rsidR="008A4178" w:rsidRPr="009772A3" w14:paraId="30E431AC"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4C8F13F"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BDBE6A3"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2.2 împrumuturi acordate părților afiliate</w:t>
            </w:r>
          </w:p>
        </w:tc>
        <w:tc>
          <w:tcPr>
            <w:tcW w:w="1494" w:type="dxa"/>
            <w:hideMark/>
          </w:tcPr>
          <w:p w14:paraId="1E2BD2A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123D4FE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52EEE5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47B4E6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097AF55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3.018,90</w:t>
            </w:r>
          </w:p>
        </w:tc>
        <w:tc>
          <w:tcPr>
            <w:tcW w:w="1495" w:type="dxa"/>
            <w:hideMark/>
          </w:tcPr>
          <w:p w14:paraId="4D221DF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3.018,90</w:t>
            </w:r>
          </w:p>
        </w:tc>
      </w:tr>
      <w:tr w:rsidR="008A4178" w:rsidRPr="009772A3" w14:paraId="0C6D9C39"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D525C04"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BA0D8B3"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2.3 împrumuturi acordate aferente intereselor de participare</w:t>
            </w:r>
          </w:p>
        </w:tc>
        <w:tc>
          <w:tcPr>
            <w:tcW w:w="1494" w:type="dxa"/>
            <w:hideMark/>
          </w:tcPr>
          <w:p w14:paraId="04A61D4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73BED76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B599E3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817BF7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0218C1C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5" w:type="dxa"/>
            <w:hideMark/>
          </w:tcPr>
          <w:p w14:paraId="0ACD98D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47091AF6"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40EE394"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A3D8E25"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2.4 alte investiții financiare</w:t>
            </w:r>
          </w:p>
        </w:tc>
        <w:tc>
          <w:tcPr>
            <w:tcW w:w="1494" w:type="dxa"/>
            <w:hideMark/>
          </w:tcPr>
          <w:p w14:paraId="1682EB2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3784C6A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BC511E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24D086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 </w:t>
            </w:r>
          </w:p>
        </w:tc>
        <w:tc>
          <w:tcPr>
            <w:tcW w:w="1494" w:type="dxa"/>
            <w:hideMark/>
          </w:tcPr>
          <w:p w14:paraId="70488C3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4.007.305,34</w:t>
            </w:r>
          </w:p>
        </w:tc>
        <w:tc>
          <w:tcPr>
            <w:tcW w:w="1495" w:type="dxa"/>
            <w:hideMark/>
          </w:tcPr>
          <w:p w14:paraId="2A3825A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8"/>
                <w:lang w:val="ro-MD"/>
              </w:rPr>
            </w:pPr>
            <w:r w:rsidRPr="009772A3">
              <w:rPr>
                <w:rFonts w:asciiTheme="majorHAnsi" w:eastAsia="Times New Roman" w:hAnsiTheme="majorHAnsi" w:cstheme="majorHAnsi"/>
                <w:i/>
                <w:iCs/>
                <w:sz w:val="18"/>
                <w:szCs w:val="18"/>
                <w:lang w:val="ro-MD"/>
              </w:rPr>
              <w:t>4.007.305,34</w:t>
            </w:r>
          </w:p>
        </w:tc>
      </w:tr>
      <w:tr w:rsidR="008A4178" w:rsidRPr="009772A3" w14:paraId="6F5F40F1"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35C180C"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F13658B"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IV. Creanțe pe termen lung și alte active imobilizate  </w:t>
            </w:r>
            <w:r w:rsidRPr="009772A3">
              <w:rPr>
                <w:rFonts w:asciiTheme="majorHAnsi" w:eastAsia="Times New Roman" w:hAnsiTheme="majorHAnsi" w:cstheme="majorHAnsi"/>
                <w:i/>
                <w:iCs/>
                <w:sz w:val="18"/>
                <w:szCs w:val="18"/>
                <w:lang w:val="ro-MD"/>
              </w:rPr>
              <w:t>(rd.170+rd.180+rd.190+rd.200+rd.210)</w:t>
            </w:r>
          </w:p>
        </w:tc>
        <w:tc>
          <w:tcPr>
            <w:tcW w:w="1494" w:type="dxa"/>
            <w:hideMark/>
          </w:tcPr>
          <w:p w14:paraId="662B4F8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3.444,65</w:t>
            </w:r>
          </w:p>
        </w:tc>
        <w:tc>
          <w:tcPr>
            <w:tcW w:w="1665" w:type="dxa"/>
            <w:hideMark/>
          </w:tcPr>
          <w:p w14:paraId="2696B33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1.051,87</w:t>
            </w:r>
          </w:p>
        </w:tc>
        <w:tc>
          <w:tcPr>
            <w:tcW w:w="1494" w:type="dxa"/>
            <w:hideMark/>
          </w:tcPr>
          <w:p w14:paraId="7E659E7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529.348,84</w:t>
            </w:r>
          </w:p>
        </w:tc>
        <w:tc>
          <w:tcPr>
            <w:tcW w:w="1494" w:type="dxa"/>
            <w:hideMark/>
          </w:tcPr>
          <w:p w14:paraId="1B7D2D8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1.593.171,05</w:t>
            </w:r>
          </w:p>
        </w:tc>
        <w:tc>
          <w:tcPr>
            <w:tcW w:w="1494" w:type="dxa"/>
            <w:hideMark/>
          </w:tcPr>
          <w:p w14:paraId="2C473B2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1.446.976,77</w:t>
            </w:r>
          </w:p>
        </w:tc>
        <w:tc>
          <w:tcPr>
            <w:tcW w:w="1495" w:type="dxa"/>
            <w:hideMark/>
          </w:tcPr>
          <w:p w14:paraId="43B41A3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2.365.424,51</w:t>
            </w:r>
          </w:p>
        </w:tc>
      </w:tr>
      <w:tr w:rsidR="008A4178" w:rsidRPr="009772A3" w14:paraId="2925C3F7"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44B52E4"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8B7B9B0"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1. Creanțe comerciale pe termen lung </w:t>
            </w:r>
          </w:p>
        </w:tc>
        <w:tc>
          <w:tcPr>
            <w:tcW w:w="1494" w:type="dxa"/>
            <w:hideMark/>
          </w:tcPr>
          <w:p w14:paraId="4B5B6C0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0D4B3EC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AB3242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529.348,84</w:t>
            </w:r>
          </w:p>
        </w:tc>
        <w:tc>
          <w:tcPr>
            <w:tcW w:w="1494" w:type="dxa"/>
            <w:hideMark/>
          </w:tcPr>
          <w:p w14:paraId="657F45F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1.593.171,05</w:t>
            </w:r>
          </w:p>
        </w:tc>
        <w:tc>
          <w:tcPr>
            <w:tcW w:w="1494" w:type="dxa"/>
            <w:hideMark/>
          </w:tcPr>
          <w:p w14:paraId="5EACAF8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498.210,67</w:t>
            </w:r>
          </w:p>
        </w:tc>
        <w:tc>
          <w:tcPr>
            <w:tcW w:w="1495" w:type="dxa"/>
            <w:hideMark/>
          </w:tcPr>
          <w:p w14:paraId="21D5FBB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482.641,59</w:t>
            </w:r>
          </w:p>
        </w:tc>
      </w:tr>
      <w:tr w:rsidR="008A4178" w:rsidRPr="009772A3" w14:paraId="5B99049F"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8DBAE94"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0EC5210F"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2.Creanțe ale părților afiliate pe termen lung </w:t>
            </w:r>
          </w:p>
        </w:tc>
        <w:tc>
          <w:tcPr>
            <w:tcW w:w="1494" w:type="dxa"/>
            <w:hideMark/>
          </w:tcPr>
          <w:p w14:paraId="3B92064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6C06C23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A562A5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6A46FB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D5F1E0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250F6B6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51C33F15"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853214E"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8316322"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3.Alte creanțe pe termen lung </w:t>
            </w:r>
          </w:p>
        </w:tc>
        <w:tc>
          <w:tcPr>
            <w:tcW w:w="1494" w:type="dxa"/>
            <w:hideMark/>
          </w:tcPr>
          <w:p w14:paraId="29B4F93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1EC9F2C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47455F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E121CF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7ED6FA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948.766,10</w:t>
            </w:r>
          </w:p>
        </w:tc>
        <w:tc>
          <w:tcPr>
            <w:tcW w:w="1495" w:type="dxa"/>
            <w:hideMark/>
          </w:tcPr>
          <w:p w14:paraId="4AE1C15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1.882.782,92</w:t>
            </w:r>
          </w:p>
        </w:tc>
      </w:tr>
      <w:tr w:rsidR="008A4178" w:rsidRPr="009772A3" w14:paraId="2DA60415"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A57FAF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C43DCFA"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4.Cheltuieli anticipate pe termen lung </w:t>
            </w:r>
          </w:p>
        </w:tc>
        <w:tc>
          <w:tcPr>
            <w:tcW w:w="1494" w:type="dxa"/>
            <w:hideMark/>
          </w:tcPr>
          <w:p w14:paraId="4281375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7234DA3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0A5945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B3834A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648D84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439E5EC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0BCF7345"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4F757AB"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FEB243F"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5.Alte active imobilizate</w:t>
            </w:r>
          </w:p>
        </w:tc>
        <w:tc>
          <w:tcPr>
            <w:tcW w:w="1494" w:type="dxa"/>
            <w:hideMark/>
          </w:tcPr>
          <w:p w14:paraId="6ADA58A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3.444,65</w:t>
            </w:r>
          </w:p>
        </w:tc>
        <w:tc>
          <w:tcPr>
            <w:tcW w:w="1665" w:type="dxa"/>
            <w:hideMark/>
          </w:tcPr>
          <w:p w14:paraId="558801B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1.051,87</w:t>
            </w:r>
          </w:p>
        </w:tc>
        <w:tc>
          <w:tcPr>
            <w:tcW w:w="1494" w:type="dxa"/>
            <w:hideMark/>
          </w:tcPr>
          <w:p w14:paraId="5DB6BDD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69DE4A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25ABF8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5E7363F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053A3E21"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085E4CD"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BA751EF"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sz w:val="18"/>
                <w:szCs w:val="18"/>
                <w:lang w:val="ro-MD"/>
              </w:rPr>
            </w:pPr>
            <w:r w:rsidRPr="009772A3">
              <w:rPr>
                <w:rFonts w:asciiTheme="majorHAnsi" w:eastAsia="Times New Roman" w:hAnsiTheme="majorHAnsi" w:cstheme="majorHAnsi"/>
                <w:b/>
                <w:bCs/>
                <w:sz w:val="18"/>
                <w:szCs w:val="18"/>
                <w:lang w:val="ro-MD"/>
              </w:rPr>
              <w:t xml:space="preserve">TOTAL ACTIVE IMOBILIZATE  </w:t>
            </w:r>
            <w:r w:rsidRPr="009772A3">
              <w:rPr>
                <w:rFonts w:asciiTheme="majorHAnsi" w:eastAsia="Times New Roman" w:hAnsiTheme="majorHAnsi" w:cstheme="majorHAnsi"/>
                <w:i/>
                <w:iCs/>
                <w:sz w:val="18"/>
                <w:szCs w:val="18"/>
                <w:lang w:val="ro-MD"/>
              </w:rPr>
              <w:t>(rd.050+rd.130+rd.160+rd.220)</w:t>
            </w:r>
          </w:p>
        </w:tc>
        <w:tc>
          <w:tcPr>
            <w:tcW w:w="1494" w:type="dxa"/>
            <w:hideMark/>
          </w:tcPr>
          <w:p w14:paraId="7CFEFFE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5.023.659,84</w:t>
            </w:r>
          </w:p>
        </w:tc>
        <w:tc>
          <w:tcPr>
            <w:tcW w:w="1665" w:type="dxa"/>
            <w:hideMark/>
          </w:tcPr>
          <w:p w14:paraId="5DAC6F6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5.094.699,22</w:t>
            </w:r>
          </w:p>
        </w:tc>
        <w:tc>
          <w:tcPr>
            <w:tcW w:w="1494" w:type="dxa"/>
            <w:hideMark/>
          </w:tcPr>
          <w:p w14:paraId="3B3B841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5.316.391,40</w:t>
            </w:r>
          </w:p>
        </w:tc>
        <w:tc>
          <w:tcPr>
            <w:tcW w:w="1494" w:type="dxa"/>
            <w:hideMark/>
          </w:tcPr>
          <w:p w14:paraId="7547118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6.374.150,43</w:t>
            </w:r>
          </w:p>
        </w:tc>
        <w:tc>
          <w:tcPr>
            <w:tcW w:w="1494" w:type="dxa"/>
            <w:hideMark/>
          </w:tcPr>
          <w:p w14:paraId="4277C06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6.230.559,94</w:t>
            </w:r>
          </w:p>
        </w:tc>
        <w:tc>
          <w:tcPr>
            <w:tcW w:w="1495" w:type="dxa"/>
            <w:hideMark/>
          </w:tcPr>
          <w:p w14:paraId="071D2C5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7.151.518,49</w:t>
            </w:r>
          </w:p>
        </w:tc>
      </w:tr>
      <w:tr w:rsidR="008A4178" w:rsidRPr="009772A3" w14:paraId="2E6473C8"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266E2087" w14:textId="77777777" w:rsidR="008A4178" w:rsidRPr="009772A3" w:rsidRDefault="008A4178"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B</w:t>
            </w:r>
          </w:p>
        </w:tc>
        <w:tc>
          <w:tcPr>
            <w:tcW w:w="4708" w:type="dxa"/>
            <w:hideMark/>
          </w:tcPr>
          <w:p w14:paraId="69E298C8"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Active circulante </w:t>
            </w:r>
            <w:r w:rsidRPr="009772A3">
              <w:rPr>
                <w:rFonts w:asciiTheme="majorHAnsi" w:eastAsia="Times New Roman" w:hAnsiTheme="majorHAnsi" w:cstheme="majorHAnsi"/>
                <w:b/>
                <w:bCs/>
                <w:sz w:val="18"/>
                <w:szCs w:val="18"/>
                <w:lang w:val="ro-MD"/>
              </w:rPr>
              <w:br/>
              <w:t>Stocuri</w:t>
            </w:r>
            <w:r w:rsidRPr="009772A3">
              <w:rPr>
                <w:rFonts w:asciiTheme="majorHAnsi" w:eastAsia="Times New Roman" w:hAnsiTheme="majorHAnsi" w:cstheme="majorHAnsi"/>
                <w:i/>
                <w:iCs/>
                <w:sz w:val="18"/>
                <w:szCs w:val="18"/>
                <w:lang w:val="ro-MD"/>
              </w:rPr>
              <w:t xml:space="preserve"> (rd.240+rd.250+rd.260+rd.270+rd.280)</w:t>
            </w:r>
          </w:p>
        </w:tc>
        <w:tc>
          <w:tcPr>
            <w:tcW w:w="1494" w:type="dxa"/>
            <w:hideMark/>
          </w:tcPr>
          <w:p w14:paraId="350C244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58.969,41</w:t>
            </w:r>
          </w:p>
        </w:tc>
        <w:tc>
          <w:tcPr>
            <w:tcW w:w="1665" w:type="dxa"/>
            <w:hideMark/>
          </w:tcPr>
          <w:p w14:paraId="2DD84F5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46.938,04</w:t>
            </w:r>
          </w:p>
        </w:tc>
        <w:tc>
          <w:tcPr>
            <w:tcW w:w="1494" w:type="dxa"/>
            <w:hideMark/>
          </w:tcPr>
          <w:p w14:paraId="5E67D7F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82.027,93</w:t>
            </w:r>
          </w:p>
        </w:tc>
        <w:tc>
          <w:tcPr>
            <w:tcW w:w="1494" w:type="dxa"/>
            <w:hideMark/>
          </w:tcPr>
          <w:p w14:paraId="50D56DD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68.206,22</w:t>
            </w:r>
          </w:p>
        </w:tc>
        <w:tc>
          <w:tcPr>
            <w:tcW w:w="1494" w:type="dxa"/>
            <w:hideMark/>
          </w:tcPr>
          <w:p w14:paraId="26E3605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266.485,75</w:t>
            </w:r>
          </w:p>
        </w:tc>
        <w:tc>
          <w:tcPr>
            <w:tcW w:w="1495" w:type="dxa"/>
            <w:hideMark/>
          </w:tcPr>
          <w:p w14:paraId="7BF2D86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69.768,34</w:t>
            </w:r>
          </w:p>
        </w:tc>
      </w:tr>
      <w:tr w:rsidR="008A4178" w:rsidRPr="009772A3" w14:paraId="693C92DD"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EBA9872"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777309F"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 Materiale și obiecte de mică valoare și scurtă durată</w:t>
            </w:r>
          </w:p>
        </w:tc>
        <w:tc>
          <w:tcPr>
            <w:tcW w:w="1494" w:type="dxa"/>
            <w:hideMark/>
          </w:tcPr>
          <w:p w14:paraId="72910A1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427,00</w:t>
            </w:r>
          </w:p>
        </w:tc>
        <w:tc>
          <w:tcPr>
            <w:tcW w:w="1665" w:type="dxa"/>
            <w:hideMark/>
          </w:tcPr>
          <w:p w14:paraId="413E103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515,75</w:t>
            </w:r>
          </w:p>
        </w:tc>
        <w:tc>
          <w:tcPr>
            <w:tcW w:w="1494" w:type="dxa"/>
            <w:hideMark/>
          </w:tcPr>
          <w:p w14:paraId="0501F15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3.781,64</w:t>
            </w:r>
          </w:p>
        </w:tc>
        <w:tc>
          <w:tcPr>
            <w:tcW w:w="1494" w:type="dxa"/>
            <w:hideMark/>
          </w:tcPr>
          <w:p w14:paraId="36956AA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3.276,32</w:t>
            </w:r>
          </w:p>
        </w:tc>
        <w:tc>
          <w:tcPr>
            <w:tcW w:w="1494" w:type="dxa"/>
            <w:hideMark/>
          </w:tcPr>
          <w:p w14:paraId="1D28874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3.567,66</w:t>
            </w:r>
          </w:p>
        </w:tc>
        <w:tc>
          <w:tcPr>
            <w:tcW w:w="1495" w:type="dxa"/>
            <w:hideMark/>
          </w:tcPr>
          <w:p w14:paraId="36DA214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3.619,83</w:t>
            </w:r>
          </w:p>
        </w:tc>
      </w:tr>
      <w:tr w:rsidR="008A4178" w:rsidRPr="009772A3" w14:paraId="108EA7D1"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3DB06D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4A26F27"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 Active biologice circulante</w:t>
            </w:r>
          </w:p>
        </w:tc>
        <w:tc>
          <w:tcPr>
            <w:tcW w:w="1494" w:type="dxa"/>
            <w:hideMark/>
          </w:tcPr>
          <w:p w14:paraId="368EE71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2345030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990EB1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796E3B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2AB871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796AC82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014DE01D"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BC8B067"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D243116"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3.Producția în curs de execuție </w:t>
            </w:r>
          </w:p>
        </w:tc>
        <w:tc>
          <w:tcPr>
            <w:tcW w:w="1494" w:type="dxa"/>
            <w:hideMark/>
          </w:tcPr>
          <w:p w14:paraId="207C18B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53CE25B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688A3A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2FB524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E8F428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38F7463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102434E6"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39B5F20"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A9D1702"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4.Produse și mărfuri</w:t>
            </w:r>
          </w:p>
        </w:tc>
        <w:tc>
          <w:tcPr>
            <w:tcW w:w="1494" w:type="dxa"/>
            <w:hideMark/>
          </w:tcPr>
          <w:p w14:paraId="1788788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58.542,41</w:t>
            </w:r>
          </w:p>
        </w:tc>
        <w:tc>
          <w:tcPr>
            <w:tcW w:w="1665" w:type="dxa"/>
            <w:hideMark/>
          </w:tcPr>
          <w:p w14:paraId="698508E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46.422,29</w:t>
            </w:r>
          </w:p>
        </w:tc>
        <w:tc>
          <w:tcPr>
            <w:tcW w:w="1494" w:type="dxa"/>
            <w:hideMark/>
          </w:tcPr>
          <w:p w14:paraId="2FB47CE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78.246,29</w:t>
            </w:r>
          </w:p>
        </w:tc>
        <w:tc>
          <w:tcPr>
            <w:tcW w:w="1494" w:type="dxa"/>
            <w:hideMark/>
          </w:tcPr>
          <w:p w14:paraId="3A284B0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64.929,90</w:t>
            </w:r>
          </w:p>
        </w:tc>
        <w:tc>
          <w:tcPr>
            <w:tcW w:w="1494" w:type="dxa"/>
            <w:hideMark/>
          </w:tcPr>
          <w:p w14:paraId="36D37D0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129.024,21</w:t>
            </w:r>
          </w:p>
        </w:tc>
        <w:tc>
          <w:tcPr>
            <w:tcW w:w="1495" w:type="dxa"/>
            <w:hideMark/>
          </w:tcPr>
          <w:p w14:paraId="6A711AF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34.492,67</w:t>
            </w:r>
          </w:p>
        </w:tc>
      </w:tr>
      <w:tr w:rsidR="008A4178" w:rsidRPr="009772A3" w14:paraId="4A7BEF9C"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80E13C0"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F188F6F"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5.Avansuri acordate pentru stocuri</w:t>
            </w:r>
          </w:p>
        </w:tc>
        <w:tc>
          <w:tcPr>
            <w:tcW w:w="1494" w:type="dxa"/>
            <w:hideMark/>
          </w:tcPr>
          <w:p w14:paraId="5C43514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1D91838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26FCC7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604368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AAC49D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133.893,89</w:t>
            </w:r>
          </w:p>
        </w:tc>
        <w:tc>
          <w:tcPr>
            <w:tcW w:w="1495" w:type="dxa"/>
            <w:hideMark/>
          </w:tcPr>
          <w:p w14:paraId="2E994F1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31.655,84</w:t>
            </w:r>
          </w:p>
        </w:tc>
      </w:tr>
      <w:tr w:rsidR="008A4178" w:rsidRPr="009772A3" w14:paraId="083F7D35"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FA40DBD"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3AFCBE0"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II. Creanțe curente și alte active circulante </w:t>
            </w:r>
            <w:r w:rsidRPr="009772A3">
              <w:rPr>
                <w:rFonts w:asciiTheme="majorHAnsi" w:eastAsia="Times New Roman" w:hAnsiTheme="majorHAnsi" w:cstheme="majorHAnsi"/>
                <w:i/>
                <w:iCs/>
                <w:sz w:val="18"/>
                <w:szCs w:val="18"/>
                <w:lang w:val="ro-MD"/>
              </w:rPr>
              <w:t>(rd.300+rd.310+rd.320+rd.330+rd.340+rd.350+rd.360)</w:t>
            </w:r>
          </w:p>
        </w:tc>
        <w:tc>
          <w:tcPr>
            <w:tcW w:w="1494" w:type="dxa"/>
            <w:hideMark/>
          </w:tcPr>
          <w:p w14:paraId="2A2D1D6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6.725.013,93</w:t>
            </w:r>
          </w:p>
        </w:tc>
        <w:tc>
          <w:tcPr>
            <w:tcW w:w="1665" w:type="dxa"/>
            <w:hideMark/>
          </w:tcPr>
          <w:p w14:paraId="1FCDC7C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6.372.944,15</w:t>
            </w:r>
          </w:p>
        </w:tc>
        <w:tc>
          <w:tcPr>
            <w:tcW w:w="1494" w:type="dxa"/>
            <w:hideMark/>
          </w:tcPr>
          <w:p w14:paraId="347591C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6.405.924,74</w:t>
            </w:r>
          </w:p>
        </w:tc>
        <w:tc>
          <w:tcPr>
            <w:tcW w:w="1494" w:type="dxa"/>
            <w:hideMark/>
          </w:tcPr>
          <w:p w14:paraId="1D65740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5.849.263,19</w:t>
            </w:r>
          </w:p>
        </w:tc>
        <w:tc>
          <w:tcPr>
            <w:tcW w:w="1494" w:type="dxa"/>
            <w:hideMark/>
          </w:tcPr>
          <w:p w14:paraId="58200A8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4.721.844,82</w:t>
            </w:r>
          </w:p>
        </w:tc>
        <w:tc>
          <w:tcPr>
            <w:tcW w:w="1495" w:type="dxa"/>
            <w:hideMark/>
          </w:tcPr>
          <w:p w14:paraId="603FBCE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4.240.721,32</w:t>
            </w:r>
          </w:p>
        </w:tc>
      </w:tr>
      <w:tr w:rsidR="008A4178" w:rsidRPr="009772A3" w14:paraId="13D6F70C"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6B31B12"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0223996"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 Creanțe comerciale curente</w:t>
            </w:r>
          </w:p>
        </w:tc>
        <w:tc>
          <w:tcPr>
            <w:tcW w:w="1494" w:type="dxa"/>
            <w:hideMark/>
          </w:tcPr>
          <w:p w14:paraId="5C08043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3.613.488,88</w:t>
            </w:r>
          </w:p>
        </w:tc>
        <w:tc>
          <w:tcPr>
            <w:tcW w:w="1665" w:type="dxa"/>
            <w:hideMark/>
          </w:tcPr>
          <w:p w14:paraId="3A975C5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3.431.976,21</w:t>
            </w:r>
          </w:p>
        </w:tc>
        <w:tc>
          <w:tcPr>
            <w:tcW w:w="1494" w:type="dxa"/>
            <w:hideMark/>
          </w:tcPr>
          <w:p w14:paraId="5BBE810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3.341.717,51</w:t>
            </w:r>
          </w:p>
        </w:tc>
        <w:tc>
          <w:tcPr>
            <w:tcW w:w="1494" w:type="dxa"/>
            <w:hideMark/>
          </w:tcPr>
          <w:p w14:paraId="3669847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2.868.268,51</w:t>
            </w:r>
          </w:p>
        </w:tc>
        <w:tc>
          <w:tcPr>
            <w:tcW w:w="1494" w:type="dxa"/>
            <w:hideMark/>
          </w:tcPr>
          <w:p w14:paraId="090BEB0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2.268.978,14</w:t>
            </w:r>
          </w:p>
        </w:tc>
        <w:tc>
          <w:tcPr>
            <w:tcW w:w="1495" w:type="dxa"/>
            <w:hideMark/>
          </w:tcPr>
          <w:p w14:paraId="29433F0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1.645.514,75</w:t>
            </w:r>
          </w:p>
        </w:tc>
      </w:tr>
      <w:tr w:rsidR="008A4178" w:rsidRPr="009772A3" w14:paraId="3E778B88"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8D03D9C"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7D850A1"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2.Creanțe ale părților afiliate </w:t>
            </w:r>
          </w:p>
        </w:tc>
        <w:tc>
          <w:tcPr>
            <w:tcW w:w="1494" w:type="dxa"/>
            <w:hideMark/>
          </w:tcPr>
          <w:p w14:paraId="309A0AD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2.124.093,26</w:t>
            </w:r>
          </w:p>
        </w:tc>
        <w:tc>
          <w:tcPr>
            <w:tcW w:w="1665" w:type="dxa"/>
            <w:hideMark/>
          </w:tcPr>
          <w:p w14:paraId="209F294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2.160.876,71</w:t>
            </w:r>
          </w:p>
        </w:tc>
        <w:tc>
          <w:tcPr>
            <w:tcW w:w="1494" w:type="dxa"/>
            <w:hideMark/>
          </w:tcPr>
          <w:p w14:paraId="14FF921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2.092.820,05</w:t>
            </w:r>
          </w:p>
        </w:tc>
        <w:tc>
          <w:tcPr>
            <w:tcW w:w="1494" w:type="dxa"/>
            <w:hideMark/>
          </w:tcPr>
          <w:p w14:paraId="2B9340A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1.920.867,40</w:t>
            </w:r>
          </w:p>
        </w:tc>
        <w:tc>
          <w:tcPr>
            <w:tcW w:w="1494" w:type="dxa"/>
            <w:hideMark/>
          </w:tcPr>
          <w:p w14:paraId="4B246CD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1.748.855,65</w:t>
            </w:r>
          </w:p>
        </w:tc>
        <w:tc>
          <w:tcPr>
            <w:tcW w:w="1495" w:type="dxa"/>
            <w:hideMark/>
          </w:tcPr>
          <w:p w14:paraId="4F71091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1.626.483,00</w:t>
            </w:r>
          </w:p>
        </w:tc>
      </w:tr>
      <w:tr w:rsidR="008A4178" w:rsidRPr="009772A3" w14:paraId="546A7A6F"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B30ACC3"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5606BD6"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3.Creante ale bugetului </w:t>
            </w:r>
          </w:p>
        </w:tc>
        <w:tc>
          <w:tcPr>
            <w:tcW w:w="1494" w:type="dxa"/>
            <w:hideMark/>
          </w:tcPr>
          <w:p w14:paraId="3F15D70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339.632,94</w:t>
            </w:r>
          </w:p>
        </w:tc>
        <w:tc>
          <w:tcPr>
            <w:tcW w:w="1665" w:type="dxa"/>
            <w:hideMark/>
          </w:tcPr>
          <w:p w14:paraId="43E6B25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256.278,75</w:t>
            </w:r>
          </w:p>
        </w:tc>
        <w:tc>
          <w:tcPr>
            <w:tcW w:w="1494" w:type="dxa"/>
            <w:hideMark/>
          </w:tcPr>
          <w:p w14:paraId="045446B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346.512,04</w:t>
            </w:r>
          </w:p>
        </w:tc>
        <w:tc>
          <w:tcPr>
            <w:tcW w:w="1494" w:type="dxa"/>
            <w:hideMark/>
          </w:tcPr>
          <w:p w14:paraId="30299A2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383.086,00</w:t>
            </w:r>
          </w:p>
        </w:tc>
        <w:tc>
          <w:tcPr>
            <w:tcW w:w="1494" w:type="dxa"/>
            <w:hideMark/>
          </w:tcPr>
          <w:p w14:paraId="470C4C9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320.832,44</w:t>
            </w:r>
          </w:p>
        </w:tc>
        <w:tc>
          <w:tcPr>
            <w:tcW w:w="1495" w:type="dxa"/>
            <w:hideMark/>
          </w:tcPr>
          <w:p w14:paraId="3DE34F6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631.628,61</w:t>
            </w:r>
          </w:p>
        </w:tc>
      </w:tr>
      <w:tr w:rsidR="008A4178" w:rsidRPr="009772A3" w14:paraId="767998DC"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3E7E7DE"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2B6E692"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4.Creante ale personalului </w:t>
            </w:r>
          </w:p>
        </w:tc>
        <w:tc>
          <w:tcPr>
            <w:tcW w:w="1494" w:type="dxa"/>
            <w:hideMark/>
          </w:tcPr>
          <w:p w14:paraId="7DB84E5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220,81</w:t>
            </w:r>
          </w:p>
        </w:tc>
        <w:tc>
          <w:tcPr>
            <w:tcW w:w="1665" w:type="dxa"/>
            <w:hideMark/>
          </w:tcPr>
          <w:p w14:paraId="22A287F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322,74</w:t>
            </w:r>
          </w:p>
        </w:tc>
        <w:tc>
          <w:tcPr>
            <w:tcW w:w="1494" w:type="dxa"/>
            <w:hideMark/>
          </w:tcPr>
          <w:p w14:paraId="504714A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303,95</w:t>
            </w:r>
          </w:p>
        </w:tc>
        <w:tc>
          <w:tcPr>
            <w:tcW w:w="1494" w:type="dxa"/>
            <w:hideMark/>
          </w:tcPr>
          <w:p w14:paraId="51EF2EA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316,99</w:t>
            </w:r>
          </w:p>
        </w:tc>
        <w:tc>
          <w:tcPr>
            <w:tcW w:w="1494" w:type="dxa"/>
            <w:hideMark/>
          </w:tcPr>
          <w:p w14:paraId="5FDE293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357,53</w:t>
            </w:r>
          </w:p>
        </w:tc>
        <w:tc>
          <w:tcPr>
            <w:tcW w:w="1495" w:type="dxa"/>
            <w:hideMark/>
          </w:tcPr>
          <w:p w14:paraId="68E00DA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129,17</w:t>
            </w:r>
          </w:p>
        </w:tc>
      </w:tr>
      <w:tr w:rsidR="008A4178" w:rsidRPr="009772A3" w14:paraId="533A7883"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1EA292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7F39B978"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5. Alte creanțe curente </w:t>
            </w:r>
          </w:p>
        </w:tc>
        <w:tc>
          <w:tcPr>
            <w:tcW w:w="1494" w:type="dxa"/>
            <w:hideMark/>
          </w:tcPr>
          <w:p w14:paraId="648D3DE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545.020,34</w:t>
            </w:r>
          </w:p>
        </w:tc>
        <w:tc>
          <w:tcPr>
            <w:tcW w:w="1665" w:type="dxa"/>
            <w:hideMark/>
          </w:tcPr>
          <w:p w14:paraId="198CDD4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442.699,80</w:t>
            </w:r>
          </w:p>
        </w:tc>
        <w:tc>
          <w:tcPr>
            <w:tcW w:w="1494" w:type="dxa"/>
            <w:hideMark/>
          </w:tcPr>
          <w:p w14:paraId="4C129BA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447.046,31</w:t>
            </w:r>
          </w:p>
        </w:tc>
        <w:tc>
          <w:tcPr>
            <w:tcW w:w="1494" w:type="dxa"/>
            <w:hideMark/>
          </w:tcPr>
          <w:p w14:paraId="00EA36D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433.643,08</w:t>
            </w:r>
          </w:p>
        </w:tc>
        <w:tc>
          <w:tcPr>
            <w:tcW w:w="1494" w:type="dxa"/>
            <w:hideMark/>
          </w:tcPr>
          <w:p w14:paraId="3447133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381.643,73</w:t>
            </w:r>
          </w:p>
        </w:tc>
        <w:tc>
          <w:tcPr>
            <w:tcW w:w="1495" w:type="dxa"/>
            <w:hideMark/>
          </w:tcPr>
          <w:p w14:paraId="25B95D3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335.754,89</w:t>
            </w:r>
          </w:p>
        </w:tc>
      </w:tr>
      <w:tr w:rsidR="008A4178" w:rsidRPr="009772A3" w14:paraId="70A22A24"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52E1425"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3C78371"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6.Cheltuieli anticipate curente </w:t>
            </w:r>
          </w:p>
        </w:tc>
        <w:tc>
          <w:tcPr>
            <w:tcW w:w="1494" w:type="dxa"/>
            <w:hideMark/>
          </w:tcPr>
          <w:p w14:paraId="280A622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noWrap/>
            <w:hideMark/>
          </w:tcPr>
          <w:p w14:paraId="3163BB9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p>
        </w:tc>
        <w:tc>
          <w:tcPr>
            <w:tcW w:w="1494" w:type="dxa"/>
            <w:hideMark/>
          </w:tcPr>
          <w:p w14:paraId="5A21939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528A12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2BA90E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903,50</w:t>
            </w:r>
          </w:p>
        </w:tc>
        <w:tc>
          <w:tcPr>
            <w:tcW w:w="1495" w:type="dxa"/>
            <w:hideMark/>
          </w:tcPr>
          <w:p w14:paraId="1A56024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901,26</w:t>
            </w:r>
          </w:p>
        </w:tc>
      </w:tr>
      <w:tr w:rsidR="008A4178" w:rsidRPr="009772A3" w14:paraId="4BD91F5B"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837AACE"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AA060E7"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7.Alte active circulante</w:t>
            </w:r>
          </w:p>
        </w:tc>
        <w:tc>
          <w:tcPr>
            <w:tcW w:w="1494" w:type="dxa"/>
            <w:hideMark/>
          </w:tcPr>
          <w:p w14:paraId="65B23D0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339,08</w:t>
            </w:r>
          </w:p>
        </w:tc>
        <w:tc>
          <w:tcPr>
            <w:tcW w:w="1665" w:type="dxa"/>
            <w:hideMark/>
          </w:tcPr>
          <w:p w14:paraId="01DB4D5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1.065,18</w:t>
            </w:r>
          </w:p>
        </w:tc>
        <w:tc>
          <w:tcPr>
            <w:tcW w:w="1494" w:type="dxa"/>
            <w:hideMark/>
          </w:tcPr>
          <w:p w14:paraId="5532033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1.375,89</w:t>
            </w:r>
          </w:p>
        </w:tc>
        <w:tc>
          <w:tcPr>
            <w:tcW w:w="1494" w:type="dxa"/>
            <w:hideMark/>
          </w:tcPr>
          <w:p w14:paraId="7AB2AA0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943,24</w:t>
            </w:r>
          </w:p>
        </w:tc>
        <w:tc>
          <w:tcPr>
            <w:tcW w:w="1494" w:type="dxa"/>
            <w:hideMark/>
          </w:tcPr>
          <w:p w14:paraId="3330C25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273,84</w:t>
            </w:r>
          </w:p>
        </w:tc>
        <w:tc>
          <w:tcPr>
            <w:tcW w:w="1495" w:type="dxa"/>
            <w:hideMark/>
          </w:tcPr>
          <w:p w14:paraId="709CD66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309,64</w:t>
            </w:r>
          </w:p>
        </w:tc>
      </w:tr>
      <w:tr w:rsidR="008A4178" w:rsidRPr="009772A3" w14:paraId="18E3FC82"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394B0E9"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A53C617"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8.Avansuri acordate curente</w:t>
            </w:r>
          </w:p>
        </w:tc>
        <w:tc>
          <w:tcPr>
            <w:tcW w:w="1494" w:type="dxa"/>
            <w:hideMark/>
          </w:tcPr>
          <w:p w14:paraId="5AE34C5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102.218,62</w:t>
            </w:r>
          </w:p>
        </w:tc>
        <w:tc>
          <w:tcPr>
            <w:tcW w:w="1665" w:type="dxa"/>
            <w:hideMark/>
          </w:tcPr>
          <w:p w14:paraId="5CF4028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79.724,76</w:t>
            </w:r>
          </w:p>
        </w:tc>
        <w:tc>
          <w:tcPr>
            <w:tcW w:w="1494" w:type="dxa"/>
            <w:hideMark/>
          </w:tcPr>
          <w:p w14:paraId="181241A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176.148,99</w:t>
            </w:r>
          </w:p>
        </w:tc>
        <w:tc>
          <w:tcPr>
            <w:tcW w:w="1494" w:type="dxa"/>
            <w:hideMark/>
          </w:tcPr>
          <w:p w14:paraId="0F6E3FA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242.137,97</w:t>
            </w:r>
          </w:p>
        </w:tc>
        <w:tc>
          <w:tcPr>
            <w:tcW w:w="1494" w:type="dxa"/>
            <w:hideMark/>
          </w:tcPr>
          <w:p w14:paraId="138C86D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111CCCA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5B88904E"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D5AD8E5"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13FC8F2"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III.Investiții financiare curente </w:t>
            </w:r>
            <w:r w:rsidRPr="009772A3">
              <w:rPr>
                <w:rFonts w:asciiTheme="majorHAnsi" w:eastAsia="Times New Roman" w:hAnsiTheme="majorHAnsi" w:cstheme="majorHAnsi"/>
                <w:i/>
                <w:iCs/>
                <w:sz w:val="18"/>
                <w:szCs w:val="18"/>
                <w:lang w:val="ro-MD"/>
              </w:rPr>
              <w:t xml:space="preserve"> (rd.380+rd.390)</w:t>
            </w:r>
          </w:p>
        </w:tc>
        <w:tc>
          <w:tcPr>
            <w:tcW w:w="1494" w:type="dxa"/>
            <w:hideMark/>
          </w:tcPr>
          <w:p w14:paraId="270CBA3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3.018,90</w:t>
            </w:r>
          </w:p>
        </w:tc>
        <w:tc>
          <w:tcPr>
            <w:tcW w:w="1665" w:type="dxa"/>
            <w:hideMark/>
          </w:tcPr>
          <w:p w14:paraId="2E50A2B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3.018,90</w:t>
            </w:r>
          </w:p>
        </w:tc>
        <w:tc>
          <w:tcPr>
            <w:tcW w:w="1494" w:type="dxa"/>
            <w:hideMark/>
          </w:tcPr>
          <w:p w14:paraId="667E9B3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216A12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930D97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5" w:type="dxa"/>
            <w:hideMark/>
          </w:tcPr>
          <w:p w14:paraId="4212851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2E216452"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114EF15"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B24BDF0"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1.Investiții financiare curente în părți neafiliate </w:t>
            </w:r>
          </w:p>
        </w:tc>
        <w:tc>
          <w:tcPr>
            <w:tcW w:w="1494" w:type="dxa"/>
            <w:hideMark/>
          </w:tcPr>
          <w:p w14:paraId="0B977AB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4D4B0F0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38D406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CEBE78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11F51B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5" w:type="dxa"/>
            <w:hideMark/>
          </w:tcPr>
          <w:p w14:paraId="198F6BA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147CF895"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2126D4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7F77F02"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2.Investiții financiare curente în părți afiliate </w:t>
            </w:r>
          </w:p>
        </w:tc>
        <w:tc>
          <w:tcPr>
            <w:tcW w:w="1494" w:type="dxa"/>
            <w:hideMark/>
          </w:tcPr>
          <w:p w14:paraId="5CD0425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3.018,90</w:t>
            </w:r>
          </w:p>
        </w:tc>
        <w:tc>
          <w:tcPr>
            <w:tcW w:w="1665" w:type="dxa"/>
            <w:hideMark/>
          </w:tcPr>
          <w:p w14:paraId="3C8F1DC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3.018,90</w:t>
            </w:r>
          </w:p>
        </w:tc>
        <w:tc>
          <w:tcPr>
            <w:tcW w:w="1494" w:type="dxa"/>
            <w:hideMark/>
          </w:tcPr>
          <w:p w14:paraId="5975A73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19CDFF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4A48F1A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5" w:type="dxa"/>
            <w:hideMark/>
          </w:tcPr>
          <w:p w14:paraId="6B6B753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35DB5097"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9591CC3"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0AB113E6"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IV.Numerar și documente bănești </w:t>
            </w:r>
            <w:r w:rsidRPr="009772A3">
              <w:rPr>
                <w:rFonts w:asciiTheme="majorHAnsi" w:eastAsia="Times New Roman" w:hAnsiTheme="majorHAnsi" w:cstheme="majorHAnsi"/>
                <w:i/>
                <w:iCs/>
                <w:sz w:val="18"/>
                <w:szCs w:val="18"/>
                <w:lang w:val="ro-MD"/>
              </w:rPr>
              <w:t>(rd.410)</w:t>
            </w:r>
          </w:p>
        </w:tc>
        <w:tc>
          <w:tcPr>
            <w:tcW w:w="1494" w:type="dxa"/>
            <w:hideMark/>
          </w:tcPr>
          <w:p w14:paraId="465514B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219.419,27</w:t>
            </w:r>
          </w:p>
        </w:tc>
        <w:tc>
          <w:tcPr>
            <w:tcW w:w="1665" w:type="dxa"/>
            <w:hideMark/>
          </w:tcPr>
          <w:p w14:paraId="490909E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1.253.672,93</w:t>
            </w:r>
          </w:p>
        </w:tc>
        <w:tc>
          <w:tcPr>
            <w:tcW w:w="1494" w:type="dxa"/>
            <w:hideMark/>
          </w:tcPr>
          <w:p w14:paraId="7ACE813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575.855,96</w:t>
            </w:r>
          </w:p>
        </w:tc>
        <w:tc>
          <w:tcPr>
            <w:tcW w:w="1494" w:type="dxa"/>
            <w:hideMark/>
          </w:tcPr>
          <w:p w14:paraId="5F401D0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75.562,71</w:t>
            </w:r>
          </w:p>
        </w:tc>
        <w:tc>
          <w:tcPr>
            <w:tcW w:w="1494" w:type="dxa"/>
            <w:hideMark/>
          </w:tcPr>
          <w:p w14:paraId="39A7888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265.592,03</w:t>
            </w:r>
          </w:p>
        </w:tc>
        <w:tc>
          <w:tcPr>
            <w:tcW w:w="1495" w:type="dxa"/>
            <w:hideMark/>
          </w:tcPr>
          <w:p w14:paraId="6B2CEF0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115.723,76</w:t>
            </w:r>
          </w:p>
        </w:tc>
      </w:tr>
      <w:tr w:rsidR="008A4178" w:rsidRPr="009772A3" w14:paraId="6DB1C6B3"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9AF715F"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A9D0C0D"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TOTAL ACTIVE CIRCULANTE</w:t>
            </w:r>
          </w:p>
        </w:tc>
        <w:tc>
          <w:tcPr>
            <w:tcW w:w="1494" w:type="dxa"/>
            <w:hideMark/>
          </w:tcPr>
          <w:p w14:paraId="15E40D9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7.006.421,51</w:t>
            </w:r>
          </w:p>
        </w:tc>
        <w:tc>
          <w:tcPr>
            <w:tcW w:w="1665" w:type="dxa"/>
            <w:hideMark/>
          </w:tcPr>
          <w:p w14:paraId="68EA1C8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7.676.574,01</w:t>
            </w:r>
          </w:p>
        </w:tc>
        <w:tc>
          <w:tcPr>
            <w:tcW w:w="1494" w:type="dxa"/>
            <w:hideMark/>
          </w:tcPr>
          <w:p w14:paraId="7855CD4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7.063.808,63</w:t>
            </w:r>
          </w:p>
        </w:tc>
        <w:tc>
          <w:tcPr>
            <w:tcW w:w="1494" w:type="dxa"/>
            <w:hideMark/>
          </w:tcPr>
          <w:p w14:paraId="0EB1BD6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5.993.032,12</w:t>
            </w:r>
          </w:p>
        </w:tc>
        <w:tc>
          <w:tcPr>
            <w:tcW w:w="1494" w:type="dxa"/>
            <w:hideMark/>
          </w:tcPr>
          <w:p w14:paraId="53BC7F6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5.253.922,60</w:t>
            </w:r>
          </w:p>
        </w:tc>
        <w:tc>
          <w:tcPr>
            <w:tcW w:w="1495" w:type="dxa"/>
            <w:hideMark/>
          </w:tcPr>
          <w:p w14:paraId="01712C0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4.426.213,42</w:t>
            </w:r>
          </w:p>
        </w:tc>
      </w:tr>
      <w:tr w:rsidR="008A4178" w:rsidRPr="009772A3" w14:paraId="216714C9"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noWrap/>
            <w:hideMark/>
          </w:tcPr>
          <w:p w14:paraId="5820C4E7" w14:textId="77777777" w:rsidR="008A4178" w:rsidRPr="009772A3" w:rsidRDefault="008A4178"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4708" w:type="dxa"/>
            <w:hideMark/>
          </w:tcPr>
          <w:p w14:paraId="7C2EAB4E"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TOTAL ACTIVE </w:t>
            </w:r>
            <w:r w:rsidRPr="009772A3">
              <w:rPr>
                <w:rFonts w:asciiTheme="majorHAnsi" w:eastAsia="Times New Roman" w:hAnsiTheme="majorHAnsi" w:cstheme="majorHAnsi"/>
                <w:i/>
                <w:iCs/>
                <w:sz w:val="18"/>
                <w:szCs w:val="18"/>
                <w:lang w:val="ro-MD"/>
              </w:rPr>
              <w:t>( rd.230+rd.420)</w:t>
            </w:r>
          </w:p>
        </w:tc>
        <w:tc>
          <w:tcPr>
            <w:tcW w:w="1494" w:type="dxa"/>
            <w:hideMark/>
          </w:tcPr>
          <w:p w14:paraId="256EC3E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12.030.081,35</w:t>
            </w:r>
          </w:p>
        </w:tc>
        <w:tc>
          <w:tcPr>
            <w:tcW w:w="1665" w:type="dxa"/>
            <w:hideMark/>
          </w:tcPr>
          <w:p w14:paraId="255F26D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12.771.273,24</w:t>
            </w:r>
          </w:p>
        </w:tc>
        <w:tc>
          <w:tcPr>
            <w:tcW w:w="1494" w:type="dxa"/>
            <w:hideMark/>
          </w:tcPr>
          <w:p w14:paraId="4E62452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12.380.200,02</w:t>
            </w:r>
          </w:p>
        </w:tc>
        <w:tc>
          <w:tcPr>
            <w:tcW w:w="1494" w:type="dxa"/>
            <w:hideMark/>
          </w:tcPr>
          <w:p w14:paraId="2B0489D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12.367.182,55</w:t>
            </w:r>
          </w:p>
        </w:tc>
        <w:tc>
          <w:tcPr>
            <w:tcW w:w="1494" w:type="dxa"/>
            <w:hideMark/>
          </w:tcPr>
          <w:p w14:paraId="6829DE2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11.484.482,54</w:t>
            </w:r>
          </w:p>
        </w:tc>
        <w:tc>
          <w:tcPr>
            <w:tcW w:w="1495" w:type="dxa"/>
            <w:hideMark/>
          </w:tcPr>
          <w:p w14:paraId="293CED4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11.577.731,91</w:t>
            </w:r>
          </w:p>
        </w:tc>
      </w:tr>
      <w:tr w:rsidR="008A4178" w:rsidRPr="009772A3" w14:paraId="44A9DDE4"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0A9516A6" w14:textId="77777777" w:rsidR="008A4178" w:rsidRPr="009772A3" w:rsidRDefault="008A4178"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C</w:t>
            </w:r>
          </w:p>
        </w:tc>
        <w:tc>
          <w:tcPr>
            <w:tcW w:w="4708" w:type="dxa"/>
            <w:hideMark/>
          </w:tcPr>
          <w:p w14:paraId="1492978E"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CAPITAL PROPRIU</w:t>
            </w:r>
          </w:p>
        </w:tc>
        <w:tc>
          <w:tcPr>
            <w:tcW w:w="1494" w:type="dxa"/>
            <w:hideMark/>
          </w:tcPr>
          <w:p w14:paraId="56CCCD5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(3 132 736 640)</w:t>
            </w:r>
          </w:p>
        </w:tc>
        <w:tc>
          <w:tcPr>
            <w:tcW w:w="1665" w:type="dxa"/>
            <w:hideMark/>
          </w:tcPr>
          <w:p w14:paraId="09EF847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(1 032 715 237)</w:t>
            </w:r>
          </w:p>
        </w:tc>
        <w:tc>
          <w:tcPr>
            <w:tcW w:w="1494" w:type="dxa"/>
            <w:hideMark/>
          </w:tcPr>
          <w:p w14:paraId="44BA741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(841 281 380)</w:t>
            </w:r>
          </w:p>
        </w:tc>
        <w:tc>
          <w:tcPr>
            <w:tcW w:w="1494" w:type="dxa"/>
            <w:hideMark/>
          </w:tcPr>
          <w:p w14:paraId="4005926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(819 739 708)</w:t>
            </w:r>
          </w:p>
        </w:tc>
        <w:tc>
          <w:tcPr>
            <w:tcW w:w="1494" w:type="dxa"/>
            <w:hideMark/>
          </w:tcPr>
          <w:p w14:paraId="30CDEAF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(1 497 201 510)</w:t>
            </w:r>
          </w:p>
        </w:tc>
        <w:tc>
          <w:tcPr>
            <w:tcW w:w="1495" w:type="dxa"/>
            <w:hideMark/>
          </w:tcPr>
          <w:p w14:paraId="66BB90A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(2 457 032 957)</w:t>
            </w:r>
          </w:p>
        </w:tc>
      </w:tr>
      <w:tr w:rsidR="008A4178" w:rsidRPr="009772A3" w14:paraId="33647841"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3B251A3"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AF2C3F1"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Capital social și neînregistrat </w:t>
            </w:r>
            <w:r w:rsidRPr="009772A3">
              <w:rPr>
                <w:rFonts w:asciiTheme="majorHAnsi" w:eastAsia="Times New Roman" w:hAnsiTheme="majorHAnsi" w:cstheme="majorHAnsi"/>
                <w:i/>
                <w:iCs/>
                <w:sz w:val="18"/>
                <w:szCs w:val="18"/>
                <w:lang w:val="ro-MD"/>
              </w:rPr>
              <w:t>(rd.440+rd.450+rd.460+rd.470+rd.480)</w:t>
            </w:r>
          </w:p>
        </w:tc>
        <w:tc>
          <w:tcPr>
            <w:tcW w:w="1494" w:type="dxa"/>
            <w:hideMark/>
          </w:tcPr>
          <w:p w14:paraId="3E53B35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1.430.416,93</w:t>
            </w:r>
          </w:p>
        </w:tc>
        <w:tc>
          <w:tcPr>
            <w:tcW w:w="1665" w:type="dxa"/>
            <w:hideMark/>
          </w:tcPr>
          <w:p w14:paraId="2C13F2B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1.430.416,93</w:t>
            </w:r>
          </w:p>
        </w:tc>
        <w:tc>
          <w:tcPr>
            <w:tcW w:w="1494" w:type="dxa"/>
            <w:hideMark/>
          </w:tcPr>
          <w:p w14:paraId="14521AD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1.430.416,93</w:t>
            </w:r>
          </w:p>
        </w:tc>
        <w:tc>
          <w:tcPr>
            <w:tcW w:w="1494" w:type="dxa"/>
            <w:hideMark/>
          </w:tcPr>
          <w:p w14:paraId="2CDD4A5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1.430.416,93</w:t>
            </w:r>
          </w:p>
        </w:tc>
        <w:tc>
          <w:tcPr>
            <w:tcW w:w="1494" w:type="dxa"/>
            <w:hideMark/>
          </w:tcPr>
          <w:p w14:paraId="407A562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1.332.672,30</w:t>
            </w:r>
          </w:p>
        </w:tc>
        <w:tc>
          <w:tcPr>
            <w:tcW w:w="1495" w:type="dxa"/>
            <w:hideMark/>
          </w:tcPr>
          <w:p w14:paraId="30471E5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1.332.672,30</w:t>
            </w:r>
          </w:p>
        </w:tc>
      </w:tr>
      <w:tr w:rsidR="008A4178" w:rsidRPr="009772A3" w14:paraId="6EF2B257"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0661E5F"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8A7E44C"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1.Capital social </w:t>
            </w:r>
          </w:p>
        </w:tc>
        <w:tc>
          <w:tcPr>
            <w:tcW w:w="1494" w:type="dxa"/>
            <w:hideMark/>
          </w:tcPr>
          <w:p w14:paraId="3BEE23E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1.430.416,93</w:t>
            </w:r>
          </w:p>
        </w:tc>
        <w:tc>
          <w:tcPr>
            <w:tcW w:w="1665" w:type="dxa"/>
            <w:hideMark/>
          </w:tcPr>
          <w:p w14:paraId="39E35AA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1.430.416,93</w:t>
            </w:r>
          </w:p>
        </w:tc>
        <w:tc>
          <w:tcPr>
            <w:tcW w:w="1494" w:type="dxa"/>
            <w:hideMark/>
          </w:tcPr>
          <w:p w14:paraId="6218E84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1.430.416,93</w:t>
            </w:r>
          </w:p>
        </w:tc>
        <w:tc>
          <w:tcPr>
            <w:tcW w:w="1494" w:type="dxa"/>
            <w:hideMark/>
          </w:tcPr>
          <w:p w14:paraId="70937CB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1.430.416,93</w:t>
            </w:r>
          </w:p>
        </w:tc>
        <w:tc>
          <w:tcPr>
            <w:tcW w:w="1494" w:type="dxa"/>
            <w:hideMark/>
          </w:tcPr>
          <w:p w14:paraId="6524C75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1.332.908,00</w:t>
            </w:r>
          </w:p>
        </w:tc>
        <w:tc>
          <w:tcPr>
            <w:tcW w:w="1495" w:type="dxa"/>
            <w:hideMark/>
          </w:tcPr>
          <w:p w14:paraId="4F00DB8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1.332.908,00</w:t>
            </w:r>
          </w:p>
        </w:tc>
      </w:tr>
      <w:tr w:rsidR="008A4178" w:rsidRPr="009772A3" w14:paraId="00F61EDD"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FB0ADD0"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808E84A"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2.Capital nevărsat</w:t>
            </w:r>
          </w:p>
        </w:tc>
        <w:tc>
          <w:tcPr>
            <w:tcW w:w="1494" w:type="dxa"/>
            <w:hideMark/>
          </w:tcPr>
          <w:p w14:paraId="38C4561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5F27B02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09ED04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7A8AEB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D42D56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6800C79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2EF06245"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D0AB56F"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EDF6986"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3.Capital neînregistrat</w:t>
            </w:r>
          </w:p>
        </w:tc>
        <w:tc>
          <w:tcPr>
            <w:tcW w:w="1494" w:type="dxa"/>
            <w:hideMark/>
          </w:tcPr>
          <w:p w14:paraId="7BE004F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5C2C001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F0BD28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397BDD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F5B8BB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460AFF4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5354243C"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6F6C73C"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4461E4A"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4.Capital retras</w:t>
            </w:r>
          </w:p>
        </w:tc>
        <w:tc>
          <w:tcPr>
            <w:tcW w:w="1494" w:type="dxa"/>
            <w:hideMark/>
          </w:tcPr>
          <w:p w14:paraId="2104E06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5321183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7AA150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2F55F6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A58915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(235 700)</w:t>
            </w:r>
          </w:p>
        </w:tc>
        <w:tc>
          <w:tcPr>
            <w:tcW w:w="1495" w:type="dxa"/>
            <w:hideMark/>
          </w:tcPr>
          <w:p w14:paraId="62CC513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(235 700)</w:t>
            </w:r>
          </w:p>
        </w:tc>
      </w:tr>
      <w:tr w:rsidR="008A4178" w:rsidRPr="009772A3" w14:paraId="17599E9E"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DFF04A9"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B62B2B2"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5.Patrimoniul primit de la stat cu drept de proprietate</w:t>
            </w:r>
          </w:p>
        </w:tc>
        <w:tc>
          <w:tcPr>
            <w:tcW w:w="1494" w:type="dxa"/>
            <w:hideMark/>
          </w:tcPr>
          <w:p w14:paraId="346E0E5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7D28D18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1FA410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89D19B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5DF10E9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03CAD4F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32FF5B71"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426C96B"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F0A0CA6"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II. Prime de capital </w:t>
            </w:r>
            <w:r w:rsidRPr="009772A3">
              <w:rPr>
                <w:rFonts w:asciiTheme="majorHAnsi" w:eastAsia="Times New Roman" w:hAnsiTheme="majorHAnsi" w:cstheme="majorHAnsi"/>
                <w:i/>
                <w:iCs/>
                <w:sz w:val="18"/>
                <w:szCs w:val="18"/>
                <w:lang w:val="ro-MD"/>
              </w:rPr>
              <w:t>(rd.500)</w:t>
            </w:r>
          </w:p>
        </w:tc>
        <w:tc>
          <w:tcPr>
            <w:tcW w:w="1494" w:type="dxa"/>
            <w:hideMark/>
          </w:tcPr>
          <w:p w14:paraId="7F94230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7110C4D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2B5D664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4" w:type="dxa"/>
            <w:hideMark/>
          </w:tcPr>
          <w:p w14:paraId="3929350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4" w:type="dxa"/>
            <w:hideMark/>
          </w:tcPr>
          <w:p w14:paraId="7CE3AD0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97.744,63</w:t>
            </w:r>
          </w:p>
        </w:tc>
        <w:tc>
          <w:tcPr>
            <w:tcW w:w="1495" w:type="dxa"/>
            <w:hideMark/>
          </w:tcPr>
          <w:p w14:paraId="45719F7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97.744,63</w:t>
            </w:r>
          </w:p>
        </w:tc>
      </w:tr>
      <w:tr w:rsidR="008A4178" w:rsidRPr="009772A3" w14:paraId="698E7FE4"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963D545"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5F97C06"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III.Rezerve </w:t>
            </w:r>
            <w:r w:rsidRPr="009772A3">
              <w:rPr>
                <w:rFonts w:asciiTheme="majorHAnsi" w:eastAsia="Times New Roman" w:hAnsiTheme="majorHAnsi" w:cstheme="majorHAnsi"/>
                <w:i/>
                <w:iCs/>
                <w:sz w:val="18"/>
                <w:szCs w:val="18"/>
                <w:lang w:val="ro-MD"/>
              </w:rPr>
              <w:t>(rd.540)</w:t>
            </w:r>
          </w:p>
        </w:tc>
        <w:tc>
          <w:tcPr>
            <w:tcW w:w="1494" w:type="dxa"/>
            <w:hideMark/>
          </w:tcPr>
          <w:p w14:paraId="5F17E8B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33479BF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13.118,32</w:t>
            </w:r>
          </w:p>
        </w:tc>
        <w:tc>
          <w:tcPr>
            <w:tcW w:w="1494" w:type="dxa"/>
            <w:hideMark/>
          </w:tcPr>
          <w:p w14:paraId="5D36D9E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109.422,34</w:t>
            </w:r>
          </w:p>
        </w:tc>
        <w:tc>
          <w:tcPr>
            <w:tcW w:w="1494" w:type="dxa"/>
            <w:hideMark/>
          </w:tcPr>
          <w:p w14:paraId="1C531D5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118.996,96</w:t>
            </w:r>
          </w:p>
        </w:tc>
        <w:tc>
          <w:tcPr>
            <w:tcW w:w="1494" w:type="dxa"/>
            <w:hideMark/>
          </w:tcPr>
          <w:p w14:paraId="3B9A181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120.116,00</w:t>
            </w:r>
          </w:p>
        </w:tc>
        <w:tc>
          <w:tcPr>
            <w:tcW w:w="1495" w:type="dxa"/>
            <w:hideMark/>
          </w:tcPr>
          <w:p w14:paraId="219B9AC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120.116,00</w:t>
            </w:r>
          </w:p>
        </w:tc>
      </w:tr>
      <w:tr w:rsidR="008A4178" w:rsidRPr="009772A3" w14:paraId="4F0C4FB0"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ACD2A5E"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BDF1823"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IV.Profit(pierdere) </w:t>
            </w:r>
            <w:r w:rsidRPr="009772A3">
              <w:rPr>
                <w:rFonts w:asciiTheme="majorHAnsi" w:eastAsia="Times New Roman" w:hAnsiTheme="majorHAnsi" w:cstheme="majorHAnsi"/>
                <w:i/>
                <w:iCs/>
                <w:sz w:val="18"/>
                <w:szCs w:val="18"/>
                <w:lang w:val="ro-MD"/>
              </w:rPr>
              <w:t>(rd.550+rd.560+rd.570+rd.580)</w:t>
            </w:r>
          </w:p>
        </w:tc>
        <w:tc>
          <w:tcPr>
            <w:tcW w:w="1494" w:type="dxa"/>
            <w:hideMark/>
          </w:tcPr>
          <w:p w14:paraId="48ADD53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(4 563 505 306)</w:t>
            </w:r>
          </w:p>
        </w:tc>
        <w:tc>
          <w:tcPr>
            <w:tcW w:w="1665" w:type="dxa"/>
            <w:hideMark/>
          </w:tcPr>
          <w:p w14:paraId="4FD8E13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( 2 476 569 316)</w:t>
            </w:r>
          </w:p>
        </w:tc>
        <w:tc>
          <w:tcPr>
            <w:tcW w:w="1494" w:type="dxa"/>
            <w:hideMark/>
          </w:tcPr>
          <w:p w14:paraId="4E45C79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(2 381 386 174)</w:t>
            </w:r>
          </w:p>
        </w:tc>
        <w:tc>
          <w:tcPr>
            <w:tcW w:w="1494" w:type="dxa"/>
            <w:hideMark/>
          </w:tcPr>
          <w:p w14:paraId="6606AAF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(2 369 272 997)</w:t>
            </w:r>
          </w:p>
        </w:tc>
        <w:tc>
          <w:tcPr>
            <w:tcW w:w="1494" w:type="dxa"/>
            <w:hideMark/>
          </w:tcPr>
          <w:p w14:paraId="28D8DD8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(3 047 852 662)</w:t>
            </w:r>
          </w:p>
        </w:tc>
        <w:tc>
          <w:tcPr>
            <w:tcW w:w="1495" w:type="dxa"/>
            <w:hideMark/>
          </w:tcPr>
          <w:p w14:paraId="22B684A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(4 007 645 110)</w:t>
            </w:r>
          </w:p>
        </w:tc>
      </w:tr>
      <w:tr w:rsidR="008A4178" w:rsidRPr="009772A3" w14:paraId="10460623"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659FC4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5306531"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1.Corecții ale rezultatelor anilor precedenți </w:t>
            </w:r>
          </w:p>
        </w:tc>
        <w:tc>
          <w:tcPr>
            <w:tcW w:w="1494" w:type="dxa"/>
            <w:hideMark/>
          </w:tcPr>
          <w:p w14:paraId="0CA6FF7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743,64</w:t>
            </w:r>
          </w:p>
        </w:tc>
        <w:tc>
          <w:tcPr>
            <w:tcW w:w="1665" w:type="dxa"/>
            <w:hideMark/>
          </w:tcPr>
          <w:p w14:paraId="7DA42D7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173.973,84</w:t>
            </w:r>
          </w:p>
        </w:tc>
        <w:tc>
          <w:tcPr>
            <w:tcW w:w="1494" w:type="dxa"/>
            <w:hideMark/>
          </w:tcPr>
          <w:p w14:paraId="1E70D38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(5 122)</w:t>
            </w:r>
          </w:p>
        </w:tc>
        <w:tc>
          <w:tcPr>
            <w:tcW w:w="1494" w:type="dxa"/>
            <w:hideMark/>
          </w:tcPr>
          <w:p w14:paraId="6970670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(692 992)</w:t>
            </w:r>
          </w:p>
        </w:tc>
        <w:tc>
          <w:tcPr>
            <w:tcW w:w="1494" w:type="dxa"/>
            <w:hideMark/>
          </w:tcPr>
          <w:p w14:paraId="182CF76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(617 061)</w:t>
            </w:r>
          </w:p>
        </w:tc>
        <w:tc>
          <w:tcPr>
            <w:tcW w:w="1495" w:type="dxa"/>
            <w:hideMark/>
          </w:tcPr>
          <w:p w14:paraId="101BA99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(768 989 518)</w:t>
            </w:r>
          </w:p>
        </w:tc>
      </w:tr>
      <w:tr w:rsidR="008A4178" w:rsidRPr="009772A3" w14:paraId="7CA8FE79"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9661EFD"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0DBFCB8C"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2.Profin nerepartizat (pierdere neacoperită) al anilor precedenți</w:t>
            </w:r>
          </w:p>
        </w:tc>
        <w:tc>
          <w:tcPr>
            <w:tcW w:w="1494" w:type="dxa"/>
            <w:hideMark/>
          </w:tcPr>
          <w:p w14:paraId="11F06219"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( 4 826 615 331)</w:t>
            </w:r>
          </w:p>
        </w:tc>
        <w:tc>
          <w:tcPr>
            <w:tcW w:w="1665" w:type="dxa"/>
            <w:hideMark/>
          </w:tcPr>
          <w:p w14:paraId="4DF0215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(4 576 623 624)</w:t>
            </w:r>
          </w:p>
        </w:tc>
        <w:tc>
          <w:tcPr>
            <w:tcW w:w="1494" w:type="dxa"/>
            <w:hideMark/>
          </w:tcPr>
          <w:p w14:paraId="103AD7C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(2 572 873 339)</w:t>
            </w:r>
          </w:p>
        </w:tc>
        <w:tc>
          <w:tcPr>
            <w:tcW w:w="1494" w:type="dxa"/>
            <w:hideMark/>
          </w:tcPr>
          <w:p w14:paraId="3C758FD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(2 390 960 788)</w:t>
            </w:r>
          </w:p>
        </w:tc>
        <w:tc>
          <w:tcPr>
            <w:tcW w:w="1494" w:type="dxa"/>
            <w:hideMark/>
          </w:tcPr>
          <w:p w14:paraId="051CFA9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(2 370 390 859)</w:t>
            </w:r>
          </w:p>
        </w:tc>
        <w:tc>
          <w:tcPr>
            <w:tcW w:w="1495" w:type="dxa"/>
            <w:hideMark/>
          </w:tcPr>
          <w:p w14:paraId="43C521A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(3 047 813 663)</w:t>
            </w:r>
          </w:p>
        </w:tc>
      </w:tr>
      <w:tr w:rsidR="008A4178" w:rsidRPr="009772A3" w14:paraId="1B293856"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A375CFE"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8F771FD"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3.Profit net(pierdere netă) a perioadei de gestiune</w:t>
            </w:r>
          </w:p>
        </w:tc>
        <w:tc>
          <w:tcPr>
            <w:tcW w:w="1494" w:type="dxa"/>
            <w:hideMark/>
          </w:tcPr>
          <w:p w14:paraId="07DCB82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262.366,38</w:t>
            </w:r>
          </w:p>
        </w:tc>
        <w:tc>
          <w:tcPr>
            <w:tcW w:w="1665" w:type="dxa"/>
            <w:hideMark/>
          </w:tcPr>
          <w:p w14:paraId="399251D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1.926.080,47</w:t>
            </w:r>
          </w:p>
        </w:tc>
        <w:tc>
          <w:tcPr>
            <w:tcW w:w="1494" w:type="dxa"/>
            <w:hideMark/>
          </w:tcPr>
          <w:p w14:paraId="3D5A877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191.492,29</w:t>
            </w:r>
          </w:p>
        </w:tc>
        <w:tc>
          <w:tcPr>
            <w:tcW w:w="1494" w:type="dxa"/>
            <w:hideMark/>
          </w:tcPr>
          <w:p w14:paraId="550C8CD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22.380,78</w:t>
            </w:r>
          </w:p>
        </w:tc>
        <w:tc>
          <w:tcPr>
            <w:tcW w:w="1494" w:type="dxa"/>
            <w:hideMark/>
          </w:tcPr>
          <w:p w14:paraId="5D840A6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(676 844 742)</w:t>
            </w:r>
          </w:p>
        </w:tc>
        <w:tc>
          <w:tcPr>
            <w:tcW w:w="1495" w:type="dxa"/>
            <w:hideMark/>
          </w:tcPr>
          <w:p w14:paraId="2D907D7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(190 841 929)</w:t>
            </w:r>
          </w:p>
        </w:tc>
      </w:tr>
      <w:tr w:rsidR="008A4178" w:rsidRPr="009772A3" w14:paraId="4D1E9942"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762FE61"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BC59F7C"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4.Profit utilizat al perioadei de gestiune</w:t>
            </w:r>
          </w:p>
        </w:tc>
        <w:tc>
          <w:tcPr>
            <w:tcW w:w="1494" w:type="dxa"/>
            <w:hideMark/>
          </w:tcPr>
          <w:p w14:paraId="7784467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28911F9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2750F1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3FD194A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641226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5" w:type="dxa"/>
            <w:hideMark/>
          </w:tcPr>
          <w:p w14:paraId="6BD107A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40D6FB27"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9EA56DD"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E13269E"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Rezerve din reevaluare</w:t>
            </w:r>
            <w:r w:rsidRPr="009772A3">
              <w:rPr>
                <w:rFonts w:asciiTheme="majorHAnsi" w:eastAsia="Times New Roman" w:hAnsiTheme="majorHAnsi" w:cstheme="majorHAnsi"/>
                <w:i/>
                <w:iCs/>
                <w:sz w:val="18"/>
                <w:szCs w:val="18"/>
                <w:lang w:val="ro-MD"/>
              </w:rPr>
              <w:t xml:space="preserve"> (rd.600)</w:t>
            </w:r>
          </w:p>
        </w:tc>
        <w:tc>
          <w:tcPr>
            <w:tcW w:w="1494" w:type="dxa"/>
            <w:hideMark/>
          </w:tcPr>
          <w:p w14:paraId="5FBD361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78D00CA1"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081704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60BC398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4" w:type="dxa"/>
            <w:hideMark/>
          </w:tcPr>
          <w:p w14:paraId="2FF756D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w:t>
            </w:r>
          </w:p>
        </w:tc>
        <w:tc>
          <w:tcPr>
            <w:tcW w:w="1495" w:type="dxa"/>
            <w:hideMark/>
          </w:tcPr>
          <w:p w14:paraId="3ECC5B4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79,23</w:t>
            </w:r>
          </w:p>
        </w:tc>
      </w:tr>
      <w:tr w:rsidR="008A4178" w:rsidRPr="009772A3" w14:paraId="6C425101"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26DD5C5"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AAEAECD"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VI.Alte elemente de capital propriu </w:t>
            </w:r>
            <w:r w:rsidRPr="009772A3">
              <w:rPr>
                <w:rFonts w:asciiTheme="majorHAnsi" w:eastAsia="Times New Roman" w:hAnsiTheme="majorHAnsi" w:cstheme="majorHAnsi"/>
                <w:sz w:val="18"/>
                <w:szCs w:val="18"/>
                <w:lang w:val="ro-MD"/>
              </w:rPr>
              <w:t>(rd.610)</w:t>
            </w:r>
          </w:p>
        </w:tc>
        <w:tc>
          <w:tcPr>
            <w:tcW w:w="1494" w:type="dxa"/>
            <w:hideMark/>
          </w:tcPr>
          <w:p w14:paraId="3A74A5D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351,74</w:t>
            </w:r>
          </w:p>
        </w:tc>
        <w:tc>
          <w:tcPr>
            <w:tcW w:w="1665" w:type="dxa"/>
            <w:hideMark/>
          </w:tcPr>
          <w:p w14:paraId="280B323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318,83</w:t>
            </w:r>
          </w:p>
        </w:tc>
        <w:tc>
          <w:tcPr>
            <w:tcW w:w="1494" w:type="dxa"/>
            <w:hideMark/>
          </w:tcPr>
          <w:p w14:paraId="50929DF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265,52</w:t>
            </w:r>
          </w:p>
        </w:tc>
        <w:tc>
          <w:tcPr>
            <w:tcW w:w="1494" w:type="dxa"/>
            <w:hideMark/>
          </w:tcPr>
          <w:p w14:paraId="23C387E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119,40</w:t>
            </w:r>
          </w:p>
        </w:tc>
        <w:tc>
          <w:tcPr>
            <w:tcW w:w="1494" w:type="dxa"/>
            <w:hideMark/>
          </w:tcPr>
          <w:p w14:paraId="1F410A4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118,23</w:t>
            </w:r>
          </w:p>
        </w:tc>
        <w:tc>
          <w:tcPr>
            <w:tcW w:w="1495" w:type="dxa"/>
            <w:hideMark/>
          </w:tcPr>
          <w:p w14:paraId="1D33EE1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2FA6394C"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noWrap/>
            <w:hideMark/>
          </w:tcPr>
          <w:p w14:paraId="472A9357" w14:textId="77777777" w:rsidR="008A4178" w:rsidRPr="009772A3" w:rsidRDefault="008A4178"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D</w:t>
            </w:r>
          </w:p>
        </w:tc>
        <w:tc>
          <w:tcPr>
            <w:tcW w:w="4708" w:type="dxa"/>
            <w:hideMark/>
          </w:tcPr>
          <w:p w14:paraId="476353BC"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Datorii comerciale pe termen lung </w:t>
            </w:r>
            <w:r w:rsidRPr="009772A3">
              <w:rPr>
                <w:rFonts w:asciiTheme="majorHAnsi" w:eastAsia="Times New Roman" w:hAnsiTheme="majorHAnsi" w:cstheme="majorHAnsi"/>
                <w:i/>
                <w:iCs/>
                <w:sz w:val="18"/>
                <w:szCs w:val="18"/>
                <w:lang w:val="ro-MD"/>
              </w:rPr>
              <w:t>(rd.700)</w:t>
            </w:r>
          </w:p>
        </w:tc>
        <w:tc>
          <w:tcPr>
            <w:tcW w:w="1494" w:type="dxa"/>
            <w:hideMark/>
          </w:tcPr>
          <w:p w14:paraId="4890390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5FE974D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4.587,92</w:t>
            </w:r>
          </w:p>
        </w:tc>
        <w:tc>
          <w:tcPr>
            <w:tcW w:w="1494" w:type="dxa"/>
            <w:hideMark/>
          </w:tcPr>
          <w:p w14:paraId="1A3398F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1.999,70</w:t>
            </w:r>
          </w:p>
        </w:tc>
        <w:tc>
          <w:tcPr>
            <w:tcW w:w="1494" w:type="dxa"/>
            <w:hideMark/>
          </w:tcPr>
          <w:p w14:paraId="4880458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1.527,22</w:t>
            </w:r>
          </w:p>
        </w:tc>
        <w:tc>
          <w:tcPr>
            <w:tcW w:w="1494" w:type="dxa"/>
            <w:hideMark/>
          </w:tcPr>
          <w:p w14:paraId="7BF800F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1.373,18</w:t>
            </w:r>
          </w:p>
        </w:tc>
        <w:tc>
          <w:tcPr>
            <w:tcW w:w="1495" w:type="dxa"/>
            <w:hideMark/>
          </w:tcPr>
          <w:p w14:paraId="74490087"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648,05</w:t>
            </w:r>
          </w:p>
        </w:tc>
      </w:tr>
      <w:tr w:rsidR="008A4178" w:rsidRPr="009772A3" w14:paraId="1B75CBE1"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16F0F500" w14:textId="77777777" w:rsidR="008A4178" w:rsidRPr="009772A3" w:rsidRDefault="008A4178"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E</w:t>
            </w:r>
          </w:p>
        </w:tc>
        <w:tc>
          <w:tcPr>
            <w:tcW w:w="4708" w:type="dxa"/>
            <w:hideMark/>
          </w:tcPr>
          <w:p w14:paraId="34F3B30E"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Datorii curente </w:t>
            </w:r>
            <w:r w:rsidRPr="009772A3">
              <w:rPr>
                <w:rFonts w:asciiTheme="majorHAnsi" w:eastAsia="Times New Roman" w:hAnsiTheme="majorHAnsi" w:cstheme="majorHAnsi"/>
                <w:i/>
                <w:iCs/>
                <w:sz w:val="18"/>
                <w:szCs w:val="18"/>
                <w:lang w:val="ro-MD"/>
              </w:rPr>
              <w:t>(rd.820)</w:t>
            </w:r>
          </w:p>
        </w:tc>
        <w:tc>
          <w:tcPr>
            <w:tcW w:w="1494" w:type="dxa"/>
            <w:hideMark/>
          </w:tcPr>
          <w:p w14:paraId="0428E07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15.162.817,99</w:t>
            </w:r>
          </w:p>
        </w:tc>
        <w:tc>
          <w:tcPr>
            <w:tcW w:w="1665" w:type="dxa"/>
            <w:hideMark/>
          </w:tcPr>
          <w:p w14:paraId="2F3776BE"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13.799.400,56</w:t>
            </w:r>
          </w:p>
        </w:tc>
        <w:tc>
          <w:tcPr>
            <w:tcW w:w="1494" w:type="dxa"/>
            <w:hideMark/>
          </w:tcPr>
          <w:p w14:paraId="7DD31E2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13.219.481,71</w:t>
            </w:r>
          </w:p>
        </w:tc>
        <w:tc>
          <w:tcPr>
            <w:tcW w:w="1494" w:type="dxa"/>
            <w:hideMark/>
          </w:tcPr>
          <w:p w14:paraId="2737C04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13.185.395,04</w:t>
            </w:r>
          </w:p>
        </w:tc>
        <w:tc>
          <w:tcPr>
            <w:tcW w:w="1494" w:type="dxa"/>
            <w:hideMark/>
          </w:tcPr>
          <w:p w14:paraId="20D8AAB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12.687.910,04</w:t>
            </w:r>
          </w:p>
        </w:tc>
        <w:tc>
          <w:tcPr>
            <w:tcW w:w="1495" w:type="dxa"/>
            <w:hideMark/>
          </w:tcPr>
          <w:p w14:paraId="331A853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14.017.839,32</w:t>
            </w:r>
          </w:p>
        </w:tc>
      </w:tr>
      <w:tr w:rsidR="008A4178" w:rsidRPr="009772A3" w14:paraId="488989BF"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11B26FF"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9B3B736"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1.Datorii comerciale curente</w:t>
            </w:r>
          </w:p>
        </w:tc>
        <w:tc>
          <w:tcPr>
            <w:tcW w:w="1494" w:type="dxa"/>
            <w:hideMark/>
          </w:tcPr>
          <w:p w14:paraId="5E8883C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404,07</w:t>
            </w:r>
          </w:p>
        </w:tc>
        <w:tc>
          <w:tcPr>
            <w:tcW w:w="1665" w:type="dxa"/>
            <w:hideMark/>
          </w:tcPr>
          <w:p w14:paraId="36338DF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15.540,47</w:t>
            </w:r>
          </w:p>
        </w:tc>
        <w:tc>
          <w:tcPr>
            <w:tcW w:w="1494" w:type="dxa"/>
            <w:hideMark/>
          </w:tcPr>
          <w:p w14:paraId="72D9B9B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2.947,56</w:t>
            </w:r>
          </w:p>
        </w:tc>
        <w:tc>
          <w:tcPr>
            <w:tcW w:w="1494" w:type="dxa"/>
            <w:hideMark/>
          </w:tcPr>
          <w:p w14:paraId="25B730F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958,43</w:t>
            </w:r>
          </w:p>
        </w:tc>
        <w:tc>
          <w:tcPr>
            <w:tcW w:w="1494" w:type="dxa"/>
            <w:hideMark/>
          </w:tcPr>
          <w:p w14:paraId="7FDD910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1.030,06</w:t>
            </w:r>
          </w:p>
        </w:tc>
        <w:tc>
          <w:tcPr>
            <w:tcW w:w="1495" w:type="dxa"/>
            <w:hideMark/>
          </w:tcPr>
          <w:p w14:paraId="72127118"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184.326,61</w:t>
            </w:r>
          </w:p>
        </w:tc>
      </w:tr>
      <w:tr w:rsidR="008A4178" w:rsidRPr="009772A3" w14:paraId="3C11DFBC"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F76511B"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59126827"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2.Datorii față de părțile afiliate curente</w:t>
            </w:r>
          </w:p>
        </w:tc>
        <w:tc>
          <w:tcPr>
            <w:tcW w:w="1494" w:type="dxa"/>
            <w:hideMark/>
          </w:tcPr>
          <w:p w14:paraId="323276D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11.857.839,91</w:t>
            </w:r>
          </w:p>
        </w:tc>
        <w:tc>
          <w:tcPr>
            <w:tcW w:w="1665" w:type="dxa"/>
            <w:hideMark/>
          </w:tcPr>
          <w:p w14:paraId="5506B5D4"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9.805.248,38</w:t>
            </w:r>
          </w:p>
        </w:tc>
        <w:tc>
          <w:tcPr>
            <w:tcW w:w="1494" w:type="dxa"/>
            <w:hideMark/>
          </w:tcPr>
          <w:p w14:paraId="7D7A730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9.979.149,93</w:t>
            </w:r>
          </w:p>
        </w:tc>
        <w:tc>
          <w:tcPr>
            <w:tcW w:w="1494" w:type="dxa"/>
            <w:hideMark/>
          </w:tcPr>
          <w:p w14:paraId="5D9C051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10.121.510,19</w:t>
            </w:r>
          </w:p>
        </w:tc>
        <w:tc>
          <w:tcPr>
            <w:tcW w:w="1494" w:type="dxa"/>
            <w:hideMark/>
          </w:tcPr>
          <w:p w14:paraId="457D62FC"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9.946.414,76</w:t>
            </w:r>
          </w:p>
        </w:tc>
        <w:tc>
          <w:tcPr>
            <w:tcW w:w="1495" w:type="dxa"/>
            <w:hideMark/>
          </w:tcPr>
          <w:p w14:paraId="764B268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10.915.900,27</w:t>
            </w:r>
          </w:p>
        </w:tc>
      </w:tr>
      <w:tr w:rsidR="008A4178" w:rsidRPr="009772A3" w14:paraId="20555599"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4C10F48"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4D740AC8"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3.Avansuri primite curente</w:t>
            </w:r>
          </w:p>
        </w:tc>
        <w:tc>
          <w:tcPr>
            <w:tcW w:w="1494" w:type="dxa"/>
            <w:hideMark/>
          </w:tcPr>
          <w:p w14:paraId="77CE7B6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10.251,18</w:t>
            </w:r>
          </w:p>
        </w:tc>
        <w:tc>
          <w:tcPr>
            <w:tcW w:w="1665" w:type="dxa"/>
            <w:hideMark/>
          </w:tcPr>
          <w:p w14:paraId="476071E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18.122,99</w:t>
            </w:r>
          </w:p>
        </w:tc>
        <w:tc>
          <w:tcPr>
            <w:tcW w:w="1494" w:type="dxa"/>
            <w:hideMark/>
          </w:tcPr>
          <w:p w14:paraId="59FED5A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19.240,07</w:t>
            </w:r>
          </w:p>
        </w:tc>
        <w:tc>
          <w:tcPr>
            <w:tcW w:w="1494" w:type="dxa"/>
            <w:hideMark/>
          </w:tcPr>
          <w:p w14:paraId="20584C7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23.492,97</w:t>
            </w:r>
          </w:p>
        </w:tc>
        <w:tc>
          <w:tcPr>
            <w:tcW w:w="1494" w:type="dxa"/>
            <w:hideMark/>
          </w:tcPr>
          <w:p w14:paraId="767ABD1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21.875,66</w:t>
            </w:r>
          </w:p>
        </w:tc>
        <w:tc>
          <w:tcPr>
            <w:tcW w:w="1495" w:type="dxa"/>
            <w:hideMark/>
          </w:tcPr>
          <w:p w14:paraId="5DB5BE6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20.935,71</w:t>
            </w:r>
          </w:p>
        </w:tc>
      </w:tr>
      <w:tr w:rsidR="008A4178" w:rsidRPr="009772A3" w14:paraId="781D41B9"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4C19791"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11E04602"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4.Datorii față de personal</w:t>
            </w:r>
          </w:p>
        </w:tc>
        <w:tc>
          <w:tcPr>
            <w:tcW w:w="1494" w:type="dxa"/>
            <w:hideMark/>
          </w:tcPr>
          <w:p w14:paraId="63EA744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4.613,35</w:t>
            </w:r>
          </w:p>
        </w:tc>
        <w:tc>
          <w:tcPr>
            <w:tcW w:w="1665" w:type="dxa"/>
            <w:hideMark/>
          </w:tcPr>
          <w:p w14:paraId="347B681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5.523,18</w:t>
            </w:r>
          </w:p>
        </w:tc>
        <w:tc>
          <w:tcPr>
            <w:tcW w:w="1494" w:type="dxa"/>
            <w:hideMark/>
          </w:tcPr>
          <w:p w14:paraId="7D54F8D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4.797,56</w:t>
            </w:r>
          </w:p>
        </w:tc>
        <w:tc>
          <w:tcPr>
            <w:tcW w:w="1494" w:type="dxa"/>
            <w:hideMark/>
          </w:tcPr>
          <w:p w14:paraId="3FDB630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5.670,39</w:t>
            </w:r>
          </w:p>
        </w:tc>
        <w:tc>
          <w:tcPr>
            <w:tcW w:w="1494" w:type="dxa"/>
            <w:hideMark/>
          </w:tcPr>
          <w:p w14:paraId="5E73581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5.603,94</w:t>
            </w:r>
          </w:p>
        </w:tc>
        <w:tc>
          <w:tcPr>
            <w:tcW w:w="1495" w:type="dxa"/>
            <w:hideMark/>
          </w:tcPr>
          <w:p w14:paraId="0A08367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5.657,99</w:t>
            </w:r>
          </w:p>
        </w:tc>
      </w:tr>
      <w:tr w:rsidR="008A4178" w:rsidRPr="009772A3" w14:paraId="40A0200C"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56F4AA6"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698F8045"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5.Datorii privind asigurările sociale și medicale</w:t>
            </w:r>
          </w:p>
        </w:tc>
        <w:tc>
          <w:tcPr>
            <w:tcW w:w="1494" w:type="dxa"/>
            <w:hideMark/>
          </w:tcPr>
          <w:p w14:paraId="4138B93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1.518,34</w:t>
            </w:r>
          </w:p>
        </w:tc>
        <w:tc>
          <w:tcPr>
            <w:tcW w:w="1665" w:type="dxa"/>
            <w:hideMark/>
          </w:tcPr>
          <w:p w14:paraId="38269799"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907,69</w:t>
            </w:r>
          </w:p>
        </w:tc>
        <w:tc>
          <w:tcPr>
            <w:tcW w:w="1494" w:type="dxa"/>
            <w:hideMark/>
          </w:tcPr>
          <w:p w14:paraId="3B92A4E5"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599,12</w:t>
            </w:r>
          </w:p>
        </w:tc>
        <w:tc>
          <w:tcPr>
            <w:tcW w:w="1494" w:type="dxa"/>
            <w:hideMark/>
          </w:tcPr>
          <w:p w14:paraId="03CCB6A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2.348,05</w:t>
            </w:r>
          </w:p>
        </w:tc>
        <w:tc>
          <w:tcPr>
            <w:tcW w:w="1494" w:type="dxa"/>
            <w:hideMark/>
          </w:tcPr>
          <w:p w14:paraId="5F87761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966,42</w:t>
            </w:r>
          </w:p>
        </w:tc>
        <w:tc>
          <w:tcPr>
            <w:tcW w:w="1495" w:type="dxa"/>
            <w:hideMark/>
          </w:tcPr>
          <w:p w14:paraId="6AC91E6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1.070,29</w:t>
            </w:r>
          </w:p>
        </w:tc>
      </w:tr>
      <w:tr w:rsidR="008A4178" w:rsidRPr="009772A3" w14:paraId="5CD5B64D"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9FA42E6"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70E569E3"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6.Alte datorii curente</w:t>
            </w:r>
          </w:p>
        </w:tc>
        <w:tc>
          <w:tcPr>
            <w:tcW w:w="1494" w:type="dxa"/>
            <w:hideMark/>
          </w:tcPr>
          <w:p w14:paraId="2C1C1EB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3.272.660,38</w:t>
            </w:r>
          </w:p>
        </w:tc>
        <w:tc>
          <w:tcPr>
            <w:tcW w:w="1665" w:type="dxa"/>
            <w:hideMark/>
          </w:tcPr>
          <w:p w14:paraId="4DD3A9C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2.705.416,63</w:t>
            </w:r>
          </w:p>
        </w:tc>
        <w:tc>
          <w:tcPr>
            <w:tcW w:w="1494" w:type="dxa"/>
            <w:hideMark/>
          </w:tcPr>
          <w:p w14:paraId="4C23FEF8"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2.757.950,83</w:t>
            </w:r>
          </w:p>
        </w:tc>
        <w:tc>
          <w:tcPr>
            <w:tcW w:w="1494" w:type="dxa"/>
            <w:hideMark/>
          </w:tcPr>
          <w:p w14:paraId="1BF9503B"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2.739.811,21</w:t>
            </w:r>
          </w:p>
        </w:tc>
        <w:tc>
          <w:tcPr>
            <w:tcW w:w="1494" w:type="dxa"/>
            <w:hideMark/>
          </w:tcPr>
          <w:p w14:paraId="46879CA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2.712.019,19</w:t>
            </w:r>
          </w:p>
        </w:tc>
        <w:tc>
          <w:tcPr>
            <w:tcW w:w="1495" w:type="dxa"/>
            <w:hideMark/>
          </w:tcPr>
          <w:p w14:paraId="5B90CB5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2.889.937,66</w:t>
            </w:r>
          </w:p>
        </w:tc>
      </w:tr>
      <w:tr w:rsidR="008A4178" w:rsidRPr="009772A3" w14:paraId="1D649A4A"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DBF7ED1"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0670DF69"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7.Datorii față de buget </w:t>
            </w:r>
          </w:p>
        </w:tc>
        <w:tc>
          <w:tcPr>
            <w:tcW w:w="1494" w:type="dxa"/>
            <w:hideMark/>
          </w:tcPr>
          <w:p w14:paraId="33377D9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214,04</w:t>
            </w:r>
          </w:p>
        </w:tc>
        <w:tc>
          <w:tcPr>
            <w:tcW w:w="1665" w:type="dxa"/>
            <w:hideMark/>
          </w:tcPr>
          <w:p w14:paraId="72D8BC8D"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197.478,42</w:t>
            </w:r>
          </w:p>
        </w:tc>
        <w:tc>
          <w:tcPr>
            <w:tcW w:w="1494" w:type="dxa"/>
            <w:hideMark/>
          </w:tcPr>
          <w:p w14:paraId="7FC652B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0,82</w:t>
            </w:r>
          </w:p>
        </w:tc>
        <w:tc>
          <w:tcPr>
            <w:tcW w:w="1494" w:type="dxa"/>
            <w:hideMark/>
          </w:tcPr>
          <w:p w14:paraId="76616E62"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2D48F5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7F8B4860"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10,79</w:t>
            </w:r>
          </w:p>
        </w:tc>
      </w:tr>
      <w:tr w:rsidR="008A4178" w:rsidRPr="009772A3" w14:paraId="0910599E"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77FD5D6"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E3B3B20"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xml:space="preserve">8.Venituri anticipate curente </w:t>
            </w:r>
          </w:p>
        </w:tc>
        <w:tc>
          <w:tcPr>
            <w:tcW w:w="1494" w:type="dxa"/>
            <w:hideMark/>
          </w:tcPr>
          <w:p w14:paraId="0157FFF0"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10.340,00</w:t>
            </w:r>
          </w:p>
        </w:tc>
        <w:tc>
          <w:tcPr>
            <w:tcW w:w="1665" w:type="dxa"/>
            <w:hideMark/>
          </w:tcPr>
          <w:p w14:paraId="28024E5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B84234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749CDD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056B9DE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5" w:type="dxa"/>
            <w:hideMark/>
          </w:tcPr>
          <w:p w14:paraId="0C969CF7"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r>
      <w:tr w:rsidR="008A4178" w:rsidRPr="009772A3" w14:paraId="4354ABDA"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534ACA7B" w14:textId="77777777" w:rsidR="008A4178" w:rsidRPr="009772A3" w:rsidRDefault="008A4178" w:rsidP="00DE381A">
            <w:pPr>
              <w:jc w:val="cente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F</w:t>
            </w:r>
          </w:p>
        </w:tc>
        <w:tc>
          <w:tcPr>
            <w:tcW w:w="4708" w:type="dxa"/>
            <w:hideMark/>
          </w:tcPr>
          <w:p w14:paraId="7746A07B"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Provizioane </w:t>
            </w:r>
            <w:r w:rsidRPr="009772A3">
              <w:rPr>
                <w:rFonts w:asciiTheme="majorHAnsi" w:eastAsia="Times New Roman" w:hAnsiTheme="majorHAnsi" w:cstheme="majorHAnsi"/>
                <w:i/>
                <w:iCs/>
                <w:sz w:val="18"/>
                <w:szCs w:val="18"/>
                <w:lang w:val="ro-MD"/>
              </w:rPr>
              <w:t>(rd.830+rd.860)</w:t>
            </w:r>
          </w:p>
        </w:tc>
        <w:tc>
          <w:tcPr>
            <w:tcW w:w="1494" w:type="dxa"/>
            <w:hideMark/>
          </w:tcPr>
          <w:p w14:paraId="6B8779A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4.976,73</w:t>
            </w:r>
          </w:p>
        </w:tc>
        <w:tc>
          <w:tcPr>
            <w:tcW w:w="1665" w:type="dxa"/>
            <w:hideMark/>
          </w:tcPr>
          <w:p w14:paraId="4753F0BC"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1.051.162,79</w:t>
            </w:r>
          </w:p>
        </w:tc>
        <w:tc>
          <w:tcPr>
            <w:tcW w:w="1494" w:type="dxa"/>
            <w:hideMark/>
          </w:tcPr>
          <w:p w14:paraId="7A47451E"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454.795,83</w:t>
            </w:r>
          </w:p>
        </w:tc>
        <w:tc>
          <w:tcPr>
            <w:tcW w:w="1494" w:type="dxa"/>
            <w:hideMark/>
          </w:tcPr>
          <w:p w14:paraId="1B339486"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291.603,80</w:t>
            </w:r>
          </w:p>
        </w:tc>
        <w:tc>
          <w:tcPr>
            <w:tcW w:w="1494" w:type="dxa"/>
            <w:hideMark/>
          </w:tcPr>
          <w:p w14:paraId="24D59FA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292.400,83</w:t>
            </w:r>
          </w:p>
        </w:tc>
        <w:tc>
          <w:tcPr>
            <w:tcW w:w="1495" w:type="dxa"/>
            <w:hideMark/>
          </w:tcPr>
          <w:p w14:paraId="325A0A9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16.277,50</w:t>
            </w:r>
          </w:p>
        </w:tc>
      </w:tr>
      <w:tr w:rsidR="008A4178" w:rsidRPr="009772A3" w14:paraId="761A8DA9"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251AD1A"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326A8F4B" w14:textId="77777777" w:rsidR="008A4178" w:rsidRPr="009772A3" w:rsidRDefault="008A4178" w:rsidP="00DE38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1.Provizioane pentru beneficiile angajaților</w:t>
            </w:r>
          </w:p>
        </w:tc>
        <w:tc>
          <w:tcPr>
            <w:tcW w:w="1494" w:type="dxa"/>
            <w:hideMark/>
          </w:tcPr>
          <w:p w14:paraId="3D0809B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665" w:type="dxa"/>
            <w:hideMark/>
          </w:tcPr>
          <w:p w14:paraId="7869604F"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7DA0A4B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1494" w:type="dxa"/>
            <w:hideMark/>
          </w:tcPr>
          <w:p w14:paraId="16DB0D0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6.879,04</w:t>
            </w:r>
          </w:p>
        </w:tc>
        <w:tc>
          <w:tcPr>
            <w:tcW w:w="1494" w:type="dxa"/>
            <w:hideMark/>
          </w:tcPr>
          <w:p w14:paraId="6C8F2FE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5.783,54</w:t>
            </w:r>
          </w:p>
        </w:tc>
        <w:tc>
          <w:tcPr>
            <w:tcW w:w="1495" w:type="dxa"/>
            <w:hideMark/>
          </w:tcPr>
          <w:p w14:paraId="4C2D04B6"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6.159,77</w:t>
            </w:r>
          </w:p>
        </w:tc>
      </w:tr>
      <w:tr w:rsidR="008A4178" w:rsidRPr="009772A3" w14:paraId="4E4E0D85" w14:textId="77777777" w:rsidTr="00CF3AD4">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3B97A89" w14:textId="77777777" w:rsidR="008A4178" w:rsidRPr="009772A3" w:rsidRDefault="008A4178" w:rsidP="00DE381A">
            <w:pPr>
              <w:rPr>
                <w:rFonts w:asciiTheme="majorHAnsi" w:eastAsia="Times New Roman" w:hAnsiTheme="majorHAnsi" w:cstheme="majorHAnsi"/>
                <w:sz w:val="18"/>
                <w:szCs w:val="18"/>
                <w:lang w:val="ro-MD"/>
              </w:rPr>
            </w:pPr>
          </w:p>
        </w:tc>
        <w:tc>
          <w:tcPr>
            <w:tcW w:w="4708" w:type="dxa"/>
            <w:hideMark/>
          </w:tcPr>
          <w:p w14:paraId="2D9EDA93" w14:textId="77777777" w:rsidR="008A4178" w:rsidRPr="009772A3" w:rsidRDefault="008A4178" w:rsidP="00DE381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2.Alte provizioane</w:t>
            </w:r>
          </w:p>
        </w:tc>
        <w:tc>
          <w:tcPr>
            <w:tcW w:w="1494" w:type="dxa"/>
            <w:hideMark/>
          </w:tcPr>
          <w:p w14:paraId="4233F62B"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4.976,73</w:t>
            </w:r>
          </w:p>
        </w:tc>
        <w:tc>
          <w:tcPr>
            <w:tcW w:w="1665" w:type="dxa"/>
            <w:hideMark/>
          </w:tcPr>
          <w:p w14:paraId="5E77B55F"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1.051.162,79</w:t>
            </w:r>
          </w:p>
        </w:tc>
        <w:tc>
          <w:tcPr>
            <w:tcW w:w="1494" w:type="dxa"/>
            <w:hideMark/>
          </w:tcPr>
          <w:p w14:paraId="3175F0FA"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454.795,83</w:t>
            </w:r>
          </w:p>
        </w:tc>
        <w:tc>
          <w:tcPr>
            <w:tcW w:w="1494" w:type="dxa"/>
            <w:hideMark/>
          </w:tcPr>
          <w:p w14:paraId="14AA7D2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284.724,76</w:t>
            </w:r>
          </w:p>
        </w:tc>
        <w:tc>
          <w:tcPr>
            <w:tcW w:w="1494" w:type="dxa"/>
            <w:hideMark/>
          </w:tcPr>
          <w:p w14:paraId="6B8F8B24"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286.617,29</w:t>
            </w:r>
          </w:p>
        </w:tc>
        <w:tc>
          <w:tcPr>
            <w:tcW w:w="1495" w:type="dxa"/>
            <w:hideMark/>
          </w:tcPr>
          <w:p w14:paraId="7CD9E5B3" w14:textId="77777777" w:rsidR="008A4178" w:rsidRPr="009772A3" w:rsidRDefault="008A4178" w:rsidP="00DE381A">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10.117,73</w:t>
            </w:r>
          </w:p>
        </w:tc>
      </w:tr>
      <w:tr w:rsidR="008A4178" w:rsidRPr="009772A3" w14:paraId="31565E3C" w14:textId="77777777" w:rsidTr="00CF3AD4">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noWrap/>
            <w:hideMark/>
          </w:tcPr>
          <w:p w14:paraId="23698D25" w14:textId="77777777" w:rsidR="008A4178" w:rsidRPr="009772A3" w:rsidRDefault="008A4178" w:rsidP="00DE381A">
            <w:pPr>
              <w:rPr>
                <w:rFonts w:asciiTheme="majorHAnsi" w:eastAsia="Times New Roman" w:hAnsiTheme="majorHAnsi" w:cstheme="majorHAnsi"/>
                <w:sz w:val="18"/>
                <w:szCs w:val="18"/>
                <w:lang w:val="ro-MD"/>
              </w:rPr>
            </w:pPr>
            <w:r w:rsidRPr="009772A3">
              <w:rPr>
                <w:rFonts w:asciiTheme="majorHAnsi" w:eastAsia="Times New Roman" w:hAnsiTheme="majorHAnsi" w:cstheme="majorHAnsi"/>
                <w:sz w:val="18"/>
                <w:szCs w:val="18"/>
                <w:lang w:val="ro-MD"/>
              </w:rPr>
              <w:t> </w:t>
            </w:r>
          </w:p>
        </w:tc>
        <w:tc>
          <w:tcPr>
            <w:tcW w:w="4708" w:type="dxa"/>
            <w:hideMark/>
          </w:tcPr>
          <w:p w14:paraId="23589883" w14:textId="77777777" w:rsidR="008A4178" w:rsidRPr="009772A3" w:rsidRDefault="008A4178" w:rsidP="00DE38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 xml:space="preserve">TOTAL PASIVE </w:t>
            </w:r>
            <w:r w:rsidRPr="009772A3">
              <w:rPr>
                <w:rFonts w:asciiTheme="majorHAnsi" w:eastAsia="Times New Roman" w:hAnsiTheme="majorHAnsi" w:cstheme="majorHAnsi"/>
                <w:i/>
                <w:iCs/>
                <w:sz w:val="18"/>
                <w:szCs w:val="18"/>
                <w:lang w:val="ro-MD"/>
              </w:rPr>
              <w:t>( rd.620+rd.700+rd.820+rd.870))</w:t>
            </w:r>
          </w:p>
        </w:tc>
        <w:tc>
          <w:tcPr>
            <w:tcW w:w="1494" w:type="dxa"/>
            <w:hideMark/>
          </w:tcPr>
          <w:p w14:paraId="18DFABCA"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12.030.081,35</w:t>
            </w:r>
          </w:p>
        </w:tc>
        <w:tc>
          <w:tcPr>
            <w:tcW w:w="1665" w:type="dxa"/>
            <w:hideMark/>
          </w:tcPr>
          <w:p w14:paraId="57CE21D3"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12.771.273,24</w:t>
            </w:r>
          </w:p>
        </w:tc>
        <w:tc>
          <w:tcPr>
            <w:tcW w:w="1494" w:type="dxa"/>
            <w:hideMark/>
          </w:tcPr>
          <w:p w14:paraId="19F47365"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12.380.200,02</w:t>
            </w:r>
          </w:p>
        </w:tc>
        <w:tc>
          <w:tcPr>
            <w:tcW w:w="1494" w:type="dxa"/>
            <w:hideMark/>
          </w:tcPr>
          <w:p w14:paraId="51FBB811"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12.367.182,55</w:t>
            </w:r>
          </w:p>
        </w:tc>
        <w:tc>
          <w:tcPr>
            <w:tcW w:w="1494" w:type="dxa"/>
            <w:hideMark/>
          </w:tcPr>
          <w:p w14:paraId="40D13DDD"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11.484.482,54</w:t>
            </w:r>
          </w:p>
        </w:tc>
        <w:tc>
          <w:tcPr>
            <w:tcW w:w="1495" w:type="dxa"/>
            <w:hideMark/>
          </w:tcPr>
          <w:p w14:paraId="363F3162" w14:textId="77777777" w:rsidR="008A4178" w:rsidRPr="009772A3" w:rsidRDefault="008A4178" w:rsidP="00DE381A">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val="ro-MD"/>
              </w:rPr>
            </w:pPr>
            <w:r w:rsidRPr="009772A3">
              <w:rPr>
                <w:rFonts w:asciiTheme="majorHAnsi" w:eastAsia="Times New Roman" w:hAnsiTheme="majorHAnsi" w:cstheme="majorHAnsi"/>
                <w:b/>
                <w:bCs/>
                <w:sz w:val="18"/>
                <w:szCs w:val="18"/>
                <w:lang w:val="ro-MD"/>
              </w:rPr>
              <w:t>11.577.731,91</w:t>
            </w:r>
          </w:p>
        </w:tc>
      </w:tr>
      <w:tr w:rsidR="008A4178" w:rsidRPr="009772A3" w14:paraId="5059DD3A" w14:textId="77777777" w:rsidTr="00CF3AD4">
        <w:trPr>
          <w:trHeight w:val="20"/>
        </w:trPr>
        <w:tc>
          <w:tcPr>
            <w:cnfStyle w:val="001000000000" w:firstRow="0" w:lastRow="0" w:firstColumn="1" w:lastColumn="0" w:oddVBand="0" w:evenVBand="0" w:oddHBand="0" w:evenHBand="0" w:firstRowFirstColumn="0" w:firstRowLastColumn="0" w:lastRowFirstColumn="0" w:lastRowLastColumn="0"/>
            <w:tcW w:w="14684" w:type="dxa"/>
            <w:gridSpan w:val="9"/>
            <w:hideMark/>
          </w:tcPr>
          <w:p w14:paraId="5969F146" w14:textId="1F4D22A7" w:rsidR="008A4178" w:rsidRPr="009772A3" w:rsidRDefault="008A4178" w:rsidP="00D93D05">
            <w:pPr>
              <w:rPr>
                <w:rFonts w:asciiTheme="majorHAnsi" w:eastAsia="Times New Roman" w:hAnsiTheme="majorHAnsi" w:cstheme="majorHAnsi"/>
                <w:b w:val="0"/>
                <w:sz w:val="18"/>
                <w:szCs w:val="18"/>
                <w:lang w:val="ro-MD"/>
              </w:rPr>
            </w:pPr>
            <w:r w:rsidRPr="009772A3">
              <w:rPr>
                <w:rFonts w:asciiTheme="majorHAnsi" w:eastAsia="Times New Roman" w:hAnsiTheme="majorHAnsi" w:cstheme="majorHAnsi"/>
                <w:i/>
                <w:iCs/>
                <w:sz w:val="18"/>
                <w:szCs w:val="18"/>
                <w:lang w:val="ro-MD"/>
              </w:rPr>
              <w:t>Sursa :</w:t>
            </w:r>
            <w:r w:rsidRPr="009772A3">
              <w:rPr>
                <w:rFonts w:asciiTheme="majorHAnsi" w:eastAsia="Times New Roman" w:hAnsiTheme="majorHAnsi" w:cstheme="majorHAnsi"/>
                <w:sz w:val="18"/>
                <w:szCs w:val="18"/>
                <w:lang w:val="ro-MD"/>
              </w:rPr>
              <w:t xml:space="preserve"> Situațiile financiare </w:t>
            </w:r>
            <w:r w:rsidR="009C6F5D">
              <w:rPr>
                <w:rFonts w:asciiTheme="majorHAnsi" w:eastAsia="Times New Roman" w:hAnsiTheme="majorHAnsi" w:cstheme="majorHAnsi"/>
                <w:sz w:val="18"/>
                <w:szCs w:val="18"/>
                <w:lang w:val="ro-MD"/>
              </w:rPr>
              <w:t xml:space="preserve">ale SA Moldovagaz </w:t>
            </w:r>
            <w:r w:rsidR="00CB2599">
              <w:rPr>
                <w:rFonts w:asciiTheme="majorHAnsi" w:eastAsia="Times New Roman" w:hAnsiTheme="majorHAnsi" w:cstheme="majorHAnsi"/>
                <w:sz w:val="18"/>
                <w:szCs w:val="18"/>
                <w:lang w:val="ro-MD"/>
              </w:rPr>
              <w:t>pe perioada</w:t>
            </w:r>
            <w:r w:rsidRPr="009772A3">
              <w:rPr>
                <w:rFonts w:asciiTheme="majorHAnsi" w:eastAsia="Times New Roman" w:hAnsiTheme="majorHAnsi" w:cstheme="majorHAnsi"/>
                <w:sz w:val="18"/>
                <w:szCs w:val="18"/>
                <w:lang w:val="ro-MD"/>
              </w:rPr>
              <w:t xml:space="preserve"> 2016</w:t>
            </w:r>
            <w:r w:rsidR="00CB2599">
              <w:rPr>
                <w:rFonts w:asciiTheme="majorHAnsi" w:eastAsia="Times New Roman" w:hAnsiTheme="majorHAnsi" w:cstheme="majorHAnsi"/>
                <w:sz w:val="18"/>
                <w:szCs w:val="18"/>
                <w:lang w:val="ro-MD"/>
              </w:rPr>
              <w:t>-2021</w:t>
            </w:r>
            <w:r w:rsidR="00F05D14" w:rsidRPr="009772A3">
              <w:rPr>
                <w:rFonts w:asciiTheme="majorHAnsi" w:eastAsia="Times New Roman" w:hAnsiTheme="majorHAnsi" w:cstheme="majorHAnsi"/>
                <w:sz w:val="18"/>
                <w:szCs w:val="18"/>
                <w:lang w:val="ro-MD"/>
              </w:rPr>
              <w:t>.</w:t>
            </w:r>
            <w:r w:rsidRPr="009772A3">
              <w:rPr>
                <w:rFonts w:asciiTheme="majorHAnsi" w:eastAsia="Times New Roman" w:hAnsiTheme="majorHAnsi" w:cstheme="majorHAnsi"/>
                <w:sz w:val="18"/>
                <w:szCs w:val="18"/>
                <w:lang w:val="ro-MD"/>
              </w:rPr>
              <w:t xml:space="preserve"> </w:t>
            </w:r>
          </w:p>
        </w:tc>
      </w:tr>
    </w:tbl>
    <w:p w14:paraId="23F67406" w14:textId="77777777" w:rsidR="008A4178" w:rsidRPr="009772A3" w:rsidRDefault="008A4178" w:rsidP="00E220ED">
      <w:pPr>
        <w:jc w:val="center"/>
        <w:rPr>
          <w:rFonts w:asciiTheme="majorHAnsi" w:hAnsiTheme="majorHAnsi" w:cstheme="majorHAnsi"/>
          <w:b/>
          <w:i/>
          <w:sz w:val="18"/>
          <w:szCs w:val="18"/>
          <w:lang w:val="ro-MD"/>
        </w:rPr>
      </w:pPr>
    </w:p>
    <w:p w14:paraId="041636ED" w14:textId="26892C23" w:rsidR="001157AA" w:rsidRPr="009772A3" w:rsidRDefault="00EE6C39" w:rsidP="001157AA">
      <w:pPr>
        <w:jc w:val="center"/>
        <w:rPr>
          <w:rFonts w:asciiTheme="majorHAnsi" w:hAnsiTheme="majorHAnsi" w:cstheme="majorHAnsi"/>
          <w:b/>
          <w:i/>
          <w:sz w:val="24"/>
          <w:szCs w:val="24"/>
          <w:lang w:val="ro-MD"/>
        </w:rPr>
      </w:pPr>
      <w:r w:rsidRPr="009772A3">
        <w:rPr>
          <w:lang w:val="ro-MD"/>
        </w:rPr>
        <w:br w:type="page"/>
      </w:r>
      <w:r w:rsidR="001157AA" w:rsidRPr="009772A3">
        <w:rPr>
          <w:rFonts w:asciiTheme="majorHAnsi" w:hAnsiTheme="majorHAnsi" w:cstheme="majorHAnsi"/>
          <w:b/>
          <w:i/>
          <w:sz w:val="24"/>
          <w:szCs w:val="24"/>
          <w:lang w:val="ro-MD"/>
        </w:rPr>
        <w:t>Situația de profit și pierdere a SA Moldovagaz</w:t>
      </w:r>
    </w:p>
    <w:p w14:paraId="03FDF647" w14:textId="5E5E1A36" w:rsidR="001157AA" w:rsidRPr="009772A3" w:rsidRDefault="001157AA" w:rsidP="001157AA">
      <w:pPr>
        <w:spacing w:line="259" w:lineRule="auto"/>
        <w:jc w:val="right"/>
        <w:rPr>
          <w:rFonts w:asciiTheme="majorHAnsi" w:hAnsiTheme="majorHAnsi" w:cstheme="majorHAnsi"/>
          <w:sz w:val="24"/>
          <w:szCs w:val="24"/>
          <w:lang w:val="ro-MD"/>
        </w:rPr>
      </w:pPr>
      <w:r w:rsidRPr="009772A3">
        <w:rPr>
          <w:rFonts w:asciiTheme="majorHAnsi" w:hAnsiTheme="majorHAnsi" w:cstheme="majorHAnsi"/>
          <w:sz w:val="24"/>
          <w:szCs w:val="24"/>
          <w:lang w:val="ro-MD"/>
        </w:rPr>
        <w:t>(mii lei)</w:t>
      </w:r>
    </w:p>
    <w:tbl>
      <w:tblPr>
        <w:tblStyle w:val="PlainTable11"/>
        <w:tblW w:w="14440" w:type="dxa"/>
        <w:tblLook w:val="04A0" w:firstRow="1" w:lastRow="0" w:firstColumn="1" w:lastColumn="0" w:noHBand="0" w:noVBand="1"/>
      </w:tblPr>
      <w:tblGrid>
        <w:gridCol w:w="3340"/>
        <w:gridCol w:w="900"/>
        <w:gridCol w:w="1700"/>
        <w:gridCol w:w="1700"/>
        <w:gridCol w:w="1700"/>
        <w:gridCol w:w="1700"/>
        <w:gridCol w:w="1700"/>
        <w:gridCol w:w="1700"/>
      </w:tblGrid>
      <w:tr w:rsidR="001157AA" w:rsidRPr="009772A3" w14:paraId="0C774A8B" w14:textId="77777777" w:rsidTr="00DE38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vMerge w:val="restart"/>
            <w:hideMark/>
          </w:tcPr>
          <w:p w14:paraId="4F6DFCCA" w14:textId="77777777" w:rsidR="001157AA" w:rsidRPr="009772A3" w:rsidRDefault="001157AA" w:rsidP="00DE381A">
            <w:pPr>
              <w:jc w:val="center"/>
              <w:rPr>
                <w:rFonts w:ascii="Calibri Light" w:eastAsia="Times New Roman" w:hAnsi="Calibri Light" w:cs="Calibri Light"/>
                <w:lang w:val="ro-MD"/>
              </w:rPr>
            </w:pPr>
            <w:r w:rsidRPr="009772A3">
              <w:rPr>
                <w:rFonts w:ascii="Calibri Light" w:eastAsia="Times New Roman" w:hAnsi="Calibri Light" w:cs="Calibri Light"/>
                <w:lang w:val="ro-MD"/>
              </w:rPr>
              <w:t>INDICATORI</w:t>
            </w:r>
          </w:p>
        </w:tc>
        <w:tc>
          <w:tcPr>
            <w:tcW w:w="900" w:type="dxa"/>
            <w:vMerge w:val="restart"/>
            <w:hideMark/>
          </w:tcPr>
          <w:p w14:paraId="4987A3F4" w14:textId="77777777" w:rsidR="001157AA" w:rsidRPr="009772A3" w:rsidRDefault="001157AA" w:rsidP="00DE381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o-MD"/>
              </w:rPr>
            </w:pPr>
            <w:r w:rsidRPr="009772A3">
              <w:rPr>
                <w:rFonts w:ascii="Calibri Light" w:eastAsia="Times New Roman" w:hAnsi="Calibri Light" w:cs="Calibri Light"/>
                <w:lang w:val="ro-MD"/>
              </w:rPr>
              <w:t>COD</w:t>
            </w:r>
          </w:p>
        </w:tc>
        <w:tc>
          <w:tcPr>
            <w:tcW w:w="1700" w:type="dxa"/>
            <w:hideMark/>
          </w:tcPr>
          <w:p w14:paraId="73A9A7EC" w14:textId="77777777" w:rsidR="001157AA" w:rsidRPr="009772A3" w:rsidRDefault="001157AA" w:rsidP="00DE381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o-MD"/>
              </w:rPr>
            </w:pPr>
            <w:r w:rsidRPr="009772A3">
              <w:rPr>
                <w:rFonts w:ascii="Calibri Light" w:eastAsia="Times New Roman" w:hAnsi="Calibri Light" w:cs="Calibri Light"/>
                <w:lang w:val="ro-MD"/>
              </w:rPr>
              <w:t> </w:t>
            </w:r>
          </w:p>
        </w:tc>
        <w:tc>
          <w:tcPr>
            <w:tcW w:w="1700" w:type="dxa"/>
            <w:hideMark/>
          </w:tcPr>
          <w:p w14:paraId="4E9BF23C" w14:textId="77777777" w:rsidR="001157AA" w:rsidRPr="009772A3" w:rsidRDefault="001157AA" w:rsidP="00DE381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o-MD"/>
              </w:rPr>
            </w:pPr>
            <w:r w:rsidRPr="009772A3">
              <w:rPr>
                <w:rFonts w:ascii="Calibri Light" w:eastAsia="Times New Roman" w:hAnsi="Calibri Light" w:cs="Calibri Light"/>
                <w:lang w:val="ro-MD"/>
              </w:rPr>
              <w:t> </w:t>
            </w:r>
          </w:p>
        </w:tc>
        <w:tc>
          <w:tcPr>
            <w:tcW w:w="1700" w:type="dxa"/>
            <w:hideMark/>
          </w:tcPr>
          <w:p w14:paraId="4FA8B80B" w14:textId="77777777" w:rsidR="001157AA" w:rsidRPr="009772A3" w:rsidRDefault="001157AA" w:rsidP="00DE381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o-MD"/>
              </w:rPr>
            </w:pPr>
            <w:r w:rsidRPr="009772A3">
              <w:rPr>
                <w:rFonts w:ascii="Calibri Light" w:eastAsia="Times New Roman" w:hAnsi="Calibri Light" w:cs="Calibri Light"/>
                <w:lang w:val="ro-MD"/>
              </w:rPr>
              <w:t> </w:t>
            </w:r>
          </w:p>
        </w:tc>
        <w:tc>
          <w:tcPr>
            <w:tcW w:w="1700" w:type="dxa"/>
            <w:hideMark/>
          </w:tcPr>
          <w:p w14:paraId="16A96C71" w14:textId="77777777" w:rsidR="001157AA" w:rsidRPr="009772A3" w:rsidRDefault="001157AA" w:rsidP="00DE381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o-MD"/>
              </w:rPr>
            </w:pPr>
            <w:r w:rsidRPr="009772A3">
              <w:rPr>
                <w:rFonts w:ascii="Calibri Light" w:eastAsia="Times New Roman" w:hAnsi="Calibri Light" w:cs="Calibri Light"/>
                <w:lang w:val="ro-MD"/>
              </w:rPr>
              <w:t> </w:t>
            </w:r>
          </w:p>
        </w:tc>
        <w:tc>
          <w:tcPr>
            <w:tcW w:w="1700" w:type="dxa"/>
            <w:hideMark/>
          </w:tcPr>
          <w:p w14:paraId="7CB1FAD9" w14:textId="77777777" w:rsidR="001157AA" w:rsidRPr="009772A3" w:rsidRDefault="001157AA" w:rsidP="00DE381A">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o-MD"/>
              </w:rPr>
            </w:pPr>
            <w:r w:rsidRPr="009772A3">
              <w:rPr>
                <w:rFonts w:ascii="Calibri Light" w:eastAsia="Times New Roman" w:hAnsi="Calibri Light" w:cs="Calibri Light"/>
                <w:lang w:val="ro-MD"/>
              </w:rPr>
              <w:t> </w:t>
            </w:r>
          </w:p>
        </w:tc>
        <w:tc>
          <w:tcPr>
            <w:tcW w:w="1700" w:type="dxa"/>
            <w:noWrap/>
            <w:hideMark/>
          </w:tcPr>
          <w:p w14:paraId="52F141D4" w14:textId="77777777" w:rsidR="001157AA" w:rsidRPr="009772A3" w:rsidRDefault="001157AA" w:rsidP="00DE38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ro-MD"/>
              </w:rPr>
            </w:pPr>
            <w:r w:rsidRPr="009772A3">
              <w:rPr>
                <w:rFonts w:ascii="Calibri" w:eastAsia="Times New Roman" w:hAnsi="Calibri" w:cs="Calibri"/>
                <w:lang w:val="ro-MD"/>
              </w:rPr>
              <w:t xml:space="preserve">PERIOADA </w:t>
            </w:r>
          </w:p>
        </w:tc>
      </w:tr>
      <w:tr w:rsidR="001157AA" w:rsidRPr="009772A3" w14:paraId="3DD223CA" w14:textId="77777777" w:rsidTr="00DE38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vMerge/>
            <w:hideMark/>
          </w:tcPr>
          <w:p w14:paraId="577378E2" w14:textId="77777777" w:rsidR="001157AA" w:rsidRPr="009772A3" w:rsidRDefault="001157AA" w:rsidP="00DE381A">
            <w:pPr>
              <w:rPr>
                <w:rFonts w:ascii="Calibri Light" w:eastAsia="Times New Roman" w:hAnsi="Calibri Light" w:cs="Calibri Light"/>
                <w:lang w:val="ro-MD"/>
              </w:rPr>
            </w:pPr>
          </w:p>
        </w:tc>
        <w:tc>
          <w:tcPr>
            <w:tcW w:w="900" w:type="dxa"/>
            <w:vMerge/>
            <w:hideMark/>
          </w:tcPr>
          <w:p w14:paraId="03F14D66" w14:textId="77777777" w:rsidR="001157AA" w:rsidRPr="009772A3" w:rsidRDefault="001157AA" w:rsidP="00DE381A">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o-MD"/>
              </w:rPr>
            </w:pPr>
          </w:p>
        </w:tc>
        <w:tc>
          <w:tcPr>
            <w:tcW w:w="1700" w:type="dxa"/>
            <w:hideMark/>
          </w:tcPr>
          <w:p w14:paraId="5B32E69E"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o-MD"/>
              </w:rPr>
            </w:pPr>
            <w:r w:rsidRPr="009772A3">
              <w:rPr>
                <w:rFonts w:ascii="Calibri Light" w:eastAsia="Times New Roman" w:hAnsi="Calibri Light" w:cs="Calibri Light"/>
                <w:b/>
                <w:bCs/>
                <w:lang w:val="ro-MD"/>
              </w:rPr>
              <w:t>2016</w:t>
            </w:r>
          </w:p>
        </w:tc>
        <w:tc>
          <w:tcPr>
            <w:tcW w:w="1700" w:type="dxa"/>
            <w:hideMark/>
          </w:tcPr>
          <w:p w14:paraId="4AC62DD0"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o-MD"/>
              </w:rPr>
            </w:pPr>
            <w:r w:rsidRPr="009772A3">
              <w:rPr>
                <w:rFonts w:ascii="Calibri Light" w:eastAsia="Times New Roman" w:hAnsi="Calibri Light" w:cs="Calibri Light"/>
                <w:b/>
                <w:bCs/>
                <w:lang w:val="ro-MD"/>
              </w:rPr>
              <w:t>2017</w:t>
            </w:r>
          </w:p>
        </w:tc>
        <w:tc>
          <w:tcPr>
            <w:tcW w:w="1700" w:type="dxa"/>
            <w:hideMark/>
          </w:tcPr>
          <w:p w14:paraId="2FD86C6A"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o-MD"/>
              </w:rPr>
            </w:pPr>
            <w:r w:rsidRPr="009772A3">
              <w:rPr>
                <w:rFonts w:ascii="Calibri Light" w:eastAsia="Times New Roman" w:hAnsi="Calibri Light" w:cs="Calibri Light"/>
                <w:b/>
                <w:bCs/>
                <w:lang w:val="ro-MD"/>
              </w:rPr>
              <w:t>2018</w:t>
            </w:r>
          </w:p>
        </w:tc>
        <w:tc>
          <w:tcPr>
            <w:tcW w:w="1700" w:type="dxa"/>
            <w:hideMark/>
          </w:tcPr>
          <w:p w14:paraId="1CC3EEE9"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o-MD"/>
              </w:rPr>
            </w:pPr>
            <w:r w:rsidRPr="009772A3">
              <w:rPr>
                <w:rFonts w:ascii="Calibri Light" w:eastAsia="Times New Roman" w:hAnsi="Calibri Light" w:cs="Calibri Light"/>
                <w:b/>
                <w:bCs/>
                <w:lang w:val="ro-MD"/>
              </w:rPr>
              <w:t>2019</w:t>
            </w:r>
          </w:p>
        </w:tc>
        <w:tc>
          <w:tcPr>
            <w:tcW w:w="1700" w:type="dxa"/>
            <w:hideMark/>
          </w:tcPr>
          <w:p w14:paraId="23B1104D"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o-MD"/>
              </w:rPr>
            </w:pPr>
            <w:r w:rsidRPr="009772A3">
              <w:rPr>
                <w:rFonts w:ascii="Calibri Light" w:eastAsia="Times New Roman" w:hAnsi="Calibri Light" w:cs="Calibri Light"/>
                <w:b/>
                <w:bCs/>
                <w:lang w:val="ro-MD"/>
              </w:rPr>
              <w:t>2020</w:t>
            </w:r>
          </w:p>
        </w:tc>
        <w:tc>
          <w:tcPr>
            <w:tcW w:w="1700" w:type="dxa"/>
            <w:hideMark/>
          </w:tcPr>
          <w:p w14:paraId="5ACB2187"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o-MD"/>
              </w:rPr>
            </w:pPr>
            <w:r w:rsidRPr="009772A3">
              <w:rPr>
                <w:rFonts w:ascii="Calibri Light" w:eastAsia="Times New Roman" w:hAnsi="Calibri Light" w:cs="Calibri Light"/>
                <w:b/>
                <w:bCs/>
                <w:lang w:val="ro-MD"/>
              </w:rPr>
              <w:t>2021</w:t>
            </w:r>
          </w:p>
        </w:tc>
      </w:tr>
      <w:tr w:rsidR="001157AA" w:rsidRPr="009772A3" w14:paraId="12B925CE" w14:textId="77777777" w:rsidTr="00DE381A">
        <w:trPr>
          <w:trHeight w:val="300"/>
        </w:trPr>
        <w:tc>
          <w:tcPr>
            <w:cnfStyle w:val="001000000000" w:firstRow="0" w:lastRow="0" w:firstColumn="1" w:lastColumn="0" w:oddVBand="0" w:evenVBand="0" w:oddHBand="0" w:evenHBand="0" w:firstRowFirstColumn="0" w:firstRowLastColumn="0" w:lastRowFirstColumn="0" w:lastRowLastColumn="0"/>
            <w:tcW w:w="3340" w:type="dxa"/>
            <w:hideMark/>
          </w:tcPr>
          <w:p w14:paraId="41B3DDDD"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Venituri din vânzări</w:t>
            </w:r>
          </w:p>
        </w:tc>
        <w:tc>
          <w:tcPr>
            <w:tcW w:w="900" w:type="dxa"/>
            <w:hideMark/>
          </w:tcPr>
          <w:p w14:paraId="2C534D30" w14:textId="77777777" w:rsidR="001157AA" w:rsidRPr="009772A3" w:rsidRDefault="001157AA" w:rsidP="00DE381A">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010</w:t>
            </w:r>
          </w:p>
        </w:tc>
        <w:tc>
          <w:tcPr>
            <w:tcW w:w="1700" w:type="dxa"/>
            <w:hideMark/>
          </w:tcPr>
          <w:p w14:paraId="12C5057A"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5.759.541,23</w:t>
            </w:r>
          </w:p>
        </w:tc>
        <w:tc>
          <w:tcPr>
            <w:tcW w:w="1700" w:type="dxa"/>
            <w:hideMark/>
          </w:tcPr>
          <w:p w14:paraId="2B6FE766"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5.650.643,29</w:t>
            </w:r>
          </w:p>
        </w:tc>
        <w:tc>
          <w:tcPr>
            <w:tcW w:w="1700" w:type="dxa"/>
            <w:hideMark/>
          </w:tcPr>
          <w:p w14:paraId="7F0CF1DE"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5.170.207,16</w:t>
            </w:r>
          </w:p>
        </w:tc>
        <w:tc>
          <w:tcPr>
            <w:tcW w:w="1700" w:type="dxa"/>
            <w:hideMark/>
          </w:tcPr>
          <w:p w14:paraId="2EA7CC3C"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4.623.933,64</w:t>
            </w:r>
          </w:p>
        </w:tc>
        <w:tc>
          <w:tcPr>
            <w:tcW w:w="1700" w:type="dxa"/>
            <w:hideMark/>
          </w:tcPr>
          <w:p w14:paraId="7652D390"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4.522.543,01</w:t>
            </w:r>
          </w:p>
        </w:tc>
        <w:tc>
          <w:tcPr>
            <w:tcW w:w="1700" w:type="dxa"/>
            <w:hideMark/>
          </w:tcPr>
          <w:p w14:paraId="628B3D3D"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6.721.569,02</w:t>
            </w:r>
          </w:p>
        </w:tc>
      </w:tr>
      <w:tr w:rsidR="001157AA" w:rsidRPr="009772A3" w14:paraId="70F1A388" w14:textId="77777777" w:rsidTr="00DE38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63EBFEBD"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Costul vânzărilor</w:t>
            </w:r>
          </w:p>
        </w:tc>
        <w:tc>
          <w:tcPr>
            <w:tcW w:w="900" w:type="dxa"/>
            <w:hideMark/>
          </w:tcPr>
          <w:p w14:paraId="6F988D9F"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020</w:t>
            </w:r>
          </w:p>
        </w:tc>
        <w:tc>
          <w:tcPr>
            <w:tcW w:w="1700" w:type="dxa"/>
            <w:hideMark/>
          </w:tcPr>
          <w:p w14:paraId="4A7DFB5B"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4.030.665,16</w:t>
            </w:r>
          </w:p>
        </w:tc>
        <w:tc>
          <w:tcPr>
            <w:tcW w:w="1700" w:type="dxa"/>
            <w:hideMark/>
          </w:tcPr>
          <w:p w14:paraId="5E20AFCB"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4.350.327,19</w:t>
            </w:r>
          </w:p>
        </w:tc>
        <w:tc>
          <w:tcPr>
            <w:tcW w:w="1700" w:type="dxa"/>
            <w:hideMark/>
          </w:tcPr>
          <w:p w14:paraId="2704E181"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3.517.485,97</w:t>
            </w:r>
          </w:p>
        </w:tc>
        <w:tc>
          <w:tcPr>
            <w:tcW w:w="1700" w:type="dxa"/>
            <w:hideMark/>
          </w:tcPr>
          <w:p w14:paraId="014BD4C7"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3.068.822,74</w:t>
            </w:r>
          </w:p>
        </w:tc>
        <w:tc>
          <w:tcPr>
            <w:tcW w:w="1700" w:type="dxa"/>
            <w:hideMark/>
          </w:tcPr>
          <w:p w14:paraId="552E91A3"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3.137.303,02</w:t>
            </w:r>
          </w:p>
        </w:tc>
        <w:tc>
          <w:tcPr>
            <w:tcW w:w="1700" w:type="dxa"/>
            <w:hideMark/>
          </w:tcPr>
          <w:p w14:paraId="7695EEA8"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5.089.519,00</w:t>
            </w:r>
          </w:p>
        </w:tc>
      </w:tr>
      <w:tr w:rsidR="001157AA" w:rsidRPr="009772A3" w14:paraId="34216F23" w14:textId="77777777" w:rsidTr="00DE381A">
        <w:trPr>
          <w:trHeight w:val="480"/>
        </w:trPr>
        <w:tc>
          <w:tcPr>
            <w:cnfStyle w:val="001000000000" w:firstRow="0" w:lastRow="0" w:firstColumn="1" w:lastColumn="0" w:oddVBand="0" w:evenVBand="0" w:oddHBand="0" w:evenHBand="0" w:firstRowFirstColumn="0" w:firstRowLastColumn="0" w:lastRowFirstColumn="0" w:lastRowLastColumn="0"/>
            <w:tcW w:w="3340" w:type="dxa"/>
            <w:hideMark/>
          </w:tcPr>
          <w:p w14:paraId="011B8608"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Profit Brut (pierdere brută)</w:t>
            </w:r>
            <w:r w:rsidRPr="009772A3">
              <w:rPr>
                <w:rFonts w:ascii="Calibri Light" w:eastAsia="Times New Roman" w:hAnsi="Calibri Light" w:cs="Calibri Light"/>
                <w:sz w:val="18"/>
                <w:szCs w:val="18"/>
                <w:lang w:val="ro-MD"/>
              </w:rPr>
              <w:br/>
            </w:r>
            <w:r w:rsidRPr="009772A3">
              <w:rPr>
                <w:rFonts w:ascii="Calibri Light" w:eastAsia="Times New Roman" w:hAnsi="Calibri Light" w:cs="Calibri Light"/>
                <w:i/>
                <w:iCs/>
                <w:sz w:val="18"/>
                <w:szCs w:val="18"/>
                <w:lang w:val="ro-MD"/>
              </w:rPr>
              <w:t xml:space="preserve"> (rd.010-rd.020)</w:t>
            </w:r>
          </w:p>
        </w:tc>
        <w:tc>
          <w:tcPr>
            <w:tcW w:w="900" w:type="dxa"/>
            <w:hideMark/>
          </w:tcPr>
          <w:p w14:paraId="17F18A7F" w14:textId="77777777" w:rsidR="001157AA" w:rsidRPr="009772A3" w:rsidRDefault="001157AA" w:rsidP="00DE381A">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030</w:t>
            </w:r>
          </w:p>
        </w:tc>
        <w:tc>
          <w:tcPr>
            <w:tcW w:w="1700" w:type="dxa"/>
            <w:hideMark/>
          </w:tcPr>
          <w:p w14:paraId="285AD659"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1.728.876,07</w:t>
            </w:r>
          </w:p>
        </w:tc>
        <w:tc>
          <w:tcPr>
            <w:tcW w:w="1700" w:type="dxa"/>
            <w:hideMark/>
          </w:tcPr>
          <w:p w14:paraId="3FDDD9C1"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1.300.316,10</w:t>
            </w:r>
          </w:p>
        </w:tc>
        <w:tc>
          <w:tcPr>
            <w:tcW w:w="1700" w:type="dxa"/>
            <w:hideMark/>
          </w:tcPr>
          <w:p w14:paraId="3CF792E6"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1.652.721,19</w:t>
            </w:r>
          </w:p>
        </w:tc>
        <w:tc>
          <w:tcPr>
            <w:tcW w:w="1700" w:type="dxa"/>
            <w:hideMark/>
          </w:tcPr>
          <w:p w14:paraId="00CB522F"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1.555.110,91</w:t>
            </w:r>
          </w:p>
        </w:tc>
        <w:tc>
          <w:tcPr>
            <w:tcW w:w="1700" w:type="dxa"/>
            <w:hideMark/>
          </w:tcPr>
          <w:p w14:paraId="131C7346"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1.385.239,99</w:t>
            </w:r>
          </w:p>
        </w:tc>
        <w:tc>
          <w:tcPr>
            <w:tcW w:w="1700" w:type="dxa"/>
            <w:hideMark/>
          </w:tcPr>
          <w:p w14:paraId="457EFFA0"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1.632.050,01</w:t>
            </w:r>
          </w:p>
        </w:tc>
      </w:tr>
      <w:tr w:rsidR="001157AA" w:rsidRPr="009772A3" w14:paraId="0603B1A7" w14:textId="77777777" w:rsidTr="00DE38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01B150F5"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Alte Venituri din activitatea operațională</w:t>
            </w:r>
          </w:p>
        </w:tc>
        <w:tc>
          <w:tcPr>
            <w:tcW w:w="900" w:type="dxa"/>
            <w:hideMark/>
          </w:tcPr>
          <w:p w14:paraId="0A7B862C"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040</w:t>
            </w:r>
          </w:p>
        </w:tc>
        <w:tc>
          <w:tcPr>
            <w:tcW w:w="1700" w:type="dxa"/>
            <w:hideMark/>
          </w:tcPr>
          <w:p w14:paraId="3FD6FE2F"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14.996,68</w:t>
            </w:r>
          </w:p>
        </w:tc>
        <w:tc>
          <w:tcPr>
            <w:tcW w:w="1700" w:type="dxa"/>
            <w:hideMark/>
          </w:tcPr>
          <w:p w14:paraId="35E22463"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120.478,78</w:t>
            </w:r>
          </w:p>
        </w:tc>
        <w:tc>
          <w:tcPr>
            <w:tcW w:w="1700" w:type="dxa"/>
            <w:hideMark/>
          </w:tcPr>
          <w:p w14:paraId="3F9AB3EB"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27.175,40</w:t>
            </w:r>
          </w:p>
        </w:tc>
        <w:tc>
          <w:tcPr>
            <w:tcW w:w="1700" w:type="dxa"/>
            <w:hideMark/>
          </w:tcPr>
          <w:p w14:paraId="2CF522ED"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12.068,37</w:t>
            </w:r>
          </w:p>
        </w:tc>
        <w:tc>
          <w:tcPr>
            <w:tcW w:w="1700" w:type="dxa"/>
            <w:hideMark/>
          </w:tcPr>
          <w:p w14:paraId="5349AECB"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11.348,63</w:t>
            </w:r>
          </w:p>
        </w:tc>
        <w:tc>
          <w:tcPr>
            <w:tcW w:w="1700" w:type="dxa"/>
            <w:hideMark/>
          </w:tcPr>
          <w:p w14:paraId="4CC393A3"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422.912,51</w:t>
            </w:r>
          </w:p>
        </w:tc>
      </w:tr>
      <w:tr w:rsidR="001157AA" w:rsidRPr="009772A3" w14:paraId="2992F855" w14:textId="77777777" w:rsidTr="00DE381A">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56C31A8D"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xml:space="preserve">Cheltuieli de distribuire </w:t>
            </w:r>
          </w:p>
        </w:tc>
        <w:tc>
          <w:tcPr>
            <w:tcW w:w="900" w:type="dxa"/>
            <w:hideMark/>
          </w:tcPr>
          <w:p w14:paraId="15DE669F" w14:textId="77777777" w:rsidR="001157AA" w:rsidRPr="009772A3" w:rsidRDefault="001157AA" w:rsidP="00DE381A">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050</w:t>
            </w:r>
          </w:p>
        </w:tc>
        <w:tc>
          <w:tcPr>
            <w:tcW w:w="1700" w:type="dxa"/>
            <w:hideMark/>
          </w:tcPr>
          <w:p w14:paraId="10139B9C"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1.174.667,49</w:t>
            </w:r>
          </w:p>
        </w:tc>
        <w:tc>
          <w:tcPr>
            <w:tcW w:w="1700" w:type="dxa"/>
            <w:hideMark/>
          </w:tcPr>
          <w:p w14:paraId="5B456BD7"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1.182.972,11</w:t>
            </w:r>
          </w:p>
        </w:tc>
        <w:tc>
          <w:tcPr>
            <w:tcW w:w="1700" w:type="dxa"/>
            <w:hideMark/>
          </w:tcPr>
          <w:p w14:paraId="1146EB7A"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1.379.327,01</w:t>
            </w:r>
          </w:p>
        </w:tc>
        <w:tc>
          <w:tcPr>
            <w:tcW w:w="1700" w:type="dxa"/>
            <w:hideMark/>
          </w:tcPr>
          <w:p w14:paraId="68C46F06"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1.417.415,41</w:t>
            </w:r>
          </w:p>
        </w:tc>
        <w:tc>
          <w:tcPr>
            <w:tcW w:w="1700" w:type="dxa"/>
            <w:hideMark/>
          </w:tcPr>
          <w:p w14:paraId="52E432DD"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1.979.639,48</w:t>
            </w:r>
          </w:p>
        </w:tc>
        <w:tc>
          <w:tcPr>
            <w:tcW w:w="1700" w:type="dxa"/>
            <w:hideMark/>
          </w:tcPr>
          <w:p w14:paraId="17802187"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1.767.815,00</w:t>
            </w:r>
          </w:p>
        </w:tc>
      </w:tr>
      <w:tr w:rsidR="001157AA" w:rsidRPr="009772A3" w14:paraId="358ECFF8" w14:textId="77777777" w:rsidTr="00DE38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064DA8E1"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xml:space="preserve">Cheltuieli administrative </w:t>
            </w:r>
          </w:p>
        </w:tc>
        <w:tc>
          <w:tcPr>
            <w:tcW w:w="900" w:type="dxa"/>
            <w:hideMark/>
          </w:tcPr>
          <w:p w14:paraId="6C54649A"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060</w:t>
            </w:r>
          </w:p>
        </w:tc>
        <w:tc>
          <w:tcPr>
            <w:tcW w:w="1700" w:type="dxa"/>
            <w:hideMark/>
          </w:tcPr>
          <w:p w14:paraId="7CA44FDE"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81.560,22</w:t>
            </w:r>
          </w:p>
        </w:tc>
        <w:tc>
          <w:tcPr>
            <w:tcW w:w="1700" w:type="dxa"/>
            <w:hideMark/>
          </w:tcPr>
          <w:p w14:paraId="4698F574"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94.751,72</w:t>
            </w:r>
          </w:p>
        </w:tc>
        <w:tc>
          <w:tcPr>
            <w:tcW w:w="1700" w:type="dxa"/>
            <w:hideMark/>
          </w:tcPr>
          <w:p w14:paraId="750D3C14"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76.455,53</w:t>
            </w:r>
          </w:p>
        </w:tc>
        <w:tc>
          <w:tcPr>
            <w:tcW w:w="1700" w:type="dxa"/>
            <w:hideMark/>
          </w:tcPr>
          <w:p w14:paraId="17C6BC69"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79.694,25</w:t>
            </w:r>
          </w:p>
        </w:tc>
        <w:tc>
          <w:tcPr>
            <w:tcW w:w="1700" w:type="dxa"/>
            <w:hideMark/>
          </w:tcPr>
          <w:p w14:paraId="3E36C669"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86.252,91</w:t>
            </w:r>
          </w:p>
        </w:tc>
        <w:tc>
          <w:tcPr>
            <w:tcW w:w="1700" w:type="dxa"/>
            <w:hideMark/>
          </w:tcPr>
          <w:p w14:paraId="566681CF"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84.683,89</w:t>
            </w:r>
          </w:p>
        </w:tc>
      </w:tr>
      <w:tr w:rsidR="001157AA" w:rsidRPr="009772A3" w14:paraId="2CCC4BC3" w14:textId="77777777" w:rsidTr="00DE381A">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42CD3AE7"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Alte cheltuieli din activitatea operațională</w:t>
            </w:r>
          </w:p>
        </w:tc>
        <w:tc>
          <w:tcPr>
            <w:tcW w:w="900" w:type="dxa"/>
            <w:hideMark/>
          </w:tcPr>
          <w:p w14:paraId="565999A4" w14:textId="77777777" w:rsidR="001157AA" w:rsidRPr="009772A3" w:rsidRDefault="001157AA" w:rsidP="00DE381A">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070</w:t>
            </w:r>
          </w:p>
        </w:tc>
        <w:tc>
          <w:tcPr>
            <w:tcW w:w="1700" w:type="dxa"/>
            <w:hideMark/>
          </w:tcPr>
          <w:p w14:paraId="46680DBB"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2.837,26</w:t>
            </w:r>
          </w:p>
        </w:tc>
        <w:tc>
          <w:tcPr>
            <w:tcW w:w="1700" w:type="dxa"/>
            <w:hideMark/>
          </w:tcPr>
          <w:p w14:paraId="20E3A104"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48.300,05</w:t>
            </w:r>
          </w:p>
        </w:tc>
        <w:tc>
          <w:tcPr>
            <w:tcW w:w="1700" w:type="dxa"/>
            <w:hideMark/>
          </w:tcPr>
          <w:p w14:paraId="57A4E760"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27.253,89</w:t>
            </w:r>
          </w:p>
        </w:tc>
        <w:tc>
          <w:tcPr>
            <w:tcW w:w="1700" w:type="dxa"/>
            <w:hideMark/>
          </w:tcPr>
          <w:p w14:paraId="6C4D2E4E"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3.101,30</w:t>
            </w:r>
          </w:p>
        </w:tc>
        <w:tc>
          <w:tcPr>
            <w:tcW w:w="1700" w:type="dxa"/>
            <w:hideMark/>
          </w:tcPr>
          <w:p w14:paraId="67F65DC5"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14.579,66</w:t>
            </w:r>
          </w:p>
        </w:tc>
        <w:tc>
          <w:tcPr>
            <w:tcW w:w="1700" w:type="dxa"/>
            <w:hideMark/>
          </w:tcPr>
          <w:p w14:paraId="71783D15"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26.494,14</w:t>
            </w:r>
          </w:p>
        </w:tc>
      </w:tr>
      <w:tr w:rsidR="001157AA" w:rsidRPr="009772A3" w14:paraId="1BA92A91" w14:textId="77777777" w:rsidTr="00DE381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40" w:type="dxa"/>
            <w:hideMark/>
          </w:tcPr>
          <w:p w14:paraId="34833881"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Rezultatul din activitatea operațională: profit (pierdere)</w:t>
            </w:r>
            <w:r w:rsidRPr="009772A3">
              <w:rPr>
                <w:rFonts w:ascii="Calibri Light" w:eastAsia="Times New Roman" w:hAnsi="Calibri Light" w:cs="Calibri Light"/>
                <w:sz w:val="18"/>
                <w:szCs w:val="18"/>
                <w:lang w:val="ro-MD"/>
              </w:rPr>
              <w:br/>
              <w:t xml:space="preserve"> </w:t>
            </w:r>
            <w:r w:rsidRPr="009772A3">
              <w:rPr>
                <w:rFonts w:ascii="Calibri Light" w:eastAsia="Times New Roman" w:hAnsi="Calibri Light" w:cs="Calibri Light"/>
                <w:i/>
                <w:iCs/>
                <w:sz w:val="18"/>
                <w:szCs w:val="18"/>
                <w:lang w:val="ro-MD"/>
              </w:rPr>
              <w:t>(rd.030+rd.040-rd.050-rd.060-rd.070)</w:t>
            </w:r>
          </w:p>
        </w:tc>
        <w:tc>
          <w:tcPr>
            <w:tcW w:w="900" w:type="dxa"/>
            <w:hideMark/>
          </w:tcPr>
          <w:p w14:paraId="291B7D57"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080</w:t>
            </w:r>
          </w:p>
        </w:tc>
        <w:tc>
          <w:tcPr>
            <w:tcW w:w="1700" w:type="dxa"/>
            <w:hideMark/>
          </w:tcPr>
          <w:p w14:paraId="1EA4293B"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484.807,78</w:t>
            </w:r>
          </w:p>
        </w:tc>
        <w:tc>
          <w:tcPr>
            <w:tcW w:w="1700" w:type="dxa"/>
            <w:hideMark/>
          </w:tcPr>
          <w:p w14:paraId="1ACE7FDF"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94.771,00</w:t>
            </w:r>
          </w:p>
        </w:tc>
        <w:tc>
          <w:tcPr>
            <w:tcW w:w="1700" w:type="dxa"/>
            <w:hideMark/>
          </w:tcPr>
          <w:p w14:paraId="7F0C53C4"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196.860,15</w:t>
            </w:r>
          </w:p>
        </w:tc>
        <w:tc>
          <w:tcPr>
            <w:tcW w:w="1700" w:type="dxa"/>
            <w:hideMark/>
          </w:tcPr>
          <w:p w14:paraId="16F68A88"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66.968,32</w:t>
            </w:r>
          </w:p>
        </w:tc>
        <w:tc>
          <w:tcPr>
            <w:tcW w:w="1700" w:type="dxa"/>
            <w:hideMark/>
          </w:tcPr>
          <w:p w14:paraId="0B2D2E7E"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-683.883,43</w:t>
            </w:r>
          </w:p>
        </w:tc>
        <w:tc>
          <w:tcPr>
            <w:tcW w:w="1700" w:type="dxa"/>
            <w:hideMark/>
          </w:tcPr>
          <w:p w14:paraId="5F5D5C42"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175.969,49</w:t>
            </w:r>
          </w:p>
        </w:tc>
      </w:tr>
      <w:tr w:rsidR="001157AA" w:rsidRPr="009772A3" w14:paraId="3F7DABDA" w14:textId="77777777" w:rsidTr="00DE381A">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43D2C74E"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Rezultatul din alte activități: profit (pierdere)</w:t>
            </w:r>
          </w:p>
        </w:tc>
        <w:tc>
          <w:tcPr>
            <w:tcW w:w="900" w:type="dxa"/>
            <w:hideMark/>
          </w:tcPr>
          <w:p w14:paraId="0834D1E2" w14:textId="77777777" w:rsidR="001157AA" w:rsidRPr="009772A3" w:rsidRDefault="001157AA" w:rsidP="00DE381A">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090</w:t>
            </w:r>
          </w:p>
        </w:tc>
        <w:tc>
          <w:tcPr>
            <w:tcW w:w="1700" w:type="dxa"/>
            <w:hideMark/>
          </w:tcPr>
          <w:p w14:paraId="6D6476B5"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-222.441,40</w:t>
            </w:r>
          </w:p>
        </w:tc>
        <w:tc>
          <w:tcPr>
            <w:tcW w:w="1700" w:type="dxa"/>
            <w:hideMark/>
          </w:tcPr>
          <w:p w14:paraId="422AF304"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2.028.779,83</w:t>
            </w:r>
          </w:p>
        </w:tc>
        <w:tc>
          <w:tcPr>
            <w:tcW w:w="1700" w:type="dxa"/>
            <w:hideMark/>
          </w:tcPr>
          <w:p w14:paraId="04B9C4A3"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-5.367,86</w:t>
            </w:r>
          </w:p>
        </w:tc>
        <w:tc>
          <w:tcPr>
            <w:tcW w:w="1700" w:type="dxa"/>
            <w:hideMark/>
          </w:tcPr>
          <w:p w14:paraId="65B94F12"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-44.587,53</w:t>
            </w:r>
          </w:p>
        </w:tc>
        <w:tc>
          <w:tcPr>
            <w:tcW w:w="1700" w:type="dxa"/>
            <w:hideMark/>
          </w:tcPr>
          <w:p w14:paraId="111B45AD"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7.038,69</w:t>
            </w:r>
          </w:p>
        </w:tc>
        <w:tc>
          <w:tcPr>
            <w:tcW w:w="1700" w:type="dxa"/>
            <w:hideMark/>
          </w:tcPr>
          <w:p w14:paraId="5E4CB30C"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-366.811,42</w:t>
            </w:r>
          </w:p>
        </w:tc>
      </w:tr>
      <w:tr w:rsidR="001157AA" w:rsidRPr="009772A3" w14:paraId="0B1B53D6" w14:textId="77777777" w:rsidTr="00DE381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340" w:type="dxa"/>
            <w:hideMark/>
          </w:tcPr>
          <w:p w14:paraId="53369187"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xml:space="preserve">Profit (pierdere) până la impozitare </w:t>
            </w:r>
            <w:r w:rsidRPr="009772A3">
              <w:rPr>
                <w:rFonts w:ascii="Calibri Light" w:eastAsia="Times New Roman" w:hAnsi="Calibri Light" w:cs="Calibri Light"/>
                <w:i/>
                <w:iCs/>
                <w:sz w:val="18"/>
                <w:szCs w:val="18"/>
                <w:lang w:val="ro-MD"/>
              </w:rPr>
              <w:t>(rd.080+rd.090)</w:t>
            </w:r>
          </w:p>
        </w:tc>
        <w:tc>
          <w:tcPr>
            <w:tcW w:w="900" w:type="dxa"/>
            <w:hideMark/>
          </w:tcPr>
          <w:p w14:paraId="6F79BEE2"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100</w:t>
            </w:r>
          </w:p>
        </w:tc>
        <w:tc>
          <w:tcPr>
            <w:tcW w:w="1700" w:type="dxa"/>
            <w:hideMark/>
          </w:tcPr>
          <w:p w14:paraId="2C9CD1F3"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262.366,38</w:t>
            </w:r>
          </w:p>
        </w:tc>
        <w:tc>
          <w:tcPr>
            <w:tcW w:w="1700" w:type="dxa"/>
            <w:hideMark/>
          </w:tcPr>
          <w:p w14:paraId="172F15D8"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2.123.550,83</w:t>
            </w:r>
          </w:p>
        </w:tc>
        <w:tc>
          <w:tcPr>
            <w:tcW w:w="1700" w:type="dxa"/>
            <w:hideMark/>
          </w:tcPr>
          <w:p w14:paraId="0465CCA6"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191.492,29</w:t>
            </w:r>
          </w:p>
        </w:tc>
        <w:tc>
          <w:tcPr>
            <w:tcW w:w="1700" w:type="dxa"/>
            <w:hideMark/>
          </w:tcPr>
          <w:p w14:paraId="5068B33A"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22.380,78</w:t>
            </w:r>
          </w:p>
        </w:tc>
        <w:tc>
          <w:tcPr>
            <w:tcW w:w="1700" w:type="dxa"/>
            <w:hideMark/>
          </w:tcPr>
          <w:p w14:paraId="5BB09761"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-676.844,74</w:t>
            </w:r>
          </w:p>
        </w:tc>
        <w:tc>
          <w:tcPr>
            <w:tcW w:w="1700" w:type="dxa"/>
            <w:hideMark/>
          </w:tcPr>
          <w:p w14:paraId="20AC3FE1"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-190.841,93</w:t>
            </w:r>
          </w:p>
        </w:tc>
      </w:tr>
      <w:tr w:rsidR="001157AA" w:rsidRPr="009772A3" w14:paraId="5F4C5818" w14:textId="77777777" w:rsidTr="00DE381A">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326BFBF4"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xml:space="preserve">Cheltuieli privind impozitul pe venit </w:t>
            </w:r>
          </w:p>
        </w:tc>
        <w:tc>
          <w:tcPr>
            <w:tcW w:w="900" w:type="dxa"/>
            <w:hideMark/>
          </w:tcPr>
          <w:p w14:paraId="73AD96DB" w14:textId="77777777" w:rsidR="001157AA" w:rsidRPr="009772A3" w:rsidRDefault="001157AA" w:rsidP="00DE381A">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110</w:t>
            </w:r>
          </w:p>
        </w:tc>
        <w:tc>
          <w:tcPr>
            <w:tcW w:w="1700" w:type="dxa"/>
            <w:hideMark/>
          </w:tcPr>
          <w:p w14:paraId="658139E1"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w:t>
            </w:r>
          </w:p>
        </w:tc>
        <w:tc>
          <w:tcPr>
            <w:tcW w:w="1700" w:type="dxa"/>
            <w:hideMark/>
          </w:tcPr>
          <w:p w14:paraId="2996635A"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197.470,36</w:t>
            </w:r>
          </w:p>
        </w:tc>
        <w:tc>
          <w:tcPr>
            <w:tcW w:w="1700" w:type="dxa"/>
            <w:hideMark/>
          </w:tcPr>
          <w:p w14:paraId="096E3BC8"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w:t>
            </w:r>
          </w:p>
        </w:tc>
        <w:tc>
          <w:tcPr>
            <w:tcW w:w="1700" w:type="dxa"/>
            <w:hideMark/>
          </w:tcPr>
          <w:p w14:paraId="64F81117"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w:t>
            </w:r>
          </w:p>
        </w:tc>
        <w:tc>
          <w:tcPr>
            <w:tcW w:w="1700" w:type="dxa"/>
            <w:hideMark/>
          </w:tcPr>
          <w:p w14:paraId="1BB48A5B"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w:t>
            </w:r>
          </w:p>
        </w:tc>
        <w:tc>
          <w:tcPr>
            <w:tcW w:w="1700" w:type="dxa"/>
            <w:hideMark/>
          </w:tcPr>
          <w:p w14:paraId="782C8738" w14:textId="77777777" w:rsidR="001157AA" w:rsidRPr="009772A3" w:rsidRDefault="001157AA" w:rsidP="00DE381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w:t>
            </w:r>
          </w:p>
        </w:tc>
      </w:tr>
      <w:tr w:rsidR="001157AA" w:rsidRPr="009772A3" w14:paraId="14F90708" w14:textId="77777777" w:rsidTr="00DE381A">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340" w:type="dxa"/>
            <w:hideMark/>
          </w:tcPr>
          <w:p w14:paraId="0EDC682A" w14:textId="77777777" w:rsidR="001157AA" w:rsidRPr="009772A3" w:rsidRDefault="001157AA" w:rsidP="00DE381A">
            <w:pPr>
              <w:rPr>
                <w:rFonts w:ascii="Calibri Light" w:eastAsia="Times New Roman" w:hAnsi="Calibri Light" w:cs="Calibri Light"/>
                <w:sz w:val="18"/>
                <w:szCs w:val="18"/>
                <w:lang w:val="ro-MD"/>
              </w:rPr>
            </w:pPr>
            <w:r w:rsidRPr="009772A3">
              <w:rPr>
                <w:rFonts w:ascii="Calibri Light" w:eastAsia="Times New Roman" w:hAnsi="Calibri Light" w:cs="Calibri Light"/>
                <w:sz w:val="18"/>
                <w:szCs w:val="18"/>
                <w:lang w:val="ro-MD"/>
              </w:rPr>
              <w:t xml:space="preserve">Profit net (pierdere netă) al perioadei de gestiune </w:t>
            </w:r>
            <w:r w:rsidRPr="009772A3">
              <w:rPr>
                <w:rFonts w:ascii="Calibri Light" w:eastAsia="Times New Roman" w:hAnsi="Calibri Light" w:cs="Calibri Light"/>
                <w:i/>
                <w:iCs/>
                <w:sz w:val="18"/>
                <w:szCs w:val="18"/>
                <w:lang w:val="ro-MD"/>
              </w:rPr>
              <w:t>(rd.100 - rd.110)</w:t>
            </w:r>
          </w:p>
        </w:tc>
        <w:tc>
          <w:tcPr>
            <w:tcW w:w="900" w:type="dxa"/>
            <w:hideMark/>
          </w:tcPr>
          <w:p w14:paraId="3894C5C3" w14:textId="77777777" w:rsidR="001157AA" w:rsidRPr="009772A3" w:rsidRDefault="001157AA" w:rsidP="00DE381A">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120</w:t>
            </w:r>
          </w:p>
        </w:tc>
        <w:tc>
          <w:tcPr>
            <w:tcW w:w="1700" w:type="dxa"/>
            <w:hideMark/>
          </w:tcPr>
          <w:p w14:paraId="3E738DA6"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262.366,38</w:t>
            </w:r>
          </w:p>
        </w:tc>
        <w:tc>
          <w:tcPr>
            <w:tcW w:w="1700" w:type="dxa"/>
            <w:hideMark/>
          </w:tcPr>
          <w:p w14:paraId="720E01E7"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1.926.080,47</w:t>
            </w:r>
          </w:p>
        </w:tc>
        <w:tc>
          <w:tcPr>
            <w:tcW w:w="1700" w:type="dxa"/>
            <w:hideMark/>
          </w:tcPr>
          <w:p w14:paraId="1E6BEAA3"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191.492,29</w:t>
            </w:r>
          </w:p>
        </w:tc>
        <w:tc>
          <w:tcPr>
            <w:tcW w:w="1700" w:type="dxa"/>
            <w:hideMark/>
          </w:tcPr>
          <w:p w14:paraId="2D154276"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22.380,78</w:t>
            </w:r>
          </w:p>
        </w:tc>
        <w:tc>
          <w:tcPr>
            <w:tcW w:w="1700" w:type="dxa"/>
            <w:hideMark/>
          </w:tcPr>
          <w:p w14:paraId="23A37B24"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-676.844,74</w:t>
            </w:r>
          </w:p>
        </w:tc>
        <w:tc>
          <w:tcPr>
            <w:tcW w:w="1700" w:type="dxa"/>
            <w:hideMark/>
          </w:tcPr>
          <w:p w14:paraId="51B7D87D" w14:textId="77777777" w:rsidR="001157AA" w:rsidRPr="009772A3" w:rsidRDefault="001157AA" w:rsidP="00DE381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9772A3">
              <w:rPr>
                <w:rFonts w:ascii="Calibri Light" w:eastAsia="Times New Roman" w:hAnsi="Calibri Light" w:cs="Calibri Light"/>
                <w:b/>
                <w:bCs/>
                <w:sz w:val="18"/>
                <w:szCs w:val="18"/>
                <w:lang w:val="ro-MD"/>
              </w:rPr>
              <w:t>-190.841,93</w:t>
            </w:r>
          </w:p>
        </w:tc>
      </w:tr>
      <w:tr w:rsidR="001157AA" w:rsidRPr="009772A3" w14:paraId="0E13DF34" w14:textId="77777777" w:rsidTr="00DE381A">
        <w:trPr>
          <w:trHeight w:val="744"/>
        </w:trPr>
        <w:tc>
          <w:tcPr>
            <w:cnfStyle w:val="001000000000" w:firstRow="0" w:lastRow="0" w:firstColumn="1" w:lastColumn="0" w:oddVBand="0" w:evenVBand="0" w:oddHBand="0" w:evenHBand="0" w:firstRowFirstColumn="0" w:firstRowLastColumn="0" w:lastRowFirstColumn="0" w:lastRowLastColumn="0"/>
            <w:tcW w:w="14440" w:type="dxa"/>
            <w:gridSpan w:val="8"/>
            <w:hideMark/>
          </w:tcPr>
          <w:p w14:paraId="308F8CA8" w14:textId="548931DC" w:rsidR="001157AA" w:rsidRPr="009772A3" w:rsidRDefault="001157AA" w:rsidP="00D93D05">
            <w:pPr>
              <w:rPr>
                <w:rFonts w:asciiTheme="majorHAnsi" w:eastAsia="Times New Roman" w:hAnsiTheme="majorHAnsi" w:cs="Calibri"/>
                <w:i/>
                <w:iCs/>
                <w:sz w:val="18"/>
                <w:szCs w:val="18"/>
                <w:lang w:val="ro-MD"/>
              </w:rPr>
            </w:pPr>
            <w:r w:rsidRPr="009772A3">
              <w:rPr>
                <w:rFonts w:asciiTheme="majorHAnsi" w:eastAsia="Times New Roman" w:hAnsiTheme="majorHAnsi" w:cs="Calibri"/>
                <w:i/>
                <w:iCs/>
                <w:sz w:val="18"/>
                <w:szCs w:val="18"/>
                <w:lang w:val="ro-MD"/>
              </w:rPr>
              <w:t xml:space="preserve">Sursa: Situația de profit și pierdere </w:t>
            </w:r>
            <w:r w:rsidR="009C6F5D">
              <w:rPr>
                <w:rFonts w:asciiTheme="majorHAnsi" w:eastAsia="Times New Roman" w:hAnsiTheme="majorHAnsi" w:cs="Calibri"/>
                <w:i/>
                <w:iCs/>
                <w:sz w:val="18"/>
                <w:szCs w:val="18"/>
                <w:lang w:val="ro-MD"/>
              </w:rPr>
              <w:t>ale SA Moldovagaz pe perioada 2016-2021</w:t>
            </w:r>
          </w:p>
        </w:tc>
      </w:tr>
    </w:tbl>
    <w:p w14:paraId="2E4E278A" w14:textId="77777777" w:rsidR="00EE6C39" w:rsidRPr="009772A3" w:rsidRDefault="00EE6C39">
      <w:pPr>
        <w:spacing w:line="259" w:lineRule="auto"/>
        <w:rPr>
          <w:rFonts w:asciiTheme="majorHAnsi" w:hAnsiTheme="majorHAnsi"/>
          <w:b/>
          <w:lang w:val="ro-MD"/>
        </w:rPr>
      </w:pPr>
    </w:p>
    <w:p w14:paraId="33384E73" w14:textId="77777777" w:rsidR="008A4178" w:rsidRPr="00CF3AD4" w:rsidRDefault="008A4178" w:rsidP="008F0097">
      <w:pPr>
        <w:pStyle w:val="Heading2"/>
        <w:jc w:val="center"/>
        <w:rPr>
          <w:color w:val="auto"/>
          <w:lang w:val="ro-MD"/>
        </w:rPr>
        <w:sectPr w:rsidR="008A4178" w:rsidRPr="00CF3AD4" w:rsidSect="00CF3AD4">
          <w:pgSz w:w="16838" w:h="11906" w:orient="landscape"/>
          <w:pgMar w:top="1135" w:right="1140" w:bottom="851" w:left="1418" w:header="720" w:footer="720" w:gutter="0"/>
          <w:cols w:space="720"/>
        </w:sectPr>
      </w:pPr>
    </w:p>
    <w:p w14:paraId="1892C732" w14:textId="39FDFE2D" w:rsidR="008F0097" w:rsidRPr="009772A3" w:rsidRDefault="008F0097" w:rsidP="008F0097">
      <w:pPr>
        <w:pStyle w:val="Heading2"/>
        <w:jc w:val="center"/>
        <w:rPr>
          <w:color w:val="auto"/>
          <w:lang w:val="ro-MD"/>
        </w:rPr>
      </w:pPr>
      <w:bookmarkStart w:id="300" w:name="_Toc119496485"/>
      <w:r w:rsidRPr="009772A3">
        <w:rPr>
          <w:color w:val="auto"/>
          <w:lang w:val="ro-MD"/>
        </w:rPr>
        <w:t xml:space="preserve">Anexa nr.4. </w:t>
      </w:r>
      <w:r w:rsidR="00E42E4D" w:rsidRPr="009772A3">
        <w:rPr>
          <w:color w:val="auto"/>
          <w:lang w:val="ro-MD"/>
        </w:rPr>
        <w:t>Sursele</w:t>
      </w:r>
      <w:r w:rsidRPr="009772A3">
        <w:rPr>
          <w:color w:val="auto"/>
          <w:lang w:val="ro-MD"/>
        </w:rPr>
        <w:t xml:space="preserve"> criteriil</w:t>
      </w:r>
      <w:r w:rsidR="00E42E4D" w:rsidRPr="009772A3">
        <w:rPr>
          <w:color w:val="auto"/>
          <w:lang w:val="ro-MD"/>
        </w:rPr>
        <w:t>or</w:t>
      </w:r>
      <w:r w:rsidRPr="009772A3">
        <w:rPr>
          <w:color w:val="auto"/>
          <w:lang w:val="ro-MD"/>
        </w:rPr>
        <w:t xml:space="preserve"> de evaluare</w:t>
      </w:r>
      <w:bookmarkEnd w:id="300"/>
    </w:p>
    <w:p w14:paraId="1774F01B" w14:textId="77777777" w:rsidR="00E42E4D" w:rsidRPr="009772A3" w:rsidRDefault="00E42E4D" w:rsidP="00017149">
      <w:pPr>
        <w:spacing w:after="0"/>
        <w:jc w:val="both"/>
        <w:rPr>
          <w:rFonts w:asciiTheme="majorHAnsi" w:hAnsiTheme="majorHAnsi" w:cstheme="majorHAnsi"/>
          <w:b/>
          <w:bCs/>
          <w:sz w:val="24"/>
          <w:szCs w:val="24"/>
          <w:lang w:val="ro-MD"/>
        </w:rPr>
      </w:pPr>
      <w:bookmarkStart w:id="301" w:name="_Toc47338803"/>
      <w:r w:rsidRPr="009772A3">
        <w:rPr>
          <w:rFonts w:asciiTheme="majorHAnsi" w:hAnsiTheme="majorHAnsi" w:cstheme="majorHAnsi"/>
          <w:b/>
          <w:bCs/>
          <w:sz w:val="24"/>
          <w:szCs w:val="24"/>
          <w:lang w:val="ro-MD"/>
        </w:rPr>
        <w:t xml:space="preserve">Obiectivul specific I: </w:t>
      </w:r>
      <w:bookmarkStart w:id="302" w:name="_Toc118384297"/>
      <w:r w:rsidRPr="009772A3">
        <w:rPr>
          <w:rFonts w:asciiTheme="majorHAnsi" w:hAnsiTheme="majorHAnsi" w:cstheme="majorHAnsi"/>
          <w:b/>
          <w:bCs/>
          <w:sz w:val="24"/>
          <w:szCs w:val="24"/>
          <w:lang w:val="ro-MD"/>
        </w:rPr>
        <w:t>Patrimoniul transmis în capitalul social al SA Moldovagaz a fost depus la valoarea justă, iar cotele de participare au fost determinate corect?</w:t>
      </w:r>
      <w:bookmarkEnd w:id="302"/>
    </w:p>
    <w:p w14:paraId="7C2BECE2" w14:textId="77777777" w:rsidR="00E42E4D" w:rsidRPr="009772A3" w:rsidRDefault="00E42E4D" w:rsidP="00E42E4D">
      <w:pPr>
        <w:pStyle w:val="ListParagraph"/>
        <w:numPr>
          <w:ilvl w:val="0"/>
          <w:numId w:val="38"/>
        </w:numPr>
        <w:spacing w:after="0" w:line="259" w:lineRule="auto"/>
        <w:ind w:left="284" w:hanging="284"/>
        <w:rPr>
          <w:rFonts w:asciiTheme="majorHAnsi" w:hAnsiTheme="majorHAnsi" w:cstheme="majorHAnsi"/>
          <w:sz w:val="24"/>
          <w:szCs w:val="24"/>
          <w:lang w:val="ro-MD"/>
        </w:rPr>
      </w:pPr>
      <w:r w:rsidRPr="009772A3">
        <w:rPr>
          <w:rFonts w:asciiTheme="majorHAnsi" w:hAnsiTheme="majorHAnsi" w:cstheme="majorHAnsi"/>
          <w:sz w:val="24"/>
          <w:szCs w:val="24"/>
          <w:lang w:val="ro-MD"/>
        </w:rPr>
        <w:t>Legea nr.998 din 01.04.1992 privind investițiile străine;</w:t>
      </w:r>
    </w:p>
    <w:p w14:paraId="3C2B9955" w14:textId="77777777" w:rsidR="00E42E4D" w:rsidRPr="009772A3" w:rsidRDefault="00E42E4D" w:rsidP="00E42E4D">
      <w:pPr>
        <w:pStyle w:val="ListParagraph"/>
        <w:numPr>
          <w:ilvl w:val="0"/>
          <w:numId w:val="38"/>
        </w:numPr>
        <w:spacing w:after="0" w:line="259" w:lineRule="auto"/>
        <w:ind w:left="284" w:hanging="284"/>
        <w:rPr>
          <w:rFonts w:asciiTheme="majorHAnsi" w:hAnsiTheme="majorHAnsi" w:cstheme="majorHAnsi"/>
          <w:sz w:val="24"/>
          <w:szCs w:val="24"/>
          <w:lang w:val="ro-MD"/>
        </w:rPr>
      </w:pPr>
      <w:r w:rsidRPr="009772A3">
        <w:rPr>
          <w:rFonts w:asciiTheme="majorHAnsi" w:hAnsiTheme="majorHAnsi" w:cstheme="majorHAnsi"/>
          <w:sz w:val="24"/>
          <w:szCs w:val="24"/>
          <w:lang w:val="ro-MD"/>
        </w:rPr>
        <w:t>HP nr.1556 din 26.02.98 cu privire la reorganizarea și privatizarea complexului de gaze din Republica Moldova;</w:t>
      </w:r>
    </w:p>
    <w:p w14:paraId="6FA615D6" w14:textId="619E88B8" w:rsidR="00E42E4D" w:rsidRPr="009772A3" w:rsidRDefault="00E42E4D" w:rsidP="00E42E4D">
      <w:pPr>
        <w:pStyle w:val="ListParagraph"/>
        <w:numPr>
          <w:ilvl w:val="0"/>
          <w:numId w:val="38"/>
        </w:numPr>
        <w:spacing w:after="0" w:line="259" w:lineRule="auto"/>
        <w:ind w:left="284" w:hanging="284"/>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HG nr.302 din 12.05.1995 cu privire la societatea pe acțiuni mixtă moldo-rusă de tip închis </w:t>
      </w:r>
      <w:r w:rsidR="006961F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Gazsnabtranzit</w:t>
      </w:r>
      <w:r w:rsidR="006961F3" w:rsidRPr="009772A3">
        <w:rPr>
          <w:rFonts w:asciiTheme="majorHAnsi" w:hAnsiTheme="majorHAnsi" w:cstheme="majorHAnsi"/>
          <w:sz w:val="24"/>
          <w:szCs w:val="24"/>
          <w:lang w:val="ro-MD"/>
        </w:rPr>
        <w:t>”</w:t>
      </w:r>
      <w:r w:rsidRPr="009772A3">
        <w:rPr>
          <w:rFonts w:asciiTheme="majorHAnsi" w:hAnsiTheme="majorHAnsi" w:cstheme="majorHAnsi"/>
          <w:sz w:val="24"/>
          <w:szCs w:val="24"/>
          <w:lang w:val="ro-MD"/>
        </w:rPr>
        <w:t>;</w:t>
      </w:r>
    </w:p>
    <w:p w14:paraId="51A0A947" w14:textId="77777777" w:rsidR="00E42E4D" w:rsidRPr="009772A3" w:rsidRDefault="00E42E4D" w:rsidP="00E42E4D">
      <w:pPr>
        <w:pStyle w:val="ListParagraph"/>
        <w:numPr>
          <w:ilvl w:val="0"/>
          <w:numId w:val="38"/>
        </w:numPr>
        <w:spacing w:after="0" w:line="259" w:lineRule="auto"/>
        <w:ind w:left="284" w:hanging="284"/>
        <w:rPr>
          <w:rFonts w:asciiTheme="majorHAnsi" w:hAnsiTheme="majorHAnsi" w:cstheme="majorHAnsi"/>
          <w:sz w:val="24"/>
          <w:szCs w:val="24"/>
          <w:lang w:val="ro-MD"/>
        </w:rPr>
      </w:pPr>
      <w:r w:rsidRPr="009772A3">
        <w:rPr>
          <w:rFonts w:asciiTheme="majorHAnsi" w:hAnsiTheme="majorHAnsi" w:cstheme="majorHAnsi"/>
          <w:sz w:val="24"/>
          <w:szCs w:val="24"/>
          <w:lang w:val="ro-MD"/>
        </w:rPr>
        <w:t>HG nr. 1068 din 21.10.1998 cu privire la crearea în complexul de gaze al RM a unei societăți pe acțiuni moldo-ruse;</w:t>
      </w:r>
    </w:p>
    <w:p w14:paraId="1B8AF06C" w14:textId="77777777" w:rsidR="00E42E4D" w:rsidRPr="009772A3" w:rsidRDefault="00E42E4D" w:rsidP="00E42E4D">
      <w:pPr>
        <w:spacing w:after="0"/>
        <w:rPr>
          <w:rFonts w:asciiTheme="majorHAnsi" w:hAnsiTheme="majorHAnsi" w:cstheme="majorHAnsi"/>
          <w:sz w:val="24"/>
          <w:szCs w:val="24"/>
          <w:lang w:val="ro-MD"/>
        </w:rPr>
      </w:pPr>
    </w:p>
    <w:p w14:paraId="3C361ABA" w14:textId="77777777" w:rsidR="00E42E4D" w:rsidRPr="009772A3" w:rsidRDefault="00E42E4D" w:rsidP="00017149">
      <w:pPr>
        <w:spacing w:after="0"/>
        <w:jc w:val="both"/>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 xml:space="preserve">Obiectivul specific II: </w:t>
      </w:r>
      <w:bookmarkStart w:id="303" w:name="_Toc118384306"/>
      <w:r w:rsidRPr="009772A3">
        <w:rPr>
          <w:rFonts w:asciiTheme="majorHAnsi" w:hAnsiTheme="majorHAnsi" w:cstheme="majorHAnsi"/>
          <w:b/>
          <w:bCs/>
          <w:sz w:val="24"/>
          <w:szCs w:val="24"/>
          <w:lang w:val="ro-MD"/>
        </w:rPr>
        <w:t>Planificarea, fundamentarea și realizarea investițiilor capitale la întreprinderile de gaze naturale s-a efectuat în conformitate cu reglementările aplicabile în vigoare?</w:t>
      </w:r>
      <w:bookmarkEnd w:id="303"/>
    </w:p>
    <w:p w14:paraId="02AC33F5" w14:textId="64CA1BDE"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Legea nr.721 din  02.02.1996 privind calitatea în construcții;</w:t>
      </w:r>
    </w:p>
    <w:p w14:paraId="2351DE13"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Legea nr.407 din  21.12.2006 cu privire la asigurări;</w:t>
      </w:r>
    </w:p>
    <w:p w14:paraId="16C14EDB"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Legea nr.96 din 13.04.2007 privind achizițiile publice;</w:t>
      </w:r>
    </w:p>
    <w:p w14:paraId="10FAEAC6"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Legea </w:t>
      </w:r>
      <w:r w:rsidRPr="009772A3">
        <w:rPr>
          <w:rFonts w:asciiTheme="majorHAnsi" w:hAnsiTheme="majorHAnsi" w:cstheme="majorHAnsi"/>
          <w:bCs/>
          <w:sz w:val="24"/>
          <w:szCs w:val="24"/>
          <w:lang w:val="ro-MD"/>
        </w:rPr>
        <w:t xml:space="preserve">nr.116 din 18.05.2012 </w:t>
      </w:r>
      <w:r w:rsidRPr="009772A3">
        <w:rPr>
          <w:rFonts w:asciiTheme="majorHAnsi" w:hAnsiTheme="majorHAnsi" w:cstheme="majorHAnsi"/>
          <w:sz w:val="24"/>
          <w:szCs w:val="24"/>
          <w:lang w:val="ro-MD"/>
        </w:rPr>
        <w:t>privind securitatea industrială a obiectelor industriale</w:t>
      </w:r>
      <w:r w:rsidRPr="009772A3">
        <w:rPr>
          <w:rFonts w:asciiTheme="majorHAnsi" w:hAnsiTheme="majorHAnsi" w:cstheme="majorHAnsi"/>
          <w:bCs/>
          <w:sz w:val="24"/>
          <w:szCs w:val="24"/>
          <w:lang w:val="ro-MD"/>
        </w:rPr>
        <w:t xml:space="preserve"> </w:t>
      </w:r>
      <w:r w:rsidRPr="009772A3">
        <w:rPr>
          <w:rFonts w:asciiTheme="majorHAnsi" w:hAnsiTheme="majorHAnsi" w:cstheme="majorHAnsi"/>
          <w:sz w:val="24"/>
          <w:szCs w:val="24"/>
          <w:lang w:val="ro-MD"/>
        </w:rPr>
        <w:t>periculoase;</w:t>
      </w:r>
    </w:p>
    <w:p w14:paraId="050D5EC9"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eastAsia="ru-RU"/>
        </w:rPr>
      </w:pPr>
      <w:r w:rsidRPr="009772A3">
        <w:rPr>
          <w:rFonts w:asciiTheme="majorHAnsi" w:hAnsiTheme="majorHAnsi" w:cstheme="majorHAnsi"/>
          <w:sz w:val="24"/>
          <w:szCs w:val="24"/>
          <w:lang w:val="ro-MD"/>
        </w:rPr>
        <w:t>Legea nr.74 din 21.05.2020 privind achizițiile în sectoarele energeticii, apei, transporturilor și serviciilor poștale;</w:t>
      </w:r>
    </w:p>
    <w:p w14:paraId="6CFA08FA"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eastAsia="ru-RU"/>
        </w:rPr>
      </w:pPr>
      <w:r w:rsidRPr="009772A3">
        <w:rPr>
          <w:rFonts w:asciiTheme="majorHAnsi" w:hAnsiTheme="majorHAnsi" w:cstheme="majorHAnsi"/>
          <w:sz w:val="24"/>
          <w:szCs w:val="24"/>
          <w:lang w:val="ro-MD"/>
        </w:rPr>
        <w:t>HG nr.285 din 23.05.1996 cu privire la aprobarea Regulamentului de recepție a construcțiilor și instalațiilor aferente;</w:t>
      </w:r>
    </w:p>
    <w:p w14:paraId="4F37555B"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eastAsia="ru-RU"/>
        </w:rPr>
      </w:pPr>
      <w:r w:rsidRPr="009772A3">
        <w:rPr>
          <w:rFonts w:asciiTheme="majorHAnsi" w:hAnsiTheme="majorHAnsi" w:cstheme="majorHAnsi"/>
          <w:sz w:val="24"/>
          <w:szCs w:val="24"/>
          <w:lang w:val="ro-MD"/>
        </w:rPr>
        <w:t>HG nr. 361 din 25.06.96 cu privire la asigurarea calității construcțiilor;</w:t>
      </w:r>
    </w:p>
    <w:p w14:paraId="18D26BB0"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nr.951 din 04.08.2003 pentru aprobarea Regulamentului cu privire la achizițiile publice dintr-o singură sursă;</w:t>
      </w:r>
    </w:p>
    <w:p w14:paraId="5B79FA6E"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nr.1123 din 15.09.2003 privind aprobarea Regulamentului cu privire la achizițiile publice de lucrări;</w:t>
      </w:r>
    </w:p>
    <w:p w14:paraId="71893057"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nr.1380 din 10.12.2007 privind aprobarea Regulamentului cu privire la activitatea grupului de lucru pentru achiziții;</w:t>
      </w:r>
    </w:p>
    <w:p w14:paraId="37106667"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nr.9 din 17.01.2008 privind aprobarea Regulamentului cu privire la întocmirea și păstrarea dosarului achiziției publice;</w:t>
      </w:r>
    </w:p>
    <w:p w14:paraId="0B354D5F"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nr.45 din 24.01.2008 pentru aprobarea Regulamentului cu privire la modul de întocmire și evidență a Listei de interdicție a operatorilor economici;</w:t>
      </w:r>
    </w:p>
    <w:p w14:paraId="16E5E1B9"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nr.148 din 14.02.2008 cu privire la aprobarea Regulamentului achizițiilor publice de valoare mică;</w:t>
      </w:r>
    </w:p>
    <w:p w14:paraId="0C113021"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nr.245 din 04.03.2008 pentru aprobarea Regulamentului cu privire la achiziția bunurilor și serviciilor prin cererea ofertelor de prețuri;</w:t>
      </w:r>
    </w:p>
    <w:p w14:paraId="0A702521"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nr.1404 din 10.12.2008 pentru aprobarea Regulamentului cu privire la modul de calculare a valorii estimative a contractelor de achiziții publice și planificarea acestora;</w:t>
      </w:r>
    </w:p>
    <w:p w14:paraId="0B4D0CE0"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nr.666 din 27.05.2016 pentru aprobarea Regulamentului cu privire la achiziția bunurilor și serviciilor prin cererea ofertelor de prețuri;</w:t>
      </w:r>
    </w:p>
    <w:p w14:paraId="25F3B575"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eastAsia="ru-RU"/>
        </w:rPr>
      </w:pPr>
      <w:r w:rsidRPr="009772A3">
        <w:rPr>
          <w:rFonts w:asciiTheme="majorHAnsi" w:hAnsiTheme="majorHAnsi" w:cstheme="majorHAnsi"/>
          <w:sz w:val="24"/>
          <w:szCs w:val="24"/>
          <w:lang w:val="ro-MD"/>
        </w:rPr>
        <w:t>HG nr.669 din 27.05.2016 pentru aprobarea Regulamentului privind achizițiile publice de lucrări;</w:t>
      </w:r>
    </w:p>
    <w:p w14:paraId="1185194E" w14:textId="19EFF4AE"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eastAsia="ru-RU"/>
        </w:rPr>
      </w:pPr>
      <w:r w:rsidRPr="009772A3">
        <w:rPr>
          <w:rFonts w:asciiTheme="majorHAnsi" w:hAnsiTheme="majorHAnsi" w:cstheme="majorHAnsi"/>
          <w:sz w:val="24"/>
          <w:szCs w:val="24"/>
          <w:lang w:val="ro-MD" w:eastAsia="ru-RU"/>
        </w:rPr>
        <w:t xml:space="preserve">HANRE nr.24 din 26.01.2017 cu privire la aprobarea </w:t>
      </w:r>
      <w:r w:rsidR="006961F3" w:rsidRPr="009772A3">
        <w:rPr>
          <w:rFonts w:asciiTheme="majorHAnsi" w:hAnsiTheme="majorHAnsi" w:cstheme="majorHAnsi"/>
          <w:sz w:val="24"/>
          <w:szCs w:val="24"/>
          <w:lang w:val="ro-MD" w:eastAsia="ru-RU"/>
        </w:rPr>
        <w:t>R</w:t>
      </w:r>
      <w:r w:rsidRPr="009772A3">
        <w:rPr>
          <w:rFonts w:asciiTheme="majorHAnsi" w:hAnsiTheme="majorHAnsi" w:cstheme="majorHAnsi"/>
          <w:sz w:val="24"/>
          <w:szCs w:val="24"/>
          <w:lang w:val="ro-MD" w:eastAsia="ru-RU"/>
        </w:rPr>
        <w:t>egulamentului privind procedurile de achiziție a bunurilor, lucrărilor și serviciilor utilizate în activitatea titularilor de licență din sectoarele electroenergetic, termoenergetic, gazelor naturale și a operatorilor care furnizează serviciul public de alimentare cu apă și de canalizare;</w:t>
      </w:r>
    </w:p>
    <w:p w14:paraId="3A2889F9"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HANRE nr.283 din 15.11.2016 cu privire la aprobarea Regulamentului privind planificarea, aprobarea și efectuarea investițiilor;</w:t>
      </w:r>
    </w:p>
    <w:p w14:paraId="4041D79E"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CPL.01.03-2012 „Instrucțiuni cu privire la calcularea cheltuielilor de regie la determinarea valorii obiectului”;</w:t>
      </w:r>
    </w:p>
    <w:p w14:paraId="38F9B126"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CPL.01.05-2012 „Instrucțiuni  privind determinarea valorii beneficiului de deviz la formarea prețurilor la producția de construcție”;</w:t>
      </w:r>
    </w:p>
    <w:p w14:paraId="5E0DD618"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bCs/>
          <w:sz w:val="24"/>
          <w:szCs w:val="24"/>
          <w:lang w:val="ro-MD"/>
        </w:rPr>
      </w:pPr>
      <w:r w:rsidRPr="009772A3">
        <w:rPr>
          <w:rFonts w:asciiTheme="majorHAnsi" w:hAnsiTheme="majorHAnsi" w:cstheme="majorHAnsi"/>
          <w:bCs/>
          <w:sz w:val="24"/>
          <w:szCs w:val="24"/>
          <w:lang w:val="ro-MD"/>
        </w:rPr>
        <w:t>Ordinul MF nr.118 din 06.08.2013 privind aprobarea Standardelor Naționale de Contabilitate;</w:t>
      </w:r>
    </w:p>
    <w:p w14:paraId="53DB4802" w14:textId="68ED994A" w:rsidR="00E42E4D" w:rsidRPr="009772A3" w:rsidRDefault="00E42E4D" w:rsidP="00E42E4D">
      <w:pPr>
        <w:spacing w:before="240" w:after="0"/>
        <w:jc w:val="both"/>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 xml:space="preserve">Obiectivul specific III: </w:t>
      </w:r>
      <w:bookmarkStart w:id="304" w:name="_Toc118384336"/>
      <w:r w:rsidRPr="009772A3">
        <w:rPr>
          <w:rFonts w:asciiTheme="majorHAnsi" w:hAnsiTheme="majorHAnsi" w:cstheme="majorHAnsi"/>
          <w:b/>
          <w:bCs/>
          <w:sz w:val="24"/>
          <w:szCs w:val="24"/>
          <w:lang w:val="ro-MD"/>
        </w:rPr>
        <w:t>Planificarea, executarea și raportarea cheltuielilor aferente activității operaționale ale întreprinderilor de gaze naturale s-a</w:t>
      </w:r>
      <w:r w:rsidR="00B241EE" w:rsidRPr="009772A3">
        <w:rPr>
          <w:rFonts w:asciiTheme="majorHAnsi" w:hAnsiTheme="majorHAnsi" w:cstheme="majorHAnsi"/>
          <w:b/>
          <w:bCs/>
          <w:sz w:val="24"/>
          <w:szCs w:val="24"/>
          <w:lang w:val="ro-MD"/>
        </w:rPr>
        <w:t>u</w:t>
      </w:r>
      <w:r w:rsidRPr="009772A3">
        <w:rPr>
          <w:rFonts w:asciiTheme="majorHAnsi" w:hAnsiTheme="majorHAnsi" w:cstheme="majorHAnsi"/>
          <w:b/>
          <w:bCs/>
          <w:sz w:val="24"/>
          <w:szCs w:val="24"/>
          <w:lang w:val="ro-MD"/>
        </w:rPr>
        <w:t xml:space="preserve"> efectuat în baza principiului eficienței maxime la cheltuieli minime?</w:t>
      </w:r>
      <w:bookmarkEnd w:id="304"/>
    </w:p>
    <w:p w14:paraId="1E666725" w14:textId="258A780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Codul </w:t>
      </w:r>
      <w:r w:rsidR="004C6D2F" w:rsidRPr="009772A3">
        <w:rPr>
          <w:rFonts w:asciiTheme="majorHAnsi" w:hAnsiTheme="majorHAnsi" w:cstheme="majorHAnsi"/>
          <w:sz w:val="24"/>
          <w:szCs w:val="24"/>
          <w:lang w:val="ro-MD"/>
        </w:rPr>
        <w:t>f</w:t>
      </w:r>
      <w:r w:rsidRPr="009772A3">
        <w:rPr>
          <w:rFonts w:asciiTheme="majorHAnsi" w:hAnsiTheme="majorHAnsi" w:cstheme="majorHAnsi"/>
          <w:sz w:val="24"/>
          <w:szCs w:val="24"/>
          <w:lang w:val="ro-MD"/>
        </w:rPr>
        <w:t>iscal al Republicii Moldova, aprobat prin Legea nr.1163 din 24.04.1997</w:t>
      </w:r>
    </w:p>
    <w:p w14:paraId="598FB7ED"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noProof/>
          <w:sz w:val="24"/>
          <w:szCs w:val="24"/>
          <w:lang w:val="ro-MD"/>
        </w:rPr>
      </w:pPr>
      <w:r w:rsidRPr="009772A3">
        <w:rPr>
          <w:rFonts w:asciiTheme="majorHAnsi" w:hAnsiTheme="majorHAnsi" w:cstheme="majorHAnsi"/>
          <w:noProof/>
          <w:sz w:val="24"/>
          <w:szCs w:val="24"/>
          <w:lang w:val="ro-MD"/>
        </w:rPr>
        <w:t>Codul muncii al Republicii Moldova, aprobat prin Legea nr.154 din 28.03.2003</w:t>
      </w:r>
    </w:p>
    <w:p w14:paraId="798FF5DB"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Legea nr.108 din 27.05.2016 cu privire la gazele naturale;</w:t>
      </w:r>
    </w:p>
    <w:p w14:paraId="22D7CEF1"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Legea nr.174 din 21.09. 2017 cu privire la energetică;</w:t>
      </w:r>
    </w:p>
    <w:p w14:paraId="4C2ABB1B"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Legea nr.246 din 23.11.2017 cu privire la întreprinderea de stat și întreprinderea municipală;</w:t>
      </w:r>
    </w:p>
    <w:p w14:paraId="1E58E68F"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Legea nr.287 din 15.12.2017 contabilității și raportării financiare;</w:t>
      </w:r>
    </w:p>
    <w:p w14:paraId="5391B711" w14:textId="02D94C43"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noProof/>
          <w:sz w:val="24"/>
          <w:szCs w:val="24"/>
          <w:lang w:val="ro-MD"/>
        </w:rPr>
      </w:pPr>
      <w:r w:rsidRPr="009772A3">
        <w:rPr>
          <w:rFonts w:asciiTheme="majorHAnsi" w:hAnsiTheme="majorHAnsi" w:cstheme="majorHAnsi"/>
          <w:noProof/>
          <w:sz w:val="24"/>
          <w:szCs w:val="24"/>
          <w:lang w:val="ro-MD"/>
        </w:rPr>
        <w:t>HG nr.743 din 11.06.2002 cu privire la salarizarea angajaţilor din unităţile cu autonomie financiară</w:t>
      </w:r>
      <w:r w:rsidR="004C6D2F" w:rsidRPr="009772A3">
        <w:rPr>
          <w:rFonts w:asciiTheme="majorHAnsi" w:hAnsiTheme="majorHAnsi" w:cstheme="majorHAnsi"/>
          <w:noProof/>
          <w:sz w:val="24"/>
          <w:szCs w:val="24"/>
          <w:lang w:val="ro-MD"/>
        </w:rPr>
        <w:t>;</w:t>
      </w:r>
    </w:p>
    <w:p w14:paraId="1828ED15" w14:textId="2DA2E3E9"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eastAsia="Times New Roman" w:hAnsiTheme="majorHAnsi" w:cstheme="majorHAnsi"/>
          <w:noProof/>
          <w:sz w:val="24"/>
          <w:szCs w:val="24"/>
          <w:lang w:val="ro-MD" w:eastAsia="ru-RU"/>
        </w:rPr>
        <w:t>HG nr. 98 din 04.02.2013</w:t>
      </w:r>
      <w:r w:rsidRPr="009772A3">
        <w:rPr>
          <w:rFonts w:asciiTheme="majorHAnsi" w:hAnsiTheme="majorHAnsi" w:cstheme="majorHAnsi"/>
          <w:sz w:val="24"/>
          <w:szCs w:val="24"/>
          <w:lang w:val="ro-MD"/>
        </w:rPr>
        <w:t xml:space="preserve"> cu privire la aprobarea Regulamentului privind modul de organizare a normării muncii în ramurile economiei naţionale</w:t>
      </w:r>
      <w:r w:rsidR="004C6D2F" w:rsidRPr="009772A3">
        <w:rPr>
          <w:rFonts w:asciiTheme="majorHAnsi" w:hAnsiTheme="majorHAnsi" w:cstheme="majorHAnsi"/>
          <w:sz w:val="24"/>
          <w:szCs w:val="24"/>
          <w:lang w:val="ro-MD"/>
        </w:rPr>
        <w:t>;</w:t>
      </w:r>
    </w:p>
    <w:p w14:paraId="751BF34D"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HG nr.819 din 01.07.2016 cu privire la cerințele minime de securitate și sănătate în muncă pentru lucrul la monitor;</w:t>
      </w:r>
    </w:p>
    <w:p w14:paraId="4C51C569"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HANRE nr. 385 din 12.08.2010 referitor la aprobarea Regulamentului cu privire la modul de măsurare a gazelor naturale în scopuri comerciale;</w:t>
      </w:r>
    </w:p>
    <w:p w14:paraId="780F3178" w14:textId="2F5A9522"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HANRE nr. 398/2010 din 31.12.2010 cu privire la aprobarea </w:t>
      </w:r>
      <w:r w:rsidRPr="009772A3">
        <w:rPr>
          <w:rFonts w:asciiTheme="majorHAnsi" w:hAnsiTheme="majorHAnsi" w:cstheme="majorHAnsi"/>
          <w:sz w:val="24"/>
          <w:szCs w:val="24"/>
          <w:lang w:val="ro-MD" w:eastAsia="ru-RU"/>
        </w:rPr>
        <w:t>Metodologiei de calcul a</w:t>
      </w:r>
      <w:r w:rsidR="004C6D2F" w:rsidRPr="009772A3">
        <w:rPr>
          <w:rFonts w:asciiTheme="majorHAnsi" w:hAnsiTheme="majorHAnsi" w:cstheme="majorHAnsi"/>
          <w:sz w:val="24"/>
          <w:szCs w:val="24"/>
          <w:lang w:val="ro-MD" w:eastAsia="ru-RU"/>
        </w:rPr>
        <w:t>l</w:t>
      </w:r>
      <w:r w:rsidRPr="009772A3">
        <w:rPr>
          <w:rFonts w:asciiTheme="majorHAnsi" w:hAnsiTheme="majorHAnsi" w:cstheme="majorHAnsi"/>
          <w:sz w:val="24"/>
          <w:szCs w:val="24"/>
          <w:lang w:val="ro-MD" w:eastAsia="ru-RU"/>
        </w:rPr>
        <w:t xml:space="preserve"> consumurilor tehnologi</w:t>
      </w:r>
      <w:r w:rsidR="004C6D2F" w:rsidRPr="009772A3">
        <w:rPr>
          <w:rFonts w:asciiTheme="majorHAnsi" w:hAnsiTheme="majorHAnsi" w:cstheme="majorHAnsi"/>
          <w:sz w:val="24"/>
          <w:szCs w:val="24"/>
          <w:lang w:val="ro-MD" w:eastAsia="ru-RU"/>
        </w:rPr>
        <w:t>c</w:t>
      </w:r>
      <w:r w:rsidRPr="009772A3">
        <w:rPr>
          <w:rFonts w:asciiTheme="majorHAnsi" w:hAnsiTheme="majorHAnsi" w:cstheme="majorHAnsi"/>
          <w:sz w:val="24"/>
          <w:szCs w:val="24"/>
          <w:lang w:val="ro-MD" w:eastAsia="ru-RU"/>
        </w:rPr>
        <w:t>e și al pierderilor tehnice de gaze naturale în rețelele de distribuție;</w:t>
      </w:r>
    </w:p>
    <w:p w14:paraId="79E9D11C"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HANRE nr.283/2016 din 15.11.2016 cu privire la aprobarea Regulamentului privind planificarea, aprobarea și efectuarea investițiilor;</w:t>
      </w:r>
    </w:p>
    <w:p w14:paraId="1A081D94"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HANRE nr. 482 din 13.12.2017 cu privire la aprobarea Regulamentului privind modul de monitorizare a programelor de conformitate;</w:t>
      </w:r>
    </w:p>
    <w:p w14:paraId="44637ABA" w14:textId="4F947F4A"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b/>
          <w:sz w:val="24"/>
          <w:szCs w:val="24"/>
          <w:lang w:val="ro-MD"/>
        </w:rPr>
        <w:t>Metodologia</w:t>
      </w:r>
      <w:r w:rsidRPr="009772A3">
        <w:rPr>
          <w:rFonts w:asciiTheme="majorHAnsi" w:hAnsiTheme="majorHAnsi" w:cstheme="majorHAnsi"/>
          <w:sz w:val="24"/>
          <w:szCs w:val="24"/>
          <w:lang w:val="ro-MD"/>
        </w:rPr>
        <w:t xml:space="preserve"> </w:t>
      </w:r>
      <w:r w:rsidRPr="009772A3">
        <w:rPr>
          <w:rStyle w:val="Strong"/>
          <w:rFonts w:asciiTheme="majorHAnsi" w:hAnsiTheme="majorHAnsi" w:cstheme="majorHAnsi"/>
          <w:sz w:val="24"/>
          <w:szCs w:val="24"/>
          <w:shd w:val="clear" w:color="auto" w:fill="FFFFFF"/>
          <w:lang w:val="ro-MD"/>
        </w:rPr>
        <w:t>normării consumurilor tehnologice şi pierderilor tehnice la transportarea gazelor naturale prin conducte magistrale ale Republicii Moldova</w:t>
      </w:r>
      <w:r w:rsidR="004C6D2F" w:rsidRPr="009772A3">
        <w:rPr>
          <w:rStyle w:val="Strong"/>
          <w:rFonts w:asciiTheme="majorHAnsi" w:hAnsiTheme="majorHAnsi" w:cstheme="majorHAnsi"/>
          <w:sz w:val="24"/>
          <w:szCs w:val="24"/>
          <w:shd w:val="clear" w:color="auto" w:fill="FFFFFF"/>
          <w:lang w:val="ro-MD"/>
        </w:rPr>
        <w:t>,</w:t>
      </w:r>
      <w:r w:rsidRPr="009772A3">
        <w:rPr>
          <w:rFonts w:asciiTheme="majorHAnsi" w:hAnsiTheme="majorHAnsi" w:cstheme="majorHAnsi"/>
          <w:sz w:val="24"/>
          <w:szCs w:val="24"/>
          <w:lang w:val="ro-MD"/>
        </w:rPr>
        <w:t xml:space="preserve"> adoptată prin Hotărârea Consiliului de </w:t>
      </w:r>
      <w:r w:rsidR="004C6D2F" w:rsidRPr="009772A3">
        <w:rPr>
          <w:rFonts w:asciiTheme="majorHAnsi" w:hAnsiTheme="majorHAnsi" w:cstheme="majorHAnsi"/>
          <w:sz w:val="24"/>
          <w:szCs w:val="24"/>
          <w:lang w:val="ro-MD"/>
        </w:rPr>
        <w:t>a</w:t>
      </w:r>
      <w:r w:rsidRPr="009772A3">
        <w:rPr>
          <w:rFonts w:asciiTheme="majorHAnsi" w:hAnsiTheme="majorHAnsi" w:cstheme="majorHAnsi"/>
          <w:sz w:val="24"/>
          <w:szCs w:val="24"/>
          <w:lang w:val="ro-MD"/>
        </w:rPr>
        <w:t xml:space="preserve">dministrație </w:t>
      </w:r>
      <w:r w:rsidR="004C6D2F" w:rsidRPr="009772A3">
        <w:rPr>
          <w:rFonts w:asciiTheme="majorHAnsi" w:hAnsiTheme="majorHAnsi" w:cstheme="majorHAnsi"/>
          <w:sz w:val="24"/>
          <w:szCs w:val="24"/>
          <w:lang w:val="ro-MD"/>
        </w:rPr>
        <w:t xml:space="preserve">al </w:t>
      </w:r>
      <w:r w:rsidRPr="009772A3">
        <w:rPr>
          <w:rFonts w:asciiTheme="majorHAnsi" w:hAnsiTheme="majorHAnsi" w:cstheme="majorHAnsi"/>
          <w:sz w:val="24"/>
          <w:szCs w:val="24"/>
          <w:lang w:val="ro-MD"/>
        </w:rPr>
        <w:t>ANRE nr.24 din 28 iulie 2000 (MO</w:t>
      </w:r>
      <w:r w:rsidR="004C6D2F" w:rsidRPr="009772A3">
        <w:rPr>
          <w:rFonts w:asciiTheme="majorHAnsi" w:hAnsiTheme="majorHAnsi" w:cstheme="majorHAnsi"/>
          <w:sz w:val="24"/>
          <w:szCs w:val="24"/>
          <w:lang w:val="ro-MD"/>
        </w:rPr>
        <w:t>RM</w:t>
      </w:r>
      <w:r w:rsidRPr="009772A3">
        <w:rPr>
          <w:rFonts w:asciiTheme="majorHAnsi" w:hAnsiTheme="majorHAnsi" w:cstheme="majorHAnsi"/>
          <w:sz w:val="24"/>
          <w:szCs w:val="24"/>
          <w:lang w:val="ro-MD"/>
        </w:rPr>
        <w:t>, 2000, nr.98-101, art. 290);</w:t>
      </w:r>
    </w:p>
    <w:p w14:paraId="376801BF"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HANRE nr. 482 din 13.12.2017 cu privire la aprobarea Regulamentului privind modul de monitorizare a programelor de conformitate;</w:t>
      </w:r>
    </w:p>
    <w:p w14:paraId="2C17BD80"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Metodologia de calculare a stocului de gaze naturale în gazoductele magistrale ale SRL Moldovatransgaz, aprobată de Directorul SRL Moldovatransgaz la 16.12.2019;</w:t>
      </w:r>
    </w:p>
    <w:p w14:paraId="25CDAB6C" w14:textId="0EE40EEE" w:rsidR="00E42E4D" w:rsidRPr="009772A3" w:rsidRDefault="00E42E4D" w:rsidP="00E42E4D">
      <w:pPr>
        <w:pStyle w:val="FootnoteText"/>
        <w:numPr>
          <w:ilvl w:val="0"/>
          <w:numId w:val="38"/>
        </w:numPr>
        <w:ind w:left="284" w:hanging="284"/>
        <w:jc w:val="both"/>
        <w:rPr>
          <w:rFonts w:asciiTheme="majorHAnsi" w:hAnsiTheme="majorHAnsi" w:cstheme="majorHAnsi"/>
          <w:sz w:val="24"/>
          <w:szCs w:val="24"/>
          <w:vertAlign w:val="baseline"/>
          <w:lang w:val="ro-MD"/>
        </w:rPr>
      </w:pPr>
      <w:r w:rsidRPr="009772A3">
        <w:rPr>
          <w:rFonts w:asciiTheme="majorHAnsi" w:hAnsiTheme="majorHAnsi" w:cstheme="majorHAnsi"/>
          <w:sz w:val="24"/>
          <w:szCs w:val="24"/>
          <w:vertAlign w:val="baseline"/>
          <w:lang w:val="ro-MD"/>
        </w:rPr>
        <w:t>Instrucțiuni privind completarea și prelucrarea foii de parcurs pentru autoturisme, aprobate prin Ordinul Departamentului Analize Statistice și Sociologice al Republicii Moldova nr.108 din 17.12.1998</w:t>
      </w:r>
      <w:r w:rsidR="004C6D2F" w:rsidRPr="009772A3">
        <w:rPr>
          <w:rFonts w:asciiTheme="majorHAnsi" w:hAnsiTheme="majorHAnsi" w:cstheme="majorHAnsi"/>
          <w:sz w:val="24"/>
          <w:szCs w:val="24"/>
          <w:vertAlign w:val="baseline"/>
          <w:lang w:val="ro-MD"/>
        </w:rPr>
        <w:t>;</w:t>
      </w:r>
    </w:p>
    <w:p w14:paraId="5E36127E" w14:textId="77777777" w:rsidR="00E42E4D" w:rsidRPr="009772A3" w:rsidRDefault="00E42E4D" w:rsidP="00E42E4D">
      <w:pPr>
        <w:pStyle w:val="FootnoteText"/>
        <w:jc w:val="both"/>
        <w:rPr>
          <w:rFonts w:asciiTheme="majorHAnsi" w:hAnsiTheme="majorHAnsi" w:cstheme="majorHAnsi"/>
          <w:sz w:val="24"/>
          <w:szCs w:val="24"/>
          <w:lang w:val="ro-MD"/>
        </w:rPr>
      </w:pPr>
    </w:p>
    <w:p w14:paraId="5B7057D2" w14:textId="77777777" w:rsidR="00E42E4D" w:rsidRPr="009772A3" w:rsidRDefault="00E42E4D" w:rsidP="00E42E4D">
      <w:pPr>
        <w:spacing w:after="0"/>
        <w:jc w:val="both"/>
        <w:rPr>
          <w:rFonts w:asciiTheme="majorHAnsi" w:hAnsiTheme="majorHAnsi" w:cstheme="majorHAnsi"/>
          <w:b/>
          <w:bCs/>
          <w:sz w:val="24"/>
          <w:szCs w:val="24"/>
          <w:lang w:val="ro-MD"/>
        </w:rPr>
      </w:pPr>
      <w:r w:rsidRPr="009772A3">
        <w:rPr>
          <w:rFonts w:asciiTheme="majorHAnsi" w:hAnsiTheme="majorHAnsi" w:cstheme="majorHAnsi"/>
          <w:b/>
          <w:bCs/>
          <w:sz w:val="24"/>
          <w:szCs w:val="24"/>
          <w:lang w:val="ro-MD"/>
        </w:rPr>
        <w:t xml:space="preserve">Obiectivul specific IV: </w:t>
      </w:r>
      <w:bookmarkStart w:id="305" w:name="_Toc118384365"/>
      <w:r w:rsidRPr="009772A3">
        <w:rPr>
          <w:rFonts w:asciiTheme="majorHAnsi" w:hAnsiTheme="majorHAnsi" w:cstheme="majorHAnsi"/>
          <w:b/>
          <w:bCs/>
          <w:sz w:val="24"/>
          <w:szCs w:val="24"/>
          <w:lang w:val="ro-MD"/>
        </w:rPr>
        <w:t>Procesul de gestionare a rețelelor de transport și distribuție a gazelor naturale transmise către grupul SA Moldovagaz la deservire, asigură evidența și integritatea corespunzătoare a acestor active?</w:t>
      </w:r>
      <w:bookmarkEnd w:id="305"/>
    </w:p>
    <w:p w14:paraId="7FE5EA47" w14:textId="77777777" w:rsidR="00E42E4D" w:rsidRPr="009772A3" w:rsidRDefault="00E42E4D" w:rsidP="00E42E4D">
      <w:pPr>
        <w:pStyle w:val="ListParagraph"/>
        <w:numPr>
          <w:ilvl w:val="0"/>
          <w:numId w:val="38"/>
        </w:numPr>
        <w:spacing w:after="0" w:line="259" w:lineRule="auto"/>
        <w:ind w:left="284" w:hanging="284"/>
        <w:rPr>
          <w:rFonts w:asciiTheme="majorHAnsi" w:hAnsiTheme="majorHAnsi" w:cstheme="majorHAnsi"/>
          <w:sz w:val="24"/>
          <w:szCs w:val="24"/>
          <w:lang w:val="ro-MD"/>
        </w:rPr>
      </w:pPr>
      <w:r w:rsidRPr="009772A3">
        <w:rPr>
          <w:rFonts w:asciiTheme="majorHAnsi" w:hAnsiTheme="majorHAnsi" w:cstheme="majorHAnsi"/>
          <w:sz w:val="24"/>
          <w:szCs w:val="24"/>
          <w:lang w:val="ro-MD"/>
        </w:rPr>
        <w:t>Legea nr.436-XVI din 28.12.2006 privind administrația publică locală;</w:t>
      </w:r>
    </w:p>
    <w:p w14:paraId="3259A193" w14:textId="77777777" w:rsidR="00E42E4D" w:rsidRPr="009772A3" w:rsidRDefault="00E42E4D" w:rsidP="00017149">
      <w:pPr>
        <w:pStyle w:val="ListParagraph"/>
        <w:numPr>
          <w:ilvl w:val="0"/>
          <w:numId w:val="38"/>
        </w:numPr>
        <w:spacing w:after="0" w:line="259" w:lineRule="auto"/>
        <w:ind w:left="284" w:hanging="284"/>
        <w:jc w:val="both"/>
        <w:rPr>
          <w:rFonts w:asciiTheme="majorHAnsi" w:eastAsia="SimSun" w:hAnsiTheme="majorHAnsi" w:cstheme="majorHAnsi"/>
          <w:kern w:val="3"/>
          <w:sz w:val="24"/>
          <w:szCs w:val="24"/>
          <w:lang w:val="ro-MD"/>
        </w:rPr>
      </w:pPr>
      <w:r w:rsidRPr="009772A3">
        <w:rPr>
          <w:rFonts w:asciiTheme="majorHAnsi" w:eastAsia="SimSun" w:hAnsiTheme="majorHAnsi" w:cstheme="majorHAnsi"/>
          <w:kern w:val="3"/>
          <w:sz w:val="24"/>
          <w:szCs w:val="24"/>
          <w:lang w:val="ro-MD"/>
        </w:rPr>
        <w:t>HG nr.683 din 18.06.2004 despre aprobarea Regulamentului privind modul de transmitere a rețelelor de gaze întreprinderilor de gaze ale SA Moldovagaz la deservire tehnică;</w:t>
      </w:r>
    </w:p>
    <w:p w14:paraId="339860F1" w14:textId="7777777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HANRE nr.112 din 19.04.2019 cu privire la aprobarea Regulamentului privind racordarea la rețelele de gaze naturale și prestarea serviciilor de transport și de distribuție a gazelor naturale;</w:t>
      </w:r>
    </w:p>
    <w:p w14:paraId="77CBBD89" w14:textId="5E1D7A27" w:rsidR="00E42E4D" w:rsidRPr="009772A3" w:rsidRDefault="00E42E4D" w:rsidP="00E42E4D">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HANRE nr.443/2020 din 24.11.2020 privind Metodologia de calculare, de aprobare și de aplicare a tarifelor reglementate pentru serviciul de distribuție a gazelor naturale</w:t>
      </w:r>
      <w:r w:rsidR="004C6D2F" w:rsidRPr="009772A3">
        <w:rPr>
          <w:rFonts w:asciiTheme="majorHAnsi" w:hAnsiTheme="majorHAnsi" w:cstheme="majorHAnsi"/>
          <w:sz w:val="24"/>
          <w:szCs w:val="24"/>
          <w:lang w:val="ro-MD"/>
        </w:rPr>
        <w:t>;</w:t>
      </w:r>
    </w:p>
    <w:p w14:paraId="5E33359E" w14:textId="6A71193C" w:rsidR="00E42E4D" w:rsidRPr="009772A3" w:rsidRDefault="00E42E4D" w:rsidP="00E42E4D">
      <w:pPr>
        <w:spacing w:before="240" w:after="0"/>
        <w:jc w:val="both"/>
        <w:rPr>
          <w:rFonts w:asciiTheme="majorHAnsi" w:hAnsiTheme="majorHAnsi" w:cstheme="majorHAnsi"/>
          <w:sz w:val="24"/>
          <w:szCs w:val="24"/>
          <w:lang w:val="ro-MD"/>
        </w:rPr>
      </w:pPr>
      <w:r w:rsidRPr="009772A3">
        <w:rPr>
          <w:rFonts w:asciiTheme="majorHAnsi" w:hAnsiTheme="majorHAnsi" w:cstheme="majorHAnsi"/>
          <w:b/>
          <w:bCs/>
          <w:sz w:val="24"/>
          <w:szCs w:val="24"/>
          <w:lang w:val="ro-MD"/>
        </w:rPr>
        <w:t xml:space="preserve">Obiectivul specific V: </w:t>
      </w:r>
      <w:bookmarkStart w:id="306" w:name="_Toc118384370"/>
      <w:r w:rsidRPr="009772A3">
        <w:rPr>
          <w:rFonts w:asciiTheme="majorHAnsi" w:hAnsiTheme="majorHAnsi" w:cstheme="majorHAnsi"/>
          <w:b/>
          <w:bCs/>
          <w:sz w:val="24"/>
          <w:szCs w:val="24"/>
          <w:lang w:val="ro-MD"/>
        </w:rPr>
        <w:t xml:space="preserve">A fost asigurat un management corespunzător al Societății, pentru maximizarea profiturilor și identificarea soluțiilor fiabile de rambursare a datoriilor, precum și a fost atins scopul stabilit la momentul fondării SA Moldovagaz privind </w:t>
      </w:r>
      <w:r w:rsidR="002F7FC4" w:rsidRPr="009772A3">
        <w:rPr>
          <w:rFonts w:asciiTheme="majorHAnsi" w:hAnsiTheme="majorHAnsi" w:cstheme="majorHAnsi"/>
          <w:b/>
          <w:bCs/>
          <w:sz w:val="24"/>
          <w:szCs w:val="24"/>
          <w:lang w:val="ro-MD"/>
        </w:rPr>
        <w:t>„</w:t>
      </w:r>
      <w:r w:rsidRPr="009772A3">
        <w:rPr>
          <w:rFonts w:asciiTheme="majorHAnsi" w:hAnsiTheme="majorHAnsi" w:cstheme="majorHAnsi"/>
          <w:b/>
          <w:bCs/>
          <w:sz w:val="24"/>
          <w:szCs w:val="24"/>
          <w:lang w:val="ro-MD"/>
        </w:rPr>
        <w:t>ameliorarea decontărilor şi reducer</w:t>
      </w:r>
      <w:r w:rsidR="002F7FC4" w:rsidRPr="009772A3">
        <w:rPr>
          <w:rFonts w:asciiTheme="majorHAnsi" w:hAnsiTheme="majorHAnsi" w:cstheme="majorHAnsi"/>
          <w:b/>
          <w:bCs/>
          <w:sz w:val="24"/>
          <w:szCs w:val="24"/>
          <w:lang w:val="ro-MD"/>
        </w:rPr>
        <w:t>ea</w:t>
      </w:r>
      <w:r w:rsidRPr="009772A3">
        <w:rPr>
          <w:rFonts w:asciiTheme="majorHAnsi" w:hAnsiTheme="majorHAnsi" w:cstheme="majorHAnsi"/>
          <w:b/>
          <w:bCs/>
          <w:sz w:val="24"/>
          <w:szCs w:val="24"/>
          <w:lang w:val="ro-MD"/>
        </w:rPr>
        <w:t xml:space="preserve"> datoriilor faţă de SA Gazprom</w:t>
      </w:r>
      <w:r w:rsidR="002F7FC4" w:rsidRPr="009772A3">
        <w:rPr>
          <w:rFonts w:asciiTheme="majorHAnsi" w:hAnsiTheme="majorHAnsi" w:cstheme="majorHAnsi"/>
          <w:b/>
          <w:bCs/>
          <w:sz w:val="24"/>
          <w:szCs w:val="24"/>
          <w:lang w:val="ro-MD"/>
        </w:rPr>
        <w:t>”</w:t>
      </w:r>
      <w:r w:rsidRPr="009772A3">
        <w:rPr>
          <w:rFonts w:asciiTheme="majorHAnsi" w:hAnsiTheme="majorHAnsi" w:cstheme="majorHAnsi"/>
          <w:b/>
          <w:bCs/>
          <w:sz w:val="24"/>
          <w:szCs w:val="24"/>
          <w:lang w:val="ro-MD"/>
        </w:rPr>
        <w:t>?</w:t>
      </w:r>
      <w:bookmarkEnd w:id="306"/>
    </w:p>
    <w:p w14:paraId="6D9CCA2F" w14:textId="01EAE002" w:rsidR="00E42E4D" w:rsidRPr="009772A3" w:rsidRDefault="00E42E4D" w:rsidP="00017149">
      <w:pPr>
        <w:pStyle w:val="ListParagraph"/>
        <w:numPr>
          <w:ilvl w:val="0"/>
          <w:numId w:val="38"/>
        </w:numPr>
        <w:spacing w:after="0" w:line="259" w:lineRule="auto"/>
        <w:ind w:left="284" w:hanging="284"/>
        <w:jc w:val="both"/>
        <w:rPr>
          <w:rFonts w:asciiTheme="majorHAnsi" w:hAnsiTheme="majorHAnsi" w:cstheme="majorHAnsi"/>
          <w:sz w:val="24"/>
          <w:szCs w:val="24"/>
          <w:lang w:val="ro-MD"/>
        </w:rPr>
      </w:pPr>
      <w:r w:rsidRPr="009772A3">
        <w:rPr>
          <w:rFonts w:asciiTheme="majorHAnsi" w:hAnsiTheme="majorHAnsi" w:cstheme="majorHAnsi"/>
          <w:sz w:val="24"/>
          <w:szCs w:val="24"/>
          <w:lang w:val="ro-MD"/>
        </w:rPr>
        <w:t xml:space="preserve">HANRE nr.398 din 31.12.2010 cu privire la aprobarea Metodologiei de calcul al consumurilor tehnologice şi al pierderilor tehnice de gaze naturale în reţelele de distribuţie //Monitorul Oficial </w:t>
      </w:r>
      <w:r w:rsidR="00B241EE" w:rsidRPr="009772A3">
        <w:rPr>
          <w:rFonts w:asciiTheme="majorHAnsi" w:hAnsiTheme="majorHAnsi" w:cstheme="majorHAnsi"/>
          <w:sz w:val="24"/>
          <w:szCs w:val="24"/>
          <w:lang w:val="ro-MD"/>
        </w:rPr>
        <w:t>al Republicii Moldova nr.</w:t>
      </w:r>
      <w:r w:rsidRPr="009772A3">
        <w:rPr>
          <w:rFonts w:asciiTheme="majorHAnsi" w:hAnsiTheme="majorHAnsi" w:cstheme="majorHAnsi"/>
          <w:sz w:val="24"/>
          <w:szCs w:val="24"/>
          <w:lang w:val="ro-MD"/>
        </w:rPr>
        <w:t>16-17/72, 21.01.2011.</w:t>
      </w:r>
    </w:p>
    <w:p w14:paraId="3F6C9248" w14:textId="493EC33D" w:rsidR="008F661E" w:rsidRPr="009772A3" w:rsidRDefault="008F661E" w:rsidP="008F661E">
      <w:pPr>
        <w:rPr>
          <w:rFonts w:asciiTheme="majorHAnsi" w:hAnsiTheme="majorHAnsi" w:cstheme="majorHAnsi"/>
          <w:sz w:val="24"/>
          <w:szCs w:val="24"/>
          <w:lang w:val="ro-MD"/>
        </w:rPr>
      </w:pPr>
    </w:p>
    <w:p w14:paraId="07D4D7ED" w14:textId="7E17FB88" w:rsidR="008F661E" w:rsidRPr="009772A3" w:rsidRDefault="008F661E" w:rsidP="008F661E">
      <w:pPr>
        <w:rPr>
          <w:lang w:val="ro-MD"/>
        </w:rPr>
      </w:pPr>
    </w:p>
    <w:p w14:paraId="7919994C" w14:textId="58437C3A" w:rsidR="00A54CCF" w:rsidRPr="009772A3" w:rsidRDefault="00A54CCF">
      <w:pPr>
        <w:spacing w:line="259" w:lineRule="auto"/>
        <w:rPr>
          <w:lang w:val="ro-MD"/>
        </w:rPr>
      </w:pPr>
      <w:r w:rsidRPr="009772A3">
        <w:rPr>
          <w:lang w:val="ro-MD"/>
        </w:rPr>
        <w:br w:type="page"/>
      </w:r>
    </w:p>
    <w:p w14:paraId="3001ABE4" w14:textId="42106ACC" w:rsidR="00CC6A8C" w:rsidRPr="009772A3" w:rsidRDefault="00A54CCF" w:rsidP="00A54CCF">
      <w:pPr>
        <w:pStyle w:val="Heading2"/>
        <w:jc w:val="center"/>
        <w:rPr>
          <w:color w:val="auto"/>
          <w:lang w:val="ro-MD"/>
        </w:rPr>
      </w:pPr>
      <w:bookmarkStart w:id="307" w:name="_Toc119496486"/>
      <w:r w:rsidRPr="009772A3">
        <w:rPr>
          <w:color w:val="auto"/>
          <w:lang w:val="ro-MD"/>
        </w:rPr>
        <w:t>Anexa nr.</w:t>
      </w:r>
      <w:r w:rsidR="001B6CE4" w:rsidRPr="009772A3">
        <w:rPr>
          <w:color w:val="auto"/>
          <w:lang w:val="ro-MD"/>
        </w:rPr>
        <w:t>5</w:t>
      </w:r>
      <w:r w:rsidRPr="009772A3">
        <w:rPr>
          <w:color w:val="auto"/>
          <w:lang w:val="ro-MD"/>
        </w:rPr>
        <w:t>. Informații din actele de verificare privind decontările reciproce dintre SA Gazprom, SA Moldovagaz și SRL Tiraspoltransgaz</w:t>
      </w:r>
      <w:bookmarkEnd w:id="307"/>
    </w:p>
    <w:p w14:paraId="627A6360" w14:textId="3FBDB964" w:rsidR="00A54CCF" w:rsidRPr="009772A3" w:rsidRDefault="00532FE0" w:rsidP="00532FE0">
      <w:pPr>
        <w:jc w:val="right"/>
        <w:rPr>
          <w:rFonts w:asciiTheme="majorHAnsi" w:hAnsiTheme="majorHAnsi" w:cstheme="majorHAnsi"/>
          <w:sz w:val="24"/>
          <w:lang w:val="ro-MD"/>
        </w:rPr>
      </w:pPr>
      <w:r w:rsidRPr="009772A3">
        <w:rPr>
          <w:rFonts w:asciiTheme="majorHAnsi" w:hAnsiTheme="majorHAnsi" w:cstheme="majorHAnsi"/>
          <w:sz w:val="24"/>
          <w:lang w:val="ro-MD"/>
        </w:rPr>
        <w:t>(dolari SUA)</w:t>
      </w:r>
    </w:p>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46"/>
        <w:gridCol w:w="1346"/>
        <w:gridCol w:w="1426"/>
        <w:gridCol w:w="1346"/>
        <w:gridCol w:w="945"/>
        <w:gridCol w:w="1346"/>
      </w:tblGrid>
      <w:tr w:rsidR="00537CE8" w:rsidRPr="009772A3" w14:paraId="16918430" w14:textId="77777777" w:rsidTr="00040CFB">
        <w:trPr>
          <w:trHeight w:val="20"/>
        </w:trPr>
        <w:tc>
          <w:tcPr>
            <w:tcW w:w="1985" w:type="dxa"/>
            <w:vMerge w:val="restart"/>
            <w:shd w:val="clear" w:color="auto" w:fill="auto"/>
            <w:vAlign w:val="center"/>
            <w:hideMark/>
          </w:tcPr>
          <w:p w14:paraId="7ACC3757" w14:textId="6D585641" w:rsidR="00630E8C" w:rsidRDefault="00630E8C" w:rsidP="00537CE8">
            <w:pPr>
              <w:spacing w:after="0" w:line="240" w:lineRule="auto"/>
              <w:jc w:val="center"/>
              <w:rPr>
                <w:rFonts w:asciiTheme="majorHAnsi" w:eastAsia="Times New Roman" w:hAnsiTheme="majorHAnsi" w:cstheme="majorHAnsi"/>
                <w:b/>
                <w:sz w:val="16"/>
                <w:szCs w:val="20"/>
                <w:lang w:val="ro-MD"/>
              </w:rPr>
            </w:pPr>
            <w:r>
              <w:rPr>
                <w:rFonts w:asciiTheme="majorHAnsi" w:eastAsia="Times New Roman" w:hAnsiTheme="majorHAnsi" w:cstheme="majorHAnsi"/>
                <w:b/>
                <w:sz w:val="16"/>
                <w:szCs w:val="20"/>
                <w:lang w:val="ro-MD"/>
              </w:rPr>
              <w:t>Perioada/</w:t>
            </w:r>
          </w:p>
          <w:p w14:paraId="42E41056" w14:textId="08B09EE4"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Denumire indicator</w:t>
            </w:r>
          </w:p>
        </w:tc>
        <w:tc>
          <w:tcPr>
            <w:tcW w:w="6409" w:type="dxa"/>
            <w:gridSpan w:val="5"/>
            <w:shd w:val="clear" w:color="auto" w:fill="auto"/>
            <w:vAlign w:val="center"/>
            <w:hideMark/>
          </w:tcPr>
          <w:p w14:paraId="42539CF7" w14:textId="77777777"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Conform actelor de verificare întocmite cu SA Gazprom</w:t>
            </w:r>
          </w:p>
        </w:tc>
        <w:tc>
          <w:tcPr>
            <w:tcW w:w="1346" w:type="dxa"/>
            <w:shd w:val="clear" w:color="auto" w:fill="auto"/>
            <w:vAlign w:val="center"/>
            <w:hideMark/>
          </w:tcPr>
          <w:p w14:paraId="1CB994E3" w14:textId="77777777"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Conform actelor de verificare întocmite cu SRL Tiraspoltransgaz</w:t>
            </w:r>
          </w:p>
        </w:tc>
      </w:tr>
      <w:tr w:rsidR="00537CE8" w:rsidRPr="009772A3" w14:paraId="6E4BCDB8" w14:textId="77777777" w:rsidTr="00040CFB">
        <w:trPr>
          <w:trHeight w:val="20"/>
        </w:trPr>
        <w:tc>
          <w:tcPr>
            <w:tcW w:w="1985" w:type="dxa"/>
            <w:vMerge/>
            <w:shd w:val="clear" w:color="auto" w:fill="auto"/>
            <w:vAlign w:val="center"/>
            <w:hideMark/>
          </w:tcPr>
          <w:p w14:paraId="06A04A13" w14:textId="3E72CFC6"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p>
        </w:tc>
        <w:tc>
          <w:tcPr>
            <w:tcW w:w="1346" w:type="dxa"/>
            <w:shd w:val="clear" w:color="auto" w:fill="auto"/>
            <w:vAlign w:val="center"/>
            <w:hideMark/>
          </w:tcPr>
          <w:p w14:paraId="4E46659C" w14:textId="77777777"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SA GAZPROM</w:t>
            </w:r>
          </w:p>
        </w:tc>
        <w:tc>
          <w:tcPr>
            <w:tcW w:w="1346" w:type="dxa"/>
            <w:shd w:val="clear" w:color="auto" w:fill="auto"/>
            <w:vAlign w:val="center"/>
            <w:hideMark/>
          </w:tcPr>
          <w:p w14:paraId="7DB5000A" w14:textId="025231C6"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Total RM</w:t>
            </w:r>
          </w:p>
        </w:tc>
        <w:tc>
          <w:tcPr>
            <w:tcW w:w="1426" w:type="dxa"/>
            <w:shd w:val="clear" w:color="auto" w:fill="auto"/>
            <w:vAlign w:val="center"/>
            <w:hideMark/>
          </w:tcPr>
          <w:p w14:paraId="23CF6ED4" w14:textId="77B83CEB" w:rsidR="00537CE8" w:rsidRPr="009772A3" w:rsidRDefault="00537CE8" w:rsidP="004C6D2F">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SA Moldovagaz (p</w:t>
            </w:r>
            <w:r w:rsidR="004C6D2F" w:rsidRPr="009772A3">
              <w:rPr>
                <w:rFonts w:asciiTheme="majorHAnsi" w:eastAsia="Times New Roman" w:hAnsiTheme="majorHAnsi" w:cstheme="majorHAnsi"/>
                <w:b/>
                <w:sz w:val="16"/>
                <w:szCs w:val="20"/>
                <w:lang w:val="ro-MD"/>
              </w:rPr>
              <w:t>â</w:t>
            </w:r>
            <w:r w:rsidRPr="009772A3">
              <w:rPr>
                <w:rFonts w:asciiTheme="majorHAnsi" w:eastAsia="Times New Roman" w:hAnsiTheme="majorHAnsi" w:cstheme="majorHAnsi"/>
                <w:b/>
                <w:sz w:val="16"/>
                <w:szCs w:val="20"/>
                <w:lang w:val="ro-MD"/>
              </w:rPr>
              <w:t>n</w:t>
            </w:r>
            <w:r w:rsidR="004C6D2F" w:rsidRPr="009772A3">
              <w:rPr>
                <w:rFonts w:asciiTheme="majorHAnsi" w:eastAsia="Times New Roman" w:hAnsiTheme="majorHAnsi" w:cstheme="majorHAnsi"/>
                <w:b/>
                <w:sz w:val="16"/>
                <w:szCs w:val="20"/>
                <w:lang w:val="ro-MD"/>
              </w:rPr>
              <w:t>ă</w:t>
            </w:r>
            <w:r w:rsidRPr="009772A3">
              <w:rPr>
                <w:rFonts w:asciiTheme="majorHAnsi" w:eastAsia="Times New Roman" w:hAnsiTheme="majorHAnsi" w:cstheme="majorHAnsi"/>
                <w:b/>
                <w:sz w:val="16"/>
                <w:szCs w:val="20"/>
                <w:lang w:val="ro-MD"/>
              </w:rPr>
              <w:t xml:space="preserve"> </w:t>
            </w:r>
            <w:r w:rsidR="004C6D2F" w:rsidRPr="009772A3">
              <w:rPr>
                <w:rFonts w:asciiTheme="majorHAnsi" w:eastAsia="Times New Roman" w:hAnsiTheme="majorHAnsi" w:cstheme="majorHAnsi"/>
                <w:b/>
                <w:sz w:val="16"/>
                <w:szCs w:val="20"/>
                <w:lang w:val="ro-MD"/>
              </w:rPr>
              <w:t>î</w:t>
            </w:r>
            <w:r w:rsidRPr="009772A3">
              <w:rPr>
                <w:rFonts w:asciiTheme="majorHAnsi" w:eastAsia="Times New Roman" w:hAnsiTheme="majorHAnsi" w:cstheme="majorHAnsi"/>
                <w:b/>
                <w:sz w:val="16"/>
                <w:szCs w:val="20"/>
                <w:lang w:val="ro-MD"/>
              </w:rPr>
              <w:t>n 2000 GAZSNABTRANZIT)</w:t>
            </w:r>
          </w:p>
        </w:tc>
        <w:tc>
          <w:tcPr>
            <w:tcW w:w="1346" w:type="dxa"/>
            <w:shd w:val="clear" w:color="auto" w:fill="auto"/>
            <w:vAlign w:val="center"/>
            <w:hideMark/>
          </w:tcPr>
          <w:p w14:paraId="67DB83C5" w14:textId="77777777"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SRL Tiraspoltransgaz</w:t>
            </w:r>
          </w:p>
        </w:tc>
        <w:tc>
          <w:tcPr>
            <w:tcW w:w="945" w:type="dxa"/>
            <w:shd w:val="clear" w:color="auto" w:fill="auto"/>
            <w:vAlign w:val="center"/>
            <w:hideMark/>
          </w:tcPr>
          <w:p w14:paraId="6B5B04B7" w14:textId="77777777"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Diferența</w:t>
            </w:r>
          </w:p>
        </w:tc>
        <w:tc>
          <w:tcPr>
            <w:tcW w:w="1346" w:type="dxa"/>
            <w:shd w:val="clear" w:color="auto" w:fill="auto"/>
            <w:vAlign w:val="center"/>
            <w:hideMark/>
          </w:tcPr>
          <w:p w14:paraId="1DD0CCC1" w14:textId="77777777" w:rsidR="00537CE8" w:rsidRPr="009772A3" w:rsidRDefault="00537CE8" w:rsidP="00537CE8">
            <w:pPr>
              <w:spacing w:after="0" w:line="240" w:lineRule="auto"/>
              <w:jc w:val="center"/>
              <w:rPr>
                <w:rFonts w:asciiTheme="majorHAnsi" w:eastAsia="Times New Roman" w:hAnsiTheme="majorHAnsi" w:cstheme="majorHAnsi"/>
                <w:b/>
                <w:sz w:val="16"/>
                <w:szCs w:val="20"/>
                <w:lang w:val="ro-MD"/>
              </w:rPr>
            </w:pPr>
            <w:r w:rsidRPr="009772A3">
              <w:rPr>
                <w:rFonts w:asciiTheme="majorHAnsi" w:eastAsia="Times New Roman" w:hAnsiTheme="majorHAnsi" w:cstheme="majorHAnsi"/>
                <w:b/>
                <w:sz w:val="16"/>
                <w:szCs w:val="20"/>
                <w:lang w:val="ro-MD"/>
              </w:rPr>
              <w:t>Datoria SRL Tiraspoltransgaz față de SA Moldovagaz</w:t>
            </w:r>
          </w:p>
        </w:tc>
      </w:tr>
      <w:tr w:rsidR="00040CFB" w:rsidRPr="009772A3" w14:paraId="11F01B3F" w14:textId="77777777" w:rsidTr="00040CFB">
        <w:trPr>
          <w:trHeight w:val="20"/>
        </w:trPr>
        <w:tc>
          <w:tcPr>
            <w:tcW w:w="1985" w:type="dxa"/>
            <w:shd w:val="clear" w:color="000000" w:fill="FFC000"/>
            <w:vAlign w:val="center"/>
            <w:hideMark/>
          </w:tcPr>
          <w:p w14:paraId="00026AFA"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1994</w:t>
            </w:r>
          </w:p>
        </w:tc>
        <w:tc>
          <w:tcPr>
            <w:tcW w:w="1346" w:type="dxa"/>
            <w:shd w:val="clear" w:color="auto" w:fill="auto"/>
            <w:vAlign w:val="center"/>
            <w:hideMark/>
          </w:tcPr>
          <w:p w14:paraId="77CEAEB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F10AD2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4DCF3AF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216A78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A25683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81BEA1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5DEBAF6" w14:textId="77777777" w:rsidTr="00040CFB">
        <w:trPr>
          <w:trHeight w:val="20"/>
        </w:trPr>
        <w:tc>
          <w:tcPr>
            <w:tcW w:w="1985" w:type="dxa"/>
            <w:shd w:val="clear" w:color="auto" w:fill="auto"/>
            <w:noWrap/>
            <w:vAlign w:val="center"/>
            <w:hideMark/>
          </w:tcPr>
          <w:p w14:paraId="3B81967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01.01.1994</w:t>
            </w:r>
          </w:p>
        </w:tc>
        <w:tc>
          <w:tcPr>
            <w:tcW w:w="1346" w:type="dxa"/>
            <w:shd w:val="clear" w:color="auto" w:fill="auto"/>
            <w:vAlign w:val="center"/>
            <w:hideMark/>
          </w:tcPr>
          <w:p w14:paraId="7576C8B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68FE309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22,202.00</w:t>
            </w:r>
          </w:p>
        </w:tc>
        <w:tc>
          <w:tcPr>
            <w:tcW w:w="1426" w:type="dxa"/>
            <w:shd w:val="clear" w:color="000000" w:fill="92D050"/>
            <w:vAlign w:val="center"/>
            <w:hideMark/>
          </w:tcPr>
          <w:p w14:paraId="7A9B58F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7,878.00</w:t>
            </w:r>
          </w:p>
        </w:tc>
        <w:tc>
          <w:tcPr>
            <w:tcW w:w="1346" w:type="dxa"/>
            <w:shd w:val="clear" w:color="000000" w:fill="92D050"/>
            <w:vAlign w:val="center"/>
            <w:hideMark/>
          </w:tcPr>
          <w:p w14:paraId="34B1C1F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14,324.00</w:t>
            </w:r>
          </w:p>
        </w:tc>
        <w:tc>
          <w:tcPr>
            <w:tcW w:w="945" w:type="dxa"/>
            <w:shd w:val="clear" w:color="auto" w:fill="auto"/>
            <w:vAlign w:val="center"/>
            <w:hideMark/>
          </w:tcPr>
          <w:p w14:paraId="226B1BD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217CB4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005FC7F" w14:textId="77777777" w:rsidTr="00040CFB">
        <w:trPr>
          <w:trHeight w:val="20"/>
        </w:trPr>
        <w:tc>
          <w:tcPr>
            <w:tcW w:w="1985" w:type="dxa"/>
            <w:shd w:val="clear" w:color="auto" w:fill="auto"/>
            <w:noWrap/>
            <w:vAlign w:val="center"/>
            <w:hideMark/>
          </w:tcPr>
          <w:p w14:paraId="0EB13CB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4073A8E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237,944,240.00</w:t>
            </w:r>
          </w:p>
        </w:tc>
        <w:tc>
          <w:tcPr>
            <w:tcW w:w="1346" w:type="dxa"/>
            <w:shd w:val="clear" w:color="000000" w:fill="92D050"/>
            <w:vAlign w:val="center"/>
            <w:hideMark/>
          </w:tcPr>
          <w:p w14:paraId="3024618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238,918.00</w:t>
            </w:r>
          </w:p>
        </w:tc>
        <w:tc>
          <w:tcPr>
            <w:tcW w:w="1426" w:type="dxa"/>
            <w:shd w:val="clear" w:color="000000" w:fill="92D050"/>
            <w:vAlign w:val="center"/>
            <w:hideMark/>
          </w:tcPr>
          <w:p w14:paraId="7EBDE17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152,084.00</w:t>
            </w:r>
          </w:p>
        </w:tc>
        <w:tc>
          <w:tcPr>
            <w:tcW w:w="1346" w:type="dxa"/>
            <w:shd w:val="clear" w:color="000000" w:fill="92D050"/>
            <w:vAlign w:val="center"/>
            <w:hideMark/>
          </w:tcPr>
          <w:p w14:paraId="55805EC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86,834.00</w:t>
            </w:r>
          </w:p>
        </w:tc>
        <w:tc>
          <w:tcPr>
            <w:tcW w:w="945" w:type="dxa"/>
            <w:shd w:val="clear" w:color="auto" w:fill="auto"/>
            <w:vAlign w:val="center"/>
            <w:hideMark/>
          </w:tcPr>
          <w:p w14:paraId="38C03D7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203349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84D62CD" w14:textId="77777777" w:rsidTr="00040CFB">
        <w:trPr>
          <w:trHeight w:val="20"/>
        </w:trPr>
        <w:tc>
          <w:tcPr>
            <w:tcW w:w="1985" w:type="dxa"/>
            <w:shd w:val="clear" w:color="auto" w:fill="auto"/>
            <w:noWrap/>
            <w:vAlign w:val="center"/>
            <w:hideMark/>
          </w:tcPr>
          <w:p w14:paraId="31066E5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5EC4F01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37,628,887.05</w:t>
            </w:r>
          </w:p>
        </w:tc>
        <w:tc>
          <w:tcPr>
            <w:tcW w:w="1346" w:type="dxa"/>
            <w:shd w:val="clear" w:color="000000" w:fill="92D050"/>
            <w:vAlign w:val="center"/>
            <w:hideMark/>
          </w:tcPr>
          <w:p w14:paraId="443BFB2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40,299.00</w:t>
            </w:r>
          </w:p>
        </w:tc>
        <w:tc>
          <w:tcPr>
            <w:tcW w:w="1426" w:type="dxa"/>
            <w:shd w:val="clear" w:color="000000" w:fill="92D050"/>
            <w:vAlign w:val="center"/>
            <w:hideMark/>
          </w:tcPr>
          <w:p w14:paraId="4C1DC0C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40,299.00</w:t>
            </w:r>
          </w:p>
        </w:tc>
        <w:tc>
          <w:tcPr>
            <w:tcW w:w="1346" w:type="dxa"/>
            <w:shd w:val="clear" w:color="000000" w:fill="92D050"/>
            <w:vAlign w:val="center"/>
            <w:hideMark/>
          </w:tcPr>
          <w:p w14:paraId="2C78ACE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2C8E701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F6DF49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6063CCA" w14:textId="77777777" w:rsidTr="00040CFB">
        <w:trPr>
          <w:trHeight w:val="20"/>
        </w:trPr>
        <w:tc>
          <w:tcPr>
            <w:tcW w:w="1985" w:type="dxa"/>
            <w:shd w:val="clear" w:color="auto" w:fill="auto"/>
            <w:vAlign w:val="center"/>
            <w:hideMark/>
          </w:tcPr>
          <w:p w14:paraId="1ADF0F3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Pentru tranzit</w:t>
            </w:r>
          </w:p>
        </w:tc>
        <w:tc>
          <w:tcPr>
            <w:tcW w:w="1346" w:type="dxa"/>
            <w:shd w:val="clear" w:color="auto" w:fill="auto"/>
            <w:vAlign w:val="center"/>
            <w:hideMark/>
          </w:tcPr>
          <w:p w14:paraId="7A58AD8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9,345,274.98</w:t>
            </w:r>
          </w:p>
        </w:tc>
        <w:tc>
          <w:tcPr>
            <w:tcW w:w="1346" w:type="dxa"/>
            <w:shd w:val="clear" w:color="000000" w:fill="92D050"/>
            <w:vAlign w:val="center"/>
            <w:hideMark/>
          </w:tcPr>
          <w:p w14:paraId="3706762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20,181.00</w:t>
            </w:r>
          </w:p>
        </w:tc>
        <w:tc>
          <w:tcPr>
            <w:tcW w:w="1426" w:type="dxa"/>
            <w:shd w:val="clear" w:color="000000" w:fill="92D050"/>
            <w:vAlign w:val="center"/>
            <w:hideMark/>
          </w:tcPr>
          <w:p w14:paraId="0DF07DA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9,855.00</w:t>
            </w:r>
          </w:p>
        </w:tc>
        <w:tc>
          <w:tcPr>
            <w:tcW w:w="1346" w:type="dxa"/>
            <w:shd w:val="clear" w:color="000000" w:fill="92D050"/>
            <w:vAlign w:val="center"/>
            <w:hideMark/>
          </w:tcPr>
          <w:p w14:paraId="5E12542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10,326.00</w:t>
            </w:r>
          </w:p>
        </w:tc>
        <w:tc>
          <w:tcPr>
            <w:tcW w:w="945" w:type="dxa"/>
            <w:shd w:val="clear" w:color="auto" w:fill="auto"/>
            <w:vAlign w:val="center"/>
            <w:hideMark/>
          </w:tcPr>
          <w:p w14:paraId="003425A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B945ED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31A8B72" w14:textId="77777777" w:rsidTr="00040CFB">
        <w:trPr>
          <w:trHeight w:val="20"/>
        </w:trPr>
        <w:tc>
          <w:tcPr>
            <w:tcW w:w="1985" w:type="dxa"/>
            <w:shd w:val="clear" w:color="auto" w:fill="auto"/>
            <w:vAlign w:val="center"/>
            <w:hideMark/>
          </w:tcPr>
          <w:p w14:paraId="258B696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7058108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7D7FD38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9,670.00</w:t>
            </w:r>
          </w:p>
        </w:tc>
        <w:tc>
          <w:tcPr>
            <w:tcW w:w="1426" w:type="dxa"/>
            <w:shd w:val="clear" w:color="000000" w:fill="92D050"/>
            <w:vAlign w:val="center"/>
            <w:hideMark/>
          </w:tcPr>
          <w:p w14:paraId="2BE2C7D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9,670.00</w:t>
            </w:r>
          </w:p>
        </w:tc>
        <w:tc>
          <w:tcPr>
            <w:tcW w:w="1346" w:type="dxa"/>
            <w:shd w:val="clear" w:color="000000" w:fill="92D050"/>
            <w:vAlign w:val="center"/>
            <w:hideMark/>
          </w:tcPr>
          <w:p w14:paraId="361A8A2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3332F9B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5A2015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008D8BA" w14:textId="77777777" w:rsidTr="00040CFB">
        <w:trPr>
          <w:trHeight w:val="20"/>
        </w:trPr>
        <w:tc>
          <w:tcPr>
            <w:tcW w:w="1985" w:type="dxa"/>
            <w:shd w:val="clear" w:color="auto" w:fill="auto"/>
            <w:vAlign w:val="center"/>
            <w:hideMark/>
          </w:tcPr>
          <w:p w14:paraId="17675D0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livrat în 1994 inclusiv</w:t>
            </w:r>
          </w:p>
        </w:tc>
        <w:tc>
          <w:tcPr>
            <w:tcW w:w="1346" w:type="dxa"/>
            <w:shd w:val="clear" w:color="auto" w:fill="auto"/>
            <w:vAlign w:val="center"/>
            <w:hideMark/>
          </w:tcPr>
          <w:p w14:paraId="736808A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190,970,077.97</w:t>
            </w:r>
          </w:p>
        </w:tc>
        <w:tc>
          <w:tcPr>
            <w:tcW w:w="1346" w:type="dxa"/>
            <w:shd w:val="clear" w:color="000000" w:fill="92D050"/>
            <w:vAlign w:val="center"/>
            <w:hideMark/>
          </w:tcPr>
          <w:p w14:paraId="7921540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190,970.00</w:t>
            </w:r>
          </w:p>
        </w:tc>
        <w:tc>
          <w:tcPr>
            <w:tcW w:w="1426" w:type="dxa"/>
            <w:shd w:val="clear" w:color="000000" w:fill="92D050"/>
            <w:vAlign w:val="center"/>
            <w:hideMark/>
          </w:tcPr>
          <w:p w14:paraId="0EA1442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100,138.00</w:t>
            </w:r>
          </w:p>
        </w:tc>
        <w:tc>
          <w:tcPr>
            <w:tcW w:w="1346" w:type="dxa"/>
            <w:shd w:val="clear" w:color="000000" w:fill="92D050"/>
            <w:vAlign w:val="center"/>
            <w:hideMark/>
          </w:tcPr>
          <w:p w14:paraId="5BC1054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90,832.00</w:t>
            </w:r>
          </w:p>
        </w:tc>
        <w:tc>
          <w:tcPr>
            <w:tcW w:w="945" w:type="dxa"/>
            <w:shd w:val="clear" w:color="auto" w:fill="auto"/>
            <w:vAlign w:val="center"/>
            <w:hideMark/>
          </w:tcPr>
          <w:p w14:paraId="16F5597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D7581F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69AE642" w14:textId="77777777" w:rsidTr="00040CFB">
        <w:trPr>
          <w:trHeight w:val="20"/>
        </w:trPr>
        <w:tc>
          <w:tcPr>
            <w:tcW w:w="1985" w:type="dxa"/>
            <w:shd w:val="clear" w:color="auto" w:fill="auto"/>
            <w:vAlign w:val="center"/>
            <w:hideMark/>
          </w:tcPr>
          <w:p w14:paraId="31FF7FF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Penalități pentru gaz livrat în 1994 </w:t>
            </w:r>
          </w:p>
        </w:tc>
        <w:tc>
          <w:tcPr>
            <w:tcW w:w="1346" w:type="dxa"/>
            <w:shd w:val="clear" w:color="auto" w:fill="auto"/>
            <w:vAlign w:val="center"/>
            <w:hideMark/>
          </w:tcPr>
          <w:p w14:paraId="31DC749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20,095,787.54</w:t>
            </w:r>
          </w:p>
        </w:tc>
        <w:tc>
          <w:tcPr>
            <w:tcW w:w="1346" w:type="dxa"/>
            <w:shd w:val="clear" w:color="auto" w:fill="auto"/>
            <w:vAlign w:val="center"/>
            <w:hideMark/>
          </w:tcPr>
          <w:p w14:paraId="7172244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42E71DB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76D13C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E9BDE7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CB2E8D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CFA979A" w14:textId="77777777" w:rsidTr="00040CFB">
        <w:trPr>
          <w:trHeight w:val="20"/>
        </w:trPr>
        <w:tc>
          <w:tcPr>
            <w:tcW w:w="1985" w:type="dxa"/>
            <w:shd w:val="clear" w:color="000000" w:fill="FFC000"/>
            <w:vAlign w:val="center"/>
            <w:hideMark/>
          </w:tcPr>
          <w:p w14:paraId="14180E92"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1995</w:t>
            </w:r>
          </w:p>
        </w:tc>
        <w:tc>
          <w:tcPr>
            <w:tcW w:w="1346" w:type="dxa"/>
            <w:shd w:val="clear" w:color="auto" w:fill="auto"/>
            <w:vAlign w:val="center"/>
            <w:hideMark/>
          </w:tcPr>
          <w:p w14:paraId="79F3BE2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6D279B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39541D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00CC5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4FA0B2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78A3AB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804CDF7" w14:textId="77777777" w:rsidTr="00040CFB">
        <w:trPr>
          <w:trHeight w:val="20"/>
        </w:trPr>
        <w:tc>
          <w:tcPr>
            <w:tcW w:w="1985" w:type="dxa"/>
            <w:shd w:val="clear" w:color="auto" w:fill="auto"/>
            <w:vAlign w:val="center"/>
            <w:hideMark/>
          </w:tcPr>
          <w:p w14:paraId="6B1F907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livrat în 1994 inclusiv</w:t>
            </w:r>
          </w:p>
        </w:tc>
        <w:tc>
          <w:tcPr>
            <w:tcW w:w="1346" w:type="dxa"/>
            <w:shd w:val="clear" w:color="auto" w:fill="auto"/>
            <w:vAlign w:val="center"/>
            <w:hideMark/>
          </w:tcPr>
          <w:p w14:paraId="34F63BB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190,970,077.97</w:t>
            </w:r>
          </w:p>
        </w:tc>
        <w:tc>
          <w:tcPr>
            <w:tcW w:w="1346" w:type="dxa"/>
            <w:shd w:val="clear" w:color="auto" w:fill="auto"/>
            <w:vAlign w:val="center"/>
            <w:hideMark/>
          </w:tcPr>
          <w:p w14:paraId="655C9E9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D3CBD8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E40BAF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45263E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7CFBFF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576C111" w14:textId="77777777" w:rsidTr="00040CFB">
        <w:trPr>
          <w:trHeight w:val="20"/>
        </w:trPr>
        <w:tc>
          <w:tcPr>
            <w:tcW w:w="1985" w:type="dxa"/>
            <w:shd w:val="clear" w:color="auto" w:fill="auto"/>
            <w:noWrap/>
            <w:vAlign w:val="center"/>
            <w:hideMark/>
          </w:tcPr>
          <w:p w14:paraId="24CB913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308DBD1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772,629.08</w:t>
            </w:r>
          </w:p>
        </w:tc>
        <w:tc>
          <w:tcPr>
            <w:tcW w:w="1346" w:type="dxa"/>
            <w:shd w:val="clear" w:color="auto" w:fill="auto"/>
            <w:vAlign w:val="center"/>
            <w:hideMark/>
          </w:tcPr>
          <w:p w14:paraId="489B453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07BA20A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A8259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5C2294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4B66CB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BF64C7B" w14:textId="77777777" w:rsidTr="00040CFB">
        <w:trPr>
          <w:trHeight w:val="20"/>
        </w:trPr>
        <w:tc>
          <w:tcPr>
            <w:tcW w:w="1985" w:type="dxa"/>
            <w:shd w:val="clear" w:color="auto" w:fill="auto"/>
            <w:vAlign w:val="center"/>
            <w:hideMark/>
          </w:tcPr>
          <w:p w14:paraId="4B90042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6EFB95C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12,508,045.50</w:t>
            </w:r>
          </w:p>
        </w:tc>
        <w:tc>
          <w:tcPr>
            <w:tcW w:w="1346" w:type="dxa"/>
            <w:shd w:val="clear" w:color="auto" w:fill="auto"/>
            <w:vAlign w:val="center"/>
            <w:hideMark/>
          </w:tcPr>
          <w:p w14:paraId="44AD855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4FE19EF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D9D533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78D14E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A67D22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5A6288C" w14:textId="77777777" w:rsidTr="00040CFB">
        <w:trPr>
          <w:trHeight w:val="20"/>
        </w:trPr>
        <w:tc>
          <w:tcPr>
            <w:tcW w:w="1985" w:type="dxa"/>
            <w:shd w:val="clear" w:color="auto" w:fill="auto"/>
            <w:vAlign w:val="center"/>
            <w:hideMark/>
          </w:tcPr>
          <w:p w14:paraId="37EB230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52AB317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177,689,403.39</w:t>
            </w:r>
          </w:p>
        </w:tc>
        <w:tc>
          <w:tcPr>
            <w:tcW w:w="1346" w:type="dxa"/>
            <w:shd w:val="clear" w:color="auto" w:fill="auto"/>
            <w:vAlign w:val="center"/>
            <w:hideMark/>
          </w:tcPr>
          <w:p w14:paraId="0C96448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7BCED64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8FEBA8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F46C65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934477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1039A38" w14:textId="77777777" w:rsidTr="00040CFB">
        <w:trPr>
          <w:trHeight w:val="20"/>
        </w:trPr>
        <w:tc>
          <w:tcPr>
            <w:tcW w:w="1985" w:type="dxa"/>
            <w:shd w:val="clear" w:color="auto" w:fill="auto"/>
            <w:vAlign w:val="center"/>
            <w:hideMark/>
          </w:tcPr>
          <w:p w14:paraId="1FD5A5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Penalități pentru gaz livrat în 1994 </w:t>
            </w:r>
          </w:p>
        </w:tc>
        <w:tc>
          <w:tcPr>
            <w:tcW w:w="1346" w:type="dxa"/>
            <w:shd w:val="clear" w:color="auto" w:fill="auto"/>
            <w:vAlign w:val="center"/>
            <w:hideMark/>
          </w:tcPr>
          <w:p w14:paraId="624CD15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12,356,255.23</w:t>
            </w:r>
          </w:p>
        </w:tc>
        <w:tc>
          <w:tcPr>
            <w:tcW w:w="1346" w:type="dxa"/>
            <w:shd w:val="clear" w:color="auto" w:fill="auto"/>
            <w:vAlign w:val="center"/>
            <w:hideMark/>
          </w:tcPr>
          <w:p w14:paraId="3807E3E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1BFD57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76CEBF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8A4D28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62E15B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BE81285" w14:textId="77777777" w:rsidTr="00040CFB">
        <w:trPr>
          <w:trHeight w:val="20"/>
        </w:trPr>
        <w:tc>
          <w:tcPr>
            <w:tcW w:w="1985" w:type="dxa"/>
            <w:shd w:val="clear" w:color="000000" w:fill="FFC000"/>
            <w:vAlign w:val="center"/>
            <w:hideMark/>
          </w:tcPr>
          <w:p w14:paraId="12D314C4"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1996</w:t>
            </w:r>
          </w:p>
        </w:tc>
        <w:tc>
          <w:tcPr>
            <w:tcW w:w="1346" w:type="dxa"/>
            <w:shd w:val="clear" w:color="auto" w:fill="auto"/>
            <w:vAlign w:val="center"/>
            <w:hideMark/>
          </w:tcPr>
          <w:p w14:paraId="46D06F8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55477F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548A653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C58E05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8A2634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8C6C10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FD1E4C1" w14:textId="77777777" w:rsidTr="00040CFB">
        <w:trPr>
          <w:trHeight w:val="20"/>
        </w:trPr>
        <w:tc>
          <w:tcPr>
            <w:tcW w:w="1985" w:type="dxa"/>
            <w:shd w:val="clear" w:color="auto" w:fill="auto"/>
            <w:noWrap/>
            <w:vAlign w:val="center"/>
            <w:hideMark/>
          </w:tcPr>
          <w:p w14:paraId="0D2C1CB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01.01.1996</w:t>
            </w:r>
          </w:p>
        </w:tc>
        <w:tc>
          <w:tcPr>
            <w:tcW w:w="1346" w:type="dxa"/>
            <w:shd w:val="clear" w:color="000000" w:fill="FF0000"/>
            <w:vAlign w:val="center"/>
            <w:hideMark/>
          </w:tcPr>
          <w:p w14:paraId="7057257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103,192,249.40</w:t>
            </w:r>
          </w:p>
        </w:tc>
        <w:tc>
          <w:tcPr>
            <w:tcW w:w="1346" w:type="dxa"/>
            <w:shd w:val="clear" w:color="auto" w:fill="auto"/>
            <w:vAlign w:val="center"/>
            <w:hideMark/>
          </w:tcPr>
          <w:p w14:paraId="5A457BB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6A9161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FC16A0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A0DDAE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09283A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B55401A" w14:textId="77777777" w:rsidTr="00040CFB">
        <w:trPr>
          <w:trHeight w:val="20"/>
        </w:trPr>
        <w:tc>
          <w:tcPr>
            <w:tcW w:w="1985" w:type="dxa"/>
            <w:shd w:val="clear" w:color="auto" w:fill="auto"/>
            <w:noWrap/>
            <w:vAlign w:val="center"/>
            <w:hideMark/>
          </w:tcPr>
          <w:p w14:paraId="378B708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7B68E8C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6,585,479.54</w:t>
            </w:r>
          </w:p>
        </w:tc>
        <w:tc>
          <w:tcPr>
            <w:tcW w:w="1346" w:type="dxa"/>
            <w:shd w:val="clear" w:color="auto" w:fill="auto"/>
            <w:vAlign w:val="center"/>
            <w:hideMark/>
          </w:tcPr>
          <w:p w14:paraId="02B6C5D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8D01E0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31C950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A8D73D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FA22AE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BA412E8" w14:textId="77777777" w:rsidTr="00040CFB">
        <w:trPr>
          <w:trHeight w:val="20"/>
        </w:trPr>
        <w:tc>
          <w:tcPr>
            <w:tcW w:w="1985" w:type="dxa"/>
            <w:shd w:val="clear" w:color="auto" w:fill="auto"/>
            <w:vAlign w:val="center"/>
            <w:hideMark/>
          </w:tcPr>
          <w:p w14:paraId="4568462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4C5827F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16,744,538.32</w:t>
            </w:r>
          </w:p>
        </w:tc>
        <w:tc>
          <w:tcPr>
            <w:tcW w:w="1346" w:type="dxa"/>
            <w:shd w:val="clear" w:color="auto" w:fill="auto"/>
            <w:vAlign w:val="center"/>
            <w:hideMark/>
          </w:tcPr>
          <w:p w14:paraId="6D0170B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B4D00D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426A13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9034B6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E700CB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5EE6694" w14:textId="77777777" w:rsidTr="00040CFB">
        <w:trPr>
          <w:trHeight w:val="20"/>
        </w:trPr>
        <w:tc>
          <w:tcPr>
            <w:tcW w:w="1985" w:type="dxa"/>
            <w:shd w:val="clear" w:color="auto" w:fill="auto"/>
            <w:vAlign w:val="center"/>
            <w:hideMark/>
          </w:tcPr>
          <w:p w14:paraId="10ABB66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26813D0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79,862,231.54</w:t>
            </w:r>
          </w:p>
        </w:tc>
        <w:tc>
          <w:tcPr>
            <w:tcW w:w="1346" w:type="dxa"/>
            <w:shd w:val="clear" w:color="auto" w:fill="auto"/>
            <w:vAlign w:val="center"/>
            <w:hideMark/>
          </w:tcPr>
          <w:p w14:paraId="470DE99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7BC70F5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EA51D8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F6AAD7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A8D9DD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94442CE" w14:textId="77777777" w:rsidTr="00040CFB">
        <w:trPr>
          <w:trHeight w:val="20"/>
        </w:trPr>
        <w:tc>
          <w:tcPr>
            <w:tcW w:w="1985" w:type="dxa"/>
            <w:shd w:val="clear" w:color="auto" w:fill="auto"/>
            <w:vAlign w:val="center"/>
            <w:hideMark/>
          </w:tcPr>
          <w:p w14:paraId="0BD6FED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Penalități pentru gaz livrat în 1994 </w:t>
            </w:r>
          </w:p>
        </w:tc>
        <w:tc>
          <w:tcPr>
            <w:tcW w:w="1346" w:type="dxa"/>
            <w:shd w:val="clear" w:color="auto" w:fill="auto"/>
            <w:vAlign w:val="center"/>
            <w:hideMark/>
          </w:tcPr>
          <w:p w14:paraId="51FADDA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15,443,575.99</w:t>
            </w:r>
          </w:p>
        </w:tc>
        <w:tc>
          <w:tcPr>
            <w:tcW w:w="1346" w:type="dxa"/>
            <w:shd w:val="clear" w:color="auto" w:fill="auto"/>
            <w:vAlign w:val="center"/>
            <w:hideMark/>
          </w:tcPr>
          <w:p w14:paraId="201683A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AC5365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AC1B86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4CC7F1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43390B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381D05A" w14:textId="77777777" w:rsidTr="00040CFB">
        <w:trPr>
          <w:trHeight w:val="20"/>
        </w:trPr>
        <w:tc>
          <w:tcPr>
            <w:tcW w:w="1985" w:type="dxa"/>
            <w:shd w:val="clear" w:color="000000" w:fill="FFC000"/>
            <w:vAlign w:val="center"/>
            <w:hideMark/>
          </w:tcPr>
          <w:p w14:paraId="203A4D91"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1997</w:t>
            </w:r>
          </w:p>
        </w:tc>
        <w:tc>
          <w:tcPr>
            <w:tcW w:w="1346" w:type="dxa"/>
            <w:shd w:val="clear" w:color="auto" w:fill="auto"/>
            <w:vAlign w:val="center"/>
            <w:hideMark/>
          </w:tcPr>
          <w:p w14:paraId="77BE6D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F8DA91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589BF99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2C419A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81A2F0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F8A30E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2CD3599" w14:textId="77777777" w:rsidTr="00040CFB">
        <w:trPr>
          <w:trHeight w:val="20"/>
        </w:trPr>
        <w:tc>
          <w:tcPr>
            <w:tcW w:w="1985" w:type="dxa"/>
            <w:shd w:val="clear" w:color="auto" w:fill="auto"/>
            <w:noWrap/>
            <w:vAlign w:val="center"/>
            <w:hideMark/>
          </w:tcPr>
          <w:p w14:paraId="20C84BE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01.01.1997</w:t>
            </w:r>
          </w:p>
        </w:tc>
        <w:tc>
          <w:tcPr>
            <w:tcW w:w="1346" w:type="dxa"/>
            <w:shd w:val="clear" w:color="000000" w:fill="FF0000"/>
            <w:vAlign w:val="center"/>
            <w:hideMark/>
          </w:tcPr>
          <w:p w14:paraId="3F150E4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79,877,105.30</w:t>
            </w:r>
          </w:p>
        </w:tc>
        <w:tc>
          <w:tcPr>
            <w:tcW w:w="1346" w:type="dxa"/>
            <w:shd w:val="clear" w:color="auto" w:fill="auto"/>
            <w:vAlign w:val="center"/>
            <w:hideMark/>
          </w:tcPr>
          <w:p w14:paraId="25D16B1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E06657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6704A3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CDC301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62CE15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958EF3A" w14:textId="77777777" w:rsidTr="00040CFB">
        <w:trPr>
          <w:trHeight w:val="20"/>
        </w:trPr>
        <w:tc>
          <w:tcPr>
            <w:tcW w:w="1985" w:type="dxa"/>
            <w:shd w:val="clear" w:color="auto" w:fill="auto"/>
            <w:noWrap/>
            <w:vAlign w:val="center"/>
            <w:hideMark/>
          </w:tcPr>
          <w:p w14:paraId="438FD84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0069ACB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348,333.04</w:t>
            </w:r>
          </w:p>
        </w:tc>
        <w:tc>
          <w:tcPr>
            <w:tcW w:w="1346" w:type="dxa"/>
            <w:shd w:val="clear" w:color="auto" w:fill="auto"/>
            <w:vAlign w:val="center"/>
            <w:hideMark/>
          </w:tcPr>
          <w:p w14:paraId="71127D9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D6885F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DE8058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9282FA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5B91B4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7552F6C" w14:textId="77777777" w:rsidTr="00040CFB">
        <w:trPr>
          <w:trHeight w:val="20"/>
        </w:trPr>
        <w:tc>
          <w:tcPr>
            <w:tcW w:w="1985" w:type="dxa"/>
            <w:shd w:val="clear" w:color="auto" w:fill="auto"/>
            <w:vAlign w:val="center"/>
            <w:hideMark/>
          </w:tcPr>
          <w:p w14:paraId="1477E8D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572B22C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70,643,406.60</w:t>
            </w:r>
          </w:p>
        </w:tc>
        <w:tc>
          <w:tcPr>
            <w:tcW w:w="1346" w:type="dxa"/>
            <w:shd w:val="clear" w:color="auto" w:fill="auto"/>
            <w:vAlign w:val="center"/>
            <w:hideMark/>
          </w:tcPr>
          <w:p w14:paraId="2CE1A3A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75101F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9C4F33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3B43FD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5018B9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79FA176" w14:textId="77777777" w:rsidTr="00040CFB">
        <w:trPr>
          <w:trHeight w:val="20"/>
        </w:trPr>
        <w:tc>
          <w:tcPr>
            <w:tcW w:w="1985" w:type="dxa"/>
            <w:shd w:val="clear" w:color="auto" w:fill="auto"/>
            <w:vAlign w:val="center"/>
            <w:hideMark/>
          </w:tcPr>
          <w:p w14:paraId="04E9973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105BCD7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346" w:type="dxa"/>
            <w:shd w:val="clear" w:color="auto" w:fill="auto"/>
            <w:vAlign w:val="center"/>
            <w:hideMark/>
          </w:tcPr>
          <w:p w14:paraId="2CE5FA9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0DCB3AB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898396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2DDE8E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63B9A6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E8F58E2" w14:textId="77777777" w:rsidTr="00040CFB">
        <w:trPr>
          <w:trHeight w:val="20"/>
        </w:trPr>
        <w:tc>
          <w:tcPr>
            <w:tcW w:w="1985" w:type="dxa"/>
            <w:shd w:val="clear" w:color="auto" w:fill="auto"/>
            <w:vAlign w:val="center"/>
            <w:hideMark/>
          </w:tcPr>
          <w:p w14:paraId="0004009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Penalități pentru gaz livrat în 1994 </w:t>
            </w:r>
          </w:p>
        </w:tc>
        <w:tc>
          <w:tcPr>
            <w:tcW w:w="1346" w:type="dxa"/>
            <w:shd w:val="clear" w:color="auto" w:fill="auto"/>
            <w:vAlign w:val="center"/>
            <w:hideMark/>
          </w:tcPr>
          <w:p w14:paraId="3496487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11,478,251.81</w:t>
            </w:r>
          </w:p>
        </w:tc>
        <w:tc>
          <w:tcPr>
            <w:tcW w:w="1346" w:type="dxa"/>
            <w:shd w:val="clear" w:color="auto" w:fill="auto"/>
            <w:vAlign w:val="center"/>
            <w:hideMark/>
          </w:tcPr>
          <w:p w14:paraId="0466C0E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7502D35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8719C8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98E13C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A9A5A8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55570F8" w14:textId="77777777" w:rsidTr="00040CFB">
        <w:trPr>
          <w:trHeight w:val="20"/>
        </w:trPr>
        <w:tc>
          <w:tcPr>
            <w:tcW w:w="1985" w:type="dxa"/>
            <w:shd w:val="clear" w:color="000000" w:fill="FFC000"/>
            <w:vAlign w:val="center"/>
            <w:hideMark/>
          </w:tcPr>
          <w:p w14:paraId="4B6356FA"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1998</w:t>
            </w:r>
          </w:p>
        </w:tc>
        <w:tc>
          <w:tcPr>
            <w:tcW w:w="1346" w:type="dxa"/>
            <w:shd w:val="clear" w:color="auto" w:fill="auto"/>
            <w:vAlign w:val="center"/>
            <w:hideMark/>
          </w:tcPr>
          <w:p w14:paraId="3D0C841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4346D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0A5201F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722E05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00426A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A4B49A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B8949E3" w14:textId="77777777" w:rsidTr="00040CFB">
        <w:trPr>
          <w:trHeight w:val="20"/>
        </w:trPr>
        <w:tc>
          <w:tcPr>
            <w:tcW w:w="1985" w:type="dxa"/>
            <w:shd w:val="clear" w:color="auto" w:fill="auto"/>
            <w:noWrap/>
            <w:vAlign w:val="center"/>
            <w:hideMark/>
          </w:tcPr>
          <w:p w14:paraId="0FE5833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01.01.1997</w:t>
            </w:r>
          </w:p>
        </w:tc>
        <w:tc>
          <w:tcPr>
            <w:tcW w:w="1346" w:type="dxa"/>
            <w:shd w:val="clear" w:color="auto" w:fill="auto"/>
            <w:vAlign w:val="center"/>
            <w:hideMark/>
          </w:tcPr>
          <w:p w14:paraId="72E7B62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346" w:type="dxa"/>
            <w:shd w:val="clear" w:color="auto" w:fill="auto"/>
            <w:vAlign w:val="center"/>
            <w:hideMark/>
          </w:tcPr>
          <w:p w14:paraId="3E44334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5970630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794699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3A2F84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E1CA24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E00F063" w14:textId="77777777" w:rsidTr="00040CFB">
        <w:trPr>
          <w:trHeight w:val="20"/>
        </w:trPr>
        <w:tc>
          <w:tcPr>
            <w:tcW w:w="1985" w:type="dxa"/>
            <w:shd w:val="clear" w:color="auto" w:fill="auto"/>
            <w:noWrap/>
            <w:vAlign w:val="center"/>
            <w:hideMark/>
          </w:tcPr>
          <w:p w14:paraId="35D2DED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75BB678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1803B5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F71CF4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C2999A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2F7903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E64D9B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C9B5C19" w14:textId="77777777" w:rsidTr="00040CFB">
        <w:trPr>
          <w:trHeight w:val="20"/>
        </w:trPr>
        <w:tc>
          <w:tcPr>
            <w:tcW w:w="1985" w:type="dxa"/>
            <w:shd w:val="clear" w:color="auto" w:fill="auto"/>
            <w:vAlign w:val="center"/>
            <w:hideMark/>
          </w:tcPr>
          <w:p w14:paraId="7E7186E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6451500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E778C4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B4D966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A8FA4A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3ABFC7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801801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B68A5F9" w14:textId="77777777" w:rsidTr="00040CFB">
        <w:trPr>
          <w:trHeight w:val="20"/>
        </w:trPr>
        <w:tc>
          <w:tcPr>
            <w:tcW w:w="1985" w:type="dxa"/>
            <w:shd w:val="clear" w:color="auto" w:fill="auto"/>
            <w:vAlign w:val="center"/>
            <w:hideMark/>
          </w:tcPr>
          <w:p w14:paraId="19BBFDD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000000" w:fill="FF0000"/>
            <w:vAlign w:val="center"/>
            <w:hideMark/>
          </w:tcPr>
          <w:p w14:paraId="5C06590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346" w:type="dxa"/>
            <w:shd w:val="clear" w:color="auto" w:fill="auto"/>
            <w:vAlign w:val="center"/>
            <w:hideMark/>
          </w:tcPr>
          <w:p w14:paraId="7A93452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7ED0C58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A37B11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59113A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9AC8B4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4C40234" w14:textId="77777777" w:rsidTr="00040CFB">
        <w:trPr>
          <w:trHeight w:val="20"/>
        </w:trPr>
        <w:tc>
          <w:tcPr>
            <w:tcW w:w="1985" w:type="dxa"/>
            <w:shd w:val="clear" w:color="auto" w:fill="auto"/>
            <w:vAlign w:val="center"/>
            <w:hideMark/>
          </w:tcPr>
          <w:p w14:paraId="3C7A52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Penalități pentru gaz livrat în 1994 </w:t>
            </w:r>
          </w:p>
        </w:tc>
        <w:tc>
          <w:tcPr>
            <w:tcW w:w="1346" w:type="dxa"/>
            <w:shd w:val="clear" w:color="auto" w:fill="auto"/>
            <w:vAlign w:val="center"/>
            <w:hideMark/>
          </w:tcPr>
          <w:p w14:paraId="3BCDC50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88,853.66</w:t>
            </w:r>
          </w:p>
        </w:tc>
        <w:tc>
          <w:tcPr>
            <w:tcW w:w="1346" w:type="dxa"/>
            <w:shd w:val="clear" w:color="auto" w:fill="auto"/>
            <w:vAlign w:val="center"/>
            <w:hideMark/>
          </w:tcPr>
          <w:p w14:paraId="600C0AE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490A778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198B12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9D07AE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E08056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0E17698" w14:textId="77777777" w:rsidTr="00040CFB">
        <w:trPr>
          <w:trHeight w:val="20"/>
        </w:trPr>
        <w:tc>
          <w:tcPr>
            <w:tcW w:w="1985" w:type="dxa"/>
            <w:shd w:val="clear" w:color="auto" w:fill="auto"/>
            <w:vAlign w:val="center"/>
            <w:hideMark/>
          </w:tcPr>
          <w:p w14:paraId="66231DD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C3D9DA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2D6A90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501F276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637FE5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D258B4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45DE32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45856D0" w14:textId="77777777" w:rsidTr="00040CFB">
        <w:trPr>
          <w:trHeight w:val="20"/>
        </w:trPr>
        <w:tc>
          <w:tcPr>
            <w:tcW w:w="1985" w:type="dxa"/>
            <w:shd w:val="clear" w:color="000000" w:fill="FFC000"/>
            <w:vAlign w:val="center"/>
            <w:hideMark/>
          </w:tcPr>
          <w:p w14:paraId="6722BAAD"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01/06/1995</w:t>
            </w:r>
          </w:p>
        </w:tc>
        <w:tc>
          <w:tcPr>
            <w:tcW w:w="1346" w:type="dxa"/>
            <w:shd w:val="clear" w:color="auto" w:fill="auto"/>
            <w:vAlign w:val="center"/>
            <w:hideMark/>
          </w:tcPr>
          <w:p w14:paraId="3A606AD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FEECA5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6D4389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68C481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EB71DA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1FA8F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7BC383C" w14:textId="77777777" w:rsidTr="00040CFB">
        <w:trPr>
          <w:trHeight w:val="20"/>
        </w:trPr>
        <w:tc>
          <w:tcPr>
            <w:tcW w:w="1985" w:type="dxa"/>
            <w:shd w:val="clear" w:color="auto" w:fill="auto"/>
            <w:noWrap/>
            <w:vAlign w:val="center"/>
            <w:hideMark/>
          </w:tcPr>
          <w:p w14:paraId="1C78463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01.01.1995</w:t>
            </w:r>
          </w:p>
        </w:tc>
        <w:tc>
          <w:tcPr>
            <w:tcW w:w="1346" w:type="dxa"/>
            <w:shd w:val="clear" w:color="auto" w:fill="auto"/>
            <w:vAlign w:val="center"/>
            <w:hideMark/>
          </w:tcPr>
          <w:p w14:paraId="4D296DA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190,970,077.97</w:t>
            </w:r>
          </w:p>
        </w:tc>
        <w:tc>
          <w:tcPr>
            <w:tcW w:w="1346" w:type="dxa"/>
            <w:shd w:val="clear" w:color="auto" w:fill="auto"/>
            <w:vAlign w:val="center"/>
            <w:hideMark/>
          </w:tcPr>
          <w:p w14:paraId="4960DE8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190,970,077.97</w:t>
            </w:r>
          </w:p>
        </w:tc>
        <w:tc>
          <w:tcPr>
            <w:tcW w:w="1426" w:type="dxa"/>
            <w:shd w:val="clear" w:color="auto" w:fill="auto"/>
            <w:vAlign w:val="center"/>
            <w:hideMark/>
          </w:tcPr>
          <w:p w14:paraId="2445139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100,137,754.00</w:t>
            </w:r>
          </w:p>
        </w:tc>
        <w:tc>
          <w:tcPr>
            <w:tcW w:w="1346" w:type="dxa"/>
            <w:shd w:val="clear" w:color="auto" w:fill="auto"/>
            <w:vAlign w:val="center"/>
            <w:hideMark/>
          </w:tcPr>
          <w:p w14:paraId="090C829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90,832,324.00</w:t>
            </w:r>
          </w:p>
        </w:tc>
        <w:tc>
          <w:tcPr>
            <w:tcW w:w="945" w:type="dxa"/>
            <w:shd w:val="clear" w:color="auto" w:fill="auto"/>
            <w:vAlign w:val="center"/>
            <w:hideMark/>
          </w:tcPr>
          <w:p w14:paraId="3FF97C7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128DD3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F2052F1" w14:textId="77777777" w:rsidTr="00040CFB">
        <w:trPr>
          <w:trHeight w:val="20"/>
        </w:trPr>
        <w:tc>
          <w:tcPr>
            <w:tcW w:w="1985" w:type="dxa"/>
            <w:shd w:val="clear" w:color="auto" w:fill="auto"/>
            <w:noWrap/>
            <w:vAlign w:val="center"/>
            <w:hideMark/>
          </w:tcPr>
          <w:p w14:paraId="75E3CF7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3F9BC68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82,734,390.00</w:t>
            </w:r>
          </w:p>
        </w:tc>
        <w:tc>
          <w:tcPr>
            <w:tcW w:w="1346" w:type="dxa"/>
            <w:shd w:val="clear" w:color="auto" w:fill="auto"/>
            <w:vAlign w:val="center"/>
            <w:hideMark/>
          </w:tcPr>
          <w:p w14:paraId="561BF3E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82,734,390.00</w:t>
            </w:r>
          </w:p>
        </w:tc>
        <w:tc>
          <w:tcPr>
            <w:tcW w:w="1426" w:type="dxa"/>
            <w:shd w:val="clear" w:color="auto" w:fill="auto"/>
            <w:vAlign w:val="center"/>
            <w:hideMark/>
          </w:tcPr>
          <w:p w14:paraId="096883A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53,199,804.00</w:t>
            </w:r>
          </w:p>
        </w:tc>
        <w:tc>
          <w:tcPr>
            <w:tcW w:w="1346" w:type="dxa"/>
            <w:shd w:val="clear" w:color="auto" w:fill="auto"/>
            <w:vAlign w:val="center"/>
            <w:hideMark/>
          </w:tcPr>
          <w:p w14:paraId="098EF03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29,534,586.00</w:t>
            </w:r>
          </w:p>
        </w:tc>
        <w:tc>
          <w:tcPr>
            <w:tcW w:w="945" w:type="dxa"/>
            <w:shd w:val="clear" w:color="auto" w:fill="auto"/>
            <w:vAlign w:val="center"/>
            <w:hideMark/>
          </w:tcPr>
          <w:p w14:paraId="4BA1317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1F3556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1433C71" w14:textId="77777777" w:rsidTr="00040CFB">
        <w:trPr>
          <w:trHeight w:val="20"/>
        </w:trPr>
        <w:tc>
          <w:tcPr>
            <w:tcW w:w="1985" w:type="dxa"/>
            <w:shd w:val="clear" w:color="auto" w:fill="auto"/>
            <w:noWrap/>
            <w:vAlign w:val="center"/>
            <w:hideMark/>
          </w:tcPr>
          <w:p w14:paraId="0DE1265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1188354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1,788,873.93</w:t>
            </w:r>
          </w:p>
        </w:tc>
        <w:tc>
          <w:tcPr>
            <w:tcW w:w="1346" w:type="dxa"/>
            <w:shd w:val="clear" w:color="auto" w:fill="auto"/>
            <w:vAlign w:val="center"/>
            <w:hideMark/>
          </w:tcPr>
          <w:p w14:paraId="31712A6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1,788,873.93</w:t>
            </w:r>
          </w:p>
        </w:tc>
        <w:tc>
          <w:tcPr>
            <w:tcW w:w="1426" w:type="dxa"/>
            <w:shd w:val="clear" w:color="auto" w:fill="auto"/>
            <w:vAlign w:val="center"/>
            <w:hideMark/>
          </w:tcPr>
          <w:p w14:paraId="5D73A48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1,788,873.93</w:t>
            </w:r>
          </w:p>
        </w:tc>
        <w:tc>
          <w:tcPr>
            <w:tcW w:w="1346" w:type="dxa"/>
            <w:shd w:val="clear" w:color="auto" w:fill="auto"/>
            <w:vAlign w:val="center"/>
            <w:hideMark/>
          </w:tcPr>
          <w:p w14:paraId="387CA2D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080085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ACCE39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B5236C7" w14:textId="77777777" w:rsidTr="00040CFB">
        <w:trPr>
          <w:trHeight w:val="20"/>
        </w:trPr>
        <w:tc>
          <w:tcPr>
            <w:tcW w:w="1985" w:type="dxa"/>
            <w:shd w:val="clear" w:color="auto" w:fill="auto"/>
            <w:vAlign w:val="center"/>
            <w:hideMark/>
          </w:tcPr>
          <w:p w14:paraId="1811261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64F0299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12,508,415.50</w:t>
            </w:r>
          </w:p>
        </w:tc>
        <w:tc>
          <w:tcPr>
            <w:tcW w:w="1346" w:type="dxa"/>
            <w:shd w:val="clear" w:color="auto" w:fill="auto"/>
            <w:vAlign w:val="center"/>
            <w:hideMark/>
          </w:tcPr>
          <w:p w14:paraId="6C782D6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12,508,415.50</w:t>
            </w:r>
          </w:p>
        </w:tc>
        <w:tc>
          <w:tcPr>
            <w:tcW w:w="1426" w:type="dxa"/>
            <w:shd w:val="clear" w:color="auto" w:fill="auto"/>
            <w:vAlign w:val="center"/>
            <w:hideMark/>
          </w:tcPr>
          <w:p w14:paraId="5973381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12,508,415.50</w:t>
            </w:r>
          </w:p>
        </w:tc>
        <w:tc>
          <w:tcPr>
            <w:tcW w:w="1346" w:type="dxa"/>
            <w:shd w:val="clear" w:color="auto" w:fill="auto"/>
            <w:vAlign w:val="center"/>
            <w:hideMark/>
          </w:tcPr>
          <w:p w14:paraId="343C8D1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1FCD1E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B0CF65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A9B998F" w14:textId="77777777" w:rsidTr="00040CFB">
        <w:trPr>
          <w:trHeight w:val="20"/>
        </w:trPr>
        <w:tc>
          <w:tcPr>
            <w:tcW w:w="1985" w:type="dxa"/>
            <w:shd w:val="clear" w:color="auto" w:fill="auto"/>
            <w:vAlign w:val="center"/>
            <w:hideMark/>
          </w:tcPr>
          <w:p w14:paraId="4AA7F88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28F5912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259,407,178.54</w:t>
            </w:r>
          </w:p>
        </w:tc>
        <w:tc>
          <w:tcPr>
            <w:tcW w:w="1346" w:type="dxa"/>
            <w:shd w:val="clear" w:color="auto" w:fill="auto"/>
            <w:vAlign w:val="center"/>
            <w:hideMark/>
          </w:tcPr>
          <w:p w14:paraId="6FCF788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259,407,178.54</w:t>
            </w:r>
          </w:p>
        </w:tc>
        <w:tc>
          <w:tcPr>
            <w:tcW w:w="1426" w:type="dxa"/>
            <w:shd w:val="clear" w:color="auto" w:fill="auto"/>
            <w:vAlign w:val="center"/>
            <w:hideMark/>
          </w:tcPr>
          <w:p w14:paraId="054F1B8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139,040,268.57</w:t>
            </w:r>
          </w:p>
        </w:tc>
        <w:tc>
          <w:tcPr>
            <w:tcW w:w="1346" w:type="dxa"/>
            <w:shd w:val="clear" w:color="auto" w:fill="auto"/>
            <w:vAlign w:val="center"/>
            <w:hideMark/>
          </w:tcPr>
          <w:p w14:paraId="46DFA6B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120,366,910.00</w:t>
            </w:r>
          </w:p>
        </w:tc>
        <w:tc>
          <w:tcPr>
            <w:tcW w:w="945" w:type="dxa"/>
            <w:shd w:val="clear" w:color="auto" w:fill="auto"/>
            <w:vAlign w:val="center"/>
            <w:hideMark/>
          </w:tcPr>
          <w:p w14:paraId="0D0C904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608CC8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497170C" w14:textId="77777777" w:rsidTr="00040CFB">
        <w:trPr>
          <w:trHeight w:val="20"/>
        </w:trPr>
        <w:tc>
          <w:tcPr>
            <w:tcW w:w="1985" w:type="dxa"/>
            <w:shd w:val="clear" w:color="auto" w:fill="auto"/>
            <w:vAlign w:val="center"/>
            <w:hideMark/>
          </w:tcPr>
          <w:p w14:paraId="65A2A19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Penalități pentru gaz livrat în 1994 si 1995</w:t>
            </w:r>
          </w:p>
        </w:tc>
        <w:tc>
          <w:tcPr>
            <w:tcW w:w="1346" w:type="dxa"/>
            <w:shd w:val="clear" w:color="auto" w:fill="auto"/>
            <w:vAlign w:val="center"/>
            <w:hideMark/>
          </w:tcPr>
          <w:p w14:paraId="2B1D6B4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2A96BB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150,683,270.46</w:t>
            </w:r>
          </w:p>
        </w:tc>
        <w:tc>
          <w:tcPr>
            <w:tcW w:w="1426" w:type="dxa"/>
            <w:shd w:val="clear" w:color="auto" w:fill="auto"/>
            <w:vAlign w:val="center"/>
            <w:hideMark/>
          </w:tcPr>
          <w:p w14:paraId="58954A8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79,012,819.00</w:t>
            </w:r>
          </w:p>
        </w:tc>
        <w:tc>
          <w:tcPr>
            <w:tcW w:w="1346" w:type="dxa"/>
            <w:shd w:val="clear" w:color="auto" w:fill="auto"/>
            <w:vAlign w:val="center"/>
            <w:hideMark/>
          </w:tcPr>
          <w:p w14:paraId="7259061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71,670,451.46</w:t>
            </w:r>
          </w:p>
        </w:tc>
        <w:tc>
          <w:tcPr>
            <w:tcW w:w="945" w:type="dxa"/>
            <w:shd w:val="clear" w:color="auto" w:fill="auto"/>
            <w:vAlign w:val="center"/>
            <w:hideMark/>
          </w:tcPr>
          <w:p w14:paraId="5C4B938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A67363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57CC921" w14:textId="77777777" w:rsidTr="00040CFB">
        <w:trPr>
          <w:trHeight w:val="20"/>
        </w:trPr>
        <w:tc>
          <w:tcPr>
            <w:tcW w:w="1985" w:type="dxa"/>
            <w:shd w:val="clear" w:color="auto" w:fill="auto"/>
            <w:vAlign w:val="center"/>
            <w:hideMark/>
          </w:tcPr>
          <w:p w14:paraId="2B05DA7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datorie</w:t>
            </w:r>
          </w:p>
        </w:tc>
        <w:tc>
          <w:tcPr>
            <w:tcW w:w="1346" w:type="dxa"/>
            <w:shd w:val="clear" w:color="auto" w:fill="auto"/>
            <w:vAlign w:val="center"/>
            <w:hideMark/>
          </w:tcPr>
          <w:p w14:paraId="1A99FB3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259,407,178.54</w:t>
            </w:r>
          </w:p>
        </w:tc>
        <w:tc>
          <w:tcPr>
            <w:tcW w:w="1346" w:type="dxa"/>
            <w:shd w:val="clear" w:color="auto" w:fill="auto"/>
            <w:vAlign w:val="center"/>
            <w:hideMark/>
          </w:tcPr>
          <w:p w14:paraId="20464DF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410,090,449.00</w:t>
            </w:r>
          </w:p>
        </w:tc>
        <w:tc>
          <w:tcPr>
            <w:tcW w:w="1426" w:type="dxa"/>
            <w:shd w:val="clear" w:color="auto" w:fill="auto"/>
            <w:vAlign w:val="center"/>
            <w:hideMark/>
          </w:tcPr>
          <w:p w14:paraId="442A857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218,053,087.57</w:t>
            </w:r>
          </w:p>
        </w:tc>
        <w:tc>
          <w:tcPr>
            <w:tcW w:w="1346" w:type="dxa"/>
            <w:shd w:val="clear" w:color="auto" w:fill="auto"/>
            <w:vAlign w:val="center"/>
            <w:hideMark/>
          </w:tcPr>
          <w:p w14:paraId="2E4E82D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192,037,361.46</w:t>
            </w:r>
          </w:p>
        </w:tc>
        <w:tc>
          <w:tcPr>
            <w:tcW w:w="945" w:type="dxa"/>
            <w:shd w:val="clear" w:color="auto" w:fill="auto"/>
            <w:vAlign w:val="center"/>
            <w:hideMark/>
          </w:tcPr>
          <w:p w14:paraId="14FF3C5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EB9B5B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5E8A51F" w14:textId="77777777" w:rsidTr="00040CFB">
        <w:trPr>
          <w:trHeight w:val="20"/>
        </w:trPr>
        <w:tc>
          <w:tcPr>
            <w:tcW w:w="1985" w:type="dxa"/>
            <w:shd w:val="clear" w:color="auto" w:fill="auto"/>
            <w:vAlign w:val="center"/>
            <w:hideMark/>
          </w:tcPr>
          <w:p w14:paraId="4B49850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E8067E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F1F026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3AB079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34E5F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0A16EF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C2A82C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0AA6274" w14:textId="77777777" w:rsidTr="00040CFB">
        <w:trPr>
          <w:trHeight w:val="20"/>
        </w:trPr>
        <w:tc>
          <w:tcPr>
            <w:tcW w:w="1985" w:type="dxa"/>
            <w:shd w:val="clear" w:color="000000" w:fill="FFC000"/>
            <w:vAlign w:val="center"/>
            <w:hideMark/>
          </w:tcPr>
          <w:p w14:paraId="7E49B2F1"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1995</w:t>
            </w:r>
          </w:p>
        </w:tc>
        <w:tc>
          <w:tcPr>
            <w:tcW w:w="1346" w:type="dxa"/>
            <w:shd w:val="clear" w:color="auto" w:fill="auto"/>
            <w:vAlign w:val="center"/>
            <w:hideMark/>
          </w:tcPr>
          <w:p w14:paraId="6C62BF0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34897D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2F6C50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FF1DC9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CA92D8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145751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1D2491B" w14:textId="77777777" w:rsidTr="00040CFB">
        <w:trPr>
          <w:trHeight w:val="20"/>
        </w:trPr>
        <w:tc>
          <w:tcPr>
            <w:tcW w:w="1985" w:type="dxa"/>
            <w:shd w:val="clear" w:color="auto" w:fill="auto"/>
            <w:noWrap/>
            <w:vAlign w:val="center"/>
            <w:hideMark/>
          </w:tcPr>
          <w:p w14:paraId="7DDA895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01.01.1995</w:t>
            </w:r>
          </w:p>
        </w:tc>
        <w:tc>
          <w:tcPr>
            <w:tcW w:w="1346" w:type="dxa"/>
            <w:shd w:val="clear" w:color="auto" w:fill="auto"/>
            <w:vAlign w:val="center"/>
            <w:hideMark/>
          </w:tcPr>
          <w:p w14:paraId="43D3617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1F4FC98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190,970.00</w:t>
            </w:r>
          </w:p>
        </w:tc>
        <w:tc>
          <w:tcPr>
            <w:tcW w:w="1426" w:type="dxa"/>
            <w:shd w:val="clear" w:color="000000" w:fill="92D050"/>
            <w:vAlign w:val="center"/>
            <w:hideMark/>
          </w:tcPr>
          <w:p w14:paraId="52F441E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100,138.00</w:t>
            </w:r>
          </w:p>
        </w:tc>
        <w:tc>
          <w:tcPr>
            <w:tcW w:w="1346" w:type="dxa"/>
            <w:shd w:val="clear" w:color="000000" w:fill="92D050"/>
            <w:vAlign w:val="center"/>
            <w:hideMark/>
          </w:tcPr>
          <w:p w14:paraId="7F91E5C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90,832.00</w:t>
            </w:r>
          </w:p>
        </w:tc>
        <w:tc>
          <w:tcPr>
            <w:tcW w:w="945" w:type="dxa"/>
            <w:shd w:val="clear" w:color="auto" w:fill="auto"/>
            <w:vAlign w:val="center"/>
            <w:hideMark/>
          </w:tcPr>
          <w:p w14:paraId="1B29FF5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5351E2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8B1AD0C" w14:textId="77777777" w:rsidTr="00040CFB">
        <w:trPr>
          <w:trHeight w:val="20"/>
        </w:trPr>
        <w:tc>
          <w:tcPr>
            <w:tcW w:w="1985" w:type="dxa"/>
            <w:shd w:val="clear" w:color="auto" w:fill="auto"/>
            <w:noWrap/>
            <w:vAlign w:val="center"/>
            <w:hideMark/>
          </w:tcPr>
          <w:p w14:paraId="6A43D19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46CBDE2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161556C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175,320.00</w:t>
            </w:r>
          </w:p>
        </w:tc>
        <w:tc>
          <w:tcPr>
            <w:tcW w:w="1426" w:type="dxa"/>
            <w:shd w:val="clear" w:color="000000" w:fill="92D050"/>
            <w:vAlign w:val="center"/>
            <w:hideMark/>
          </w:tcPr>
          <w:p w14:paraId="4BAEF26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102,030.00</w:t>
            </w:r>
          </w:p>
        </w:tc>
        <w:tc>
          <w:tcPr>
            <w:tcW w:w="1346" w:type="dxa"/>
            <w:shd w:val="clear" w:color="000000" w:fill="92D050"/>
            <w:vAlign w:val="center"/>
            <w:hideMark/>
          </w:tcPr>
          <w:p w14:paraId="11951DC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73,290.00</w:t>
            </w:r>
          </w:p>
        </w:tc>
        <w:tc>
          <w:tcPr>
            <w:tcW w:w="945" w:type="dxa"/>
            <w:shd w:val="clear" w:color="auto" w:fill="auto"/>
            <w:vAlign w:val="center"/>
            <w:hideMark/>
          </w:tcPr>
          <w:p w14:paraId="20A4FB8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452D49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DADED30" w14:textId="77777777" w:rsidTr="00040CFB">
        <w:trPr>
          <w:trHeight w:val="20"/>
        </w:trPr>
        <w:tc>
          <w:tcPr>
            <w:tcW w:w="1985" w:type="dxa"/>
            <w:shd w:val="clear" w:color="auto" w:fill="auto"/>
            <w:noWrap/>
            <w:vAlign w:val="center"/>
            <w:hideMark/>
          </w:tcPr>
          <w:p w14:paraId="4CBAF66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3B8C97A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1BA1C1C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3,616.00</w:t>
            </w:r>
          </w:p>
        </w:tc>
        <w:tc>
          <w:tcPr>
            <w:tcW w:w="1426" w:type="dxa"/>
            <w:shd w:val="clear" w:color="000000" w:fill="92D050"/>
            <w:vAlign w:val="center"/>
            <w:hideMark/>
          </w:tcPr>
          <w:p w14:paraId="27938AF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3,616.00</w:t>
            </w:r>
          </w:p>
        </w:tc>
        <w:tc>
          <w:tcPr>
            <w:tcW w:w="1346" w:type="dxa"/>
            <w:shd w:val="clear" w:color="000000" w:fill="92D050"/>
            <w:vAlign w:val="center"/>
            <w:hideMark/>
          </w:tcPr>
          <w:p w14:paraId="62461A5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366E415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ECCB0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F238C97" w14:textId="77777777" w:rsidTr="00040CFB">
        <w:trPr>
          <w:trHeight w:val="20"/>
        </w:trPr>
        <w:tc>
          <w:tcPr>
            <w:tcW w:w="1985" w:type="dxa"/>
            <w:shd w:val="clear" w:color="auto" w:fill="auto"/>
            <w:vAlign w:val="center"/>
            <w:hideMark/>
          </w:tcPr>
          <w:p w14:paraId="26104C5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5A4E850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1151E69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19,467.00</w:t>
            </w:r>
          </w:p>
        </w:tc>
        <w:tc>
          <w:tcPr>
            <w:tcW w:w="1426" w:type="dxa"/>
            <w:shd w:val="clear" w:color="000000" w:fill="92D050"/>
            <w:vAlign w:val="center"/>
            <w:hideMark/>
          </w:tcPr>
          <w:p w14:paraId="0E08C7B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19,467.00</w:t>
            </w:r>
          </w:p>
        </w:tc>
        <w:tc>
          <w:tcPr>
            <w:tcW w:w="1346" w:type="dxa"/>
            <w:shd w:val="clear" w:color="000000" w:fill="92D050"/>
            <w:vAlign w:val="center"/>
            <w:hideMark/>
          </w:tcPr>
          <w:p w14:paraId="01E17CB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427925E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CB10BE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825D758" w14:textId="77777777" w:rsidTr="00040CFB">
        <w:trPr>
          <w:trHeight w:val="20"/>
        </w:trPr>
        <w:tc>
          <w:tcPr>
            <w:tcW w:w="1985" w:type="dxa"/>
            <w:shd w:val="clear" w:color="auto" w:fill="auto"/>
            <w:vAlign w:val="center"/>
            <w:hideMark/>
          </w:tcPr>
          <w:p w14:paraId="3234C7E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2DE68CF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00BBA11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9,515.00</w:t>
            </w:r>
          </w:p>
        </w:tc>
        <w:tc>
          <w:tcPr>
            <w:tcW w:w="1426" w:type="dxa"/>
            <w:shd w:val="clear" w:color="000000" w:fill="92D050"/>
            <w:vAlign w:val="center"/>
            <w:hideMark/>
          </w:tcPr>
          <w:p w14:paraId="3920181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8,768.00</w:t>
            </w:r>
          </w:p>
        </w:tc>
        <w:tc>
          <w:tcPr>
            <w:tcW w:w="1346" w:type="dxa"/>
            <w:shd w:val="clear" w:color="000000" w:fill="92D050"/>
            <w:vAlign w:val="center"/>
            <w:hideMark/>
          </w:tcPr>
          <w:p w14:paraId="1F492CA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747.00</w:t>
            </w:r>
          </w:p>
        </w:tc>
        <w:tc>
          <w:tcPr>
            <w:tcW w:w="945" w:type="dxa"/>
            <w:shd w:val="clear" w:color="auto" w:fill="auto"/>
            <w:vAlign w:val="center"/>
            <w:hideMark/>
          </w:tcPr>
          <w:p w14:paraId="5543097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7CEEB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8A13FD5" w14:textId="77777777" w:rsidTr="00040CFB">
        <w:trPr>
          <w:trHeight w:val="20"/>
        </w:trPr>
        <w:tc>
          <w:tcPr>
            <w:tcW w:w="1985" w:type="dxa"/>
            <w:shd w:val="clear" w:color="auto" w:fill="auto"/>
            <w:vAlign w:val="center"/>
            <w:hideMark/>
          </w:tcPr>
          <w:p w14:paraId="2CDB683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Patrimoniu depus în gazsnabtranzit</w:t>
            </w:r>
          </w:p>
        </w:tc>
        <w:tc>
          <w:tcPr>
            <w:tcW w:w="1346" w:type="dxa"/>
            <w:shd w:val="clear" w:color="auto" w:fill="auto"/>
            <w:vAlign w:val="center"/>
            <w:hideMark/>
          </w:tcPr>
          <w:p w14:paraId="783A613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72B08D9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52,000.00</w:t>
            </w:r>
          </w:p>
        </w:tc>
        <w:tc>
          <w:tcPr>
            <w:tcW w:w="1426" w:type="dxa"/>
            <w:shd w:val="clear" w:color="000000" w:fill="92D050"/>
            <w:vAlign w:val="center"/>
            <w:hideMark/>
          </w:tcPr>
          <w:p w14:paraId="7A35AC0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40,560.00</w:t>
            </w:r>
          </w:p>
        </w:tc>
        <w:tc>
          <w:tcPr>
            <w:tcW w:w="1346" w:type="dxa"/>
            <w:shd w:val="clear" w:color="000000" w:fill="92D050"/>
            <w:vAlign w:val="center"/>
            <w:hideMark/>
          </w:tcPr>
          <w:p w14:paraId="781498D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11,440.00</w:t>
            </w:r>
          </w:p>
        </w:tc>
        <w:tc>
          <w:tcPr>
            <w:tcW w:w="945" w:type="dxa"/>
            <w:shd w:val="clear" w:color="auto" w:fill="auto"/>
            <w:vAlign w:val="center"/>
            <w:hideMark/>
          </w:tcPr>
          <w:p w14:paraId="4937B73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97D57E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4501EFD" w14:textId="77777777" w:rsidTr="00040CFB">
        <w:trPr>
          <w:trHeight w:val="20"/>
        </w:trPr>
        <w:tc>
          <w:tcPr>
            <w:tcW w:w="1985" w:type="dxa"/>
            <w:shd w:val="clear" w:color="auto" w:fill="auto"/>
            <w:vAlign w:val="center"/>
            <w:hideMark/>
          </w:tcPr>
          <w:p w14:paraId="45661EF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79BF3E9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000000" w:fill="92D050"/>
            <w:vAlign w:val="center"/>
            <w:hideMark/>
          </w:tcPr>
          <w:p w14:paraId="38D1755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281,692.00</w:t>
            </w:r>
          </w:p>
        </w:tc>
        <w:tc>
          <w:tcPr>
            <w:tcW w:w="1426" w:type="dxa"/>
            <w:shd w:val="clear" w:color="000000" w:fill="92D050"/>
            <w:vAlign w:val="center"/>
            <w:hideMark/>
          </w:tcPr>
          <w:p w14:paraId="569014F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129,757.00</w:t>
            </w:r>
          </w:p>
        </w:tc>
        <w:tc>
          <w:tcPr>
            <w:tcW w:w="1346" w:type="dxa"/>
            <w:shd w:val="clear" w:color="000000" w:fill="92D050"/>
            <w:vAlign w:val="center"/>
            <w:hideMark/>
          </w:tcPr>
          <w:p w14:paraId="70818A6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151,935.00</w:t>
            </w:r>
          </w:p>
        </w:tc>
        <w:tc>
          <w:tcPr>
            <w:tcW w:w="945" w:type="dxa"/>
            <w:shd w:val="clear" w:color="auto" w:fill="auto"/>
            <w:vAlign w:val="center"/>
            <w:hideMark/>
          </w:tcPr>
          <w:p w14:paraId="34A71AC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9BB5F9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65B93CD" w14:textId="77777777" w:rsidTr="00040CFB">
        <w:trPr>
          <w:trHeight w:val="20"/>
        </w:trPr>
        <w:tc>
          <w:tcPr>
            <w:tcW w:w="1985" w:type="dxa"/>
            <w:shd w:val="clear" w:color="auto" w:fill="auto"/>
            <w:vAlign w:val="center"/>
            <w:hideMark/>
          </w:tcPr>
          <w:p w14:paraId="66EF338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Penalități pentru gaz livrat în 1994 si 1995</w:t>
            </w:r>
          </w:p>
        </w:tc>
        <w:tc>
          <w:tcPr>
            <w:tcW w:w="1346" w:type="dxa"/>
            <w:shd w:val="clear" w:color="auto" w:fill="auto"/>
            <w:vAlign w:val="center"/>
            <w:hideMark/>
          </w:tcPr>
          <w:p w14:paraId="0199BED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23AA89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F62F0C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1BB65D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7D3F5B2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29918D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C7D0AE6" w14:textId="77777777" w:rsidTr="00040CFB">
        <w:trPr>
          <w:trHeight w:val="20"/>
        </w:trPr>
        <w:tc>
          <w:tcPr>
            <w:tcW w:w="1985" w:type="dxa"/>
            <w:shd w:val="clear" w:color="auto" w:fill="auto"/>
            <w:vAlign w:val="center"/>
            <w:hideMark/>
          </w:tcPr>
          <w:p w14:paraId="78C1325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datorie</w:t>
            </w:r>
          </w:p>
        </w:tc>
        <w:tc>
          <w:tcPr>
            <w:tcW w:w="1346" w:type="dxa"/>
            <w:shd w:val="clear" w:color="auto" w:fill="auto"/>
            <w:vAlign w:val="center"/>
            <w:hideMark/>
          </w:tcPr>
          <w:p w14:paraId="26B4B7E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DFEF3D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8DDC61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F06312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1B98B79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CC77FC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2D9C72D" w14:textId="77777777" w:rsidTr="00040CFB">
        <w:trPr>
          <w:trHeight w:val="20"/>
        </w:trPr>
        <w:tc>
          <w:tcPr>
            <w:tcW w:w="1985" w:type="dxa"/>
            <w:shd w:val="clear" w:color="auto" w:fill="auto"/>
            <w:vAlign w:val="center"/>
            <w:hideMark/>
          </w:tcPr>
          <w:p w14:paraId="2088F8E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1C2543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725C4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5EDF338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3C80E0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CCF939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25DC84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911F5C4" w14:textId="77777777" w:rsidTr="00040CFB">
        <w:trPr>
          <w:trHeight w:val="20"/>
        </w:trPr>
        <w:tc>
          <w:tcPr>
            <w:tcW w:w="1985" w:type="dxa"/>
            <w:shd w:val="clear" w:color="000000" w:fill="FFC000"/>
            <w:vAlign w:val="center"/>
            <w:hideMark/>
          </w:tcPr>
          <w:p w14:paraId="19FD7F57"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1997</w:t>
            </w:r>
          </w:p>
        </w:tc>
        <w:tc>
          <w:tcPr>
            <w:tcW w:w="1346" w:type="dxa"/>
            <w:shd w:val="clear" w:color="auto" w:fill="auto"/>
            <w:vAlign w:val="center"/>
            <w:hideMark/>
          </w:tcPr>
          <w:p w14:paraId="2D0AFCE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996058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B5E3E4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987A21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36197E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20D736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81A7B9A" w14:textId="77777777" w:rsidTr="00040CFB">
        <w:trPr>
          <w:trHeight w:val="20"/>
        </w:trPr>
        <w:tc>
          <w:tcPr>
            <w:tcW w:w="1985" w:type="dxa"/>
            <w:shd w:val="clear" w:color="auto" w:fill="auto"/>
            <w:noWrap/>
            <w:vAlign w:val="center"/>
            <w:hideMark/>
          </w:tcPr>
          <w:p w14:paraId="04F601C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01.01.1997</w:t>
            </w:r>
          </w:p>
        </w:tc>
        <w:tc>
          <w:tcPr>
            <w:tcW w:w="1346" w:type="dxa"/>
            <w:shd w:val="clear" w:color="auto" w:fill="auto"/>
            <w:vAlign w:val="center"/>
            <w:hideMark/>
          </w:tcPr>
          <w:p w14:paraId="6CAFB9F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231,408,980.11</w:t>
            </w:r>
          </w:p>
        </w:tc>
        <w:tc>
          <w:tcPr>
            <w:tcW w:w="1346" w:type="dxa"/>
            <w:shd w:val="clear" w:color="auto" w:fill="auto"/>
            <w:vAlign w:val="center"/>
            <w:hideMark/>
          </w:tcPr>
          <w:p w14:paraId="2C7DFDD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231,408,980.11</w:t>
            </w:r>
          </w:p>
        </w:tc>
        <w:tc>
          <w:tcPr>
            <w:tcW w:w="1426" w:type="dxa"/>
            <w:shd w:val="clear" w:color="auto" w:fill="auto"/>
            <w:vAlign w:val="center"/>
            <w:hideMark/>
          </w:tcPr>
          <w:p w14:paraId="787F00A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B4A178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475B43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28F8CD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13D61FA" w14:textId="77777777" w:rsidTr="00040CFB">
        <w:trPr>
          <w:trHeight w:val="20"/>
        </w:trPr>
        <w:tc>
          <w:tcPr>
            <w:tcW w:w="1985" w:type="dxa"/>
            <w:shd w:val="clear" w:color="auto" w:fill="auto"/>
            <w:noWrap/>
            <w:vAlign w:val="center"/>
            <w:hideMark/>
          </w:tcPr>
          <w:p w14:paraId="5E77D4B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3628DBE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889222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426" w:type="dxa"/>
            <w:shd w:val="clear" w:color="auto" w:fill="auto"/>
            <w:vAlign w:val="center"/>
            <w:hideMark/>
          </w:tcPr>
          <w:p w14:paraId="1FF122D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0D1792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F22979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D1ECA2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5A6A8C9" w14:textId="77777777" w:rsidTr="00040CFB">
        <w:trPr>
          <w:trHeight w:val="20"/>
        </w:trPr>
        <w:tc>
          <w:tcPr>
            <w:tcW w:w="1985" w:type="dxa"/>
            <w:shd w:val="clear" w:color="auto" w:fill="auto"/>
            <w:noWrap/>
            <w:vAlign w:val="center"/>
            <w:hideMark/>
          </w:tcPr>
          <w:p w14:paraId="6E51D01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53A937C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5,222,720.38</w:t>
            </w:r>
          </w:p>
        </w:tc>
        <w:tc>
          <w:tcPr>
            <w:tcW w:w="1346" w:type="dxa"/>
            <w:shd w:val="clear" w:color="auto" w:fill="auto"/>
            <w:vAlign w:val="center"/>
            <w:hideMark/>
          </w:tcPr>
          <w:p w14:paraId="1DCCDDE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5,222,720.38</w:t>
            </w:r>
          </w:p>
        </w:tc>
        <w:tc>
          <w:tcPr>
            <w:tcW w:w="1426" w:type="dxa"/>
            <w:shd w:val="clear" w:color="auto" w:fill="auto"/>
            <w:vAlign w:val="center"/>
            <w:hideMark/>
          </w:tcPr>
          <w:p w14:paraId="5768B06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643DA3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4188EA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D24BE5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8A9B30F" w14:textId="77777777" w:rsidTr="00040CFB">
        <w:trPr>
          <w:trHeight w:val="20"/>
        </w:trPr>
        <w:tc>
          <w:tcPr>
            <w:tcW w:w="1985" w:type="dxa"/>
            <w:shd w:val="clear" w:color="auto" w:fill="auto"/>
            <w:vAlign w:val="center"/>
            <w:hideMark/>
          </w:tcPr>
          <w:p w14:paraId="36EA09BD" w14:textId="66DA6FBE"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Obligațiuni a</w:t>
            </w:r>
            <w:r w:rsidR="004C6D2F" w:rsidRPr="009772A3">
              <w:rPr>
                <w:rFonts w:asciiTheme="majorHAnsi" w:eastAsia="Times New Roman" w:hAnsiTheme="majorHAnsi" w:cstheme="majorHAnsi"/>
                <w:sz w:val="16"/>
                <w:szCs w:val="20"/>
                <w:lang w:val="ro-MD"/>
              </w:rPr>
              <w:t>le</w:t>
            </w:r>
            <w:r w:rsidRPr="009772A3">
              <w:rPr>
                <w:rFonts w:asciiTheme="majorHAnsi" w:eastAsia="Times New Roman" w:hAnsiTheme="majorHAnsi" w:cstheme="majorHAnsi"/>
                <w:sz w:val="16"/>
                <w:szCs w:val="20"/>
                <w:lang w:val="ro-MD"/>
              </w:rPr>
              <w:t xml:space="preserve"> Guvernului RM</w:t>
            </w:r>
          </w:p>
        </w:tc>
        <w:tc>
          <w:tcPr>
            <w:tcW w:w="1346" w:type="dxa"/>
            <w:shd w:val="clear" w:color="auto" w:fill="auto"/>
            <w:vAlign w:val="center"/>
            <w:hideMark/>
          </w:tcPr>
          <w:p w14:paraId="4B847BD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130,231,290.71</w:t>
            </w:r>
          </w:p>
        </w:tc>
        <w:tc>
          <w:tcPr>
            <w:tcW w:w="1346" w:type="dxa"/>
            <w:shd w:val="clear" w:color="auto" w:fill="auto"/>
            <w:vAlign w:val="center"/>
            <w:hideMark/>
          </w:tcPr>
          <w:p w14:paraId="348FBB5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130,231,290.71</w:t>
            </w:r>
          </w:p>
        </w:tc>
        <w:tc>
          <w:tcPr>
            <w:tcW w:w="1426" w:type="dxa"/>
            <w:shd w:val="clear" w:color="auto" w:fill="auto"/>
            <w:vAlign w:val="center"/>
            <w:hideMark/>
          </w:tcPr>
          <w:p w14:paraId="09123F4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C12AF1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3D3911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673199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C07F2B8" w14:textId="77777777" w:rsidTr="00040CFB">
        <w:trPr>
          <w:trHeight w:val="20"/>
        </w:trPr>
        <w:tc>
          <w:tcPr>
            <w:tcW w:w="1985" w:type="dxa"/>
            <w:shd w:val="clear" w:color="auto" w:fill="auto"/>
            <w:vAlign w:val="center"/>
            <w:hideMark/>
          </w:tcPr>
          <w:p w14:paraId="43AE062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062FB98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87,069,603.36</w:t>
            </w:r>
          </w:p>
        </w:tc>
        <w:tc>
          <w:tcPr>
            <w:tcW w:w="1346" w:type="dxa"/>
            <w:shd w:val="clear" w:color="auto" w:fill="auto"/>
            <w:vAlign w:val="center"/>
            <w:hideMark/>
          </w:tcPr>
          <w:p w14:paraId="6FED26F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87,069,603.36</w:t>
            </w:r>
          </w:p>
        </w:tc>
        <w:tc>
          <w:tcPr>
            <w:tcW w:w="1426" w:type="dxa"/>
            <w:shd w:val="clear" w:color="auto" w:fill="auto"/>
            <w:vAlign w:val="center"/>
            <w:hideMark/>
          </w:tcPr>
          <w:p w14:paraId="77FCB10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420A84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3E43E9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642642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F3EA8BD" w14:textId="77777777" w:rsidTr="00040CFB">
        <w:trPr>
          <w:trHeight w:val="20"/>
        </w:trPr>
        <w:tc>
          <w:tcPr>
            <w:tcW w:w="1985" w:type="dxa"/>
            <w:shd w:val="clear" w:color="auto" w:fill="auto"/>
            <w:vAlign w:val="center"/>
            <w:hideMark/>
          </w:tcPr>
          <w:p w14:paraId="494C0C2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057AE0A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346" w:type="dxa"/>
            <w:shd w:val="clear" w:color="auto" w:fill="auto"/>
            <w:vAlign w:val="center"/>
            <w:hideMark/>
          </w:tcPr>
          <w:p w14:paraId="560A22A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426" w:type="dxa"/>
            <w:shd w:val="clear" w:color="auto" w:fill="auto"/>
            <w:vAlign w:val="center"/>
            <w:hideMark/>
          </w:tcPr>
          <w:p w14:paraId="5DDFC69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CD286F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390921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C41469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A38CA12" w14:textId="77777777" w:rsidTr="00040CFB">
        <w:trPr>
          <w:trHeight w:val="20"/>
        </w:trPr>
        <w:tc>
          <w:tcPr>
            <w:tcW w:w="1985" w:type="dxa"/>
            <w:shd w:val="clear" w:color="auto" w:fill="auto"/>
            <w:vAlign w:val="center"/>
            <w:hideMark/>
          </w:tcPr>
          <w:p w14:paraId="43FFD06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Penalități pentru gaz livrat în 1994 și 1995 la 01.01.98</w:t>
            </w:r>
          </w:p>
        </w:tc>
        <w:tc>
          <w:tcPr>
            <w:tcW w:w="1346" w:type="dxa"/>
            <w:shd w:val="clear" w:color="auto" w:fill="auto"/>
            <w:vAlign w:val="center"/>
            <w:hideMark/>
          </w:tcPr>
          <w:p w14:paraId="47EACEC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99,772,120.72</w:t>
            </w:r>
          </w:p>
        </w:tc>
        <w:tc>
          <w:tcPr>
            <w:tcW w:w="1346" w:type="dxa"/>
            <w:shd w:val="clear" w:color="auto" w:fill="auto"/>
            <w:vAlign w:val="center"/>
            <w:hideMark/>
          </w:tcPr>
          <w:p w14:paraId="160B1CC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99,772,120.72</w:t>
            </w:r>
          </w:p>
        </w:tc>
        <w:tc>
          <w:tcPr>
            <w:tcW w:w="1426" w:type="dxa"/>
            <w:shd w:val="clear" w:color="auto" w:fill="auto"/>
            <w:vAlign w:val="center"/>
            <w:hideMark/>
          </w:tcPr>
          <w:p w14:paraId="435AF30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3292D8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DC373E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E42F83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8E0F6E4" w14:textId="77777777" w:rsidTr="00040CFB">
        <w:trPr>
          <w:trHeight w:val="20"/>
        </w:trPr>
        <w:tc>
          <w:tcPr>
            <w:tcW w:w="1985" w:type="dxa"/>
            <w:shd w:val="clear" w:color="000000" w:fill="FFC000"/>
            <w:vAlign w:val="center"/>
            <w:hideMark/>
          </w:tcPr>
          <w:p w14:paraId="03316B3D"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01/04/1998</w:t>
            </w:r>
          </w:p>
        </w:tc>
        <w:tc>
          <w:tcPr>
            <w:tcW w:w="1346" w:type="dxa"/>
            <w:shd w:val="clear" w:color="auto" w:fill="auto"/>
            <w:vAlign w:val="center"/>
            <w:hideMark/>
          </w:tcPr>
          <w:p w14:paraId="19EBC75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54B60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7B09E7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DBC7A4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2AC967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216344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53A830E" w14:textId="77777777" w:rsidTr="00040CFB">
        <w:trPr>
          <w:trHeight w:val="20"/>
        </w:trPr>
        <w:tc>
          <w:tcPr>
            <w:tcW w:w="1985" w:type="dxa"/>
            <w:shd w:val="clear" w:color="auto" w:fill="auto"/>
            <w:noWrap/>
            <w:vAlign w:val="center"/>
            <w:hideMark/>
          </w:tcPr>
          <w:p w14:paraId="2BDBDC4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01.01.1998</w:t>
            </w:r>
          </w:p>
        </w:tc>
        <w:tc>
          <w:tcPr>
            <w:tcW w:w="1346" w:type="dxa"/>
            <w:shd w:val="clear" w:color="auto" w:fill="auto"/>
            <w:vAlign w:val="center"/>
            <w:hideMark/>
          </w:tcPr>
          <w:p w14:paraId="2C9E3FF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346" w:type="dxa"/>
            <w:shd w:val="clear" w:color="auto" w:fill="auto"/>
            <w:vAlign w:val="center"/>
            <w:hideMark/>
          </w:tcPr>
          <w:p w14:paraId="4E09056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426" w:type="dxa"/>
            <w:shd w:val="clear" w:color="auto" w:fill="auto"/>
            <w:vAlign w:val="center"/>
            <w:hideMark/>
          </w:tcPr>
          <w:p w14:paraId="4B221BD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693AB0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A14F8C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199681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DC6D358" w14:textId="77777777" w:rsidTr="00040CFB">
        <w:trPr>
          <w:trHeight w:val="20"/>
        </w:trPr>
        <w:tc>
          <w:tcPr>
            <w:tcW w:w="1985" w:type="dxa"/>
            <w:shd w:val="clear" w:color="auto" w:fill="auto"/>
            <w:noWrap/>
            <w:vAlign w:val="center"/>
            <w:hideMark/>
          </w:tcPr>
          <w:p w14:paraId="17A71BE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00E6D7D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2F257C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426" w:type="dxa"/>
            <w:shd w:val="clear" w:color="auto" w:fill="auto"/>
            <w:vAlign w:val="center"/>
            <w:hideMark/>
          </w:tcPr>
          <w:p w14:paraId="161E218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CF8C17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E22179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CF067B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3A3EE9E" w14:textId="77777777" w:rsidTr="00040CFB">
        <w:trPr>
          <w:trHeight w:val="20"/>
        </w:trPr>
        <w:tc>
          <w:tcPr>
            <w:tcW w:w="1985" w:type="dxa"/>
            <w:shd w:val="clear" w:color="auto" w:fill="auto"/>
            <w:vAlign w:val="center"/>
            <w:hideMark/>
          </w:tcPr>
          <w:p w14:paraId="09DF5B1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58B6D67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346" w:type="dxa"/>
            <w:shd w:val="clear" w:color="auto" w:fill="auto"/>
            <w:vAlign w:val="center"/>
            <w:hideMark/>
          </w:tcPr>
          <w:p w14:paraId="794DEA1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8,885,365.66</w:t>
            </w:r>
          </w:p>
        </w:tc>
        <w:tc>
          <w:tcPr>
            <w:tcW w:w="1426" w:type="dxa"/>
            <w:shd w:val="clear" w:color="auto" w:fill="auto"/>
            <w:vAlign w:val="center"/>
            <w:hideMark/>
          </w:tcPr>
          <w:p w14:paraId="3D1A7F4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C91714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2B38A4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CCBDB2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6C42F15" w14:textId="77777777" w:rsidTr="00040CFB">
        <w:trPr>
          <w:trHeight w:val="20"/>
        </w:trPr>
        <w:tc>
          <w:tcPr>
            <w:tcW w:w="1985" w:type="dxa"/>
            <w:shd w:val="clear" w:color="auto" w:fill="auto"/>
            <w:vAlign w:val="center"/>
            <w:hideMark/>
          </w:tcPr>
          <w:p w14:paraId="75CB761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197EF67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6C1715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426" w:type="dxa"/>
            <w:shd w:val="clear" w:color="auto" w:fill="auto"/>
            <w:vAlign w:val="center"/>
            <w:hideMark/>
          </w:tcPr>
          <w:p w14:paraId="362709F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2B5913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A90879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5AF079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12FB196" w14:textId="77777777" w:rsidTr="00040CFB">
        <w:trPr>
          <w:trHeight w:val="20"/>
        </w:trPr>
        <w:tc>
          <w:tcPr>
            <w:tcW w:w="1985" w:type="dxa"/>
            <w:shd w:val="clear" w:color="auto" w:fill="auto"/>
            <w:vAlign w:val="center"/>
            <w:hideMark/>
          </w:tcPr>
          <w:p w14:paraId="5BA627A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Penalități pentru gaz livrat în 1994 și 1995 la 01.01.98</w:t>
            </w:r>
          </w:p>
        </w:tc>
        <w:tc>
          <w:tcPr>
            <w:tcW w:w="1346" w:type="dxa"/>
            <w:shd w:val="clear" w:color="auto" w:fill="auto"/>
            <w:vAlign w:val="center"/>
            <w:hideMark/>
          </w:tcPr>
          <w:p w14:paraId="104CDCD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99,772,120.72</w:t>
            </w:r>
          </w:p>
        </w:tc>
        <w:tc>
          <w:tcPr>
            <w:tcW w:w="1346" w:type="dxa"/>
            <w:shd w:val="clear" w:color="auto" w:fill="auto"/>
            <w:vAlign w:val="center"/>
            <w:hideMark/>
          </w:tcPr>
          <w:p w14:paraId="6FC1A28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99,772,120.72</w:t>
            </w:r>
          </w:p>
        </w:tc>
        <w:tc>
          <w:tcPr>
            <w:tcW w:w="1426" w:type="dxa"/>
            <w:shd w:val="clear" w:color="auto" w:fill="auto"/>
            <w:vAlign w:val="center"/>
            <w:hideMark/>
          </w:tcPr>
          <w:p w14:paraId="7286427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3B05BB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FBC6EC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AF196B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1B8A0C1" w14:textId="77777777" w:rsidTr="00040CFB">
        <w:trPr>
          <w:trHeight w:val="20"/>
        </w:trPr>
        <w:tc>
          <w:tcPr>
            <w:tcW w:w="1985" w:type="dxa"/>
            <w:shd w:val="clear" w:color="auto" w:fill="auto"/>
            <w:vAlign w:val="center"/>
            <w:hideMark/>
          </w:tcPr>
          <w:p w14:paraId="4AB0D29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C8BCE9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A81214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6E6005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0A83D9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14F628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D82E5D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D428A33" w14:textId="77777777" w:rsidTr="00040CFB">
        <w:trPr>
          <w:trHeight w:val="20"/>
        </w:trPr>
        <w:tc>
          <w:tcPr>
            <w:tcW w:w="1985" w:type="dxa"/>
            <w:shd w:val="clear" w:color="000000" w:fill="FFC000"/>
            <w:vAlign w:val="center"/>
            <w:hideMark/>
          </w:tcPr>
          <w:p w14:paraId="25D9A625"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1996</w:t>
            </w:r>
          </w:p>
        </w:tc>
        <w:tc>
          <w:tcPr>
            <w:tcW w:w="1346" w:type="dxa"/>
            <w:shd w:val="clear" w:color="auto" w:fill="auto"/>
            <w:vAlign w:val="center"/>
            <w:hideMark/>
          </w:tcPr>
          <w:p w14:paraId="29C797EF"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91C7208"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034F7E5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BADA200"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F2C92CC"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C0880D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56EBE78" w14:textId="77777777" w:rsidTr="00040CFB">
        <w:trPr>
          <w:trHeight w:val="20"/>
        </w:trPr>
        <w:tc>
          <w:tcPr>
            <w:tcW w:w="1985" w:type="dxa"/>
            <w:shd w:val="clear" w:color="auto" w:fill="auto"/>
            <w:noWrap/>
            <w:vAlign w:val="center"/>
            <w:hideMark/>
          </w:tcPr>
          <w:p w14:paraId="77FFCEB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01.01.1996</w:t>
            </w:r>
          </w:p>
        </w:tc>
        <w:tc>
          <w:tcPr>
            <w:tcW w:w="1346" w:type="dxa"/>
            <w:shd w:val="clear" w:color="auto" w:fill="auto"/>
            <w:noWrap/>
            <w:vAlign w:val="center"/>
            <w:hideMark/>
          </w:tcPr>
          <w:p w14:paraId="2BAB5B9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67E5806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noWrap/>
            <w:vAlign w:val="center"/>
            <w:hideMark/>
          </w:tcPr>
          <w:p w14:paraId="6A7BD35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2B68C93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DFB22EE"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678054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8B12716" w14:textId="77777777" w:rsidTr="00040CFB">
        <w:trPr>
          <w:trHeight w:val="20"/>
        </w:trPr>
        <w:tc>
          <w:tcPr>
            <w:tcW w:w="1985" w:type="dxa"/>
            <w:shd w:val="clear" w:color="auto" w:fill="auto"/>
            <w:noWrap/>
            <w:vAlign w:val="center"/>
            <w:hideMark/>
          </w:tcPr>
          <w:p w14:paraId="22F10E6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noWrap/>
            <w:vAlign w:val="center"/>
            <w:hideMark/>
          </w:tcPr>
          <w:p w14:paraId="14C38EA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182,947,428.00</w:t>
            </w:r>
          </w:p>
        </w:tc>
        <w:tc>
          <w:tcPr>
            <w:tcW w:w="1346" w:type="dxa"/>
            <w:shd w:val="clear" w:color="auto" w:fill="auto"/>
            <w:noWrap/>
            <w:vAlign w:val="center"/>
            <w:hideMark/>
          </w:tcPr>
          <w:p w14:paraId="2D440D0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182,947,428.00</w:t>
            </w:r>
          </w:p>
        </w:tc>
        <w:tc>
          <w:tcPr>
            <w:tcW w:w="1426" w:type="dxa"/>
            <w:shd w:val="clear" w:color="auto" w:fill="auto"/>
            <w:noWrap/>
            <w:vAlign w:val="center"/>
            <w:hideMark/>
          </w:tcPr>
          <w:p w14:paraId="26B3E0F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110,244,602.00</w:t>
            </w:r>
          </w:p>
        </w:tc>
        <w:tc>
          <w:tcPr>
            <w:tcW w:w="1346" w:type="dxa"/>
            <w:shd w:val="clear" w:color="auto" w:fill="auto"/>
            <w:noWrap/>
            <w:vAlign w:val="center"/>
            <w:hideMark/>
          </w:tcPr>
          <w:p w14:paraId="5DCB2CE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72,702,826.00</w:t>
            </w:r>
          </w:p>
        </w:tc>
        <w:tc>
          <w:tcPr>
            <w:tcW w:w="945" w:type="dxa"/>
            <w:shd w:val="clear" w:color="auto" w:fill="auto"/>
            <w:vAlign w:val="center"/>
            <w:hideMark/>
          </w:tcPr>
          <w:p w14:paraId="5685FEA5"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D86D54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64CFFAE" w14:textId="77777777" w:rsidTr="00040CFB">
        <w:trPr>
          <w:trHeight w:val="20"/>
        </w:trPr>
        <w:tc>
          <w:tcPr>
            <w:tcW w:w="1985" w:type="dxa"/>
            <w:shd w:val="clear" w:color="auto" w:fill="auto"/>
            <w:noWrap/>
            <w:vAlign w:val="center"/>
            <w:hideMark/>
          </w:tcPr>
          <w:p w14:paraId="6DEEB01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noWrap/>
            <w:vAlign w:val="center"/>
            <w:hideMark/>
          </w:tcPr>
          <w:p w14:paraId="78E5ECC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27B9250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noWrap/>
            <w:vAlign w:val="center"/>
            <w:hideMark/>
          </w:tcPr>
          <w:p w14:paraId="04CD25F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4D36AB6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55A887A"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D32860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AD2C150" w14:textId="77777777" w:rsidTr="00040CFB">
        <w:trPr>
          <w:trHeight w:val="20"/>
        </w:trPr>
        <w:tc>
          <w:tcPr>
            <w:tcW w:w="1985" w:type="dxa"/>
            <w:shd w:val="clear" w:color="auto" w:fill="auto"/>
            <w:vAlign w:val="center"/>
            <w:hideMark/>
          </w:tcPr>
          <w:p w14:paraId="1A7FBB4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noWrap/>
            <w:vAlign w:val="center"/>
            <w:hideMark/>
          </w:tcPr>
          <w:p w14:paraId="313F53E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6581991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noWrap/>
            <w:vAlign w:val="center"/>
            <w:hideMark/>
          </w:tcPr>
          <w:p w14:paraId="37DB8DC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7CDA02F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2B1E154"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D1E348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15AA6C1" w14:textId="77777777" w:rsidTr="00040CFB">
        <w:trPr>
          <w:trHeight w:val="20"/>
        </w:trPr>
        <w:tc>
          <w:tcPr>
            <w:tcW w:w="1985" w:type="dxa"/>
            <w:shd w:val="clear" w:color="auto" w:fill="auto"/>
            <w:noWrap/>
            <w:vAlign w:val="center"/>
            <w:hideMark/>
          </w:tcPr>
          <w:p w14:paraId="0DD249D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noWrap/>
            <w:vAlign w:val="center"/>
            <w:hideMark/>
          </w:tcPr>
          <w:p w14:paraId="5767B66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10,744,035.00</w:t>
            </w:r>
          </w:p>
        </w:tc>
        <w:tc>
          <w:tcPr>
            <w:tcW w:w="1346" w:type="dxa"/>
            <w:shd w:val="clear" w:color="auto" w:fill="auto"/>
            <w:noWrap/>
            <w:vAlign w:val="center"/>
            <w:hideMark/>
          </w:tcPr>
          <w:p w14:paraId="40CDDD4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10,744,035.00</w:t>
            </w:r>
          </w:p>
        </w:tc>
        <w:tc>
          <w:tcPr>
            <w:tcW w:w="1426" w:type="dxa"/>
            <w:shd w:val="clear" w:color="auto" w:fill="auto"/>
            <w:noWrap/>
            <w:vAlign w:val="center"/>
            <w:hideMark/>
          </w:tcPr>
          <w:p w14:paraId="34AE74F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9,938,233.00</w:t>
            </w:r>
          </w:p>
        </w:tc>
        <w:tc>
          <w:tcPr>
            <w:tcW w:w="1346" w:type="dxa"/>
            <w:shd w:val="clear" w:color="auto" w:fill="auto"/>
            <w:noWrap/>
            <w:vAlign w:val="center"/>
            <w:hideMark/>
          </w:tcPr>
          <w:p w14:paraId="23C9D37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805,802.00</w:t>
            </w:r>
          </w:p>
        </w:tc>
        <w:tc>
          <w:tcPr>
            <w:tcW w:w="945" w:type="dxa"/>
            <w:shd w:val="clear" w:color="auto" w:fill="auto"/>
            <w:vAlign w:val="center"/>
            <w:hideMark/>
          </w:tcPr>
          <w:p w14:paraId="10C33F40"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D5E2FC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C85FD4B" w14:textId="77777777" w:rsidTr="00040CFB">
        <w:trPr>
          <w:trHeight w:val="20"/>
        </w:trPr>
        <w:tc>
          <w:tcPr>
            <w:tcW w:w="1985" w:type="dxa"/>
            <w:shd w:val="clear" w:color="auto" w:fill="auto"/>
            <w:noWrap/>
            <w:vAlign w:val="center"/>
            <w:hideMark/>
          </w:tcPr>
          <w:p w14:paraId="0E17E5B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achitări</w:t>
            </w:r>
          </w:p>
        </w:tc>
        <w:tc>
          <w:tcPr>
            <w:tcW w:w="1346" w:type="dxa"/>
            <w:shd w:val="clear" w:color="auto" w:fill="auto"/>
            <w:noWrap/>
            <w:vAlign w:val="center"/>
            <w:hideMark/>
          </w:tcPr>
          <w:p w14:paraId="45D4308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10,744,035.00</w:t>
            </w:r>
          </w:p>
        </w:tc>
        <w:tc>
          <w:tcPr>
            <w:tcW w:w="1346" w:type="dxa"/>
            <w:shd w:val="clear" w:color="auto" w:fill="auto"/>
            <w:noWrap/>
            <w:vAlign w:val="center"/>
            <w:hideMark/>
          </w:tcPr>
          <w:p w14:paraId="7855F0A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10,744,035.00</w:t>
            </w:r>
          </w:p>
        </w:tc>
        <w:tc>
          <w:tcPr>
            <w:tcW w:w="1426" w:type="dxa"/>
            <w:shd w:val="clear" w:color="auto" w:fill="auto"/>
            <w:noWrap/>
            <w:vAlign w:val="center"/>
            <w:hideMark/>
          </w:tcPr>
          <w:p w14:paraId="13FEE39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9,938,233.00</w:t>
            </w:r>
          </w:p>
        </w:tc>
        <w:tc>
          <w:tcPr>
            <w:tcW w:w="1346" w:type="dxa"/>
            <w:shd w:val="clear" w:color="auto" w:fill="auto"/>
            <w:noWrap/>
            <w:vAlign w:val="center"/>
            <w:hideMark/>
          </w:tcPr>
          <w:p w14:paraId="346D909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805,802.00</w:t>
            </w:r>
          </w:p>
        </w:tc>
        <w:tc>
          <w:tcPr>
            <w:tcW w:w="945" w:type="dxa"/>
            <w:shd w:val="clear" w:color="auto" w:fill="auto"/>
            <w:vAlign w:val="center"/>
            <w:hideMark/>
          </w:tcPr>
          <w:p w14:paraId="6A50B2F1"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4EDA95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03B93B5" w14:textId="77777777" w:rsidTr="00040CFB">
        <w:trPr>
          <w:trHeight w:val="20"/>
        </w:trPr>
        <w:tc>
          <w:tcPr>
            <w:tcW w:w="1985" w:type="dxa"/>
            <w:shd w:val="clear" w:color="auto" w:fill="auto"/>
            <w:noWrap/>
            <w:vAlign w:val="center"/>
            <w:hideMark/>
          </w:tcPr>
          <w:p w14:paraId="17ECB80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 anului următor</w:t>
            </w:r>
          </w:p>
        </w:tc>
        <w:tc>
          <w:tcPr>
            <w:tcW w:w="1346" w:type="dxa"/>
            <w:shd w:val="clear" w:color="auto" w:fill="auto"/>
            <w:noWrap/>
            <w:vAlign w:val="center"/>
            <w:hideMark/>
          </w:tcPr>
          <w:p w14:paraId="6F5D7A7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172,203,393.00</w:t>
            </w:r>
          </w:p>
        </w:tc>
        <w:tc>
          <w:tcPr>
            <w:tcW w:w="1346" w:type="dxa"/>
            <w:shd w:val="clear" w:color="auto" w:fill="auto"/>
            <w:noWrap/>
            <w:vAlign w:val="center"/>
            <w:hideMark/>
          </w:tcPr>
          <w:p w14:paraId="702F82A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172,203,393.00</w:t>
            </w:r>
          </w:p>
        </w:tc>
        <w:tc>
          <w:tcPr>
            <w:tcW w:w="1426" w:type="dxa"/>
            <w:shd w:val="clear" w:color="auto" w:fill="auto"/>
            <w:noWrap/>
            <w:vAlign w:val="center"/>
            <w:hideMark/>
          </w:tcPr>
          <w:p w14:paraId="69B49B6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100,306,369.00</w:t>
            </w:r>
          </w:p>
        </w:tc>
        <w:tc>
          <w:tcPr>
            <w:tcW w:w="1346" w:type="dxa"/>
            <w:shd w:val="clear" w:color="auto" w:fill="auto"/>
            <w:noWrap/>
            <w:vAlign w:val="center"/>
            <w:hideMark/>
          </w:tcPr>
          <w:p w14:paraId="50B9E08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71,897,024.00</w:t>
            </w:r>
          </w:p>
        </w:tc>
        <w:tc>
          <w:tcPr>
            <w:tcW w:w="945" w:type="dxa"/>
            <w:shd w:val="clear" w:color="auto" w:fill="auto"/>
            <w:vAlign w:val="center"/>
            <w:hideMark/>
          </w:tcPr>
          <w:p w14:paraId="05E7AAC2"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38E96C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8ED1BB6" w14:textId="77777777" w:rsidTr="00040CFB">
        <w:trPr>
          <w:trHeight w:val="20"/>
        </w:trPr>
        <w:tc>
          <w:tcPr>
            <w:tcW w:w="1985" w:type="dxa"/>
            <w:shd w:val="clear" w:color="auto" w:fill="auto"/>
            <w:noWrap/>
            <w:vAlign w:val="center"/>
            <w:hideMark/>
          </w:tcPr>
          <w:p w14:paraId="6D4E8B8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Sancțiuni pentru gaz în anul 1996</w:t>
            </w:r>
          </w:p>
        </w:tc>
        <w:tc>
          <w:tcPr>
            <w:tcW w:w="1346" w:type="dxa"/>
            <w:shd w:val="clear" w:color="auto" w:fill="auto"/>
            <w:noWrap/>
            <w:vAlign w:val="center"/>
            <w:hideMark/>
          </w:tcPr>
          <w:p w14:paraId="794B0C1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19,416,592.00</w:t>
            </w:r>
          </w:p>
        </w:tc>
        <w:tc>
          <w:tcPr>
            <w:tcW w:w="1346" w:type="dxa"/>
            <w:shd w:val="clear" w:color="auto" w:fill="auto"/>
            <w:noWrap/>
            <w:vAlign w:val="center"/>
            <w:hideMark/>
          </w:tcPr>
          <w:p w14:paraId="4F1C813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noWrap/>
            <w:vAlign w:val="center"/>
            <w:hideMark/>
          </w:tcPr>
          <w:p w14:paraId="1394E16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5197495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3E649AE"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4A56A5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990CAE7" w14:textId="77777777" w:rsidTr="00040CFB">
        <w:trPr>
          <w:trHeight w:val="20"/>
        </w:trPr>
        <w:tc>
          <w:tcPr>
            <w:tcW w:w="1985" w:type="dxa"/>
            <w:shd w:val="clear" w:color="auto" w:fill="auto"/>
            <w:noWrap/>
            <w:vAlign w:val="center"/>
            <w:hideMark/>
          </w:tcPr>
          <w:p w14:paraId="1785591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Penalizare pentru nepreluare a gazului </w:t>
            </w:r>
          </w:p>
        </w:tc>
        <w:tc>
          <w:tcPr>
            <w:tcW w:w="1346" w:type="dxa"/>
            <w:shd w:val="clear" w:color="auto" w:fill="auto"/>
            <w:noWrap/>
            <w:vAlign w:val="center"/>
            <w:hideMark/>
          </w:tcPr>
          <w:p w14:paraId="71B8BF0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1,340,552.00</w:t>
            </w:r>
          </w:p>
        </w:tc>
        <w:tc>
          <w:tcPr>
            <w:tcW w:w="1346" w:type="dxa"/>
            <w:shd w:val="clear" w:color="auto" w:fill="auto"/>
            <w:noWrap/>
            <w:vAlign w:val="center"/>
            <w:hideMark/>
          </w:tcPr>
          <w:p w14:paraId="5785FF7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noWrap/>
            <w:vAlign w:val="center"/>
            <w:hideMark/>
          </w:tcPr>
          <w:p w14:paraId="4AA60C1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noWrap/>
            <w:vAlign w:val="center"/>
            <w:hideMark/>
          </w:tcPr>
          <w:p w14:paraId="5F2A870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D89F120"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FF4489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F3E1C68" w14:textId="77777777" w:rsidTr="00040CFB">
        <w:trPr>
          <w:trHeight w:val="20"/>
        </w:trPr>
        <w:tc>
          <w:tcPr>
            <w:tcW w:w="1985" w:type="dxa"/>
            <w:shd w:val="clear" w:color="auto" w:fill="auto"/>
            <w:noWrap/>
            <w:vAlign w:val="center"/>
            <w:hideMark/>
          </w:tcPr>
          <w:p w14:paraId="62F16F8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datorii la 01.01.1997</w:t>
            </w:r>
          </w:p>
        </w:tc>
        <w:tc>
          <w:tcPr>
            <w:tcW w:w="1346" w:type="dxa"/>
            <w:shd w:val="clear" w:color="auto" w:fill="auto"/>
            <w:noWrap/>
            <w:vAlign w:val="center"/>
            <w:hideMark/>
          </w:tcPr>
          <w:p w14:paraId="6350311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192,960,537.00</w:t>
            </w:r>
          </w:p>
        </w:tc>
        <w:tc>
          <w:tcPr>
            <w:tcW w:w="1346" w:type="dxa"/>
            <w:shd w:val="clear" w:color="auto" w:fill="auto"/>
            <w:noWrap/>
            <w:vAlign w:val="center"/>
            <w:hideMark/>
          </w:tcPr>
          <w:p w14:paraId="1678D95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172,203,393.00</w:t>
            </w:r>
          </w:p>
        </w:tc>
        <w:tc>
          <w:tcPr>
            <w:tcW w:w="1426" w:type="dxa"/>
            <w:shd w:val="clear" w:color="auto" w:fill="auto"/>
            <w:noWrap/>
            <w:vAlign w:val="center"/>
            <w:hideMark/>
          </w:tcPr>
          <w:p w14:paraId="3535993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100,306,369.00</w:t>
            </w:r>
          </w:p>
        </w:tc>
        <w:tc>
          <w:tcPr>
            <w:tcW w:w="1346" w:type="dxa"/>
            <w:shd w:val="clear" w:color="auto" w:fill="auto"/>
            <w:noWrap/>
            <w:vAlign w:val="center"/>
            <w:hideMark/>
          </w:tcPr>
          <w:p w14:paraId="6444CEC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71,897,024.00</w:t>
            </w:r>
          </w:p>
        </w:tc>
        <w:tc>
          <w:tcPr>
            <w:tcW w:w="945" w:type="dxa"/>
            <w:shd w:val="clear" w:color="auto" w:fill="auto"/>
            <w:vAlign w:val="center"/>
            <w:hideMark/>
          </w:tcPr>
          <w:p w14:paraId="3EBE1178"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CB10CA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4BBF033" w14:textId="77777777" w:rsidTr="00040CFB">
        <w:trPr>
          <w:trHeight w:val="20"/>
        </w:trPr>
        <w:tc>
          <w:tcPr>
            <w:tcW w:w="1985" w:type="dxa"/>
            <w:shd w:val="clear" w:color="000000" w:fill="FFC000"/>
            <w:vAlign w:val="center"/>
            <w:hideMark/>
          </w:tcPr>
          <w:p w14:paraId="25909B59"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1997</w:t>
            </w:r>
          </w:p>
        </w:tc>
        <w:tc>
          <w:tcPr>
            <w:tcW w:w="1346" w:type="dxa"/>
            <w:shd w:val="clear" w:color="auto" w:fill="auto"/>
            <w:vAlign w:val="center"/>
            <w:hideMark/>
          </w:tcPr>
          <w:p w14:paraId="37A45E8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7CA450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5C78A1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3097F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E5C08B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BC80D8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3DEC391" w14:textId="77777777" w:rsidTr="00040CFB">
        <w:trPr>
          <w:trHeight w:val="20"/>
        </w:trPr>
        <w:tc>
          <w:tcPr>
            <w:tcW w:w="1985" w:type="dxa"/>
            <w:shd w:val="clear" w:color="auto" w:fill="auto"/>
            <w:vAlign w:val="center"/>
            <w:hideMark/>
          </w:tcPr>
          <w:p w14:paraId="43E35F1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01.01.1997</w:t>
            </w:r>
          </w:p>
        </w:tc>
        <w:tc>
          <w:tcPr>
            <w:tcW w:w="1346" w:type="dxa"/>
            <w:shd w:val="clear" w:color="auto" w:fill="auto"/>
            <w:vAlign w:val="center"/>
            <w:hideMark/>
          </w:tcPr>
          <w:p w14:paraId="04C4B7C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172,203,393.00</w:t>
            </w:r>
          </w:p>
        </w:tc>
        <w:tc>
          <w:tcPr>
            <w:tcW w:w="1346" w:type="dxa"/>
            <w:shd w:val="clear" w:color="auto" w:fill="auto"/>
            <w:vAlign w:val="center"/>
            <w:hideMark/>
          </w:tcPr>
          <w:p w14:paraId="09CAF16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172,203,393.00</w:t>
            </w:r>
          </w:p>
        </w:tc>
        <w:tc>
          <w:tcPr>
            <w:tcW w:w="1426" w:type="dxa"/>
            <w:shd w:val="clear" w:color="auto" w:fill="auto"/>
            <w:vAlign w:val="center"/>
            <w:hideMark/>
          </w:tcPr>
          <w:p w14:paraId="499C11C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361CC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A00EDE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70B2BBE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967F3C2" w14:textId="77777777" w:rsidTr="00040CFB">
        <w:trPr>
          <w:trHeight w:val="20"/>
        </w:trPr>
        <w:tc>
          <w:tcPr>
            <w:tcW w:w="1985" w:type="dxa"/>
            <w:shd w:val="clear" w:color="auto" w:fill="auto"/>
            <w:vAlign w:val="center"/>
            <w:hideMark/>
          </w:tcPr>
          <w:p w14:paraId="20C96F3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Penalități pentru gaz la situația din 01.01.97</w:t>
            </w:r>
          </w:p>
        </w:tc>
        <w:tc>
          <w:tcPr>
            <w:tcW w:w="1346" w:type="dxa"/>
            <w:shd w:val="clear" w:color="auto" w:fill="auto"/>
            <w:vAlign w:val="center"/>
            <w:hideMark/>
          </w:tcPr>
          <w:p w14:paraId="6ABBDDA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19,416,592.00</w:t>
            </w:r>
          </w:p>
        </w:tc>
        <w:tc>
          <w:tcPr>
            <w:tcW w:w="1346" w:type="dxa"/>
            <w:shd w:val="clear" w:color="auto" w:fill="auto"/>
            <w:vAlign w:val="center"/>
            <w:hideMark/>
          </w:tcPr>
          <w:p w14:paraId="44333F9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19,416,592.00</w:t>
            </w:r>
          </w:p>
        </w:tc>
        <w:tc>
          <w:tcPr>
            <w:tcW w:w="1426" w:type="dxa"/>
            <w:shd w:val="clear" w:color="auto" w:fill="auto"/>
            <w:vAlign w:val="center"/>
            <w:hideMark/>
          </w:tcPr>
          <w:p w14:paraId="7D1C2BB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CC723B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EB106F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864ADB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66DFB06" w14:textId="77777777" w:rsidTr="00040CFB">
        <w:trPr>
          <w:trHeight w:val="20"/>
        </w:trPr>
        <w:tc>
          <w:tcPr>
            <w:tcW w:w="1985" w:type="dxa"/>
            <w:shd w:val="clear" w:color="auto" w:fill="auto"/>
            <w:vAlign w:val="center"/>
            <w:hideMark/>
          </w:tcPr>
          <w:p w14:paraId="4E01F76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Penalizare pentru nepreluare a gazului </w:t>
            </w:r>
          </w:p>
        </w:tc>
        <w:tc>
          <w:tcPr>
            <w:tcW w:w="1346" w:type="dxa"/>
            <w:shd w:val="clear" w:color="auto" w:fill="auto"/>
            <w:vAlign w:val="center"/>
            <w:hideMark/>
          </w:tcPr>
          <w:p w14:paraId="3C7C5D8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1,340,552.00</w:t>
            </w:r>
          </w:p>
        </w:tc>
        <w:tc>
          <w:tcPr>
            <w:tcW w:w="1346" w:type="dxa"/>
            <w:shd w:val="clear" w:color="auto" w:fill="auto"/>
            <w:vAlign w:val="center"/>
            <w:hideMark/>
          </w:tcPr>
          <w:p w14:paraId="0A1D696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1,340,552.00</w:t>
            </w:r>
          </w:p>
        </w:tc>
        <w:tc>
          <w:tcPr>
            <w:tcW w:w="1426" w:type="dxa"/>
            <w:shd w:val="clear" w:color="auto" w:fill="auto"/>
            <w:vAlign w:val="center"/>
            <w:hideMark/>
          </w:tcPr>
          <w:p w14:paraId="256147F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012CDB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C6B7A9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249DB4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50BFC0E" w14:textId="77777777" w:rsidTr="00040CFB">
        <w:trPr>
          <w:trHeight w:val="20"/>
        </w:trPr>
        <w:tc>
          <w:tcPr>
            <w:tcW w:w="1985" w:type="dxa"/>
            <w:shd w:val="clear" w:color="auto" w:fill="auto"/>
            <w:vAlign w:val="center"/>
            <w:hideMark/>
          </w:tcPr>
          <w:p w14:paraId="2DCADDC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datorii la 01.01 anului precedent</w:t>
            </w:r>
          </w:p>
        </w:tc>
        <w:tc>
          <w:tcPr>
            <w:tcW w:w="1346" w:type="dxa"/>
            <w:shd w:val="clear" w:color="auto" w:fill="auto"/>
            <w:vAlign w:val="center"/>
            <w:hideMark/>
          </w:tcPr>
          <w:p w14:paraId="5AAA6B1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192,960,537.00</w:t>
            </w:r>
          </w:p>
        </w:tc>
        <w:tc>
          <w:tcPr>
            <w:tcW w:w="1346" w:type="dxa"/>
            <w:shd w:val="clear" w:color="auto" w:fill="auto"/>
            <w:vAlign w:val="center"/>
            <w:hideMark/>
          </w:tcPr>
          <w:p w14:paraId="56DC193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192,960,537.00</w:t>
            </w:r>
          </w:p>
        </w:tc>
        <w:tc>
          <w:tcPr>
            <w:tcW w:w="1426" w:type="dxa"/>
            <w:shd w:val="clear" w:color="auto" w:fill="auto"/>
            <w:vAlign w:val="center"/>
            <w:hideMark/>
          </w:tcPr>
          <w:p w14:paraId="54C133F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2F37FC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27977C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8F473D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C10097B" w14:textId="77777777" w:rsidTr="00040CFB">
        <w:trPr>
          <w:trHeight w:val="20"/>
        </w:trPr>
        <w:tc>
          <w:tcPr>
            <w:tcW w:w="1985" w:type="dxa"/>
            <w:shd w:val="clear" w:color="auto" w:fill="auto"/>
            <w:vAlign w:val="center"/>
            <w:hideMark/>
          </w:tcPr>
          <w:p w14:paraId="3CC8273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6594F2A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190,288,097.12</w:t>
            </w:r>
          </w:p>
        </w:tc>
        <w:tc>
          <w:tcPr>
            <w:tcW w:w="1346" w:type="dxa"/>
            <w:shd w:val="clear" w:color="auto" w:fill="auto"/>
            <w:vAlign w:val="center"/>
            <w:hideMark/>
          </w:tcPr>
          <w:p w14:paraId="1E2D8E5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190,288,097.12</w:t>
            </w:r>
          </w:p>
        </w:tc>
        <w:tc>
          <w:tcPr>
            <w:tcW w:w="1426" w:type="dxa"/>
            <w:shd w:val="clear" w:color="auto" w:fill="auto"/>
            <w:vAlign w:val="center"/>
            <w:hideMark/>
          </w:tcPr>
          <w:p w14:paraId="54BA76B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144,408.00</w:t>
            </w:r>
          </w:p>
        </w:tc>
        <w:tc>
          <w:tcPr>
            <w:tcW w:w="1346" w:type="dxa"/>
            <w:shd w:val="clear" w:color="auto" w:fill="auto"/>
            <w:vAlign w:val="center"/>
            <w:hideMark/>
          </w:tcPr>
          <w:p w14:paraId="106A60B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45,880.00</w:t>
            </w:r>
          </w:p>
        </w:tc>
        <w:tc>
          <w:tcPr>
            <w:tcW w:w="945" w:type="dxa"/>
            <w:shd w:val="clear" w:color="auto" w:fill="auto"/>
            <w:vAlign w:val="center"/>
            <w:hideMark/>
          </w:tcPr>
          <w:p w14:paraId="5C0E2D5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6ED638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024868E" w14:textId="77777777" w:rsidTr="00040CFB">
        <w:trPr>
          <w:trHeight w:val="20"/>
        </w:trPr>
        <w:tc>
          <w:tcPr>
            <w:tcW w:w="1985" w:type="dxa"/>
            <w:shd w:val="clear" w:color="auto" w:fill="auto"/>
            <w:vAlign w:val="center"/>
            <w:hideMark/>
          </w:tcPr>
          <w:p w14:paraId="16047EF8" w14:textId="495F3BF1"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Obligațiuni a</w:t>
            </w:r>
            <w:r w:rsidR="004C6D2F" w:rsidRPr="009772A3">
              <w:rPr>
                <w:rFonts w:asciiTheme="majorHAnsi" w:eastAsia="Times New Roman" w:hAnsiTheme="majorHAnsi" w:cstheme="majorHAnsi"/>
                <w:sz w:val="16"/>
                <w:szCs w:val="20"/>
                <w:lang w:val="ro-MD"/>
              </w:rPr>
              <w:t>le</w:t>
            </w:r>
            <w:r w:rsidRPr="009772A3">
              <w:rPr>
                <w:rFonts w:asciiTheme="majorHAnsi" w:eastAsia="Times New Roman" w:hAnsiTheme="majorHAnsi" w:cstheme="majorHAnsi"/>
                <w:sz w:val="16"/>
                <w:szCs w:val="20"/>
                <w:lang w:val="ro-MD"/>
              </w:rPr>
              <w:t xml:space="preserve"> Guvernului RM</w:t>
            </w:r>
          </w:p>
        </w:tc>
        <w:tc>
          <w:tcPr>
            <w:tcW w:w="1346" w:type="dxa"/>
            <w:shd w:val="clear" w:color="auto" w:fill="auto"/>
            <w:vAlign w:val="center"/>
            <w:hideMark/>
          </w:tcPr>
          <w:p w14:paraId="4587C04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9,768,709.29</w:t>
            </w:r>
          </w:p>
        </w:tc>
        <w:tc>
          <w:tcPr>
            <w:tcW w:w="1346" w:type="dxa"/>
            <w:shd w:val="clear" w:color="auto" w:fill="auto"/>
            <w:vAlign w:val="center"/>
            <w:hideMark/>
          </w:tcPr>
          <w:p w14:paraId="03E7D82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9,768,709.29</w:t>
            </w:r>
          </w:p>
        </w:tc>
        <w:tc>
          <w:tcPr>
            <w:tcW w:w="1426" w:type="dxa"/>
            <w:shd w:val="clear" w:color="auto" w:fill="auto"/>
            <w:vAlign w:val="center"/>
            <w:hideMark/>
          </w:tcPr>
          <w:p w14:paraId="705D30A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21F7B1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CC2CD4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84A943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D156546" w14:textId="77777777" w:rsidTr="00040CFB">
        <w:trPr>
          <w:trHeight w:val="20"/>
        </w:trPr>
        <w:tc>
          <w:tcPr>
            <w:tcW w:w="1985" w:type="dxa"/>
            <w:shd w:val="clear" w:color="auto" w:fill="auto"/>
            <w:vAlign w:val="center"/>
            <w:hideMark/>
          </w:tcPr>
          <w:p w14:paraId="1FBA772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inclusiv</w:t>
            </w:r>
          </w:p>
        </w:tc>
        <w:tc>
          <w:tcPr>
            <w:tcW w:w="1346" w:type="dxa"/>
            <w:shd w:val="clear" w:color="auto" w:fill="auto"/>
            <w:vAlign w:val="center"/>
            <w:hideMark/>
          </w:tcPr>
          <w:p w14:paraId="4F7B0FF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352,722,780.83</w:t>
            </w:r>
          </w:p>
        </w:tc>
        <w:tc>
          <w:tcPr>
            <w:tcW w:w="1346" w:type="dxa"/>
            <w:shd w:val="clear" w:color="auto" w:fill="auto"/>
            <w:vAlign w:val="center"/>
            <w:hideMark/>
          </w:tcPr>
          <w:p w14:paraId="3F1FE13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352,722,780.83</w:t>
            </w:r>
          </w:p>
        </w:tc>
        <w:tc>
          <w:tcPr>
            <w:tcW w:w="1426" w:type="dxa"/>
            <w:shd w:val="clear" w:color="auto" w:fill="auto"/>
            <w:vAlign w:val="center"/>
            <w:hideMark/>
          </w:tcPr>
          <w:p w14:paraId="451042E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BE2EFF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C1D512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BBEAD9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DD551E8" w14:textId="77777777" w:rsidTr="00040CFB">
        <w:trPr>
          <w:trHeight w:val="20"/>
        </w:trPr>
        <w:tc>
          <w:tcPr>
            <w:tcW w:w="1985" w:type="dxa"/>
            <w:shd w:val="clear" w:color="auto" w:fill="auto"/>
            <w:vAlign w:val="center"/>
            <w:hideMark/>
          </w:tcPr>
          <w:p w14:paraId="64BC7D8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Penalități pentru gaz livrat în 1996 și 1997 la 01.01.98</w:t>
            </w:r>
          </w:p>
        </w:tc>
        <w:tc>
          <w:tcPr>
            <w:tcW w:w="1346" w:type="dxa"/>
            <w:shd w:val="clear" w:color="auto" w:fill="auto"/>
            <w:vAlign w:val="center"/>
            <w:hideMark/>
          </w:tcPr>
          <w:p w14:paraId="2E2908E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49,408,216.21</w:t>
            </w:r>
          </w:p>
        </w:tc>
        <w:tc>
          <w:tcPr>
            <w:tcW w:w="1346" w:type="dxa"/>
            <w:shd w:val="clear" w:color="auto" w:fill="auto"/>
            <w:vAlign w:val="center"/>
            <w:hideMark/>
          </w:tcPr>
          <w:p w14:paraId="774648D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49,408,216.21</w:t>
            </w:r>
          </w:p>
        </w:tc>
        <w:tc>
          <w:tcPr>
            <w:tcW w:w="1426" w:type="dxa"/>
            <w:shd w:val="clear" w:color="auto" w:fill="auto"/>
            <w:vAlign w:val="center"/>
            <w:hideMark/>
          </w:tcPr>
          <w:p w14:paraId="5E66887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E8F692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EC197B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3E546A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EEB1005" w14:textId="77777777" w:rsidTr="00040CFB">
        <w:trPr>
          <w:trHeight w:val="20"/>
        </w:trPr>
        <w:tc>
          <w:tcPr>
            <w:tcW w:w="1985" w:type="dxa"/>
            <w:shd w:val="clear" w:color="auto" w:fill="auto"/>
            <w:vAlign w:val="center"/>
            <w:hideMark/>
          </w:tcPr>
          <w:p w14:paraId="38B62C6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datorii la 01.01 anului de gestiune</w:t>
            </w:r>
          </w:p>
        </w:tc>
        <w:tc>
          <w:tcPr>
            <w:tcW w:w="1346" w:type="dxa"/>
            <w:shd w:val="clear" w:color="auto" w:fill="auto"/>
            <w:vAlign w:val="center"/>
            <w:hideMark/>
          </w:tcPr>
          <w:p w14:paraId="3FD2F21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422,888,141.04</w:t>
            </w:r>
          </w:p>
        </w:tc>
        <w:tc>
          <w:tcPr>
            <w:tcW w:w="1346" w:type="dxa"/>
            <w:shd w:val="clear" w:color="auto" w:fill="auto"/>
            <w:vAlign w:val="center"/>
            <w:hideMark/>
          </w:tcPr>
          <w:p w14:paraId="1A9F3C4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422,888,141.04</w:t>
            </w:r>
          </w:p>
        </w:tc>
        <w:tc>
          <w:tcPr>
            <w:tcW w:w="1426" w:type="dxa"/>
            <w:shd w:val="clear" w:color="auto" w:fill="auto"/>
            <w:vAlign w:val="center"/>
            <w:hideMark/>
          </w:tcPr>
          <w:p w14:paraId="69D8E97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180E9A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9913FD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44B7C4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181E57B" w14:textId="77777777" w:rsidTr="00040CFB">
        <w:trPr>
          <w:trHeight w:val="20"/>
        </w:trPr>
        <w:tc>
          <w:tcPr>
            <w:tcW w:w="1985" w:type="dxa"/>
            <w:shd w:val="clear" w:color="000000" w:fill="FFC000"/>
            <w:vAlign w:val="center"/>
            <w:hideMark/>
          </w:tcPr>
          <w:p w14:paraId="1AD4E29A"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1998</w:t>
            </w:r>
          </w:p>
        </w:tc>
        <w:tc>
          <w:tcPr>
            <w:tcW w:w="1346" w:type="dxa"/>
            <w:shd w:val="clear" w:color="auto" w:fill="auto"/>
            <w:vAlign w:val="center"/>
            <w:hideMark/>
          </w:tcPr>
          <w:p w14:paraId="7405E28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0D0DB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07937B1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FE6959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C06D44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D0B31C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EA88676" w14:textId="77777777" w:rsidTr="00040CFB">
        <w:trPr>
          <w:trHeight w:val="20"/>
        </w:trPr>
        <w:tc>
          <w:tcPr>
            <w:tcW w:w="1985" w:type="dxa"/>
            <w:shd w:val="clear" w:color="auto" w:fill="auto"/>
            <w:vAlign w:val="center"/>
            <w:hideMark/>
          </w:tcPr>
          <w:p w14:paraId="3705C05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01.01.1998</w:t>
            </w:r>
          </w:p>
        </w:tc>
        <w:tc>
          <w:tcPr>
            <w:tcW w:w="1346" w:type="dxa"/>
            <w:shd w:val="clear" w:color="auto" w:fill="auto"/>
            <w:vAlign w:val="center"/>
            <w:hideMark/>
          </w:tcPr>
          <w:p w14:paraId="72B0985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352,722,780.83</w:t>
            </w:r>
          </w:p>
        </w:tc>
        <w:tc>
          <w:tcPr>
            <w:tcW w:w="1346" w:type="dxa"/>
            <w:shd w:val="clear" w:color="auto" w:fill="auto"/>
            <w:vAlign w:val="center"/>
            <w:hideMark/>
          </w:tcPr>
          <w:p w14:paraId="7BD1B13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352,722,780.83</w:t>
            </w:r>
          </w:p>
        </w:tc>
        <w:tc>
          <w:tcPr>
            <w:tcW w:w="1426" w:type="dxa"/>
            <w:shd w:val="clear" w:color="auto" w:fill="auto"/>
            <w:vAlign w:val="center"/>
            <w:hideMark/>
          </w:tcPr>
          <w:p w14:paraId="3688D3B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91,140,183.83</w:t>
            </w:r>
          </w:p>
        </w:tc>
        <w:tc>
          <w:tcPr>
            <w:tcW w:w="1346" w:type="dxa"/>
            <w:shd w:val="clear" w:color="auto" w:fill="auto"/>
            <w:vAlign w:val="center"/>
            <w:hideMark/>
          </w:tcPr>
          <w:p w14:paraId="3A2EDEA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261,582,597.00</w:t>
            </w:r>
          </w:p>
        </w:tc>
        <w:tc>
          <w:tcPr>
            <w:tcW w:w="945" w:type="dxa"/>
            <w:shd w:val="clear" w:color="auto" w:fill="auto"/>
            <w:vAlign w:val="center"/>
            <w:hideMark/>
          </w:tcPr>
          <w:p w14:paraId="331FCDC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62759A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F275B95" w14:textId="77777777" w:rsidTr="00040CFB">
        <w:trPr>
          <w:trHeight w:val="20"/>
        </w:trPr>
        <w:tc>
          <w:tcPr>
            <w:tcW w:w="1985" w:type="dxa"/>
            <w:shd w:val="clear" w:color="auto" w:fill="auto"/>
            <w:vAlign w:val="center"/>
            <w:hideMark/>
          </w:tcPr>
          <w:p w14:paraId="6286A84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62F1B72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168,390,066.00</w:t>
            </w:r>
          </w:p>
        </w:tc>
        <w:tc>
          <w:tcPr>
            <w:tcW w:w="1346" w:type="dxa"/>
            <w:shd w:val="clear" w:color="auto" w:fill="auto"/>
            <w:vAlign w:val="center"/>
            <w:hideMark/>
          </w:tcPr>
          <w:p w14:paraId="6E0B4DF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168,390,066.00</w:t>
            </w:r>
          </w:p>
        </w:tc>
        <w:tc>
          <w:tcPr>
            <w:tcW w:w="1426" w:type="dxa"/>
            <w:shd w:val="clear" w:color="auto" w:fill="auto"/>
            <w:vAlign w:val="center"/>
            <w:hideMark/>
          </w:tcPr>
          <w:p w14:paraId="42BA186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106,308,432.00</w:t>
            </w:r>
          </w:p>
        </w:tc>
        <w:tc>
          <w:tcPr>
            <w:tcW w:w="1346" w:type="dxa"/>
            <w:shd w:val="clear" w:color="auto" w:fill="auto"/>
            <w:vAlign w:val="center"/>
            <w:hideMark/>
          </w:tcPr>
          <w:p w14:paraId="7846F90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62,081,634.00</w:t>
            </w:r>
          </w:p>
        </w:tc>
        <w:tc>
          <w:tcPr>
            <w:tcW w:w="945" w:type="dxa"/>
            <w:shd w:val="clear" w:color="auto" w:fill="auto"/>
            <w:vAlign w:val="center"/>
            <w:hideMark/>
          </w:tcPr>
          <w:p w14:paraId="55CBE0E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97EC3B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FF1974D" w14:textId="77777777" w:rsidTr="00040CFB">
        <w:trPr>
          <w:trHeight w:val="20"/>
        </w:trPr>
        <w:tc>
          <w:tcPr>
            <w:tcW w:w="1985" w:type="dxa"/>
            <w:shd w:val="clear" w:color="auto" w:fill="auto"/>
            <w:vAlign w:val="center"/>
            <w:hideMark/>
          </w:tcPr>
          <w:p w14:paraId="5CEFD76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Achitari reciproce interne</w:t>
            </w:r>
          </w:p>
        </w:tc>
        <w:tc>
          <w:tcPr>
            <w:tcW w:w="1346" w:type="dxa"/>
            <w:shd w:val="clear" w:color="auto" w:fill="auto"/>
            <w:vAlign w:val="center"/>
            <w:hideMark/>
          </w:tcPr>
          <w:p w14:paraId="782736B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36A584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71C9815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16,953,704.00</w:t>
            </w:r>
          </w:p>
        </w:tc>
        <w:tc>
          <w:tcPr>
            <w:tcW w:w="1346" w:type="dxa"/>
            <w:shd w:val="clear" w:color="auto" w:fill="auto"/>
            <w:vAlign w:val="center"/>
            <w:hideMark/>
          </w:tcPr>
          <w:p w14:paraId="5A73055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-16,953,704.00</w:t>
            </w:r>
          </w:p>
        </w:tc>
        <w:tc>
          <w:tcPr>
            <w:tcW w:w="945" w:type="dxa"/>
            <w:shd w:val="clear" w:color="auto" w:fill="auto"/>
            <w:vAlign w:val="center"/>
            <w:hideMark/>
          </w:tcPr>
          <w:p w14:paraId="09A10A2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20FB72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B06E00C" w14:textId="77777777" w:rsidTr="00040CFB">
        <w:trPr>
          <w:trHeight w:val="20"/>
        </w:trPr>
        <w:tc>
          <w:tcPr>
            <w:tcW w:w="1985" w:type="dxa"/>
            <w:shd w:val="clear" w:color="auto" w:fill="auto"/>
            <w:vAlign w:val="center"/>
            <w:hideMark/>
          </w:tcPr>
          <w:p w14:paraId="3B2402E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financiare pentru anul 1996</w:t>
            </w:r>
          </w:p>
        </w:tc>
        <w:tc>
          <w:tcPr>
            <w:tcW w:w="1346" w:type="dxa"/>
            <w:shd w:val="clear" w:color="auto" w:fill="auto"/>
            <w:vAlign w:val="center"/>
            <w:hideMark/>
          </w:tcPr>
          <w:p w14:paraId="6F902FC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7,439,940.00</w:t>
            </w:r>
          </w:p>
        </w:tc>
        <w:tc>
          <w:tcPr>
            <w:tcW w:w="1346" w:type="dxa"/>
            <w:shd w:val="clear" w:color="auto" w:fill="auto"/>
            <w:vAlign w:val="center"/>
            <w:hideMark/>
          </w:tcPr>
          <w:p w14:paraId="0986F48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7,439,940.00</w:t>
            </w:r>
          </w:p>
        </w:tc>
        <w:tc>
          <w:tcPr>
            <w:tcW w:w="1426" w:type="dxa"/>
            <w:shd w:val="clear" w:color="auto" w:fill="auto"/>
            <w:vAlign w:val="center"/>
            <w:hideMark/>
          </w:tcPr>
          <w:p w14:paraId="195F170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4,349,940.00</w:t>
            </w:r>
          </w:p>
        </w:tc>
        <w:tc>
          <w:tcPr>
            <w:tcW w:w="1346" w:type="dxa"/>
            <w:shd w:val="clear" w:color="auto" w:fill="auto"/>
            <w:vAlign w:val="center"/>
            <w:hideMark/>
          </w:tcPr>
          <w:p w14:paraId="70039F1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3,090,000.00</w:t>
            </w:r>
          </w:p>
        </w:tc>
        <w:tc>
          <w:tcPr>
            <w:tcW w:w="945" w:type="dxa"/>
            <w:shd w:val="clear" w:color="auto" w:fill="auto"/>
            <w:vAlign w:val="center"/>
            <w:hideMark/>
          </w:tcPr>
          <w:p w14:paraId="55FC1C7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3DDB21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085F2CB" w14:textId="77777777" w:rsidTr="00040CFB">
        <w:trPr>
          <w:trHeight w:val="20"/>
        </w:trPr>
        <w:tc>
          <w:tcPr>
            <w:tcW w:w="1985" w:type="dxa"/>
            <w:shd w:val="clear" w:color="auto" w:fill="auto"/>
            <w:vAlign w:val="center"/>
            <w:hideMark/>
          </w:tcPr>
          <w:p w14:paraId="1604B8E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4E35E36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93,514,024.77</w:t>
            </w:r>
          </w:p>
        </w:tc>
        <w:tc>
          <w:tcPr>
            <w:tcW w:w="1346" w:type="dxa"/>
            <w:shd w:val="clear" w:color="auto" w:fill="auto"/>
            <w:vAlign w:val="center"/>
            <w:hideMark/>
          </w:tcPr>
          <w:p w14:paraId="0462122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93,514,024.77</w:t>
            </w:r>
          </w:p>
        </w:tc>
        <w:tc>
          <w:tcPr>
            <w:tcW w:w="1426" w:type="dxa"/>
            <w:shd w:val="clear" w:color="auto" w:fill="auto"/>
            <w:vAlign w:val="center"/>
            <w:hideMark/>
          </w:tcPr>
          <w:p w14:paraId="415F484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76,360,041.77</w:t>
            </w:r>
          </w:p>
        </w:tc>
        <w:tc>
          <w:tcPr>
            <w:tcW w:w="1346" w:type="dxa"/>
            <w:shd w:val="clear" w:color="auto" w:fill="auto"/>
            <w:vAlign w:val="center"/>
            <w:hideMark/>
          </w:tcPr>
          <w:p w14:paraId="7F65552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17,153,983.00</w:t>
            </w:r>
          </w:p>
        </w:tc>
        <w:tc>
          <w:tcPr>
            <w:tcW w:w="945" w:type="dxa"/>
            <w:shd w:val="clear" w:color="auto" w:fill="auto"/>
            <w:vAlign w:val="center"/>
            <w:hideMark/>
          </w:tcPr>
          <w:p w14:paraId="6D81FA8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E7458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DFF3195" w14:textId="77777777" w:rsidTr="00040CFB">
        <w:trPr>
          <w:trHeight w:val="20"/>
        </w:trPr>
        <w:tc>
          <w:tcPr>
            <w:tcW w:w="1985" w:type="dxa"/>
            <w:shd w:val="clear" w:color="auto" w:fill="auto"/>
            <w:vAlign w:val="center"/>
            <w:hideMark/>
          </w:tcPr>
          <w:p w14:paraId="7EC957D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Achitări </w:t>
            </w:r>
          </w:p>
        </w:tc>
        <w:tc>
          <w:tcPr>
            <w:tcW w:w="1346" w:type="dxa"/>
            <w:shd w:val="clear" w:color="auto" w:fill="auto"/>
            <w:vAlign w:val="center"/>
            <w:hideMark/>
          </w:tcPr>
          <w:p w14:paraId="0D3CA69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100,953,964.77</w:t>
            </w:r>
          </w:p>
        </w:tc>
        <w:tc>
          <w:tcPr>
            <w:tcW w:w="1346" w:type="dxa"/>
            <w:shd w:val="clear" w:color="auto" w:fill="auto"/>
            <w:vAlign w:val="center"/>
            <w:hideMark/>
          </w:tcPr>
          <w:p w14:paraId="6AD062B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100,953,964.77</w:t>
            </w:r>
          </w:p>
        </w:tc>
        <w:tc>
          <w:tcPr>
            <w:tcW w:w="1426" w:type="dxa"/>
            <w:shd w:val="clear" w:color="auto" w:fill="auto"/>
            <w:vAlign w:val="center"/>
            <w:hideMark/>
          </w:tcPr>
          <w:p w14:paraId="57691C7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80,709,981.77</w:t>
            </w:r>
          </w:p>
        </w:tc>
        <w:tc>
          <w:tcPr>
            <w:tcW w:w="1346" w:type="dxa"/>
            <w:shd w:val="clear" w:color="auto" w:fill="auto"/>
            <w:vAlign w:val="center"/>
            <w:hideMark/>
          </w:tcPr>
          <w:p w14:paraId="7674F9F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20,243,983.00</w:t>
            </w:r>
          </w:p>
        </w:tc>
        <w:tc>
          <w:tcPr>
            <w:tcW w:w="945" w:type="dxa"/>
            <w:shd w:val="clear" w:color="auto" w:fill="auto"/>
            <w:vAlign w:val="center"/>
            <w:hideMark/>
          </w:tcPr>
          <w:p w14:paraId="00A717B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545489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07D4BAC" w14:textId="77777777" w:rsidTr="00040CFB">
        <w:trPr>
          <w:trHeight w:val="20"/>
        </w:trPr>
        <w:tc>
          <w:tcPr>
            <w:tcW w:w="1985" w:type="dxa"/>
            <w:shd w:val="clear" w:color="auto" w:fill="auto"/>
            <w:vAlign w:val="center"/>
            <w:hideMark/>
          </w:tcPr>
          <w:p w14:paraId="05EDBE6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Decontări reciproce cu Cогаз pentru anul 97</w:t>
            </w:r>
          </w:p>
        </w:tc>
        <w:tc>
          <w:tcPr>
            <w:tcW w:w="1346" w:type="dxa"/>
            <w:shd w:val="clear" w:color="auto" w:fill="auto"/>
            <w:vAlign w:val="center"/>
            <w:hideMark/>
          </w:tcPr>
          <w:p w14:paraId="0CADB9D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11,419,272.00</w:t>
            </w:r>
          </w:p>
        </w:tc>
        <w:tc>
          <w:tcPr>
            <w:tcW w:w="1346" w:type="dxa"/>
            <w:shd w:val="clear" w:color="auto" w:fill="auto"/>
            <w:vAlign w:val="center"/>
            <w:hideMark/>
          </w:tcPr>
          <w:p w14:paraId="7FBFAA8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11,419,272.00</w:t>
            </w:r>
          </w:p>
        </w:tc>
        <w:tc>
          <w:tcPr>
            <w:tcW w:w="1426" w:type="dxa"/>
            <w:shd w:val="clear" w:color="auto" w:fill="auto"/>
            <w:vAlign w:val="center"/>
            <w:hideMark/>
          </w:tcPr>
          <w:p w14:paraId="76FDB7B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5,457,104.00</w:t>
            </w:r>
          </w:p>
        </w:tc>
        <w:tc>
          <w:tcPr>
            <w:tcW w:w="1346" w:type="dxa"/>
            <w:shd w:val="clear" w:color="auto" w:fill="auto"/>
            <w:vAlign w:val="center"/>
            <w:hideMark/>
          </w:tcPr>
          <w:p w14:paraId="7E7DA3A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5,962,168.00</w:t>
            </w:r>
          </w:p>
        </w:tc>
        <w:tc>
          <w:tcPr>
            <w:tcW w:w="945" w:type="dxa"/>
            <w:shd w:val="clear" w:color="auto" w:fill="auto"/>
            <w:vAlign w:val="center"/>
            <w:hideMark/>
          </w:tcPr>
          <w:p w14:paraId="34FBEBC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F8FF38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1A0E711" w14:textId="77777777" w:rsidTr="00040CFB">
        <w:trPr>
          <w:trHeight w:val="20"/>
        </w:trPr>
        <w:tc>
          <w:tcPr>
            <w:tcW w:w="1985" w:type="dxa"/>
            <w:shd w:val="clear" w:color="auto" w:fill="auto"/>
            <w:vAlign w:val="center"/>
            <w:hideMark/>
          </w:tcPr>
          <w:p w14:paraId="1539CE8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01.01.1999</w:t>
            </w:r>
          </w:p>
        </w:tc>
        <w:tc>
          <w:tcPr>
            <w:tcW w:w="1346" w:type="dxa"/>
            <w:shd w:val="clear" w:color="auto" w:fill="auto"/>
            <w:vAlign w:val="center"/>
            <w:hideMark/>
          </w:tcPr>
          <w:p w14:paraId="65B5665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408,739,610.00</w:t>
            </w:r>
          </w:p>
        </w:tc>
        <w:tc>
          <w:tcPr>
            <w:tcW w:w="1346" w:type="dxa"/>
            <w:shd w:val="clear" w:color="auto" w:fill="auto"/>
            <w:vAlign w:val="center"/>
            <w:hideMark/>
          </w:tcPr>
          <w:p w14:paraId="7B24DCA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408,739,610.00</w:t>
            </w:r>
          </w:p>
        </w:tc>
        <w:tc>
          <w:tcPr>
            <w:tcW w:w="1426" w:type="dxa"/>
            <w:shd w:val="clear" w:color="auto" w:fill="auto"/>
            <w:vAlign w:val="center"/>
            <w:hideMark/>
          </w:tcPr>
          <w:p w14:paraId="50317E2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128,235,234.00</w:t>
            </w:r>
          </w:p>
        </w:tc>
        <w:tc>
          <w:tcPr>
            <w:tcW w:w="1346" w:type="dxa"/>
            <w:shd w:val="clear" w:color="auto" w:fill="auto"/>
            <w:vAlign w:val="center"/>
            <w:hideMark/>
          </w:tcPr>
          <w:p w14:paraId="15C0B04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280,504,376.00</w:t>
            </w:r>
          </w:p>
        </w:tc>
        <w:tc>
          <w:tcPr>
            <w:tcW w:w="945" w:type="dxa"/>
            <w:shd w:val="clear" w:color="auto" w:fill="auto"/>
            <w:vAlign w:val="center"/>
            <w:hideMark/>
          </w:tcPr>
          <w:p w14:paraId="1C364F2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A887FE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2E9C60D" w14:textId="77777777" w:rsidTr="00040CFB">
        <w:trPr>
          <w:trHeight w:val="20"/>
        </w:trPr>
        <w:tc>
          <w:tcPr>
            <w:tcW w:w="1985" w:type="dxa"/>
            <w:shd w:val="clear" w:color="auto" w:fill="auto"/>
            <w:vAlign w:val="center"/>
            <w:hideMark/>
          </w:tcPr>
          <w:p w14:paraId="3000C24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Datoria companiei de asigurare</w:t>
            </w:r>
          </w:p>
        </w:tc>
        <w:tc>
          <w:tcPr>
            <w:tcW w:w="1346" w:type="dxa"/>
            <w:shd w:val="clear" w:color="auto" w:fill="auto"/>
            <w:vAlign w:val="center"/>
            <w:hideMark/>
          </w:tcPr>
          <w:p w14:paraId="282A44A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898CE9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11,419,272.00</w:t>
            </w:r>
          </w:p>
        </w:tc>
        <w:tc>
          <w:tcPr>
            <w:tcW w:w="1426" w:type="dxa"/>
            <w:shd w:val="clear" w:color="auto" w:fill="auto"/>
            <w:vAlign w:val="center"/>
            <w:hideMark/>
          </w:tcPr>
          <w:p w14:paraId="1939CCA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5,457,104.00</w:t>
            </w:r>
          </w:p>
        </w:tc>
        <w:tc>
          <w:tcPr>
            <w:tcW w:w="1346" w:type="dxa"/>
            <w:shd w:val="clear" w:color="auto" w:fill="auto"/>
            <w:vAlign w:val="center"/>
            <w:hideMark/>
          </w:tcPr>
          <w:p w14:paraId="596DB24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5,962,168.00</w:t>
            </w:r>
          </w:p>
        </w:tc>
        <w:tc>
          <w:tcPr>
            <w:tcW w:w="945" w:type="dxa"/>
            <w:shd w:val="clear" w:color="auto" w:fill="auto"/>
            <w:vAlign w:val="center"/>
            <w:hideMark/>
          </w:tcPr>
          <w:p w14:paraId="605D5F2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91843B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C22F9BB" w14:textId="77777777" w:rsidTr="00040CFB">
        <w:trPr>
          <w:trHeight w:val="20"/>
        </w:trPr>
        <w:tc>
          <w:tcPr>
            <w:tcW w:w="1985" w:type="dxa"/>
            <w:shd w:val="clear" w:color="auto" w:fill="auto"/>
            <w:vAlign w:val="center"/>
            <w:hideMark/>
          </w:tcPr>
          <w:p w14:paraId="6C28FC1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Achitarea cheltuieli de judecată</w:t>
            </w:r>
          </w:p>
        </w:tc>
        <w:tc>
          <w:tcPr>
            <w:tcW w:w="1346" w:type="dxa"/>
            <w:shd w:val="clear" w:color="auto" w:fill="auto"/>
            <w:vAlign w:val="center"/>
            <w:hideMark/>
          </w:tcPr>
          <w:p w14:paraId="7B5D1B6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DF25A0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36,465.00</w:t>
            </w:r>
          </w:p>
        </w:tc>
        <w:tc>
          <w:tcPr>
            <w:tcW w:w="1426" w:type="dxa"/>
            <w:shd w:val="clear" w:color="auto" w:fill="auto"/>
            <w:vAlign w:val="center"/>
            <w:hideMark/>
          </w:tcPr>
          <w:p w14:paraId="1573826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17,426.00</w:t>
            </w:r>
          </w:p>
        </w:tc>
        <w:tc>
          <w:tcPr>
            <w:tcW w:w="1346" w:type="dxa"/>
            <w:shd w:val="clear" w:color="auto" w:fill="auto"/>
            <w:vAlign w:val="center"/>
            <w:hideMark/>
          </w:tcPr>
          <w:p w14:paraId="0B5E591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19,039.00</w:t>
            </w:r>
          </w:p>
        </w:tc>
        <w:tc>
          <w:tcPr>
            <w:tcW w:w="945" w:type="dxa"/>
            <w:shd w:val="clear" w:color="auto" w:fill="auto"/>
            <w:vAlign w:val="center"/>
            <w:hideMark/>
          </w:tcPr>
          <w:p w14:paraId="3D8BF57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D54754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BBCAA67" w14:textId="77777777" w:rsidTr="00040CFB">
        <w:trPr>
          <w:trHeight w:val="20"/>
        </w:trPr>
        <w:tc>
          <w:tcPr>
            <w:tcW w:w="1985" w:type="dxa"/>
            <w:shd w:val="clear" w:color="auto" w:fill="auto"/>
            <w:vAlign w:val="center"/>
            <w:hideMark/>
          </w:tcPr>
          <w:p w14:paraId="0C36CCC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Penalitatea </w:t>
            </w:r>
          </w:p>
        </w:tc>
        <w:tc>
          <w:tcPr>
            <w:tcW w:w="1346" w:type="dxa"/>
            <w:shd w:val="clear" w:color="auto" w:fill="auto"/>
            <w:vAlign w:val="center"/>
            <w:hideMark/>
          </w:tcPr>
          <w:p w14:paraId="2D5AE2B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2B9041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137,858,918.00</w:t>
            </w:r>
          </w:p>
        </w:tc>
        <w:tc>
          <w:tcPr>
            <w:tcW w:w="1426" w:type="dxa"/>
            <w:shd w:val="clear" w:color="auto" w:fill="auto"/>
            <w:vAlign w:val="center"/>
            <w:hideMark/>
          </w:tcPr>
          <w:p w14:paraId="5EDFA0C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426EC3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442087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44AFC4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458E867" w14:textId="77777777" w:rsidTr="00040CFB">
        <w:trPr>
          <w:trHeight w:val="20"/>
        </w:trPr>
        <w:tc>
          <w:tcPr>
            <w:tcW w:w="1985" w:type="dxa"/>
            <w:shd w:val="clear" w:color="000000" w:fill="FFC000"/>
            <w:vAlign w:val="center"/>
            <w:hideMark/>
          </w:tcPr>
          <w:p w14:paraId="07A3FC0A"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01.07.1999</w:t>
            </w:r>
          </w:p>
        </w:tc>
        <w:tc>
          <w:tcPr>
            <w:tcW w:w="1346" w:type="dxa"/>
            <w:shd w:val="clear" w:color="auto" w:fill="auto"/>
            <w:vAlign w:val="center"/>
            <w:hideMark/>
          </w:tcPr>
          <w:p w14:paraId="3908CA0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13C13F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8D6A9E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E4094B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E976C6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2279A5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91C6545" w14:textId="77777777" w:rsidTr="00040CFB">
        <w:trPr>
          <w:trHeight w:val="20"/>
        </w:trPr>
        <w:tc>
          <w:tcPr>
            <w:tcW w:w="1985" w:type="dxa"/>
            <w:shd w:val="clear" w:color="auto" w:fill="auto"/>
            <w:vAlign w:val="center"/>
            <w:hideMark/>
          </w:tcPr>
          <w:p w14:paraId="6ACDF3B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01.01.1999</w:t>
            </w:r>
          </w:p>
        </w:tc>
        <w:tc>
          <w:tcPr>
            <w:tcW w:w="1346" w:type="dxa"/>
            <w:shd w:val="clear" w:color="auto" w:fill="auto"/>
            <w:vAlign w:val="center"/>
            <w:hideMark/>
          </w:tcPr>
          <w:p w14:paraId="7A0BBA2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408,739,610.06</w:t>
            </w:r>
          </w:p>
        </w:tc>
        <w:tc>
          <w:tcPr>
            <w:tcW w:w="1346" w:type="dxa"/>
            <w:shd w:val="clear" w:color="auto" w:fill="auto"/>
            <w:vAlign w:val="center"/>
            <w:hideMark/>
          </w:tcPr>
          <w:p w14:paraId="2EF05E2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408,739,610.06</w:t>
            </w:r>
          </w:p>
        </w:tc>
        <w:tc>
          <w:tcPr>
            <w:tcW w:w="1426" w:type="dxa"/>
            <w:shd w:val="clear" w:color="auto" w:fill="auto"/>
            <w:vAlign w:val="center"/>
            <w:hideMark/>
          </w:tcPr>
          <w:p w14:paraId="5657DF3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128,235,234.06</w:t>
            </w:r>
          </w:p>
        </w:tc>
        <w:tc>
          <w:tcPr>
            <w:tcW w:w="1346" w:type="dxa"/>
            <w:shd w:val="clear" w:color="auto" w:fill="auto"/>
            <w:vAlign w:val="center"/>
            <w:hideMark/>
          </w:tcPr>
          <w:p w14:paraId="041C43C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280,504,376.00</w:t>
            </w:r>
          </w:p>
        </w:tc>
        <w:tc>
          <w:tcPr>
            <w:tcW w:w="945" w:type="dxa"/>
            <w:shd w:val="clear" w:color="auto" w:fill="auto"/>
            <w:vAlign w:val="center"/>
            <w:hideMark/>
          </w:tcPr>
          <w:p w14:paraId="4B605B7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AA0E27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348E93E" w14:textId="77777777" w:rsidTr="00040CFB">
        <w:trPr>
          <w:trHeight w:val="20"/>
        </w:trPr>
        <w:tc>
          <w:tcPr>
            <w:tcW w:w="1985" w:type="dxa"/>
            <w:shd w:val="clear" w:color="auto" w:fill="auto"/>
            <w:vAlign w:val="center"/>
            <w:hideMark/>
          </w:tcPr>
          <w:p w14:paraId="65EFBFA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3997EAF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73,620,185.00</w:t>
            </w:r>
          </w:p>
        </w:tc>
        <w:tc>
          <w:tcPr>
            <w:tcW w:w="1346" w:type="dxa"/>
            <w:shd w:val="clear" w:color="auto" w:fill="auto"/>
            <w:vAlign w:val="center"/>
            <w:hideMark/>
          </w:tcPr>
          <w:p w14:paraId="141CFCC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73,620,185.00</w:t>
            </w:r>
          </w:p>
        </w:tc>
        <w:tc>
          <w:tcPr>
            <w:tcW w:w="1426" w:type="dxa"/>
            <w:shd w:val="clear" w:color="auto" w:fill="auto"/>
            <w:vAlign w:val="center"/>
            <w:hideMark/>
          </w:tcPr>
          <w:p w14:paraId="37199D2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45,567,275.00</w:t>
            </w:r>
          </w:p>
        </w:tc>
        <w:tc>
          <w:tcPr>
            <w:tcW w:w="1346" w:type="dxa"/>
            <w:shd w:val="clear" w:color="auto" w:fill="auto"/>
            <w:vAlign w:val="center"/>
            <w:hideMark/>
          </w:tcPr>
          <w:p w14:paraId="6CAFCD7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28,052,910.00</w:t>
            </w:r>
          </w:p>
        </w:tc>
        <w:tc>
          <w:tcPr>
            <w:tcW w:w="945" w:type="dxa"/>
            <w:shd w:val="clear" w:color="auto" w:fill="auto"/>
            <w:vAlign w:val="center"/>
            <w:hideMark/>
          </w:tcPr>
          <w:p w14:paraId="2F6A53A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D19010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DE40BEA" w14:textId="77777777" w:rsidTr="00040CFB">
        <w:trPr>
          <w:trHeight w:val="20"/>
        </w:trPr>
        <w:tc>
          <w:tcPr>
            <w:tcW w:w="1985" w:type="dxa"/>
            <w:shd w:val="clear" w:color="auto" w:fill="auto"/>
            <w:vAlign w:val="center"/>
            <w:hideMark/>
          </w:tcPr>
          <w:p w14:paraId="5C54345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Achitari reciproce interne</w:t>
            </w:r>
          </w:p>
        </w:tc>
        <w:tc>
          <w:tcPr>
            <w:tcW w:w="1346" w:type="dxa"/>
            <w:shd w:val="clear" w:color="auto" w:fill="auto"/>
            <w:vAlign w:val="center"/>
            <w:hideMark/>
          </w:tcPr>
          <w:p w14:paraId="256938B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0B26E8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847BA1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-507,000.00</w:t>
            </w:r>
          </w:p>
        </w:tc>
        <w:tc>
          <w:tcPr>
            <w:tcW w:w="1346" w:type="dxa"/>
            <w:shd w:val="clear" w:color="auto" w:fill="auto"/>
            <w:vAlign w:val="center"/>
            <w:hideMark/>
          </w:tcPr>
          <w:p w14:paraId="22B9E36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507,000.00</w:t>
            </w:r>
          </w:p>
        </w:tc>
        <w:tc>
          <w:tcPr>
            <w:tcW w:w="945" w:type="dxa"/>
            <w:shd w:val="clear" w:color="auto" w:fill="auto"/>
            <w:vAlign w:val="center"/>
            <w:hideMark/>
          </w:tcPr>
          <w:p w14:paraId="505606B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F4B7C1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B36D07E" w14:textId="77777777" w:rsidTr="00040CFB">
        <w:trPr>
          <w:trHeight w:val="20"/>
        </w:trPr>
        <w:tc>
          <w:tcPr>
            <w:tcW w:w="1985" w:type="dxa"/>
            <w:shd w:val="clear" w:color="auto" w:fill="auto"/>
            <w:vAlign w:val="center"/>
            <w:hideMark/>
          </w:tcPr>
          <w:p w14:paraId="6687A16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1996</w:t>
            </w:r>
          </w:p>
        </w:tc>
        <w:tc>
          <w:tcPr>
            <w:tcW w:w="1346" w:type="dxa"/>
            <w:shd w:val="clear" w:color="auto" w:fill="auto"/>
            <w:vAlign w:val="center"/>
            <w:hideMark/>
          </w:tcPr>
          <w:p w14:paraId="7C49162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1,477,953.04</w:t>
            </w:r>
          </w:p>
        </w:tc>
        <w:tc>
          <w:tcPr>
            <w:tcW w:w="1346" w:type="dxa"/>
            <w:shd w:val="clear" w:color="auto" w:fill="auto"/>
            <w:vAlign w:val="center"/>
            <w:hideMark/>
          </w:tcPr>
          <w:p w14:paraId="1AE3FFE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1,477,953.04</w:t>
            </w:r>
          </w:p>
        </w:tc>
        <w:tc>
          <w:tcPr>
            <w:tcW w:w="1426" w:type="dxa"/>
            <w:shd w:val="clear" w:color="auto" w:fill="auto"/>
            <w:vAlign w:val="center"/>
            <w:hideMark/>
          </w:tcPr>
          <w:p w14:paraId="37DC449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1,477,953.04</w:t>
            </w:r>
          </w:p>
        </w:tc>
        <w:tc>
          <w:tcPr>
            <w:tcW w:w="1346" w:type="dxa"/>
            <w:shd w:val="clear" w:color="auto" w:fill="auto"/>
            <w:vAlign w:val="center"/>
            <w:hideMark/>
          </w:tcPr>
          <w:p w14:paraId="184107C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1D39DA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7E54EDE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08EDD81" w14:textId="77777777" w:rsidTr="00040CFB">
        <w:trPr>
          <w:trHeight w:val="20"/>
        </w:trPr>
        <w:tc>
          <w:tcPr>
            <w:tcW w:w="1985" w:type="dxa"/>
            <w:shd w:val="clear" w:color="auto" w:fill="auto"/>
            <w:vAlign w:val="center"/>
            <w:hideMark/>
          </w:tcPr>
          <w:p w14:paraId="2F4BEBA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0E9B20F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3,887,598.84</w:t>
            </w:r>
          </w:p>
        </w:tc>
        <w:tc>
          <w:tcPr>
            <w:tcW w:w="1346" w:type="dxa"/>
            <w:shd w:val="clear" w:color="auto" w:fill="auto"/>
            <w:vAlign w:val="center"/>
            <w:hideMark/>
          </w:tcPr>
          <w:p w14:paraId="704D1E7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3,887,598.84</w:t>
            </w:r>
          </w:p>
        </w:tc>
        <w:tc>
          <w:tcPr>
            <w:tcW w:w="1426" w:type="dxa"/>
            <w:shd w:val="clear" w:color="auto" w:fill="auto"/>
            <w:vAlign w:val="center"/>
            <w:hideMark/>
          </w:tcPr>
          <w:p w14:paraId="5995A60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-424,962.16</w:t>
            </w:r>
          </w:p>
        </w:tc>
        <w:tc>
          <w:tcPr>
            <w:tcW w:w="1346" w:type="dxa"/>
            <w:shd w:val="clear" w:color="auto" w:fill="auto"/>
            <w:vAlign w:val="center"/>
            <w:hideMark/>
          </w:tcPr>
          <w:p w14:paraId="5D1001D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4,312,561.00</w:t>
            </w:r>
          </w:p>
        </w:tc>
        <w:tc>
          <w:tcPr>
            <w:tcW w:w="945" w:type="dxa"/>
            <w:shd w:val="clear" w:color="auto" w:fill="auto"/>
            <w:vAlign w:val="center"/>
            <w:hideMark/>
          </w:tcPr>
          <w:p w14:paraId="4A2342A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5C1380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DA837F9" w14:textId="77777777" w:rsidTr="00040CFB">
        <w:trPr>
          <w:trHeight w:val="20"/>
        </w:trPr>
        <w:tc>
          <w:tcPr>
            <w:tcW w:w="1985" w:type="dxa"/>
            <w:shd w:val="clear" w:color="auto" w:fill="auto"/>
            <w:vAlign w:val="center"/>
            <w:hideMark/>
          </w:tcPr>
          <w:p w14:paraId="22D40D3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Total Achitări </w:t>
            </w:r>
          </w:p>
        </w:tc>
        <w:tc>
          <w:tcPr>
            <w:tcW w:w="1346" w:type="dxa"/>
            <w:shd w:val="clear" w:color="auto" w:fill="auto"/>
            <w:vAlign w:val="center"/>
            <w:hideMark/>
          </w:tcPr>
          <w:p w14:paraId="3C0AED5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5,365,551.88</w:t>
            </w:r>
          </w:p>
        </w:tc>
        <w:tc>
          <w:tcPr>
            <w:tcW w:w="1346" w:type="dxa"/>
            <w:shd w:val="clear" w:color="auto" w:fill="auto"/>
            <w:vAlign w:val="center"/>
            <w:hideMark/>
          </w:tcPr>
          <w:p w14:paraId="0A3FE29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5,365,551.88</w:t>
            </w:r>
          </w:p>
        </w:tc>
        <w:tc>
          <w:tcPr>
            <w:tcW w:w="1426" w:type="dxa"/>
            <w:shd w:val="clear" w:color="auto" w:fill="auto"/>
            <w:vAlign w:val="center"/>
            <w:hideMark/>
          </w:tcPr>
          <w:p w14:paraId="4FE4BFB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1,052,990.88</w:t>
            </w:r>
          </w:p>
        </w:tc>
        <w:tc>
          <w:tcPr>
            <w:tcW w:w="1346" w:type="dxa"/>
            <w:shd w:val="clear" w:color="auto" w:fill="auto"/>
            <w:vAlign w:val="center"/>
            <w:hideMark/>
          </w:tcPr>
          <w:p w14:paraId="159B381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4,312,561.00</w:t>
            </w:r>
          </w:p>
        </w:tc>
        <w:tc>
          <w:tcPr>
            <w:tcW w:w="945" w:type="dxa"/>
            <w:shd w:val="clear" w:color="auto" w:fill="auto"/>
            <w:vAlign w:val="center"/>
            <w:hideMark/>
          </w:tcPr>
          <w:p w14:paraId="7EC423D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5A1077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2DAEC53" w14:textId="77777777" w:rsidTr="00040CFB">
        <w:trPr>
          <w:trHeight w:val="20"/>
        </w:trPr>
        <w:tc>
          <w:tcPr>
            <w:tcW w:w="1985" w:type="dxa"/>
            <w:shd w:val="clear" w:color="auto" w:fill="auto"/>
            <w:vAlign w:val="center"/>
            <w:hideMark/>
          </w:tcPr>
          <w:p w14:paraId="1F83DA1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01.07.1999</w:t>
            </w:r>
          </w:p>
        </w:tc>
        <w:tc>
          <w:tcPr>
            <w:tcW w:w="1346" w:type="dxa"/>
            <w:shd w:val="clear" w:color="auto" w:fill="auto"/>
            <w:vAlign w:val="center"/>
            <w:hideMark/>
          </w:tcPr>
          <w:p w14:paraId="2051A84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476,994,243.18</w:t>
            </w:r>
          </w:p>
        </w:tc>
        <w:tc>
          <w:tcPr>
            <w:tcW w:w="1346" w:type="dxa"/>
            <w:shd w:val="clear" w:color="auto" w:fill="auto"/>
            <w:vAlign w:val="center"/>
            <w:hideMark/>
          </w:tcPr>
          <w:p w14:paraId="77B1670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476,994,243.18</w:t>
            </w:r>
          </w:p>
        </w:tc>
        <w:tc>
          <w:tcPr>
            <w:tcW w:w="1426" w:type="dxa"/>
            <w:shd w:val="clear" w:color="auto" w:fill="auto"/>
            <w:vAlign w:val="center"/>
            <w:hideMark/>
          </w:tcPr>
          <w:p w14:paraId="6BCB9E4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172,242,518.18</w:t>
            </w:r>
          </w:p>
        </w:tc>
        <w:tc>
          <w:tcPr>
            <w:tcW w:w="1346" w:type="dxa"/>
            <w:shd w:val="clear" w:color="auto" w:fill="auto"/>
            <w:vAlign w:val="center"/>
            <w:hideMark/>
          </w:tcPr>
          <w:p w14:paraId="7D844FD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304,751,725.00</w:t>
            </w:r>
          </w:p>
        </w:tc>
        <w:tc>
          <w:tcPr>
            <w:tcW w:w="945" w:type="dxa"/>
            <w:shd w:val="clear" w:color="auto" w:fill="auto"/>
            <w:vAlign w:val="center"/>
            <w:hideMark/>
          </w:tcPr>
          <w:p w14:paraId="57F754D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67F0B2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6CB8069" w14:textId="77777777" w:rsidTr="00040CFB">
        <w:trPr>
          <w:trHeight w:val="20"/>
        </w:trPr>
        <w:tc>
          <w:tcPr>
            <w:tcW w:w="1985" w:type="dxa"/>
            <w:shd w:val="clear" w:color="000000" w:fill="FFC000"/>
            <w:vAlign w:val="center"/>
            <w:hideMark/>
          </w:tcPr>
          <w:p w14:paraId="307B3674"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1999</w:t>
            </w:r>
          </w:p>
        </w:tc>
        <w:tc>
          <w:tcPr>
            <w:tcW w:w="1346" w:type="dxa"/>
            <w:shd w:val="clear" w:color="auto" w:fill="auto"/>
            <w:vAlign w:val="center"/>
            <w:hideMark/>
          </w:tcPr>
          <w:p w14:paraId="01E4DC6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3E73FB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9843E7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15CB30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C4BA5B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D216FD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10F2CD6" w14:textId="77777777" w:rsidTr="00040CFB">
        <w:trPr>
          <w:trHeight w:val="20"/>
        </w:trPr>
        <w:tc>
          <w:tcPr>
            <w:tcW w:w="1985" w:type="dxa"/>
            <w:shd w:val="clear" w:color="auto" w:fill="auto"/>
            <w:vAlign w:val="center"/>
            <w:hideMark/>
          </w:tcPr>
          <w:p w14:paraId="2A7AE25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01.01.1999</w:t>
            </w:r>
          </w:p>
        </w:tc>
        <w:tc>
          <w:tcPr>
            <w:tcW w:w="1346" w:type="dxa"/>
            <w:shd w:val="clear" w:color="auto" w:fill="auto"/>
            <w:vAlign w:val="center"/>
            <w:hideMark/>
          </w:tcPr>
          <w:p w14:paraId="474AB9E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408,739,610.06</w:t>
            </w:r>
          </w:p>
        </w:tc>
        <w:tc>
          <w:tcPr>
            <w:tcW w:w="1346" w:type="dxa"/>
            <w:shd w:val="clear" w:color="auto" w:fill="auto"/>
            <w:vAlign w:val="center"/>
            <w:hideMark/>
          </w:tcPr>
          <w:p w14:paraId="18CA2AD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408,739,610.06</w:t>
            </w:r>
          </w:p>
        </w:tc>
        <w:tc>
          <w:tcPr>
            <w:tcW w:w="1426" w:type="dxa"/>
            <w:shd w:val="clear" w:color="auto" w:fill="auto"/>
            <w:vAlign w:val="center"/>
            <w:hideMark/>
          </w:tcPr>
          <w:p w14:paraId="1EDA006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128,235,234.06</w:t>
            </w:r>
          </w:p>
        </w:tc>
        <w:tc>
          <w:tcPr>
            <w:tcW w:w="1346" w:type="dxa"/>
            <w:shd w:val="clear" w:color="auto" w:fill="auto"/>
            <w:vAlign w:val="center"/>
            <w:hideMark/>
          </w:tcPr>
          <w:p w14:paraId="2C4E2CC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280,504,376.00</w:t>
            </w:r>
          </w:p>
        </w:tc>
        <w:tc>
          <w:tcPr>
            <w:tcW w:w="945" w:type="dxa"/>
            <w:shd w:val="clear" w:color="auto" w:fill="auto"/>
            <w:vAlign w:val="center"/>
            <w:hideMark/>
          </w:tcPr>
          <w:p w14:paraId="4E18EBC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D1A9D3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6BDCBBE" w14:textId="77777777" w:rsidTr="00040CFB">
        <w:trPr>
          <w:trHeight w:val="20"/>
        </w:trPr>
        <w:tc>
          <w:tcPr>
            <w:tcW w:w="1985" w:type="dxa"/>
            <w:shd w:val="clear" w:color="auto" w:fill="auto"/>
            <w:vAlign w:val="center"/>
            <w:hideMark/>
          </w:tcPr>
          <w:p w14:paraId="74B2EEB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0F7D74F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128,617,385.00</w:t>
            </w:r>
          </w:p>
        </w:tc>
        <w:tc>
          <w:tcPr>
            <w:tcW w:w="1346" w:type="dxa"/>
            <w:shd w:val="clear" w:color="auto" w:fill="auto"/>
            <w:vAlign w:val="center"/>
            <w:hideMark/>
          </w:tcPr>
          <w:p w14:paraId="5AFC28E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128,617,385.00</w:t>
            </w:r>
          </w:p>
        </w:tc>
        <w:tc>
          <w:tcPr>
            <w:tcW w:w="1426" w:type="dxa"/>
            <w:shd w:val="clear" w:color="auto" w:fill="auto"/>
            <w:vAlign w:val="center"/>
            <w:hideMark/>
          </w:tcPr>
          <w:p w14:paraId="16B905B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76,971,415.00</w:t>
            </w:r>
          </w:p>
        </w:tc>
        <w:tc>
          <w:tcPr>
            <w:tcW w:w="1346" w:type="dxa"/>
            <w:shd w:val="clear" w:color="auto" w:fill="auto"/>
            <w:vAlign w:val="center"/>
            <w:hideMark/>
          </w:tcPr>
          <w:p w14:paraId="531D56B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51,645,970.00</w:t>
            </w:r>
          </w:p>
        </w:tc>
        <w:tc>
          <w:tcPr>
            <w:tcW w:w="945" w:type="dxa"/>
            <w:shd w:val="clear" w:color="auto" w:fill="auto"/>
            <w:vAlign w:val="center"/>
            <w:hideMark/>
          </w:tcPr>
          <w:p w14:paraId="2794490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7EC355C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2A0B2D6" w14:textId="77777777" w:rsidTr="00040CFB">
        <w:trPr>
          <w:trHeight w:val="20"/>
        </w:trPr>
        <w:tc>
          <w:tcPr>
            <w:tcW w:w="1985" w:type="dxa"/>
            <w:shd w:val="clear" w:color="auto" w:fill="auto"/>
            <w:vAlign w:val="center"/>
            <w:hideMark/>
          </w:tcPr>
          <w:p w14:paraId="1A1D9E8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Achitari reciproce interne</w:t>
            </w:r>
          </w:p>
        </w:tc>
        <w:tc>
          <w:tcPr>
            <w:tcW w:w="1346" w:type="dxa"/>
            <w:shd w:val="clear" w:color="auto" w:fill="auto"/>
            <w:vAlign w:val="center"/>
            <w:hideMark/>
          </w:tcPr>
          <w:p w14:paraId="7D56C5B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4EB7A7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58C6B6B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-507,000.00</w:t>
            </w:r>
          </w:p>
        </w:tc>
        <w:tc>
          <w:tcPr>
            <w:tcW w:w="1346" w:type="dxa"/>
            <w:shd w:val="clear" w:color="auto" w:fill="auto"/>
            <w:vAlign w:val="center"/>
            <w:hideMark/>
          </w:tcPr>
          <w:p w14:paraId="5A5BA7B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507,000.00</w:t>
            </w:r>
          </w:p>
        </w:tc>
        <w:tc>
          <w:tcPr>
            <w:tcW w:w="945" w:type="dxa"/>
            <w:shd w:val="clear" w:color="auto" w:fill="auto"/>
            <w:vAlign w:val="center"/>
            <w:hideMark/>
          </w:tcPr>
          <w:p w14:paraId="093E54F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74EBC7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BAA0C0F" w14:textId="77777777" w:rsidTr="00040CFB">
        <w:trPr>
          <w:trHeight w:val="20"/>
        </w:trPr>
        <w:tc>
          <w:tcPr>
            <w:tcW w:w="1985" w:type="dxa"/>
            <w:shd w:val="clear" w:color="auto" w:fill="auto"/>
            <w:vAlign w:val="center"/>
            <w:hideMark/>
          </w:tcPr>
          <w:p w14:paraId="0ADD396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1996</w:t>
            </w:r>
          </w:p>
        </w:tc>
        <w:tc>
          <w:tcPr>
            <w:tcW w:w="1346" w:type="dxa"/>
            <w:shd w:val="clear" w:color="auto" w:fill="auto"/>
            <w:vAlign w:val="center"/>
            <w:hideMark/>
          </w:tcPr>
          <w:p w14:paraId="63F02F7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10,490,753.04</w:t>
            </w:r>
          </w:p>
        </w:tc>
        <w:tc>
          <w:tcPr>
            <w:tcW w:w="1346" w:type="dxa"/>
            <w:shd w:val="clear" w:color="auto" w:fill="auto"/>
            <w:vAlign w:val="center"/>
            <w:hideMark/>
          </w:tcPr>
          <w:p w14:paraId="105A86A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11,058,934.00</w:t>
            </w:r>
          </w:p>
        </w:tc>
        <w:tc>
          <w:tcPr>
            <w:tcW w:w="1426" w:type="dxa"/>
            <w:shd w:val="clear" w:color="auto" w:fill="auto"/>
            <w:vAlign w:val="center"/>
            <w:hideMark/>
          </w:tcPr>
          <w:p w14:paraId="7BEDAAD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11,058,934.00</w:t>
            </w:r>
          </w:p>
        </w:tc>
        <w:tc>
          <w:tcPr>
            <w:tcW w:w="1346" w:type="dxa"/>
            <w:shd w:val="clear" w:color="auto" w:fill="auto"/>
            <w:vAlign w:val="center"/>
            <w:hideMark/>
          </w:tcPr>
          <w:p w14:paraId="67C0981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2982A1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-568,180.96</w:t>
            </w:r>
          </w:p>
        </w:tc>
        <w:tc>
          <w:tcPr>
            <w:tcW w:w="1346" w:type="dxa"/>
            <w:shd w:val="clear" w:color="auto" w:fill="auto"/>
            <w:vAlign w:val="center"/>
            <w:hideMark/>
          </w:tcPr>
          <w:p w14:paraId="0293658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ADBF56D" w14:textId="77777777" w:rsidTr="00040CFB">
        <w:trPr>
          <w:trHeight w:val="20"/>
        </w:trPr>
        <w:tc>
          <w:tcPr>
            <w:tcW w:w="1985" w:type="dxa"/>
            <w:shd w:val="clear" w:color="auto" w:fill="auto"/>
            <w:vAlign w:val="center"/>
            <w:hideMark/>
          </w:tcPr>
          <w:p w14:paraId="367E0B8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Avansuri pentru gaz</w:t>
            </w:r>
          </w:p>
        </w:tc>
        <w:tc>
          <w:tcPr>
            <w:tcW w:w="1346" w:type="dxa"/>
            <w:shd w:val="clear" w:color="auto" w:fill="auto"/>
            <w:vAlign w:val="center"/>
            <w:hideMark/>
          </w:tcPr>
          <w:p w14:paraId="1C8E0A6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031AD4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231,819.04</w:t>
            </w:r>
          </w:p>
        </w:tc>
        <w:tc>
          <w:tcPr>
            <w:tcW w:w="1426" w:type="dxa"/>
            <w:shd w:val="clear" w:color="auto" w:fill="auto"/>
            <w:vAlign w:val="center"/>
            <w:hideMark/>
          </w:tcPr>
          <w:p w14:paraId="5CD1DF9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231,819.04</w:t>
            </w:r>
          </w:p>
        </w:tc>
        <w:tc>
          <w:tcPr>
            <w:tcW w:w="1346" w:type="dxa"/>
            <w:shd w:val="clear" w:color="auto" w:fill="auto"/>
            <w:vAlign w:val="center"/>
            <w:hideMark/>
          </w:tcPr>
          <w:p w14:paraId="7A7BEA1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ED14C3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-231,819.04</w:t>
            </w:r>
          </w:p>
        </w:tc>
        <w:tc>
          <w:tcPr>
            <w:tcW w:w="1346" w:type="dxa"/>
            <w:shd w:val="clear" w:color="auto" w:fill="auto"/>
            <w:vAlign w:val="center"/>
            <w:hideMark/>
          </w:tcPr>
          <w:p w14:paraId="3E652F7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6BF3DF5" w14:textId="77777777" w:rsidTr="00040CFB">
        <w:trPr>
          <w:trHeight w:val="20"/>
        </w:trPr>
        <w:tc>
          <w:tcPr>
            <w:tcW w:w="1985" w:type="dxa"/>
            <w:shd w:val="clear" w:color="auto" w:fill="auto"/>
            <w:vAlign w:val="center"/>
            <w:hideMark/>
          </w:tcPr>
          <w:p w14:paraId="3E90F28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59B435C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16,959,087.20</w:t>
            </w:r>
          </w:p>
        </w:tc>
        <w:tc>
          <w:tcPr>
            <w:tcW w:w="1346" w:type="dxa"/>
            <w:shd w:val="clear" w:color="auto" w:fill="auto"/>
            <w:vAlign w:val="center"/>
            <w:hideMark/>
          </w:tcPr>
          <w:p w14:paraId="717FD0E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16,959,087.20</w:t>
            </w:r>
          </w:p>
        </w:tc>
        <w:tc>
          <w:tcPr>
            <w:tcW w:w="1426" w:type="dxa"/>
            <w:shd w:val="clear" w:color="auto" w:fill="auto"/>
            <w:vAlign w:val="center"/>
            <w:hideMark/>
          </w:tcPr>
          <w:p w14:paraId="4F7D53C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10,005,610.35</w:t>
            </w:r>
          </w:p>
        </w:tc>
        <w:tc>
          <w:tcPr>
            <w:tcW w:w="1346" w:type="dxa"/>
            <w:shd w:val="clear" w:color="auto" w:fill="auto"/>
            <w:vAlign w:val="center"/>
            <w:hideMark/>
          </w:tcPr>
          <w:p w14:paraId="1603E5D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6,953,476.85</w:t>
            </w:r>
          </w:p>
        </w:tc>
        <w:tc>
          <w:tcPr>
            <w:tcW w:w="945" w:type="dxa"/>
            <w:shd w:val="clear" w:color="auto" w:fill="auto"/>
            <w:vAlign w:val="center"/>
            <w:hideMark/>
          </w:tcPr>
          <w:p w14:paraId="2E9630B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2D6D53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9547A2B" w14:textId="77777777" w:rsidTr="00040CFB">
        <w:trPr>
          <w:trHeight w:val="20"/>
        </w:trPr>
        <w:tc>
          <w:tcPr>
            <w:tcW w:w="1985" w:type="dxa"/>
            <w:shd w:val="clear" w:color="auto" w:fill="auto"/>
            <w:vAlign w:val="center"/>
            <w:hideMark/>
          </w:tcPr>
          <w:p w14:paraId="64ECBA1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Total Achitări </w:t>
            </w:r>
          </w:p>
        </w:tc>
        <w:tc>
          <w:tcPr>
            <w:tcW w:w="1346" w:type="dxa"/>
            <w:shd w:val="clear" w:color="auto" w:fill="auto"/>
            <w:vAlign w:val="center"/>
            <w:hideMark/>
          </w:tcPr>
          <w:p w14:paraId="68ABED2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27,449,840.24</w:t>
            </w:r>
          </w:p>
        </w:tc>
        <w:tc>
          <w:tcPr>
            <w:tcW w:w="1346" w:type="dxa"/>
            <w:shd w:val="clear" w:color="auto" w:fill="auto"/>
            <w:vAlign w:val="center"/>
            <w:hideMark/>
          </w:tcPr>
          <w:p w14:paraId="26B6DBF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28,249,840.24</w:t>
            </w:r>
          </w:p>
        </w:tc>
        <w:tc>
          <w:tcPr>
            <w:tcW w:w="1426" w:type="dxa"/>
            <w:shd w:val="clear" w:color="auto" w:fill="auto"/>
            <w:vAlign w:val="center"/>
            <w:hideMark/>
          </w:tcPr>
          <w:p w14:paraId="5021A64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21,296,363.39</w:t>
            </w:r>
          </w:p>
        </w:tc>
        <w:tc>
          <w:tcPr>
            <w:tcW w:w="1346" w:type="dxa"/>
            <w:shd w:val="clear" w:color="auto" w:fill="auto"/>
            <w:vAlign w:val="center"/>
            <w:hideMark/>
          </w:tcPr>
          <w:p w14:paraId="35F44B2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6,953,476.85</w:t>
            </w:r>
          </w:p>
        </w:tc>
        <w:tc>
          <w:tcPr>
            <w:tcW w:w="945" w:type="dxa"/>
            <w:shd w:val="clear" w:color="auto" w:fill="auto"/>
            <w:vAlign w:val="center"/>
            <w:hideMark/>
          </w:tcPr>
          <w:p w14:paraId="77F3155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-800,000.00</w:t>
            </w:r>
          </w:p>
        </w:tc>
        <w:tc>
          <w:tcPr>
            <w:tcW w:w="1346" w:type="dxa"/>
            <w:shd w:val="clear" w:color="auto" w:fill="auto"/>
            <w:vAlign w:val="center"/>
            <w:hideMark/>
          </w:tcPr>
          <w:p w14:paraId="4385A69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5F2D104" w14:textId="77777777" w:rsidTr="00040CFB">
        <w:trPr>
          <w:trHeight w:val="20"/>
        </w:trPr>
        <w:tc>
          <w:tcPr>
            <w:tcW w:w="1985" w:type="dxa"/>
            <w:shd w:val="clear" w:color="auto" w:fill="auto"/>
            <w:vAlign w:val="center"/>
            <w:hideMark/>
          </w:tcPr>
          <w:p w14:paraId="781E0D5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01.01.2000</w:t>
            </w:r>
          </w:p>
        </w:tc>
        <w:tc>
          <w:tcPr>
            <w:tcW w:w="1346" w:type="dxa"/>
            <w:shd w:val="clear" w:color="auto" w:fill="auto"/>
            <w:vAlign w:val="center"/>
            <w:hideMark/>
          </w:tcPr>
          <w:p w14:paraId="33F3A25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509,907,154.82</w:t>
            </w:r>
          </w:p>
        </w:tc>
        <w:tc>
          <w:tcPr>
            <w:tcW w:w="1346" w:type="dxa"/>
            <w:shd w:val="clear" w:color="auto" w:fill="auto"/>
            <w:vAlign w:val="center"/>
            <w:hideMark/>
          </w:tcPr>
          <w:p w14:paraId="24A6EF3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509,338,973.86</w:t>
            </w:r>
          </w:p>
        </w:tc>
        <w:tc>
          <w:tcPr>
            <w:tcW w:w="1426" w:type="dxa"/>
            <w:shd w:val="clear" w:color="auto" w:fill="auto"/>
            <w:vAlign w:val="center"/>
            <w:hideMark/>
          </w:tcPr>
          <w:p w14:paraId="3334F3F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183,403,285.67</w:t>
            </w:r>
          </w:p>
        </w:tc>
        <w:tc>
          <w:tcPr>
            <w:tcW w:w="1346" w:type="dxa"/>
            <w:shd w:val="clear" w:color="auto" w:fill="auto"/>
            <w:vAlign w:val="center"/>
            <w:hideMark/>
          </w:tcPr>
          <w:p w14:paraId="1181224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325,703,869.15</w:t>
            </w:r>
          </w:p>
        </w:tc>
        <w:tc>
          <w:tcPr>
            <w:tcW w:w="945" w:type="dxa"/>
            <w:shd w:val="clear" w:color="auto" w:fill="auto"/>
            <w:vAlign w:val="center"/>
            <w:hideMark/>
          </w:tcPr>
          <w:p w14:paraId="220CD0D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568,180.96</w:t>
            </w:r>
          </w:p>
        </w:tc>
        <w:tc>
          <w:tcPr>
            <w:tcW w:w="1346" w:type="dxa"/>
            <w:shd w:val="clear" w:color="auto" w:fill="auto"/>
            <w:vAlign w:val="center"/>
            <w:hideMark/>
          </w:tcPr>
          <w:p w14:paraId="60B39F4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9BE3BE6" w14:textId="77777777" w:rsidTr="00040CFB">
        <w:trPr>
          <w:trHeight w:val="20"/>
        </w:trPr>
        <w:tc>
          <w:tcPr>
            <w:tcW w:w="1985" w:type="dxa"/>
            <w:shd w:val="clear" w:color="000000" w:fill="FFC000"/>
            <w:vAlign w:val="center"/>
            <w:hideMark/>
          </w:tcPr>
          <w:p w14:paraId="31A5F961"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2000</w:t>
            </w:r>
          </w:p>
        </w:tc>
        <w:tc>
          <w:tcPr>
            <w:tcW w:w="1346" w:type="dxa"/>
            <w:shd w:val="clear" w:color="auto" w:fill="auto"/>
            <w:vAlign w:val="center"/>
            <w:hideMark/>
          </w:tcPr>
          <w:p w14:paraId="475CC57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D11690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FF663B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A5B61B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EC01F8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B85DEB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5636F58" w14:textId="77777777" w:rsidTr="00040CFB">
        <w:trPr>
          <w:trHeight w:val="20"/>
        </w:trPr>
        <w:tc>
          <w:tcPr>
            <w:tcW w:w="1985" w:type="dxa"/>
            <w:shd w:val="clear" w:color="auto" w:fill="auto"/>
            <w:vAlign w:val="center"/>
            <w:hideMark/>
          </w:tcPr>
          <w:p w14:paraId="16B7CB0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01.01.2000</w:t>
            </w:r>
          </w:p>
        </w:tc>
        <w:tc>
          <w:tcPr>
            <w:tcW w:w="1346" w:type="dxa"/>
            <w:shd w:val="clear" w:color="auto" w:fill="auto"/>
            <w:vAlign w:val="center"/>
            <w:hideMark/>
          </w:tcPr>
          <w:p w14:paraId="23F40A6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509,907,154.82</w:t>
            </w:r>
          </w:p>
        </w:tc>
        <w:tc>
          <w:tcPr>
            <w:tcW w:w="1346" w:type="dxa"/>
            <w:shd w:val="clear" w:color="auto" w:fill="auto"/>
            <w:vAlign w:val="center"/>
            <w:hideMark/>
          </w:tcPr>
          <w:p w14:paraId="6440FDB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509,338,973.86</w:t>
            </w:r>
          </w:p>
        </w:tc>
        <w:tc>
          <w:tcPr>
            <w:tcW w:w="1426" w:type="dxa"/>
            <w:shd w:val="clear" w:color="auto" w:fill="auto"/>
            <w:vAlign w:val="center"/>
            <w:hideMark/>
          </w:tcPr>
          <w:p w14:paraId="2C525AE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183,635,104.71</w:t>
            </w:r>
          </w:p>
        </w:tc>
        <w:tc>
          <w:tcPr>
            <w:tcW w:w="1346" w:type="dxa"/>
            <w:shd w:val="clear" w:color="auto" w:fill="auto"/>
            <w:vAlign w:val="center"/>
            <w:hideMark/>
          </w:tcPr>
          <w:p w14:paraId="6E77233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325,703,869.15</w:t>
            </w:r>
          </w:p>
        </w:tc>
        <w:tc>
          <w:tcPr>
            <w:tcW w:w="945" w:type="dxa"/>
            <w:shd w:val="clear" w:color="auto" w:fill="auto"/>
            <w:vAlign w:val="center"/>
            <w:hideMark/>
          </w:tcPr>
          <w:p w14:paraId="6B8DFA9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568,180.96</w:t>
            </w:r>
          </w:p>
        </w:tc>
        <w:tc>
          <w:tcPr>
            <w:tcW w:w="1346" w:type="dxa"/>
            <w:shd w:val="clear" w:color="auto" w:fill="auto"/>
            <w:vAlign w:val="center"/>
            <w:hideMark/>
          </w:tcPr>
          <w:p w14:paraId="40D48E4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986C0C2" w14:textId="77777777" w:rsidTr="00040CFB">
        <w:trPr>
          <w:trHeight w:val="20"/>
        </w:trPr>
        <w:tc>
          <w:tcPr>
            <w:tcW w:w="1985" w:type="dxa"/>
            <w:shd w:val="clear" w:color="auto" w:fill="auto"/>
            <w:vAlign w:val="center"/>
            <w:hideMark/>
          </w:tcPr>
          <w:p w14:paraId="76A5DB3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53D8A5F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142,806,730.96</w:t>
            </w:r>
          </w:p>
        </w:tc>
        <w:tc>
          <w:tcPr>
            <w:tcW w:w="1346" w:type="dxa"/>
            <w:shd w:val="clear" w:color="auto" w:fill="auto"/>
            <w:vAlign w:val="center"/>
            <w:hideMark/>
          </w:tcPr>
          <w:p w14:paraId="39633F9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142,806,730.96</w:t>
            </w:r>
          </w:p>
        </w:tc>
        <w:tc>
          <w:tcPr>
            <w:tcW w:w="1426" w:type="dxa"/>
            <w:shd w:val="clear" w:color="auto" w:fill="auto"/>
            <w:vAlign w:val="center"/>
            <w:hideMark/>
          </w:tcPr>
          <w:p w14:paraId="2F8BFF7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66,401,028.64</w:t>
            </w:r>
          </w:p>
        </w:tc>
        <w:tc>
          <w:tcPr>
            <w:tcW w:w="1346" w:type="dxa"/>
            <w:shd w:val="clear" w:color="auto" w:fill="auto"/>
            <w:vAlign w:val="center"/>
            <w:hideMark/>
          </w:tcPr>
          <w:p w14:paraId="28D4502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76,405,702.32</w:t>
            </w:r>
          </w:p>
        </w:tc>
        <w:tc>
          <w:tcPr>
            <w:tcW w:w="945" w:type="dxa"/>
            <w:shd w:val="clear" w:color="auto" w:fill="auto"/>
            <w:vAlign w:val="center"/>
            <w:hideMark/>
          </w:tcPr>
          <w:p w14:paraId="7412919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76785D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656580D" w14:textId="77777777" w:rsidTr="00040CFB">
        <w:trPr>
          <w:trHeight w:val="20"/>
        </w:trPr>
        <w:tc>
          <w:tcPr>
            <w:tcW w:w="1985" w:type="dxa"/>
            <w:shd w:val="clear" w:color="auto" w:fill="auto"/>
            <w:vAlign w:val="center"/>
            <w:hideMark/>
          </w:tcPr>
          <w:p w14:paraId="0450C5F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1996</w:t>
            </w:r>
          </w:p>
        </w:tc>
        <w:tc>
          <w:tcPr>
            <w:tcW w:w="1346" w:type="dxa"/>
            <w:shd w:val="clear" w:color="auto" w:fill="auto"/>
            <w:vAlign w:val="center"/>
            <w:hideMark/>
          </w:tcPr>
          <w:p w14:paraId="29C8783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568,180.96</w:t>
            </w:r>
          </w:p>
        </w:tc>
        <w:tc>
          <w:tcPr>
            <w:tcW w:w="1346" w:type="dxa"/>
            <w:shd w:val="clear" w:color="auto" w:fill="auto"/>
            <w:vAlign w:val="center"/>
            <w:hideMark/>
          </w:tcPr>
          <w:p w14:paraId="0AB7BE4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426" w:type="dxa"/>
            <w:shd w:val="clear" w:color="auto" w:fill="auto"/>
            <w:vAlign w:val="center"/>
            <w:hideMark/>
          </w:tcPr>
          <w:p w14:paraId="460A7DE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B8D134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E28ACF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568,180.96</w:t>
            </w:r>
          </w:p>
        </w:tc>
        <w:tc>
          <w:tcPr>
            <w:tcW w:w="1346" w:type="dxa"/>
            <w:shd w:val="clear" w:color="auto" w:fill="auto"/>
            <w:vAlign w:val="center"/>
            <w:hideMark/>
          </w:tcPr>
          <w:p w14:paraId="4981098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A01A511" w14:textId="77777777" w:rsidTr="00040CFB">
        <w:trPr>
          <w:trHeight w:val="20"/>
        </w:trPr>
        <w:tc>
          <w:tcPr>
            <w:tcW w:w="1985" w:type="dxa"/>
            <w:shd w:val="clear" w:color="auto" w:fill="auto"/>
            <w:vAlign w:val="center"/>
            <w:hideMark/>
          </w:tcPr>
          <w:p w14:paraId="76EEA79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2000</w:t>
            </w:r>
          </w:p>
        </w:tc>
        <w:tc>
          <w:tcPr>
            <w:tcW w:w="1346" w:type="dxa"/>
            <w:shd w:val="clear" w:color="auto" w:fill="auto"/>
            <w:vAlign w:val="center"/>
            <w:hideMark/>
          </w:tcPr>
          <w:p w14:paraId="3CA1632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46,440,685.83</w:t>
            </w:r>
          </w:p>
        </w:tc>
        <w:tc>
          <w:tcPr>
            <w:tcW w:w="1346" w:type="dxa"/>
            <w:shd w:val="clear" w:color="auto" w:fill="auto"/>
            <w:vAlign w:val="center"/>
            <w:hideMark/>
          </w:tcPr>
          <w:p w14:paraId="16662B6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46,440,685.83</w:t>
            </w:r>
          </w:p>
        </w:tc>
        <w:tc>
          <w:tcPr>
            <w:tcW w:w="1426" w:type="dxa"/>
            <w:shd w:val="clear" w:color="auto" w:fill="auto"/>
            <w:vAlign w:val="center"/>
            <w:hideMark/>
          </w:tcPr>
          <w:p w14:paraId="689B225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28,809,652.33</w:t>
            </w:r>
          </w:p>
        </w:tc>
        <w:tc>
          <w:tcPr>
            <w:tcW w:w="1346" w:type="dxa"/>
            <w:shd w:val="clear" w:color="auto" w:fill="auto"/>
            <w:vAlign w:val="center"/>
            <w:hideMark/>
          </w:tcPr>
          <w:p w14:paraId="2282733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17,631,033.50</w:t>
            </w:r>
          </w:p>
        </w:tc>
        <w:tc>
          <w:tcPr>
            <w:tcW w:w="945" w:type="dxa"/>
            <w:shd w:val="clear" w:color="auto" w:fill="auto"/>
            <w:vAlign w:val="center"/>
            <w:hideMark/>
          </w:tcPr>
          <w:p w14:paraId="018A397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ECAED6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BA69EFD" w14:textId="77777777" w:rsidTr="00040CFB">
        <w:trPr>
          <w:trHeight w:val="20"/>
        </w:trPr>
        <w:tc>
          <w:tcPr>
            <w:tcW w:w="1985" w:type="dxa"/>
            <w:shd w:val="clear" w:color="auto" w:fill="auto"/>
            <w:vAlign w:val="center"/>
            <w:hideMark/>
          </w:tcPr>
          <w:p w14:paraId="12B33AF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Achitări reciproce, din care:</w:t>
            </w:r>
          </w:p>
        </w:tc>
        <w:tc>
          <w:tcPr>
            <w:tcW w:w="1346" w:type="dxa"/>
            <w:shd w:val="clear" w:color="auto" w:fill="auto"/>
            <w:vAlign w:val="center"/>
            <w:hideMark/>
          </w:tcPr>
          <w:p w14:paraId="00E9950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140,430,547.09</w:t>
            </w:r>
          </w:p>
        </w:tc>
        <w:tc>
          <w:tcPr>
            <w:tcW w:w="1346" w:type="dxa"/>
            <w:shd w:val="clear" w:color="auto" w:fill="auto"/>
            <w:vAlign w:val="center"/>
            <w:hideMark/>
          </w:tcPr>
          <w:p w14:paraId="1C0821F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140,430,547.09</w:t>
            </w:r>
          </w:p>
        </w:tc>
        <w:tc>
          <w:tcPr>
            <w:tcW w:w="1426" w:type="dxa"/>
            <w:shd w:val="clear" w:color="auto" w:fill="auto"/>
            <w:vAlign w:val="center"/>
            <w:hideMark/>
          </w:tcPr>
          <w:p w14:paraId="7F0AC49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116,998,583.14</w:t>
            </w:r>
          </w:p>
        </w:tc>
        <w:tc>
          <w:tcPr>
            <w:tcW w:w="1346" w:type="dxa"/>
            <w:shd w:val="clear" w:color="auto" w:fill="auto"/>
            <w:vAlign w:val="center"/>
            <w:hideMark/>
          </w:tcPr>
          <w:p w14:paraId="5B24900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23,431,963.95</w:t>
            </w:r>
          </w:p>
        </w:tc>
        <w:tc>
          <w:tcPr>
            <w:tcW w:w="945" w:type="dxa"/>
            <w:shd w:val="clear" w:color="auto" w:fill="auto"/>
            <w:vAlign w:val="center"/>
            <w:hideMark/>
          </w:tcPr>
          <w:p w14:paraId="24B5995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5C82E5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6820C84" w14:textId="77777777" w:rsidTr="00040CFB">
        <w:trPr>
          <w:trHeight w:val="20"/>
        </w:trPr>
        <w:tc>
          <w:tcPr>
            <w:tcW w:w="1985" w:type="dxa"/>
            <w:shd w:val="clear" w:color="auto" w:fill="auto"/>
            <w:vAlign w:val="center"/>
            <w:hideMark/>
          </w:tcPr>
          <w:p w14:paraId="5154CD4A" w14:textId="2F58894E"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Obligațiuni a</w:t>
            </w:r>
            <w:r w:rsidR="004C6D2F" w:rsidRPr="009772A3">
              <w:rPr>
                <w:rFonts w:asciiTheme="majorHAnsi" w:eastAsia="Times New Roman" w:hAnsiTheme="majorHAnsi" w:cstheme="majorHAnsi"/>
                <w:sz w:val="16"/>
                <w:szCs w:val="20"/>
                <w:lang w:val="ro-MD"/>
              </w:rPr>
              <w:t>le</w:t>
            </w:r>
            <w:r w:rsidRPr="009772A3">
              <w:rPr>
                <w:rFonts w:asciiTheme="majorHAnsi" w:eastAsia="Times New Roman" w:hAnsiTheme="majorHAnsi" w:cstheme="majorHAnsi"/>
                <w:sz w:val="16"/>
                <w:szCs w:val="20"/>
                <w:lang w:val="ro-MD"/>
              </w:rPr>
              <w:t xml:space="preserve"> Guvernului RM</w:t>
            </w:r>
          </w:p>
        </w:tc>
        <w:tc>
          <w:tcPr>
            <w:tcW w:w="1346" w:type="dxa"/>
            <w:shd w:val="clear" w:color="auto" w:fill="auto"/>
            <w:vAlign w:val="center"/>
            <w:hideMark/>
          </w:tcPr>
          <w:p w14:paraId="3D5479D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90,000,000.00</w:t>
            </w:r>
          </w:p>
        </w:tc>
        <w:tc>
          <w:tcPr>
            <w:tcW w:w="1346" w:type="dxa"/>
            <w:shd w:val="clear" w:color="auto" w:fill="auto"/>
            <w:vAlign w:val="center"/>
            <w:hideMark/>
          </w:tcPr>
          <w:p w14:paraId="6CD2B41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90,000,000.00</w:t>
            </w:r>
          </w:p>
        </w:tc>
        <w:tc>
          <w:tcPr>
            <w:tcW w:w="1426" w:type="dxa"/>
            <w:shd w:val="clear" w:color="auto" w:fill="auto"/>
            <w:vAlign w:val="center"/>
            <w:hideMark/>
          </w:tcPr>
          <w:p w14:paraId="6A53129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90,000,000.00</w:t>
            </w:r>
          </w:p>
        </w:tc>
        <w:tc>
          <w:tcPr>
            <w:tcW w:w="1346" w:type="dxa"/>
            <w:shd w:val="clear" w:color="auto" w:fill="auto"/>
            <w:vAlign w:val="center"/>
            <w:hideMark/>
          </w:tcPr>
          <w:p w14:paraId="0FFE2FD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57CEE1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4C5E22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80BBC5B" w14:textId="77777777" w:rsidTr="00040CFB">
        <w:trPr>
          <w:trHeight w:val="20"/>
        </w:trPr>
        <w:tc>
          <w:tcPr>
            <w:tcW w:w="1985" w:type="dxa"/>
            <w:shd w:val="clear" w:color="auto" w:fill="auto"/>
            <w:vAlign w:val="center"/>
            <w:hideMark/>
          </w:tcPr>
          <w:p w14:paraId="57AB586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636A662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50,430,547.09</w:t>
            </w:r>
          </w:p>
        </w:tc>
        <w:tc>
          <w:tcPr>
            <w:tcW w:w="1346" w:type="dxa"/>
            <w:shd w:val="clear" w:color="auto" w:fill="auto"/>
            <w:vAlign w:val="center"/>
            <w:hideMark/>
          </w:tcPr>
          <w:p w14:paraId="03DE4CC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50,430,547.09</w:t>
            </w:r>
          </w:p>
        </w:tc>
        <w:tc>
          <w:tcPr>
            <w:tcW w:w="1426" w:type="dxa"/>
            <w:shd w:val="clear" w:color="auto" w:fill="auto"/>
            <w:vAlign w:val="center"/>
            <w:hideMark/>
          </w:tcPr>
          <w:p w14:paraId="02350B6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26,998,583.14</w:t>
            </w:r>
          </w:p>
        </w:tc>
        <w:tc>
          <w:tcPr>
            <w:tcW w:w="1346" w:type="dxa"/>
            <w:shd w:val="clear" w:color="auto" w:fill="auto"/>
            <w:vAlign w:val="center"/>
            <w:hideMark/>
          </w:tcPr>
          <w:p w14:paraId="4803010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23,431,963.95</w:t>
            </w:r>
          </w:p>
        </w:tc>
        <w:tc>
          <w:tcPr>
            <w:tcW w:w="945" w:type="dxa"/>
            <w:shd w:val="clear" w:color="auto" w:fill="auto"/>
            <w:vAlign w:val="center"/>
            <w:hideMark/>
          </w:tcPr>
          <w:p w14:paraId="364A38A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86BBBA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CFCF221" w14:textId="77777777" w:rsidTr="00040CFB">
        <w:trPr>
          <w:trHeight w:val="20"/>
        </w:trPr>
        <w:tc>
          <w:tcPr>
            <w:tcW w:w="1985" w:type="dxa"/>
            <w:shd w:val="clear" w:color="auto" w:fill="auto"/>
            <w:vAlign w:val="center"/>
            <w:hideMark/>
          </w:tcPr>
          <w:p w14:paraId="50F3F45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Achitări </w:t>
            </w:r>
          </w:p>
        </w:tc>
        <w:tc>
          <w:tcPr>
            <w:tcW w:w="1346" w:type="dxa"/>
            <w:shd w:val="clear" w:color="auto" w:fill="auto"/>
            <w:vAlign w:val="center"/>
            <w:hideMark/>
          </w:tcPr>
          <w:p w14:paraId="39F12A1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187,439,413.00</w:t>
            </w:r>
          </w:p>
        </w:tc>
        <w:tc>
          <w:tcPr>
            <w:tcW w:w="1346" w:type="dxa"/>
            <w:shd w:val="clear" w:color="auto" w:fill="auto"/>
            <w:vAlign w:val="center"/>
            <w:hideMark/>
          </w:tcPr>
          <w:p w14:paraId="73E8533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186,871,232.92</w:t>
            </w:r>
          </w:p>
        </w:tc>
        <w:tc>
          <w:tcPr>
            <w:tcW w:w="1426" w:type="dxa"/>
            <w:shd w:val="clear" w:color="auto" w:fill="auto"/>
            <w:vAlign w:val="center"/>
            <w:hideMark/>
          </w:tcPr>
          <w:p w14:paraId="32CDAB9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145,808,235.47</w:t>
            </w:r>
          </w:p>
        </w:tc>
        <w:tc>
          <w:tcPr>
            <w:tcW w:w="1346" w:type="dxa"/>
            <w:shd w:val="clear" w:color="auto" w:fill="auto"/>
            <w:vAlign w:val="center"/>
            <w:hideMark/>
          </w:tcPr>
          <w:p w14:paraId="173D944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41,062,997.45</w:t>
            </w:r>
          </w:p>
        </w:tc>
        <w:tc>
          <w:tcPr>
            <w:tcW w:w="945" w:type="dxa"/>
            <w:shd w:val="clear" w:color="auto" w:fill="auto"/>
            <w:vAlign w:val="center"/>
            <w:hideMark/>
          </w:tcPr>
          <w:p w14:paraId="306D62D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568,180.08</w:t>
            </w:r>
          </w:p>
        </w:tc>
        <w:tc>
          <w:tcPr>
            <w:tcW w:w="1346" w:type="dxa"/>
            <w:shd w:val="clear" w:color="auto" w:fill="auto"/>
            <w:vAlign w:val="center"/>
            <w:hideMark/>
          </w:tcPr>
          <w:p w14:paraId="6F76D60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FB57978" w14:textId="77777777" w:rsidTr="00040CFB">
        <w:trPr>
          <w:trHeight w:val="20"/>
        </w:trPr>
        <w:tc>
          <w:tcPr>
            <w:tcW w:w="1985" w:type="dxa"/>
            <w:shd w:val="clear" w:color="auto" w:fill="auto"/>
            <w:vAlign w:val="center"/>
            <w:hideMark/>
          </w:tcPr>
          <w:p w14:paraId="421AEDE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01.01.2001</w:t>
            </w:r>
          </w:p>
        </w:tc>
        <w:tc>
          <w:tcPr>
            <w:tcW w:w="1346" w:type="dxa"/>
            <w:shd w:val="clear" w:color="auto" w:fill="auto"/>
            <w:vAlign w:val="center"/>
            <w:hideMark/>
          </w:tcPr>
          <w:p w14:paraId="1E26AF2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465,274,471.90</w:t>
            </w:r>
          </w:p>
        </w:tc>
        <w:tc>
          <w:tcPr>
            <w:tcW w:w="1346" w:type="dxa"/>
            <w:shd w:val="clear" w:color="auto" w:fill="auto"/>
            <w:vAlign w:val="center"/>
            <w:hideMark/>
          </w:tcPr>
          <w:p w14:paraId="4D1985D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465,274,471.90</w:t>
            </w:r>
          </w:p>
        </w:tc>
        <w:tc>
          <w:tcPr>
            <w:tcW w:w="1426" w:type="dxa"/>
            <w:shd w:val="clear" w:color="auto" w:fill="auto"/>
            <w:vAlign w:val="center"/>
            <w:hideMark/>
          </w:tcPr>
          <w:p w14:paraId="6731594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104,227,897.88</w:t>
            </w:r>
          </w:p>
        </w:tc>
        <w:tc>
          <w:tcPr>
            <w:tcW w:w="1346" w:type="dxa"/>
            <w:shd w:val="clear" w:color="auto" w:fill="auto"/>
            <w:vAlign w:val="center"/>
            <w:hideMark/>
          </w:tcPr>
          <w:p w14:paraId="6B3C065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361,046,574.02</w:t>
            </w:r>
          </w:p>
        </w:tc>
        <w:tc>
          <w:tcPr>
            <w:tcW w:w="945" w:type="dxa"/>
            <w:shd w:val="clear" w:color="auto" w:fill="auto"/>
            <w:vAlign w:val="center"/>
            <w:hideMark/>
          </w:tcPr>
          <w:p w14:paraId="78CCEF6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908551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830F237" w14:textId="77777777" w:rsidTr="00040CFB">
        <w:trPr>
          <w:trHeight w:val="20"/>
        </w:trPr>
        <w:tc>
          <w:tcPr>
            <w:tcW w:w="1985" w:type="dxa"/>
            <w:shd w:val="clear" w:color="000000" w:fill="FFC000"/>
            <w:vAlign w:val="center"/>
            <w:hideMark/>
          </w:tcPr>
          <w:p w14:paraId="13C207D4"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2001</w:t>
            </w:r>
          </w:p>
        </w:tc>
        <w:tc>
          <w:tcPr>
            <w:tcW w:w="1346" w:type="dxa"/>
            <w:shd w:val="clear" w:color="auto" w:fill="auto"/>
            <w:vAlign w:val="center"/>
            <w:hideMark/>
          </w:tcPr>
          <w:p w14:paraId="15B31C1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348A00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42FFCF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0077F9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AB5CB9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B5071F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1B5C69D" w14:textId="77777777" w:rsidTr="00040CFB">
        <w:trPr>
          <w:trHeight w:val="20"/>
        </w:trPr>
        <w:tc>
          <w:tcPr>
            <w:tcW w:w="1985" w:type="dxa"/>
            <w:shd w:val="clear" w:color="auto" w:fill="auto"/>
            <w:vAlign w:val="center"/>
            <w:hideMark/>
          </w:tcPr>
          <w:p w14:paraId="4E66B45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01.01.2001</w:t>
            </w:r>
          </w:p>
        </w:tc>
        <w:tc>
          <w:tcPr>
            <w:tcW w:w="1346" w:type="dxa"/>
            <w:shd w:val="clear" w:color="auto" w:fill="auto"/>
            <w:vAlign w:val="center"/>
            <w:hideMark/>
          </w:tcPr>
          <w:p w14:paraId="5521D53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465,274,471.90</w:t>
            </w:r>
          </w:p>
        </w:tc>
        <w:tc>
          <w:tcPr>
            <w:tcW w:w="1346" w:type="dxa"/>
            <w:shd w:val="clear" w:color="auto" w:fill="auto"/>
            <w:vAlign w:val="center"/>
            <w:hideMark/>
          </w:tcPr>
          <w:p w14:paraId="0DFD3D6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465,274,471.90</w:t>
            </w:r>
          </w:p>
        </w:tc>
        <w:tc>
          <w:tcPr>
            <w:tcW w:w="1426" w:type="dxa"/>
            <w:shd w:val="clear" w:color="auto" w:fill="auto"/>
            <w:vAlign w:val="center"/>
            <w:hideMark/>
          </w:tcPr>
          <w:p w14:paraId="4729688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104,227,897.88</w:t>
            </w:r>
          </w:p>
        </w:tc>
        <w:tc>
          <w:tcPr>
            <w:tcW w:w="1346" w:type="dxa"/>
            <w:shd w:val="clear" w:color="auto" w:fill="auto"/>
            <w:vAlign w:val="center"/>
            <w:hideMark/>
          </w:tcPr>
          <w:p w14:paraId="1A9B707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361,046,574.02</w:t>
            </w:r>
          </w:p>
        </w:tc>
        <w:tc>
          <w:tcPr>
            <w:tcW w:w="945" w:type="dxa"/>
            <w:shd w:val="clear" w:color="auto" w:fill="auto"/>
            <w:vAlign w:val="center"/>
            <w:hideMark/>
          </w:tcPr>
          <w:p w14:paraId="583636E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2E54C8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90F905C" w14:textId="77777777" w:rsidTr="00040CFB">
        <w:trPr>
          <w:trHeight w:val="20"/>
        </w:trPr>
        <w:tc>
          <w:tcPr>
            <w:tcW w:w="1985" w:type="dxa"/>
            <w:shd w:val="clear" w:color="auto" w:fill="auto"/>
            <w:vAlign w:val="center"/>
            <w:hideMark/>
          </w:tcPr>
          <w:p w14:paraId="3F753C9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0FA31AD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176,836,870.65</w:t>
            </w:r>
          </w:p>
        </w:tc>
        <w:tc>
          <w:tcPr>
            <w:tcW w:w="1346" w:type="dxa"/>
            <w:shd w:val="clear" w:color="auto" w:fill="auto"/>
            <w:vAlign w:val="center"/>
            <w:hideMark/>
          </w:tcPr>
          <w:p w14:paraId="7F489E3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176,836,870.65</w:t>
            </w:r>
          </w:p>
        </w:tc>
        <w:tc>
          <w:tcPr>
            <w:tcW w:w="1426" w:type="dxa"/>
            <w:shd w:val="clear" w:color="auto" w:fill="auto"/>
            <w:vAlign w:val="center"/>
            <w:hideMark/>
          </w:tcPr>
          <w:p w14:paraId="1FEA791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69,966,114.76</w:t>
            </w:r>
          </w:p>
        </w:tc>
        <w:tc>
          <w:tcPr>
            <w:tcW w:w="1346" w:type="dxa"/>
            <w:shd w:val="clear" w:color="auto" w:fill="auto"/>
            <w:vAlign w:val="center"/>
            <w:hideMark/>
          </w:tcPr>
          <w:p w14:paraId="01349B1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106,870,755.89</w:t>
            </w:r>
          </w:p>
        </w:tc>
        <w:tc>
          <w:tcPr>
            <w:tcW w:w="945" w:type="dxa"/>
            <w:shd w:val="clear" w:color="auto" w:fill="auto"/>
            <w:vAlign w:val="center"/>
            <w:hideMark/>
          </w:tcPr>
          <w:p w14:paraId="5A2F51A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45C03E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4EDADC2" w14:textId="77777777" w:rsidTr="00040CFB">
        <w:trPr>
          <w:trHeight w:val="20"/>
        </w:trPr>
        <w:tc>
          <w:tcPr>
            <w:tcW w:w="1985" w:type="dxa"/>
            <w:shd w:val="clear" w:color="auto" w:fill="auto"/>
            <w:vAlign w:val="center"/>
            <w:hideMark/>
          </w:tcPr>
          <w:p w14:paraId="2407F14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2001</w:t>
            </w:r>
          </w:p>
        </w:tc>
        <w:tc>
          <w:tcPr>
            <w:tcW w:w="1346" w:type="dxa"/>
            <w:shd w:val="clear" w:color="auto" w:fill="auto"/>
            <w:vAlign w:val="center"/>
            <w:hideMark/>
          </w:tcPr>
          <w:p w14:paraId="5FC0AE8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24,764,460.97</w:t>
            </w:r>
          </w:p>
        </w:tc>
        <w:tc>
          <w:tcPr>
            <w:tcW w:w="1346" w:type="dxa"/>
            <w:shd w:val="clear" w:color="auto" w:fill="auto"/>
            <w:vAlign w:val="center"/>
            <w:hideMark/>
          </w:tcPr>
          <w:p w14:paraId="7DF33FA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24,764,460.97</w:t>
            </w:r>
          </w:p>
        </w:tc>
        <w:tc>
          <w:tcPr>
            <w:tcW w:w="1426" w:type="dxa"/>
            <w:shd w:val="clear" w:color="auto" w:fill="auto"/>
            <w:vAlign w:val="center"/>
            <w:hideMark/>
          </w:tcPr>
          <w:p w14:paraId="77DF1EF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15,905,997.75</w:t>
            </w:r>
          </w:p>
        </w:tc>
        <w:tc>
          <w:tcPr>
            <w:tcW w:w="1346" w:type="dxa"/>
            <w:shd w:val="clear" w:color="auto" w:fill="auto"/>
            <w:vAlign w:val="center"/>
            <w:hideMark/>
          </w:tcPr>
          <w:p w14:paraId="45B32C3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8,858,463.22</w:t>
            </w:r>
          </w:p>
        </w:tc>
        <w:tc>
          <w:tcPr>
            <w:tcW w:w="945" w:type="dxa"/>
            <w:shd w:val="clear" w:color="auto" w:fill="auto"/>
            <w:vAlign w:val="center"/>
            <w:hideMark/>
          </w:tcPr>
          <w:p w14:paraId="05B40F0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7B1393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67192B4" w14:textId="77777777" w:rsidTr="00040CFB">
        <w:trPr>
          <w:trHeight w:val="20"/>
        </w:trPr>
        <w:tc>
          <w:tcPr>
            <w:tcW w:w="1985" w:type="dxa"/>
            <w:shd w:val="clear" w:color="auto" w:fill="auto"/>
            <w:vAlign w:val="center"/>
            <w:hideMark/>
          </w:tcPr>
          <w:p w14:paraId="275C238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Total Achitări reciproce, din care:</w:t>
            </w:r>
          </w:p>
        </w:tc>
        <w:tc>
          <w:tcPr>
            <w:tcW w:w="1346" w:type="dxa"/>
            <w:shd w:val="clear" w:color="auto" w:fill="auto"/>
            <w:vAlign w:val="center"/>
            <w:hideMark/>
          </w:tcPr>
          <w:p w14:paraId="14CBCC7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105,291,591.12</w:t>
            </w:r>
          </w:p>
        </w:tc>
        <w:tc>
          <w:tcPr>
            <w:tcW w:w="1346" w:type="dxa"/>
            <w:shd w:val="clear" w:color="auto" w:fill="auto"/>
            <w:vAlign w:val="center"/>
            <w:hideMark/>
          </w:tcPr>
          <w:p w14:paraId="69706DB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105,291,591.12</w:t>
            </w:r>
          </w:p>
        </w:tc>
        <w:tc>
          <w:tcPr>
            <w:tcW w:w="1426" w:type="dxa"/>
            <w:shd w:val="clear" w:color="auto" w:fill="auto"/>
            <w:vAlign w:val="center"/>
            <w:hideMark/>
          </w:tcPr>
          <w:p w14:paraId="192ECA7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70,570,442.26</w:t>
            </w:r>
          </w:p>
        </w:tc>
        <w:tc>
          <w:tcPr>
            <w:tcW w:w="1346" w:type="dxa"/>
            <w:shd w:val="clear" w:color="auto" w:fill="auto"/>
            <w:vAlign w:val="center"/>
            <w:hideMark/>
          </w:tcPr>
          <w:p w14:paraId="331948A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34,721,148.86</w:t>
            </w:r>
          </w:p>
        </w:tc>
        <w:tc>
          <w:tcPr>
            <w:tcW w:w="945" w:type="dxa"/>
            <w:shd w:val="clear" w:color="auto" w:fill="auto"/>
            <w:vAlign w:val="center"/>
            <w:hideMark/>
          </w:tcPr>
          <w:p w14:paraId="6C046B2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08FC47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A636EC1" w14:textId="77777777" w:rsidTr="00040CFB">
        <w:trPr>
          <w:trHeight w:val="20"/>
        </w:trPr>
        <w:tc>
          <w:tcPr>
            <w:tcW w:w="1985" w:type="dxa"/>
            <w:shd w:val="clear" w:color="auto" w:fill="auto"/>
            <w:vAlign w:val="center"/>
            <w:hideMark/>
          </w:tcPr>
          <w:p w14:paraId="5542BB3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Depuneri in Capitalul social al SA Moldovagaz</w:t>
            </w:r>
          </w:p>
        </w:tc>
        <w:tc>
          <w:tcPr>
            <w:tcW w:w="1346" w:type="dxa"/>
            <w:shd w:val="clear" w:color="auto" w:fill="auto"/>
            <w:vAlign w:val="center"/>
            <w:hideMark/>
          </w:tcPr>
          <w:p w14:paraId="7C15527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59,962,146.00</w:t>
            </w:r>
          </w:p>
        </w:tc>
        <w:tc>
          <w:tcPr>
            <w:tcW w:w="1346" w:type="dxa"/>
            <w:shd w:val="clear" w:color="auto" w:fill="auto"/>
            <w:vAlign w:val="center"/>
            <w:hideMark/>
          </w:tcPr>
          <w:p w14:paraId="590AB55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59,962,146.00</w:t>
            </w:r>
          </w:p>
        </w:tc>
        <w:tc>
          <w:tcPr>
            <w:tcW w:w="1426" w:type="dxa"/>
            <w:shd w:val="clear" w:color="auto" w:fill="auto"/>
            <w:vAlign w:val="center"/>
            <w:hideMark/>
          </w:tcPr>
          <w:p w14:paraId="0ADBB75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47,299,796.00</w:t>
            </w:r>
          </w:p>
        </w:tc>
        <w:tc>
          <w:tcPr>
            <w:tcW w:w="1346" w:type="dxa"/>
            <w:shd w:val="clear" w:color="auto" w:fill="auto"/>
            <w:vAlign w:val="center"/>
            <w:hideMark/>
          </w:tcPr>
          <w:p w14:paraId="2A14DA7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12,662,350.00</w:t>
            </w:r>
          </w:p>
        </w:tc>
        <w:tc>
          <w:tcPr>
            <w:tcW w:w="945" w:type="dxa"/>
            <w:shd w:val="clear" w:color="auto" w:fill="auto"/>
            <w:vAlign w:val="center"/>
            <w:hideMark/>
          </w:tcPr>
          <w:p w14:paraId="7D0F10D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60574E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1A5370C" w14:textId="77777777" w:rsidTr="00040CFB">
        <w:trPr>
          <w:trHeight w:val="20"/>
        </w:trPr>
        <w:tc>
          <w:tcPr>
            <w:tcW w:w="1985" w:type="dxa"/>
            <w:shd w:val="clear" w:color="auto" w:fill="auto"/>
            <w:vAlign w:val="center"/>
            <w:hideMark/>
          </w:tcPr>
          <w:p w14:paraId="2089DE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6422116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45,329,445.12</w:t>
            </w:r>
          </w:p>
        </w:tc>
        <w:tc>
          <w:tcPr>
            <w:tcW w:w="1346" w:type="dxa"/>
            <w:shd w:val="clear" w:color="auto" w:fill="auto"/>
            <w:vAlign w:val="center"/>
            <w:hideMark/>
          </w:tcPr>
          <w:p w14:paraId="0A01952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45,329,445.12</w:t>
            </w:r>
          </w:p>
        </w:tc>
        <w:tc>
          <w:tcPr>
            <w:tcW w:w="1426" w:type="dxa"/>
            <w:shd w:val="clear" w:color="auto" w:fill="auto"/>
            <w:vAlign w:val="center"/>
            <w:hideMark/>
          </w:tcPr>
          <w:p w14:paraId="79C4982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23,270,646.26</w:t>
            </w:r>
          </w:p>
        </w:tc>
        <w:tc>
          <w:tcPr>
            <w:tcW w:w="1346" w:type="dxa"/>
            <w:shd w:val="clear" w:color="auto" w:fill="auto"/>
            <w:vAlign w:val="center"/>
            <w:hideMark/>
          </w:tcPr>
          <w:p w14:paraId="060D912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22,058,798.86</w:t>
            </w:r>
          </w:p>
        </w:tc>
        <w:tc>
          <w:tcPr>
            <w:tcW w:w="945" w:type="dxa"/>
            <w:shd w:val="clear" w:color="auto" w:fill="auto"/>
            <w:vAlign w:val="center"/>
            <w:hideMark/>
          </w:tcPr>
          <w:p w14:paraId="5185F9D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BCF0FF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4205BEB" w14:textId="77777777" w:rsidTr="00040CFB">
        <w:trPr>
          <w:trHeight w:val="20"/>
        </w:trPr>
        <w:tc>
          <w:tcPr>
            <w:tcW w:w="1985" w:type="dxa"/>
            <w:shd w:val="clear" w:color="auto" w:fill="auto"/>
            <w:vAlign w:val="center"/>
            <w:hideMark/>
          </w:tcPr>
          <w:p w14:paraId="5C51F15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Achitări </w:t>
            </w:r>
          </w:p>
        </w:tc>
        <w:tc>
          <w:tcPr>
            <w:tcW w:w="1346" w:type="dxa"/>
            <w:shd w:val="clear" w:color="auto" w:fill="auto"/>
            <w:vAlign w:val="center"/>
            <w:hideMark/>
          </w:tcPr>
          <w:p w14:paraId="4EA44DE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130,056,052.09</w:t>
            </w:r>
          </w:p>
        </w:tc>
        <w:tc>
          <w:tcPr>
            <w:tcW w:w="1346" w:type="dxa"/>
            <w:shd w:val="clear" w:color="auto" w:fill="auto"/>
            <w:vAlign w:val="center"/>
            <w:hideMark/>
          </w:tcPr>
          <w:p w14:paraId="104D72B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130,056,052.09</w:t>
            </w:r>
          </w:p>
        </w:tc>
        <w:tc>
          <w:tcPr>
            <w:tcW w:w="1426" w:type="dxa"/>
            <w:shd w:val="clear" w:color="auto" w:fill="auto"/>
            <w:vAlign w:val="center"/>
            <w:hideMark/>
          </w:tcPr>
          <w:p w14:paraId="063650C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86,476,440.01</w:t>
            </w:r>
          </w:p>
        </w:tc>
        <w:tc>
          <w:tcPr>
            <w:tcW w:w="1346" w:type="dxa"/>
            <w:shd w:val="clear" w:color="auto" w:fill="auto"/>
            <w:vAlign w:val="center"/>
            <w:hideMark/>
          </w:tcPr>
          <w:p w14:paraId="6CC6105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43,579,612.08</w:t>
            </w:r>
          </w:p>
        </w:tc>
        <w:tc>
          <w:tcPr>
            <w:tcW w:w="945" w:type="dxa"/>
            <w:shd w:val="clear" w:color="auto" w:fill="auto"/>
            <w:vAlign w:val="center"/>
            <w:hideMark/>
          </w:tcPr>
          <w:p w14:paraId="056E24A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D814AD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4E59D1A" w14:textId="77777777" w:rsidTr="00040CFB">
        <w:trPr>
          <w:trHeight w:val="20"/>
        </w:trPr>
        <w:tc>
          <w:tcPr>
            <w:tcW w:w="1985" w:type="dxa"/>
            <w:shd w:val="clear" w:color="auto" w:fill="auto"/>
            <w:vAlign w:val="center"/>
            <w:hideMark/>
          </w:tcPr>
          <w:p w14:paraId="2F4C3B7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01.01.2002</w:t>
            </w:r>
          </w:p>
        </w:tc>
        <w:tc>
          <w:tcPr>
            <w:tcW w:w="1346" w:type="dxa"/>
            <w:shd w:val="clear" w:color="auto" w:fill="auto"/>
            <w:vAlign w:val="center"/>
            <w:hideMark/>
          </w:tcPr>
          <w:p w14:paraId="1A9237B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512,055,290.46</w:t>
            </w:r>
          </w:p>
        </w:tc>
        <w:tc>
          <w:tcPr>
            <w:tcW w:w="1346" w:type="dxa"/>
            <w:shd w:val="clear" w:color="auto" w:fill="auto"/>
            <w:vAlign w:val="center"/>
            <w:hideMark/>
          </w:tcPr>
          <w:p w14:paraId="766F7DF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512,055,290.46</w:t>
            </w:r>
          </w:p>
        </w:tc>
        <w:tc>
          <w:tcPr>
            <w:tcW w:w="1426" w:type="dxa"/>
            <w:shd w:val="clear" w:color="auto" w:fill="auto"/>
            <w:vAlign w:val="center"/>
            <w:hideMark/>
          </w:tcPr>
          <w:p w14:paraId="2E40E99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87,717,572.63</w:t>
            </w:r>
          </w:p>
        </w:tc>
        <w:tc>
          <w:tcPr>
            <w:tcW w:w="1346" w:type="dxa"/>
            <w:shd w:val="clear" w:color="auto" w:fill="auto"/>
            <w:vAlign w:val="center"/>
            <w:hideMark/>
          </w:tcPr>
          <w:p w14:paraId="0B4F076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424,337,717.83</w:t>
            </w:r>
          </w:p>
        </w:tc>
        <w:tc>
          <w:tcPr>
            <w:tcW w:w="945" w:type="dxa"/>
            <w:shd w:val="clear" w:color="auto" w:fill="auto"/>
            <w:vAlign w:val="center"/>
            <w:hideMark/>
          </w:tcPr>
          <w:p w14:paraId="71DAB17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DD6CF8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AD9F0FE" w14:textId="77777777" w:rsidTr="00040CFB">
        <w:trPr>
          <w:trHeight w:val="20"/>
        </w:trPr>
        <w:tc>
          <w:tcPr>
            <w:tcW w:w="1985" w:type="dxa"/>
            <w:shd w:val="clear" w:color="000000" w:fill="FFC000"/>
            <w:vAlign w:val="center"/>
            <w:hideMark/>
          </w:tcPr>
          <w:p w14:paraId="525B6945"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2002</w:t>
            </w:r>
          </w:p>
        </w:tc>
        <w:tc>
          <w:tcPr>
            <w:tcW w:w="1346" w:type="dxa"/>
            <w:shd w:val="clear" w:color="auto" w:fill="auto"/>
            <w:vAlign w:val="center"/>
            <w:hideMark/>
          </w:tcPr>
          <w:p w14:paraId="17E258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16272D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8DB848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8782F9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5C7B4E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97439C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2A8ECF5" w14:textId="77777777" w:rsidTr="00040CFB">
        <w:trPr>
          <w:trHeight w:val="20"/>
        </w:trPr>
        <w:tc>
          <w:tcPr>
            <w:tcW w:w="1985" w:type="dxa"/>
            <w:shd w:val="clear" w:color="auto" w:fill="auto"/>
            <w:vAlign w:val="center"/>
            <w:hideMark/>
          </w:tcPr>
          <w:p w14:paraId="49B018A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01.01.2002</w:t>
            </w:r>
          </w:p>
        </w:tc>
        <w:tc>
          <w:tcPr>
            <w:tcW w:w="1346" w:type="dxa"/>
            <w:shd w:val="clear" w:color="auto" w:fill="auto"/>
            <w:vAlign w:val="center"/>
            <w:hideMark/>
          </w:tcPr>
          <w:p w14:paraId="03AE369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512,055,290.46</w:t>
            </w:r>
          </w:p>
        </w:tc>
        <w:tc>
          <w:tcPr>
            <w:tcW w:w="1346" w:type="dxa"/>
            <w:shd w:val="clear" w:color="auto" w:fill="auto"/>
            <w:vAlign w:val="center"/>
            <w:hideMark/>
          </w:tcPr>
          <w:p w14:paraId="4D708DE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512,055,290.46</w:t>
            </w:r>
          </w:p>
        </w:tc>
        <w:tc>
          <w:tcPr>
            <w:tcW w:w="1426" w:type="dxa"/>
            <w:shd w:val="clear" w:color="auto" w:fill="auto"/>
            <w:vAlign w:val="center"/>
            <w:hideMark/>
          </w:tcPr>
          <w:p w14:paraId="7201A5D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87,717,572.63</w:t>
            </w:r>
          </w:p>
        </w:tc>
        <w:tc>
          <w:tcPr>
            <w:tcW w:w="1346" w:type="dxa"/>
            <w:shd w:val="clear" w:color="auto" w:fill="auto"/>
            <w:vAlign w:val="center"/>
            <w:hideMark/>
          </w:tcPr>
          <w:p w14:paraId="44444D2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424,337,717.83</w:t>
            </w:r>
          </w:p>
        </w:tc>
        <w:tc>
          <w:tcPr>
            <w:tcW w:w="945" w:type="dxa"/>
            <w:shd w:val="clear" w:color="auto" w:fill="auto"/>
            <w:vAlign w:val="center"/>
            <w:hideMark/>
          </w:tcPr>
          <w:p w14:paraId="0B4F8FA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645E68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CD05B23" w14:textId="77777777" w:rsidTr="00040CFB">
        <w:trPr>
          <w:trHeight w:val="20"/>
        </w:trPr>
        <w:tc>
          <w:tcPr>
            <w:tcW w:w="1985" w:type="dxa"/>
            <w:shd w:val="clear" w:color="auto" w:fill="auto"/>
            <w:vAlign w:val="center"/>
            <w:hideMark/>
          </w:tcPr>
          <w:p w14:paraId="770FFBC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3B3B4DB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171,097,913.68</w:t>
            </w:r>
          </w:p>
        </w:tc>
        <w:tc>
          <w:tcPr>
            <w:tcW w:w="1346" w:type="dxa"/>
            <w:shd w:val="clear" w:color="auto" w:fill="auto"/>
            <w:vAlign w:val="center"/>
            <w:hideMark/>
          </w:tcPr>
          <w:p w14:paraId="6D20934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171,097,913.68</w:t>
            </w:r>
          </w:p>
        </w:tc>
        <w:tc>
          <w:tcPr>
            <w:tcW w:w="1426" w:type="dxa"/>
            <w:shd w:val="clear" w:color="auto" w:fill="auto"/>
            <w:vAlign w:val="center"/>
            <w:hideMark/>
          </w:tcPr>
          <w:p w14:paraId="15BF276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80,490,209.11</w:t>
            </w:r>
          </w:p>
        </w:tc>
        <w:tc>
          <w:tcPr>
            <w:tcW w:w="1346" w:type="dxa"/>
            <w:shd w:val="clear" w:color="auto" w:fill="auto"/>
            <w:vAlign w:val="center"/>
            <w:hideMark/>
          </w:tcPr>
          <w:p w14:paraId="6157197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90,607,704.57</w:t>
            </w:r>
          </w:p>
        </w:tc>
        <w:tc>
          <w:tcPr>
            <w:tcW w:w="945" w:type="dxa"/>
            <w:shd w:val="clear" w:color="auto" w:fill="auto"/>
            <w:vAlign w:val="center"/>
            <w:hideMark/>
          </w:tcPr>
          <w:p w14:paraId="6577F66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6343B3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2ABFC56" w14:textId="77777777" w:rsidTr="00040CFB">
        <w:trPr>
          <w:trHeight w:val="20"/>
        </w:trPr>
        <w:tc>
          <w:tcPr>
            <w:tcW w:w="1985" w:type="dxa"/>
            <w:shd w:val="clear" w:color="auto" w:fill="auto"/>
            <w:vAlign w:val="center"/>
            <w:hideMark/>
          </w:tcPr>
          <w:p w14:paraId="376A4B8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2002</w:t>
            </w:r>
          </w:p>
        </w:tc>
        <w:tc>
          <w:tcPr>
            <w:tcW w:w="1346" w:type="dxa"/>
            <w:shd w:val="clear" w:color="auto" w:fill="auto"/>
            <w:vAlign w:val="center"/>
            <w:hideMark/>
          </w:tcPr>
          <w:p w14:paraId="03DF477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45,335,524.86</w:t>
            </w:r>
          </w:p>
        </w:tc>
        <w:tc>
          <w:tcPr>
            <w:tcW w:w="1346" w:type="dxa"/>
            <w:shd w:val="clear" w:color="auto" w:fill="auto"/>
            <w:vAlign w:val="center"/>
            <w:hideMark/>
          </w:tcPr>
          <w:p w14:paraId="27C6660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45,335,524.86</w:t>
            </w:r>
          </w:p>
        </w:tc>
        <w:tc>
          <w:tcPr>
            <w:tcW w:w="1426" w:type="dxa"/>
            <w:shd w:val="clear" w:color="auto" w:fill="auto"/>
            <w:vAlign w:val="center"/>
            <w:hideMark/>
          </w:tcPr>
          <w:p w14:paraId="01449EF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27,986,484.73</w:t>
            </w:r>
          </w:p>
        </w:tc>
        <w:tc>
          <w:tcPr>
            <w:tcW w:w="1346" w:type="dxa"/>
            <w:shd w:val="clear" w:color="auto" w:fill="auto"/>
            <w:vAlign w:val="center"/>
            <w:hideMark/>
          </w:tcPr>
          <w:p w14:paraId="409338B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17,349,040.13</w:t>
            </w:r>
          </w:p>
        </w:tc>
        <w:tc>
          <w:tcPr>
            <w:tcW w:w="945" w:type="dxa"/>
            <w:shd w:val="clear" w:color="auto" w:fill="auto"/>
            <w:vAlign w:val="center"/>
            <w:hideMark/>
          </w:tcPr>
          <w:p w14:paraId="6AF33C7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06375D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336C98F" w14:textId="77777777" w:rsidTr="00040CFB">
        <w:trPr>
          <w:trHeight w:val="20"/>
        </w:trPr>
        <w:tc>
          <w:tcPr>
            <w:tcW w:w="1985" w:type="dxa"/>
            <w:shd w:val="clear" w:color="auto" w:fill="auto"/>
            <w:vAlign w:val="center"/>
            <w:hideMark/>
          </w:tcPr>
          <w:p w14:paraId="2F832EA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56A172C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51,024,164.39</w:t>
            </w:r>
          </w:p>
        </w:tc>
        <w:tc>
          <w:tcPr>
            <w:tcW w:w="1346" w:type="dxa"/>
            <w:shd w:val="clear" w:color="auto" w:fill="auto"/>
            <w:vAlign w:val="center"/>
            <w:hideMark/>
          </w:tcPr>
          <w:p w14:paraId="0ABCA89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51,024,164.39</w:t>
            </w:r>
          </w:p>
        </w:tc>
        <w:tc>
          <w:tcPr>
            <w:tcW w:w="1426" w:type="dxa"/>
            <w:shd w:val="clear" w:color="auto" w:fill="auto"/>
            <w:vAlign w:val="center"/>
            <w:hideMark/>
          </w:tcPr>
          <w:p w14:paraId="029C651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27,794,703.29</w:t>
            </w:r>
          </w:p>
        </w:tc>
        <w:tc>
          <w:tcPr>
            <w:tcW w:w="1346" w:type="dxa"/>
            <w:shd w:val="clear" w:color="auto" w:fill="auto"/>
            <w:vAlign w:val="center"/>
            <w:hideMark/>
          </w:tcPr>
          <w:p w14:paraId="44DF4B6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23,229,461.10</w:t>
            </w:r>
          </w:p>
        </w:tc>
        <w:tc>
          <w:tcPr>
            <w:tcW w:w="945" w:type="dxa"/>
            <w:shd w:val="clear" w:color="auto" w:fill="auto"/>
            <w:vAlign w:val="center"/>
            <w:hideMark/>
          </w:tcPr>
          <w:p w14:paraId="455D31D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34D2FF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0D106A6" w14:textId="77777777" w:rsidTr="00040CFB">
        <w:trPr>
          <w:trHeight w:val="20"/>
        </w:trPr>
        <w:tc>
          <w:tcPr>
            <w:tcW w:w="1985" w:type="dxa"/>
            <w:shd w:val="clear" w:color="auto" w:fill="auto"/>
            <w:vAlign w:val="center"/>
            <w:hideMark/>
          </w:tcPr>
          <w:p w14:paraId="61461CD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Achitări </w:t>
            </w:r>
          </w:p>
        </w:tc>
        <w:tc>
          <w:tcPr>
            <w:tcW w:w="1346" w:type="dxa"/>
            <w:shd w:val="clear" w:color="auto" w:fill="auto"/>
            <w:vAlign w:val="center"/>
            <w:hideMark/>
          </w:tcPr>
          <w:p w14:paraId="59CE49A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96,379,689.25</w:t>
            </w:r>
          </w:p>
        </w:tc>
        <w:tc>
          <w:tcPr>
            <w:tcW w:w="1346" w:type="dxa"/>
            <w:shd w:val="clear" w:color="auto" w:fill="auto"/>
            <w:vAlign w:val="center"/>
            <w:hideMark/>
          </w:tcPr>
          <w:p w14:paraId="59ECD08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96,379,689.25</w:t>
            </w:r>
          </w:p>
        </w:tc>
        <w:tc>
          <w:tcPr>
            <w:tcW w:w="1426" w:type="dxa"/>
            <w:shd w:val="clear" w:color="auto" w:fill="auto"/>
            <w:vAlign w:val="center"/>
            <w:hideMark/>
          </w:tcPr>
          <w:p w14:paraId="6D07C53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55,801,188.02</w:t>
            </w:r>
          </w:p>
        </w:tc>
        <w:tc>
          <w:tcPr>
            <w:tcW w:w="1346" w:type="dxa"/>
            <w:shd w:val="clear" w:color="auto" w:fill="auto"/>
            <w:vAlign w:val="center"/>
            <w:hideMark/>
          </w:tcPr>
          <w:p w14:paraId="5E25E5C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40,578,501.23</w:t>
            </w:r>
          </w:p>
        </w:tc>
        <w:tc>
          <w:tcPr>
            <w:tcW w:w="945" w:type="dxa"/>
            <w:shd w:val="clear" w:color="auto" w:fill="auto"/>
            <w:vAlign w:val="center"/>
            <w:hideMark/>
          </w:tcPr>
          <w:p w14:paraId="6EEE28C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19EB6A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89B3057" w14:textId="77777777" w:rsidTr="00040CFB">
        <w:trPr>
          <w:trHeight w:val="20"/>
        </w:trPr>
        <w:tc>
          <w:tcPr>
            <w:tcW w:w="1985" w:type="dxa"/>
            <w:shd w:val="clear" w:color="auto" w:fill="auto"/>
            <w:vAlign w:val="center"/>
            <w:hideMark/>
          </w:tcPr>
          <w:p w14:paraId="7AB90CA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01.01.2003</w:t>
            </w:r>
          </w:p>
        </w:tc>
        <w:tc>
          <w:tcPr>
            <w:tcW w:w="1346" w:type="dxa"/>
            <w:shd w:val="clear" w:color="auto" w:fill="auto"/>
            <w:vAlign w:val="center"/>
            <w:hideMark/>
          </w:tcPr>
          <w:p w14:paraId="2826710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586,773,514.89</w:t>
            </w:r>
          </w:p>
        </w:tc>
        <w:tc>
          <w:tcPr>
            <w:tcW w:w="1346" w:type="dxa"/>
            <w:shd w:val="clear" w:color="auto" w:fill="auto"/>
            <w:vAlign w:val="center"/>
            <w:hideMark/>
          </w:tcPr>
          <w:p w14:paraId="65C9F83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586,773,514.89</w:t>
            </w:r>
          </w:p>
        </w:tc>
        <w:tc>
          <w:tcPr>
            <w:tcW w:w="1426" w:type="dxa"/>
            <w:shd w:val="clear" w:color="auto" w:fill="auto"/>
            <w:vAlign w:val="center"/>
            <w:hideMark/>
          </w:tcPr>
          <w:p w14:paraId="104479C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112,406,593.72</w:t>
            </w:r>
          </w:p>
        </w:tc>
        <w:tc>
          <w:tcPr>
            <w:tcW w:w="1346" w:type="dxa"/>
            <w:shd w:val="clear" w:color="auto" w:fill="auto"/>
            <w:vAlign w:val="center"/>
            <w:hideMark/>
          </w:tcPr>
          <w:p w14:paraId="2E007D5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474,366,921.17</w:t>
            </w:r>
          </w:p>
        </w:tc>
        <w:tc>
          <w:tcPr>
            <w:tcW w:w="945" w:type="dxa"/>
            <w:shd w:val="clear" w:color="auto" w:fill="auto"/>
            <w:vAlign w:val="center"/>
            <w:hideMark/>
          </w:tcPr>
          <w:p w14:paraId="63D464D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62D72D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BEABEF4" w14:textId="77777777" w:rsidTr="00040CFB">
        <w:trPr>
          <w:trHeight w:val="20"/>
        </w:trPr>
        <w:tc>
          <w:tcPr>
            <w:tcW w:w="1985" w:type="dxa"/>
            <w:shd w:val="clear" w:color="000000" w:fill="FFC000"/>
            <w:vAlign w:val="center"/>
            <w:hideMark/>
          </w:tcPr>
          <w:p w14:paraId="62712C47"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2003</w:t>
            </w:r>
          </w:p>
        </w:tc>
        <w:tc>
          <w:tcPr>
            <w:tcW w:w="1346" w:type="dxa"/>
            <w:shd w:val="clear" w:color="auto" w:fill="auto"/>
            <w:vAlign w:val="center"/>
            <w:hideMark/>
          </w:tcPr>
          <w:p w14:paraId="2ABC7AA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BBB4BB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7B54718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1948E9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B2F914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AE4F07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8C8D6C1" w14:textId="77777777" w:rsidTr="00040CFB">
        <w:trPr>
          <w:trHeight w:val="20"/>
        </w:trPr>
        <w:tc>
          <w:tcPr>
            <w:tcW w:w="1985" w:type="dxa"/>
            <w:shd w:val="clear" w:color="auto" w:fill="auto"/>
            <w:vAlign w:val="center"/>
            <w:hideMark/>
          </w:tcPr>
          <w:p w14:paraId="106EED5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01.01.2003</w:t>
            </w:r>
          </w:p>
        </w:tc>
        <w:tc>
          <w:tcPr>
            <w:tcW w:w="1346" w:type="dxa"/>
            <w:shd w:val="clear" w:color="auto" w:fill="auto"/>
            <w:vAlign w:val="center"/>
            <w:hideMark/>
          </w:tcPr>
          <w:p w14:paraId="0A92C4D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586,773,514.89</w:t>
            </w:r>
          </w:p>
        </w:tc>
        <w:tc>
          <w:tcPr>
            <w:tcW w:w="1346" w:type="dxa"/>
            <w:shd w:val="clear" w:color="auto" w:fill="auto"/>
            <w:vAlign w:val="center"/>
            <w:hideMark/>
          </w:tcPr>
          <w:p w14:paraId="3B956CF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586,773,514.89</w:t>
            </w:r>
          </w:p>
        </w:tc>
        <w:tc>
          <w:tcPr>
            <w:tcW w:w="1426" w:type="dxa"/>
            <w:shd w:val="clear" w:color="auto" w:fill="auto"/>
            <w:vAlign w:val="center"/>
            <w:hideMark/>
          </w:tcPr>
          <w:p w14:paraId="6E819D1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112,406,593.72</w:t>
            </w:r>
          </w:p>
        </w:tc>
        <w:tc>
          <w:tcPr>
            <w:tcW w:w="1346" w:type="dxa"/>
            <w:shd w:val="clear" w:color="auto" w:fill="auto"/>
            <w:vAlign w:val="center"/>
            <w:hideMark/>
          </w:tcPr>
          <w:p w14:paraId="7D753E8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474,366,921.17</w:t>
            </w:r>
          </w:p>
        </w:tc>
        <w:tc>
          <w:tcPr>
            <w:tcW w:w="945" w:type="dxa"/>
            <w:shd w:val="clear" w:color="auto" w:fill="auto"/>
            <w:vAlign w:val="center"/>
            <w:hideMark/>
          </w:tcPr>
          <w:p w14:paraId="15EC5E3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7E64A9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313BA3E" w14:textId="77777777" w:rsidTr="00040CFB">
        <w:trPr>
          <w:trHeight w:val="20"/>
        </w:trPr>
        <w:tc>
          <w:tcPr>
            <w:tcW w:w="1985" w:type="dxa"/>
            <w:shd w:val="clear" w:color="auto" w:fill="auto"/>
            <w:vAlign w:val="center"/>
            <w:hideMark/>
          </w:tcPr>
          <w:p w14:paraId="40728E8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05D2756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115,784,729.04</w:t>
            </w:r>
          </w:p>
        </w:tc>
        <w:tc>
          <w:tcPr>
            <w:tcW w:w="1346" w:type="dxa"/>
            <w:shd w:val="clear" w:color="auto" w:fill="auto"/>
            <w:vAlign w:val="center"/>
            <w:hideMark/>
          </w:tcPr>
          <w:p w14:paraId="75EE0E1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115,784,729.04</w:t>
            </w:r>
          </w:p>
        </w:tc>
        <w:tc>
          <w:tcPr>
            <w:tcW w:w="1426" w:type="dxa"/>
            <w:shd w:val="clear" w:color="auto" w:fill="auto"/>
            <w:vAlign w:val="center"/>
            <w:hideMark/>
          </w:tcPr>
          <w:p w14:paraId="48A03C6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51,782,223.36</w:t>
            </w:r>
          </w:p>
        </w:tc>
        <w:tc>
          <w:tcPr>
            <w:tcW w:w="1346" w:type="dxa"/>
            <w:shd w:val="clear" w:color="auto" w:fill="auto"/>
            <w:vAlign w:val="center"/>
            <w:hideMark/>
          </w:tcPr>
          <w:p w14:paraId="4639715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64,002,505.68</w:t>
            </w:r>
          </w:p>
        </w:tc>
        <w:tc>
          <w:tcPr>
            <w:tcW w:w="945" w:type="dxa"/>
            <w:shd w:val="clear" w:color="auto" w:fill="auto"/>
            <w:vAlign w:val="center"/>
            <w:hideMark/>
          </w:tcPr>
          <w:p w14:paraId="24BCF19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7F8DEEE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411754E" w14:textId="77777777" w:rsidTr="00040CFB">
        <w:trPr>
          <w:trHeight w:val="20"/>
        </w:trPr>
        <w:tc>
          <w:tcPr>
            <w:tcW w:w="1985" w:type="dxa"/>
            <w:shd w:val="clear" w:color="auto" w:fill="auto"/>
            <w:vAlign w:val="center"/>
            <w:hideMark/>
          </w:tcPr>
          <w:p w14:paraId="739643D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2003</w:t>
            </w:r>
          </w:p>
        </w:tc>
        <w:tc>
          <w:tcPr>
            <w:tcW w:w="1346" w:type="dxa"/>
            <w:shd w:val="clear" w:color="auto" w:fill="auto"/>
            <w:vAlign w:val="center"/>
            <w:hideMark/>
          </w:tcPr>
          <w:p w14:paraId="66B480B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30,497,864.95</w:t>
            </w:r>
          </w:p>
        </w:tc>
        <w:tc>
          <w:tcPr>
            <w:tcW w:w="1346" w:type="dxa"/>
            <w:shd w:val="clear" w:color="auto" w:fill="auto"/>
            <w:vAlign w:val="center"/>
            <w:hideMark/>
          </w:tcPr>
          <w:p w14:paraId="35BBCE5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30,497,864.95</w:t>
            </w:r>
          </w:p>
        </w:tc>
        <w:tc>
          <w:tcPr>
            <w:tcW w:w="1426" w:type="dxa"/>
            <w:shd w:val="clear" w:color="auto" w:fill="auto"/>
            <w:vAlign w:val="center"/>
            <w:hideMark/>
          </w:tcPr>
          <w:p w14:paraId="00E8C1B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13,430,848.49</w:t>
            </w:r>
          </w:p>
        </w:tc>
        <w:tc>
          <w:tcPr>
            <w:tcW w:w="1346" w:type="dxa"/>
            <w:shd w:val="clear" w:color="auto" w:fill="auto"/>
            <w:vAlign w:val="center"/>
            <w:hideMark/>
          </w:tcPr>
          <w:p w14:paraId="7C5C73F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17,067,016.46</w:t>
            </w:r>
          </w:p>
        </w:tc>
        <w:tc>
          <w:tcPr>
            <w:tcW w:w="945" w:type="dxa"/>
            <w:shd w:val="clear" w:color="auto" w:fill="auto"/>
            <w:vAlign w:val="center"/>
            <w:hideMark/>
          </w:tcPr>
          <w:p w14:paraId="01D935C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4EFF18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757235F" w14:textId="77777777" w:rsidTr="00040CFB">
        <w:trPr>
          <w:trHeight w:val="20"/>
        </w:trPr>
        <w:tc>
          <w:tcPr>
            <w:tcW w:w="1985" w:type="dxa"/>
            <w:shd w:val="clear" w:color="auto" w:fill="auto"/>
            <w:vAlign w:val="center"/>
            <w:hideMark/>
          </w:tcPr>
          <w:p w14:paraId="739880A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3C8DBB9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56,337,335.20</w:t>
            </w:r>
          </w:p>
        </w:tc>
        <w:tc>
          <w:tcPr>
            <w:tcW w:w="1346" w:type="dxa"/>
            <w:shd w:val="clear" w:color="auto" w:fill="auto"/>
            <w:vAlign w:val="center"/>
            <w:hideMark/>
          </w:tcPr>
          <w:p w14:paraId="2461D5F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56,337,335.20</w:t>
            </w:r>
          </w:p>
        </w:tc>
        <w:tc>
          <w:tcPr>
            <w:tcW w:w="1426" w:type="dxa"/>
            <w:shd w:val="clear" w:color="auto" w:fill="auto"/>
            <w:vAlign w:val="center"/>
            <w:hideMark/>
          </w:tcPr>
          <w:p w14:paraId="5859225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30,640,801.24</w:t>
            </w:r>
          </w:p>
        </w:tc>
        <w:tc>
          <w:tcPr>
            <w:tcW w:w="1346" w:type="dxa"/>
            <w:shd w:val="clear" w:color="auto" w:fill="auto"/>
            <w:vAlign w:val="center"/>
            <w:hideMark/>
          </w:tcPr>
          <w:p w14:paraId="6E88433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25,696,533.96</w:t>
            </w:r>
          </w:p>
        </w:tc>
        <w:tc>
          <w:tcPr>
            <w:tcW w:w="945" w:type="dxa"/>
            <w:shd w:val="clear" w:color="auto" w:fill="auto"/>
            <w:vAlign w:val="center"/>
            <w:hideMark/>
          </w:tcPr>
          <w:p w14:paraId="7C888C3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D78335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68CFAE5" w14:textId="77777777" w:rsidTr="00040CFB">
        <w:trPr>
          <w:trHeight w:val="20"/>
        </w:trPr>
        <w:tc>
          <w:tcPr>
            <w:tcW w:w="1985" w:type="dxa"/>
            <w:shd w:val="clear" w:color="auto" w:fill="auto"/>
            <w:vAlign w:val="center"/>
            <w:hideMark/>
          </w:tcPr>
          <w:p w14:paraId="4927248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Achitări </w:t>
            </w:r>
          </w:p>
        </w:tc>
        <w:tc>
          <w:tcPr>
            <w:tcW w:w="1346" w:type="dxa"/>
            <w:shd w:val="clear" w:color="auto" w:fill="auto"/>
            <w:vAlign w:val="center"/>
            <w:hideMark/>
          </w:tcPr>
          <w:p w14:paraId="7DB1944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86,835,200.15</w:t>
            </w:r>
          </w:p>
        </w:tc>
        <w:tc>
          <w:tcPr>
            <w:tcW w:w="1346" w:type="dxa"/>
            <w:shd w:val="clear" w:color="auto" w:fill="auto"/>
            <w:vAlign w:val="center"/>
            <w:hideMark/>
          </w:tcPr>
          <w:p w14:paraId="20915E7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86,835,200.15</w:t>
            </w:r>
          </w:p>
        </w:tc>
        <w:tc>
          <w:tcPr>
            <w:tcW w:w="1426" w:type="dxa"/>
            <w:shd w:val="clear" w:color="auto" w:fill="auto"/>
            <w:vAlign w:val="center"/>
            <w:hideMark/>
          </w:tcPr>
          <w:p w14:paraId="03E13DB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44,071,649.73</w:t>
            </w:r>
          </w:p>
        </w:tc>
        <w:tc>
          <w:tcPr>
            <w:tcW w:w="1346" w:type="dxa"/>
            <w:shd w:val="clear" w:color="auto" w:fill="auto"/>
            <w:vAlign w:val="center"/>
            <w:hideMark/>
          </w:tcPr>
          <w:p w14:paraId="73096A7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42,763,550.42</w:t>
            </w:r>
          </w:p>
        </w:tc>
        <w:tc>
          <w:tcPr>
            <w:tcW w:w="945" w:type="dxa"/>
            <w:shd w:val="clear" w:color="auto" w:fill="auto"/>
            <w:vAlign w:val="center"/>
            <w:hideMark/>
          </w:tcPr>
          <w:p w14:paraId="4B4596D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7B99B7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7B84306" w14:textId="77777777" w:rsidTr="00040CFB">
        <w:trPr>
          <w:trHeight w:val="20"/>
        </w:trPr>
        <w:tc>
          <w:tcPr>
            <w:tcW w:w="1985" w:type="dxa"/>
            <w:shd w:val="clear" w:color="auto" w:fill="auto"/>
            <w:vAlign w:val="center"/>
            <w:hideMark/>
          </w:tcPr>
          <w:p w14:paraId="67E98F3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01.01.2004:</w:t>
            </w:r>
          </w:p>
        </w:tc>
        <w:tc>
          <w:tcPr>
            <w:tcW w:w="1346" w:type="dxa"/>
            <w:shd w:val="clear" w:color="auto" w:fill="auto"/>
            <w:vAlign w:val="center"/>
            <w:hideMark/>
          </w:tcPr>
          <w:p w14:paraId="0627949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615,723,043.78</w:t>
            </w:r>
          </w:p>
        </w:tc>
        <w:tc>
          <w:tcPr>
            <w:tcW w:w="1346" w:type="dxa"/>
            <w:shd w:val="clear" w:color="auto" w:fill="auto"/>
            <w:vAlign w:val="center"/>
            <w:hideMark/>
          </w:tcPr>
          <w:p w14:paraId="377BF80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615,723,043.78</w:t>
            </w:r>
          </w:p>
        </w:tc>
        <w:tc>
          <w:tcPr>
            <w:tcW w:w="1426" w:type="dxa"/>
            <w:shd w:val="clear" w:color="auto" w:fill="auto"/>
            <w:vAlign w:val="center"/>
            <w:hideMark/>
          </w:tcPr>
          <w:p w14:paraId="29E75E4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120,117,167.35</w:t>
            </w:r>
          </w:p>
        </w:tc>
        <w:tc>
          <w:tcPr>
            <w:tcW w:w="1346" w:type="dxa"/>
            <w:shd w:val="clear" w:color="auto" w:fill="auto"/>
            <w:vAlign w:val="center"/>
            <w:hideMark/>
          </w:tcPr>
          <w:p w14:paraId="2C1921B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495,605,876.43</w:t>
            </w:r>
          </w:p>
        </w:tc>
        <w:tc>
          <w:tcPr>
            <w:tcW w:w="945" w:type="dxa"/>
            <w:shd w:val="clear" w:color="auto" w:fill="auto"/>
            <w:vAlign w:val="center"/>
            <w:hideMark/>
          </w:tcPr>
          <w:p w14:paraId="5B3015D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EC3C7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E2A99BB" w14:textId="77777777" w:rsidTr="00040CFB">
        <w:trPr>
          <w:trHeight w:val="20"/>
        </w:trPr>
        <w:tc>
          <w:tcPr>
            <w:tcW w:w="1985" w:type="dxa"/>
            <w:shd w:val="clear" w:color="000000" w:fill="FFC000"/>
            <w:vAlign w:val="center"/>
            <w:hideMark/>
          </w:tcPr>
          <w:p w14:paraId="1ABC4586"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2004</w:t>
            </w:r>
          </w:p>
        </w:tc>
        <w:tc>
          <w:tcPr>
            <w:tcW w:w="1346" w:type="dxa"/>
            <w:shd w:val="clear" w:color="auto" w:fill="auto"/>
            <w:vAlign w:val="center"/>
            <w:hideMark/>
          </w:tcPr>
          <w:p w14:paraId="43C3E70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D826D4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FA71B0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8C5AEE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2D3539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03BB8B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2927CB6" w14:textId="77777777" w:rsidTr="00040CFB">
        <w:trPr>
          <w:trHeight w:val="20"/>
        </w:trPr>
        <w:tc>
          <w:tcPr>
            <w:tcW w:w="1985" w:type="dxa"/>
            <w:shd w:val="clear" w:color="auto" w:fill="auto"/>
            <w:vAlign w:val="center"/>
            <w:hideMark/>
          </w:tcPr>
          <w:p w14:paraId="40EC68D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01.01.2004:</w:t>
            </w:r>
          </w:p>
        </w:tc>
        <w:tc>
          <w:tcPr>
            <w:tcW w:w="1346" w:type="dxa"/>
            <w:shd w:val="clear" w:color="auto" w:fill="auto"/>
            <w:vAlign w:val="center"/>
            <w:hideMark/>
          </w:tcPr>
          <w:p w14:paraId="487F5BD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8F44A5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615,723,043.78</w:t>
            </w:r>
          </w:p>
        </w:tc>
        <w:tc>
          <w:tcPr>
            <w:tcW w:w="1426" w:type="dxa"/>
            <w:shd w:val="clear" w:color="auto" w:fill="auto"/>
            <w:vAlign w:val="center"/>
            <w:hideMark/>
          </w:tcPr>
          <w:p w14:paraId="2ED4944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120,117,167.35</w:t>
            </w:r>
          </w:p>
        </w:tc>
        <w:tc>
          <w:tcPr>
            <w:tcW w:w="1346" w:type="dxa"/>
            <w:shd w:val="clear" w:color="auto" w:fill="auto"/>
            <w:vAlign w:val="center"/>
            <w:hideMark/>
          </w:tcPr>
          <w:p w14:paraId="2C49CCE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495,605,876.43</w:t>
            </w:r>
          </w:p>
        </w:tc>
        <w:tc>
          <w:tcPr>
            <w:tcW w:w="945" w:type="dxa"/>
            <w:shd w:val="clear" w:color="auto" w:fill="auto"/>
            <w:vAlign w:val="center"/>
            <w:hideMark/>
          </w:tcPr>
          <w:p w14:paraId="2647651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BFEA1D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6B50673" w14:textId="77777777" w:rsidTr="00040CFB">
        <w:trPr>
          <w:trHeight w:val="20"/>
        </w:trPr>
        <w:tc>
          <w:tcPr>
            <w:tcW w:w="1985" w:type="dxa"/>
            <w:shd w:val="clear" w:color="auto" w:fill="auto"/>
            <w:vAlign w:val="center"/>
            <w:hideMark/>
          </w:tcPr>
          <w:p w14:paraId="26148B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7D27703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D0845B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144,396,358.23</w:t>
            </w:r>
          </w:p>
        </w:tc>
        <w:tc>
          <w:tcPr>
            <w:tcW w:w="1426" w:type="dxa"/>
            <w:shd w:val="clear" w:color="auto" w:fill="auto"/>
            <w:vAlign w:val="center"/>
            <w:hideMark/>
          </w:tcPr>
          <w:p w14:paraId="7168758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55,093,164.56</w:t>
            </w:r>
          </w:p>
        </w:tc>
        <w:tc>
          <w:tcPr>
            <w:tcW w:w="1346" w:type="dxa"/>
            <w:shd w:val="clear" w:color="auto" w:fill="auto"/>
            <w:vAlign w:val="center"/>
            <w:hideMark/>
          </w:tcPr>
          <w:p w14:paraId="4F72488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89,303,193.67</w:t>
            </w:r>
          </w:p>
        </w:tc>
        <w:tc>
          <w:tcPr>
            <w:tcW w:w="945" w:type="dxa"/>
            <w:shd w:val="clear" w:color="auto" w:fill="auto"/>
            <w:vAlign w:val="center"/>
            <w:hideMark/>
          </w:tcPr>
          <w:p w14:paraId="6E549C8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F06108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C7A85E7" w14:textId="77777777" w:rsidTr="00040CFB">
        <w:trPr>
          <w:trHeight w:val="20"/>
        </w:trPr>
        <w:tc>
          <w:tcPr>
            <w:tcW w:w="1985" w:type="dxa"/>
            <w:shd w:val="clear" w:color="auto" w:fill="auto"/>
            <w:vAlign w:val="center"/>
            <w:hideMark/>
          </w:tcPr>
          <w:p w14:paraId="30AE6B5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2004</w:t>
            </w:r>
          </w:p>
        </w:tc>
        <w:tc>
          <w:tcPr>
            <w:tcW w:w="1346" w:type="dxa"/>
            <w:shd w:val="clear" w:color="auto" w:fill="auto"/>
            <w:vAlign w:val="center"/>
            <w:hideMark/>
          </w:tcPr>
          <w:p w14:paraId="2E589ED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8D2FE8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31,535,566.00</w:t>
            </w:r>
          </w:p>
        </w:tc>
        <w:tc>
          <w:tcPr>
            <w:tcW w:w="1426" w:type="dxa"/>
            <w:shd w:val="clear" w:color="auto" w:fill="auto"/>
            <w:vAlign w:val="center"/>
            <w:hideMark/>
          </w:tcPr>
          <w:p w14:paraId="717AE85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14,765,604.00</w:t>
            </w:r>
          </w:p>
        </w:tc>
        <w:tc>
          <w:tcPr>
            <w:tcW w:w="1346" w:type="dxa"/>
            <w:shd w:val="clear" w:color="auto" w:fill="auto"/>
            <w:vAlign w:val="center"/>
            <w:hideMark/>
          </w:tcPr>
          <w:p w14:paraId="132F478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16,769,962.00</w:t>
            </w:r>
          </w:p>
        </w:tc>
        <w:tc>
          <w:tcPr>
            <w:tcW w:w="945" w:type="dxa"/>
            <w:shd w:val="clear" w:color="auto" w:fill="auto"/>
            <w:vAlign w:val="center"/>
            <w:hideMark/>
          </w:tcPr>
          <w:p w14:paraId="17D74F9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A146BD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57E8BF6" w14:textId="77777777" w:rsidTr="00040CFB">
        <w:trPr>
          <w:trHeight w:val="20"/>
        </w:trPr>
        <w:tc>
          <w:tcPr>
            <w:tcW w:w="1985" w:type="dxa"/>
            <w:shd w:val="clear" w:color="auto" w:fill="auto"/>
            <w:vAlign w:val="center"/>
            <w:hideMark/>
          </w:tcPr>
          <w:p w14:paraId="31D1B38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Tranzit</w:t>
            </w:r>
          </w:p>
        </w:tc>
        <w:tc>
          <w:tcPr>
            <w:tcW w:w="1346" w:type="dxa"/>
            <w:shd w:val="clear" w:color="auto" w:fill="auto"/>
            <w:vAlign w:val="center"/>
            <w:hideMark/>
          </w:tcPr>
          <w:p w14:paraId="54E0D36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01BDBD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66,021,876.84</w:t>
            </w:r>
          </w:p>
        </w:tc>
        <w:tc>
          <w:tcPr>
            <w:tcW w:w="1426" w:type="dxa"/>
            <w:shd w:val="clear" w:color="auto" w:fill="auto"/>
            <w:vAlign w:val="center"/>
            <w:hideMark/>
          </w:tcPr>
          <w:p w14:paraId="57CD4F0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39,849,309.60</w:t>
            </w:r>
          </w:p>
        </w:tc>
        <w:tc>
          <w:tcPr>
            <w:tcW w:w="1346" w:type="dxa"/>
            <w:shd w:val="clear" w:color="auto" w:fill="auto"/>
            <w:vAlign w:val="center"/>
            <w:hideMark/>
          </w:tcPr>
          <w:p w14:paraId="7A5E62F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26,172,567.24</w:t>
            </w:r>
          </w:p>
        </w:tc>
        <w:tc>
          <w:tcPr>
            <w:tcW w:w="945" w:type="dxa"/>
            <w:shd w:val="clear" w:color="auto" w:fill="auto"/>
            <w:vAlign w:val="center"/>
            <w:hideMark/>
          </w:tcPr>
          <w:p w14:paraId="12067A6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D9202B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FF4BE8D" w14:textId="77777777" w:rsidTr="00040CFB">
        <w:trPr>
          <w:trHeight w:val="20"/>
        </w:trPr>
        <w:tc>
          <w:tcPr>
            <w:tcW w:w="1985" w:type="dxa"/>
            <w:shd w:val="clear" w:color="auto" w:fill="auto"/>
            <w:vAlign w:val="center"/>
            <w:hideMark/>
          </w:tcPr>
          <w:p w14:paraId="47CDF7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Achitări </w:t>
            </w:r>
          </w:p>
        </w:tc>
        <w:tc>
          <w:tcPr>
            <w:tcW w:w="1346" w:type="dxa"/>
            <w:shd w:val="clear" w:color="auto" w:fill="auto"/>
            <w:vAlign w:val="center"/>
            <w:hideMark/>
          </w:tcPr>
          <w:p w14:paraId="438BC2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3AA0B9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97,557,442.84</w:t>
            </w:r>
          </w:p>
        </w:tc>
        <w:tc>
          <w:tcPr>
            <w:tcW w:w="1426" w:type="dxa"/>
            <w:shd w:val="clear" w:color="auto" w:fill="auto"/>
            <w:vAlign w:val="center"/>
            <w:hideMark/>
          </w:tcPr>
          <w:p w14:paraId="0D8B973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54,614,913.60</w:t>
            </w:r>
          </w:p>
        </w:tc>
        <w:tc>
          <w:tcPr>
            <w:tcW w:w="1346" w:type="dxa"/>
            <w:shd w:val="clear" w:color="auto" w:fill="auto"/>
            <w:vAlign w:val="center"/>
            <w:hideMark/>
          </w:tcPr>
          <w:p w14:paraId="3F35006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42,942,529.24</w:t>
            </w:r>
          </w:p>
        </w:tc>
        <w:tc>
          <w:tcPr>
            <w:tcW w:w="945" w:type="dxa"/>
            <w:shd w:val="clear" w:color="auto" w:fill="auto"/>
            <w:vAlign w:val="center"/>
            <w:hideMark/>
          </w:tcPr>
          <w:p w14:paraId="6F5C7C8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A231BF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52963F5" w14:textId="77777777" w:rsidTr="00040CFB">
        <w:trPr>
          <w:trHeight w:val="20"/>
        </w:trPr>
        <w:tc>
          <w:tcPr>
            <w:tcW w:w="1985" w:type="dxa"/>
            <w:shd w:val="clear" w:color="auto" w:fill="auto"/>
            <w:vAlign w:val="center"/>
            <w:hideMark/>
          </w:tcPr>
          <w:p w14:paraId="2D491B4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01.01.2005:</w:t>
            </w:r>
          </w:p>
        </w:tc>
        <w:tc>
          <w:tcPr>
            <w:tcW w:w="1346" w:type="dxa"/>
            <w:shd w:val="clear" w:color="auto" w:fill="auto"/>
            <w:vAlign w:val="center"/>
            <w:hideMark/>
          </w:tcPr>
          <w:p w14:paraId="68A7DB1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A8DD87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662,561,959.17</w:t>
            </w:r>
          </w:p>
        </w:tc>
        <w:tc>
          <w:tcPr>
            <w:tcW w:w="1426" w:type="dxa"/>
            <w:shd w:val="clear" w:color="auto" w:fill="auto"/>
            <w:vAlign w:val="center"/>
            <w:hideMark/>
          </w:tcPr>
          <w:p w14:paraId="7EB5A9B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120,595,418.31</w:t>
            </w:r>
          </w:p>
        </w:tc>
        <w:tc>
          <w:tcPr>
            <w:tcW w:w="1346" w:type="dxa"/>
            <w:shd w:val="clear" w:color="auto" w:fill="auto"/>
            <w:vAlign w:val="center"/>
            <w:hideMark/>
          </w:tcPr>
          <w:p w14:paraId="1A3CA79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541,966,540.86</w:t>
            </w:r>
          </w:p>
        </w:tc>
        <w:tc>
          <w:tcPr>
            <w:tcW w:w="945" w:type="dxa"/>
            <w:shd w:val="clear" w:color="auto" w:fill="auto"/>
            <w:vAlign w:val="center"/>
            <w:hideMark/>
          </w:tcPr>
          <w:p w14:paraId="23F5810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C62CB9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AFA6CE0" w14:textId="77777777" w:rsidTr="00040CFB">
        <w:trPr>
          <w:trHeight w:val="20"/>
        </w:trPr>
        <w:tc>
          <w:tcPr>
            <w:tcW w:w="1985" w:type="dxa"/>
            <w:shd w:val="clear" w:color="000000" w:fill="FFC000"/>
            <w:vAlign w:val="center"/>
            <w:hideMark/>
          </w:tcPr>
          <w:p w14:paraId="5BBA8DF7"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30.09.2005</w:t>
            </w:r>
          </w:p>
        </w:tc>
        <w:tc>
          <w:tcPr>
            <w:tcW w:w="1346" w:type="dxa"/>
            <w:shd w:val="clear" w:color="auto" w:fill="auto"/>
            <w:vAlign w:val="center"/>
            <w:hideMark/>
          </w:tcPr>
          <w:p w14:paraId="1EE51E8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6D0630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372E7E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A37F1F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F49A70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798C64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3EB6CAF" w14:textId="77777777" w:rsidTr="00040CFB">
        <w:trPr>
          <w:trHeight w:val="20"/>
        </w:trPr>
        <w:tc>
          <w:tcPr>
            <w:tcW w:w="1985" w:type="dxa"/>
            <w:shd w:val="clear" w:color="auto" w:fill="auto"/>
            <w:vAlign w:val="center"/>
            <w:hideMark/>
          </w:tcPr>
          <w:p w14:paraId="44624CD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01.01.2005:</w:t>
            </w:r>
          </w:p>
        </w:tc>
        <w:tc>
          <w:tcPr>
            <w:tcW w:w="1346" w:type="dxa"/>
            <w:shd w:val="clear" w:color="auto" w:fill="auto"/>
            <w:vAlign w:val="center"/>
            <w:hideMark/>
          </w:tcPr>
          <w:p w14:paraId="0A29B45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662,561,959.17</w:t>
            </w:r>
          </w:p>
        </w:tc>
        <w:tc>
          <w:tcPr>
            <w:tcW w:w="1346" w:type="dxa"/>
            <w:shd w:val="clear" w:color="auto" w:fill="auto"/>
            <w:vAlign w:val="center"/>
            <w:hideMark/>
          </w:tcPr>
          <w:p w14:paraId="7CF8FD5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662,561,959.17</w:t>
            </w:r>
          </w:p>
        </w:tc>
        <w:tc>
          <w:tcPr>
            <w:tcW w:w="1426" w:type="dxa"/>
            <w:shd w:val="clear" w:color="auto" w:fill="auto"/>
            <w:vAlign w:val="center"/>
            <w:hideMark/>
          </w:tcPr>
          <w:p w14:paraId="771CF81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D661E1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19C1CF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D0FD85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B8BCF93" w14:textId="77777777" w:rsidTr="00040CFB">
        <w:trPr>
          <w:trHeight w:val="20"/>
        </w:trPr>
        <w:tc>
          <w:tcPr>
            <w:tcW w:w="1985" w:type="dxa"/>
            <w:shd w:val="clear" w:color="auto" w:fill="auto"/>
            <w:vAlign w:val="center"/>
            <w:hideMark/>
          </w:tcPr>
          <w:p w14:paraId="3373A63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76BD238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54,843,590.64</w:t>
            </w:r>
          </w:p>
        </w:tc>
        <w:tc>
          <w:tcPr>
            <w:tcW w:w="1346" w:type="dxa"/>
            <w:shd w:val="clear" w:color="auto" w:fill="auto"/>
            <w:vAlign w:val="center"/>
            <w:hideMark/>
          </w:tcPr>
          <w:p w14:paraId="5109338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54,843,590.64</w:t>
            </w:r>
          </w:p>
        </w:tc>
        <w:tc>
          <w:tcPr>
            <w:tcW w:w="1426" w:type="dxa"/>
            <w:shd w:val="clear" w:color="auto" w:fill="auto"/>
            <w:vAlign w:val="center"/>
            <w:hideMark/>
          </w:tcPr>
          <w:p w14:paraId="6909DC1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A4C49D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BB9E33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54ECFE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D89B126" w14:textId="77777777" w:rsidTr="00040CFB">
        <w:trPr>
          <w:trHeight w:val="20"/>
        </w:trPr>
        <w:tc>
          <w:tcPr>
            <w:tcW w:w="1985" w:type="dxa"/>
            <w:shd w:val="clear" w:color="auto" w:fill="auto"/>
            <w:vAlign w:val="center"/>
            <w:hideMark/>
          </w:tcPr>
          <w:p w14:paraId="516C560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442E398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39,473,354.51</w:t>
            </w:r>
          </w:p>
        </w:tc>
        <w:tc>
          <w:tcPr>
            <w:tcW w:w="1346" w:type="dxa"/>
            <w:shd w:val="clear" w:color="auto" w:fill="auto"/>
            <w:vAlign w:val="center"/>
            <w:hideMark/>
          </w:tcPr>
          <w:p w14:paraId="3C6256E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39,473,354.51</w:t>
            </w:r>
          </w:p>
        </w:tc>
        <w:tc>
          <w:tcPr>
            <w:tcW w:w="1426" w:type="dxa"/>
            <w:shd w:val="clear" w:color="auto" w:fill="auto"/>
            <w:vAlign w:val="center"/>
            <w:hideMark/>
          </w:tcPr>
          <w:p w14:paraId="23AC816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BEC5F8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61A5A9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C135AA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E63EF55" w14:textId="77777777" w:rsidTr="00040CFB">
        <w:trPr>
          <w:trHeight w:val="20"/>
        </w:trPr>
        <w:tc>
          <w:tcPr>
            <w:tcW w:w="1985" w:type="dxa"/>
            <w:shd w:val="clear" w:color="auto" w:fill="auto"/>
            <w:vAlign w:val="center"/>
            <w:hideMark/>
          </w:tcPr>
          <w:p w14:paraId="6F7FBC4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Achitări </w:t>
            </w:r>
          </w:p>
        </w:tc>
        <w:tc>
          <w:tcPr>
            <w:tcW w:w="1346" w:type="dxa"/>
            <w:shd w:val="clear" w:color="auto" w:fill="auto"/>
            <w:vAlign w:val="center"/>
            <w:hideMark/>
          </w:tcPr>
          <w:p w14:paraId="1267AAF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39,473,354.51</w:t>
            </w:r>
          </w:p>
        </w:tc>
        <w:tc>
          <w:tcPr>
            <w:tcW w:w="1346" w:type="dxa"/>
            <w:shd w:val="clear" w:color="auto" w:fill="auto"/>
            <w:vAlign w:val="center"/>
            <w:hideMark/>
          </w:tcPr>
          <w:p w14:paraId="2E15B8C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39,473,354.51</w:t>
            </w:r>
          </w:p>
        </w:tc>
        <w:tc>
          <w:tcPr>
            <w:tcW w:w="1426" w:type="dxa"/>
            <w:shd w:val="clear" w:color="auto" w:fill="auto"/>
            <w:vAlign w:val="center"/>
            <w:hideMark/>
          </w:tcPr>
          <w:p w14:paraId="125F040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22AA14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87978E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7212A6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9825A92" w14:textId="77777777" w:rsidTr="00040CFB">
        <w:trPr>
          <w:trHeight w:val="20"/>
        </w:trPr>
        <w:tc>
          <w:tcPr>
            <w:tcW w:w="1985" w:type="dxa"/>
            <w:shd w:val="clear" w:color="auto" w:fill="auto"/>
            <w:vAlign w:val="center"/>
            <w:hideMark/>
          </w:tcPr>
          <w:p w14:paraId="3370D73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30.09.2005:</w:t>
            </w:r>
          </w:p>
        </w:tc>
        <w:tc>
          <w:tcPr>
            <w:tcW w:w="1346" w:type="dxa"/>
            <w:shd w:val="clear" w:color="auto" w:fill="auto"/>
            <w:vAlign w:val="center"/>
            <w:hideMark/>
          </w:tcPr>
          <w:p w14:paraId="0AFD8DF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673,487,195.30</w:t>
            </w:r>
          </w:p>
        </w:tc>
        <w:tc>
          <w:tcPr>
            <w:tcW w:w="1346" w:type="dxa"/>
            <w:shd w:val="clear" w:color="auto" w:fill="auto"/>
            <w:vAlign w:val="center"/>
            <w:hideMark/>
          </w:tcPr>
          <w:p w14:paraId="3C3AD6B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673,487,195.30</w:t>
            </w:r>
          </w:p>
        </w:tc>
        <w:tc>
          <w:tcPr>
            <w:tcW w:w="1426" w:type="dxa"/>
            <w:shd w:val="clear" w:color="auto" w:fill="auto"/>
            <w:vAlign w:val="center"/>
            <w:hideMark/>
          </w:tcPr>
          <w:p w14:paraId="384B78C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266404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7BC4AD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D9007A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7C23FDD" w14:textId="77777777" w:rsidTr="00040CFB">
        <w:trPr>
          <w:trHeight w:val="20"/>
        </w:trPr>
        <w:tc>
          <w:tcPr>
            <w:tcW w:w="1985" w:type="dxa"/>
            <w:shd w:val="clear" w:color="000000" w:fill="FFC000"/>
            <w:vAlign w:val="center"/>
            <w:hideMark/>
          </w:tcPr>
          <w:p w14:paraId="4C6E74A7" w14:textId="77777777" w:rsidR="00537CE8" w:rsidRPr="009772A3" w:rsidRDefault="00537CE8" w:rsidP="00537CE8">
            <w:pPr>
              <w:spacing w:after="0" w:line="240" w:lineRule="auto"/>
              <w:jc w:val="center"/>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2008</w:t>
            </w:r>
          </w:p>
        </w:tc>
        <w:tc>
          <w:tcPr>
            <w:tcW w:w="1346" w:type="dxa"/>
            <w:shd w:val="clear" w:color="auto" w:fill="auto"/>
            <w:vAlign w:val="center"/>
            <w:hideMark/>
          </w:tcPr>
          <w:p w14:paraId="447E176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454204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1A684D6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E6DD53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69A4BD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85B75C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3563D22" w14:textId="77777777" w:rsidTr="00040CFB">
        <w:trPr>
          <w:trHeight w:val="20"/>
        </w:trPr>
        <w:tc>
          <w:tcPr>
            <w:tcW w:w="1985" w:type="dxa"/>
            <w:shd w:val="clear" w:color="auto" w:fill="auto"/>
            <w:vAlign w:val="center"/>
            <w:hideMark/>
          </w:tcPr>
          <w:p w14:paraId="1FBD7F3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31.12.2007</w:t>
            </w:r>
          </w:p>
        </w:tc>
        <w:tc>
          <w:tcPr>
            <w:tcW w:w="1346" w:type="dxa"/>
            <w:shd w:val="clear" w:color="auto" w:fill="auto"/>
            <w:vAlign w:val="center"/>
            <w:hideMark/>
          </w:tcPr>
          <w:p w14:paraId="43C6FFF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408,502,297.26</w:t>
            </w:r>
          </w:p>
        </w:tc>
        <w:tc>
          <w:tcPr>
            <w:tcW w:w="1346" w:type="dxa"/>
            <w:shd w:val="clear" w:color="auto" w:fill="auto"/>
            <w:vAlign w:val="center"/>
            <w:hideMark/>
          </w:tcPr>
          <w:p w14:paraId="445627B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408,502,297.26</w:t>
            </w:r>
          </w:p>
        </w:tc>
        <w:tc>
          <w:tcPr>
            <w:tcW w:w="1426" w:type="dxa"/>
            <w:shd w:val="clear" w:color="auto" w:fill="auto"/>
            <w:vAlign w:val="center"/>
            <w:hideMark/>
          </w:tcPr>
          <w:p w14:paraId="383E0C1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F62B72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491A3DF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EC8404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80C4972" w14:textId="77777777" w:rsidTr="00040CFB">
        <w:trPr>
          <w:trHeight w:val="20"/>
        </w:trPr>
        <w:tc>
          <w:tcPr>
            <w:tcW w:w="1985" w:type="dxa"/>
            <w:shd w:val="clear" w:color="auto" w:fill="auto"/>
            <w:vAlign w:val="center"/>
            <w:hideMark/>
          </w:tcPr>
          <w:p w14:paraId="1316A89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674E340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636,795,297.74</w:t>
            </w:r>
          </w:p>
        </w:tc>
        <w:tc>
          <w:tcPr>
            <w:tcW w:w="1346" w:type="dxa"/>
            <w:shd w:val="clear" w:color="auto" w:fill="auto"/>
            <w:vAlign w:val="center"/>
            <w:hideMark/>
          </w:tcPr>
          <w:p w14:paraId="3E2E802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636,795,297.74</w:t>
            </w:r>
          </w:p>
        </w:tc>
        <w:tc>
          <w:tcPr>
            <w:tcW w:w="1426" w:type="dxa"/>
            <w:shd w:val="clear" w:color="auto" w:fill="auto"/>
            <w:vAlign w:val="center"/>
            <w:hideMark/>
          </w:tcPr>
          <w:p w14:paraId="18F6437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A85E42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D8F469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C93400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F1F423B" w14:textId="77777777" w:rsidTr="00040CFB">
        <w:trPr>
          <w:trHeight w:val="20"/>
        </w:trPr>
        <w:tc>
          <w:tcPr>
            <w:tcW w:w="1985" w:type="dxa"/>
            <w:shd w:val="clear" w:color="auto" w:fill="auto"/>
            <w:vAlign w:val="center"/>
            <w:hideMark/>
          </w:tcPr>
          <w:p w14:paraId="358C9EC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w:t>
            </w:r>
          </w:p>
        </w:tc>
        <w:tc>
          <w:tcPr>
            <w:tcW w:w="1346" w:type="dxa"/>
            <w:shd w:val="clear" w:color="auto" w:fill="auto"/>
            <w:vAlign w:val="center"/>
            <w:hideMark/>
          </w:tcPr>
          <w:p w14:paraId="6EB4EA2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291,199,523.38</w:t>
            </w:r>
          </w:p>
        </w:tc>
        <w:tc>
          <w:tcPr>
            <w:tcW w:w="1346" w:type="dxa"/>
            <w:shd w:val="clear" w:color="auto" w:fill="auto"/>
            <w:vAlign w:val="center"/>
            <w:hideMark/>
          </w:tcPr>
          <w:p w14:paraId="2D879F2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291,199,523.38</w:t>
            </w:r>
          </w:p>
        </w:tc>
        <w:tc>
          <w:tcPr>
            <w:tcW w:w="1426" w:type="dxa"/>
            <w:shd w:val="clear" w:color="auto" w:fill="auto"/>
            <w:vAlign w:val="center"/>
            <w:hideMark/>
          </w:tcPr>
          <w:p w14:paraId="46F2666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C503EB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D82A12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76D81F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64A1A32" w14:textId="77777777" w:rsidTr="00040CFB">
        <w:trPr>
          <w:trHeight w:val="20"/>
        </w:trPr>
        <w:tc>
          <w:tcPr>
            <w:tcW w:w="1985" w:type="dxa"/>
            <w:shd w:val="clear" w:color="auto" w:fill="auto"/>
            <w:vAlign w:val="center"/>
            <w:hideMark/>
          </w:tcPr>
          <w:p w14:paraId="41AD871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Achitări reciproce</w:t>
            </w:r>
          </w:p>
        </w:tc>
        <w:tc>
          <w:tcPr>
            <w:tcW w:w="1346" w:type="dxa"/>
            <w:shd w:val="clear" w:color="auto" w:fill="auto"/>
            <w:vAlign w:val="center"/>
            <w:hideMark/>
          </w:tcPr>
          <w:p w14:paraId="3924CAC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27,582,753.06</w:t>
            </w:r>
          </w:p>
        </w:tc>
        <w:tc>
          <w:tcPr>
            <w:tcW w:w="1346" w:type="dxa"/>
            <w:shd w:val="clear" w:color="auto" w:fill="auto"/>
            <w:vAlign w:val="center"/>
            <w:hideMark/>
          </w:tcPr>
          <w:p w14:paraId="5385434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27,582,753.06</w:t>
            </w:r>
          </w:p>
        </w:tc>
        <w:tc>
          <w:tcPr>
            <w:tcW w:w="1426" w:type="dxa"/>
            <w:shd w:val="clear" w:color="auto" w:fill="auto"/>
            <w:vAlign w:val="center"/>
            <w:hideMark/>
          </w:tcPr>
          <w:p w14:paraId="3A732A6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F2F687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8C6B6E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A62AB1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79DEE2B" w14:textId="77777777" w:rsidTr="00040CFB">
        <w:trPr>
          <w:trHeight w:val="20"/>
        </w:trPr>
        <w:tc>
          <w:tcPr>
            <w:tcW w:w="1985" w:type="dxa"/>
            <w:shd w:val="clear" w:color="auto" w:fill="auto"/>
            <w:vAlign w:val="center"/>
            <w:hideMark/>
          </w:tcPr>
          <w:p w14:paraId="445F7D5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31.12.2008:</w:t>
            </w:r>
          </w:p>
        </w:tc>
        <w:tc>
          <w:tcPr>
            <w:tcW w:w="1346" w:type="dxa"/>
            <w:shd w:val="clear" w:color="auto" w:fill="auto"/>
            <w:vAlign w:val="center"/>
            <w:hideMark/>
          </w:tcPr>
          <w:p w14:paraId="1E57B86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726,515,318.56</w:t>
            </w:r>
          </w:p>
        </w:tc>
        <w:tc>
          <w:tcPr>
            <w:tcW w:w="1346" w:type="dxa"/>
            <w:shd w:val="clear" w:color="auto" w:fill="auto"/>
            <w:vAlign w:val="center"/>
            <w:hideMark/>
          </w:tcPr>
          <w:p w14:paraId="264982A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726,515,318.56</w:t>
            </w:r>
          </w:p>
        </w:tc>
        <w:tc>
          <w:tcPr>
            <w:tcW w:w="1426" w:type="dxa"/>
            <w:shd w:val="clear" w:color="auto" w:fill="auto"/>
            <w:vAlign w:val="center"/>
            <w:hideMark/>
          </w:tcPr>
          <w:p w14:paraId="6D25646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E8AB92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3AEE34A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F66036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099E5169" w14:textId="77777777" w:rsidTr="00040CFB">
        <w:trPr>
          <w:trHeight w:val="20"/>
        </w:trPr>
        <w:tc>
          <w:tcPr>
            <w:tcW w:w="1985" w:type="dxa"/>
            <w:shd w:val="clear" w:color="000000" w:fill="FFC000"/>
            <w:vAlign w:val="center"/>
            <w:hideMark/>
          </w:tcPr>
          <w:p w14:paraId="58A7479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31.12.2014</w:t>
            </w:r>
          </w:p>
        </w:tc>
        <w:tc>
          <w:tcPr>
            <w:tcW w:w="1346" w:type="dxa"/>
            <w:shd w:val="clear" w:color="auto" w:fill="auto"/>
            <w:vAlign w:val="center"/>
            <w:hideMark/>
          </w:tcPr>
          <w:p w14:paraId="24730CE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CC3D77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02D8AE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5E36B33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7386CD2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57A230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41D7377" w14:textId="77777777" w:rsidTr="00040CFB">
        <w:trPr>
          <w:trHeight w:val="20"/>
        </w:trPr>
        <w:tc>
          <w:tcPr>
            <w:tcW w:w="1985" w:type="dxa"/>
            <w:shd w:val="clear" w:color="auto" w:fill="auto"/>
            <w:vAlign w:val="center"/>
            <w:hideMark/>
          </w:tcPr>
          <w:p w14:paraId="08C60BB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01.01.2014</w:t>
            </w:r>
          </w:p>
        </w:tc>
        <w:tc>
          <w:tcPr>
            <w:tcW w:w="1346" w:type="dxa"/>
            <w:shd w:val="clear" w:color="auto" w:fill="auto"/>
            <w:vAlign w:val="center"/>
            <w:hideMark/>
          </w:tcPr>
          <w:p w14:paraId="30BB30E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3,773,318,569.16</w:t>
            </w:r>
          </w:p>
        </w:tc>
        <w:tc>
          <w:tcPr>
            <w:tcW w:w="1346" w:type="dxa"/>
            <w:shd w:val="clear" w:color="auto" w:fill="auto"/>
            <w:vAlign w:val="center"/>
            <w:hideMark/>
          </w:tcPr>
          <w:p w14:paraId="1850298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3,773,318,569.16</w:t>
            </w:r>
          </w:p>
        </w:tc>
        <w:tc>
          <w:tcPr>
            <w:tcW w:w="1426" w:type="dxa"/>
            <w:shd w:val="clear" w:color="auto" w:fill="auto"/>
            <w:vAlign w:val="center"/>
            <w:hideMark/>
          </w:tcPr>
          <w:p w14:paraId="56569D9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327,215,253.03</w:t>
            </w:r>
          </w:p>
        </w:tc>
        <w:tc>
          <w:tcPr>
            <w:tcW w:w="1346" w:type="dxa"/>
            <w:shd w:val="clear" w:color="auto" w:fill="auto"/>
            <w:vAlign w:val="center"/>
            <w:hideMark/>
          </w:tcPr>
          <w:p w14:paraId="53E8EA3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3,446,103,316.13</w:t>
            </w:r>
          </w:p>
        </w:tc>
        <w:tc>
          <w:tcPr>
            <w:tcW w:w="945" w:type="dxa"/>
            <w:shd w:val="clear" w:color="auto" w:fill="auto"/>
            <w:vAlign w:val="center"/>
            <w:hideMark/>
          </w:tcPr>
          <w:p w14:paraId="296D646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4B2380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EA30FCD" w14:textId="77777777" w:rsidTr="00040CFB">
        <w:trPr>
          <w:trHeight w:val="20"/>
        </w:trPr>
        <w:tc>
          <w:tcPr>
            <w:tcW w:w="1985" w:type="dxa"/>
            <w:shd w:val="clear" w:color="auto" w:fill="auto"/>
            <w:vAlign w:val="center"/>
            <w:hideMark/>
          </w:tcPr>
          <w:p w14:paraId="63C620C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42E557E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1,041,726,370.89</w:t>
            </w:r>
          </w:p>
        </w:tc>
        <w:tc>
          <w:tcPr>
            <w:tcW w:w="1346" w:type="dxa"/>
            <w:shd w:val="clear" w:color="auto" w:fill="auto"/>
            <w:vAlign w:val="center"/>
            <w:hideMark/>
          </w:tcPr>
          <w:p w14:paraId="736AF7C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1,041,726,370.89</w:t>
            </w:r>
          </w:p>
        </w:tc>
        <w:tc>
          <w:tcPr>
            <w:tcW w:w="1426" w:type="dxa"/>
            <w:shd w:val="clear" w:color="auto" w:fill="auto"/>
            <w:vAlign w:val="center"/>
            <w:hideMark/>
          </w:tcPr>
          <w:p w14:paraId="69B1C2C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397,079,690.14</w:t>
            </w:r>
          </w:p>
        </w:tc>
        <w:tc>
          <w:tcPr>
            <w:tcW w:w="1346" w:type="dxa"/>
            <w:shd w:val="clear" w:color="auto" w:fill="auto"/>
            <w:vAlign w:val="center"/>
            <w:hideMark/>
          </w:tcPr>
          <w:p w14:paraId="638AFD0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644,646,680.75</w:t>
            </w:r>
          </w:p>
        </w:tc>
        <w:tc>
          <w:tcPr>
            <w:tcW w:w="945" w:type="dxa"/>
            <w:shd w:val="clear" w:color="auto" w:fill="auto"/>
            <w:vAlign w:val="center"/>
            <w:hideMark/>
          </w:tcPr>
          <w:p w14:paraId="6619C51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5ABE5F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A352E0D" w14:textId="77777777" w:rsidTr="00040CFB">
        <w:trPr>
          <w:trHeight w:val="20"/>
        </w:trPr>
        <w:tc>
          <w:tcPr>
            <w:tcW w:w="1985" w:type="dxa"/>
            <w:shd w:val="clear" w:color="auto" w:fill="auto"/>
            <w:vAlign w:val="center"/>
            <w:hideMark/>
          </w:tcPr>
          <w:p w14:paraId="1F03CA2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2014</w:t>
            </w:r>
          </w:p>
        </w:tc>
        <w:tc>
          <w:tcPr>
            <w:tcW w:w="1346" w:type="dxa"/>
            <w:shd w:val="clear" w:color="auto" w:fill="auto"/>
            <w:vAlign w:val="center"/>
            <w:hideMark/>
          </w:tcPr>
          <w:p w14:paraId="6F6F1C8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277,034,740.49</w:t>
            </w:r>
          </w:p>
        </w:tc>
        <w:tc>
          <w:tcPr>
            <w:tcW w:w="1346" w:type="dxa"/>
            <w:shd w:val="clear" w:color="auto" w:fill="auto"/>
            <w:vAlign w:val="center"/>
            <w:hideMark/>
          </w:tcPr>
          <w:p w14:paraId="14A713A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277,034,740.49</w:t>
            </w:r>
          </w:p>
        </w:tc>
        <w:tc>
          <w:tcPr>
            <w:tcW w:w="1426" w:type="dxa"/>
            <w:shd w:val="clear" w:color="auto" w:fill="auto"/>
            <w:vAlign w:val="center"/>
            <w:hideMark/>
          </w:tcPr>
          <w:p w14:paraId="68A9E3F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277,034,740.49</w:t>
            </w:r>
          </w:p>
        </w:tc>
        <w:tc>
          <w:tcPr>
            <w:tcW w:w="1346" w:type="dxa"/>
            <w:shd w:val="clear" w:color="auto" w:fill="auto"/>
            <w:vAlign w:val="center"/>
            <w:hideMark/>
          </w:tcPr>
          <w:p w14:paraId="589BE6C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6FF05A6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72C8BE3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D335CA2" w14:textId="77777777" w:rsidTr="00040CFB">
        <w:trPr>
          <w:trHeight w:val="20"/>
        </w:trPr>
        <w:tc>
          <w:tcPr>
            <w:tcW w:w="1985" w:type="dxa"/>
            <w:shd w:val="clear" w:color="auto" w:fill="auto"/>
            <w:vAlign w:val="center"/>
            <w:hideMark/>
          </w:tcPr>
          <w:p w14:paraId="47DB3E8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31.12.2014:</w:t>
            </w:r>
          </w:p>
        </w:tc>
        <w:tc>
          <w:tcPr>
            <w:tcW w:w="1346" w:type="dxa"/>
            <w:shd w:val="clear" w:color="auto" w:fill="auto"/>
            <w:vAlign w:val="center"/>
            <w:hideMark/>
          </w:tcPr>
          <w:p w14:paraId="40F9C1B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4,538,010,199.56</w:t>
            </w:r>
          </w:p>
        </w:tc>
        <w:tc>
          <w:tcPr>
            <w:tcW w:w="1346" w:type="dxa"/>
            <w:shd w:val="clear" w:color="auto" w:fill="auto"/>
            <w:vAlign w:val="center"/>
            <w:hideMark/>
          </w:tcPr>
          <w:p w14:paraId="488A588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4,538,010,199.56</w:t>
            </w:r>
          </w:p>
        </w:tc>
        <w:tc>
          <w:tcPr>
            <w:tcW w:w="1426" w:type="dxa"/>
            <w:shd w:val="clear" w:color="auto" w:fill="auto"/>
            <w:vAlign w:val="center"/>
            <w:hideMark/>
          </w:tcPr>
          <w:p w14:paraId="7E744B2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447,260,202.68</w:t>
            </w:r>
          </w:p>
        </w:tc>
        <w:tc>
          <w:tcPr>
            <w:tcW w:w="1346" w:type="dxa"/>
            <w:shd w:val="clear" w:color="auto" w:fill="auto"/>
            <w:vAlign w:val="center"/>
            <w:hideMark/>
          </w:tcPr>
          <w:p w14:paraId="4E74E66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4,090,749,996.88</w:t>
            </w:r>
          </w:p>
        </w:tc>
        <w:tc>
          <w:tcPr>
            <w:tcW w:w="945" w:type="dxa"/>
            <w:shd w:val="clear" w:color="auto" w:fill="auto"/>
            <w:vAlign w:val="center"/>
            <w:hideMark/>
          </w:tcPr>
          <w:p w14:paraId="75B7A40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11BA91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861AC2A" w14:textId="77777777" w:rsidTr="00040CFB">
        <w:trPr>
          <w:trHeight w:val="20"/>
        </w:trPr>
        <w:tc>
          <w:tcPr>
            <w:tcW w:w="1985" w:type="dxa"/>
            <w:shd w:val="clear" w:color="000000" w:fill="FFC000"/>
            <w:vAlign w:val="center"/>
            <w:hideMark/>
          </w:tcPr>
          <w:p w14:paraId="1313FCF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31.12.2015</w:t>
            </w:r>
          </w:p>
        </w:tc>
        <w:tc>
          <w:tcPr>
            <w:tcW w:w="1346" w:type="dxa"/>
            <w:shd w:val="clear" w:color="auto" w:fill="auto"/>
            <w:vAlign w:val="center"/>
            <w:hideMark/>
          </w:tcPr>
          <w:p w14:paraId="00DC919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8C9D2A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1A31C1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97AB33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33AB80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EB3877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4F80D65" w14:textId="77777777" w:rsidTr="00040CFB">
        <w:trPr>
          <w:trHeight w:val="20"/>
        </w:trPr>
        <w:tc>
          <w:tcPr>
            <w:tcW w:w="1985" w:type="dxa"/>
            <w:shd w:val="clear" w:color="auto" w:fill="auto"/>
            <w:vAlign w:val="center"/>
            <w:hideMark/>
          </w:tcPr>
          <w:p w14:paraId="0EBBBBE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01.01.2015</w:t>
            </w:r>
          </w:p>
        </w:tc>
        <w:tc>
          <w:tcPr>
            <w:tcW w:w="1346" w:type="dxa"/>
            <w:shd w:val="clear" w:color="auto" w:fill="auto"/>
            <w:vAlign w:val="center"/>
            <w:hideMark/>
          </w:tcPr>
          <w:p w14:paraId="5324936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4,538,010,199.56</w:t>
            </w:r>
          </w:p>
        </w:tc>
        <w:tc>
          <w:tcPr>
            <w:tcW w:w="1346" w:type="dxa"/>
            <w:shd w:val="clear" w:color="auto" w:fill="auto"/>
            <w:vAlign w:val="center"/>
            <w:hideMark/>
          </w:tcPr>
          <w:p w14:paraId="3D38251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4,538,010,199.56</w:t>
            </w:r>
          </w:p>
        </w:tc>
        <w:tc>
          <w:tcPr>
            <w:tcW w:w="1426" w:type="dxa"/>
            <w:shd w:val="clear" w:color="auto" w:fill="auto"/>
            <w:vAlign w:val="center"/>
            <w:hideMark/>
          </w:tcPr>
          <w:p w14:paraId="2DF2FC0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447,260,202.68</w:t>
            </w:r>
          </w:p>
        </w:tc>
        <w:tc>
          <w:tcPr>
            <w:tcW w:w="1346" w:type="dxa"/>
            <w:shd w:val="clear" w:color="auto" w:fill="auto"/>
            <w:vAlign w:val="center"/>
            <w:hideMark/>
          </w:tcPr>
          <w:p w14:paraId="5DBB863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4,090,749,996.88</w:t>
            </w:r>
          </w:p>
        </w:tc>
        <w:tc>
          <w:tcPr>
            <w:tcW w:w="945" w:type="dxa"/>
            <w:shd w:val="clear" w:color="auto" w:fill="auto"/>
            <w:vAlign w:val="center"/>
            <w:hideMark/>
          </w:tcPr>
          <w:p w14:paraId="7E19A90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97552D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193FD80" w14:textId="77777777" w:rsidTr="00040CFB">
        <w:trPr>
          <w:trHeight w:val="20"/>
        </w:trPr>
        <w:tc>
          <w:tcPr>
            <w:tcW w:w="1985" w:type="dxa"/>
            <w:shd w:val="clear" w:color="auto" w:fill="auto"/>
            <w:vAlign w:val="center"/>
            <w:hideMark/>
          </w:tcPr>
          <w:p w14:paraId="3AE8E7B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140E5D2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703,323,845.62</w:t>
            </w:r>
          </w:p>
        </w:tc>
        <w:tc>
          <w:tcPr>
            <w:tcW w:w="1346" w:type="dxa"/>
            <w:shd w:val="clear" w:color="auto" w:fill="auto"/>
            <w:vAlign w:val="center"/>
            <w:hideMark/>
          </w:tcPr>
          <w:p w14:paraId="06187CC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703,323,845.62</w:t>
            </w:r>
          </w:p>
        </w:tc>
        <w:tc>
          <w:tcPr>
            <w:tcW w:w="1426" w:type="dxa"/>
            <w:shd w:val="clear" w:color="auto" w:fill="auto"/>
            <w:vAlign w:val="center"/>
            <w:hideMark/>
          </w:tcPr>
          <w:p w14:paraId="7478CA4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257,874,252.03</w:t>
            </w:r>
          </w:p>
        </w:tc>
        <w:tc>
          <w:tcPr>
            <w:tcW w:w="1346" w:type="dxa"/>
            <w:shd w:val="clear" w:color="auto" w:fill="auto"/>
            <w:vAlign w:val="center"/>
            <w:hideMark/>
          </w:tcPr>
          <w:p w14:paraId="58F588D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445,449,593.59</w:t>
            </w:r>
          </w:p>
        </w:tc>
        <w:tc>
          <w:tcPr>
            <w:tcW w:w="945" w:type="dxa"/>
            <w:shd w:val="clear" w:color="auto" w:fill="auto"/>
            <w:vAlign w:val="center"/>
            <w:hideMark/>
          </w:tcPr>
          <w:p w14:paraId="5E8EB79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4259A0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86FA7B4" w14:textId="77777777" w:rsidTr="00040CFB">
        <w:trPr>
          <w:trHeight w:val="20"/>
        </w:trPr>
        <w:tc>
          <w:tcPr>
            <w:tcW w:w="1985" w:type="dxa"/>
            <w:shd w:val="clear" w:color="auto" w:fill="auto"/>
            <w:vAlign w:val="center"/>
            <w:hideMark/>
          </w:tcPr>
          <w:p w14:paraId="4B00F01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2015</w:t>
            </w:r>
          </w:p>
        </w:tc>
        <w:tc>
          <w:tcPr>
            <w:tcW w:w="1346" w:type="dxa"/>
            <w:shd w:val="clear" w:color="auto" w:fill="auto"/>
            <w:vAlign w:val="center"/>
            <w:hideMark/>
          </w:tcPr>
          <w:p w14:paraId="7E079EB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216,374,903.28</w:t>
            </w:r>
          </w:p>
        </w:tc>
        <w:tc>
          <w:tcPr>
            <w:tcW w:w="1346" w:type="dxa"/>
            <w:shd w:val="clear" w:color="auto" w:fill="auto"/>
            <w:vAlign w:val="center"/>
            <w:hideMark/>
          </w:tcPr>
          <w:p w14:paraId="0561803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216,374,903.28</w:t>
            </w:r>
          </w:p>
        </w:tc>
        <w:tc>
          <w:tcPr>
            <w:tcW w:w="1426" w:type="dxa"/>
            <w:shd w:val="clear" w:color="auto" w:fill="auto"/>
            <w:vAlign w:val="center"/>
            <w:hideMark/>
          </w:tcPr>
          <w:p w14:paraId="0880A9C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216,374,903.28</w:t>
            </w:r>
          </w:p>
        </w:tc>
        <w:tc>
          <w:tcPr>
            <w:tcW w:w="1346" w:type="dxa"/>
            <w:shd w:val="clear" w:color="auto" w:fill="auto"/>
            <w:vAlign w:val="center"/>
            <w:hideMark/>
          </w:tcPr>
          <w:p w14:paraId="4AFF05E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3493108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8ED735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3C123EFD" w14:textId="77777777" w:rsidTr="00040CFB">
        <w:trPr>
          <w:trHeight w:val="20"/>
        </w:trPr>
        <w:tc>
          <w:tcPr>
            <w:tcW w:w="1985" w:type="dxa"/>
            <w:shd w:val="clear" w:color="auto" w:fill="auto"/>
            <w:vAlign w:val="center"/>
            <w:hideMark/>
          </w:tcPr>
          <w:p w14:paraId="174AA0D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31.12.2015:</w:t>
            </w:r>
          </w:p>
        </w:tc>
        <w:tc>
          <w:tcPr>
            <w:tcW w:w="1346" w:type="dxa"/>
            <w:shd w:val="clear" w:color="auto" w:fill="auto"/>
            <w:vAlign w:val="center"/>
            <w:hideMark/>
          </w:tcPr>
          <w:p w14:paraId="25088D2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5,024,959,141.90</w:t>
            </w:r>
          </w:p>
        </w:tc>
        <w:tc>
          <w:tcPr>
            <w:tcW w:w="1346" w:type="dxa"/>
            <w:shd w:val="clear" w:color="auto" w:fill="auto"/>
            <w:vAlign w:val="center"/>
            <w:hideMark/>
          </w:tcPr>
          <w:p w14:paraId="541CDEF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5,024,959,141.90</w:t>
            </w:r>
          </w:p>
        </w:tc>
        <w:tc>
          <w:tcPr>
            <w:tcW w:w="1426" w:type="dxa"/>
            <w:shd w:val="clear" w:color="auto" w:fill="auto"/>
            <w:vAlign w:val="center"/>
            <w:hideMark/>
          </w:tcPr>
          <w:p w14:paraId="72A2D85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488,759,551.43</w:t>
            </w:r>
          </w:p>
        </w:tc>
        <w:tc>
          <w:tcPr>
            <w:tcW w:w="1346" w:type="dxa"/>
            <w:shd w:val="clear" w:color="auto" w:fill="auto"/>
            <w:vAlign w:val="center"/>
            <w:hideMark/>
          </w:tcPr>
          <w:p w14:paraId="6C51577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4,536,199,590.47</w:t>
            </w:r>
          </w:p>
        </w:tc>
        <w:tc>
          <w:tcPr>
            <w:tcW w:w="945" w:type="dxa"/>
            <w:shd w:val="clear" w:color="auto" w:fill="auto"/>
            <w:vAlign w:val="center"/>
            <w:hideMark/>
          </w:tcPr>
          <w:p w14:paraId="079476E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5A312B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932EE07" w14:textId="77777777" w:rsidTr="00040CFB">
        <w:trPr>
          <w:trHeight w:val="20"/>
        </w:trPr>
        <w:tc>
          <w:tcPr>
            <w:tcW w:w="1985" w:type="dxa"/>
            <w:shd w:val="clear" w:color="000000" w:fill="FFC000"/>
            <w:vAlign w:val="center"/>
            <w:hideMark/>
          </w:tcPr>
          <w:p w14:paraId="6A0C97C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31.12.2016</w:t>
            </w:r>
          </w:p>
        </w:tc>
        <w:tc>
          <w:tcPr>
            <w:tcW w:w="1346" w:type="dxa"/>
            <w:shd w:val="clear" w:color="auto" w:fill="auto"/>
            <w:vAlign w:val="center"/>
            <w:hideMark/>
          </w:tcPr>
          <w:p w14:paraId="002718B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6EAF3A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E920DB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425B2D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254B089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A95A04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772A66D6" w14:textId="77777777" w:rsidTr="00040CFB">
        <w:trPr>
          <w:trHeight w:val="20"/>
        </w:trPr>
        <w:tc>
          <w:tcPr>
            <w:tcW w:w="1985" w:type="dxa"/>
            <w:shd w:val="clear" w:color="auto" w:fill="auto"/>
            <w:vAlign w:val="center"/>
            <w:hideMark/>
          </w:tcPr>
          <w:p w14:paraId="47F2BFC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01.01.2016</w:t>
            </w:r>
          </w:p>
        </w:tc>
        <w:tc>
          <w:tcPr>
            <w:tcW w:w="1346" w:type="dxa"/>
            <w:shd w:val="clear" w:color="auto" w:fill="auto"/>
            <w:vAlign w:val="center"/>
            <w:hideMark/>
          </w:tcPr>
          <w:p w14:paraId="46B3095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5,024,959,141.90</w:t>
            </w:r>
          </w:p>
        </w:tc>
        <w:tc>
          <w:tcPr>
            <w:tcW w:w="1346" w:type="dxa"/>
            <w:shd w:val="clear" w:color="auto" w:fill="auto"/>
            <w:vAlign w:val="center"/>
            <w:hideMark/>
          </w:tcPr>
          <w:p w14:paraId="5D79E0E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5,024,959,141.90</w:t>
            </w:r>
          </w:p>
        </w:tc>
        <w:tc>
          <w:tcPr>
            <w:tcW w:w="1426" w:type="dxa"/>
            <w:shd w:val="clear" w:color="auto" w:fill="auto"/>
            <w:vAlign w:val="center"/>
            <w:hideMark/>
          </w:tcPr>
          <w:p w14:paraId="27B54A9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488,759,551.43</w:t>
            </w:r>
          </w:p>
        </w:tc>
        <w:tc>
          <w:tcPr>
            <w:tcW w:w="1346" w:type="dxa"/>
            <w:shd w:val="clear" w:color="auto" w:fill="auto"/>
            <w:vAlign w:val="center"/>
            <w:hideMark/>
          </w:tcPr>
          <w:p w14:paraId="70FB72C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4,536,199,590.47</w:t>
            </w:r>
          </w:p>
        </w:tc>
        <w:tc>
          <w:tcPr>
            <w:tcW w:w="945" w:type="dxa"/>
            <w:shd w:val="clear" w:color="auto" w:fill="auto"/>
            <w:vAlign w:val="center"/>
            <w:hideMark/>
          </w:tcPr>
          <w:p w14:paraId="796FE42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491C47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89D983C" w14:textId="77777777" w:rsidTr="00040CFB">
        <w:trPr>
          <w:trHeight w:val="20"/>
        </w:trPr>
        <w:tc>
          <w:tcPr>
            <w:tcW w:w="1985" w:type="dxa"/>
            <w:shd w:val="clear" w:color="auto" w:fill="auto"/>
            <w:vAlign w:val="center"/>
            <w:hideMark/>
          </w:tcPr>
          <w:p w14:paraId="2089514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4F004AC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530,183,049.13</w:t>
            </w:r>
          </w:p>
        </w:tc>
        <w:tc>
          <w:tcPr>
            <w:tcW w:w="1346" w:type="dxa"/>
            <w:shd w:val="clear" w:color="auto" w:fill="auto"/>
            <w:vAlign w:val="center"/>
            <w:hideMark/>
          </w:tcPr>
          <w:p w14:paraId="5941149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530,183,049.13</w:t>
            </w:r>
          </w:p>
        </w:tc>
        <w:tc>
          <w:tcPr>
            <w:tcW w:w="1426" w:type="dxa"/>
            <w:shd w:val="clear" w:color="auto" w:fill="auto"/>
            <w:vAlign w:val="center"/>
            <w:hideMark/>
          </w:tcPr>
          <w:p w14:paraId="30C011C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200,634,114.11</w:t>
            </w:r>
          </w:p>
        </w:tc>
        <w:tc>
          <w:tcPr>
            <w:tcW w:w="1346" w:type="dxa"/>
            <w:shd w:val="clear" w:color="auto" w:fill="auto"/>
            <w:vAlign w:val="center"/>
            <w:hideMark/>
          </w:tcPr>
          <w:p w14:paraId="537754E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329,548,935.02</w:t>
            </w:r>
          </w:p>
        </w:tc>
        <w:tc>
          <w:tcPr>
            <w:tcW w:w="945" w:type="dxa"/>
            <w:shd w:val="clear" w:color="auto" w:fill="auto"/>
            <w:vAlign w:val="center"/>
            <w:hideMark/>
          </w:tcPr>
          <w:p w14:paraId="2401696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53475F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5AFF38E" w14:textId="77777777" w:rsidTr="00040CFB">
        <w:trPr>
          <w:trHeight w:val="20"/>
        </w:trPr>
        <w:tc>
          <w:tcPr>
            <w:tcW w:w="1985" w:type="dxa"/>
            <w:shd w:val="clear" w:color="auto" w:fill="auto"/>
            <w:vAlign w:val="center"/>
            <w:hideMark/>
          </w:tcPr>
          <w:p w14:paraId="54DBB2E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2016</w:t>
            </w:r>
          </w:p>
        </w:tc>
        <w:tc>
          <w:tcPr>
            <w:tcW w:w="1346" w:type="dxa"/>
            <w:shd w:val="clear" w:color="auto" w:fill="auto"/>
            <w:vAlign w:val="center"/>
            <w:hideMark/>
          </w:tcPr>
          <w:p w14:paraId="0B6BDBB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219,623,912.44</w:t>
            </w:r>
          </w:p>
        </w:tc>
        <w:tc>
          <w:tcPr>
            <w:tcW w:w="1346" w:type="dxa"/>
            <w:shd w:val="clear" w:color="auto" w:fill="auto"/>
            <w:vAlign w:val="center"/>
            <w:hideMark/>
          </w:tcPr>
          <w:p w14:paraId="43D9602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219,623,912.44</w:t>
            </w:r>
          </w:p>
        </w:tc>
        <w:tc>
          <w:tcPr>
            <w:tcW w:w="1426" w:type="dxa"/>
            <w:shd w:val="clear" w:color="auto" w:fill="auto"/>
            <w:vAlign w:val="center"/>
            <w:hideMark/>
          </w:tcPr>
          <w:p w14:paraId="054AECD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219,623,912.44</w:t>
            </w:r>
          </w:p>
        </w:tc>
        <w:tc>
          <w:tcPr>
            <w:tcW w:w="1346" w:type="dxa"/>
            <w:shd w:val="clear" w:color="auto" w:fill="auto"/>
            <w:vAlign w:val="center"/>
            <w:hideMark/>
          </w:tcPr>
          <w:p w14:paraId="266C0BA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1A07FDE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FA55B6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CA5F551" w14:textId="77777777" w:rsidTr="00040CFB">
        <w:trPr>
          <w:trHeight w:val="20"/>
        </w:trPr>
        <w:tc>
          <w:tcPr>
            <w:tcW w:w="1985" w:type="dxa"/>
            <w:shd w:val="clear" w:color="auto" w:fill="auto"/>
            <w:vAlign w:val="center"/>
            <w:hideMark/>
          </w:tcPr>
          <w:p w14:paraId="7004A5A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31.12.2016:</w:t>
            </w:r>
          </w:p>
        </w:tc>
        <w:tc>
          <w:tcPr>
            <w:tcW w:w="1346" w:type="dxa"/>
            <w:shd w:val="clear" w:color="auto" w:fill="auto"/>
            <w:vAlign w:val="center"/>
            <w:hideMark/>
          </w:tcPr>
          <w:p w14:paraId="7D53745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5,335,518,278.59</w:t>
            </w:r>
          </w:p>
        </w:tc>
        <w:tc>
          <w:tcPr>
            <w:tcW w:w="1346" w:type="dxa"/>
            <w:shd w:val="clear" w:color="auto" w:fill="auto"/>
            <w:vAlign w:val="center"/>
            <w:hideMark/>
          </w:tcPr>
          <w:p w14:paraId="05A43AA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5,335,518,278.59</w:t>
            </w:r>
          </w:p>
        </w:tc>
        <w:tc>
          <w:tcPr>
            <w:tcW w:w="1426" w:type="dxa"/>
            <w:shd w:val="clear" w:color="auto" w:fill="auto"/>
            <w:vAlign w:val="center"/>
            <w:hideMark/>
          </w:tcPr>
          <w:p w14:paraId="086ADFE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469,769,753.10</w:t>
            </w:r>
          </w:p>
        </w:tc>
        <w:tc>
          <w:tcPr>
            <w:tcW w:w="1346" w:type="dxa"/>
            <w:shd w:val="clear" w:color="auto" w:fill="auto"/>
            <w:vAlign w:val="center"/>
            <w:hideMark/>
          </w:tcPr>
          <w:p w14:paraId="071D56F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4,865,748,525.49</w:t>
            </w:r>
          </w:p>
        </w:tc>
        <w:tc>
          <w:tcPr>
            <w:tcW w:w="945" w:type="dxa"/>
            <w:shd w:val="clear" w:color="auto" w:fill="auto"/>
            <w:vAlign w:val="center"/>
            <w:hideMark/>
          </w:tcPr>
          <w:p w14:paraId="0B9E5A1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4F1D5D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8FEF020" w14:textId="77777777" w:rsidTr="00040CFB">
        <w:trPr>
          <w:trHeight w:val="20"/>
        </w:trPr>
        <w:tc>
          <w:tcPr>
            <w:tcW w:w="1985" w:type="dxa"/>
            <w:shd w:val="clear" w:color="000000" w:fill="FFC000"/>
            <w:vAlign w:val="center"/>
            <w:hideMark/>
          </w:tcPr>
          <w:p w14:paraId="3CBE30A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31.12.2017</w:t>
            </w:r>
          </w:p>
        </w:tc>
        <w:tc>
          <w:tcPr>
            <w:tcW w:w="1346" w:type="dxa"/>
            <w:shd w:val="clear" w:color="auto" w:fill="auto"/>
            <w:vAlign w:val="center"/>
            <w:hideMark/>
          </w:tcPr>
          <w:p w14:paraId="675CAB2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91E5A5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4C7BD84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623EEA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6B869F7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6A026D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6E2A4E6B" w14:textId="77777777" w:rsidTr="00040CFB">
        <w:trPr>
          <w:trHeight w:val="20"/>
        </w:trPr>
        <w:tc>
          <w:tcPr>
            <w:tcW w:w="1985" w:type="dxa"/>
            <w:shd w:val="clear" w:color="auto" w:fill="auto"/>
            <w:vAlign w:val="center"/>
            <w:hideMark/>
          </w:tcPr>
          <w:p w14:paraId="4C3F644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01.01.2017</w:t>
            </w:r>
          </w:p>
        </w:tc>
        <w:tc>
          <w:tcPr>
            <w:tcW w:w="1346" w:type="dxa"/>
            <w:shd w:val="clear" w:color="auto" w:fill="auto"/>
            <w:vAlign w:val="center"/>
            <w:hideMark/>
          </w:tcPr>
          <w:p w14:paraId="36F6572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5,335,518,278.59</w:t>
            </w:r>
          </w:p>
        </w:tc>
        <w:tc>
          <w:tcPr>
            <w:tcW w:w="1346" w:type="dxa"/>
            <w:shd w:val="clear" w:color="auto" w:fill="auto"/>
            <w:vAlign w:val="center"/>
            <w:hideMark/>
          </w:tcPr>
          <w:p w14:paraId="237938F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5,335,518,278.59</w:t>
            </w:r>
          </w:p>
        </w:tc>
        <w:tc>
          <w:tcPr>
            <w:tcW w:w="1426" w:type="dxa"/>
            <w:shd w:val="clear" w:color="auto" w:fill="auto"/>
            <w:vAlign w:val="center"/>
            <w:hideMark/>
          </w:tcPr>
          <w:p w14:paraId="7C8B73D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469,769,753.10</w:t>
            </w:r>
          </w:p>
        </w:tc>
        <w:tc>
          <w:tcPr>
            <w:tcW w:w="1346" w:type="dxa"/>
            <w:shd w:val="clear" w:color="auto" w:fill="auto"/>
            <w:vAlign w:val="center"/>
            <w:hideMark/>
          </w:tcPr>
          <w:p w14:paraId="0CE7A83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4,865,748,525.49</w:t>
            </w:r>
          </w:p>
        </w:tc>
        <w:tc>
          <w:tcPr>
            <w:tcW w:w="945" w:type="dxa"/>
            <w:shd w:val="clear" w:color="auto" w:fill="auto"/>
            <w:vAlign w:val="center"/>
            <w:hideMark/>
          </w:tcPr>
          <w:p w14:paraId="2E2E21B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AD08FD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4,865,748,525.75</w:t>
            </w:r>
          </w:p>
        </w:tc>
      </w:tr>
      <w:tr w:rsidR="00040CFB" w:rsidRPr="009772A3" w14:paraId="308F1296" w14:textId="77777777" w:rsidTr="00040CFB">
        <w:trPr>
          <w:trHeight w:val="20"/>
        </w:trPr>
        <w:tc>
          <w:tcPr>
            <w:tcW w:w="1985" w:type="dxa"/>
            <w:shd w:val="clear" w:color="auto" w:fill="auto"/>
            <w:vAlign w:val="center"/>
            <w:hideMark/>
          </w:tcPr>
          <w:p w14:paraId="2CC87B6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2231F62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413,952,599.37</w:t>
            </w:r>
          </w:p>
        </w:tc>
        <w:tc>
          <w:tcPr>
            <w:tcW w:w="1346" w:type="dxa"/>
            <w:shd w:val="clear" w:color="auto" w:fill="auto"/>
            <w:vAlign w:val="center"/>
            <w:hideMark/>
          </w:tcPr>
          <w:p w14:paraId="71BC2B2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413,952,599.37</w:t>
            </w:r>
          </w:p>
        </w:tc>
        <w:tc>
          <w:tcPr>
            <w:tcW w:w="1426" w:type="dxa"/>
            <w:shd w:val="clear" w:color="auto" w:fill="auto"/>
            <w:vAlign w:val="center"/>
            <w:hideMark/>
          </w:tcPr>
          <w:p w14:paraId="5AD1395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167,542,622.63</w:t>
            </w:r>
          </w:p>
        </w:tc>
        <w:tc>
          <w:tcPr>
            <w:tcW w:w="1346" w:type="dxa"/>
            <w:shd w:val="clear" w:color="auto" w:fill="auto"/>
            <w:vAlign w:val="center"/>
            <w:hideMark/>
          </w:tcPr>
          <w:p w14:paraId="27925A5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246,409,976.74</w:t>
            </w:r>
          </w:p>
        </w:tc>
        <w:tc>
          <w:tcPr>
            <w:tcW w:w="945" w:type="dxa"/>
            <w:shd w:val="clear" w:color="auto" w:fill="auto"/>
            <w:vAlign w:val="center"/>
            <w:hideMark/>
          </w:tcPr>
          <w:p w14:paraId="34A1506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B95E56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276,468,389.91</w:t>
            </w:r>
          </w:p>
        </w:tc>
      </w:tr>
      <w:tr w:rsidR="00040CFB" w:rsidRPr="009772A3" w14:paraId="5B4989B8" w14:textId="77777777" w:rsidTr="00040CFB">
        <w:trPr>
          <w:trHeight w:val="20"/>
        </w:trPr>
        <w:tc>
          <w:tcPr>
            <w:tcW w:w="1985" w:type="dxa"/>
            <w:shd w:val="clear" w:color="auto" w:fill="auto"/>
            <w:vAlign w:val="center"/>
            <w:hideMark/>
          </w:tcPr>
          <w:p w14:paraId="64623069"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2017</w:t>
            </w:r>
          </w:p>
        </w:tc>
        <w:tc>
          <w:tcPr>
            <w:tcW w:w="1346" w:type="dxa"/>
            <w:shd w:val="clear" w:color="auto" w:fill="auto"/>
            <w:vAlign w:val="center"/>
            <w:hideMark/>
          </w:tcPr>
          <w:p w14:paraId="25E81B4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187,758,707.60</w:t>
            </w:r>
          </w:p>
        </w:tc>
        <w:tc>
          <w:tcPr>
            <w:tcW w:w="1346" w:type="dxa"/>
            <w:shd w:val="clear" w:color="auto" w:fill="auto"/>
            <w:vAlign w:val="center"/>
            <w:hideMark/>
          </w:tcPr>
          <w:p w14:paraId="546AC17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187,758,707.60</w:t>
            </w:r>
          </w:p>
        </w:tc>
        <w:tc>
          <w:tcPr>
            <w:tcW w:w="1426" w:type="dxa"/>
            <w:shd w:val="clear" w:color="auto" w:fill="auto"/>
            <w:vAlign w:val="center"/>
            <w:hideMark/>
          </w:tcPr>
          <w:p w14:paraId="1E8DC4A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187,758,707.60</w:t>
            </w:r>
          </w:p>
        </w:tc>
        <w:tc>
          <w:tcPr>
            <w:tcW w:w="1346" w:type="dxa"/>
            <w:shd w:val="clear" w:color="auto" w:fill="auto"/>
            <w:vAlign w:val="center"/>
            <w:hideMark/>
          </w:tcPr>
          <w:p w14:paraId="3FBF331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2518823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848C8B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30,058,413.17</w:t>
            </w:r>
          </w:p>
        </w:tc>
      </w:tr>
      <w:tr w:rsidR="00040CFB" w:rsidRPr="009772A3" w14:paraId="4DF7F4B7" w14:textId="77777777" w:rsidTr="00040CFB">
        <w:trPr>
          <w:trHeight w:val="20"/>
        </w:trPr>
        <w:tc>
          <w:tcPr>
            <w:tcW w:w="1985" w:type="dxa"/>
            <w:shd w:val="clear" w:color="auto" w:fill="auto"/>
            <w:vAlign w:val="center"/>
            <w:hideMark/>
          </w:tcPr>
          <w:p w14:paraId="29AE167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31.12.2017:</w:t>
            </w:r>
          </w:p>
        </w:tc>
        <w:tc>
          <w:tcPr>
            <w:tcW w:w="1346" w:type="dxa"/>
            <w:shd w:val="clear" w:color="auto" w:fill="auto"/>
            <w:vAlign w:val="center"/>
            <w:hideMark/>
          </w:tcPr>
          <w:p w14:paraId="16A1B7B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5,561,712,170.36</w:t>
            </w:r>
          </w:p>
        </w:tc>
        <w:tc>
          <w:tcPr>
            <w:tcW w:w="1346" w:type="dxa"/>
            <w:shd w:val="clear" w:color="auto" w:fill="auto"/>
            <w:vAlign w:val="center"/>
            <w:hideMark/>
          </w:tcPr>
          <w:p w14:paraId="5512B0F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5,561,712,170.36</w:t>
            </w:r>
          </w:p>
        </w:tc>
        <w:tc>
          <w:tcPr>
            <w:tcW w:w="1426" w:type="dxa"/>
            <w:shd w:val="clear" w:color="auto" w:fill="auto"/>
            <w:vAlign w:val="center"/>
            <w:hideMark/>
          </w:tcPr>
          <w:p w14:paraId="491ADAE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591,968,277.98</w:t>
            </w:r>
          </w:p>
        </w:tc>
        <w:tc>
          <w:tcPr>
            <w:tcW w:w="1346" w:type="dxa"/>
            <w:shd w:val="clear" w:color="auto" w:fill="auto"/>
            <w:vAlign w:val="center"/>
            <w:hideMark/>
          </w:tcPr>
          <w:p w14:paraId="264BAE9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4,969,743,892.38</w:t>
            </w:r>
          </w:p>
        </w:tc>
        <w:tc>
          <w:tcPr>
            <w:tcW w:w="945" w:type="dxa"/>
            <w:shd w:val="clear" w:color="auto" w:fill="auto"/>
            <w:vAlign w:val="center"/>
            <w:hideMark/>
          </w:tcPr>
          <w:p w14:paraId="4075FAA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91D8EB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5,112,158,502.49</w:t>
            </w:r>
          </w:p>
        </w:tc>
      </w:tr>
      <w:tr w:rsidR="00040CFB" w:rsidRPr="009772A3" w14:paraId="0392B73A" w14:textId="77777777" w:rsidTr="00040CFB">
        <w:trPr>
          <w:trHeight w:val="20"/>
        </w:trPr>
        <w:tc>
          <w:tcPr>
            <w:tcW w:w="1985" w:type="dxa"/>
            <w:shd w:val="clear" w:color="000000" w:fill="FFC000"/>
            <w:vAlign w:val="center"/>
            <w:hideMark/>
          </w:tcPr>
          <w:p w14:paraId="47DF873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31.12.2018</w:t>
            </w:r>
          </w:p>
        </w:tc>
        <w:tc>
          <w:tcPr>
            <w:tcW w:w="1346" w:type="dxa"/>
            <w:shd w:val="clear" w:color="auto" w:fill="auto"/>
            <w:vAlign w:val="center"/>
            <w:hideMark/>
          </w:tcPr>
          <w:p w14:paraId="6553367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45CC21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58E4D1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F310ED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0812A4D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E49E2E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435C0E2F" w14:textId="77777777" w:rsidTr="00040CFB">
        <w:trPr>
          <w:trHeight w:val="20"/>
        </w:trPr>
        <w:tc>
          <w:tcPr>
            <w:tcW w:w="1985" w:type="dxa"/>
            <w:shd w:val="clear" w:color="auto" w:fill="auto"/>
            <w:vAlign w:val="center"/>
            <w:hideMark/>
          </w:tcPr>
          <w:p w14:paraId="44CA098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01.01.2018</w:t>
            </w:r>
          </w:p>
        </w:tc>
        <w:tc>
          <w:tcPr>
            <w:tcW w:w="1346" w:type="dxa"/>
            <w:shd w:val="clear" w:color="auto" w:fill="auto"/>
            <w:vAlign w:val="center"/>
            <w:hideMark/>
          </w:tcPr>
          <w:p w14:paraId="15DC49C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5,561,712,170.36</w:t>
            </w:r>
          </w:p>
        </w:tc>
        <w:tc>
          <w:tcPr>
            <w:tcW w:w="1346" w:type="dxa"/>
            <w:shd w:val="clear" w:color="auto" w:fill="auto"/>
            <w:vAlign w:val="center"/>
            <w:hideMark/>
          </w:tcPr>
          <w:p w14:paraId="3F07009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5,561,712,170.36</w:t>
            </w:r>
          </w:p>
        </w:tc>
        <w:tc>
          <w:tcPr>
            <w:tcW w:w="1426" w:type="dxa"/>
            <w:shd w:val="clear" w:color="auto" w:fill="auto"/>
            <w:vAlign w:val="center"/>
            <w:hideMark/>
          </w:tcPr>
          <w:p w14:paraId="0AAE0AD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591,968,277.98</w:t>
            </w:r>
          </w:p>
        </w:tc>
        <w:tc>
          <w:tcPr>
            <w:tcW w:w="1346" w:type="dxa"/>
            <w:shd w:val="clear" w:color="auto" w:fill="auto"/>
            <w:vAlign w:val="center"/>
            <w:hideMark/>
          </w:tcPr>
          <w:p w14:paraId="51E2316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4,969,743,892.38</w:t>
            </w:r>
          </w:p>
        </w:tc>
        <w:tc>
          <w:tcPr>
            <w:tcW w:w="945" w:type="dxa"/>
            <w:shd w:val="clear" w:color="auto" w:fill="auto"/>
            <w:vAlign w:val="center"/>
            <w:hideMark/>
          </w:tcPr>
          <w:p w14:paraId="6D8EBDD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1816F25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5,112,158,502.49</w:t>
            </w:r>
          </w:p>
        </w:tc>
      </w:tr>
      <w:tr w:rsidR="00040CFB" w:rsidRPr="009772A3" w14:paraId="65257018" w14:textId="77777777" w:rsidTr="00040CFB">
        <w:trPr>
          <w:trHeight w:val="20"/>
        </w:trPr>
        <w:tc>
          <w:tcPr>
            <w:tcW w:w="1985" w:type="dxa"/>
            <w:shd w:val="clear" w:color="auto" w:fill="auto"/>
            <w:vAlign w:val="center"/>
            <w:hideMark/>
          </w:tcPr>
          <w:p w14:paraId="2F4966E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2DFDFE0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616,180,406.57</w:t>
            </w:r>
          </w:p>
        </w:tc>
        <w:tc>
          <w:tcPr>
            <w:tcW w:w="1346" w:type="dxa"/>
            <w:shd w:val="clear" w:color="auto" w:fill="auto"/>
            <w:vAlign w:val="center"/>
            <w:hideMark/>
          </w:tcPr>
          <w:p w14:paraId="0406C59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616,180,406.57</w:t>
            </w:r>
          </w:p>
        </w:tc>
        <w:tc>
          <w:tcPr>
            <w:tcW w:w="1426" w:type="dxa"/>
            <w:shd w:val="clear" w:color="auto" w:fill="auto"/>
            <w:vAlign w:val="center"/>
            <w:hideMark/>
          </w:tcPr>
          <w:p w14:paraId="12D6AEB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245,662,314.11</w:t>
            </w:r>
          </w:p>
        </w:tc>
        <w:tc>
          <w:tcPr>
            <w:tcW w:w="1346" w:type="dxa"/>
            <w:shd w:val="clear" w:color="auto" w:fill="auto"/>
            <w:vAlign w:val="center"/>
            <w:hideMark/>
          </w:tcPr>
          <w:p w14:paraId="50F93DD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370,518,092.46</w:t>
            </w:r>
          </w:p>
        </w:tc>
        <w:tc>
          <w:tcPr>
            <w:tcW w:w="945" w:type="dxa"/>
            <w:shd w:val="clear" w:color="auto" w:fill="auto"/>
            <w:vAlign w:val="center"/>
            <w:hideMark/>
          </w:tcPr>
          <w:p w14:paraId="04C5D35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448BA7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397,025,805.88</w:t>
            </w:r>
          </w:p>
        </w:tc>
      </w:tr>
      <w:tr w:rsidR="00040CFB" w:rsidRPr="009772A3" w14:paraId="32BBA765" w14:textId="77777777" w:rsidTr="00040CFB">
        <w:trPr>
          <w:trHeight w:val="20"/>
        </w:trPr>
        <w:tc>
          <w:tcPr>
            <w:tcW w:w="1985" w:type="dxa"/>
            <w:shd w:val="clear" w:color="auto" w:fill="auto"/>
            <w:vAlign w:val="center"/>
            <w:hideMark/>
          </w:tcPr>
          <w:p w14:paraId="00364CF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2018</w:t>
            </w:r>
          </w:p>
        </w:tc>
        <w:tc>
          <w:tcPr>
            <w:tcW w:w="1346" w:type="dxa"/>
            <w:shd w:val="clear" w:color="auto" w:fill="auto"/>
            <w:vAlign w:val="center"/>
            <w:hideMark/>
          </w:tcPr>
          <w:p w14:paraId="3E32CB7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239,840,693.88</w:t>
            </w:r>
          </w:p>
        </w:tc>
        <w:tc>
          <w:tcPr>
            <w:tcW w:w="1346" w:type="dxa"/>
            <w:shd w:val="clear" w:color="auto" w:fill="auto"/>
            <w:vAlign w:val="center"/>
            <w:hideMark/>
          </w:tcPr>
          <w:p w14:paraId="3DB3544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239,840,693.88</w:t>
            </w:r>
          </w:p>
        </w:tc>
        <w:tc>
          <w:tcPr>
            <w:tcW w:w="1426" w:type="dxa"/>
            <w:shd w:val="clear" w:color="auto" w:fill="auto"/>
            <w:vAlign w:val="center"/>
            <w:hideMark/>
          </w:tcPr>
          <w:p w14:paraId="23B48EF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239,840,693.88</w:t>
            </w:r>
          </w:p>
        </w:tc>
        <w:tc>
          <w:tcPr>
            <w:tcW w:w="1346" w:type="dxa"/>
            <w:shd w:val="clear" w:color="auto" w:fill="auto"/>
            <w:vAlign w:val="center"/>
            <w:hideMark/>
          </w:tcPr>
          <w:p w14:paraId="60DE7B6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5230925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2C6B7D8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26,507,713.69</w:t>
            </w:r>
          </w:p>
        </w:tc>
      </w:tr>
      <w:tr w:rsidR="00040CFB" w:rsidRPr="009772A3" w14:paraId="04477B7C" w14:textId="77777777" w:rsidTr="00040CFB">
        <w:trPr>
          <w:trHeight w:val="20"/>
        </w:trPr>
        <w:tc>
          <w:tcPr>
            <w:tcW w:w="1985" w:type="dxa"/>
            <w:shd w:val="clear" w:color="auto" w:fill="auto"/>
            <w:vAlign w:val="center"/>
            <w:hideMark/>
          </w:tcPr>
          <w:p w14:paraId="10F964C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31.12.2018:</w:t>
            </w:r>
          </w:p>
        </w:tc>
        <w:tc>
          <w:tcPr>
            <w:tcW w:w="1346" w:type="dxa"/>
            <w:shd w:val="clear" w:color="auto" w:fill="auto"/>
            <w:vAlign w:val="center"/>
            <w:hideMark/>
          </w:tcPr>
          <w:p w14:paraId="4A9AD15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5,938,051,883.05</w:t>
            </w:r>
          </w:p>
        </w:tc>
        <w:tc>
          <w:tcPr>
            <w:tcW w:w="1346" w:type="dxa"/>
            <w:shd w:val="clear" w:color="auto" w:fill="auto"/>
            <w:vAlign w:val="center"/>
            <w:hideMark/>
          </w:tcPr>
          <w:p w14:paraId="305E14A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5,938,051,883.05</w:t>
            </w:r>
          </w:p>
        </w:tc>
        <w:tc>
          <w:tcPr>
            <w:tcW w:w="1426" w:type="dxa"/>
            <w:shd w:val="clear" w:color="auto" w:fill="auto"/>
            <w:vAlign w:val="center"/>
            <w:hideMark/>
          </w:tcPr>
          <w:p w14:paraId="244A416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455,375,288.36</w:t>
            </w:r>
          </w:p>
        </w:tc>
        <w:tc>
          <w:tcPr>
            <w:tcW w:w="1346" w:type="dxa"/>
            <w:shd w:val="clear" w:color="auto" w:fill="auto"/>
            <w:vAlign w:val="center"/>
            <w:hideMark/>
          </w:tcPr>
          <w:p w14:paraId="4FBBC8E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5,482,676,594.69</w:t>
            </w:r>
          </w:p>
        </w:tc>
        <w:tc>
          <w:tcPr>
            <w:tcW w:w="945" w:type="dxa"/>
            <w:shd w:val="clear" w:color="auto" w:fill="auto"/>
            <w:vAlign w:val="center"/>
            <w:hideMark/>
          </w:tcPr>
          <w:p w14:paraId="7216765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2C6EB8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5,482,676,594.68</w:t>
            </w:r>
          </w:p>
        </w:tc>
      </w:tr>
      <w:tr w:rsidR="00040CFB" w:rsidRPr="009772A3" w14:paraId="26D99056" w14:textId="77777777" w:rsidTr="00040CFB">
        <w:trPr>
          <w:trHeight w:val="20"/>
        </w:trPr>
        <w:tc>
          <w:tcPr>
            <w:tcW w:w="1985" w:type="dxa"/>
            <w:shd w:val="clear" w:color="000000" w:fill="FFC000"/>
            <w:vAlign w:val="center"/>
            <w:hideMark/>
          </w:tcPr>
          <w:p w14:paraId="7FF48EA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31.12.2019</w:t>
            </w:r>
          </w:p>
        </w:tc>
        <w:tc>
          <w:tcPr>
            <w:tcW w:w="1346" w:type="dxa"/>
            <w:shd w:val="clear" w:color="auto" w:fill="auto"/>
            <w:vAlign w:val="center"/>
            <w:hideMark/>
          </w:tcPr>
          <w:p w14:paraId="6412385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A087C7C"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229C65D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64FB6C7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C7D64D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191F10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2D3D6F84" w14:textId="77777777" w:rsidTr="00040CFB">
        <w:trPr>
          <w:trHeight w:val="20"/>
        </w:trPr>
        <w:tc>
          <w:tcPr>
            <w:tcW w:w="1985" w:type="dxa"/>
            <w:shd w:val="clear" w:color="auto" w:fill="auto"/>
            <w:vAlign w:val="center"/>
            <w:hideMark/>
          </w:tcPr>
          <w:p w14:paraId="531B8D0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01.01.2019</w:t>
            </w:r>
          </w:p>
        </w:tc>
        <w:tc>
          <w:tcPr>
            <w:tcW w:w="1346" w:type="dxa"/>
            <w:shd w:val="clear" w:color="auto" w:fill="auto"/>
            <w:vAlign w:val="center"/>
            <w:hideMark/>
          </w:tcPr>
          <w:p w14:paraId="62FD7FA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5,938,051,883.05</w:t>
            </w:r>
          </w:p>
        </w:tc>
        <w:tc>
          <w:tcPr>
            <w:tcW w:w="1346" w:type="dxa"/>
            <w:shd w:val="clear" w:color="auto" w:fill="auto"/>
            <w:vAlign w:val="center"/>
            <w:hideMark/>
          </w:tcPr>
          <w:p w14:paraId="321657F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5,938,051,883.05</w:t>
            </w:r>
          </w:p>
        </w:tc>
        <w:tc>
          <w:tcPr>
            <w:tcW w:w="1426" w:type="dxa"/>
            <w:shd w:val="clear" w:color="auto" w:fill="auto"/>
            <w:vAlign w:val="center"/>
            <w:hideMark/>
          </w:tcPr>
          <w:p w14:paraId="1E3AABE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455,375,288.36</w:t>
            </w:r>
          </w:p>
        </w:tc>
        <w:tc>
          <w:tcPr>
            <w:tcW w:w="1346" w:type="dxa"/>
            <w:shd w:val="clear" w:color="auto" w:fill="auto"/>
            <w:vAlign w:val="center"/>
            <w:hideMark/>
          </w:tcPr>
          <w:p w14:paraId="4BE2783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5,482,676,594.69</w:t>
            </w:r>
          </w:p>
        </w:tc>
        <w:tc>
          <w:tcPr>
            <w:tcW w:w="945" w:type="dxa"/>
            <w:shd w:val="clear" w:color="auto" w:fill="auto"/>
            <w:vAlign w:val="center"/>
            <w:hideMark/>
          </w:tcPr>
          <w:p w14:paraId="4A2ABD0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4A1C63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5,482,676,594.68</w:t>
            </w:r>
          </w:p>
        </w:tc>
      </w:tr>
      <w:tr w:rsidR="00040CFB" w:rsidRPr="009772A3" w14:paraId="137AF7BA" w14:textId="77777777" w:rsidTr="00040CFB">
        <w:trPr>
          <w:trHeight w:val="20"/>
        </w:trPr>
        <w:tc>
          <w:tcPr>
            <w:tcW w:w="1985" w:type="dxa"/>
            <w:shd w:val="clear" w:color="auto" w:fill="auto"/>
            <w:vAlign w:val="center"/>
            <w:hideMark/>
          </w:tcPr>
          <w:p w14:paraId="7BBF681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7908F1F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658,968,042.38</w:t>
            </w:r>
          </w:p>
        </w:tc>
        <w:tc>
          <w:tcPr>
            <w:tcW w:w="1346" w:type="dxa"/>
            <w:shd w:val="clear" w:color="auto" w:fill="auto"/>
            <w:vAlign w:val="center"/>
            <w:hideMark/>
          </w:tcPr>
          <w:p w14:paraId="6736EF1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658,968,042.38</w:t>
            </w:r>
          </w:p>
        </w:tc>
        <w:tc>
          <w:tcPr>
            <w:tcW w:w="1426" w:type="dxa"/>
            <w:shd w:val="clear" w:color="auto" w:fill="auto"/>
            <w:vAlign w:val="center"/>
            <w:hideMark/>
          </w:tcPr>
          <w:p w14:paraId="417F09E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247,155,945.02</w:t>
            </w:r>
          </w:p>
        </w:tc>
        <w:tc>
          <w:tcPr>
            <w:tcW w:w="1346" w:type="dxa"/>
            <w:shd w:val="clear" w:color="auto" w:fill="auto"/>
            <w:vAlign w:val="center"/>
            <w:hideMark/>
          </w:tcPr>
          <w:p w14:paraId="41AC379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411,812,097.36</w:t>
            </w:r>
          </w:p>
        </w:tc>
        <w:tc>
          <w:tcPr>
            <w:tcW w:w="945" w:type="dxa"/>
            <w:shd w:val="clear" w:color="auto" w:fill="auto"/>
            <w:vAlign w:val="center"/>
            <w:hideMark/>
          </w:tcPr>
          <w:p w14:paraId="06DC7C3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5394EDF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426,127,518.65</w:t>
            </w:r>
          </w:p>
        </w:tc>
      </w:tr>
      <w:tr w:rsidR="00040CFB" w:rsidRPr="009772A3" w14:paraId="589A69BA" w14:textId="77777777" w:rsidTr="00040CFB">
        <w:trPr>
          <w:trHeight w:val="20"/>
        </w:trPr>
        <w:tc>
          <w:tcPr>
            <w:tcW w:w="1985" w:type="dxa"/>
            <w:shd w:val="clear" w:color="auto" w:fill="auto"/>
            <w:vAlign w:val="center"/>
            <w:hideMark/>
          </w:tcPr>
          <w:p w14:paraId="5C8A884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2019</w:t>
            </w:r>
          </w:p>
        </w:tc>
        <w:tc>
          <w:tcPr>
            <w:tcW w:w="1346" w:type="dxa"/>
            <w:shd w:val="clear" w:color="auto" w:fill="auto"/>
            <w:vAlign w:val="center"/>
            <w:hideMark/>
          </w:tcPr>
          <w:p w14:paraId="499A546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246,578,946.57</w:t>
            </w:r>
          </w:p>
        </w:tc>
        <w:tc>
          <w:tcPr>
            <w:tcW w:w="1346" w:type="dxa"/>
            <w:shd w:val="clear" w:color="auto" w:fill="auto"/>
            <w:vAlign w:val="center"/>
            <w:hideMark/>
          </w:tcPr>
          <w:p w14:paraId="40A5842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246,578,946.57</w:t>
            </w:r>
          </w:p>
        </w:tc>
        <w:tc>
          <w:tcPr>
            <w:tcW w:w="1426" w:type="dxa"/>
            <w:shd w:val="clear" w:color="auto" w:fill="auto"/>
            <w:vAlign w:val="center"/>
            <w:hideMark/>
          </w:tcPr>
          <w:p w14:paraId="28CBD2F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246,578,946.57</w:t>
            </w:r>
          </w:p>
        </w:tc>
        <w:tc>
          <w:tcPr>
            <w:tcW w:w="1346" w:type="dxa"/>
            <w:shd w:val="clear" w:color="auto" w:fill="auto"/>
            <w:vAlign w:val="center"/>
            <w:hideMark/>
          </w:tcPr>
          <w:p w14:paraId="2E691EC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11CF8CD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25B034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14,315,421.29</w:t>
            </w:r>
          </w:p>
        </w:tc>
      </w:tr>
      <w:tr w:rsidR="00040CFB" w:rsidRPr="009772A3" w14:paraId="743E503F" w14:textId="77777777" w:rsidTr="00040CFB">
        <w:trPr>
          <w:trHeight w:val="20"/>
        </w:trPr>
        <w:tc>
          <w:tcPr>
            <w:tcW w:w="1985" w:type="dxa"/>
            <w:shd w:val="clear" w:color="auto" w:fill="auto"/>
            <w:vAlign w:val="center"/>
            <w:hideMark/>
          </w:tcPr>
          <w:p w14:paraId="6E443B1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31.12.2019:</w:t>
            </w:r>
          </w:p>
        </w:tc>
        <w:tc>
          <w:tcPr>
            <w:tcW w:w="1346" w:type="dxa"/>
            <w:shd w:val="clear" w:color="auto" w:fill="auto"/>
            <w:vAlign w:val="center"/>
            <w:hideMark/>
          </w:tcPr>
          <w:p w14:paraId="4A9CB36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6,350,440,978.86</w:t>
            </w:r>
          </w:p>
        </w:tc>
        <w:tc>
          <w:tcPr>
            <w:tcW w:w="1346" w:type="dxa"/>
            <w:shd w:val="clear" w:color="auto" w:fill="auto"/>
            <w:vAlign w:val="center"/>
            <w:hideMark/>
          </w:tcPr>
          <w:p w14:paraId="789C726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6,350,440,978.86</w:t>
            </w:r>
          </w:p>
        </w:tc>
        <w:tc>
          <w:tcPr>
            <w:tcW w:w="1426" w:type="dxa"/>
            <w:shd w:val="clear" w:color="auto" w:fill="auto"/>
            <w:vAlign w:val="center"/>
            <w:hideMark/>
          </w:tcPr>
          <w:p w14:paraId="24DCD0E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455,952,286.81</w:t>
            </w:r>
          </w:p>
        </w:tc>
        <w:tc>
          <w:tcPr>
            <w:tcW w:w="1346" w:type="dxa"/>
            <w:shd w:val="clear" w:color="auto" w:fill="auto"/>
            <w:vAlign w:val="center"/>
            <w:hideMark/>
          </w:tcPr>
          <w:p w14:paraId="4646E37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5,894,488,692.05</w:t>
            </w:r>
          </w:p>
        </w:tc>
        <w:tc>
          <w:tcPr>
            <w:tcW w:w="945" w:type="dxa"/>
            <w:shd w:val="clear" w:color="auto" w:fill="auto"/>
            <w:vAlign w:val="center"/>
            <w:hideMark/>
          </w:tcPr>
          <w:p w14:paraId="28922DB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AF1AB1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5,894,488,692.04</w:t>
            </w:r>
          </w:p>
        </w:tc>
      </w:tr>
      <w:tr w:rsidR="00040CFB" w:rsidRPr="009772A3" w14:paraId="2862D0A0" w14:textId="77777777" w:rsidTr="00040CFB">
        <w:trPr>
          <w:trHeight w:val="20"/>
        </w:trPr>
        <w:tc>
          <w:tcPr>
            <w:tcW w:w="1985" w:type="dxa"/>
            <w:shd w:val="clear" w:color="000000" w:fill="FFC000"/>
            <w:vAlign w:val="center"/>
            <w:hideMark/>
          </w:tcPr>
          <w:p w14:paraId="3D561CF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31.12.2020</w:t>
            </w:r>
          </w:p>
        </w:tc>
        <w:tc>
          <w:tcPr>
            <w:tcW w:w="1346" w:type="dxa"/>
            <w:shd w:val="clear" w:color="auto" w:fill="auto"/>
            <w:vAlign w:val="center"/>
            <w:hideMark/>
          </w:tcPr>
          <w:p w14:paraId="2BA1FF4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00CC296F"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335E2F7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3F508FAD"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10A4A6D8"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7A1771A"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55E96EEB" w14:textId="77777777" w:rsidTr="00040CFB">
        <w:trPr>
          <w:trHeight w:val="20"/>
        </w:trPr>
        <w:tc>
          <w:tcPr>
            <w:tcW w:w="1985" w:type="dxa"/>
            <w:shd w:val="clear" w:color="auto" w:fill="auto"/>
            <w:vAlign w:val="center"/>
            <w:hideMark/>
          </w:tcPr>
          <w:p w14:paraId="46DBF9F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01.01.2020</w:t>
            </w:r>
          </w:p>
        </w:tc>
        <w:tc>
          <w:tcPr>
            <w:tcW w:w="1346" w:type="dxa"/>
            <w:shd w:val="clear" w:color="auto" w:fill="auto"/>
            <w:vAlign w:val="center"/>
            <w:hideMark/>
          </w:tcPr>
          <w:p w14:paraId="0011F65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6,350,440,978.86</w:t>
            </w:r>
          </w:p>
        </w:tc>
        <w:tc>
          <w:tcPr>
            <w:tcW w:w="1346" w:type="dxa"/>
            <w:shd w:val="clear" w:color="auto" w:fill="auto"/>
            <w:vAlign w:val="center"/>
            <w:hideMark/>
          </w:tcPr>
          <w:p w14:paraId="4C25220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6,350,440,978.86</w:t>
            </w:r>
          </w:p>
        </w:tc>
        <w:tc>
          <w:tcPr>
            <w:tcW w:w="1426" w:type="dxa"/>
            <w:shd w:val="clear" w:color="auto" w:fill="auto"/>
            <w:vAlign w:val="center"/>
            <w:hideMark/>
          </w:tcPr>
          <w:p w14:paraId="4796607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455,952,286.81</w:t>
            </w:r>
          </w:p>
        </w:tc>
        <w:tc>
          <w:tcPr>
            <w:tcW w:w="1346" w:type="dxa"/>
            <w:shd w:val="clear" w:color="auto" w:fill="auto"/>
            <w:vAlign w:val="center"/>
            <w:hideMark/>
          </w:tcPr>
          <w:p w14:paraId="6F00D15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5,894,488,692.05</w:t>
            </w:r>
          </w:p>
        </w:tc>
        <w:tc>
          <w:tcPr>
            <w:tcW w:w="945" w:type="dxa"/>
            <w:shd w:val="clear" w:color="auto" w:fill="auto"/>
            <w:vAlign w:val="center"/>
            <w:hideMark/>
          </w:tcPr>
          <w:p w14:paraId="0D6BAAF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768B37D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5,894,488,692.04</w:t>
            </w:r>
          </w:p>
        </w:tc>
      </w:tr>
      <w:tr w:rsidR="00040CFB" w:rsidRPr="009772A3" w14:paraId="32C8C8E8" w14:textId="77777777" w:rsidTr="00040CFB">
        <w:trPr>
          <w:trHeight w:val="20"/>
        </w:trPr>
        <w:tc>
          <w:tcPr>
            <w:tcW w:w="1985" w:type="dxa"/>
            <w:shd w:val="clear" w:color="auto" w:fill="auto"/>
            <w:vAlign w:val="center"/>
            <w:hideMark/>
          </w:tcPr>
          <w:p w14:paraId="7EA4C53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122EA4A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452,148,179.94</w:t>
            </w:r>
          </w:p>
        </w:tc>
        <w:tc>
          <w:tcPr>
            <w:tcW w:w="1346" w:type="dxa"/>
            <w:shd w:val="clear" w:color="auto" w:fill="auto"/>
            <w:vAlign w:val="center"/>
            <w:hideMark/>
          </w:tcPr>
          <w:p w14:paraId="226E594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452,148,179.94</w:t>
            </w:r>
          </w:p>
        </w:tc>
        <w:tc>
          <w:tcPr>
            <w:tcW w:w="1426" w:type="dxa"/>
            <w:shd w:val="clear" w:color="auto" w:fill="auto"/>
            <w:vAlign w:val="center"/>
            <w:hideMark/>
          </w:tcPr>
          <w:p w14:paraId="7E63D9B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167,675,949.87</w:t>
            </w:r>
          </w:p>
        </w:tc>
        <w:tc>
          <w:tcPr>
            <w:tcW w:w="1346" w:type="dxa"/>
            <w:shd w:val="clear" w:color="auto" w:fill="auto"/>
            <w:vAlign w:val="center"/>
            <w:hideMark/>
          </w:tcPr>
          <w:p w14:paraId="57A5763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284,472,230.07</w:t>
            </w:r>
          </w:p>
        </w:tc>
        <w:tc>
          <w:tcPr>
            <w:tcW w:w="945" w:type="dxa"/>
            <w:shd w:val="clear" w:color="auto" w:fill="auto"/>
            <w:vAlign w:val="center"/>
            <w:hideMark/>
          </w:tcPr>
          <w:p w14:paraId="01B5D3C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37898BE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285,833,432.88</w:t>
            </w:r>
          </w:p>
        </w:tc>
      </w:tr>
      <w:tr w:rsidR="00040CFB" w:rsidRPr="009772A3" w14:paraId="2BD71297" w14:textId="77777777" w:rsidTr="00040CFB">
        <w:trPr>
          <w:trHeight w:val="20"/>
        </w:trPr>
        <w:tc>
          <w:tcPr>
            <w:tcW w:w="1985" w:type="dxa"/>
            <w:shd w:val="clear" w:color="auto" w:fill="auto"/>
            <w:vAlign w:val="center"/>
            <w:hideMark/>
          </w:tcPr>
          <w:p w14:paraId="5BA6D867"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2020</w:t>
            </w:r>
          </w:p>
        </w:tc>
        <w:tc>
          <w:tcPr>
            <w:tcW w:w="1346" w:type="dxa"/>
            <w:shd w:val="clear" w:color="auto" w:fill="auto"/>
            <w:vAlign w:val="center"/>
            <w:hideMark/>
          </w:tcPr>
          <w:p w14:paraId="2AC8DDBB"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183,660,294.48</w:t>
            </w:r>
          </w:p>
        </w:tc>
        <w:tc>
          <w:tcPr>
            <w:tcW w:w="1346" w:type="dxa"/>
            <w:shd w:val="clear" w:color="auto" w:fill="auto"/>
            <w:vAlign w:val="center"/>
            <w:hideMark/>
          </w:tcPr>
          <w:p w14:paraId="76EF218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183,660,294.48</w:t>
            </w:r>
          </w:p>
        </w:tc>
        <w:tc>
          <w:tcPr>
            <w:tcW w:w="1426" w:type="dxa"/>
            <w:shd w:val="clear" w:color="auto" w:fill="auto"/>
            <w:vAlign w:val="center"/>
            <w:hideMark/>
          </w:tcPr>
          <w:p w14:paraId="4EE5322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183,660,294.48</w:t>
            </w:r>
          </w:p>
        </w:tc>
        <w:tc>
          <w:tcPr>
            <w:tcW w:w="1346" w:type="dxa"/>
            <w:shd w:val="clear" w:color="auto" w:fill="auto"/>
            <w:vAlign w:val="center"/>
            <w:hideMark/>
          </w:tcPr>
          <w:p w14:paraId="49C19F04"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945" w:type="dxa"/>
            <w:shd w:val="clear" w:color="auto" w:fill="auto"/>
            <w:vAlign w:val="center"/>
            <w:hideMark/>
          </w:tcPr>
          <w:p w14:paraId="23FE33A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6A11117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1,361,202.81</w:t>
            </w:r>
          </w:p>
        </w:tc>
      </w:tr>
      <w:tr w:rsidR="00040CFB" w:rsidRPr="009772A3" w14:paraId="2AF85DD3" w14:textId="77777777" w:rsidTr="00040CFB">
        <w:trPr>
          <w:trHeight w:val="20"/>
        </w:trPr>
        <w:tc>
          <w:tcPr>
            <w:tcW w:w="1985" w:type="dxa"/>
            <w:shd w:val="clear" w:color="auto" w:fill="auto"/>
            <w:vAlign w:val="center"/>
            <w:hideMark/>
          </w:tcPr>
          <w:p w14:paraId="59995D03"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31.12.2020:</w:t>
            </w:r>
          </w:p>
        </w:tc>
        <w:tc>
          <w:tcPr>
            <w:tcW w:w="1346" w:type="dxa"/>
            <w:shd w:val="clear" w:color="auto" w:fill="auto"/>
            <w:vAlign w:val="center"/>
            <w:hideMark/>
          </w:tcPr>
          <w:p w14:paraId="6B9226B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6,618,928,864.32</w:t>
            </w:r>
          </w:p>
        </w:tc>
        <w:tc>
          <w:tcPr>
            <w:tcW w:w="1346" w:type="dxa"/>
            <w:shd w:val="clear" w:color="auto" w:fill="auto"/>
            <w:vAlign w:val="center"/>
            <w:hideMark/>
          </w:tcPr>
          <w:p w14:paraId="60E4002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6,618,928,864.32</w:t>
            </w:r>
          </w:p>
        </w:tc>
        <w:tc>
          <w:tcPr>
            <w:tcW w:w="1426" w:type="dxa"/>
            <w:shd w:val="clear" w:color="auto" w:fill="auto"/>
            <w:vAlign w:val="center"/>
            <w:hideMark/>
          </w:tcPr>
          <w:p w14:paraId="25E7226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439,967,942.20</w:t>
            </w:r>
          </w:p>
        </w:tc>
        <w:tc>
          <w:tcPr>
            <w:tcW w:w="1346" w:type="dxa"/>
            <w:shd w:val="clear" w:color="auto" w:fill="auto"/>
            <w:vAlign w:val="center"/>
            <w:hideMark/>
          </w:tcPr>
          <w:p w14:paraId="2F1F866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6,178,960,922.12</w:t>
            </w:r>
          </w:p>
        </w:tc>
        <w:tc>
          <w:tcPr>
            <w:tcW w:w="945" w:type="dxa"/>
            <w:shd w:val="clear" w:color="auto" w:fill="auto"/>
            <w:vAlign w:val="center"/>
            <w:hideMark/>
          </w:tcPr>
          <w:p w14:paraId="67743E7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718C35C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6,178,960,922.11</w:t>
            </w:r>
          </w:p>
        </w:tc>
      </w:tr>
      <w:tr w:rsidR="00040CFB" w:rsidRPr="009772A3" w14:paraId="3DA05EF7" w14:textId="77777777" w:rsidTr="00040CFB">
        <w:trPr>
          <w:trHeight w:val="20"/>
        </w:trPr>
        <w:tc>
          <w:tcPr>
            <w:tcW w:w="1985" w:type="dxa"/>
            <w:shd w:val="clear" w:color="000000" w:fill="FFC000"/>
            <w:vAlign w:val="center"/>
            <w:hideMark/>
          </w:tcPr>
          <w:p w14:paraId="109ED200"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31.12.2021</w:t>
            </w:r>
          </w:p>
        </w:tc>
        <w:tc>
          <w:tcPr>
            <w:tcW w:w="1346" w:type="dxa"/>
            <w:shd w:val="clear" w:color="auto" w:fill="auto"/>
            <w:vAlign w:val="center"/>
            <w:hideMark/>
          </w:tcPr>
          <w:p w14:paraId="37EB081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4EA330A1"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426" w:type="dxa"/>
            <w:shd w:val="clear" w:color="auto" w:fill="auto"/>
            <w:vAlign w:val="center"/>
            <w:hideMark/>
          </w:tcPr>
          <w:p w14:paraId="658D602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7BADFBC6"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945" w:type="dxa"/>
            <w:shd w:val="clear" w:color="auto" w:fill="auto"/>
            <w:vAlign w:val="center"/>
            <w:hideMark/>
          </w:tcPr>
          <w:p w14:paraId="5CA0CBB2"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1FB353B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r>
      <w:tr w:rsidR="00040CFB" w:rsidRPr="009772A3" w14:paraId="1BD84EEB" w14:textId="77777777" w:rsidTr="00040CFB">
        <w:trPr>
          <w:trHeight w:val="20"/>
        </w:trPr>
        <w:tc>
          <w:tcPr>
            <w:tcW w:w="1985" w:type="dxa"/>
            <w:shd w:val="clear" w:color="auto" w:fill="auto"/>
            <w:vAlign w:val="center"/>
            <w:hideMark/>
          </w:tcPr>
          <w:p w14:paraId="4AF0E5A5"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01.01.2021</w:t>
            </w:r>
          </w:p>
        </w:tc>
        <w:tc>
          <w:tcPr>
            <w:tcW w:w="1346" w:type="dxa"/>
            <w:shd w:val="clear" w:color="auto" w:fill="auto"/>
            <w:vAlign w:val="center"/>
            <w:hideMark/>
          </w:tcPr>
          <w:p w14:paraId="16A6CC2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6,618,928,864.32</w:t>
            </w:r>
          </w:p>
        </w:tc>
        <w:tc>
          <w:tcPr>
            <w:tcW w:w="1346" w:type="dxa"/>
            <w:shd w:val="clear" w:color="auto" w:fill="auto"/>
            <w:vAlign w:val="center"/>
            <w:hideMark/>
          </w:tcPr>
          <w:p w14:paraId="17F1B1A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6,618,928,864.32</w:t>
            </w:r>
          </w:p>
        </w:tc>
        <w:tc>
          <w:tcPr>
            <w:tcW w:w="1426" w:type="dxa"/>
            <w:shd w:val="clear" w:color="auto" w:fill="auto"/>
            <w:vAlign w:val="center"/>
            <w:hideMark/>
          </w:tcPr>
          <w:p w14:paraId="2E393F3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439,967,942.20</w:t>
            </w:r>
          </w:p>
        </w:tc>
        <w:tc>
          <w:tcPr>
            <w:tcW w:w="1346" w:type="dxa"/>
            <w:shd w:val="clear" w:color="auto" w:fill="auto"/>
            <w:vAlign w:val="center"/>
            <w:hideMark/>
          </w:tcPr>
          <w:p w14:paraId="653A076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6,178,960,922.12</w:t>
            </w:r>
          </w:p>
        </w:tc>
        <w:tc>
          <w:tcPr>
            <w:tcW w:w="945" w:type="dxa"/>
            <w:shd w:val="clear" w:color="auto" w:fill="auto"/>
            <w:vAlign w:val="center"/>
            <w:hideMark/>
          </w:tcPr>
          <w:p w14:paraId="7E39E02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0D589EF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6,178,960,922.11</w:t>
            </w:r>
          </w:p>
        </w:tc>
      </w:tr>
      <w:tr w:rsidR="00040CFB" w:rsidRPr="009772A3" w14:paraId="7490E33A" w14:textId="77777777" w:rsidTr="00040CFB">
        <w:trPr>
          <w:trHeight w:val="20"/>
        </w:trPr>
        <w:tc>
          <w:tcPr>
            <w:tcW w:w="1985" w:type="dxa"/>
            <w:shd w:val="clear" w:color="auto" w:fill="auto"/>
            <w:vAlign w:val="center"/>
            <w:hideMark/>
          </w:tcPr>
          <w:p w14:paraId="580D3E64"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Prețul de livrare a gazului</w:t>
            </w:r>
          </w:p>
        </w:tc>
        <w:tc>
          <w:tcPr>
            <w:tcW w:w="1346" w:type="dxa"/>
            <w:shd w:val="clear" w:color="auto" w:fill="auto"/>
            <w:vAlign w:val="center"/>
            <w:hideMark/>
          </w:tcPr>
          <w:p w14:paraId="0F1F70ED"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1,044,358,830.44</w:t>
            </w:r>
          </w:p>
        </w:tc>
        <w:tc>
          <w:tcPr>
            <w:tcW w:w="1346" w:type="dxa"/>
            <w:shd w:val="clear" w:color="auto" w:fill="auto"/>
            <w:vAlign w:val="center"/>
            <w:hideMark/>
          </w:tcPr>
          <w:p w14:paraId="443BEB7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1,044,358,830.44</w:t>
            </w:r>
          </w:p>
        </w:tc>
        <w:tc>
          <w:tcPr>
            <w:tcW w:w="1426" w:type="dxa"/>
            <w:shd w:val="clear" w:color="auto" w:fill="auto"/>
            <w:vAlign w:val="center"/>
            <w:hideMark/>
          </w:tcPr>
          <w:p w14:paraId="49C53D5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352,459,731.44</w:t>
            </w:r>
          </w:p>
        </w:tc>
        <w:tc>
          <w:tcPr>
            <w:tcW w:w="1346" w:type="dxa"/>
            <w:shd w:val="clear" w:color="auto" w:fill="auto"/>
            <w:vAlign w:val="center"/>
            <w:hideMark/>
          </w:tcPr>
          <w:p w14:paraId="2ECF689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691,899,099.00</w:t>
            </w:r>
          </w:p>
        </w:tc>
        <w:tc>
          <w:tcPr>
            <w:tcW w:w="945" w:type="dxa"/>
            <w:shd w:val="clear" w:color="auto" w:fill="auto"/>
            <w:vAlign w:val="center"/>
            <w:hideMark/>
          </w:tcPr>
          <w:p w14:paraId="65ECE40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BF441E6"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692,244,197.36</w:t>
            </w:r>
          </w:p>
        </w:tc>
      </w:tr>
      <w:tr w:rsidR="00040CFB" w:rsidRPr="009772A3" w14:paraId="079E6485" w14:textId="77777777" w:rsidTr="00040CFB">
        <w:trPr>
          <w:trHeight w:val="20"/>
        </w:trPr>
        <w:tc>
          <w:tcPr>
            <w:tcW w:w="1985" w:type="dxa"/>
            <w:shd w:val="clear" w:color="auto" w:fill="auto"/>
            <w:vAlign w:val="center"/>
            <w:hideMark/>
          </w:tcPr>
          <w:p w14:paraId="02FFA98B" w14:textId="5312FA1C" w:rsidR="00537CE8" w:rsidRPr="009772A3" w:rsidRDefault="004C6D2F" w:rsidP="004C6D2F">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xml:space="preserve">Rezervarea </w:t>
            </w:r>
            <w:r w:rsidR="00537CE8" w:rsidRPr="009772A3">
              <w:rPr>
                <w:rFonts w:asciiTheme="majorHAnsi" w:eastAsia="Times New Roman" w:hAnsiTheme="majorHAnsi" w:cstheme="majorHAnsi"/>
                <w:sz w:val="16"/>
                <w:szCs w:val="20"/>
                <w:lang w:val="ro-MD"/>
              </w:rPr>
              <w:t>capacit</w:t>
            </w:r>
            <w:r w:rsidRPr="009772A3">
              <w:rPr>
                <w:rFonts w:asciiTheme="majorHAnsi" w:eastAsia="Times New Roman" w:hAnsiTheme="majorHAnsi" w:cstheme="majorHAnsi"/>
                <w:sz w:val="16"/>
                <w:szCs w:val="20"/>
                <w:lang w:val="ro-MD"/>
              </w:rPr>
              <w:t>ăț</w:t>
            </w:r>
            <w:r w:rsidR="00537CE8" w:rsidRPr="009772A3">
              <w:rPr>
                <w:rFonts w:asciiTheme="majorHAnsi" w:eastAsia="Times New Roman" w:hAnsiTheme="majorHAnsi" w:cstheme="majorHAnsi"/>
                <w:sz w:val="16"/>
                <w:szCs w:val="20"/>
                <w:lang w:val="ro-MD"/>
              </w:rPr>
              <w:t xml:space="preserve">ilor suplimentare </w:t>
            </w:r>
            <w:r w:rsidRPr="009772A3">
              <w:rPr>
                <w:rFonts w:asciiTheme="majorHAnsi" w:eastAsia="Times New Roman" w:hAnsiTheme="majorHAnsi" w:cstheme="majorHAnsi"/>
                <w:sz w:val="16"/>
                <w:szCs w:val="20"/>
                <w:lang w:val="ro-MD"/>
              </w:rPr>
              <w:t xml:space="preserve">în </w:t>
            </w:r>
            <w:r w:rsidR="00537CE8" w:rsidRPr="009772A3">
              <w:rPr>
                <w:rFonts w:asciiTheme="majorHAnsi" w:eastAsia="Times New Roman" w:hAnsiTheme="majorHAnsi" w:cstheme="majorHAnsi"/>
                <w:sz w:val="16"/>
                <w:szCs w:val="20"/>
                <w:lang w:val="ro-MD"/>
              </w:rPr>
              <w:t>Ucraina</w:t>
            </w:r>
          </w:p>
        </w:tc>
        <w:tc>
          <w:tcPr>
            <w:tcW w:w="1346" w:type="dxa"/>
            <w:shd w:val="clear" w:color="auto" w:fill="auto"/>
            <w:vAlign w:val="center"/>
            <w:hideMark/>
          </w:tcPr>
          <w:p w14:paraId="2517FD4F"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4,867,768.00</w:t>
            </w:r>
          </w:p>
        </w:tc>
        <w:tc>
          <w:tcPr>
            <w:tcW w:w="1346" w:type="dxa"/>
            <w:shd w:val="clear" w:color="auto" w:fill="auto"/>
            <w:vAlign w:val="center"/>
            <w:hideMark/>
          </w:tcPr>
          <w:p w14:paraId="245D81F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4,867,768.00</w:t>
            </w:r>
          </w:p>
        </w:tc>
        <w:tc>
          <w:tcPr>
            <w:tcW w:w="1426" w:type="dxa"/>
            <w:shd w:val="clear" w:color="auto" w:fill="auto"/>
            <w:vAlign w:val="center"/>
            <w:hideMark/>
          </w:tcPr>
          <w:p w14:paraId="324EB48C"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2,866,491.26</w:t>
            </w:r>
          </w:p>
        </w:tc>
        <w:tc>
          <w:tcPr>
            <w:tcW w:w="1346" w:type="dxa"/>
            <w:shd w:val="clear" w:color="auto" w:fill="auto"/>
            <w:vAlign w:val="center"/>
            <w:hideMark/>
          </w:tcPr>
          <w:p w14:paraId="107128F7"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2,001,276.74</w:t>
            </w:r>
          </w:p>
        </w:tc>
        <w:tc>
          <w:tcPr>
            <w:tcW w:w="945" w:type="dxa"/>
            <w:shd w:val="clear" w:color="auto" w:fill="auto"/>
            <w:vAlign w:val="center"/>
            <w:hideMark/>
          </w:tcPr>
          <w:p w14:paraId="603D57DB"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 </w:t>
            </w:r>
          </w:p>
        </w:tc>
        <w:tc>
          <w:tcPr>
            <w:tcW w:w="1346" w:type="dxa"/>
            <w:shd w:val="clear" w:color="auto" w:fill="auto"/>
            <w:vAlign w:val="center"/>
            <w:hideMark/>
          </w:tcPr>
          <w:p w14:paraId="2C605B61"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2,001,276.74</w:t>
            </w:r>
          </w:p>
        </w:tc>
      </w:tr>
      <w:tr w:rsidR="00040CFB" w:rsidRPr="009772A3" w14:paraId="09AC5665" w14:textId="77777777" w:rsidTr="00040CFB">
        <w:trPr>
          <w:trHeight w:val="20"/>
        </w:trPr>
        <w:tc>
          <w:tcPr>
            <w:tcW w:w="1985" w:type="dxa"/>
            <w:shd w:val="clear" w:color="auto" w:fill="auto"/>
            <w:vAlign w:val="center"/>
            <w:hideMark/>
          </w:tcPr>
          <w:p w14:paraId="5498045E" w14:textId="77777777"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Încasări financiare în 2021</w:t>
            </w:r>
          </w:p>
        </w:tc>
        <w:tc>
          <w:tcPr>
            <w:tcW w:w="1346" w:type="dxa"/>
            <w:shd w:val="clear" w:color="auto" w:fill="auto"/>
            <w:vAlign w:val="center"/>
            <w:hideMark/>
          </w:tcPr>
          <w:p w14:paraId="66EC614A"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326,577,497.81</w:t>
            </w:r>
          </w:p>
        </w:tc>
        <w:tc>
          <w:tcPr>
            <w:tcW w:w="1346" w:type="dxa"/>
            <w:shd w:val="clear" w:color="auto" w:fill="auto"/>
            <w:vAlign w:val="center"/>
            <w:hideMark/>
          </w:tcPr>
          <w:p w14:paraId="155D373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326,577,497.81</w:t>
            </w:r>
          </w:p>
        </w:tc>
        <w:tc>
          <w:tcPr>
            <w:tcW w:w="1426" w:type="dxa"/>
            <w:shd w:val="clear" w:color="auto" w:fill="auto"/>
            <w:vAlign w:val="center"/>
            <w:hideMark/>
          </w:tcPr>
          <w:p w14:paraId="341CF375"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325,651,379.81</w:t>
            </w:r>
          </w:p>
        </w:tc>
        <w:tc>
          <w:tcPr>
            <w:tcW w:w="1346" w:type="dxa"/>
            <w:shd w:val="clear" w:color="auto" w:fill="auto"/>
            <w:vAlign w:val="center"/>
            <w:hideMark/>
          </w:tcPr>
          <w:p w14:paraId="55B4903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926,118.00</w:t>
            </w:r>
          </w:p>
        </w:tc>
        <w:tc>
          <w:tcPr>
            <w:tcW w:w="945" w:type="dxa"/>
            <w:shd w:val="clear" w:color="auto" w:fill="auto"/>
            <w:vAlign w:val="center"/>
            <w:hideMark/>
          </w:tcPr>
          <w:p w14:paraId="0B0E71F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436E99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1,271,216.36</w:t>
            </w:r>
          </w:p>
        </w:tc>
      </w:tr>
      <w:tr w:rsidR="00040CFB" w:rsidRPr="009772A3" w14:paraId="1EE691A4" w14:textId="77777777" w:rsidTr="00040CFB">
        <w:trPr>
          <w:trHeight w:val="20"/>
        </w:trPr>
        <w:tc>
          <w:tcPr>
            <w:tcW w:w="1985" w:type="dxa"/>
            <w:shd w:val="clear" w:color="auto" w:fill="auto"/>
            <w:vAlign w:val="center"/>
            <w:hideMark/>
          </w:tcPr>
          <w:p w14:paraId="15F7CDD2" w14:textId="1A11E0B6" w:rsidR="00537CE8" w:rsidRPr="009772A3" w:rsidRDefault="00537CE8" w:rsidP="00537CE8">
            <w:pPr>
              <w:spacing w:after="0" w:line="240" w:lineRule="auto"/>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Datorii pentru gaz la 31.12.2021</w:t>
            </w:r>
          </w:p>
        </w:tc>
        <w:tc>
          <w:tcPr>
            <w:tcW w:w="1346" w:type="dxa"/>
            <w:shd w:val="clear" w:color="auto" w:fill="auto"/>
            <w:vAlign w:val="center"/>
            <w:hideMark/>
          </w:tcPr>
          <w:p w14:paraId="5E9F9E18"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7,341,577,964.95</w:t>
            </w:r>
          </w:p>
        </w:tc>
        <w:tc>
          <w:tcPr>
            <w:tcW w:w="1346" w:type="dxa"/>
            <w:shd w:val="clear" w:color="auto" w:fill="auto"/>
            <w:vAlign w:val="center"/>
            <w:hideMark/>
          </w:tcPr>
          <w:p w14:paraId="2C80F063"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7,341,577,964.95</w:t>
            </w:r>
          </w:p>
        </w:tc>
        <w:tc>
          <w:tcPr>
            <w:tcW w:w="1426" w:type="dxa"/>
            <w:shd w:val="clear" w:color="auto" w:fill="auto"/>
            <w:vAlign w:val="center"/>
            <w:hideMark/>
          </w:tcPr>
          <w:p w14:paraId="6992CE7E"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469,642,785.09</w:t>
            </w:r>
          </w:p>
        </w:tc>
        <w:tc>
          <w:tcPr>
            <w:tcW w:w="1346" w:type="dxa"/>
            <w:shd w:val="clear" w:color="auto" w:fill="auto"/>
            <w:vAlign w:val="center"/>
            <w:hideMark/>
          </w:tcPr>
          <w:p w14:paraId="4008B162"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6,871,935,179.86</w:t>
            </w:r>
          </w:p>
        </w:tc>
        <w:tc>
          <w:tcPr>
            <w:tcW w:w="945" w:type="dxa"/>
            <w:shd w:val="clear" w:color="auto" w:fill="auto"/>
            <w:vAlign w:val="center"/>
            <w:hideMark/>
          </w:tcPr>
          <w:p w14:paraId="2889CEE0"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0.00</w:t>
            </w:r>
          </w:p>
        </w:tc>
        <w:tc>
          <w:tcPr>
            <w:tcW w:w="1346" w:type="dxa"/>
            <w:shd w:val="clear" w:color="auto" w:fill="auto"/>
            <w:vAlign w:val="center"/>
            <w:hideMark/>
          </w:tcPr>
          <w:p w14:paraId="49D22BC9" w14:textId="77777777" w:rsidR="00537CE8" w:rsidRPr="009772A3" w:rsidRDefault="00537CE8" w:rsidP="00537CE8">
            <w:pPr>
              <w:spacing w:after="0" w:line="240" w:lineRule="auto"/>
              <w:jc w:val="right"/>
              <w:rPr>
                <w:rFonts w:asciiTheme="majorHAnsi" w:eastAsia="Times New Roman" w:hAnsiTheme="majorHAnsi" w:cstheme="majorHAnsi"/>
                <w:sz w:val="16"/>
                <w:szCs w:val="20"/>
                <w:lang w:val="ro-MD"/>
              </w:rPr>
            </w:pPr>
            <w:r w:rsidRPr="009772A3">
              <w:rPr>
                <w:rFonts w:asciiTheme="majorHAnsi" w:eastAsia="Times New Roman" w:hAnsiTheme="majorHAnsi" w:cstheme="majorHAnsi"/>
                <w:sz w:val="16"/>
                <w:szCs w:val="20"/>
                <w:lang w:val="ro-MD"/>
              </w:rPr>
              <w:t>6,871,935,179.85</w:t>
            </w:r>
          </w:p>
        </w:tc>
      </w:tr>
    </w:tbl>
    <w:p w14:paraId="2451F5BA" w14:textId="4D4863DD" w:rsidR="00532FE0" w:rsidRDefault="00114E48" w:rsidP="00CF3AD4">
      <w:pPr>
        <w:jc w:val="both"/>
        <w:rPr>
          <w:rFonts w:asciiTheme="majorHAnsi" w:hAnsiTheme="majorHAnsi" w:cstheme="majorHAnsi"/>
          <w:sz w:val="20"/>
          <w:szCs w:val="20"/>
          <w:lang w:val="ro-MD"/>
        </w:rPr>
      </w:pPr>
      <w:r w:rsidRPr="00CF3AD4">
        <w:rPr>
          <w:rFonts w:asciiTheme="majorHAnsi" w:hAnsiTheme="majorHAnsi" w:cstheme="majorHAnsi"/>
          <w:sz w:val="20"/>
          <w:szCs w:val="20"/>
          <w:lang w:val="ro-MD"/>
        </w:rPr>
        <w:t>Sursa: Actele de verificare a datoriilor întocmite în perioada 1994-2021 de SA Concernul Moldovagaz, SA Gazsnabtranzit și SA Moldovagaz cu SA Gazprom și SRL Tiraspoltransgaz.</w:t>
      </w:r>
    </w:p>
    <w:p w14:paraId="558EF9A0" w14:textId="73994AEA" w:rsidR="00F330B1" w:rsidRPr="00F330B1" w:rsidRDefault="00F330B1" w:rsidP="00F330B1">
      <w:pPr>
        <w:rPr>
          <w:rFonts w:asciiTheme="majorHAnsi" w:hAnsiTheme="majorHAnsi" w:cstheme="majorHAnsi"/>
          <w:sz w:val="20"/>
          <w:szCs w:val="20"/>
          <w:lang w:val="ro-MD"/>
        </w:rPr>
      </w:pPr>
      <w:r w:rsidRPr="00F330B1">
        <w:rPr>
          <w:rFonts w:asciiTheme="majorHAnsi" w:hAnsiTheme="majorHAnsi" w:cstheme="majorHAnsi"/>
          <w:sz w:val="20"/>
          <w:szCs w:val="20"/>
          <w:highlight w:val="green"/>
          <w:lang w:val="ro-MD"/>
        </w:rPr>
        <w:t>Notă:</w:t>
      </w:r>
      <w:r w:rsidRPr="00F330B1">
        <w:rPr>
          <w:rFonts w:asciiTheme="majorHAnsi" w:hAnsiTheme="majorHAnsi" w:cstheme="majorHAnsi"/>
          <w:sz w:val="20"/>
          <w:szCs w:val="20"/>
          <w:lang w:val="ro-MD"/>
        </w:rPr>
        <w:t xml:space="preserve"> - informații </w:t>
      </w:r>
      <w:r>
        <w:rPr>
          <w:rFonts w:asciiTheme="majorHAnsi" w:hAnsiTheme="majorHAnsi" w:cstheme="majorHAnsi"/>
          <w:sz w:val="20"/>
          <w:szCs w:val="20"/>
          <w:lang w:val="ro-MD"/>
        </w:rPr>
        <w:t>neoficiale</w:t>
      </w:r>
      <w:r w:rsidRPr="00F330B1">
        <w:rPr>
          <w:rFonts w:asciiTheme="majorHAnsi" w:hAnsiTheme="majorHAnsi" w:cstheme="majorHAnsi"/>
          <w:sz w:val="20"/>
          <w:szCs w:val="20"/>
          <w:lang w:val="ro-MD"/>
        </w:rPr>
        <w:t>. </w:t>
      </w:r>
    </w:p>
    <w:p w14:paraId="6D2BF8DD" w14:textId="77777777" w:rsidR="00F330B1" w:rsidRPr="00CF3AD4" w:rsidRDefault="00F330B1" w:rsidP="00CF3AD4">
      <w:pPr>
        <w:jc w:val="both"/>
        <w:rPr>
          <w:rFonts w:asciiTheme="majorHAnsi" w:hAnsiTheme="majorHAnsi" w:cstheme="majorHAnsi"/>
          <w:sz w:val="20"/>
          <w:szCs w:val="20"/>
          <w:lang w:val="ro-MD"/>
        </w:rPr>
      </w:pPr>
    </w:p>
    <w:p w14:paraId="05CA3BE0" w14:textId="77777777" w:rsidR="00A54CCF" w:rsidRPr="009772A3" w:rsidRDefault="00A54CCF" w:rsidP="00A54CCF">
      <w:pPr>
        <w:rPr>
          <w:lang w:val="ro-MD"/>
        </w:rPr>
      </w:pPr>
    </w:p>
    <w:p w14:paraId="239DC408" w14:textId="4613F1E0" w:rsidR="00CC6A8C" w:rsidRPr="009772A3" w:rsidRDefault="00CC6A8C" w:rsidP="008F661E">
      <w:pPr>
        <w:rPr>
          <w:lang w:val="ro-MD"/>
        </w:rPr>
      </w:pPr>
    </w:p>
    <w:p w14:paraId="06330089" w14:textId="611D566A" w:rsidR="00A90008" w:rsidRPr="009772A3" w:rsidRDefault="00A90008">
      <w:pPr>
        <w:spacing w:line="259" w:lineRule="auto"/>
        <w:rPr>
          <w:lang w:val="ro-MD"/>
        </w:rPr>
      </w:pPr>
      <w:r w:rsidRPr="009772A3">
        <w:rPr>
          <w:lang w:val="ro-MD"/>
        </w:rPr>
        <w:br w:type="page"/>
      </w:r>
    </w:p>
    <w:p w14:paraId="4A1738F3" w14:textId="16EC3B5E" w:rsidR="00A90008" w:rsidRPr="009772A3" w:rsidRDefault="005A4C87" w:rsidP="005A4C87">
      <w:pPr>
        <w:pStyle w:val="Heading2"/>
        <w:jc w:val="center"/>
        <w:rPr>
          <w:color w:val="auto"/>
          <w:lang w:val="ro-MD"/>
        </w:rPr>
      </w:pPr>
      <w:bookmarkStart w:id="308" w:name="_Toc119496487"/>
      <w:r w:rsidRPr="009772A3">
        <w:rPr>
          <w:color w:val="auto"/>
          <w:lang w:val="ro-MD"/>
        </w:rPr>
        <w:t xml:space="preserve">Anexa nr.6. </w:t>
      </w:r>
      <w:r w:rsidR="00A90008" w:rsidRPr="009772A3">
        <w:rPr>
          <w:color w:val="auto"/>
          <w:lang w:val="ro-MD"/>
        </w:rPr>
        <w:t>Informați</w:t>
      </w:r>
      <w:r w:rsidR="000904FF" w:rsidRPr="009772A3">
        <w:rPr>
          <w:color w:val="auto"/>
          <w:lang w:val="ro-MD"/>
        </w:rPr>
        <w:t>i</w:t>
      </w:r>
      <w:r w:rsidR="00A90008" w:rsidRPr="009772A3">
        <w:rPr>
          <w:color w:val="auto"/>
          <w:lang w:val="ro-MD"/>
        </w:rPr>
        <w:t xml:space="preserve"> privind valoarea investițiilor realizate de către întreprinderile din sistemul gazelor naturale în perioada 2011-2021, acceptate și neacceptate de către ANRE spre recuperare pri</w:t>
      </w:r>
      <w:r w:rsidRPr="009772A3">
        <w:rPr>
          <w:color w:val="auto"/>
          <w:lang w:val="ro-MD"/>
        </w:rPr>
        <w:t>n tarif</w:t>
      </w:r>
      <w:bookmarkEnd w:id="308"/>
    </w:p>
    <w:p w14:paraId="77F0AB66" w14:textId="08E967AA" w:rsidR="00A90008" w:rsidRPr="009772A3" w:rsidRDefault="005A4C87" w:rsidP="00A90008">
      <w:pPr>
        <w:pStyle w:val="ListParagraph"/>
        <w:tabs>
          <w:tab w:val="left" w:pos="426"/>
        </w:tabs>
        <w:spacing w:after="120" w:line="240" w:lineRule="auto"/>
        <w:ind w:left="284" w:right="51"/>
        <w:jc w:val="right"/>
        <w:rPr>
          <w:rFonts w:asciiTheme="majorHAnsi" w:hAnsiTheme="majorHAnsi" w:cstheme="majorHAnsi"/>
          <w:sz w:val="24"/>
          <w:szCs w:val="24"/>
          <w:lang w:val="ro-MD"/>
        </w:rPr>
      </w:pPr>
      <w:r w:rsidRPr="009772A3">
        <w:rPr>
          <w:rFonts w:asciiTheme="majorHAnsi" w:hAnsiTheme="majorHAnsi" w:cstheme="majorHAnsi"/>
          <w:sz w:val="24"/>
          <w:szCs w:val="24"/>
          <w:lang w:val="ro-MD"/>
        </w:rPr>
        <w:t>(</w:t>
      </w:r>
      <w:r w:rsidR="00A90008" w:rsidRPr="009772A3">
        <w:rPr>
          <w:rFonts w:asciiTheme="majorHAnsi" w:hAnsiTheme="majorHAnsi" w:cstheme="majorHAnsi"/>
          <w:sz w:val="24"/>
          <w:szCs w:val="24"/>
          <w:lang w:val="ro-MD"/>
        </w:rPr>
        <w:t>mii lei, fără TVA</w:t>
      </w:r>
      <w:r w:rsidRPr="009772A3">
        <w:rPr>
          <w:rFonts w:asciiTheme="majorHAnsi" w:hAnsiTheme="majorHAnsi" w:cstheme="majorHAnsi"/>
          <w:sz w:val="24"/>
          <w:szCs w:val="24"/>
          <w:lang w:val="ro-MD"/>
        </w:rPr>
        <w:t>)</w:t>
      </w:r>
    </w:p>
    <w:tbl>
      <w:tblPr>
        <w:tblStyle w:val="TableGrid"/>
        <w:tblW w:w="0" w:type="auto"/>
        <w:tblInd w:w="-289" w:type="dxa"/>
        <w:tblLook w:val="04A0" w:firstRow="1" w:lastRow="0" w:firstColumn="1" w:lastColumn="0" w:noHBand="0" w:noVBand="1"/>
      </w:tblPr>
      <w:tblGrid>
        <w:gridCol w:w="2490"/>
        <w:gridCol w:w="1310"/>
        <w:gridCol w:w="1419"/>
        <w:gridCol w:w="2126"/>
        <w:gridCol w:w="2288"/>
      </w:tblGrid>
      <w:tr w:rsidR="00A90008" w:rsidRPr="009772A3" w14:paraId="068B756D" w14:textId="77777777" w:rsidTr="00630E8C">
        <w:trPr>
          <w:trHeight w:val="20"/>
        </w:trPr>
        <w:tc>
          <w:tcPr>
            <w:tcW w:w="2490" w:type="dxa"/>
            <w:vAlign w:val="center"/>
          </w:tcPr>
          <w:p w14:paraId="66EC6230" w14:textId="77777777" w:rsidR="00A90008" w:rsidRPr="009772A3" w:rsidRDefault="00A90008" w:rsidP="00C306D5">
            <w:pPr>
              <w:pStyle w:val="ListParagraph"/>
              <w:tabs>
                <w:tab w:val="left" w:pos="426"/>
              </w:tabs>
              <w:spacing w:line="240" w:lineRule="auto"/>
              <w:ind w:left="0" w:right="51"/>
              <w:jc w:val="center"/>
              <w:rPr>
                <w:rFonts w:asciiTheme="majorHAnsi" w:hAnsiTheme="majorHAnsi" w:cstheme="majorHAnsi"/>
                <w:b/>
                <w:sz w:val="20"/>
                <w:szCs w:val="24"/>
                <w:lang w:val="ro-MD"/>
              </w:rPr>
            </w:pPr>
            <w:r w:rsidRPr="009772A3">
              <w:rPr>
                <w:rFonts w:asciiTheme="majorHAnsi" w:hAnsiTheme="majorHAnsi" w:cstheme="majorHAnsi"/>
                <w:b/>
                <w:sz w:val="20"/>
                <w:szCs w:val="24"/>
                <w:lang w:val="ro-MD"/>
              </w:rPr>
              <w:t>Denumirea instituției</w:t>
            </w:r>
          </w:p>
        </w:tc>
        <w:tc>
          <w:tcPr>
            <w:tcW w:w="1310" w:type="dxa"/>
            <w:vAlign w:val="center"/>
          </w:tcPr>
          <w:p w14:paraId="157FA847" w14:textId="77777777" w:rsidR="00A90008" w:rsidRPr="009772A3" w:rsidRDefault="00A90008" w:rsidP="00C306D5">
            <w:pPr>
              <w:pStyle w:val="ListParagraph"/>
              <w:tabs>
                <w:tab w:val="left" w:pos="426"/>
              </w:tabs>
              <w:spacing w:line="240" w:lineRule="auto"/>
              <w:ind w:left="0" w:right="51"/>
              <w:jc w:val="center"/>
              <w:rPr>
                <w:rFonts w:asciiTheme="majorHAnsi" w:hAnsiTheme="majorHAnsi" w:cstheme="majorHAnsi"/>
                <w:b/>
                <w:sz w:val="20"/>
                <w:szCs w:val="24"/>
                <w:lang w:val="ro-MD"/>
              </w:rPr>
            </w:pPr>
            <w:r w:rsidRPr="009772A3">
              <w:rPr>
                <w:rFonts w:asciiTheme="majorHAnsi" w:hAnsiTheme="majorHAnsi" w:cstheme="majorHAnsi"/>
                <w:b/>
                <w:sz w:val="20"/>
                <w:szCs w:val="24"/>
                <w:lang w:val="ro-MD"/>
              </w:rPr>
              <w:t>Perioada</w:t>
            </w:r>
          </w:p>
        </w:tc>
        <w:tc>
          <w:tcPr>
            <w:tcW w:w="1419" w:type="dxa"/>
            <w:vAlign w:val="center"/>
          </w:tcPr>
          <w:p w14:paraId="5D67614A" w14:textId="77777777" w:rsidR="00A90008" w:rsidRPr="009772A3" w:rsidRDefault="00A90008" w:rsidP="00C306D5">
            <w:pPr>
              <w:pStyle w:val="ListParagraph"/>
              <w:tabs>
                <w:tab w:val="left" w:pos="426"/>
              </w:tabs>
              <w:spacing w:line="240" w:lineRule="auto"/>
              <w:ind w:left="0" w:right="51"/>
              <w:jc w:val="center"/>
              <w:rPr>
                <w:rFonts w:asciiTheme="majorHAnsi" w:hAnsiTheme="majorHAnsi" w:cstheme="majorHAnsi"/>
                <w:b/>
                <w:sz w:val="20"/>
                <w:szCs w:val="24"/>
                <w:lang w:val="ro-MD"/>
              </w:rPr>
            </w:pPr>
            <w:r w:rsidRPr="009772A3">
              <w:rPr>
                <w:rFonts w:asciiTheme="majorHAnsi" w:hAnsiTheme="majorHAnsi" w:cstheme="majorHAnsi"/>
                <w:b/>
                <w:sz w:val="20"/>
                <w:szCs w:val="24"/>
                <w:lang w:val="ro-MD"/>
              </w:rPr>
              <w:t>Valoarea investițiilor realizate</w:t>
            </w:r>
          </w:p>
        </w:tc>
        <w:tc>
          <w:tcPr>
            <w:tcW w:w="2126" w:type="dxa"/>
            <w:vAlign w:val="center"/>
          </w:tcPr>
          <w:p w14:paraId="620C483F" w14:textId="77777777" w:rsidR="00A90008" w:rsidRPr="009772A3" w:rsidRDefault="00A90008" w:rsidP="00C306D5">
            <w:pPr>
              <w:pStyle w:val="ListParagraph"/>
              <w:tabs>
                <w:tab w:val="left" w:pos="426"/>
              </w:tabs>
              <w:spacing w:line="240" w:lineRule="auto"/>
              <w:ind w:left="0" w:right="51"/>
              <w:jc w:val="center"/>
              <w:rPr>
                <w:rFonts w:asciiTheme="majorHAnsi" w:hAnsiTheme="majorHAnsi" w:cstheme="majorHAnsi"/>
                <w:b/>
                <w:sz w:val="20"/>
                <w:szCs w:val="24"/>
                <w:lang w:val="ro-MD"/>
              </w:rPr>
            </w:pPr>
            <w:r w:rsidRPr="009772A3">
              <w:rPr>
                <w:rFonts w:asciiTheme="majorHAnsi" w:hAnsiTheme="majorHAnsi" w:cstheme="majorHAnsi"/>
                <w:b/>
                <w:sz w:val="20"/>
                <w:szCs w:val="24"/>
                <w:lang w:val="ro-MD"/>
              </w:rPr>
              <w:t>Valoarea investițiilor realizate, acceptate de ANRE</w:t>
            </w:r>
          </w:p>
        </w:tc>
        <w:tc>
          <w:tcPr>
            <w:tcW w:w="2288" w:type="dxa"/>
            <w:vAlign w:val="center"/>
          </w:tcPr>
          <w:p w14:paraId="0C3C761A" w14:textId="371E003F" w:rsidR="00A90008" w:rsidRPr="009772A3" w:rsidRDefault="00A90008" w:rsidP="00C306D5">
            <w:pPr>
              <w:pStyle w:val="ListParagraph"/>
              <w:tabs>
                <w:tab w:val="left" w:pos="426"/>
              </w:tabs>
              <w:spacing w:line="240" w:lineRule="auto"/>
              <w:ind w:left="0" w:right="51"/>
              <w:jc w:val="center"/>
              <w:rPr>
                <w:rFonts w:asciiTheme="majorHAnsi" w:hAnsiTheme="majorHAnsi" w:cstheme="majorHAnsi"/>
                <w:b/>
                <w:sz w:val="20"/>
                <w:szCs w:val="24"/>
                <w:lang w:val="ro-MD"/>
              </w:rPr>
            </w:pPr>
            <w:r w:rsidRPr="009772A3">
              <w:rPr>
                <w:rFonts w:asciiTheme="majorHAnsi" w:hAnsiTheme="majorHAnsi" w:cstheme="majorHAnsi"/>
                <w:b/>
                <w:sz w:val="20"/>
                <w:szCs w:val="24"/>
                <w:lang w:val="ro-MD"/>
              </w:rPr>
              <w:t>Valoarea investițiilor realizate</w:t>
            </w:r>
            <w:r w:rsidR="000904FF" w:rsidRPr="009772A3">
              <w:rPr>
                <w:rFonts w:asciiTheme="majorHAnsi" w:hAnsiTheme="majorHAnsi" w:cstheme="majorHAnsi"/>
                <w:b/>
                <w:sz w:val="20"/>
                <w:szCs w:val="24"/>
                <w:lang w:val="ro-MD"/>
              </w:rPr>
              <w:t>,</w:t>
            </w:r>
            <w:r w:rsidRPr="009772A3">
              <w:rPr>
                <w:rFonts w:asciiTheme="majorHAnsi" w:hAnsiTheme="majorHAnsi" w:cstheme="majorHAnsi"/>
                <w:b/>
                <w:sz w:val="20"/>
                <w:szCs w:val="24"/>
                <w:lang w:val="ro-MD"/>
              </w:rPr>
              <w:t xml:space="preserve"> neacceptate de ANRE</w:t>
            </w:r>
          </w:p>
        </w:tc>
      </w:tr>
      <w:tr w:rsidR="00A90008" w:rsidRPr="009772A3" w14:paraId="5B0E6234" w14:textId="77777777" w:rsidTr="00630E8C">
        <w:trPr>
          <w:trHeight w:val="20"/>
        </w:trPr>
        <w:tc>
          <w:tcPr>
            <w:tcW w:w="2490" w:type="dxa"/>
          </w:tcPr>
          <w:p w14:paraId="2F248FF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SA Moldovagaz</w:t>
            </w:r>
          </w:p>
        </w:tc>
        <w:tc>
          <w:tcPr>
            <w:tcW w:w="1310" w:type="dxa"/>
          </w:tcPr>
          <w:p w14:paraId="28B4E25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3E5CAA2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956,4</w:t>
            </w:r>
          </w:p>
        </w:tc>
        <w:tc>
          <w:tcPr>
            <w:tcW w:w="2126" w:type="dxa"/>
          </w:tcPr>
          <w:p w14:paraId="03F885F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956,4</w:t>
            </w:r>
          </w:p>
        </w:tc>
        <w:tc>
          <w:tcPr>
            <w:tcW w:w="2288" w:type="dxa"/>
          </w:tcPr>
          <w:p w14:paraId="7039235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415D1C11" w14:textId="77777777" w:rsidTr="00630E8C">
        <w:trPr>
          <w:trHeight w:val="20"/>
        </w:trPr>
        <w:tc>
          <w:tcPr>
            <w:tcW w:w="2490" w:type="dxa"/>
          </w:tcPr>
          <w:p w14:paraId="51DA406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CE49AC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2911F64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676,8</w:t>
            </w:r>
          </w:p>
        </w:tc>
        <w:tc>
          <w:tcPr>
            <w:tcW w:w="2126" w:type="dxa"/>
          </w:tcPr>
          <w:p w14:paraId="312271B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676,8</w:t>
            </w:r>
          </w:p>
        </w:tc>
        <w:tc>
          <w:tcPr>
            <w:tcW w:w="2288" w:type="dxa"/>
          </w:tcPr>
          <w:p w14:paraId="1171447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7DD2925B" w14:textId="77777777" w:rsidTr="00630E8C">
        <w:trPr>
          <w:trHeight w:val="20"/>
        </w:trPr>
        <w:tc>
          <w:tcPr>
            <w:tcW w:w="2490" w:type="dxa"/>
          </w:tcPr>
          <w:p w14:paraId="2C0A9BE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2E0BE40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1938BF9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792,6</w:t>
            </w:r>
          </w:p>
        </w:tc>
        <w:tc>
          <w:tcPr>
            <w:tcW w:w="2126" w:type="dxa"/>
          </w:tcPr>
          <w:p w14:paraId="311A907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792,6</w:t>
            </w:r>
          </w:p>
        </w:tc>
        <w:tc>
          <w:tcPr>
            <w:tcW w:w="2288" w:type="dxa"/>
          </w:tcPr>
          <w:p w14:paraId="63242CA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045FBF2E" w14:textId="77777777" w:rsidTr="00630E8C">
        <w:trPr>
          <w:trHeight w:val="20"/>
        </w:trPr>
        <w:tc>
          <w:tcPr>
            <w:tcW w:w="2490" w:type="dxa"/>
          </w:tcPr>
          <w:p w14:paraId="12459F0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3F28DA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5B31561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4062,5</w:t>
            </w:r>
          </w:p>
        </w:tc>
        <w:tc>
          <w:tcPr>
            <w:tcW w:w="2126" w:type="dxa"/>
          </w:tcPr>
          <w:p w14:paraId="0EC1D94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1477,0</w:t>
            </w:r>
          </w:p>
        </w:tc>
        <w:tc>
          <w:tcPr>
            <w:tcW w:w="2288" w:type="dxa"/>
          </w:tcPr>
          <w:p w14:paraId="3DB92F7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2585,5</w:t>
            </w:r>
          </w:p>
        </w:tc>
      </w:tr>
      <w:tr w:rsidR="00A90008" w:rsidRPr="009772A3" w14:paraId="3678F98B" w14:textId="77777777" w:rsidTr="00630E8C">
        <w:trPr>
          <w:trHeight w:val="20"/>
        </w:trPr>
        <w:tc>
          <w:tcPr>
            <w:tcW w:w="2490" w:type="dxa"/>
          </w:tcPr>
          <w:p w14:paraId="6836095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C1179A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457562E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3147,5</w:t>
            </w:r>
          </w:p>
        </w:tc>
        <w:tc>
          <w:tcPr>
            <w:tcW w:w="2126" w:type="dxa"/>
          </w:tcPr>
          <w:p w14:paraId="435FDA0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3083,6</w:t>
            </w:r>
          </w:p>
        </w:tc>
        <w:tc>
          <w:tcPr>
            <w:tcW w:w="2288" w:type="dxa"/>
          </w:tcPr>
          <w:p w14:paraId="4F3B715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63,6</w:t>
            </w:r>
          </w:p>
        </w:tc>
      </w:tr>
      <w:tr w:rsidR="00A90008" w:rsidRPr="009772A3" w14:paraId="38E7C5D9" w14:textId="77777777" w:rsidTr="00630E8C">
        <w:trPr>
          <w:trHeight w:val="20"/>
        </w:trPr>
        <w:tc>
          <w:tcPr>
            <w:tcW w:w="2490" w:type="dxa"/>
          </w:tcPr>
          <w:p w14:paraId="5A0A0D8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EB5F18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35006B3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1457,8</w:t>
            </w:r>
          </w:p>
        </w:tc>
        <w:tc>
          <w:tcPr>
            <w:tcW w:w="2126" w:type="dxa"/>
          </w:tcPr>
          <w:p w14:paraId="6C1DF14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200,0</w:t>
            </w:r>
          </w:p>
        </w:tc>
        <w:tc>
          <w:tcPr>
            <w:tcW w:w="2288" w:type="dxa"/>
          </w:tcPr>
          <w:p w14:paraId="53BDF18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1257,8</w:t>
            </w:r>
          </w:p>
        </w:tc>
      </w:tr>
      <w:tr w:rsidR="00A90008" w:rsidRPr="009772A3" w14:paraId="674BC174" w14:textId="77777777" w:rsidTr="00630E8C">
        <w:trPr>
          <w:trHeight w:val="20"/>
        </w:trPr>
        <w:tc>
          <w:tcPr>
            <w:tcW w:w="2490" w:type="dxa"/>
          </w:tcPr>
          <w:p w14:paraId="2E9DEEB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BDB0CD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1D88565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30695,0</w:t>
            </w:r>
          </w:p>
        </w:tc>
        <w:tc>
          <w:tcPr>
            <w:tcW w:w="2126" w:type="dxa"/>
          </w:tcPr>
          <w:p w14:paraId="1265375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8265,6</w:t>
            </w:r>
          </w:p>
        </w:tc>
        <w:tc>
          <w:tcPr>
            <w:tcW w:w="2288" w:type="dxa"/>
          </w:tcPr>
          <w:p w14:paraId="50083E5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22429,4</w:t>
            </w:r>
          </w:p>
        </w:tc>
      </w:tr>
      <w:tr w:rsidR="00A90008" w:rsidRPr="009772A3" w14:paraId="6904CDBC" w14:textId="77777777" w:rsidTr="00630E8C">
        <w:trPr>
          <w:trHeight w:val="20"/>
        </w:trPr>
        <w:tc>
          <w:tcPr>
            <w:tcW w:w="2490" w:type="dxa"/>
          </w:tcPr>
          <w:p w14:paraId="60496E0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7C0F228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6BABF43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24591,4</w:t>
            </w:r>
          </w:p>
        </w:tc>
        <w:tc>
          <w:tcPr>
            <w:tcW w:w="2126" w:type="dxa"/>
          </w:tcPr>
          <w:p w14:paraId="3EC519A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17443,2</w:t>
            </w:r>
          </w:p>
        </w:tc>
        <w:tc>
          <w:tcPr>
            <w:tcW w:w="2288" w:type="dxa"/>
          </w:tcPr>
          <w:p w14:paraId="2A75171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7148,2</w:t>
            </w:r>
          </w:p>
        </w:tc>
      </w:tr>
      <w:tr w:rsidR="00A90008" w:rsidRPr="009772A3" w14:paraId="11A39B4D" w14:textId="77777777" w:rsidTr="00630E8C">
        <w:trPr>
          <w:trHeight w:val="20"/>
        </w:trPr>
        <w:tc>
          <w:tcPr>
            <w:tcW w:w="2490" w:type="dxa"/>
          </w:tcPr>
          <w:p w14:paraId="78559E7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07ACBD5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08E81CA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5656,2</w:t>
            </w:r>
          </w:p>
        </w:tc>
        <w:tc>
          <w:tcPr>
            <w:tcW w:w="2126" w:type="dxa"/>
          </w:tcPr>
          <w:p w14:paraId="4BA0040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384,0</w:t>
            </w:r>
          </w:p>
        </w:tc>
        <w:tc>
          <w:tcPr>
            <w:tcW w:w="2288" w:type="dxa"/>
          </w:tcPr>
          <w:p w14:paraId="54C7D78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5272,1</w:t>
            </w:r>
          </w:p>
        </w:tc>
      </w:tr>
      <w:tr w:rsidR="00A90008" w:rsidRPr="009772A3" w14:paraId="5E70E307" w14:textId="77777777" w:rsidTr="00630E8C">
        <w:trPr>
          <w:trHeight w:val="20"/>
        </w:trPr>
        <w:tc>
          <w:tcPr>
            <w:tcW w:w="2490" w:type="dxa"/>
          </w:tcPr>
          <w:p w14:paraId="4C89A33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747C22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76EF78E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3315,9</w:t>
            </w:r>
          </w:p>
        </w:tc>
        <w:tc>
          <w:tcPr>
            <w:tcW w:w="2126" w:type="dxa"/>
          </w:tcPr>
          <w:p w14:paraId="5BFF0F7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2189,2</w:t>
            </w:r>
          </w:p>
        </w:tc>
        <w:tc>
          <w:tcPr>
            <w:tcW w:w="2288" w:type="dxa"/>
          </w:tcPr>
          <w:p w14:paraId="6301FDC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1126,7</w:t>
            </w:r>
          </w:p>
        </w:tc>
      </w:tr>
      <w:tr w:rsidR="00A90008" w:rsidRPr="009772A3" w14:paraId="6D14096B" w14:textId="77777777" w:rsidTr="00630E8C">
        <w:trPr>
          <w:trHeight w:val="20"/>
        </w:trPr>
        <w:tc>
          <w:tcPr>
            <w:tcW w:w="2490" w:type="dxa"/>
          </w:tcPr>
          <w:p w14:paraId="2BC25E6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AAD887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4E59034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3716,7</w:t>
            </w:r>
          </w:p>
        </w:tc>
        <w:tc>
          <w:tcPr>
            <w:tcW w:w="2126" w:type="dxa"/>
          </w:tcPr>
          <w:p w14:paraId="47E0015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2334,7</w:t>
            </w:r>
          </w:p>
        </w:tc>
        <w:tc>
          <w:tcPr>
            <w:tcW w:w="2288" w:type="dxa"/>
          </w:tcPr>
          <w:p w14:paraId="77A0C0D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1382,0</w:t>
            </w:r>
          </w:p>
        </w:tc>
      </w:tr>
      <w:tr w:rsidR="00A90008" w:rsidRPr="009772A3" w14:paraId="2E8D4254" w14:textId="77777777" w:rsidTr="00630E8C">
        <w:trPr>
          <w:trHeight w:val="20"/>
        </w:trPr>
        <w:tc>
          <w:tcPr>
            <w:tcW w:w="2490" w:type="dxa"/>
          </w:tcPr>
          <w:p w14:paraId="34BA48F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r w:rsidRPr="009772A3">
              <w:rPr>
                <w:rFonts w:asciiTheme="majorHAnsi" w:hAnsiTheme="majorHAnsi" w:cstheme="majorHAnsi"/>
                <w:i/>
                <w:sz w:val="20"/>
                <w:szCs w:val="24"/>
                <w:lang w:val="ro-MD"/>
              </w:rPr>
              <w:t>Clădirea de tip oficiu</w:t>
            </w:r>
          </w:p>
        </w:tc>
        <w:tc>
          <w:tcPr>
            <w:tcW w:w="1310" w:type="dxa"/>
          </w:tcPr>
          <w:p w14:paraId="698E897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2009/2018</w:t>
            </w:r>
          </w:p>
        </w:tc>
        <w:tc>
          <w:tcPr>
            <w:tcW w:w="1419" w:type="dxa"/>
          </w:tcPr>
          <w:p w14:paraId="1C3BA01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445630,3</w:t>
            </w:r>
          </w:p>
        </w:tc>
        <w:tc>
          <w:tcPr>
            <w:tcW w:w="2126" w:type="dxa"/>
          </w:tcPr>
          <w:p w14:paraId="3679B61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c>
          <w:tcPr>
            <w:tcW w:w="2288" w:type="dxa"/>
          </w:tcPr>
          <w:p w14:paraId="764ACC5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445630,3</w:t>
            </w:r>
          </w:p>
        </w:tc>
      </w:tr>
      <w:tr w:rsidR="00A90008" w:rsidRPr="009772A3" w14:paraId="73E5B794" w14:textId="77777777" w:rsidTr="00630E8C">
        <w:trPr>
          <w:trHeight w:val="20"/>
        </w:trPr>
        <w:tc>
          <w:tcPr>
            <w:tcW w:w="2490" w:type="dxa"/>
          </w:tcPr>
          <w:p w14:paraId="7C365093" w14:textId="77777777" w:rsidR="00A90008" w:rsidRPr="009772A3" w:rsidRDefault="00A90008" w:rsidP="00C306D5">
            <w:pPr>
              <w:pStyle w:val="ListParagraph"/>
              <w:tabs>
                <w:tab w:val="left" w:pos="426"/>
              </w:tabs>
              <w:spacing w:line="240" w:lineRule="auto"/>
              <w:ind w:left="0" w:right="50"/>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4ABE233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7B59F31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524.699,1</w:t>
            </w:r>
          </w:p>
        </w:tc>
        <w:tc>
          <w:tcPr>
            <w:tcW w:w="2126" w:type="dxa"/>
          </w:tcPr>
          <w:p w14:paraId="44CF615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37.803,1</w:t>
            </w:r>
          </w:p>
        </w:tc>
        <w:tc>
          <w:tcPr>
            <w:tcW w:w="2288" w:type="dxa"/>
          </w:tcPr>
          <w:p w14:paraId="62D72CF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486.895,6</w:t>
            </w:r>
          </w:p>
        </w:tc>
      </w:tr>
      <w:tr w:rsidR="00A90008" w:rsidRPr="009772A3" w14:paraId="500DC49E" w14:textId="77777777" w:rsidTr="00630E8C">
        <w:trPr>
          <w:trHeight w:val="20"/>
        </w:trPr>
        <w:tc>
          <w:tcPr>
            <w:tcW w:w="9633" w:type="dxa"/>
            <w:gridSpan w:val="5"/>
          </w:tcPr>
          <w:p w14:paraId="4EC0A88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3099445E" w14:textId="77777777" w:rsidTr="00630E8C">
        <w:trPr>
          <w:trHeight w:val="20"/>
        </w:trPr>
        <w:tc>
          <w:tcPr>
            <w:tcW w:w="2490" w:type="dxa"/>
          </w:tcPr>
          <w:p w14:paraId="3B3CB41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Moldovatransgaz</w:t>
            </w:r>
          </w:p>
        </w:tc>
        <w:tc>
          <w:tcPr>
            <w:tcW w:w="1310" w:type="dxa"/>
          </w:tcPr>
          <w:p w14:paraId="22D6D11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26214D2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189988,2</w:t>
            </w:r>
          </w:p>
        </w:tc>
        <w:tc>
          <w:tcPr>
            <w:tcW w:w="2126" w:type="dxa"/>
          </w:tcPr>
          <w:p w14:paraId="6699C88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189988,2</w:t>
            </w:r>
          </w:p>
        </w:tc>
        <w:tc>
          <w:tcPr>
            <w:tcW w:w="2288" w:type="dxa"/>
          </w:tcPr>
          <w:p w14:paraId="34AECA7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7A5C1359" w14:textId="77777777" w:rsidTr="00630E8C">
        <w:trPr>
          <w:trHeight w:val="20"/>
        </w:trPr>
        <w:tc>
          <w:tcPr>
            <w:tcW w:w="2490" w:type="dxa"/>
          </w:tcPr>
          <w:p w14:paraId="02E0928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C6230B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5DF3B6F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112050,2</w:t>
            </w:r>
          </w:p>
        </w:tc>
        <w:tc>
          <w:tcPr>
            <w:tcW w:w="2126" w:type="dxa"/>
          </w:tcPr>
          <w:p w14:paraId="69C02F5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112050,2</w:t>
            </w:r>
          </w:p>
        </w:tc>
        <w:tc>
          <w:tcPr>
            <w:tcW w:w="2288" w:type="dxa"/>
          </w:tcPr>
          <w:p w14:paraId="0CE64E7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29E3B4BA" w14:textId="77777777" w:rsidTr="00630E8C">
        <w:trPr>
          <w:trHeight w:val="20"/>
        </w:trPr>
        <w:tc>
          <w:tcPr>
            <w:tcW w:w="2490" w:type="dxa"/>
          </w:tcPr>
          <w:p w14:paraId="395F366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4B76EB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5C1FB6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181712,1</w:t>
            </w:r>
          </w:p>
        </w:tc>
        <w:tc>
          <w:tcPr>
            <w:tcW w:w="2126" w:type="dxa"/>
          </w:tcPr>
          <w:p w14:paraId="47B5B40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174540,6</w:t>
            </w:r>
          </w:p>
        </w:tc>
        <w:tc>
          <w:tcPr>
            <w:tcW w:w="2288" w:type="dxa"/>
          </w:tcPr>
          <w:p w14:paraId="20C7BE7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7171,5</w:t>
            </w:r>
          </w:p>
        </w:tc>
      </w:tr>
      <w:tr w:rsidR="00A90008" w:rsidRPr="009772A3" w14:paraId="51006603" w14:textId="77777777" w:rsidTr="00630E8C">
        <w:trPr>
          <w:trHeight w:val="20"/>
        </w:trPr>
        <w:tc>
          <w:tcPr>
            <w:tcW w:w="2490" w:type="dxa"/>
          </w:tcPr>
          <w:p w14:paraId="1F990BF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D6C54F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5003C8C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110316,2</w:t>
            </w:r>
          </w:p>
        </w:tc>
        <w:tc>
          <w:tcPr>
            <w:tcW w:w="2126" w:type="dxa"/>
          </w:tcPr>
          <w:p w14:paraId="3C3AD76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94044,6</w:t>
            </w:r>
          </w:p>
        </w:tc>
        <w:tc>
          <w:tcPr>
            <w:tcW w:w="2288" w:type="dxa"/>
          </w:tcPr>
          <w:p w14:paraId="38668B7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16271,6</w:t>
            </w:r>
          </w:p>
        </w:tc>
      </w:tr>
      <w:tr w:rsidR="00A90008" w:rsidRPr="009772A3" w14:paraId="1F4D0B9B" w14:textId="77777777" w:rsidTr="00630E8C">
        <w:trPr>
          <w:trHeight w:val="20"/>
        </w:trPr>
        <w:tc>
          <w:tcPr>
            <w:tcW w:w="2490" w:type="dxa"/>
          </w:tcPr>
          <w:p w14:paraId="1756538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5CE9AE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421AB49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41711,3</w:t>
            </w:r>
          </w:p>
        </w:tc>
        <w:tc>
          <w:tcPr>
            <w:tcW w:w="2126" w:type="dxa"/>
          </w:tcPr>
          <w:p w14:paraId="158DEE2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40165,4</w:t>
            </w:r>
          </w:p>
        </w:tc>
        <w:tc>
          <w:tcPr>
            <w:tcW w:w="2288" w:type="dxa"/>
          </w:tcPr>
          <w:p w14:paraId="00F7037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1545,9</w:t>
            </w:r>
          </w:p>
        </w:tc>
      </w:tr>
      <w:tr w:rsidR="00A90008" w:rsidRPr="009772A3" w14:paraId="40EDBA74" w14:textId="77777777" w:rsidTr="00630E8C">
        <w:trPr>
          <w:trHeight w:val="20"/>
        </w:trPr>
        <w:tc>
          <w:tcPr>
            <w:tcW w:w="2490" w:type="dxa"/>
          </w:tcPr>
          <w:p w14:paraId="69C2FA3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805410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7C9D224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289363,9</w:t>
            </w:r>
          </w:p>
        </w:tc>
        <w:tc>
          <w:tcPr>
            <w:tcW w:w="2126" w:type="dxa"/>
          </w:tcPr>
          <w:p w14:paraId="3339E5F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286968,8</w:t>
            </w:r>
          </w:p>
        </w:tc>
        <w:tc>
          <w:tcPr>
            <w:tcW w:w="2288" w:type="dxa"/>
          </w:tcPr>
          <w:p w14:paraId="4F3860F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2395,1</w:t>
            </w:r>
          </w:p>
        </w:tc>
      </w:tr>
      <w:tr w:rsidR="00A90008" w:rsidRPr="009772A3" w14:paraId="586374DF" w14:textId="77777777" w:rsidTr="00630E8C">
        <w:trPr>
          <w:trHeight w:val="20"/>
        </w:trPr>
        <w:tc>
          <w:tcPr>
            <w:tcW w:w="2490" w:type="dxa"/>
          </w:tcPr>
          <w:p w14:paraId="7B16C73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3E6337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21525BC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237969,7</w:t>
            </w:r>
          </w:p>
        </w:tc>
        <w:tc>
          <w:tcPr>
            <w:tcW w:w="2126" w:type="dxa"/>
          </w:tcPr>
          <w:p w14:paraId="6F98274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236796,9</w:t>
            </w:r>
          </w:p>
        </w:tc>
        <w:tc>
          <w:tcPr>
            <w:tcW w:w="2288" w:type="dxa"/>
          </w:tcPr>
          <w:p w14:paraId="3B26BE6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1172,8</w:t>
            </w:r>
          </w:p>
        </w:tc>
      </w:tr>
      <w:tr w:rsidR="00A90008" w:rsidRPr="009772A3" w14:paraId="21328382" w14:textId="77777777" w:rsidTr="00630E8C">
        <w:trPr>
          <w:trHeight w:val="20"/>
        </w:trPr>
        <w:tc>
          <w:tcPr>
            <w:tcW w:w="2490" w:type="dxa"/>
          </w:tcPr>
          <w:p w14:paraId="7A8767B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37A326C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09149DC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43252,2</w:t>
            </w:r>
          </w:p>
        </w:tc>
        <w:tc>
          <w:tcPr>
            <w:tcW w:w="2126" w:type="dxa"/>
          </w:tcPr>
          <w:p w14:paraId="76F4C4A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42744,9</w:t>
            </w:r>
          </w:p>
        </w:tc>
        <w:tc>
          <w:tcPr>
            <w:tcW w:w="2288" w:type="dxa"/>
          </w:tcPr>
          <w:p w14:paraId="272A6A0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507,3</w:t>
            </w:r>
          </w:p>
        </w:tc>
      </w:tr>
      <w:tr w:rsidR="00A90008" w:rsidRPr="009772A3" w14:paraId="3CD091BB" w14:textId="77777777" w:rsidTr="00630E8C">
        <w:trPr>
          <w:trHeight w:val="20"/>
        </w:trPr>
        <w:tc>
          <w:tcPr>
            <w:tcW w:w="2490" w:type="dxa"/>
          </w:tcPr>
          <w:p w14:paraId="29EBDA7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828983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28653EE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273701,3</w:t>
            </w:r>
          </w:p>
        </w:tc>
        <w:tc>
          <w:tcPr>
            <w:tcW w:w="2126" w:type="dxa"/>
          </w:tcPr>
          <w:p w14:paraId="4F2B804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272326,1</w:t>
            </w:r>
          </w:p>
        </w:tc>
        <w:tc>
          <w:tcPr>
            <w:tcW w:w="2288" w:type="dxa"/>
          </w:tcPr>
          <w:p w14:paraId="52E52BD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1375,2</w:t>
            </w:r>
          </w:p>
        </w:tc>
      </w:tr>
      <w:tr w:rsidR="00A90008" w:rsidRPr="009772A3" w14:paraId="7CC5BF3F" w14:textId="77777777" w:rsidTr="00630E8C">
        <w:trPr>
          <w:trHeight w:val="20"/>
        </w:trPr>
        <w:tc>
          <w:tcPr>
            <w:tcW w:w="2490" w:type="dxa"/>
          </w:tcPr>
          <w:p w14:paraId="2873819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72400CD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1E3AA0A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29208,5</w:t>
            </w:r>
          </w:p>
        </w:tc>
        <w:tc>
          <w:tcPr>
            <w:tcW w:w="2126" w:type="dxa"/>
          </w:tcPr>
          <w:p w14:paraId="4A30FD4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27056,4</w:t>
            </w:r>
          </w:p>
        </w:tc>
        <w:tc>
          <w:tcPr>
            <w:tcW w:w="2288" w:type="dxa"/>
          </w:tcPr>
          <w:p w14:paraId="54708C5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2152,2</w:t>
            </w:r>
          </w:p>
        </w:tc>
      </w:tr>
      <w:tr w:rsidR="00A90008" w:rsidRPr="009772A3" w14:paraId="6B8AE9B1" w14:textId="77777777" w:rsidTr="00630E8C">
        <w:trPr>
          <w:trHeight w:val="20"/>
        </w:trPr>
        <w:tc>
          <w:tcPr>
            <w:tcW w:w="2490" w:type="dxa"/>
          </w:tcPr>
          <w:p w14:paraId="4946D09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3CBC2E1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1A419D1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136378,8</w:t>
            </w:r>
          </w:p>
        </w:tc>
        <w:tc>
          <w:tcPr>
            <w:tcW w:w="2126" w:type="dxa"/>
          </w:tcPr>
          <w:p w14:paraId="62339E8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135877,2</w:t>
            </w:r>
          </w:p>
        </w:tc>
        <w:tc>
          <w:tcPr>
            <w:tcW w:w="2288" w:type="dxa"/>
          </w:tcPr>
          <w:p w14:paraId="71552C2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501,6</w:t>
            </w:r>
          </w:p>
        </w:tc>
      </w:tr>
      <w:tr w:rsidR="00A90008" w:rsidRPr="009772A3" w14:paraId="4F8B2C0A" w14:textId="77777777" w:rsidTr="00630E8C">
        <w:trPr>
          <w:trHeight w:val="20"/>
        </w:trPr>
        <w:tc>
          <w:tcPr>
            <w:tcW w:w="2490" w:type="dxa"/>
          </w:tcPr>
          <w:p w14:paraId="4B34274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2AD4CCD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40C3A82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1.645.652,5</w:t>
            </w:r>
          </w:p>
        </w:tc>
        <w:tc>
          <w:tcPr>
            <w:tcW w:w="2126" w:type="dxa"/>
          </w:tcPr>
          <w:p w14:paraId="2D16BBA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1.612.559,3</w:t>
            </w:r>
          </w:p>
        </w:tc>
        <w:tc>
          <w:tcPr>
            <w:tcW w:w="2288" w:type="dxa"/>
          </w:tcPr>
          <w:p w14:paraId="5C29ED8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33.093,2</w:t>
            </w:r>
          </w:p>
        </w:tc>
      </w:tr>
      <w:tr w:rsidR="00A90008" w:rsidRPr="009772A3" w14:paraId="17CB7A74" w14:textId="77777777" w:rsidTr="00630E8C">
        <w:trPr>
          <w:trHeight w:val="20"/>
        </w:trPr>
        <w:tc>
          <w:tcPr>
            <w:tcW w:w="9633" w:type="dxa"/>
            <w:gridSpan w:val="5"/>
          </w:tcPr>
          <w:p w14:paraId="2925521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2E6B7212" w14:textId="77777777" w:rsidTr="00630E8C">
        <w:trPr>
          <w:trHeight w:val="20"/>
        </w:trPr>
        <w:tc>
          <w:tcPr>
            <w:tcW w:w="2490" w:type="dxa"/>
          </w:tcPr>
          <w:p w14:paraId="742560C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Ungheni-gaz</w:t>
            </w:r>
          </w:p>
        </w:tc>
        <w:tc>
          <w:tcPr>
            <w:tcW w:w="1310" w:type="dxa"/>
          </w:tcPr>
          <w:p w14:paraId="58FF55D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568CE9F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7413,6</w:t>
            </w:r>
          </w:p>
        </w:tc>
        <w:tc>
          <w:tcPr>
            <w:tcW w:w="2126" w:type="dxa"/>
          </w:tcPr>
          <w:p w14:paraId="76F80F1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7280,2</w:t>
            </w:r>
          </w:p>
        </w:tc>
        <w:tc>
          <w:tcPr>
            <w:tcW w:w="2288" w:type="dxa"/>
          </w:tcPr>
          <w:p w14:paraId="2568540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133,4</w:t>
            </w:r>
          </w:p>
        </w:tc>
      </w:tr>
      <w:tr w:rsidR="00A90008" w:rsidRPr="009772A3" w14:paraId="586FDC26" w14:textId="77777777" w:rsidTr="00630E8C">
        <w:trPr>
          <w:trHeight w:val="20"/>
        </w:trPr>
        <w:tc>
          <w:tcPr>
            <w:tcW w:w="2490" w:type="dxa"/>
          </w:tcPr>
          <w:p w14:paraId="6B03EFD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115A42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06479FA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27602,7</w:t>
            </w:r>
          </w:p>
        </w:tc>
        <w:tc>
          <w:tcPr>
            <w:tcW w:w="2126" w:type="dxa"/>
          </w:tcPr>
          <w:p w14:paraId="04C371B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26756,0</w:t>
            </w:r>
          </w:p>
        </w:tc>
        <w:tc>
          <w:tcPr>
            <w:tcW w:w="2288" w:type="dxa"/>
          </w:tcPr>
          <w:p w14:paraId="58EEB3A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846,7</w:t>
            </w:r>
          </w:p>
        </w:tc>
      </w:tr>
      <w:tr w:rsidR="00A90008" w:rsidRPr="009772A3" w14:paraId="0CF1FC3F" w14:textId="77777777" w:rsidTr="00630E8C">
        <w:trPr>
          <w:trHeight w:val="20"/>
        </w:trPr>
        <w:tc>
          <w:tcPr>
            <w:tcW w:w="2490" w:type="dxa"/>
          </w:tcPr>
          <w:p w14:paraId="565D71A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59DDD0F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2DA6372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1891,5</w:t>
            </w:r>
          </w:p>
        </w:tc>
        <w:tc>
          <w:tcPr>
            <w:tcW w:w="2126" w:type="dxa"/>
          </w:tcPr>
          <w:p w14:paraId="5C9F699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1891,5</w:t>
            </w:r>
          </w:p>
        </w:tc>
        <w:tc>
          <w:tcPr>
            <w:tcW w:w="2288" w:type="dxa"/>
          </w:tcPr>
          <w:p w14:paraId="6AA311E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7CE0A3D0" w14:textId="77777777" w:rsidTr="00630E8C">
        <w:trPr>
          <w:trHeight w:val="20"/>
        </w:trPr>
        <w:tc>
          <w:tcPr>
            <w:tcW w:w="2490" w:type="dxa"/>
          </w:tcPr>
          <w:p w14:paraId="3A66BB0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220DF1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121B6B5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11098,0</w:t>
            </w:r>
          </w:p>
        </w:tc>
        <w:tc>
          <w:tcPr>
            <w:tcW w:w="2126" w:type="dxa"/>
          </w:tcPr>
          <w:p w14:paraId="40F2D23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994,8</w:t>
            </w:r>
          </w:p>
        </w:tc>
        <w:tc>
          <w:tcPr>
            <w:tcW w:w="2288" w:type="dxa"/>
          </w:tcPr>
          <w:p w14:paraId="3E772C0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10103,3</w:t>
            </w:r>
          </w:p>
        </w:tc>
      </w:tr>
      <w:tr w:rsidR="00A90008" w:rsidRPr="009772A3" w14:paraId="5C94DA36" w14:textId="77777777" w:rsidTr="00630E8C">
        <w:trPr>
          <w:trHeight w:val="20"/>
        </w:trPr>
        <w:tc>
          <w:tcPr>
            <w:tcW w:w="2490" w:type="dxa"/>
          </w:tcPr>
          <w:p w14:paraId="50F9674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AFB433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644D7E1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3461,8</w:t>
            </w:r>
          </w:p>
        </w:tc>
        <w:tc>
          <w:tcPr>
            <w:tcW w:w="2126" w:type="dxa"/>
          </w:tcPr>
          <w:p w14:paraId="0BEA7F7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1950,3</w:t>
            </w:r>
          </w:p>
        </w:tc>
        <w:tc>
          <w:tcPr>
            <w:tcW w:w="2288" w:type="dxa"/>
          </w:tcPr>
          <w:p w14:paraId="3E29970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1511,5</w:t>
            </w:r>
          </w:p>
        </w:tc>
      </w:tr>
      <w:tr w:rsidR="00A90008" w:rsidRPr="009772A3" w14:paraId="4F17CDB8" w14:textId="77777777" w:rsidTr="00630E8C">
        <w:trPr>
          <w:trHeight w:val="20"/>
        </w:trPr>
        <w:tc>
          <w:tcPr>
            <w:tcW w:w="2490" w:type="dxa"/>
          </w:tcPr>
          <w:p w14:paraId="5584398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CA10B0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5930CA7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1217,0</w:t>
            </w:r>
          </w:p>
        </w:tc>
        <w:tc>
          <w:tcPr>
            <w:tcW w:w="2126" w:type="dxa"/>
          </w:tcPr>
          <w:p w14:paraId="3FD4C0B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749,0</w:t>
            </w:r>
          </w:p>
        </w:tc>
        <w:tc>
          <w:tcPr>
            <w:tcW w:w="2288" w:type="dxa"/>
          </w:tcPr>
          <w:p w14:paraId="5FF1821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468,0</w:t>
            </w:r>
          </w:p>
        </w:tc>
      </w:tr>
      <w:tr w:rsidR="00A90008" w:rsidRPr="009772A3" w14:paraId="30AAC6DB" w14:textId="77777777" w:rsidTr="00630E8C">
        <w:trPr>
          <w:trHeight w:val="20"/>
        </w:trPr>
        <w:tc>
          <w:tcPr>
            <w:tcW w:w="2490" w:type="dxa"/>
          </w:tcPr>
          <w:p w14:paraId="5F3BFC3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B48755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45C9975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9162,3</w:t>
            </w:r>
          </w:p>
        </w:tc>
        <w:tc>
          <w:tcPr>
            <w:tcW w:w="2126" w:type="dxa"/>
          </w:tcPr>
          <w:p w14:paraId="61C0BD0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5061,8</w:t>
            </w:r>
          </w:p>
        </w:tc>
        <w:tc>
          <w:tcPr>
            <w:tcW w:w="2288" w:type="dxa"/>
          </w:tcPr>
          <w:p w14:paraId="3A2175A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4100,5</w:t>
            </w:r>
          </w:p>
        </w:tc>
      </w:tr>
      <w:tr w:rsidR="00A90008" w:rsidRPr="009772A3" w14:paraId="1505EF25" w14:textId="77777777" w:rsidTr="00630E8C">
        <w:trPr>
          <w:trHeight w:val="20"/>
        </w:trPr>
        <w:tc>
          <w:tcPr>
            <w:tcW w:w="2490" w:type="dxa"/>
          </w:tcPr>
          <w:p w14:paraId="229B94D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45A9579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0C9310A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20807,2</w:t>
            </w:r>
          </w:p>
        </w:tc>
        <w:tc>
          <w:tcPr>
            <w:tcW w:w="2126" w:type="dxa"/>
          </w:tcPr>
          <w:p w14:paraId="00F1CE3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20348,7</w:t>
            </w:r>
          </w:p>
        </w:tc>
        <w:tc>
          <w:tcPr>
            <w:tcW w:w="2288" w:type="dxa"/>
          </w:tcPr>
          <w:p w14:paraId="5781437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458,5</w:t>
            </w:r>
          </w:p>
        </w:tc>
      </w:tr>
      <w:tr w:rsidR="00A90008" w:rsidRPr="009772A3" w14:paraId="44028D6D" w14:textId="77777777" w:rsidTr="00630E8C">
        <w:trPr>
          <w:trHeight w:val="20"/>
        </w:trPr>
        <w:tc>
          <w:tcPr>
            <w:tcW w:w="2490" w:type="dxa"/>
          </w:tcPr>
          <w:p w14:paraId="1FB42540"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D05D4A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43BCD52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2251,8</w:t>
            </w:r>
          </w:p>
        </w:tc>
        <w:tc>
          <w:tcPr>
            <w:tcW w:w="2126" w:type="dxa"/>
          </w:tcPr>
          <w:p w14:paraId="3E4B018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2132,1</w:t>
            </w:r>
          </w:p>
        </w:tc>
        <w:tc>
          <w:tcPr>
            <w:tcW w:w="2288" w:type="dxa"/>
          </w:tcPr>
          <w:p w14:paraId="5E8589C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119,6</w:t>
            </w:r>
          </w:p>
        </w:tc>
      </w:tr>
      <w:tr w:rsidR="00A90008" w:rsidRPr="009772A3" w14:paraId="5F699F2B" w14:textId="77777777" w:rsidTr="00630E8C">
        <w:trPr>
          <w:trHeight w:val="20"/>
        </w:trPr>
        <w:tc>
          <w:tcPr>
            <w:tcW w:w="2490" w:type="dxa"/>
          </w:tcPr>
          <w:p w14:paraId="30F8600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438970D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0ABAE91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3405,7</w:t>
            </w:r>
          </w:p>
        </w:tc>
        <w:tc>
          <w:tcPr>
            <w:tcW w:w="2126" w:type="dxa"/>
          </w:tcPr>
          <w:p w14:paraId="3F8BAF1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3199,3</w:t>
            </w:r>
          </w:p>
        </w:tc>
        <w:tc>
          <w:tcPr>
            <w:tcW w:w="2288" w:type="dxa"/>
          </w:tcPr>
          <w:p w14:paraId="6CC868C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206,4</w:t>
            </w:r>
          </w:p>
        </w:tc>
      </w:tr>
      <w:tr w:rsidR="00A90008" w:rsidRPr="009772A3" w14:paraId="30F0CE39" w14:textId="77777777" w:rsidTr="00630E8C">
        <w:trPr>
          <w:trHeight w:val="20"/>
        </w:trPr>
        <w:tc>
          <w:tcPr>
            <w:tcW w:w="2490" w:type="dxa"/>
          </w:tcPr>
          <w:p w14:paraId="720C2A0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7B566F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653B3D6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10818,3</w:t>
            </w:r>
          </w:p>
        </w:tc>
        <w:tc>
          <w:tcPr>
            <w:tcW w:w="2126" w:type="dxa"/>
          </w:tcPr>
          <w:p w14:paraId="2CB0BE4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10732,3</w:t>
            </w:r>
          </w:p>
        </w:tc>
        <w:tc>
          <w:tcPr>
            <w:tcW w:w="2288" w:type="dxa"/>
          </w:tcPr>
          <w:p w14:paraId="1380029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86,0</w:t>
            </w:r>
          </w:p>
        </w:tc>
      </w:tr>
      <w:tr w:rsidR="00A90008" w:rsidRPr="009772A3" w14:paraId="77A8CA1C" w14:textId="77777777" w:rsidTr="00630E8C">
        <w:trPr>
          <w:trHeight w:val="20"/>
        </w:trPr>
        <w:tc>
          <w:tcPr>
            <w:tcW w:w="2490" w:type="dxa"/>
          </w:tcPr>
          <w:p w14:paraId="2124395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i/>
                <w:sz w:val="20"/>
                <w:szCs w:val="24"/>
                <w:lang w:val="ro-MD"/>
              </w:rPr>
            </w:pPr>
            <w:r w:rsidRPr="009772A3">
              <w:rPr>
                <w:rFonts w:asciiTheme="majorHAnsi" w:hAnsiTheme="majorHAnsi" w:cstheme="majorHAnsi"/>
                <w:i/>
                <w:sz w:val="20"/>
                <w:szCs w:val="24"/>
                <w:lang w:val="ro-MD"/>
              </w:rPr>
              <w:t>Clădirea administrativă</w:t>
            </w:r>
          </w:p>
        </w:tc>
        <w:tc>
          <w:tcPr>
            <w:tcW w:w="1310" w:type="dxa"/>
          </w:tcPr>
          <w:p w14:paraId="05B8E09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2011/2016</w:t>
            </w:r>
          </w:p>
        </w:tc>
        <w:tc>
          <w:tcPr>
            <w:tcW w:w="1419" w:type="dxa"/>
          </w:tcPr>
          <w:p w14:paraId="208D428C" w14:textId="6C68ABEF" w:rsidR="00A90008" w:rsidRPr="009772A3" w:rsidRDefault="00A90008" w:rsidP="00026166">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207</w:t>
            </w:r>
            <w:r w:rsidR="003232F9" w:rsidRPr="009772A3">
              <w:rPr>
                <w:rFonts w:asciiTheme="majorHAnsi" w:hAnsiTheme="majorHAnsi" w:cstheme="majorHAnsi"/>
                <w:sz w:val="20"/>
                <w:szCs w:val="24"/>
                <w:lang w:val="ro-MD"/>
              </w:rPr>
              <w:t>33</w:t>
            </w:r>
            <w:r w:rsidRPr="009772A3">
              <w:rPr>
                <w:rFonts w:asciiTheme="majorHAnsi" w:hAnsiTheme="majorHAnsi" w:cstheme="majorHAnsi"/>
                <w:sz w:val="20"/>
                <w:szCs w:val="24"/>
                <w:lang w:val="ro-MD"/>
              </w:rPr>
              <w:t>,</w:t>
            </w:r>
            <w:r w:rsidR="003232F9" w:rsidRPr="009772A3">
              <w:rPr>
                <w:rFonts w:asciiTheme="majorHAnsi" w:hAnsiTheme="majorHAnsi" w:cstheme="majorHAnsi"/>
                <w:sz w:val="20"/>
                <w:szCs w:val="24"/>
                <w:lang w:val="ro-MD"/>
              </w:rPr>
              <w:t>2</w:t>
            </w:r>
          </w:p>
        </w:tc>
        <w:tc>
          <w:tcPr>
            <w:tcW w:w="2126" w:type="dxa"/>
          </w:tcPr>
          <w:p w14:paraId="663EBD1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c>
          <w:tcPr>
            <w:tcW w:w="2288" w:type="dxa"/>
          </w:tcPr>
          <w:p w14:paraId="0FE8F918" w14:textId="30E194E2" w:rsidR="00A90008" w:rsidRPr="009772A3" w:rsidRDefault="003232F9" w:rsidP="00026166">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20733</w:t>
            </w:r>
            <w:r w:rsidR="00A90008" w:rsidRPr="009772A3">
              <w:rPr>
                <w:rFonts w:asciiTheme="majorHAnsi" w:hAnsiTheme="majorHAnsi" w:cstheme="majorHAnsi"/>
                <w:sz w:val="20"/>
                <w:szCs w:val="24"/>
                <w:lang w:val="ro-MD"/>
              </w:rPr>
              <w:t>,</w:t>
            </w:r>
            <w:r w:rsidRPr="009772A3">
              <w:rPr>
                <w:rFonts w:asciiTheme="majorHAnsi" w:hAnsiTheme="majorHAnsi" w:cstheme="majorHAnsi"/>
                <w:sz w:val="20"/>
                <w:szCs w:val="24"/>
                <w:lang w:val="ro-MD"/>
              </w:rPr>
              <w:t>2</w:t>
            </w:r>
          </w:p>
        </w:tc>
      </w:tr>
      <w:tr w:rsidR="00A90008" w:rsidRPr="009772A3" w14:paraId="6C86AFE0" w14:textId="77777777" w:rsidTr="00630E8C">
        <w:trPr>
          <w:trHeight w:val="20"/>
        </w:trPr>
        <w:tc>
          <w:tcPr>
            <w:tcW w:w="2490" w:type="dxa"/>
          </w:tcPr>
          <w:p w14:paraId="215E7D7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40FF603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201A3994" w14:textId="4252B71C" w:rsidR="00A90008" w:rsidRPr="009772A3" w:rsidRDefault="00A90008" w:rsidP="00026166">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119.</w:t>
            </w:r>
            <w:r w:rsidR="003232F9" w:rsidRPr="009772A3">
              <w:rPr>
                <w:rFonts w:asciiTheme="majorHAnsi" w:hAnsiTheme="majorHAnsi" w:cstheme="majorHAnsi"/>
                <w:b/>
                <w:sz w:val="20"/>
                <w:szCs w:val="24"/>
                <w:lang w:val="ro-MD"/>
              </w:rPr>
              <w:t>863</w:t>
            </w:r>
            <w:r w:rsidRPr="009772A3">
              <w:rPr>
                <w:rFonts w:asciiTheme="majorHAnsi" w:hAnsiTheme="majorHAnsi" w:cstheme="majorHAnsi"/>
                <w:b/>
                <w:sz w:val="20"/>
                <w:szCs w:val="24"/>
                <w:lang w:val="ro-MD"/>
              </w:rPr>
              <w:t>,</w:t>
            </w:r>
            <w:r w:rsidR="003232F9" w:rsidRPr="009772A3">
              <w:rPr>
                <w:rFonts w:asciiTheme="majorHAnsi" w:hAnsiTheme="majorHAnsi" w:cstheme="majorHAnsi"/>
                <w:b/>
                <w:sz w:val="20"/>
                <w:szCs w:val="24"/>
                <w:lang w:val="ro-MD"/>
              </w:rPr>
              <w:t>1</w:t>
            </w:r>
          </w:p>
        </w:tc>
        <w:tc>
          <w:tcPr>
            <w:tcW w:w="2126" w:type="dxa"/>
          </w:tcPr>
          <w:p w14:paraId="291FAD5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81.096,0</w:t>
            </w:r>
          </w:p>
        </w:tc>
        <w:tc>
          <w:tcPr>
            <w:tcW w:w="2288" w:type="dxa"/>
          </w:tcPr>
          <w:p w14:paraId="3F48F25D" w14:textId="25892A76" w:rsidR="00A90008" w:rsidRPr="009772A3" w:rsidRDefault="00A90008" w:rsidP="00026166">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38.</w:t>
            </w:r>
            <w:r w:rsidR="003232F9" w:rsidRPr="009772A3">
              <w:rPr>
                <w:rFonts w:asciiTheme="majorHAnsi" w:hAnsiTheme="majorHAnsi" w:cstheme="majorHAnsi"/>
                <w:b/>
                <w:sz w:val="20"/>
                <w:szCs w:val="24"/>
                <w:lang w:val="ro-MD"/>
              </w:rPr>
              <w:t>767</w:t>
            </w:r>
            <w:r w:rsidRPr="009772A3">
              <w:rPr>
                <w:rFonts w:asciiTheme="majorHAnsi" w:hAnsiTheme="majorHAnsi" w:cstheme="majorHAnsi"/>
                <w:b/>
                <w:sz w:val="20"/>
                <w:szCs w:val="24"/>
                <w:lang w:val="ro-MD"/>
              </w:rPr>
              <w:t>,</w:t>
            </w:r>
            <w:r w:rsidR="003232F9" w:rsidRPr="009772A3">
              <w:rPr>
                <w:rFonts w:asciiTheme="majorHAnsi" w:hAnsiTheme="majorHAnsi" w:cstheme="majorHAnsi"/>
                <w:b/>
                <w:sz w:val="20"/>
                <w:szCs w:val="24"/>
                <w:lang w:val="ro-MD"/>
              </w:rPr>
              <w:t>1</w:t>
            </w:r>
          </w:p>
        </w:tc>
      </w:tr>
      <w:tr w:rsidR="00A90008" w:rsidRPr="009772A3" w14:paraId="18D406F8" w14:textId="77777777" w:rsidTr="00630E8C">
        <w:trPr>
          <w:trHeight w:val="20"/>
        </w:trPr>
        <w:tc>
          <w:tcPr>
            <w:tcW w:w="9633" w:type="dxa"/>
            <w:gridSpan w:val="5"/>
          </w:tcPr>
          <w:p w14:paraId="0616194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66CBDA4E" w14:textId="77777777" w:rsidTr="00630E8C">
        <w:trPr>
          <w:trHeight w:val="20"/>
        </w:trPr>
        <w:tc>
          <w:tcPr>
            <w:tcW w:w="2490" w:type="dxa"/>
          </w:tcPr>
          <w:p w14:paraId="191C139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Taraclia-gaz</w:t>
            </w:r>
          </w:p>
        </w:tc>
        <w:tc>
          <w:tcPr>
            <w:tcW w:w="1310" w:type="dxa"/>
          </w:tcPr>
          <w:p w14:paraId="652843D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54C0AEC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3847,7</w:t>
            </w:r>
          </w:p>
        </w:tc>
        <w:tc>
          <w:tcPr>
            <w:tcW w:w="2126" w:type="dxa"/>
          </w:tcPr>
          <w:p w14:paraId="7EFF0B2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3499,3</w:t>
            </w:r>
          </w:p>
        </w:tc>
        <w:tc>
          <w:tcPr>
            <w:tcW w:w="2288" w:type="dxa"/>
          </w:tcPr>
          <w:p w14:paraId="195B836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348,4</w:t>
            </w:r>
          </w:p>
        </w:tc>
      </w:tr>
      <w:tr w:rsidR="00A90008" w:rsidRPr="009772A3" w14:paraId="72F472B5" w14:textId="77777777" w:rsidTr="00630E8C">
        <w:trPr>
          <w:trHeight w:val="20"/>
        </w:trPr>
        <w:tc>
          <w:tcPr>
            <w:tcW w:w="2490" w:type="dxa"/>
          </w:tcPr>
          <w:p w14:paraId="3582D9C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7E948E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4B9FE80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3653,6</w:t>
            </w:r>
          </w:p>
        </w:tc>
        <w:tc>
          <w:tcPr>
            <w:tcW w:w="2126" w:type="dxa"/>
          </w:tcPr>
          <w:p w14:paraId="5094D09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3653,6</w:t>
            </w:r>
          </w:p>
        </w:tc>
        <w:tc>
          <w:tcPr>
            <w:tcW w:w="2288" w:type="dxa"/>
          </w:tcPr>
          <w:p w14:paraId="7812593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21C4DF9A" w14:textId="77777777" w:rsidTr="00630E8C">
        <w:trPr>
          <w:trHeight w:val="20"/>
        </w:trPr>
        <w:tc>
          <w:tcPr>
            <w:tcW w:w="2490" w:type="dxa"/>
          </w:tcPr>
          <w:p w14:paraId="26E175B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26E30A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484DF0A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4621,6</w:t>
            </w:r>
          </w:p>
        </w:tc>
        <w:tc>
          <w:tcPr>
            <w:tcW w:w="2126" w:type="dxa"/>
          </w:tcPr>
          <w:p w14:paraId="7115288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4434,1</w:t>
            </w:r>
          </w:p>
        </w:tc>
        <w:tc>
          <w:tcPr>
            <w:tcW w:w="2288" w:type="dxa"/>
          </w:tcPr>
          <w:p w14:paraId="53C0AD4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187,5</w:t>
            </w:r>
          </w:p>
        </w:tc>
      </w:tr>
      <w:tr w:rsidR="00A90008" w:rsidRPr="009772A3" w14:paraId="78BC1848" w14:textId="77777777" w:rsidTr="00630E8C">
        <w:trPr>
          <w:trHeight w:val="20"/>
        </w:trPr>
        <w:tc>
          <w:tcPr>
            <w:tcW w:w="2490" w:type="dxa"/>
          </w:tcPr>
          <w:p w14:paraId="18C2EA1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89C4C3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6F242F6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3503,2</w:t>
            </w:r>
          </w:p>
        </w:tc>
        <w:tc>
          <w:tcPr>
            <w:tcW w:w="2126" w:type="dxa"/>
          </w:tcPr>
          <w:p w14:paraId="5A3C157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3189,5</w:t>
            </w:r>
          </w:p>
        </w:tc>
        <w:tc>
          <w:tcPr>
            <w:tcW w:w="2288" w:type="dxa"/>
          </w:tcPr>
          <w:p w14:paraId="4E10E20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313,7</w:t>
            </w:r>
          </w:p>
        </w:tc>
      </w:tr>
      <w:tr w:rsidR="00A90008" w:rsidRPr="009772A3" w14:paraId="66E4FA9B" w14:textId="77777777" w:rsidTr="00630E8C">
        <w:trPr>
          <w:trHeight w:val="20"/>
        </w:trPr>
        <w:tc>
          <w:tcPr>
            <w:tcW w:w="2490" w:type="dxa"/>
          </w:tcPr>
          <w:p w14:paraId="62FC780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A95270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17069E1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2328,9</w:t>
            </w:r>
          </w:p>
        </w:tc>
        <w:tc>
          <w:tcPr>
            <w:tcW w:w="2126" w:type="dxa"/>
          </w:tcPr>
          <w:p w14:paraId="73EAD54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2036,4</w:t>
            </w:r>
          </w:p>
        </w:tc>
        <w:tc>
          <w:tcPr>
            <w:tcW w:w="2288" w:type="dxa"/>
          </w:tcPr>
          <w:p w14:paraId="1305F71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292,5</w:t>
            </w:r>
          </w:p>
        </w:tc>
      </w:tr>
      <w:tr w:rsidR="00A90008" w:rsidRPr="009772A3" w14:paraId="20B19262" w14:textId="77777777" w:rsidTr="00630E8C">
        <w:trPr>
          <w:trHeight w:val="20"/>
        </w:trPr>
        <w:tc>
          <w:tcPr>
            <w:tcW w:w="2490" w:type="dxa"/>
          </w:tcPr>
          <w:p w14:paraId="796EF08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00F9F8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6266CD9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1952,2</w:t>
            </w:r>
          </w:p>
        </w:tc>
        <w:tc>
          <w:tcPr>
            <w:tcW w:w="2126" w:type="dxa"/>
          </w:tcPr>
          <w:p w14:paraId="1CE9D66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1934,1</w:t>
            </w:r>
          </w:p>
        </w:tc>
        <w:tc>
          <w:tcPr>
            <w:tcW w:w="2288" w:type="dxa"/>
          </w:tcPr>
          <w:p w14:paraId="51D2D7E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18,1</w:t>
            </w:r>
          </w:p>
        </w:tc>
      </w:tr>
      <w:tr w:rsidR="00A90008" w:rsidRPr="009772A3" w14:paraId="13CA3C6C" w14:textId="77777777" w:rsidTr="00630E8C">
        <w:trPr>
          <w:trHeight w:val="20"/>
        </w:trPr>
        <w:tc>
          <w:tcPr>
            <w:tcW w:w="2490" w:type="dxa"/>
          </w:tcPr>
          <w:p w14:paraId="57498EC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BF7EFB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31B5186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4240,2</w:t>
            </w:r>
          </w:p>
        </w:tc>
        <w:tc>
          <w:tcPr>
            <w:tcW w:w="2126" w:type="dxa"/>
          </w:tcPr>
          <w:p w14:paraId="0B74F83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2054,5</w:t>
            </w:r>
          </w:p>
        </w:tc>
        <w:tc>
          <w:tcPr>
            <w:tcW w:w="2288" w:type="dxa"/>
          </w:tcPr>
          <w:p w14:paraId="2163FC1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2185,7</w:t>
            </w:r>
          </w:p>
        </w:tc>
      </w:tr>
      <w:tr w:rsidR="00A90008" w:rsidRPr="009772A3" w14:paraId="06C04404" w14:textId="77777777" w:rsidTr="00630E8C">
        <w:trPr>
          <w:trHeight w:val="20"/>
        </w:trPr>
        <w:tc>
          <w:tcPr>
            <w:tcW w:w="2490" w:type="dxa"/>
          </w:tcPr>
          <w:p w14:paraId="507CB4B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B2D437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72812F0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1325,9</w:t>
            </w:r>
          </w:p>
        </w:tc>
        <w:tc>
          <w:tcPr>
            <w:tcW w:w="2126" w:type="dxa"/>
          </w:tcPr>
          <w:p w14:paraId="60F5E56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1197,2</w:t>
            </w:r>
          </w:p>
        </w:tc>
        <w:tc>
          <w:tcPr>
            <w:tcW w:w="2288" w:type="dxa"/>
          </w:tcPr>
          <w:p w14:paraId="546D78C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128,7</w:t>
            </w:r>
          </w:p>
        </w:tc>
      </w:tr>
      <w:tr w:rsidR="00A90008" w:rsidRPr="009772A3" w14:paraId="1B559F0A" w14:textId="77777777" w:rsidTr="00630E8C">
        <w:trPr>
          <w:trHeight w:val="20"/>
        </w:trPr>
        <w:tc>
          <w:tcPr>
            <w:tcW w:w="2490" w:type="dxa"/>
          </w:tcPr>
          <w:p w14:paraId="18FE046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3FAB62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242C04B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1588,2</w:t>
            </w:r>
          </w:p>
        </w:tc>
        <w:tc>
          <w:tcPr>
            <w:tcW w:w="2126" w:type="dxa"/>
          </w:tcPr>
          <w:p w14:paraId="47BD999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1457,2</w:t>
            </w:r>
          </w:p>
        </w:tc>
        <w:tc>
          <w:tcPr>
            <w:tcW w:w="2288" w:type="dxa"/>
          </w:tcPr>
          <w:p w14:paraId="4FB985F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130,9</w:t>
            </w:r>
          </w:p>
        </w:tc>
      </w:tr>
      <w:tr w:rsidR="00A90008" w:rsidRPr="009772A3" w14:paraId="3F7FDC58" w14:textId="77777777" w:rsidTr="00630E8C">
        <w:trPr>
          <w:trHeight w:val="20"/>
        </w:trPr>
        <w:tc>
          <w:tcPr>
            <w:tcW w:w="2490" w:type="dxa"/>
          </w:tcPr>
          <w:p w14:paraId="3EC3069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AE0C56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7C0174C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1911,0</w:t>
            </w:r>
          </w:p>
        </w:tc>
        <w:tc>
          <w:tcPr>
            <w:tcW w:w="2126" w:type="dxa"/>
          </w:tcPr>
          <w:p w14:paraId="5EEAD6C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1729,4</w:t>
            </w:r>
          </w:p>
        </w:tc>
        <w:tc>
          <w:tcPr>
            <w:tcW w:w="2288" w:type="dxa"/>
          </w:tcPr>
          <w:p w14:paraId="723D94B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181,6</w:t>
            </w:r>
          </w:p>
        </w:tc>
      </w:tr>
      <w:tr w:rsidR="00A90008" w:rsidRPr="009772A3" w14:paraId="01382103" w14:textId="77777777" w:rsidTr="00630E8C">
        <w:trPr>
          <w:trHeight w:val="20"/>
        </w:trPr>
        <w:tc>
          <w:tcPr>
            <w:tcW w:w="2490" w:type="dxa"/>
          </w:tcPr>
          <w:p w14:paraId="2734F31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355F5C8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266D7B5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2943,4</w:t>
            </w:r>
          </w:p>
        </w:tc>
        <w:tc>
          <w:tcPr>
            <w:tcW w:w="2126" w:type="dxa"/>
          </w:tcPr>
          <w:p w14:paraId="5121795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2886,0</w:t>
            </w:r>
          </w:p>
        </w:tc>
        <w:tc>
          <w:tcPr>
            <w:tcW w:w="2288" w:type="dxa"/>
          </w:tcPr>
          <w:p w14:paraId="0C38FC6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57,4</w:t>
            </w:r>
          </w:p>
        </w:tc>
      </w:tr>
      <w:tr w:rsidR="00A90008" w:rsidRPr="009772A3" w14:paraId="166546E0" w14:textId="77777777" w:rsidTr="00630E8C">
        <w:trPr>
          <w:trHeight w:val="20"/>
        </w:trPr>
        <w:tc>
          <w:tcPr>
            <w:tcW w:w="2490" w:type="dxa"/>
          </w:tcPr>
          <w:p w14:paraId="615733E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696EE72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5EA6BE5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31.915,8</w:t>
            </w:r>
          </w:p>
        </w:tc>
        <w:tc>
          <w:tcPr>
            <w:tcW w:w="2126" w:type="dxa"/>
          </w:tcPr>
          <w:p w14:paraId="3DE14DD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28.071,3</w:t>
            </w:r>
          </w:p>
        </w:tc>
        <w:tc>
          <w:tcPr>
            <w:tcW w:w="2288" w:type="dxa"/>
          </w:tcPr>
          <w:p w14:paraId="07745EC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3.844,5</w:t>
            </w:r>
          </w:p>
        </w:tc>
      </w:tr>
      <w:tr w:rsidR="00A90008" w:rsidRPr="009772A3" w14:paraId="6C071538" w14:textId="77777777" w:rsidTr="00630E8C">
        <w:trPr>
          <w:trHeight w:val="20"/>
        </w:trPr>
        <w:tc>
          <w:tcPr>
            <w:tcW w:w="9633" w:type="dxa"/>
            <w:gridSpan w:val="5"/>
          </w:tcPr>
          <w:p w14:paraId="465CAA8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1331D391" w14:textId="77777777" w:rsidTr="00630E8C">
        <w:trPr>
          <w:trHeight w:val="20"/>
        </w:trPr>
        <w:tc>
          <w:tcPr>
            <w:tcW w:w="2490" w:type="dxa"/>
          </w:tcPr>
          <w:p w14:paraId="66C6022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Cahul-gaz</w:t>
            </w:r>
          </w:p>
        </w:tc>
        <w:tc>
          <w:tcPr>
            <w:tcW w:w="1310" w:type="dxa"/>
          </w:tcPr>
          <w:p w14:paraId="554E438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3680667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11077,3</w:t>
            </w:r>
          </w:p>
        </w:tc>
        <w:tc>
          <w:tcPr>
            <w:tcW w:w="2126" w:type="dxa"/>
          </w:tcPr>
          <w:p w14:paraId="76E771F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10748,3</w:t>
            </w:r>
          </w:p>
        </w:tc>
        <w:tc>
          <w:tcPr>
            <w:tcW w:w="2288" w:type="dxa"/>
          </w:tcPr>
          <w:p w14:paraId="280CEEC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329,0</w:t>
            </w:r>
          </w:p>
        </w:tc>
      </w:tr>
      <w:tr w:rsidR="00A90008" w:rsidRPr="009772A3" w14:paraId="4E42BB86" w14:textId="77777777" w:rsidTr="00630E8C">
        <w:trPr>
          <w:trHeight w:val="20"/>
        </w:trPr>
        <w:tc>
          <w:tcPr>
            <w:tcW w:w="2490" w:type="dxa"/>
          </w:tcPr>
          <w:p w14:paraId="798E11C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5A4CF0A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54B9567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9628,0</w:t>
            </w:r>
          </w:p>
        </w:tc>
        <w:tc>
          <w:tcPr>
            <w:tcW w:w="2126" w:type="dxa"/>
          </w:tcPr>
          <w:p w14:paraId="6537E41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8543,8</w:t>
            </w:r>
          </w:p>
        </w:tc>
        <w:tc>
          <w:tcPr>
            <w:tcW w:w="2288" w:type="dxa"/>
          </w:tcPr>
          <w:p w14:paraId="2C36D2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1084,2</w:t>
            </w:r>
          </w:p>
        </w:tc>
      </w:tr>
      <w:tr w:rsidR="00A90008" w:rsidRPr="009772A3" w14:paraId="4B4A982F" w14:textId="77777777" w:rsidTr="00630E8C">
        <w:trPr>
          <w:trHeight w:val="20"/>
        </w:trPr>
        <w:tc>
          <w:tcPr>
            <w:tcW w:w="2490" w:type="dxa"/>
          </w:tcPr>
          <w:p w14:paraId="7120D97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443CFF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088E553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5125,9</w:t>
            </w:r>
          </w:p>
        </w:tc>
        <w:tc>
          <w:tcPr>
            <w:tcW w:w="2126" w:type="dxa"/>
          </w:tcPr>
          <w:p w14:paraId="57678C3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5125,9</w:t>
            </w:r>
          </w:p>
        </w:tc>
        <w:tc>
          <w:tcPr>
            <w:tcW w:w="2288" w:type="dxa"/>
          </w:tcPr>
          <w:p w14:paraId="3A7C3D5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2BB8A69D" w14:textId="77777777" w:rsidTr="00630E8C">
        <w:trPr>
          <w:trHeight w:val="20"/>
        </w:trPr>
        <w:tc>
          <w:tcPr>
            <w:tcW w:w="2490" w:type="dxa"/>
          </w:tcPr>
          <w:p w14:paraId="07BD31E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02FEA7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4942D3F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5267,2</w:t>
            </w:r>
          </w:p>
        </w:tc>
        <w:tc>
          <w:tcPr>
            <w:tcW w:w="2126" w:type="dxa"/>
          </w:tcPr>
          <w:p w14:paraId="23CB54F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5198,5</w:t>
            </w:r>
          </w:p>
        </w:tc>
        <w:tc>
          <w:tcPr>
            <w:tcW w:w="2288" w:type="dxa"/>
          </w:tcPr>
          <w:p w14:paraId="4A86AD7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68,7</w:t>
            </w:r>
          </w:p>
        </w:tc>
      </w:tr>
      <w:tr w:rsidR="00A90008" w:rsidRPr="009772A3" w14:paraId="09F3613F" w14:textId="77777777" w:rsidTr="00630E8C">
        <w:trPr>
          <w:trHeight w:val="20"/>
        </w:trPr>
        <w:tc>
          <w:tcPr>
            <w:tcW w:w="2490" w:type="dxa"/>
          </w:tcPr>
          <w:p w14:paraId="65DC915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59C10C0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5DF641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3486,1</w:t>
            </w:r>
          </w:p>
        </w:tc>
        <w:tc>
          <w:tcPr>
            <w:tcW w:w="2126" w:type="dxa"/>
          </w:tcPr>
          <w:p w14:paraId="4B48361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3207,3</w:t>
            </w:r>
          </w:p>
        </w:tc>
        <w:tc>
          <w:tcPr>
            <w:tcW w:w="2288" w:type="dxa"/>
          </w:tcPr>
          <w:p w14:paraId="2C4FBC3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278,8</w:t>
            </w:r>
          </w:p>
        </w:tc>
      </w:tr>
      <w:tr w:rsidR="00A90008" w:rsidRPr="009772A3" w14:paraId="392B12B9" w14:textId="77777777" w:rsidTr="00630E8C">
        <w:trPr>
          <w:trHeight w:val="20"/>
        </w:trPr>
        <w:tc>
          <w:tcPr>
            <w:tcW w:w="2490" w:type="dxa"/>
          </w:tcPr>
          <w:p w14:paraId="58E65F4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8E1821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1E4812F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2381,0</w:t>
            </w:r>
          </w:p>
        </w:tc>
        <w:tc>
          <w:tcPr>
            <w:tcW w:w="2126" w:type="dxa"/>
          </w:tcPr>
          <w:p w14:paraId="4E0C04B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2368,1</w:t>
            </w:r>
          </w:p>
        </w:tc>
        <w:tc>
          <w:tcPr>
            <w:tcW w:w="2288" w:type="dxa"/>
          </w:tcPr>
          <w:p w14:paraId="3E1EA84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12,9</w:t>
            </w:r>
          </w:p>
        </w:tc>
      </w:tr>
      <w:tr w:rsidR="00A90008" w:rsidRPr="009772A3" w14:paraId="245917E9" w14:textId="77777777" w:rsidTr="00630E8C">
        <w:trPr>
          <w:trHeight w:val="20"/>
        </w:trPr>
        <w:tc>
          <w:tcPr>
            <w:tcW w:w="2490" w:type="dxa"/>
          </w:tcPr>
          <w:p w14:paraId="447A160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AAAF33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2B40559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8986,4</w:t>
            </w:r>
          </w:p>
        </w:tc>
        <w:tc>
          <w:tcPr>
            <w:tcW w:w="2126" w:type="dxa"/>
          </w:tcPr>
          <w:p w14:paraId="5E1FB9C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4052,1</w:t>
            </w:r>
          </w:p>
        </w:tc>
        <w:tc>
          <w:tcPr>
            <w:tcW w:w="2288" w:type="dxa"/>
          </w:tcPr>
          <w:p w14:paraId="0226C4D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4934,3</w:t>
            </w:r>
          </w:p>
        </w:tc>
      </w:tr>
      <w:tr w:rsidR="00A90008" w:rsidRPr="009772A3" w14:paraId="2757148C" w14:textId="77777777" w:rsidTr="00630E8C">
        <w:trPr>
          <w:trHeight w:val="20"/>
        </w:trPr>
        <w:tc>
          <w:tcPr>
            <w:tcW w:w="2490" w:type="dxa"/>
          </w:tcPr>
          <w:p w14:paraId="08F70FE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0929DBA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25DB404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4353,9</w:t>
            </w:r>
          </w:p>
        </w:tc>
        <w:tc>
          <w:tcPr>
            <w:tcW w:w="2126" w:type="dxa"/>
          </w:tcPr>
          <w:p w14:paraId="673D8B4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3800,8</w:t>
            </w:r>
          </w:p>
        </w:tc>
        <w:tc>
          <w:tcPr>
            <w:tcW w:w="2288" w:type="dxa"/>
          </w:tcPr>
          <w:p w14:paraId="3F15186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553,1</w:t>
            </w:r>
          </w:p>
        </w:tc>
      </w:tr>
      <w:tr w:rsidR="00A90008" w:rsidRPr="009772A3" w14:paraId="0B567F2B" w14:textId="77777777" w:rsidTr="00630E8C">
        <w:trPr>
          <w:trHeight w:val="20"/>
        </w:trPr>
        <w:tc>
          <w:tcPr>
            <w:tcW w:w="2490" w:type="dxa"/>
          </w:tcPr>
          <w:p w14:paraId="52BBF78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012F5F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4273DAD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3802,6</w:t>
            </w:r>
          </w:p>
        </w:tc>
        <w:tc>
          <w:tcPr>
            <w:tcW w:w="2126" w:type="dxa"/>
          </w:tcPr>
          <w:p w14:paraId="719FC54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3624,0</w:t>
            </w:r>
          </w:p>
        </w:tc>
        <w:tc>
          <w:tcPr>
            <w:tcW w:w="2288" w:type="dxa"/>
          </w:tcPr>
          <w:p w14:paraId="195FCD5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178,6</w:t>
            </w:r>
          </w:p>
        </w:tc>
      </w:tr>
      <w:tr w:rsidR="00A90008" w:rsidRPr="009772A3" w14:paraId="740006AB" w14:textId="77777777" w:rsidTr="00630E8C">
        <w:trPr>
          <w:trHeight w:val="20"/>
        </w:trPr>
        <w:tc>
          <w:tcPr>
            <w:tcW w:w="2490" w:type="dxa"/>
          </w:tcPr>
          <w:p w14:paraId="10595D4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4F5D342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45A6AC8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2493,4</w:t>
            </w:r>
          </w:p>
        </w:tc>
        <w:tc>
          <w:tcPr>
            <w:tcW w:w="2126" w:type="dxa"/>
          </w:tcPr>
          <w:p w14:paraId="2636D57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2373,2</w:t>
            </w:r>
          </w:p>
        </w:tc>
        <w:tc>
          <w:tcPr>
            <w:tcW w:w="2288" w:type="dxa"/>
          </w:tcPr>
          <w:p w14:paraId="20A84F8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120,2</w:t>
            </w:r>
          </w:p>
        </w:tc>
      </w:tr>
      <w:tr w:rsidR="00A90008" w:rsidRPr="009772A3" w14:paraId="288C2EC1" w14:textId="77777777" w:rsidTr="00630E8C">
        <w:trPr>
          <w:trHeight w:val="20"/>
        </w:trPr>
        <w:tc>
          <w:tcPr>
            <w:tcW w:w="2490" w:type="dxa"/>
          </w:tcPr>
          <w:p w14:paraId="400CCE6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4656F7B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11693CF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4591,7</w:t>
            </w:r>
          </w:p>
        </w:tc>
        <w:tc>
          <w:tcPr>
            <w:tcW w:w="2126" w:type="dxa"/>
          </w:tcPr>
          <w:p w14:paraId="0D536B6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4349,1</w:t>
            </w:r>
          </w:p>
        </w:tc>
        <w:tc>
          <w:tcPr>
            <w:tcW w:w="2288" w:type="dxa"/>
          </w:tcPr>
          <w:p w14:paraId="544CFCD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242,6</w:t>
            </w:r>
          </w:p>
        </w:tc>
      </w:tr>
      <w:tr w:rsidR="00A90008" w:rsidRPr="009772A3" w14:paraId="4C532FAA" w14:textId="77777777" w:rsidTr="00630E8C">
        <w:trPr>
          <w:trHeight w:val="20"/>
        </w:trPr>
        <w:tc>
          <w:tcPr>
            <w:tcW w:w="2490" w:type="dxa"/>
          </w:tcPr>
          <w:p w14:paraId="24EA5E8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4E38642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6466746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61.193,5</w:t>
            </w:r>
          </w:p>
        </w:tc>
        <w:tc>
          <w:tcPr>
            <w:tcW w:w="2126" w:type="dxa"/>
          </w:tcPr>
          <w:p w14:paraId="498D27A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53.391,1</w:t>
            </w:r>
          </w:p>
        </w:tc>
        <w:tc>
          <w:tcPr>
            <w:tcW w:w="2288" w:type="dxa"/>
          </w:tcPr>
          <w:p w14:paraId="47380CE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7.802,4</w:t>
            </w:r>
          </w:p>
        </w:tc>
      </w:tr>
      <w:tr w:rsidR="00A90008" w:rsidRPr="009772A3" w14:paraId="105C2DA5" w14:textId="77777777" w:rsidTr="00630E8C">
        <w:trPr>
          <w:trHeight w:val="20"/>
        </w:trPr>
        <w:tc>
          <w:tcPr>
            <w:tcW w:w="9633" w:type="dxa"/>
            <w:gridSpan w:val="5"/>
          </w:tcPr>
          <w:p w14:paraId="2E58666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5D558F4D" w14:textId="77777777" w:rsidTr="00630E8C">
        <w:trPr>
          <w:trHeight w:val="20"/>
        </w:trPr>
        <w:tc>
          <w:tcPr>
            <w:tcW w:w="2490" w:type="dxa"/>
          </w:tcPr>
          <w:p w14:paraId="3B4FD25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Gagauz-gaz</w:t>
            </w:r>
          </w:p>
        </w:tc>
        <w:tc>
          <w:tcPr>
            <w:tcW w:w="1310" w:type="dxa"/>
          </w:tcPr>
          <w:p w14:paraId="0044D3F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6B851A8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6823,4</w:t>
            </w:r>
          </w:p>
        </w:tc>
        <w:tc>
          <w:tcPr>
            <w:tcW w:w="2126" w:type="dxa"/>
          </w:tcPr>
          <w:p w14:paraId="6C5683E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3630,4</w:t>
            </w:r>
          </w:p>
        </w:tc>
        <w:tc>
          <w:tcPr>
            <w:tcW w:w="2288" w:type="dxa"/>
          </w:tcPr>
          <w:p w14:paraId="4E102B2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3193,0</w:t>
            </w:r>
          </w:p>
        </w:tc>
      </w:tr>
      <w:tr w:rsidR="00A90008" w:rsidRPr="009772A3" w14:paraId="593F2193" w14:textId="77777777" w:rsidTr="00630E8C">
        <w:trPr>
          <w:trHeight w:val="20"/>
        </w:trPr>
        <w:tc>
          <w:tcPr>
            <w:tcW w:w="2490" w:type="dxa"/>
          </w:tcPr>
          <w:p w14:paraId="3667660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7C1C0F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1F153DF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10083,6</w:t>
            </w:r>
          </w:p>
        </w:tc>
        <w:tc>
          <w:tcPr>
            <w:tcW w:w="2126" w:type="dxa"/>
          </w:tcPr>
          <w:p w14:paraId="0CF806D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10083,6</w:t>
            </w:r>
          </w:p>
        </w:tc>
        <w:tc>
          <w:tcPr>
            <w:tcW w:w="2288" w:type="dxa"/>
          </w:tcPr>
          <w:p w14:paraId="222AA66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4F4DDE99" w14:textId="77777777" w:rsidTr="00630E8C">
        <w:trPr>
          <w:trHeight w:val="20"/>
        </w:trPr>
        <w:tc>
          <w:tcPr>
            <w:tcW w:w="2490" w:type="dxa"/>
          </w:tcPr>
          <w:p w14:paraId="65F7E1E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1A29BD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0642163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5950,6</w:t>
            </w:r>
          </w:p>
        </w:tc>
        <w:tc>
          <w:tcPr>
            <w:tcW w:w="2126" w:type="dxa"/>
          </w:tcPr>
          <w:p w14:paraId="305A5CE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5466,0</w:t>
            </w:r>
          </w:p>
        </w:tc>
        <w:tc>
          <w:tcPr>
            <w:tcW w:w="2288" w:type="dxa"/>
          </w:tcPr>
          <w:p w14:paraId="15AAAA2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484,6</w:t>
            </w:r>
          </w:p>
        </w:tc>
      </w:tr>
      <w:tr w:rsidR="00A90008" w:rsidRPr="009772A3" w14:paraId="597398A8" w14:textId="77777777" w:rsidTr="00630E8C">
        <w:trPr>
          <w:trHeight w:val="20"/>
        </w:trPr>
        <w:tc>
          <w:tcPr>
            <w:tcW w:w="2490" w:type="dxa"/>
          </w:tcPr>
          <w:p w14:paraId="7961844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2D1C527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32945B6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12719,3</w:t>
            </w:r>
          </w:p>
        </w:tc>
        <w:tc>
          <w:tcPr>
            <w:tcW w:w="2126" w:type="dxa"/>
          </w:tcPr>
          <w:p w14:paraId="00832C6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10757,8</w:t>
            </w:r>
          </w:p>
        </w:tc>
        <w:tc>
          <w:tcPr>
            <w:tcW w:w="2288" w:type="dxa"/>
          </w:tcPr>
          <w:p w14:paraId="434C194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1961,5</w:t>
            </w:r>
          </w:p>
        </w:tc>
      </w:tr>
      <w:tr w:rsidR="00A90008" w:rsidRPr="009772A3" w14:paraId="58E3DE63" w14:textId="77777777" w:rsidTr="00630E8C">
        <w:trPr>
          <w:trHeight w:val="20"/>
        </w:trPr>
        <w:tc>
          <w:tcPr>
            <w:tcW w:w="2490" w:type="dxa"/>
          </w:tcPr>
          <w:p w14:paraId="42B449B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97D8FE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0107871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2929,7</w:t>
            </w:r>
          </w:p>
        </w:tc>
        <w:tc>
          <w:tcPr>
            <w:tcW w:w="2126" w:type="dxa"/>
          </w:tcPr>
          <w:p w14:paraId="18D71B5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2257,3</w:t>
            </w:r>
          </w:p>
        </w:tc>
        <w:tc>
          <w:tcPr>
            <w:tcW w:w="2288" w:type="dxa"/>
          </w:tcPr>
          <w:p w14:paraId="0F41584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672,4</w:t>
            </w:r>
          </w:p>
        </w:tc>
      </w:tr>
      <w:tr w:rsidR="00A90008" w:rsidRPr="009772A3" w14:paraId="3472A19C" w14:textId="77777777" w:rsidTr="00630E8C">
        <w:trPr>
          <w:trHeight w:val="20"/>
        </w:trPr>
        <w:tc>
          <w:tcPr>
            <w:tcW w:w="2490" w:type="dxa"/>
          </w:tcPr>
          <w:p w14:paraId="38D76E9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BB996B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59D8468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34702,6</w:t>
            </w:r>
          </w:p>
        </w:tc>
        <w:tc>
          <w:tcPr>
            <w:tcW w:w="2126" w:type="dxa"/>
          </w:tcPr>
          <w:p w14:paraId="59172EB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34485,2</w:t>
            </w:r>
          </w:p>
        </w:tc>
        <w:tc>
          <w:tcPr>
            <w:tcW w:w="2288" w:type="dxa"/>
          </w:tcPr>
          <w:p w14:paraId="6967213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217,5</w:t>
            </w:r>
          </w:p>
        </w:tc>
      </w:tr>
      <w:tr w:rsidR="00A90008" w:rsidRPr="009772A3" w14:paraId="0A4A12FB" w14:textId="77777777" w:rsidTr="00630E8C">
        <w:trPr>
          <w:trHeight w:val="20"/>
        </w:trPr>
        <w:tc>
          <w:tcPr>
            <w:tcW w:w="2490" w:type="dxa"/>
          </w:tcPr>
          <w:p w14:paraId="2CAEBAF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647285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32E260B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12064,9</w:t>
            </w:r>
          </w:p>
        </w:tc>
        <w:tc>
          <w:tcPr>
            <w:tcW w:w="2126" w:type="dxa"/>
          </w:tcPr>
          <w:p w14:paraId="31A4927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3824,6</w:t>
            </w:r>
          </w:p>
        </w:tc>
        <w:tc>
          <w:tcPr>
            <w:tcW w:w="2288" w:type="dxa"/>
          </w:tcPr>
          <w:p w14:paraId="119488A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8240,3</w:t>
            </w:r>
          </w:p>
        </w:tc>
      </w:tr>
      <w:tr w:rsidR="00A90008" w:rsidRPr="009772A3" w14:paraId="7BC7FEE0" w14:textId="77777777" w:rsidTr="00630E8C">
        <w:trPr>
          <w:trHeight w:val="20"/>
        </w:trPr>
        <w:tc>
          <w:tcPr>
            <w:tcW w:w="2490" w:type="dxa"/>
          </w:tcPr>
          <w:p w14:paraId="56C6EB2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2837BA9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7CFF008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5373,0</w:t>
            </w:r>
          </w:p>
        </w:tc>
        <w:tc>
          <w:tcPr>
            <w:tcW w:w="2126" w:type="dxa"/>
          </w:tcPr>
          <w:p w14:paraId="5DC3758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4137,5</w:t>
            </w:r>
          </w:p>
        </w:tc>
        <w:tc>
          <w:tcPr>
            <w:tcW w:w="2288" w:type="dxa"/>
          </w:tcPr>
          <w:p w14:paraId="2E7FE6D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1235,5</w:t>
            </w:r>
          </w:p>
        </w:tc>
      </w:tr>
      <w:tr w:rsidR="00A90008" w:rsidRPr="009772A3" w14:paraId="135421F3" w14:textId="77777777" w:rsidTr="00630E8C">
        <w:trPr>
          <w:trHeight w:val="20"/>
        </w:trPr>
        <w:tc>
          <w:tcPr>
            <w:tcW w:w="2490" w:type="dxa"/>
          </w:tcPr>
          <w:p w14:paraId="4289D4B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3CB2DF6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35323C1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2845,9</w:t>
            </w:r>
          </w:p>
        </w:tc>
        <w:tc>
          <w:tcPr>
            <w:tcW w:w="2126" w:type="dxa"/>
          </w:tcPr>
          <w:p w14:paraId="633893A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2031,4</w:t>
            </w:r>
          </w:p>
        </w:tc>
        <w:tc>
          <w:tcPr>
            <w:tcW w:w="2288" w:type="dxa"/>
          </w:tcPr>
          <w:p w14:paraId="0C8632B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814,5</w:t>
            </w:r>
          </w:p>
        </w:tc>
      </w:tr>
      <w:tr w:rsidR="00A90008" w:rsidRPr="009772A3" w14:paraId="76257EB0" w14:textId="77777777" w:rsidTr="00630E8C">
        <w:trPr>
          <w:trHeight w:val="20"/>
        </w:trPr>
        <w:tc>
          <w:tcPr>
            <w:tcW w:w="2490" w:type="dxa"/>
          </w:tcPr>
          <w:p w14:paraId="1DA712B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2D869DA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2059C91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14946,0</w:t>
            </w:r>
          </w:p>
        </w:tc>
        <w:tc>
          <w:tcPr>
            <w:tcW w:w="2126" w:type="dxa"/>
          </w:tcPr>
          <w:p w14:paraId="2F8503A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14221,6</w:t>
            </w:r>
          </w:p>
        </w:tc>
        <w:tc>
          <w:tcPr>
            <w:tcW w:w="2288" w:type="dxa"/>
          </w:tcPr>
          <w:p w14:paraId="1CEAC8C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724,4</w:t>
            </w:r>
          </w:p>
        </w:tc>
      </w:tr>
      <w:tr w:rsidR="00A90008" w:rsidRPr="009772A3" w14:paraId="7AC9E608" w14:textId="77777777" w:rsidTr="00630E8C">
        <w:trPr>
          <w:trHeight w:val="20"/>
        </w:trPr>
        <w:tc>
          <w:tcPr>
            <w:tcW w:w="2490" w:type="dxa"/>
          </w:tcPr>
          <w:p w14:paraId="177A249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43D9A79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1000232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12468,2</w:t>
            </w:r>
          </w:p>
        </w:tc>
        <w:tc>
          <w:tcPr>
            <w:tcW w:w="2126" w:type="dxa"/>
          </w:tcPr>
          <w:p w14:paraId="705259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12195,3</w:t>
            </w:r>
          </w:p>
        </w:tc>
        <w:tc>
          <w:tcPr>
            <w:tcW w:w="2288" w:type="dxa"/>
          </w:tcPr>
          <w:p w14:paraId="224CE3B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272,9</w:t>
            </w:r>
          </w:p>
        </w:tc>
      </w:tr>
      <w:tr w:rsidR="00A90008" w:rsidRPr="009772A3" w14:paraId="6D1B1782" w14:textId="77777777" w:rsidTr="00630E8C">
        <w:trPr>
          <w:trHeight w:val="20"/>
        </w:trPr>
        <w:tc>
          <w:tcPr>
            <w:tcW w:w="2490" w:type="dxa"/>
          </w:tcPr>
          <w:p w14:paraId="2E8AC45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1C9ABB6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771560E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120.907,2</w:t>
            </w:r>
          </w:p>
        </w:tc>
        <w:tc>
          <w:tcPr>
            <w:tcW w:w="2126" w:type="dxa"/>
          </w:tcPr>
          <w:p w14:paraId="0A332DA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103.090,7</w:t>
            </w:r>
          </w:p>
        </w:tc>
        <w:tc>
          <w:tcPr>
            <w:tcW w:w="2288" w:type="dxa"/>
          </w:tcPr>
          <w:p w14:paraId="686B07E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17.816,5</w:t>
            </w:r>
          </w:p>
        </w:tc>
      </w:tr>
      <w:tr w:rsidR="00A90008" w:rsidRPr="009772A3" w14:paraId="1C0184FC" w14:textId="77777777" w:rsidTr="00630E8C">
        <w:trPr>
          <w:trHeight w:val="20"/>
        </w:trPr>
        <w:tc>
          <w:tcPr>
            <w:tcW w:w="9633" w:type="dxa"/>
            <w:gridSpan w:val="5"/>
          </w:tcPr>
          <w:p w14:paraId="4361DA5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409F14CE" w14:textId="77777777" w:rsidTr="00630E8C">
        <w:trPr>
          <w:trHeight w:val="20"/>
        </w:trPr>
        <w:tc>
          <w:tcPr>
            <w:tcW w:w="2490" w:type="dxa"/>
          </w:tcPr>
          <w:p w14:paraId="0157816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Ștefan Vodă-gaz</w:t>
            </w:r>
          </w:p>
        </w:tc>
        <w:tc>
          <w:tcPr>
            <w:tcW w:w="1310" w:type="dxa"/>
          </w:tcPr>
          <w:p w14:paraId="150D103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3132AFE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4661,5</w:t>
            </w:r>
          </w:p>
        </w:tc>
        <w:tc>
          <w:tcPr>
            <w:tcW w:w="2126" w:type="dxa"/>
          </w:tcPr>
          <w:p w14:paraId="0092BAD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4661,5</w:t>
            </w:r>
          </w:p>
        </w:tc>
        <w:tc>
          <w:tcPr>
            <w:tcW w:w="2288" w:type="dxa"/>
          </w:tcPr>
          <w:p w14:paraId="1816E01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015DBEEF" w14:textId="77777777" w:rsidTr="00630E8C">
        <w:trPr>
          <w:trHeight w:val="20"/>
        </w:trPr>
        <w:tc>
          <w:tcPr>
            <w:tcW w:w="2490" w:type="dxa"/>
          </w:tcPr>
          <w:p w14:paraId="31EDECA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F9C263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7472251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2844,1</w:t>
            </w:r>
          </w:p>
        </w:tc>
        <w:tc>
          <w:tcPr>
            <w:tcW w:w="2126" w:type="dxa"/>
          </w:tcPr>
          <w:p w14:paraId="5A06479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2500,0</w:t>
            </w:r>
          </w:p>
        </w:tc>
        <w:tc>
          <w:tcPr>
            <w:tcW w:w="2288" w:type="dxa"/>
          </w:tcPr>
          <w:p w14:paraId="3DF52A1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344,1</w:t>
            </w:r>
          </w:p>
        </w:tc>
      </w:tr>
      <w:tr w:rsidR="00A90008" w:rsidRPr="009772A3" w14:paraId="088B9283" w14:textId="77777777" w:rsidTr="00630E8C">
        <w:trPr>
          <w:trHeight w:val="20"/>
        </w:trPr>
        <w:tc>
          <w:tcPr>
            <w:tcW w:w="2490" w:type="dxa"/>
          </w:tcPr>
          <w:p w14:paraId="047277D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66D5D7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1CA746B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3403,8</w:t>
            </w:r>
          </w:p>
        </w:tc>
        <w:tc>
          <w:tcPr>
            <w:tcW w:w="2126" w:type="dxa"/>
          </w:tcPr>
          <w:p w14:paraId="5851136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3305,2</w:t>
            </w:r>
          </w:p>
        </w:tc>
        <w:tc>
          <w:tcPr>
            <w:tcW w:w="2288" w:type="dxa"/>
          </w:tcPr>
          <w:p w14:paraId="39623B5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98,6</w:t>
            </w:r>
          </w:p>
        </w:tc>
      </w:tr>
      <w:tr w:rsidR="00A90008" w:rsidRPr="009772A3" w14:paraId="6238E355" w14:textId="77777777" w:rsidTr="00630E8C">
        <w:trPr>
          <w:trHeight w:val="20"/>
        </w:trPr>
        <w:tc>
          <w:tcPr>
            <w:tcW w:w="2490" w:type="dxa"/>
          </w:tcPr>
          <w:p w14:paraId="6D80628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1501AE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2924C53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2992,9</w:t>
            </w:r>
          </w:p>
        </w:tc>
        <w:tc>
          <w:tcPr>
            <w:tcW w:w="2126" w:type="dxa"/>
          </w:tcPr>
          <w:p w14:paraId="02ADC85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2853,6</w:t>
            </w:r>
          </w:p>
        </w:tc>
        <w:tc>
          <w:tcPr>
            <w:tcW w:w="2288" w:type="dxa"/>
          </w:tcPr>
          <w:p w14:paraId="5FEB556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139,3</w:t>
            </w:r>
          </w:p>
        </w:tc>
      </w:tr>
      <w:tr w:rsidR="00A90008" w:rsidRPr="009772A3" w14:paraId="4EC7028D" w14:textId="77777777" w:rsidTr="00630E8C">
        <w:trPr>
          <w:trHeight w:val="20"/>
        </w:trPr>
        <w:tc>
          <w:tcPr>
            <w:tcW w:w="2490" w:type="dxa"/>
          </w:tcPr>
          <w:p w14:paraId="3B760F3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B329AE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1F6E702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2168,8</w:t>
            </w:r>
          </w:p>
        </w:tc>
        <w:tc>
          <w:tcPr>
            <w:tcW w:w="2126" w:type="dxa"/>
          </w:tcPr>
          <w:p w14:paraId="6AD1843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1993,2</w:t>
            </w:r>
          </w:p>
        </w:tc>
        <w:tc>
          <w:tcPr>
            <w:tcW w:w="2288" w:type="dxa"/>
          </w:tcPr>
          <w:p w14:paraId="02CB5D4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175,6</w:t>
            </w:r>
          </w:p>
        </w:tc>
      </w:tr>
      <w:tr w:rsidR="00A90008" w:rsidRPr="009772A3" w14:paraId="02EA57BB" w14:textId="77777777" w:rsidTr="00630E8C">
        <w:trPr>
          <w:trHeight w:val="20"/>
        </w:trPr>
        <w:tc>
          <w:tcPr>
            <w:tcW w:w="2490" w:type="dxa"/>
          </w:tcPr>
          <w:p w14:paraId="43B9C22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85B18D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69D5619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2015,4</w:t>
            </w:r>
          </w:p>
        </w:tc>
        <w:tc>
          <w:tcPr>
            <w:tcW w:w="2126" w:type="dxa"/>
          </w:tcPr>
          <w:p w14:paraId="3A0E14D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2012,6</w:t>
            </w:r>
          </w:p>
        </w:tc>
        <w:tc>
          <w:tcPr>
            <w:tcW w:w="2288" w:type="dxa"/>
          </w:tcPr>
          <w:p w14:paraId="4941F89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w:t>
            </w:r>
          </w:p>
        </w:tc>
      </w:tr>
      <w:tr w:rsidR="00A90008" w:rsidRPr="009772A3" w14:paraId="316BC086" w14:textId="77777777" w:rsidTr="00630E8C">
        <w:trPr>
          <w:trHeight w:val="20"/>
        </w:trPr>
        <w:tc>
          <w:tcPr>
            <w:tcW w:w="2490" w:type="dxa"/>
          </w:tcPr>
          <w:p w14:paraId="73344E1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8A59CA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4478B09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7275,8</w:t>
            </w:r>
          </w:p>
        </w:tc>
        <w:tc>
          <w:tcPr>
            <w:tcW w:w="2126" w:type="dxa"/>
          </w:tcPr>
          <w:p w14:paraId="651AF0C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2471,2</w:t>
            </w:r>
          </w:p>
        </w:tc>
        <w:tc>
          <w:tcPr>
            <w:tcW w:w="2288" w:type="dxa"/>
          </w:tcPr>
          <w:p w14:paraId="559432C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4804,6</w:t>
            </w:r>
          </w:p>
        </w:tc>
      </w:tr>
      <w:tr w:rsidR="00A90008" w:rsidRPr="009772A3" w14:paraId="640EFF31" w14:textId="77777777" w:rsidTr="00630E8C">
        <w:trPr>
          <w:trHeight w:val="20"/>
        </w:trPr>
        <w:tc>
          <w:tcPr>
            <w:tcW w:w="2490" w:type="dxa"/>
          </w:tcPr>
          <w:p w14:paraId="0DC5A72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2AB42A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2F293B0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1460,6</w:t>
            </w:r>
          </w:p>
        </w:tc>
        <w:tc>
          <w:tcPr>
            <w:tcW w:w="2126" w:type="dxa"/>
          </w:tcPr>
          <w:p w14:paraId="5BC9D86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1281,7</w:t>
            </w:r>
          </w:p>
        </w:tc>
        <w:tc>
          <w:tcPr>
            <w:tcW w:w="2288" w:type="dxa"/>
          </w:tcPr>
          <w:p w14:paraId="697FB9F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178,9</w:t>
            </w:r>
          </w:p>
        </w:tc>
      </w:tr>
      <w:tr w:rsidR="00A90008" w:rsidRPr="009772A3" w14:paraId="301DE048" w14:textId="77777777" w:rsidTr="00630E8C">
        <w:trPr>
          <w:trHeight w:val="20"/>
        </w:trPr>
        <w:tc>
          <w:tcPr>
            <w:tcW w:w="2490" w:type="dxa"/>
          </w:tcPr>
          <w:p w14:paraId="2E60E44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6232E3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1EB108C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3203,4</w:t>
            </w:r>
          </w:p>
        </w:tc>
        <w:tc>
          <w:tcPr>
            <w:tcW w:w="2126" w:type="dxa"/>
          </w:tcPr>
          <w:p w14:paraId="08AAFD2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2957,7</w:t>
            </w:r>
          </w:p>
        </w:tc>
        <w:tc>
          <w:tcPr>
            <w:tcW w:w="2288" w:type="dxa"/>
          </w:tcPr>
          <w:p w14:paraId="22BFB8B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245,6</w:t>
            </w:r>
          </w:p>
        </w:tc>
      </w:tr>
      <w:tr w:rsidR="00A90008" w:rsidRPr="009772A3" w14:paraId="58E5FE3B" w14:textId="77777777" w:rsidTr="00630E8C">
        <w:trPr>
          <w:trHeight w:val="20"/>
        </w:trPr>
        <w:tc>
          <w:tcPr>
            <w:tcW w:w="2490" w:type="dxa"/>
          </w:tcPr>
          <w:p w14:paraId="0531EC8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74C67C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79367B4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4822,2</w:t>
            </w:r>
          </w:p>
        </w:tc>
        <w:tc>
          <w:tcPr>
            <w:tcW w:w="2126" w:type="dxa"/>
          </w:tcPr>
          <w:p w14:paraId="3A25781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4719,7</w:t>
            </w:r>
          </w:p>
        </w:tc>
        <w:tc>
          <w:tcPr>
            <w:tcW w:w="2288" w:type="dxa"/>
          </w:tcPr>
          <w:p w14:paraId="4A7DD87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102,5</w:t>
            </w:r>
          </w:p>
        </w:tc>
      </w:tr>
      <w:tr w:rsidR="00A90008" w:rsidRPr="009772A3" w14:paraId="773864D2" w14:textId="77777777" w:rsidTr="00630E8C">
        <w:trPr>
          <w:trHeight w:val="20"/>
        </w:trPr>
        <w:tc>
          <w:tcPr>
            <w:tcW w:w="2490" w:type="dxa"/>
          </w:tcPr>
          <w:p w14:paraId="0A5715B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49E8159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6791507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5902,3</w:t>
            </w:r>
          </w:p>
        </w:tc>
        <w:tc>
          <w:tcPr>
            <w:tcW w:w="2126" w:type="dxa"/>
          </w:tcPr>
          <w:p w14:paraId="4CC7F24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5590,3</w:t>
            </w:r>
          </w:p>
        </w:tc>
        <w:tc>
          <w:tcPr>
            <w:tcW w:w="2288" w:type="dxa"/>
          </w:tcPr>
          <w:p w14:paraId="2DA6E8A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312,3</w:t>
            </w:r>
          </w:p>
        </w:tc>
      </w:tr>
      <w:tr w:rsidR="00A90008" w:rsidRPr="009772A3" w14:paraId="0030846F" w14:textId="77777777" w:rsidTr="00630E8C">
        <w:trPr>
          <w:trHeight w:val="20"/>
        </w:trPr>
        <w:tc>
          <w:tcPr>
            <w:tcW w:w="2490" w:type="dxa"/>
          </w:tcPr>
          <w:p w14:paraId="4980CCC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6D3D4F0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640CA93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40.750,6</w:t>
            </w:r>
          </w:p>
        </w:tc>
        <w:tc>
          <w:tcPr>
            <w:tcW w:w="2126" w:type="dxa"/>
          </w:tcPr>
          <w:p w14:paraId="54C554E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34.346,3</w:t>
            </w:r>
          </w:p>
        </w:tc>
        <w:tc>
          <w:tcPr>
            <w:tcW w:w="2288" w:type="dxa"/>
          </w:tcPr>
          <w:p w14:paraId="315760F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6.404,3</w:t>
            </w:r>
          </w:p>
        </w:tc>
      </w:tr>
      <w:tr w:rsidR="00A90008" w:rsidRPr="009772A3" w14:paraId="4230F854" w14:textId="77777777" w:rsidTr="00630E8C">
        <w:trPr>
          <w:trHeight w:val="20"/>
        </w:trPr>
        <w:tc>
          <w:tcPr>
            <w:tcW w:w="9633" w:type="dxa"/>
            <w:gridSpan w:val="5"/>
          </w:tcPr>
          <w:p w14:paraId="6055447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4CDB06EC" w14:textId="77777777" w:rsidTr="00630E8C">
        <w:trPr>
          <w:trHeight w:val="20"/>
        </w:trPr>
        <w:tc>
          <w:tcPr>
            <w:tcW w:w="2490" w:type="dxa"/>
          </w:tcPr>
          <w:p w14:paraId="6BB387F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Cimișlia-gaz</w:t>
            </w:r>
          </w:p>
        </w:tc>
        <w:tc>
          <w:tcPr>
            <w:tcW w:w="1310" w:type="dxa"/>
          </w:tcPr>
          <w:p w14:paraId="61747D6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4CFAB9F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42582,4</w:t>
            </w:r>
          </w:p>
        </w:tc>
        <w:tc>
          <w:tcPr>
            <w:tcW w:w="2126" w:type="dxa"/>
          </w:tcPr>
          <w:p w14:paraId="49BC4C3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14006,8</w:t>
            </w:r>
          </w:p>
        </w:tc>
        <w:tc>
          <w:tcPr>
            <w:tcW w:w="2288" w:type="dxa"/>
          </w:tcPr>
          <w:p w14:paraId="57C5730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28575,6</w:t>
            </w:r>
          </w:p>
        </w:tc>
      </w:tr>
      <w:tr w:rsidR="00A90008" w:rsidRPr="009772A3" w14:paraId="0FD48F65" w14:textId="77777777" w:rsidTr="00630E8C">
        <w:trPr>
          <w:trHeight w:val="20"/>
        </w:trPr>
        <w:tc>
          <w:tcPr>
            <w:tcW w:w="2490" w:type="dxa"/>
          </w:tcPr>
          <w:p w14:paraId="09A55FB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2856542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12E790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12540,4</w:t>
            </w:r>
          </w:p>
        </w:tc>
        <w:tc>
          <w:tcPr>
            <w:tcW w:w="2126" w:type="dxa"/>
          </w:tcPr>
          <w:p w14:paraId="58AB9FA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12092,5</w:t>
            </w:r>
          </w:p>
        </w:tc>
        <w:tc>
          <w:tcPr>
            <w:tcW w:w="2288" w:type="dxa"/>
          </w:tcPr>
          <w:p w14:paraId="4B18C1E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447,9</w:t>
            </w:r>
          </w:p>
        </w:tc>
      </w:tr>
      <w:tr w:rsidR="00A90008" w:rsidRPr="009772A3" w14:paraId="3B46F3ED" w14:textId="77777777" w:rsidTr="00630E8C">
        <w:trPr>
          <w:trHeight w:val="20"/>
        </w:trPr>
        <w:tc>
          <w:tcPr>
            <w:tcW w:w="2490" w:type="dxa"/>
          </w:tcPr>
          <w:p w14:paraId="688DD78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24932F7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3D90A9A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4066,9</w:t>
            </w:r>
          </w:p>
        </w:tc>
        <w:tc>
          <w:tcPr>
            <w:tcW w:w="2126" w:type="dxa"/>
          </w:tcPr>
          <w:p w14:paraId="71C8E85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3746,2</w:t>
            </w:r>
          </w:p>
        </w:tc>
        <w:tc>
          <w:tcPr>
            <w:tcW w:w="2288" w:type="dxa"/>
          </w:tcPr>
          <w:p w14:paraId="43875EA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320,7</w:t>
            </w:r>
          </w:p>
        </w:tc>
      </w:tr>
      <w:tr w:rsidR="00A90008" w:rsidRPr="009772A3" w14:paraId="687C24C9" w14:textId="77777777" w:rsidTr="00630E8C">
        <w:trPr>
          <w:trHeight w:val="20"/>
        </w:trPr>
        <w:tc>
          <w:tcPr>
            <w:tcW w:w="2490" w:type="dxa"/>
          </w:tcPr>
          <w:p w14:paraId="2C089AF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12E0E0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3EDE39D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5351,1</w:t>
            </w:r>
          </w:p>
        </w:tc>
        <w:tc>
          <w:tcPr>
            <w:tcW w:w="2126" w:type="dxa"/>
          </w:tcPr>
          <w:p w14:paraId="6E5E495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4008,7</w:t>
            </w:r>
          </w:p>
        </w:tc>
        <w:tc>
          <w:tcPr>
            <w:tcW w:w="2288" w:type="dxa"/>
          </w:tcPr>
          <w:p w14:paraId="322FA28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1342,4</w:t>
            </w:r>
          </w:p>
        </w:tc>
      </w:tr>
      <w:tr w:rsidR="00A90008" w:rsidRPr="009772A3" w14:paraId="7FE2CB6D" w14:textId="77777777" w:rsidTr="00630E8C">
        <w:trPr>
          <w:trHeight w:val="20"/>
        </w:trPr>
        <w:tc>
          <w:tcPr>
            <w:tcW w:w="2490" w:type="dxa"/>
          </w:tcPr>
          <w:p w14:paraId="7D9C0EE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6F3C21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306A3CB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9090,4</w:t>
            </w:r>
          </w:p>
        </w:tc>
        <w:tc>
          <w:tcPr>
            <w:tcW w:w="2126" w:type="dxa"/>
          </w:tcPr>
          <w:p w14:paraId="76A8B13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691,3</w:t>
            </w:r>
          </w:p>
        </w:tc>
        <w:tc>
          <w:tcPr>
            <w:tcW w:w="2288" w:type="dxa"/>
          </w:tcPr>
          <w:p w14:paraId="40A4732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8399,1</w:t>
            </w:r>
          </w:p>
        </w:tc>
      </w:tr>
      <w:tr w:rsidR="00A90008" w:rsidRPr="009772A3" w14:paraId="0BB7D216" w14:textId="77777777" w:rsidTr="00630E8C">
        <w:trPr>
          <w:trHeight w:val="20"/>
        </w:trPr>
        <w:tc>
          <w:tcPr>
            <w:tcW w:w="2490" w:type="dxa"/>
          </w:tcPr>
          <w:p w14:paraId="3AA3052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B09095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44B7876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1408,8</w:t>
            </w:r>
          </w:p>
        </w:tc>
        <w:tc>
          <w:tcPr>
            <w:tcW w:w="2126" w:type="dxa"/>
          </w:tcPr>
          <w:p w14:paraId="4FD3250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869,1</w:t>
            </w:r>
          </w:p>
        </w:tc>
        <w:tc>
          <w:tcPr>
            <w:tcW w:w="2288" w:type="dxa"/>
          </w:tcPr>
          <w:p w14:paraId="723F915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539,7</w:t>
            </w:r>
          </w:p>
        </w:tc>
      </w:tr>
      <w:tr w:rsidR="00A90008" w:rsidRPr="009772A3" w14:paraId="4CBE8D97" w14:textId="77777777" w:rsidTr="00630E8C">
        <w:trPr>
          <w:trHeight w:val="20"/>
        </w:trPr>
        <w:tc>
          <w:tcPr>
            <w:tcW w:w="2490" w:type="dxa"/>
          </w:tcPr>
          <w:p w14:paraId="260345E0"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69C587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16FAF95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3929,5</w:t>
            </w:r>
          </w:p>
        </w:tc>
        <w:tc>
          <w:tcPr>
            <w:tcW w:w="2126" w:type="dxa"/>
          </w:tcPr>
          <w:p w14:paraId="353C613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1627,7</w:t>
            </w:r>
          </w:p>
        </w:tc>
        <w:tc>
          <w:tcPr>
            <w:tcW w:w="2288" w:type="dxa"/>
          </w:tcPr>
          <w:p w14:paraId="686A2FF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2301,8</w:t>
            </w:r>
          </w:p>
        </w:tc>
      </w:tr>
      <w:tr w:rsidR="00A90008" w:rsidRPr="009772A3" w14:paraId="03B59A8B" w14:textId="77777777" w:rsidTr="00630E8C">
        <w:trPr>
          <w:trHeight w:val="20"/>
        </w:trPr>
        <w:tc>
          <w:tcPr>
            <w:tcW w:w="2490" w:type="dxa"/>
          </w:tcPr>
          <w:p w14:paraId="454AAD8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CF0CFF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1D66229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7484,8</w:t>
            </w:r>
          </w:p>
        </w:tc>
        <w:tc>
          <w:tcPr>
            <w:tcW w:w="2126" w:type="dxa"/>
          </w:tcPr>
          <w:p w14:paraId="724A1D7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4741,3</w:t>
            </w:r>
          </w:p>
        </w:tc>
        <w:tc>
          <w:tcPr>
            <w:tcW w:w="2288" w:type="dxa"/>
          </w:tcPr>
          <w:p w14:paraId="2058A4C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2743,5</w:t>
            </w:r>
          </w:p>
        </w:tc>
      </w:tr>
      <w:tr w:rsidR="00A90008" w:rsidRPr="009772A3" w14:paraId="7D421636" w14:textId="77777777" w:rsidTr="00630E8C">
        <w:trPr>
          <w:trHeight w:val="20"/>
        </w:trPr>
        <w:tc>
          <w:tcPr>
            <w:tcW w:w="2490" w:type="dxa"/>
          </w:tcPr>
          <w:p w14:paraId="68F687D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4C5DF3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4610AC2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4244,4</w:t>
            </w:r>
          </w:p>
        </w:tc>
        <w:tc>
          <w:tcPr>
            <w:tcW w:w="2126" w:type="dxa"/>
          </w:tcPr>
          <w:p w14:paraId="08A91AF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2897,9</w:t>
            </w:r>
          </w:p>
        </w:tc>
        <w:tc>
          <w:tcPr>
            <w:tcW w:w="2288" w:type="dxa"/>
          </w:tcPr>
          <w:p w14:paraId="5A7CB53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1346,4</w:t>
            </w:r>
          </w:p>
        </w:tc>
      </w:tr>
      <w:tr w:rsidR="00A90008" w:rsidRPr="009772A3" w14:paraId="405661FA" w14:textId="77777777" w:rsidTr="00630E8C">
        <w:trPr>
          <w:trHeight w:val="20"/>
        </w:trPr>
        <w:tc>
          <w:tcPr>
            <w:tcW w:w="2490" w:type="dxa"/>
          </w:tcPr>
          <w:p w14:paraId="6B5B1E2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219FFCC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11B0627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4648,6</w:t>
            </w:r>
          </w:p>
        </w:tc>
        <w:tc>
          <w:tcPr>
            <w:tcW w:w="2126" w:type="dxa"/>
          </w:tcPr>
          <w:p w14:paraId="36BD32D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4566,5</w:t>
            </w:r>
          </w:p>
        </w:tc>
        <w:tc>
          <w:tcPr>
            <w:tcW w:w="2288" w:type="dxa"/>
          </w:tcPr>
          <w:p w14:paraId="1355096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82,1</w:t>
            </w:r>
          </w:p>
        </w:tc>
      </w:tr>
      <w:tr w:rsidR="00A90008" w:rsidRPr="009772A3" w14:paraId="233EF169" w14:textId="77777777" w:rsidTr="00630E8C">
        <w:trPr>
          <w:trHeight w:val="20"/>
        </w:trPr>
        <w:tc>
          <w:tcPr>
            <w:tcW w:w="2490" w:type="dxa"/>
          </w:tcPr>
          <w:p w14:paraId="4CF9781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980835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723A6B0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6848,6</w:t>
            </w:r>
          </w:p>
        </w:tc>
        <w:tc>
          <w:tcPr>
            <w:tcW w:w="2126" w:type="dxa"/>
          </w:tcPr>
          <w:p w14:paraId="4629CD8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6647,6</w:t>
            </w:r>
          </w:p>
        </w:tc>
        <w:tc>
          <w:tcPr>
            <w:tcW w:w="2288" w:type="dxa"/>
          </w:tcPr>
          <w:p w14:paraId="4CBDAA6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201,0</w:t>
            </w:r>
          </w:p>
        </w:tc>
      </w:tr>
      <w:tr w:rsidR="00A90008" w:rsidRPr="009772A3" w14:paraId="6873CC67" w14:textId="77777777" w:rsidTr="00630E8C">
        <w:trPr>
          <w:trHeight w:val="20"/>
        </w:trPr>
        <w:tc>
          <w:tcPr>
            <w:tcW w:w="2490" w:type="dxa"/>
          </w:tcPr>
          <w:p w14:paraId="40C0014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20FD696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34C1EDF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102.195,8</w:t>
            </w:r>
          </w:p>
        </w:tc>
        <w:tc>
          <w:tcPr>
            <w:tcW w:w="2126" w:type="dxa"/>
          </w:tcPr>
          <w:p w14:paraId="0ED1CF4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55.895,6</w:t>
            </w:r>
          </w:p>
        </w:tc>
        <w:tc>
          <w:tcPr>
            <w:tcW w:w="2288" w:type="dxa"/>
          </w:tcPr>
          <w:p w14:paraId="2209AE6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46.300,2</w:t>
            </w:r>
          </w:p>
        </w:tc>
      </w:tr>
      <w:tr w:rsidR="00A90008" w:rsidRPr="009772A3" w14:paraId="5CF0D8AE" w14:textId="77777777" w:rsidTr="00630E8C">
        <w:trPr>
          <w:trHeight w:val="20"/>
        </w:trPr>
        <w:tc>
          <w:tcPr>
            <w:tcW w:w="9633" w:type="dxa"/>
            <w:gridSpan w:val="5"/>
          </w:tcPr>
          <w:p w14:paraId="3D756D5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7C6DCD83" w14:textId="77777777" w:rsidTr="00630E8C">
        <w:trPr>
          <w:trHeight w:val="20"/>
        </w:trPr>
        <w:tc>
          <w:tcPr>
            <w:tcW w:w="2490" w:type="dxa"/>
          </w:tcPr>
          <w:p w14:paraId="1EB573E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Orhei-gaz</w:t>
            </w:r>
          </w:p>
        </w:tc>
        <w:tc>
          <w:tcPr>
            <w:tcW w:w="1310" w:type="dxa"/>
          </w:tcPr>
          <w:p w14:paraId="322B9BC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4E04636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25304,6</w:t>
            </w:r>
          </w:p>
        </w:tc>
        <w:tc>
          <w:tcPr>
            <w:tcW w:w="2126" w:type="dxa"/>
          </w:tcPr>
          <w:p w14:paraId="1967650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24163,2</w:t>
            </w:r>
          </w:p>
        </w:tc>
        <w:tc>
          <w:tcPr>
            <w:tcW w:w="2288" w:type="dxa"/>
          </w:tcPr>
          <w:p w14:paraId="2E9A9C6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1141,4</w:t>
            </w:r>
          </w:p>
        </w:tc>
      </w:tr>
      <w:tr w:rsidR="00A90008" w:rsidRPr="009772A3" w14:paraId="5E5D49B7" w14:textId="77777777" w:rsidTr="00630E8C">
        <w:trPr>
          <w:trHeight w:val="20"/>
        </w:trPr>
        <w:tc>
          <w:tcPr>
            <w:tcW w:w="2490" w:type="dxa"/>
          </w:tcPr>
          <w:p w14:paraId="1B72151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2A0395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57C3E57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25516,8</w:t>
            </w:r>
          </w:p>
        </w:tc>
        <w:tc>
          <w:tcPr>
            <w:tcW w:w="2126" w:type="dxa"/>
          </w:tcPr>
          <w:p w14:paraId="1145F40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25123,3</w:t>
            </w:r>
          </w:p>
        </w:tc>
        <w:tc>
          <w:tcPr>
            <w:tcW w:w="2288" w:type="dxa"/>
          </w:tcPr>
          <w:p w14:paraId="43B0529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393,5</w:t>
            </w:r>
          </w:p>
        </w:tc>
      </w:tr>
      <w:tr w:rsidR="00A90008" w:rsidRPr="009772A3" w14:paraId="69A7A7FA" w14:textId="77777777" w:rsidTr="00630E8C">
        <w:trPr>
          <w:trHeight w:val="20"/>
        </w:trPr>
        <w:tc>
          <w:tcPr>
            <w:tcW w:w="2490" w:type="dxa"/>
          </w:tcPr>
          <w:p w14:paraId="3BE1C9A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0029D4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5F59A0A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7306,3</w:t>
            </w:r>
          </w:p>
        </w:tc>
        <w:tc>
          <w:tcPr>
            <w:tcW w:w="2126" w:type="dxa"/>
          </w:tcPr>
          <w:p w14:paraId="0C755FB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7306,3</w:t>
            </w:r>
          </w:p>
        </w:tc>
        <w:tc>
          <w:tcPr>
            <w:tcW w:w="2288" w:type="dxa"/>
          </w:tcPr>
          <w:p w14:paraId="0DE6C88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5C78AF39" w14:textId="77777777" w:rsidTr="00630E8C">
        <w:trPr>
          <w:trHeight w:val="20"/>
        </w:trPr>
        <w:tc>
          <w:tcPr>
            <w:tcW w:w="2490" w:type="dxa"/>
          </w:tcPr>
          <w:p w14:paraId="5FE3FFD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8DB4C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201F137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12356,0</w:t>
            </w:r>
          </w:p>
        </w:tc>
        <w:tc>
          <w:tcPr>
            <w:tcW w:w="2126" w:type="dxa"/>
          </w:tcPr>
          <w:p w14:paraId="6339B94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5266,8</w:t>
            </w:r>
          </w:p>
        </w:tc>
        <w:tc>
          <w:tcPr>
            <w:tcW w:w="2288" w:type="dxa"/>
          </w:tcPr>
          <w:p w14:paraId="3884DF5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7089,2</w:t>
            </w:r>
          </w:p>
        </w:tc>
      </w:tr>
      <w:tr w:rsidR="00A90008" w:rsidRPr="009772A3" w14:paraId="295AF78C" w14:textId="77777777" w:rsidTr="00630E8C">
        <w:trPr>
          <w:trHeight w:val="20"/>
        </w:trPr>
        <w:tc>
          <w:tcPr>
            <w:tcW w:w="2490" w:type="dxa"/>
          </w:tcPr>
          <w:p w14:paraId="1CE6F46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33ACCF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61D5E66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6035,7</w:t>
            </w:r>
          </w:p>
        </w:tc>
        <w:tc>
          <w:tcPr>
            <w:tcW w:w="2126" w:type="dxa"/>
          </w:tcPr>
          <w:p w14:paraId="65F448D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5723,8</w:t>
            </w:r>
          </w:p>
        </w:tc>
        <w:tc>
          <w:tcPr>
            <w:tcW w:w="2288" w:type="dxa"/>
          </w:tcPr>
          <w:p w14:paraId="679A667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311,9</w:t>
            </w:r>
          </w:p>
        </w:tc>
      </w:tr>
      <w:tr w:rsidR="00A90008" w:rsidRPr="009772A3" w14:paraId="0CC172C3" w14:textId="77777777" w:rsidTr="00630E8C">
        <w:trPr>
          <w:trHeight w:val="20"/>
        </w:trPr>
        <w:tc>
          <w:tcPr>
            <w:tcW w:w="2490" w:type="dxa"/>
          </w:tcPr>
          <w:p w14:paraId="21D76E6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0B4511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0098DFF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4171,9</w:t>
            </w:r>
          </w:p>
        </w:tc>
        <w:tc>
          <w:tcPr>
            <w:tcW w:w="2126" w:type="dxa"/>
          </w:tcPr>
          <w:p w14:paraId="03D4C81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3936,6</w:t>
            </w:r>
          </w:p>
        </w:tc>
        <w:tc>
          <w:tcPr>
            <w:tcW w:w="2288" w:type="dxa"/>
          </w:tcPr>
          <w:p w14:paraId="150C1D0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235,3</w:t>
            </w:r>
          </w:p>
        </w:tc>
      </w:tr>
      <w:tr w:rsidR="00A90008" w:rsidRPr="009772A3" w14:paraId="31190C5D" w14:textId="77777777" w:rsidTr="00630E8C">
        <w:trPr>
          <w:trHeight w:val="20"/>
        </w:trPr>
        <w:tc>
          <w:tcPr>
            <w:tcW w:w="2490" w:type="dxa"/>
          </w:tcPr>
          <w:p w14:paraId="745C4A4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39B8F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51E9568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13325,3</w:t>
            </w:r>
          </w:p>
        </w:tc>
        <w:tc>
          <w:tcPr>
            <w:tcW w:w="2126" w:type="dxa"/>
          </w:tcPr>
          <w:p w14:paraId="7FA8B6A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7432,1</w:t>
            </w:r>
          </w:p>
        </w:tc>
        <w:tc>
          <w:tcPr>
            <w:tcW w:w="2288" w:type="dxa"/>
          </w:tcPr>
          <w:p w14:paraId="0674276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5893,2</w:t>
            </w:r>
          </w:p>
        </w:tc>
      </w:tr>
      <w:tr w:rsidR="00A90008" w:rsidRPr="009772A3" w14:paraId="52849C2F" w14:textId="77777777" w:rsidTr="00630E8C">
        <w:trPr>
          <w:trHeight w:val="20"/>
        </w:trPr>
        <w:tc>
          <w:tcPr>
            <w:tcW w:w="2490" w:type="dxa"/>
          </w:tcPr>
          <w:p w14:paraId="28FC131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9763CB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78050C8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11876,9</w:t>
            </w:r>
          </w:p>
        </w:tc>
        <w:tc>
          <w:tcPr>
            <w:tcW w:w="2126" w:type="dxa"/>
          </w:tcPr>
          <w:p w14:paraId="74BD95A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11241,2</w:t>
            </w:r>
          </w:p>
        </w:tc>
        <w:tc>
          <w:tcPr>
            <w:tcW w:w="2288" w:type="dxa"/>
          </w:tcPr>
          <w:p w14:paraId="28229A4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635,7</w:t>
            </w:r>
          </w:p>
        </w:tc>
      </w:tr>
      <w:tr w:rsidR="00A90008" w:rsidRPr="009772A3" w14:paraId="528A0ED7" w14:textId="77777777" w:rsidTr="00630E8C">
        <w:trPr>
          <w:trHeight w:val="20"/>
        </w:trPr>
        <w:tc>
          <w:tcPr>
            <w:tcW w:w="2490" w:type="dxa"/>
          </w:tcPr>
          <w:p w14:paraId="4468987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7BAE859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7148DD8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5734,5</w:t>
            </w:r>
          </w:p>
        </w:tc>
        <w:tc>
          <w:tcPr>
            <w:tcW w:w="2126" w:type="dxa"/>
          </w:tcPr>
          <w:p w14:paraId="136884C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5119,2</w:t>
            </w:r>
          </w:p>
        </w:tc>
        <w:tc>
          <w:tcPr>
            <w:tcW w:w="2288" w:type="dxa"/>
          </w:tcPr>
          <w:p w14:paraId="2BBB7B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615,0</w:t>
            </w:r>
          </w:p>
        </w:tc>
      </w:tr>
      <w:tr w:rsidR="00A90008" w:rsidRPr="009772A3" w14:paraId="3A3250BC" w14:textId="77777777" w:rsidTr="00630E8C">
        <w:trPr>
          <w:trHeight w:val="20"/>
        </w:trPr>
        <w:tc>
          <w:tcPr>
            <w:tcW w:w="2490" w:type="dxa"/>
          </w:tcPr>
          <w:p w14:paraId="156828F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7F97EC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19815E5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10759,4</w:t>
            </w:r>
          </w:p>
        </w:tc>
        <w:tc>
          <w:tcPr>
            <w:tcW w:w="2126" w:type="dxa"/>
          </w:tcPr>
          <w:p w14:paraId="130D762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10553,0</w:t>
            </w:r>
          </w:p>
        </w:tc>
        <w:tc>
          <w:tcPr>
            <w:tcW w:w="2288" w:type="dxa"/>
          </w:tcPr>
          <w:p w14:paraId="067B107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206,3</w:t>
            </w:r>
          </w:p>
        </w:tc>
      </w:tr>
      <w:tr w:rsidR="00A90008" w:rsidRPr="009772A3" w14:paraId="166261D9" w14:textId="77777777" w:rsidTr="00630E8C">
        <w:trPr>
          <w:trHeight w:val="20"/>
        </w:trPr>
        <w:tc>
          <w:tcPr>
            <w:tcW w:w="2490" w:type="dxa"/>
          </w:tcPr>
          <w:p w14:paraId="3750110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5AA972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4C76A4C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19216,3</w:t>
            </w:r>
          </w:p>
        </w:tc>
        <w:tc>
          <w:tcPr>
            <w:tcW w:w="2126" w:type="dxa"/>
          </w:tcPr>
          <w:p w14:paraId="7E9CB47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19056,2</w:t>
            </w:r>
          </w:p>
        </w:tc>
        <w:tc>
          <w:tcPr>
            <w:tcW w:w="2288" w:type="dxa"/>
          </w:tcPr>
          <w:p w14:paraId="5CC5412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160,1</w:t>
            </w:r>
          </w:p>
        </w:tc>
      </w:tr>
      <w:tr w:rsidR="00A90008" w:rsidRPr="009772A3" w14:paraId="14E095FE" w14:textId="77777777" w:rsidTr="00630E8C">
        <w:trPr>
          <w:trHeight w:val="20"/>
        </w:trPr>
        <w:tc>
          <w:tcPr>
            <w:tcW w:w="2490" w:type="dxa"/>
          </w:tcPr>
          <w:p w14:paraId="5750770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44F3466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43E07E6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141.603,4</w:t>
            </w:r>
          </w:p>
        </w:tc>
        <w:tc>
          <w:tcPr>
            <w:tcW w:w="2126" w:type="dxa"/>
          </w:tcPr>
          <w:p w14:paraId="165D72C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124.921,8</w:t>
            </w:r>
          </w:p>
        </w:tc>
        <w:tc>
          <w:tcPr>
            <w:tcW w:w="2288" w:type="dxa"/>
          </w:tcPr>
          <w:p w14:paraId="1A0A36A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16.681,6</w:t>
            </w:r>
          </w:p>
        </w:tc>
      </w:tr>
      <w:tr w:rsidR="00A90008" w:rsidRPr="009772A3" w14:paraId="64A5B71E" w14:textId="77777777" w:rsidTr="00630E8C">
        <w:trPr>
          <w:trHeight w:val="20"/>
        </w:trPr>
        <w:tc>
          <w:tcPr>
            <w:tcW w:w="9633" w:type="dxa"/>
            <w:gridSpan w:val="5"/>
          </w:tcPr>
          <w:p w14:paraId="06E6F08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54153E3B" w14:textId="77777777" w:rsidTr="00630E8C">
        <w:trPr>
          <w:trHeight w:val="20"/>
        </w:trPr>
        <w:tc>
          <w:tcPr>
            <w:tcW w:w="2490" w:type="dxa"/>
          </w:tcPr>
          <w:p w14:paraId="446ED87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Florești-gaz</w:t>
            </w:r>
          </w:p>
        </w:tc>
        <w:tc>
          <w:tcPr>
            <w:tcW w:w="1310" w:type="dxa"/>
          </w:tcPr>
          <w:p w14:paraId="6B72E32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3182646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5598,6</w:t>
            </w:r>
          </w:p>
        </w:tc>
        <w:tc>
          <w:tcPr>
            <w:tcW w:w="2126" w:type="dxa"/>
          </w:tcPr>
          <w:p w14:paraId="7251C31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4210,6</w:t>
            </w:r>
          </w:p>
        </w:tc>
        <w:tc>
          <w:tcPr>
            <w:tcW w:w="2288" w:type="dxa"/>
          </w:tcPr>
          <w:p w14:paraId="45B5373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1388,0</w:t>
            </w:r>
          </w:p>
        </w:tc>
      </w:tr>
      <w:tr w:rsidR="00A90008" w:rsidRPr="009772A3" w14:paraId="0817C7D7" w14:textId="77777777" w:rsidTr="00630E8C">
        <w:trPr>
          <w:trHeight w:val="20"/>
        </w:trPr>
        <w:tc>
          <w:tcPr>
            <w:tcW w:w="2490" w:type="dxa"/>
          </w:tcPr>
          <w:p w14:paraId="4E014F2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234740D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7F8F93F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3268,1</w:t>
            </w:r>
          </w:p>
        </w:tc>
        <w:tc>
          <w:tcPr>
            <w:tcW w:w="2126" w:type="dxa"/>
          </w:tcPr>
          <w:p w14:paraId="422BF0A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3045,4</w:t>
            </w:r>
          </w:p>
        </w:tc>
        <w:tc>
          <w:tcPr>
            <w:tcW w:w="2288" w:type="dxa"/>
          </w:tcPr>
          <w:p w14:paraId="2ABBF7A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222,7</w:t>
            </w:r>
          </w:p>
        </w:tc>
      </w:tr>
      <w:tr w:rsidR="00A90008" w:rsidRPr="009772A3" w14:paraId="1F21639A" w14:textId="77777777" w:rsidTr="00630E8C">
        <w:trPr>
          <w:trHeight w:val="20"/>
        </w:trPr>
        <w:tc>
          <w:tcPr>
            <w:tcW w:w="2490" w:type="dxa"/>
          </w:tcPr>
          <w:p w14:paraId="135A293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4ED1A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172AC85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1302,3</w:t>
            </w:r>
          </w:p>
        </w:tc>
        <w:tc>
          <w:tcPr>
            <w:tcW w:w="2126" w:type="dxa"/>
          </w:tcPr>
          <w:p w14:paraId="5F53F06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1012,6</w:t>
            </w:r>
          </w:p>
        </w:tc>
        <w:tc>
          <w:tcPr>
            <w:tcW w:w="2288" w:type="dxa"/>
          </w:tcPr>
          <w:p w14:paraId="323B11A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289,7</w:t>
            </w:r>
          </w:p>
        </w:tc>
      </w:tr>
      <w:tr w:rsidR="00A90008" w:rsidRPr="009772A3" w14:paraId="19B36B6A" w14:textId="77777777" w:rsidTr="00630E8C">
        <w:trPr>
          <w:trHeight w:val="20"/>
        </w:trPr>
        <w:tc>
          <w:tcPr>
            <w:tcW w:w="2490" w:type="dxa"/>
          </w:tcPr>
          <w:p w14:paraId="5EF6D14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DC8665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4C0A081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6480,6</w:t>
            </w:r>
          </w:p>
        </w:tc>
        <w:tc>
          <w:tcPr>
            <w:tcW w:w="2126" w:type="dxa"/>
          </w:tcPr>
          <w:p w14:paraId="37E646C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1360,8</w:t>
            </w:r>
          </w:p>
        </w:tc>
        <w:tc>
          <w:tcPr>
            <w:tcW w:w="2288" w:type="dxa"/>
          </w:tcPr>
          <w:p w14:paraId="183739D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5119,8</w:t>
            </w:r>
          </w:p>
        </w:tc>
      </w:tr>
      <w:tr w:rsidR="00A90008" w:rsidRPr="009772A3" w14:paraId="7692A8E9" w14:textId="77777777" w:rsidTr="00630E8C">
        <w:trPr>
          <w:trHeight w:val="20"/>
        </w:trPr>
        <w:tc>
          <w:tcPr>
            <w:tcW w:w="2490" w:type="dxa"/>
          </w:tcPr>
          <w:p w14:paraId="132C87B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2E5F58E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1AE1DB6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888,8</w:t>
            </w:r>
          </w:p>
        </w:tc>
        <w:tc>
          <w:tcPr>
            <w:tcW w:w="2126" w:type="dxa"/>
          </w:tcPr>
          <w:p w14:paraId="65AAB73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766,1</w:t>
            </w:r>
          </w:p>
        </w:tc>
        <w:tc>
          <w:tcPr>
            <w:tcW w:w="2288" w:type="dxa"/>
          </w:tcPr>
          <w:p w14:paraId="614386A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122,7</w:t>
            </w:r>
          </w:p>
        </w:tc>
      </w:tr>
      <w:tr w:rsidR="00A90008" w:rsidRPr="009772A3" w14:paraId="43D18067" w14:textId="77777777" w:rsidTr="00630E8C">
        <w:trPr>
          <w:trHeight w:val="20"/>
        </w:trPr>
        <w:tc>
          <w:tcPr>
            <w:tcW w:w="2490" w:type="dxa"/>
          </w:tcPr>
          <w:p w14:paraId="7366DB7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BFE68E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7A0C404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9713,5</w:t>
            </w:r>
          </w:p>
        </w:tc>
        <w:tc>
          <w:tcPr>
            <w:tcW w:w="2126" w:type="dxa"/>
          </w:tcPr>
          <w:p w14:paraId="430C0C5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4324,4</w:t>
            </w:r>
          </w:p>
        </w:tc>
        <w:tc>
          <w:tcPr>
            <w:tcW w:w="2288" w:type="dxa"/>
          </w:tcPr>
          <w:p w14:paraId="40421FF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5389,1</w:t>
            </w:r>
          </w:p>
        </w:tc>
      </w:tr>
      <w:tr w:rsidR="00A90008" w:rsidRPr="009772A3" w14:paraId="663BDC0D" w14:textId="77777777" w:rsidTr="00630E8C">
        <w:trPr>
          <w:trHeight w:val="20"/>
        </w:trPr>
        <w:tc>
          <w:tcPr>
            <w:tcW w:w="2490" w:type="dxa"/>
          </w:tcPr>
          <w:p w14:paraId="5737CD4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2CBF3A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354FA1C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16714,5</w:t>
            </w:r>
          </w:p>
        </w:tc>
        <w:tc>
          <w:tcPr>
            <w:tcW w:w="2126" w:type="dxa"/>
          </w:tcPr>
          <w:p w14:paraId="4AFEA4D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7246,0</w:t>
            </w:r>
          </w:p>
        </w:tc>
        <w:tc>
          <w:tcPr>
            <w:tcW w:w="2288" w:type="dxa"/>
          </w:tcPr>
          <w:p w14:paraId="2606998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9468,5</w:t>
            </w:r>
          </w:p>
        </w:tc>
      </w:tr>
      <w:tr w:rsidR="00A90008" w:rsidRPr="009772A3" w14:paraId="14875706" w14:textId="77777777" w:rsidTr="00630E8C">
        <w:trPr>
          <w:trHeight w:val="20"/>
        </w:trPr>
        <w:tc>
          <w:tcPr>
            <w:tcW w:w="2490" w:type="dxa"/>
          </w:tcPr>
          <w:p w14:paraId="2175D80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40ED87A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737A800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3069,0</w:t>
            </w:r>
          </w:p>
        </w:tc>
        <w:tc>
          <w:tcPr>
            <w:tcW w:w="2126" w:type="dxa"/>
          </w:tcPr>
          <w:p w14:paraId="3D8DEB9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2834,7</w:t>
            </w:r>
          </w:p>
        </w:tc>
        <w:tc>
          <w:tcPr>
            <w:tcW w:w="2288" w:type="dxa"/>
          </w:tcPr>
          <w:p w14:paraId="0893433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234,3</w:t>
            </w:r>
          </w:p>
        </w:tc>
      </w:tr>
      <w:tr w:rsidR="00A90008" w:rsidRPr="009772A3" w14:paraId="464A996A" w14:textId="77777777" w:rsidTr="00630E8C">
        <w:trPr>
          <w:trHeight w:val="20"/>
        </w:trPr>
        <w:tc>
          <w:tcPr>
            <w:tcW w:w="2490" w:type="dxa"/>
          </w:tcPr>
          <w:p w14:paraId="27224F2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A4474E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5F465A1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3324,4</w:t>
            </w:r>
          </w:p>
        </w:tc>
        <w:tc>
          <w:tcPr>
            <w:tcW w:w="2126" w:type="dxa"/>
          </w:tcPr>
          <w:p w14:paraId="28FA6AA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3025,4</w:t>
            </w:r>
          </w:p>
        </w:tc>
        <w:tc>
          <w:tcPr>
            <w:tcW w:w="2288" w:type="dxa"/>
          </w:tcPr>
          <w:p w14:paraId="29DAB47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298,8</w:t>
            </w:r>
          </w:p>
        </w:tc>
      </w:tr>
      <w:tr w:rsidR="00A90008" w:rsidRPr="009772A3" w14:paraId="053D59F3" w14:textId="77777777" w:rsidTr="00630E8C">
        <w:trPr>
          <w:trHeight w:val="20"/>
        </w:trPr>
        <w:tc>
          <w:tcPr>
            <w:tcW w:w="2490" w:type="dxa"/>
          </w:tcPr>
          <w:p w14:paraId="36EC635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25AB75F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3DD9668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4698,6</w:t>
            </w:r>
          </w:p>
        </w:tc>
        <w:tc>
          <w:tcPr>
            <w:tcW w:w="2126" w:type="dxa"/>
          </w:tcPr>
          <w:p w14:paraId="583E8B0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4560,4</w:t>
            </w:r>
          </w:p>
        </w:tc>
        <w:tc>
          <w:tcPr>
            <w:tcW w:w="2288" w:type="dxa"/>
          </w:tcPr>
          <w:p w14:paraId="72676FE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138,2</w:t>
            </w:r>
          </w:p>
        </w:tc>
      </w:tr>
      <w:tr w:rsidR="00A90008" w:rsidRPr="009772A3" w14:paraId="5AFD622C" w14:textId="77777777" w:rsidTr="00630E8C">
        <w:trPr>
          <w:trHeight w:val="20"/>
        </w:trPr>
        <w:tc>
          <w:tcPr>
            <w:tcW w:w="2490" w:type="dxa"/>
          </w:tcPr>
          <w:p w14:paraId="1DB06F2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4A52DF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1FE248A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4877,1</w:t>
            </w:r>
          </w:p>
        </w:tc>
        <w:tc>
          <w:tcPr>
            <w:tcW w:w="2126" w:type="dxa"/>
          </w:tcPr>
          <w:p w14:paraId="470A37A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4700,1</w:t>
            </w:r>
          </w:p>
        </w:tc>
        <w:tc>
          <w:tcPr>
            <w:tcW w:w="2288" w:type="dxa"/>
          </w:tcPr>
          <w:p w14:paraId="6E05438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177,0</w:t>
            </w:r>
          </w:p>
        </w:tc>
      </w:tr>
      <w:tr w:rsidR="00A90008" w:rsidRPr="009772A3" w14:paraId="210D5CB9" w14:textId="77777777" w:rsidTr="00630E8C">
        <w:trPr>
          <w:trHeight w:val="20"/>
        </w:trPr>
        <w:tc>
          <w:tcPr>
            <w:tcW w:w="2490" w:type="dxa"/>
          </w:tcPr>
          <w:p w14:paraId="45AC05D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736879A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0A10854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59.935,3</w:t>
            </w:r>
          </w:p>
        </w:tc>
        <w:tc>
          <w:tcPr>
            <w:tcW w:w="2126" w:type="dxa"/>
          </w:tcPr>
          <w:p w14:paraId="36D63E9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37.086,5</w:t>
            </w:r>
          </w:p>
        </w:tc>
        <w:tc>
          <w:tcPr>
            <w:tcW w:w="2288" w:type="dxa"/>
          </w:tcPr>
          <w:p w14:paraId="542B6D4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22.848,8</w:t>
            </w:r>
          </w:p>
        </w:tc>
      </w:tr>
      <w:tr w:rsidR="00A90008" w:rsidRPr="009772A3" w14:paraId="6EEE103C" w14:textId="77777777" w:rsidTr="00630E8C">
        <w:trPr>
          <w:trHeight w:val="20"/>
        </w:trPr>
        <w:tc>
          <w:tcPr>
            <w:tcW w:w="9633" w:type="dxa"/>
            <w:gridSpan w:val="5"/>
          </w:tcPr>
          <w:p w14:paraId="18AAE3B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6DDF1463" w14:textId="77777777" w:rsidTr="00630E8C">
        <w:trPr>
          <w:trHeight w:val="20"/>
        </w:trPr>
        <w:tc>
          <w:tcPr>
            <w:tcW w:w="2490" w:type="dxa"/>
          </w:tcPr>
          <w:p w14:paraId="3DF1AF3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Edineț-gaz</w:t>
            </w:r>
          </w:p>
        </w:tc>
        <w:tc>
          <w:tcPr>
            <w:tcW w:w="1310" w:type="dxa"/>
          </w:tcPr>
          <w:p w14:paraId="7BDB3CD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24B949D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9976,2</w:t>
            </w:r>
          </w:p>
        </w:tc>
        <w:tc>
          <w:tcPr>
            <w:tcW w:w="2126" w:type="dxa"/>
          </w:tcPr>
          <w:p w14:paraId="73517E6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9976,2</w:t>
            </w:r>
          </w:p>
        </w:tc>
        <w:tc>
          <w:tcPr>
            <w:tcW w:w="2288" w:type="dxa"/>
          </w:tcPr>
          <w:p w14:paraId="186B77C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7DD125E0" w14:textId="77777777" w:rsidTr="00630E8C">
        <w:trPr>
          <w:trHeight w:val="20"/>
        </w:trPr>
        <w:tc>
          <w:tcPr>
            <w:tcW w:w="2490" w:type="dxa"/>
          </w:tcPr>
          <w:p w14:paraId="221E06E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4FBF6A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0133497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10049,5</w:t>
            </w:r>
          </w:p>
        </w:tc>
        <w:tc>
          <w:tcPr>
            <w:tcW w:w="2126" w:type="dxa"/>
          </w:tcPr>
          <w:p w14:paraId="2796A64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9670,9</w:t>
            </w:r>
          </w:p>
        </w:tc>
        <w:tc>
          <w:tcPr>
            <w:tcW w:w="2288" w:type="dxa"/>
          </w:tcPr>
          <w:p w14:paraId="5975231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378,6</w:t>
            </w:r>
          </w:p>
        </w:tc>
      </w:tr>
      <w:tr w:rsidR="00A90008" w:rsidRPr="009772A3" w14:paraId="51DF10CC" w14:textId="77777777" w:rsidTr="00630E8C">
        <w:trPr>
          <w:trHeight w:val="20"/>
        </w:trPr>
        <w:tc>
          <w:tcPr>
            <w:tcW w:w="2490" w:type="dxa"/>
          </w:tcPr>
          <w:p w14:paraId="5BA7012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0E41BE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3A0EFB2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2940,9</w:t>
            </w:r>
          </w:p>
        </w:tc>
        <w:tc>
          <w:tcPr>
            <w:tcW w:w="2126" w:type="dxa"/>
          </w:tcPr>
          <w:p w14:paraId="6BC5F4A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2940,9</w:t>
            </w:r>
          </w:p>
        </w:tc>
        <w:tc>
          <w:tcPr>
            <w:tcW w:w="2288" w:type="dxa"/>
          </w:tcPr>
          <w:p w14:paraId="2446F98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156875FE" w14:textId="77777777" w:rsidTr="00630E8C">
        <w:trPr>
          <w:trHeight w:val="20"/>
        </w:trPr>
        <w:tc>
          <w:tcPr>
            <w:tcW w:w="2490" w:type="dxa"/>
          </w:tcPr>
          <w:p w14:paraId="759445C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54453A0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7ECF356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6197,5</w:t>
            </w:r>
          </w:p>
        </w:tc>
        <w:tc>
          <w:tcPr>
            <w:tcW w:w="2126" w:type="dxa"/>
          </w:tcPr>
          <w:p w14:paraId="6E4129C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1687,8</w:t>
            </w:r>
          </w:p>
        </w:tc>
        <w:tc>
          <w:tcPr>
            <w:tcW w:w="2288" w:type="dxa"/>
          </w:tcPr>
          <w:p w14:paraId="54ECA45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4509,7</w:t>
            </w:r>
          </w:p>
        </w:tc>
      </w:tr>
      <w:tr w:rsidR="00A90008" w:rsidRPr="009772A3" w14:paraId="5FE33FD0" w14:textId="77777777" w:rsidTr="00630E8C">
        <w:trPr>
          <w:trHeight w:val="20"/>
        </w:trPr>
        <w:tc>
          <w:tcPr>
            <w:tcW w:w="2490" w:type="dxa"/>
          </w:tcPr>
          <w:p w14:paraId="63835E7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1CB3F1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2D3F281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2087,0</w:t>
            </w:r>
          </w:p>
        </w:tc>
        <w:tc>
          <w:tcPr>
            <w:tcW w:w="2126" w:type="dxa"/>
          </w:tcPr>
          <w:p w14:paraId="6AF308E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1833,9</w:t>
            </w:r>
          </w:p>
        </w:tc>
        <w:tc>
          <w:tcPr>
            <w:tcW w:w="2288" w:type="dxa"/>
          </w:tcPr>
          <w:p w14:paraId="08A93F0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253,1</w:t>
            </w:r>
          </w:p>
        </w:tc>
      </w:tr>
      <w:tr w:rsidR="00A90008" w:rsidRPr="009772A3" w14:paraId="1BC9373C" w14:textId="77777777" w:rsidTr="00630E8C">
        <w:trPr>
          <w:trHeight w:val="20"/>
        </w:trPr>
        <w:tc>
          <w:tcPr>
            <w:tcW w:w="2490" w:type="dxa"/>
          </w:tcPr>
          <w:p w14:paraId="2C13F3B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479959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176B863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2456,9</w:t>
            </w:r>
          </w:p>
        </w:tc>
        <w:tc>
          <w:tcPr>
            <w:tcW w:w="2126" w:type="dxa"/>
          </w:tcPr>
          <w:p w14:paraId="13098C3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2107,5</w:t>
            </w:r>
          </w:p>
        </w:tc>
        <w:tc>
          <w:tcPr>
            <w:tcW w:w="2288" w:type="dxa"/>
          </w:tcPr>
          <w:p w14:paraId="7055848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349,4</w:t>
            </w:r>
          </w:p>
        </w:tc>
      </w:tr>
      <w:tr w:rsidR="00A90008" w:rsidRPr="009772A3" w14:paraId="4AC9990D" w14:textId="77777777" w:rsidTr="00630E8C">
        <w:trPr>
          <w:trHeight w:val="20"/>
        </w:trPr>
        <w:tc>
          <w:tcPr>
            <w:tcW w:w="2490" w:type="dxa"/>
          </w:tcPr>
          <w:p w14:paraId="1158C1B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50BE61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0487CA9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9647,9</w:t>
            </w:r>
          </w:p>
        </w:tc>
        <w:tc>
          <w:tcPr>
            <w:tcW w:w="2126" w:type="dxa"/>
          </w:tcPr>
          <w:p w14:paraId="6872E2F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5638,6</w:t>
            </w:r>
          </w:p>
        </w:tc>
        <w:tc>
          <w:tcPr>
            <w:tcW w:w="2288" w:type="dxa"/>
          </w:tcPr>
          <w:p w14:paraId="1A79B96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4009,3</w:t>
            </w:r>
          </w:p>
        </w:tc>
      </w:tr>
      <w:tr w:rsidR="00A90008" w:rsidRPr="009772A3" w14:paraId="7784E434" w14:textId="77777777" w:rsidTr="00630E8C">
        <w:trPr>
          <w:trHeight w:val="20"/>
        </w:trPr>
        <w:tc>
          <w:tcPr>
            <w:tcW w:w="2490" w:type="dxa"/>
          </w:tcPr>
          <w:p w14:paraId="3301674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7E3192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3E48E6A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5201,1</w:t>
            </w:r>
          </w:p>
        </w:tc>
        <w:tc>
          <w:tcPr>
            <w:tcW w:w="2126" w:type="dxa"/>
          </w:tcPr>
          <w:p w14:paraId="0DC472D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4222,1</w:t>
            </w:r>
          </w:p>
        </w:tc>
        <w:tc>
          <w:tcPr>
            <w:tcW w:w="2288" w:type="dxa"/>
          </w:tcPr>
          <w:p w14:paraId="4475D54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979,0</w:t>
            </w:r>
          </w:p>
        </w:tc>
      </w:tr>
      <w:tr w:rsidR="00A90008" w:rsidRPr="009772A3" w14:paraId="315A98A5" w14:textId="77777777" w:rsidTr="00630E8C">
        <w:trPr>
          <w:trHeight w:val="20"/>
        </w:trPr>
        <w:tc>
          <w:tcPr>
            <w:tcW w:w="2490" w:type="dxa"/>
          </w:tcPr>
          <w:p w14:paraId="40339B0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6CFF47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42E1B87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3263,4</w:t>
            </w:r>
          </w:p>
        </w:tc>
        <w:tc>
          <w:tcPr>
            <w:tcW w:w="2126" w:type="dxa"/>
          </w:tcPr>
          <w:p w14:paraId="686F960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3059,9</w:t>
            </w:r>
          </w:p>
        </w:tc>
        <w:tc>
          <w:tcPr>
            <w:tcW w:w="2288" w:type="dxa"/>
          </w:tcPr>
          <w:p w14:paraId="1BDABB9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203,5</w:t>
            </w:r>
          </w:p>
        </w:tc>
      </w:tr>
      <w:tr w:rsidR="00A90008" w:rsidRPr="009772A3" w14:paraId="24411BE6" w14:textId="77777777" w:rsidTr="00630E8C">
        <w:trPr>
          <w:trHeight w:val="20"/>
        </w:trPr>
        <w:tc>
          <w:tcPr>
            <w:tcW w:w="2490" w:type="dxa"/>
          </w:tcPr>
          <w:p w14:paraId="7B9ECC2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60AE8A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3B8D466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4493,3</w:t>
            </w:r>
          </w:p>
        </w:tc>
        <w:tc>
          <w:tcPr>
            <w:tcW w:w="2126" w:type="dxa"/>
          </w:tcPr>
          <w:p w14:paraId="35D3E76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4391,6</w:t>
            </w:r>
          </w:p>
        </w:tc>
        <w:tc>
          <w:tcPr>
            <w:tcW w:w="2288" w:type="dxa"/>
          </w:tcPr>
          <w:p w14:paraId="1D60C3B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101,6</w:t>
            </w:r>
          </w:p>
        </w:tc>
      </w:tr>
      <w:tr w:rsidR="00A90008" w:rsidRPr="009772A3" w14:paraId="15A9E2CD" w14:textId="77777777" w:rsidTr="00630E8C">
        <w:trPr>
          <w:trHeight w:val="20"/>
        </w:trPr>
        <w:tc>
          <w:tcPr>
            <w:tcW w:w="2490" w:type="dxa"/>
          </w:tcPr>
          <w:p w14:paraId="70D806E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2A8E405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2E46EA8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8910,0</w:t>
            </w:r>
          </w:p>
        </w:tc>
        <w:tc>
          <w:tcPr>
            <w:tcW w:w="2126" w:type="dxa"/>
          </w:tcPr>
          <w:p w14:paraId="719F005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7282,8</w:t>
            </w:r>
          </w:p>
        </w:tc>
        <w:tc>
          <w:tcPr>
            <w:tcW w:w="2288" w:type="dxa"/>
          </w:tcPr>
          <w:p w14:paraId="7BDE2E7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1627,2</w:t>
            </w:r>
          </w:p>
        </w:tc>
      </w:tr>
      <w:tr w:rsidR="00A90008" w:rsidRPr="009772A3" w14:paraId="3E86B6FB" w14:textId="77777777" w:rsidTr="00630E8C">
        <w:trPr>
          <w:trHeight w:val="20"/>
        </w:trPr>
        <w:tc>
          <w:tcPr>
            <w:tcW w:w="2490" w:type="dxa"/>
          </w:tcPr>
          <w:p w14:paraId="316E9C4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7B6E266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4BC4631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65.223,7</w:t>
            </w:r>
          </w:p>
        </w:tc>
        <w:tc>
          <w:tcPr>
            <w:tcW w:w="2126" w:type="dxa"/>
          </w:tcPr>
          <w:p w14:paraId="481A0DD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52.812,1</w:t>
            </w:r>
          </w:p>
        </w:tc>
        <w:tc>
          <w:tcPr>
            <w:tcW w:w="2288" w:type="dxa"/>
          </w:tcPr>
          <w:p w14:paraId="2A9202E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12.411,5</w:t>
            </w:r>
          </w:p>
        </w:tc>
      </w:tr>
      <w:tr w:rsidR="00A90008" w:rsidRPr="009772A3" w14:paraId="4EB749CB" w14:textId="77777777" w:rsidTr="00630E8C">
        <w:trPr>
          <w:trHeight w:val="20"/>
        </w:trPr>
        <w:tc>
          <w:tcPr>
            <w:tcW w:w="9633" w:type="dxa"/>
            <w:gridSpan w:val="5"/>
          </w:tcPr>
          <w:p w14:paraId="51268B3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7A11C3F8" w14:textId="77777777" w:rsidTr="00630E8C">
        <w:trPr>
          <w:trHeight w:val="20"/>
        </w:trPr>
        <w:tc>
          <w:tcPr>
            <w:tcW w:w="2490" w:type="dxa"/>
          </w:tcPr>
          <w:p w14:paraId="6896CCE8"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Bălți-gaz</w:t>
            </w:r>
          </w:p>
        </w:tc>
        <w:tc>
          <w:tcPr>
            <w:tcW w:w="1310" w:type="dxa"/>
          </w:tcPr>
          <w:p w14:paraId="7C3FCA2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363B2D4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31053,5</w:t>
            </w:r>
          </w:p>
        </w:tc>
        <w:tc>
          <w:tcPr>
            <w:tcW w:w="2126" w:type="dxa"/>
          </w:tcPr>
          <w:p w14:paraId="174416D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31053,5</w:t>
            </w:r>
          </w:p>
        </w:tc>
        <w:tc>
          <w:tcPr>
            <w:tcW w:w="2288" w:type="dxa"/>
          </w:tcPr>
          <w:p w14:paraId="2A2C219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40C955BD" w14:textId="77777777" w:rsidTr="00630E8C">
        <w:trPr>
          <w:trHeight w:val="20"/>
        </w:trPr>
        <w:tc>
          <w:tcPr>
            <w:tcW w:w="2490" w:type="dxa"/>
          </w:tcPr>
          <w:p w14:paraId="1697F5A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5EB9065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7B34907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11254,9</w:t>
            </w:r>
          </w:p>
        </w:tc>
        <w:tc>
          <w:tcPr>
            <w:tcW w:w="2126" w:type="dxa"/>
          </w:tcPr>
          <w:p w14:paraId="2A9812A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10403,6</w:t>
            </w:r>
          </w:p>
        </w:tc>
        <w:tc>
          <w:tcPr>
            <w:tcW w:w="2288" w:type="dxa"/>
          </w:tcPr>
          <w:p w14:paraId="27108BA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851,3</w:t>
            </w:r>
          </w:p>
        </w:tc>
      </w:tr>
      <w:tr w:rsidR="00A90008" w:rsidRPr="009772A3" w14:paraId="397E01F9" w14:textId="77777777" w:rsidTr="00630E8C">
        <w:trPr>
          <w:trHeight w:val="20"/>
        </w:trPr>
        <w:tc>
          <w:tcPr>
            <w:tcW w:w="2490" w:type="dxa"/>
          </w:tcPr>
          <w:p w14:paraId="06EAFA9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F9D59C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528969E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5976,0</w:t>
            </w:r>
          </w:p>
        </w:tc>
        <w:tc>
          <w:tcPr>
            <w:tcW w:w="2126" w:type="dxa"/>
          </w:tcPr>
          <w:p w14:paraId="7CB18C1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5976,0</w:t>
            </w:r>
          </w:p>
        </w:tc>
        <w:tc>
          <w:tcPr>
            <w:tcW w:w="2288" w:type="dxa"/>
          </w:tcPr>
          <w:p w14:paraId="4257B31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0,0</w:t>
            </w:r>
          </w:p>
        </w:tc>
      </w:tr>
      <w:tr w:rsidR="00A90008" w:rsidRPr="009772A3" w14:paraId="51DE20B3" w14:textId="77777777" w:rsidTr="00630E8C">
        <w:trPr>
          <w:trHeight w:val="20"/>
        </w:trPr>
        <w:tc>
          <w:tcPr>
            <w:tcW w:w="2490" w:type="dxa"/>
          </w:tcPr>
          <w:p w14:paraId="321E830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579567A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19B64FC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12086,2</w:t>
            </w:r>
          </w:p>
        </w:tc>
        <w:tc>
          <w:tcPr>
            <w:tcW w:w="2126" w:type="dxa"/>
          </w:tcPr>
          <w:p w14:paraId="021F648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9297,6</w:t>
            </w:r>
          </w:p>
        </w:tc>
        <w:tc>
          <w:tcPr>
            <w:tcW w:w="2288" w:type="dxa"/>
          </w:tcPr>
          <w:p w14:paraId="096063B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2788,7</w:t>
            </w:r>
          </w:p>
        </w:tc>
      </w:tr>
      <w:tr w:rsidR="00A90008" w:rsidRPr="009772A3" w14:paraId="4FCDD99D" w14:textId="77777777" w:rsidTr="00630E8C">
        <w:trPr>
          <w:trHeight w:val="20"/>
        </w:trPr>
        <w:tc>
          <w:tcPr>
            <w:tcW w:w="2490" w:type="dxa"/>
          </w:tcPr>
          <w:p w14:paraId="51994CD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126565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36C9EBF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5656,5</w:t>
            </w:r>
          </w:p>
        </w:tc>
        <w:tc>
          <w:tcPr>
            <w:tcW w:w="2126" w:type="dxa"/>
          </w:tcPr>
          <w:p w14:paraId="7B6F3A3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5304,6</w:t>
            </w:r>
          </w:p>
        </w:tc>
        <w:tc>
          <w:tcPr>
            <w:tcW w:w="2288" w:type="dxa"/>
          </w:tcPr>
          <w:p w14:paraId="7518B46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351,9</w:t>
            </w:r>
          </w:p>
        </w:tc>
      </w:tr>
      <w:tr w:rsidR="00A90008" w:rsidRPr="009772A3" w14:paraId="175B320A" w14:textId="77777777" w:rsidTr="00630E8C">
        <w:trPr>
          <w:trHeight w:val="20"/>
        </w:trPr>
        <w:tc>
          <w:tcPr>
            <w:tcW w:w="2490" w:type="dxa"/>
          </w:tcPr>
          <w:p w14:paraId="2722422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8510ED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08B30FD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6122,9</w:t>
            </w:r>
          </w:p>
        </w:tc>
        <w:tc>
          <w:tcPr>
            <w:tcW w:w="2126" w:type="dxa"/>
          </w:tcPr>
          <w:p w14:paraId="5872AA3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4806,2</w:t>
            </w:r>
          </w:p>
        </w:tc>
        <w:tc>
          <w:tcPr>
            <w:tcW w:w="2288" w:type="dxa"/>
          </w:tcPr>
          <w:p w14:paraId="41F9631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1316,7</w:t>
            </w:r>
          </w:p>
        </w:tc>
      </w:tr>
      <w:tr w:rsidR="00A90008" w:rsidRPr="009772A3" w14:paraId="41BF54C2" w14:textId="77777777" w:rsidTr="00630E8C">
        <w:trPr>
          <w:trHeight w:val="20"/>
        </w:trPr>
        <w:tc>
          <w:tcPr>
            <w:tcW w:w="2490" w:type="dxa"/>
          </w:tcPr>
          <w:p w14:paraId="209B647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469802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5E66DD2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27994,5</w:t>
            </w:r>
          </w:p>
        </w:tc>
        <w:tc>
          <w:tcPr>
            <w:tcW w:w="2126" w:type="dxa"/>
          </w:tcPr>
          <w:p w14:paraId="2B3EA10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17130,1</w:t>
            </w:r>
          </w:p>
        </w:tc>
        <w:tc>
          <w:tcPr>
            <w:tcW w:w="2288" w:type="dxa"/>
          </w:tcPr>
          <w:p w14:paraId="1CB408B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10864,4</w:t>
            </w:r>
          </w:p>
        </w:tc>
      </w:tr>
      <w:tr w:rsidR="00A90008" w:rsidRPr="009772A3" w14:paraId="7A503D7D" w14:textId="77777777" w:rsidTr="00630E8C">
        <w:trPr>
          <w:trHeight w:val="20"/>
        </w:trPr>
        <w:tc>
          <w:tcPr>
            <w:tcW w:w="2490" w:type="dxa"/>
          </w:tcPr>
          <w:p w14:paraId="64236F1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3E6AA72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1C9BEB3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10691,0</w:t>
            </w:r>
          </w:p>
        </w:tc>
        <w:tc>
          <w:tcPr>
            <w:tcW w:w="2126" w:type="dxa"/>
          </w:tcPr>
          <w:p w14:paraId="249BB1F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9531,8</w:t>
            </w:r>
          </w:p>
        </w:tc>
        <w:tc>
          <w:tcPr>
            <w:tcW w:w="2288" w:type="dxa"/>
          </w:tcPr>
          <w:p w14:paraId="040621E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1159,2</w:t>
            </w:r>
          </w:p>
        </w:tc>
      </w:tr>
      <w:tr w:rsidR="00A90008" w:rsidRPr="009772A3" w14:paraId="6B977E71" w14:textId="77777777" w:rsidTr="00630E8C">
        <w:trPr>
          <w:trHeight w:val="20"/>
        </w:trPr>
        <w:tc>
          <w:tcPr>
            <w:tcW w:w="2490" w:type="dxa"/>
          </w:tcPr>
          <w:p w14:paraId="7353CDA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7106945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2476428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8931,8</w:t>
            </w:r>
          </w:p>
        </w:tc>
        <w:tc>
          <w:tcPr>
            <w:tcW w:w="2126" w:type="dxa"/>
          </w:tcPr>
          <w:p w14:paraId="67E3C67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7408,7</w:t>
            </w:r>
          </w:p>
        </w:tc>
        <w:tc>
          <w:tcPr>
            <w:tcW w:w="2288" w:type="dxa"/>
          </w:tcPr>
          <w:p w14:paraId="284148E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1522,9</w:t>
            </w:r>
          </w:p>
        </w:tc>
      </w:tr>
      <w:tr w:rsidR="00A90008" w:rsidRPr="009772A3" w14:paraId="1948BBFA" w14:textId="77777777" w:rsidTr="00630E8C">
        <w:trPr>
          <w:trHeight w:val="20"/>
        </w:trPr>
        <w:tc>
          <w:tcPr>
            <w:tcW w:w="2490" w:type="dxa"/>
          </w:tcPr>
          <w:p w14:paraId="2DDAA6CB"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383D896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2BCCC4C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9319,7</w:t>
            </w:r>
          </w:p>
        </w:tc>
        <w:tc>
          <w:tcPr>
            <w:tcW w:w="2126" w:type="dxa"/>
          </w:tcPr>
          <w:p w14:paraId="69A4EA8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8233,0</w:t>
            </w:r>
          </w:p>
        </w:tc>
        <w:tc>
          <w:tcPr>
            <w:tcW w:w="2288" w:type="dxa"/>
          </w:tcPr>
          <w:p w14:paraId="76C5B1F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1086,7</w:t>
            </w:r>
          </w:p>
        </w:tc>
      </w:tr>
      <w:tr w:rsidR="00A90008" w:rsidRPr="009772A3" w14:paraId="312B2F6F" w14:textId="77777777" w:rsidTr="00630E8C">
        <w:trPr>
          <w:trHeight w:val="20"/>
        </w:trPr>
        <w:tc>
          <w:tcPr>
            <w:tcW w:w="2490" w:type="dxa"/>
          </w:tcPr>
          <w:p w14:paraId="166033AC"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03AB1CC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567B1F0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25043,2</w:t>
            </w:r>
          </w:p>
        </w:tc>
        <w:tc>
          <w:tcPr>
            <w:tcW w:w="2126" w:type="dxa"/>
          </w:tcPr>
          <w:p w14:paraId="4C63617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24844,5</w:t>
            </w:r>
          </w:p>
        </w:tc>
        <w:tc>
          <w:tcPr>
            <w:tcW w:w="2288" w:type="dxa"/>
          </w:tcPr>
          <w:p w14:paraId="1B9EABA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198,7</w:t>
            </w:r>
          </w:p>
        </w:tc>
      </w:tr>
      <w:tr w:rsidR="00A90008" w:rsidRPr="009772A3" w14:paraId="6B2A2F16" w14:textId="77777777" w:rsidTr="00630E8C">
        <w:trPr>
          <w:trHeight w:val="20"/>
        </w:trPr>
        <w:tc>
          <w:tcPr>
            <w:tcW w:w="2490" w:type="dxa"/>
          </w:tcPr>
          <w:p w14:paraId="60C7770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5F2E799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14FAC60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154.130,1</w:t>
            </w:r>
          </w:p>
        </w:tc>
        <w:tc>
          <w:tcPr>
            <w:tcW w:w="2126" w:type="dxa"/>
          </w:tcPr>
          <w:p w14:paraId="738CF62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133.989,7</w:t>
            </w:r>
          </w:p>
        </w:tc>
        <w:tc>
          <w:tcPr>
            <w:tcW w:w="2288" w:type="dxa"/>
          </w:tcPr>
          <w:p w14:paraId="01CB312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20.140,4</w:t>
            </w:r>
          </w:p>
        </w:tc>
      </w:tr>
      <w:tr w:rsidR="00A90008" w:rsidRPr="009772A3" w14:paraId="330BE195" w14:textId="77777777" w:rsidTr="00630E8C">
        <w:trPr>
          <w:trHeight w:val="20"/>
        </w:trPr>
        <w:tc>
          <w:tcPr>
            <w:tcW w:w="9633" w:type="dxa"/>
            <w:gridSpan w:val="5"/>
          </w:tcPr>
          <w:p w14:paraId="4C5D517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75BEDD05" w14:textId="77777777" w:rsidTr="00630E8C">
        <w:trPr>
          <w:trHeight w:val="20"/>
        </w:trPr>
        <w:tc>
          <w:tcPr>
            <w:tcW w:w="2490" w:type="dxa"/>
          </w:tcPr>
          <w:p w14:paraId="69D9DB4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Ialoveni-gaz</w:t>
            </w:r>
          </w:p>
        </w:tc>
        <w:tc>
          <w:tcPr>
            <w:tcW w:w="1310" w:type="dxa"/>
          </w:tcPr>
          <w:p w14:paraId="65BF38C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73F2AE7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17639,9</w:t>
            </w:r>
          </w:p>
        </w:tc>
        <w:tc>
          <w:tcPr>
            <w:tcW w:w="2126" w:type="dxa"/>
          </w:tcPr>
          <w:p w14:paraId="401B181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16982,2</w:t>
            </w:r>
          </w:p>
        </w:tc>
        <w:tc>
          <w:tcPr>
            <w:tcW w:w="2288" w:type="dxa"/>
          </w:tcPr>
          <w:p w14:paraId="6A77171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657,7</w:t>
            </w:r>
          </w:p>
        </w:tc>
      </w:tr>
      <w:tr w:rsidR="00A90008" w:rsidRPr="009772A3" w14:paraId="0AF7922E" w14:textId="77777777" w:rsidTr="00630E8C">
        <w:trPr>
          <w:trHeight w:val="20"/>
        </w:trPr>
        <w:tc>
          <w:tcPr>
            <w:tcW w:w="2490" w:type="dxa"/>
          </w:tcPr>
          <w:p w14:paraId="3632041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7D31F1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395CE5E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19161,4</w:t>
            </w:r>
          </w:p>
        </w:tc>
        <w:tc>
          <w:tcPr>
            <w:tcW w:w="2126" w:type="dxa"/>
          </w:tcPr>
          <w:p w14:paraId="3BEC0D3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18360,8</w:t>
            </w:r>
          </w:p>
        </w:tc>
        <w:tc>
          <w:tcPr>
            <w:tcW w:w="2288" w:type="dxa"/>
          </w:tcPr>
          <w:p w14:paraId="69C378A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800,6</w:t>
            </w:r>
          </w:p>
        </w:tc>
      </w:tr>
      <w:tr w:rsidR="00A90008" w:rsidRPr="009772A3" w14:paraId="6461F215" w14:textId="77777777" w:rsidTr="00630E8C">
        <w:trPr>
          <w:trHeight w:val="20"/>
        </w:trPr>
        <w:tc>
          <w:tcPr>
            <w:tcW w:w="2490" w:type="dxa"/>
          </w:tcPr>
          <w:p w14:paraId="56AFB27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2D5DA10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7BF816D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12389,7</w:t>
            </w:r>
          </w:p>
        </w:tc>
        <w:tc>
          <w:tcPr>
            <w:tcW w:w="2126" w:type="dxa"/>
          </w:tcPr>
          <w:p w14:paraId="7790E28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12198,3</w:t>
            </w:r>
          </w:p>
        </w:tc>
        <w:tc>
          <w:tcPr>
            <w:tcW w:w="2288" w:type="dxa"/>
          </w:tcPr>
          <w:p w14:paraId="0C4F970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191,4</w:t>
            </w:r>
          </w:p>
        </w:tc>
      </w:tr>
      <w:tr w:rsidR="00A90008" w:rsidRPr="009772A3" w14:paraId="7C8A8B7F" w14:textId="77777777" w:rsidTr="00630E8C">
        <w:trPr>
          <w:trHeight w:val="20"/>
        </w:trPr>
        <w:tc>
          <w:tcPr>
            <w:tcW w:w="2490" w:type="dxa"/>
          </w:tcPr>
          <w:p w14:paraId="1C910A3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34199C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06B4365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12365,2</w:t>
            </w:r>
          </w:p>
        </w:tc>
        <w:tc>
          <w:tcPr>
            <w:tcW w:w="2126" w:type="dxa"/>
          </w:tcPr>
          <w:p w14:paraId="4A94738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7876,7</w:t>
            </w:r>
          </w:p>
        </w:tc>
        <w:tc>
          <w:tcPr>
            <w:tcW w:w="2288" w:type="dxa"/>
          </w:tcPr>
          <w:p w14:paraId="3C21ECE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4488,5</w:t>
            </w:r>
          </w:p>
        </w:tc>
      </w:tr>
      <w:tr w:rsidR="00A90008" w:rsidRPr="009772A3" w14:paraId="21B5826E" w14:textId="77777777" w:rsidTr="00630E8C">
        <w:trPr>
          <w:trHeight w:val="20"/>
        </w:trPr>
        <w:tc>
          <w:tcPr>
            <w:tcW w:w="2490" w:type="dxa"/>
          </w:tcPr>
          <w:p w14:paraId="6A1673B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7A61C83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144B8BB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8406,7</w:t>
            </w:r>
          </w:p>
        </w:tc>
        <w:tc>
          <w:tcPr>
            <w:tcW w:w="2126" w:type="dxa"/>
          </w:tcPr>
          <w:p w14:paraId="313B2D1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7089,8</w:t>
            </w:r>
          </w:p>
        </w:tc>
        <w:tc>
          <w:tcPr>
            <w:tcW w:w="2288" w:type="dxa"/>
          </w:tcPr>
          <w:p w14:paraId="463CB34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1316,9</w:t>
            </w:r>
          </w:p>
        </w:tc>
      </w:tr>
      <w:tr w:rsidR="00A90008" w:rsidRPr="009772A3" w14:paraId="794107CE" w14:textId="77777777" w:rsidTr="00630E8C">
        <w:trPr>
          <w:trHeight w:val="20"/>
        </w:trPr>
        <w:tc>
          <w:tcPr>
            <w:tcW w:w="2490" w:type="dxa"/>
          </w:tcPr>
          <w:p w14:paraId="4B598A2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516E6D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1AA2C80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15021,7</w:t>
            </w:r>
          </w:p>
        </w:tc>
        <w:tc>
          <w:tcPr>
            <w:tcW w:w="2126" w:type="dxa"/>
          </w:tcPr>
          <w:p w14:paraId="71E0B36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13103,7</w:t>
            </w:r>
          </w:p>
        </w:tc>
        <w:tc>
          <w:tcPr>
            <w:tcW w:w="2288" w:type="dxa"/>
          </w:tcPr>
          <w:p w14:paraId="544F176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1918,0</w:t>
            </w:r>
          </w:p>
        </w:tc>
      </w:tr>
      <w:tr w:rsidR="00A90008" w:rsidRPr="009772A3" w14:paraId="72FE1EEB" w14:textId="77777777" w:rsidTr="00630E8C">
        <w:trPr>
          <w:trHeight w:val="20"/>
        </w:trPr>
        <w:tc>
          <w:tcPr>
            <w:tcW w:w="2490" w:type="dxa"/>
          </w:tcPr>
          <w:p w14:paraId="4ED557AE"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6991932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10C6994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20931,4</w:t>
            </w:r>
          </w:p>
        </w:tc>
        <w:tc>
          <w:tcPr>
            <w:tcW w:w="2126" w:type="dxa"/>
          </w:tcPr>
          <w:p w14:paraId="2DF22FE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6322,5</w:t>
            </w:r>
          </w:p>
        </w:tc>
        <w:tc>
          <w:tcPr>
            <w:tcW w:w="2288" w:type="dxa"/>
          </w:tcPr>
          <w:p w14:paraId="3F2469D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14608,9</w:t>
            </w:r>
          </w:p>
        </w:tc>
      </w:tr>
      <w:tr w:rsidR="00A90008" w:rsidRPr="009772A3" w14:paraId="73B1468A" w14:textId="77777777" w:rsidTr="00630E8C">
        <w:trPr>
          <w:trHeight w:val="20"/>
        </w:trPr>
        <w:tc>
          <w:tcPr>
            <w:tcW w:w="2490" w:type="dxa"/>
          </w:tcPr>
          <w:p w14:paraId="19F5233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C53F88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6C7211D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13588,2</w:t>
            </w:r>
          </w:p>
        </w:tc>
        <w:tc>
          <w:tcPr>
            <w:tcW w:w="2126" w:type="dxa"/>
          </w:tcPr>
          <w:p w14:paraId="6F22FA9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12092,5</w:t>
            </w:r>
          </w:p>
        </w:tc>
        <w:tc>
          <w:tcPr>
            <w:tcW w:w="2288" w:type="dxa"/>
          </w:tcPr>
          <w:p w14:paraId="2BF5119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1495,7</w:t>
            </w:r>
          </w:p>
        </w:tc>
      </w:tr>
      <w:tr w:rsidR="00A90008" w:rsidRPr="009772A3" w14:paraId="4C390EC2" w14:textId="77777777" w:rsidTr="00630E8C">
        <w:trPr>
          <w:trHeight w:val="20"/>
        </w:trPr>
        <w:tc>
          <w:tcPr>
            <w:tcW w:w="2490" w:type="dxa"/>
          </w:tcPr>
          <w:p w14:paraId="72EC172A"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64189F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7B577FC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20220,2</w:t>
            </w:r>
          </w:p>
        </w:tc>
        <w:tc>
          <w:tcPr>
            <w:tcW w:w="2126" w:type="dxa"/>
          </w:tcPr>
          <w:p w14:paraId="66CD0EF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15254,6</w:t>
            </w:r>
          </w:p>
        </w:tc>
        <w:tc>
          <w:tcPr>
            <w:tcW w:w="2288" w:type="dxa"/>
          </w:tcPr>
          <w:p w14:paraId="63C308E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4965,5</w:t>
            </w:r>
          </w:p>
        </w:tc>
      </w:tr>
      <w:tr w:rsidR="00A90008" w:rsidRPr="009772A3" w14:paraId="58659B4C" w14:textId="77777777" w:rsidTr="00630E8C">
        <w:trPr>
          <w:trHeight w:val="20"/>
        </w:trPr>
        <w:tc>
          <w:tcPr>
            <w:tcW w:w="2490" w:type="dxa"/>
          </w:tcPr>
          <w:p w14:paraId="43F812F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EFBD26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3DC2FF3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16225,9</w:t>
            </w:r>
          </w:p>
        </w:tc>
        <w:tc>
          <w:tcPr>
            <w:tcW w:w="2126" w:type="dxa"/>
          </w:tcPr>
          <w:p w14:paraId="7CC51C3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14815,8</w:t>
            </w:r>
          </w:p>
        </w:tc>
        <w:tc>
          <w:tcPr>
            <w:tcW w:w="2288" w:type="dxa"/>
          </w:tcPr>
          <w:p w14:paraId="30D78DB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1410,1</w:t>
            </w:r>
          </w:p>
        </w:tc>
      </w:tr>
      <w:tr w:rsidR="00A90008" w:rsidRPr="009772A3" w14:paraId="1FE4E0A6" w14:textId="77777777" w:rsidTr="00630E8C">
        <w:trPr>
          <w:trHeight w:val="20"/>
        </w:trPr>
        <w:tc>
          <w:tcPr>
            <w:tcW w:w="2490" w:type="dxa"/>
          </w:tcPr>
          <w:p w14:paraId="4D03945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1D5DBBD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2FFD28B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15661,1</w:t>
            </w:r>
          </w:p>
        </w:tc>
        <w:tc>
          <w:tcPr>
            <w:tcW w:w="2126" w:type="dxa"/>
          </w:tcPr>
          <w:p w14:paraId="1E0EB72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15200,0</w:t>
            </w:r>
          </w:p>
        </w:tc>
        <w:tc>
          <w:tcPr>
            <w:tcW w:w="2288" w:type="dxa"/>
          </w:tcPr>
          <w:p w14:paraId="3594935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461,1</w:t>
            </w:r>
          </w:p>
        </w:tc>
      </w:tr>
      <w:tr w:rsidR="00A90008" w:rsidRPr="009772A3" w14:paraId="3C7A1349" w14:textId="77777777" w:rsidTr="00630E8C">
        <w:trPr>
          <w:trHeight w:val="20"/>
        </w:trPr>
        <w:tc>
          <w:tcPr>
            <w:tcW w:w="2490" w:type="dxa"/>
          </w:tcPr>
          <w:p w14:paraId="2A8AFFB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w:t>
            </w:r>
          </w:p>
        </w:tc>
        <w:tc>
          <w:tcPr>
            <w:tcW w:w="1310" w:type="dxa"/>
          </w:tcPr>
          <w:p w14:paraId="31801CC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1ADC618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171.611,3</w:t>
            </w:r>
          </w:p>
        </w:tc>
        <w:tc>
          <w:tcPr>
            <w:tcW w:w="2126" w:type="dxa"/>
          </w:tcPr>
          <w:p w14:paraId="13960EC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139.296,9</w:t>
            </w:r>
          </w:p>
        </w:tc>
        <w:tc>
          <w:tcPr>
            <w:tcW w:w="2288" w:type="dxa"/>
          </w:tcPr>
          <w:p w14:paraId="7EC090A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32.314,4</w:t>
            </w:r>
          </w:p>
        </w:tc>
      </w:tr>
      <w:tr w:rsidR="00A90008" w:rsidRPr="009772A3" w14:paraId="43502B75" w14:textId="77777777" w:rsidTr="00630E8C">
        <w:trPr>
          <w:trHeight w:val="20"/>
        </w:trPr>
        <w:tc>
          <w:tcPr>
            <w:tcW w:w="9633" w:type="dxa"/>
            <w:gridSpan w:val="5"/>
          </w:tcPr>
          <w:p w14:paraId="3242AF6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r>
      <w:tr w:rsidR="00A90008" w:rsidRPr="009772A3" w14:paraId="5F252E6E" w14:textId="77777777" w:rsidTr="00630E8C">
        <w:trPr>
          <w:trHeight w:val="20"/>
        </w:trPr>
        <w:tc>
          <w:tcPr>
            <w:tcW w:w="2490" w:type="dxa"/>
          </w:tcPr>
          <w:p w14:paraId="759FF8F3"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SRL Chișinău-gaz</w:t>
            </w:r>
          </w:p>
        </w:tc>
        <w:tc>
          <w:tcPr>
            <w:tcW w:w="1310" w:type="dxa"/>
          </w:tcPr>
          <w:p w14:paraId="151E6D2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2011</w:t>
            </w:r>
          </w:p>
        </w:tc>
        <w:tc>
          <w:tcPr>
            <w:tcW w:w="1419" w:type="dxa"/>
          </w:tcPr>
          <w:p w14:paraId="4B4D3F5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45136,1</w:t>
            </w:r>
          </w:p>
        </w:tc>
        <w:tc>
          <w:tcPr>
            <w:tcW w:w="2126" w:type="dxa"/>
          </w:tcPr>
          <w:p w14:paraId="6D84AB5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42381,9</w:t>
            </w:r>
          </w:p>
        </w:tc>
        <w:tc>
          <w:tcPr>
            <w:tcW w:w="2288" w:type="dxa"/>
          </w:tcPr>
          <w:p w14:paraId="15AE6A0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2754,2</w:t>
            </w:r>
          </w:p>
        </w:tc>
      </w:tr>
      <w:tr w:rsidR="00A90008" w:rsidRPr="009772A3" w14:paraId="00ABD2A5" w14:textId="77777777" w:rsidTr="00630E8C">
        <w:trPr>
          <w:trHeight w:val="20"/>
        </w:trPr>
        <w:tc>
          <w:tcPr>
            <w:tcW w:w="2490" w:type="dxa"/>
          </w:tcPr>
          <w:p w14:paraId="3073272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4CB1B9F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2012</w:t>
            </w:r>
          </w:p>
        </w:tc>
        <w:tc>
          <w:tcPr>
            <w:tcW w:w="1419" w:type="dxa"/>
          </w:tcPr>
          <w:p w14:paraId="593723E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23993,3</w:t>
            </w:r>
          </w:p>
        </w:tc>
        <w:tc>
          <w:tcPr>
            <w:tcW w:w="2126" w:type="dxa"/>
          </w:tcPr>
          <w:p w14:paraId="3369F89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23936,4</w:t>
            </w:r>
          </w:p>
        </w:tc>
        <w:tc>
          <w:tcPr>
            <w:tcW w:w="2288" w:type="dxa"/>
          </w:tcPr>
          <w:p w14:paraId="03737DC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56,9</w:t>
            </w:r>
          </w:p>
        </w:tc>
      </w:tr>
      <w:tr w:rsidR="00A90008" w:rsidRPr="009772A3" w14:paraId="1C4D0ECF" w14:textId="77777777" w:rsidTr="00630E8C">
        <w:trPr>
          <w:trHeight w:val="20"/>
        </w:trPr>
        <w:tc>
          <w:tcPr>
            <w:tcW w:w="2490" w:type="dxa"/>
          </w:tcPr>
          <w:p w14:paraId="5ABCB7A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4DDF52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2013</w:t>
            </w:r>
          </w:p>
        </w:tc>
        <w:tc>
          <w:tcPr>
            <w:tcW w:w="1419" w:type="dxa"/>
          </w:tcPr>
          <w:p w14:paraId="2212D80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22153,8</w:t>
            </w:r>
          </w:p>
        </w:tc>
        <w:tc>
          <w:tcPr>
            <w:tcW w:w="2126" w:type="dxa"/>
          </w:tcPr>
          <w:p w14:paraId="47F6258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22141,0</w:t>
            </w:r>
          </w:p>
        </w:tc>
        <w:tc>
          <w:tcPr>
            <w:tcW w:w="2288" w:type="dxa"/>
          </w:tcPr>
          <w:p w14:paraId="4909E96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12,8</w:t>
            </w:r>
          </w:p>
        </w:tc>
      </w:tr>
      <w:tr w:rsidR="00A90008" w:rsidRPr="009772A3" w14:paraId="02437F82" w14:textId="77777777" w:rsidTr="00630E8C">
        <w:trPr>
          <w:trHeight w:val="20"/>
        </w:trPr>
        <w:tc>
          <w:tcPr>
            <w:tcW w:w="2490" w:type="dxa"/>
          </w:tcPr>
          <w:p w14:paraId="533DD99D"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06D241A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2014</w:t>
            </w:r>
          </w:p>
        </w:tc>
        <w:tc>
          <w:tcPr>
            <w:tcW w:w="1419" w:type="dxa"/>
          </w:tcPr>
          <w:p w14:paraId="4B2CEFB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24126,8</w:t>
            </w:r>
          </w:p>
        </w:tc>
        <w:tc>
          <w:tcPr>
            <w:tcW w:w="2126" w:type="dxa"/>
          </w:tcPr>
          <w:p w14:paraId="15F62A9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19664,4</w:t>
            </w:r>
          </w:p>
        </w:tc>
        <w:tc>
          <w:tcPr>
            <w:tcW w:w="2288" w:type="dxa"/>
          </w:tcPr>
          <w:p w14:paraId="1FCC78D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4462,4</w:t>
            </w:r>
          </w:p>
        </w:tc>
      </w:tr>
      <w:tr w:rsidR="00A90008" w:rsidRPr="009772A3" w14:paraId="514D1821" w14:textId="77777777" w:rsidTr="00630E8C">
        <w:trPr>
          <w:trHeight w:val="20"/>
        </w:trPr>
        <w:tc>
          <w:tcPr>
            <w:tcW w:w="2490" w:type="dxa"/>
          </w:tcPr>
          <w:p w14:paraId="727F5DB0"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1B3A236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2015</w:t>
            </w:r>
          </w:p>
        </w:tc>
        <w:tc>
          <w:tcPr>
            <w:tcW w:w="1419" w:type="dxa"/>
          </w:tcPr>
          <w:p w14:paraId="206BDCC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18925,5</w:t>
            </w:r>
          </w:p>
        </w:tc>
        <w:tc>
          <w:tcPr>
            <w:tcW w:w="2126" w:type="dxa"/>
          </w:tcPr>
          <w:p w14:paraId="6501ECB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16326,0</w:t>
            </w:r>
          </w:p>
        </w:tc>
        <w:tc>
          <w:tcPr>
            <w:tcW w:w="2288" w:type="dxa"/>
          </w:tcPr>
          <w:p w14:paraId="15E3700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2599,5</w:t>
            </w:r>
          </w:p>
        </w:tc>
      </w:tr>
      <w:tr w:rsidR="00A90008" w:rsidRPr="009772A3" w14:paraId="3FEB938E" w14:textId="77777777" w:rsidTr="00630E8C">
        <w:trPr>
          <w:trHeight w:val="20"/>
        </w:trPr>
        <w:tc>
          <w:tcPr>
            <w:tcW w:w="2490" w:type="dxa"/>
          </w:tcPr>
          <w:p w14:paraId="15A37931"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3B6D000D"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2016</w:t>
            </w:r>
          </w:p>
        </w:tc>
        <w:tc>
          <w:tcPr>
            <w:tcW w:w="1419" w:type="dxa"/>
          </w:tcPr>
          <w:p w14:paraId="5FA7D5D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10016,8</w:t>
            </w:r>
          </w:p>
        </w:tc>
        <w:tc>
          <w:tcPr>
            <w:tcW w:w="2126" w:type="dxa"/>
          </w:tcPr>
          <w:p w14:paraId="44C3F1F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9869,6</w:t>
            </w:r>
          </w:p>
        </w:tc>
        <w:tc>
          <w:tcPr>
            <w:tcW w:w="2288" w:type="dxa"/>
          </w:tcPr>
          <w:p w14:paraId="2C25C46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147,2</w:t>
            </w:r>
          </w:p>
        </w:tc>
      </w:tr>
      <w:tr w:rsidR="00A90008" w:rsidRPr="009772A3" w14:paraId="2929C1F1" w14:textId="77777777" w:rsidTr="00630E8C">
        <w:trPr>
          <w:trHeight w:val="20"/>
        </w:trPr>
        <w:tc>
          <w:tcPr>
            <w:tcW w:w="2490" w:type="dxa"/>
          </w:tcPr>
          <w:p w14:paraId="4B889204"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310" w:type="dxa"/>
          </w:tcPr>
          <w:p w14:paraId="51567EB7"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2017</w:t>
            </w:r>
          </w:p>
        </w:tc>
        <w:tc>
          <w:tcPr>
            <w:tcW w:w="1419" w:type="dxa"/>
          </w:tcPr>
          <w:p w14:paraId="7E48157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77875,1</w:t>
            </w:r>
          </w:p>
        </w:tc>
        <w:tc>
          <w:tcPr>
            <w:tcW w:w="2126" w:type="dxa"/>
          </w:tcPr>
          <w:p w14:paraId="2E6C27A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43556,1</w:t>
            </w:r>
          </w:p>
        </w:tc>
        <w:tc>
          <w:tcPr>
            <w:tcW w:w="2288" w:type="dxa"/>
          </w:tcPr>
          <w:p w14:paraId="063B39E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34319,0</w:t>
            </w:r>
          </w:p>
        </w:tc>
      </w:tr>
      <w:tr w:rsidR="00A90008" w:rsidRPr="009772A3" w14:paraId="3C683A76" w14:textId="77777777" w:rsidTr="00630E8C">
        <w:trPr>
          <w:trHeight w:val="20"/>
        </w:trPr>
        <w:tc>
          <w:tcPr>
            <w:tcW w:w="2490" w:type="dxa"/>
          </w:tcPr>
          <w:p w14:paraId="4201FEA9"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193778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2018</w:t>
            </w:r>
          </w:p>
        </w:tc>
        <w:tc>
          <w:tcPr>
            <w:tcW w:w="1419" w:type="dxa"/>
          </w:tcPr>
          <w:p w14:paraId="715C6F18"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25613,6</w:t>
            </w:r>
          </w:p>
        </w:tc>
        <w:tc>
          <w:tcPr>
            <w:tcW w:w="2126" w:type="dxa"/>
          </w:tcPr>
          <w:p w14:paraId="021EE6C1"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22317,4</w:t>
            </w:r>
          </w:p>
        </w:tc>
        <w:tc>
          <w:tcPr>
            <w:tcW w:w="2288" w:type="dxa"/>
          </w:tcPr>
          <w:p w14:paraId="7687377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3296,2</w:t>
            </w:r>
          </w:p>
        </w:tc>
      </w:tr>
      <w:tr w:rsidR="00A90008" w:rsidRPr="009772A3" w14:paraId="13B62CE7" w14:textId="77777777" w:rsidTr="00630E8C">
        <w:trPr>
          <w:trHeight w:val="20"/>
        </w:trPr>
        <w:tc>
          <w:tcPr>
            <w:tcW w:w="2490" w:type="dxa"/>
          </w:tcPr>
          <w:p w14:paraId="0597841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20B2CA7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2019</w:t>
            </w:r>
          </w:p>
        </w:tc>
        <w:tc>
          <w:tcPr>
            <w:tcW w:w="1419" w:type="dxa"/>
          </w:tcPr>
          <w:p w14:paraId="060EBB0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28312,7</w:t>
            </w:r>
          </w:p>
        </w:tc>
        <w:tc>
          <w:tcPr>
            <w:tcW w:w="2126" w:type="dxa"/>
          </w:tcPr>
          <w:p w14:paraId="7E290BE5"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9481,3</w:t>
            </w:r>
          </w:p>
        </w:tc>
        <w:tc>
          <w:tcPr>
            <w:tcW w:w="2288" w:type="dxa"/>
          </w:tcPr>
          <w:p w14:paraId="07BA5E09"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18831,3</w:t>
            </w:r>
          </w:p>
        </w:tc>
      </w:tr>
      <w:tr w:rsidR="00A90008" w:rsidRPr="009772A3" w14:paraId="32C1A0DA" w14:textId="77777777" w:rsidTr="00630E8C">
        <w:trPr>
          <w:trHeight w:val="20"/>
        </w:trPr>
        <w:tc>
          <w:tcPr>
            <w:tcW w:w="2490" w:type="dxa"/>
          </w:tcPr>
          <w:p w14:paraId="4EE56525"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5166245E"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2020</w:t>
            </w:r>
          </w:p>
        </w:tc>
        <w:tc>
          <w:tcPr>
            <w:tcW w:w="1419" w:type="dxa"/>
          </w:tcPr>
          <w:p w14:paraId="568E0184"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24367,1</w:t>
            </w:r>
          </w:p>
        </w:tc>
        <w:tc>
          <w:tcPr>
            <w:tcW w:w="2126" w:type="dxa"/>
          </w:tcPr>
          <w:p w14:paraId="20DCF6DA"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22841,7</w:t>
            </w:r>
          </w:p>
        </w:tc>
        <w:tc>
          <w:tcPr>
            <w:tcW w:w="2288" w:type="dxa"/>
          </w:tcPr>
          <w:p w14:paraId="57F6D12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1525,4</w:t>
            </w:r>
          </w:p>
        </w:tc>
      </w:tr>
      <w:tr w:rsidR="00A90008" w:rsidRPr="009772A3" w14:paraId="231E2386" w14:textId="77777777" w:rsidTr="00630E8C">
        <w:trPr>
          <w:trHeight w:val="20"/>
        </w:trPr>
        <w:tc>
          <w:tcPr>
            <w:tcW w:w="2490" w:type="dxa"/>
          </w:tcPr>
          <w:p w14:paraId="49449812"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p>
        </w:tc>
        <w:tc>
          <w:tcPr>
            <w:tcW w:w="1310" w:type="dxa"/>
          </w:tcPr>
          <w:p w14:paraId="678AD250"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2021</w:t>
            </w:r>
          </w:p>
        </w:tc>
        <w:tc>
          <w:tcPr>
            <w:tcW w:w="1419" w:type="dxa"/>
          </w:tcPr>
          <w:p w14:paraId="53B336D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47720,8</w:t>
            </w:r>
          </w:p>
        </w:tc>
        <w:tc>
          <w:tcPr>
            <w:tcW w:w="2126" w:type="dxa"/>
          </w:tcPr>
          <w:p w14:paraId="1D4C49B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45249,6</w:t>
            </w:r>
          </w:p>
        </w:tc>
        <w:tc>
          <w:tcPr>
            <w:tcW w:w="2288" w:type="dxa"/>
          </w:tcPr>
          <w:p w14:paraId="12B41F36"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r w:rsidRPr="009772A3">
              <w:rPr>
                <w:rFonts w:asciiTheme="majorHAnsi" w:hAnsiTheme="majorHAnsi" w:cstheme="majorHAnsi"/>
                <w:sz w:val="20"/>
                <w:szCs w:val="24"/>
                <w:lang w:val="ro-MD"/>
              </w:rPr>
              <w:t>2471,2</w:t>
            </w:r>
          </w:p>
        </w:tc>
      </w:tr>
      <w:tr w:rsidR="00A90008" w:rsidRPr="009772A3" w14:paraId="78DF74A2" w14:textId="77777777" w:rsidTr="00630E8C">
        <w:trPr>
          <w:trHeight w:val="20"/>
        </w:trPr>
        <w:tc>
          <w:tcPr>
            <w:tcW w:w="2490" w:type="dxa"/>
          </w:tcPr>
          <w:p w14:paraId="56459B67"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sz w:val="20"/>
                <w:szCs w:val="24"/>
                <w:lang w:val="ro-MD"/>
              </w:rPr>
            </w:pPr>
            <w:r w:rsidRPr="009772A3">
              <w:rPr>
                <w:rFonts w:asciiTheme="majorHAnsi" w:hAnsiTheme="majorHAnsi" w:cstheme="majorHAnsi"/>
                <w:b/>
                <w:sz w:val="20"/>
                <w:szCs w:val="24"/>
                <w:lang w:val="ro-MD"/>
              </w:rPr>
              <w:t>Total</w:t>
            </w:r>
          </w:p>
        </w:tc>
        <w:tc>
          <w:tcPr>
            <w:tcW w:w="1310" w:type="dxa"/>
          </w:tcPr>
          <w:p w14:paraId="4767A272"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sz w:val="20"/>
                <w:szCs w:val="24"/>
                <w:lang w:val="ro-MD"/>
              </w:rPr>
            </w:pPr>
          </w:p>
        </w:tc>
        <w:tc>
          <w:tcPr>
            <w:tcW w:w="1419" w:type="dxa"/>
          </w:tcPr>
          <w:p w14:paraId="6DCFDC0F"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348.241,5</w:t>
            </w:r>
          </w:p>
        </w:tc>
        <w:tc>
          <w:tcPr>
            <w:tcW w:w="2126" w:type="dxa"/>
          </w:tcPr>
          <w:p w14:paraId="5A3A13D3"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277.765,4</w:t>
            </w:r>
          </w:p>
        </w:tc>
        <w:tc>
          <w:tcPr>
            <w:tcW w:w="2288" w:type="dxa"/>
          </w:tcPr>
          <w:p w14:paraId="0117608B"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70.476,1</w:t>
            </w:r>
          </w:p>
        </w:tc>
      </w:tr>
      <w:tr w:rsidR="00A90008" w:rsidRPr="009772A3" w14:paraId="6942F783" w14:textId="77777777" w:rsidTr="00630E8C">
        <w:trPr>
          <w:trHeight w:val="20"/>
        </w:trPr>
        <w:tc>
          <w:tcPr>
            <w:tcW w:w="9633" w:type="dxa"/>
            <w:gridSpan w:val="5"/>
          </w:tcPr>
          <w:p w14:paraId="2F8A574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r>
      <w:tr w:rsidR="00A90008" w:rsidRPr="009772A3" w14:paraId="59BA4BCB" w14:textId="77777777" w:rsidTr="00630E8C">
        <w:trPr>
          <w:trHeight w:val="20"/>
        </w:trPr>
        <w:tc>
          <w:tcPr>
            <w:tcW w:w="2490" w:type="dxa"/>
          </w:tcPr>
          <w:p w14:paraId="491E49AF"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r w:rsidRPr="009772A3">
              <w:rPr>
                <w:rFonts w:asciiTheme="majorHAnsi" w:hAnsiTheme="majorHAnsi" w:cstheme="majorHAnsi"/>
                <w:b/>
                <w:sz w:val="20"/>
                <w:szCs w:val="24"/>
                <w:lang w:val="ro-MD"/>
              </w:rPr>
              <w:t>TOTAL GENERAL</w:t>
            </w:r>
          </w:p>
        </w:tc>
        <w:tc>
          <w:tcPr>
            <w:tcW w:w="1310" w:type="dxa"/>
          </w:tcPr>
          <w:p w14:paraId="29FDAA66" w14:textId="77777777" w:rsidR="00A90008" w:rsidRPr="009772A3" w:rsidRDefault="00A90008" w:rsidP="00C306D5">
            <w:pPr>
              <w:pStyle w:val="ListParagraph"/>
              <w:tabs>
                <w:tab w:val="left" w:pos="426"/>
              </w:tabs>
              <w:spacing w:line="240" w:lineRule="auto"/>
              <w:ind w:left="0" w:right="50"/>
              <w:jc w:val="both"/>
              <w:rPr>
                <w:rFonts w:asciiTheme="majorHAnsi" w:hAnsiTheme="majorHAnsi" w:cstheme="majorHAnsi"/>
                <w:b/>
                <w:sz w:val="20"/>
                <w:szCs w:val="24"/>
                <w:lang w:val="ro-MD"/>
              </w:rPr>
            </w:pPr>
          </w:p>
        </w:tc>
        <w:tc>
          <w:tcPr>
            <w:tcW w:w="1419" w:type="dxa"/>
          </w:tcPr>
          <w:p w14:paraId="037ECD25" w14:textId="0DC1EED9" w:rsidR="00A90008" w:rsidRPr="009772A3" w:rsidRDefault="00A90008" w:rsidP="00026166">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3.587.</w:t>
            </w:r>
            <w:r w:rsidR="003232F9" w:rsidRPr="009772A3">
              <w:rPr>
                <w:rFonts w:asciiTheme="majorHAnsi" w:hAnsiTheme="majorHAnsi" w:cstheme="majorHAnsi"/>
                <w:b/>
                <w:sz w:val="20"/>
                <w:szCs w:val="24"/>
                <w:lang w:val="ro-MD"/>
              </w:rPr>
              <w:t>922</w:t>
            </w:r>
            <w:r w:rsidRPr="009772A3">
              <w:rPr>
                <w:rFonts w:asciiTheme="majorHAnsi" w:hAnsiTheme="majorHAnsi" w:cstheme="majorHAnsi"/>
                <w:b/>
                <w:sz w:val="20"/>
                <w:szCs w:val="24"/>
                <w:lang w:val="ro-MD"/>
              </w:rPr>
              <w:t>,</w:t>
            </w:r>
            <w:r w:rsidR="003232F9" w:rsidRPr="009772A3">
              <w:rPr>
                <w:rFonts w:asciiTheme="majorHAnsi" w:hAnsiTheme="majorHAnsi" w:cstheme="majorHAnsi"/>
                <w:b/>
                <w:sz w:val="20"/>
                <w:szCs w:val="24"/>
                <w:lang w:val="ro-MD"/>
              </w:rPr>
              <w:t>9</w:t>
            </w:r>
          </w:p>
        </w:tc>
        <w:tc>
          <w:tcPr>
            <w:tcW w:w="2126" w:type="dxa"/>
          </w:tcPr>
          <w:p w14:paraId="3290BFDC" w14:textId="77777777" w:rsidR="00A90008" w:rsidRPr="009772A3" w:rsidRDefault="00A90008" w:rsidP="00C306D5">
            <w:pPr>
              <w:pStyle w:val="ListParagraph"/>
              <w:tabs>
                <w:tab w:val="left" w:pos="426"/>
              </w:tabs>
              <w:spacing w:line="240" w:lineRule="auto"/>
              <w:ind w:left="0" w:right="50"/>
              <w:jc w:val="right"/>
              <w:rPr>
                <w:rFonts w:asciiTheme="majorHAnsi" w:hAnsiTheme="majorHAnsi" w:cstheme="majorHAnsi"/>
                <w:b/>
                <w:sz w:val="20"/>
                <w:szCs w:val="24"/>
                <w:highlight w:val="yellow"/>
                <w:lang w:val="ro-MD"/>
              </w:rPr>
            </w:pPr>
            <w:r w:rsidRPr="009772A3">
              <w:rPr>
                <w:rFonts w:asciiTheme="majorHAnsi" w:hAnsiTheme="majorHAnsi" w:cstheme="majorHAnsi"/>
                <w:b/>
                <w:sz w:val="20"/>
                <w:szCs w:val="24"/>
                <w:lang w:val="ro-MD"/>
              </w:rPr>
              <w:t>2.772.125,8</w:t>
            </w:r>
          </w:p>
        </w:tc>
        <w:tc>
          <w:tcPr>
            <w:tcW w:w="2288" w:type="dxa"/>
          </w:tcPr>
          <w:p w14:paraId="761D3655" w14:textId="3B712E26" w:rsidR="00A90008" w:rsidRPr="009772A3" w:rsidRDefault="00A90008" w:rsidP="00026166">
            <w:pPr>
              <w:pStyle w:val="ListParagraph"/>
              <w:tabs>
                <w:tab w:val="left" w:pos="426"/>
              </w:tabs>
              <w:spacing w:line="240" w:lineRule="auto"/>
              <w:ind w:left="0" w:right="50"/>
              <w:jc w:val="right"/>
              <w:rPr>
                <w:rFonts w:asciiTheme="majorHAnsi" w:hAnsiTheme="majorHAnsi" w:cstheme="majorHAnsi"/>
                <w:b/>
                <w:sz w:val="20"/>
                <w:szCs w:val="24"/>
                <w:lang w:val="ro-MD"/>
              </w:rPr>
            </w:pPr>
            <w:r w:rsidRPr="009772A3">
              <w:rPr>
                <w:rFonts w:asciiTheme="majorHAnsi" w:hAnsiTheme="majorHAnsi" w:cstheme="majorHAnsi"/>
                <w:b/>
                <w:sz w:val="20"/>
                <w:szCs w:val="24"/>
                <w:lang w:val="ro-MD"/>
              </w:rPr>
              <w:t>815.</w:t>
            </w:r>
            <w:r w:rsidR="003232F9" w:rsidRPr="009772A3">
              <w:rPr>
                <w:rFonts w:asciiTheme="majorHAnsi" w:hAnsiTheme="majorHAnsi" w:cstheme="majorHAnsi"/>
                <w:b/>
                <w:sz w:val="20"/>
                <w:szCs w:val="24"/>
                <w:lang w:val="ro-MD"/>
              </w:rPr>
              <w:t>796</w:t>
            </w:r>
            <w:r w:rsidRPr="009772A3">
              <w:rPr>
                <w:rFonts w:asciiTheme="majorHAnsi" w:hAnsiTheme="majorHAnsi" w:cstheme="majorHAnsi"/>
                <w:b/>
                <w:sz w:val="20"/>
                <w:szCs w:val="24"/>
                <w:lang w:val="ro-MD"/>
              </w:rPr>
              <w:t>,</w:t>
            </w:r>
            <w:r w:rsidR="003232F9" w:rsidRPr="009772A3">
              <w:rPr>
                <w:rFonts w:asciiTheme="majorHAnsi" w:hAnsiTheme="majorHAnsi" w:cstheme="majorHAnsi"/>
                <w:b/>
                <w:sz w:val="20"/>
                <w:szCs w:val="24"/>
                <w:lang w:val="ro-MD"/>
              </w:rPr>
              <w:t>6</w:t>
            </w:r>
          </w:p>
        </w:tc>
      </w:tr>
    </w:tbl>
    <w:p w14:paraId="49E19B15" w14:textId="77777777" w:rsidR="00630E8C" w:rsidRDefault="00630E8C" w:rsidP="00630E8C">
      <w:pPr>
        <w:rPr>
          <w:rFonts w:asciiTheme="majorHAnsi" w:hAnsiTheme="majorHAnsi" w:cstheme="majorHAnsi"/>
          <w:sz w:val="24"/>
          <w:szCs w:val="24"/>
          <w:lang w:val="ro-MD"/>
        </w:rPr>
      </w:pPr>
    </w:p>
    <w:p w14:paraId="56DAFECD" w14:textId="47F62B22" w:rsidR="00630E8C" w:rsidRPr="00630E8C" w:rsidRDefault="00630E8C" w:rsidP="00630E8C">
      <w:pPr>
        <w:rPr>
          <w:rFonts w:asciiTheme="majorHAnsi" w:hAnsiTheme="majorHAnsi" w:cstheme="majorHAnsi"/>
          <w:sz w:val="24"/>
          <w:szCs w:val="24"/>
          <w:lang w:val="ro-MD"/>
        </w:rPr>
      </w:pPr>
      <w:r w:rsidRPr="00630E8C">
        <w:rPr>
          <w:rFonts w:asciiTheme="majorHAnsi" w:hAnsiTheme="majorHAnsi" w:cstheme="majorHAnsi"/>
          <w:sz w:val="24"/>
          <w:szCs w:val="24"/>
          <w:lang w:val="ro-MD"/>
        </w:rPr>
        <w:t>Sursa: Informațiile prezentate de SA Moldovagaz și informațiile prezentate de ANRE.</w:t>
      </w:r>
    </w:p>
    <w:p w14:paraId="5AFAA0C2" w14:textId="77777777" w:rsidR="00A90008" w:rsidRPr="009772A3" w:rsidRDefault="00A90008" w:rsidP="00A90008">
      <w:pPr>
        <w:spacing w:after="0" w:line="240" w:lineRule="auto"/>
        <w:rPr>
          <w:rFonts w:asciiTheme="majorHAnsi" w:hAnsiTheme="majorHAnsi" w:cstheme="majorHAnsi"/>
          <w:sz w:val="24"/>
          <w:szCs w:val="24"/>
          <w:lang w:val="ro-MD"/>
        </w:rPr>
      </w:pPr>
    </w:p>
    <w:p w14:paraId="519ADCBC" w14:textId="77777777" w:rsidR="00A90008" w:rsidRPr="009772A3" w:rsidRDefault="00A90008">
      <w:pPr>
        <w:spacing w:line="259" w:lineRule="auto"/>
        <w:rPr>
          <w:lang w:val="ro-MD"/>
        </w:rPr>
      </w:pPr>
    </w:p>
    <w:p w14:paraId="32E5DEEB" w14:textId="0255FDE7" w:rsidR="00754C29" w:rsidRPr="009772A3" w:rsidRDefault="00754C29">
      <w:pPr>
        <w:spacing w:line="259" w:lineRule="auto"/>
        <w:rPr>
          <w:lang w:val="ro-MD"/>
        </w:rPr>
      </w:pPr>
      <w:r w:rsidRPr="009772A3">
        <w:rPr>
          <w:lang w:val="ro-MD"/>
        </w:rPr>
        <w:br w:type="page"/>
      </w:r>
    </w:p>
    <w:p w14:paraId="4FD1A203" w14:textId="77777777" w:rsidR="00754C29" w:rsidRPr="009772A3" w:rsidRDefault="00754C29" w:rsidP="008F661E">
      <w:pPr>
        <w:rPr>
          <w:lang w:val="ro-MD"/>
        </w:rPr>
        <w:sectPr w:rsidR="00754C29" w:rsidRPr="009772A3" w:rsidSect="00FE2E22">
          <w:pgSz w:w="11906" w:h="16838"/>
          <w:pgMar w:top="1140" w:right="851" w:bottom="1418" w:left="1701" w:header="720" w:footer="720" w:gutter="0"/>
          <w:cols w:space="720"/>
        </w:sectPr>
      </w:pPr>
    </w:p>
    <w:p w14:paraId="37FA4B67" w14:textId="5C32267D" w:rsidR="00CC6A8C" w:rsidRPr="009772A3" w:rsidRDefault="00754C29" w:rsidP="00754C29">
      <w:pPr>
        <w:pStyle w:val="Heading2"/>
        <w:jc w:val="center"/>
        <w:rPr>
          <w:color w:val="auto"/>
          <w:lang w:val="ro-MD"/>
        </w:rPr>
      </w:pPr>
      <w:bookmarkStart w:id="309" w:name="_Toc119496488"/>
      <w:r w:rsidRPr="009772A3">
        <w:rPr>
          <w:color w:val="auto"/>
          <w:lang w:val="ro-MD"/>
        </w:rPr>
        <w:t xml:space="preserve">Anexa nr.7. Informații </w:t>
      </w:r>
      <w:r w:rsidR="00DE08F4" w:rsidRPr="009772A3">
        <w:rPr>
          <w:rFonts w:cstheme="majorHAnsi"/>
          <w:color w:val="auto"/>
          <w:szCs w:val="24"/>
          <w:lang w:val="ro-MD"/>
        </w:rPr>
        <w:t>privind pierderile de gaze naturale ale operatorilor sistemelor de distribuție în anii 2011 – 2021</w:t>
      </w:r>
      <w:bookmarkEnd w:id="309"/>
    </w:p>
    <w:tbl>
      <w:tblPr>
        <w:tblW w:w="14847" w:type="dxa"/>
        <w:tblInd w:w="-431" w:type="dxa"/>
        <w:tblLook w:val="04A0" w:firstRow="1" w:lastRow="0" w:firstColumn="1" w:lastColumn="0" w:noHBand="0" w:noVBand="1"/>
      </w:tblPr>
      <w:tblGrid>
        <w:gridCol w:w="1696"/>
        <w:gridCol w:w="960"/>
        <w:gridCol w:w="1031"/>
        <w:gridCol w:w="1134"/>
        <w:gridCol w:w="992"/>
        <w:gridCol w:w="992"/>
        <w:gridCol w:w="872"/>
        <w:gridCol w:w="971"/>
        <w:gridCol w:w="871"/>
        <w:gridCol w:w="1128"/>
        <w:gridCol w:w="1079"/>
        <w:gridCol w:w="1079"/>
        <w:gridCol w:w="946"/>
        <w:gridCol w:w="1096"/>
      </w:tblGrid>
      <w:tr w:rsidR="00361944" w:rsidRPr="009772A3" w14:paraId="1CA7D21D" w14:textId="77777777" w:rsidTr="00361944">
        <w:trPr>
          <w:trHeight w:val="612"/>
        </w:trPr>
        <w:tc>
          <w:tcPr>
            <w:tcW w:w="1484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4A5792CE" w14:textId="29555B0E" w:rsidR="00361944" w:rsidRPr="009772A3" w:rsidRDefault="00361944" w:rsidP="00701CAA">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Tabel generalizator </w:t>
            </w:r>
            <w:r w:rsidRPr="009772A3">
              <w:rPr>
                <w:rFonts w:asciiTheme="majorHAnsi" w:eastAsia="Times New Roman" w:hAnsiTheme="majorHAnsi" w:cstheme="majorHAnsi"/>
                <w:sz w:val="20"/>
                <w:szCs w:val="20"/>
                <w:lang w:val="ro-MD"/>
              </w:rPr>
              <w:br/>
              <w:t>al pierderilor normative tehnice și comerciale de gaze naturale ale OSD pentru anii 2011-2021</w:t>
            </w:r>
            <w:r w:rsidR="00701CAA" w:rsidRPr="009772A3">
              <w:rPr>
                <w:rFonts w:asciiTheme="majorHAnsi" w:eastAsia="Times New Roman" w:hAnsiTheme="majorHAnsi" w:cstheme="majorHAnsi"/>
                <w:sz w:val="20"/>
                <w:szCs w:val="20"/>
                <w:lang w:val="ro-MD"/>
              </w:rPr>
              <w:t>,</w:t>
            </w:r>
            <w:r w:rsidRPr="009772A3">
              <w:rPr>
                <w:rFonts w:asciiTheme="majorHAnsi" w:eastAsia="Times New Roman" w:hAnsiTheme="majorHAnsi" w:cstheme="majorHAnsi"/>
                <w:sz w:val="20"/>
                <w:szCs w:val="20"/>
                <w:lang w:val="ro-MD"/>
              </w:rPr>
              <w:t xml:space="preserve"> calculate/verificate de ANRE</w:t>
            </w:r>
          </w:p>
        </w:tc>
      </w:tr>
      <w:tr w:rsidR="00361944" w:rsidRPr="009772A3" w14:paraId="3E2E06D2" w14:textId="77777777" w:rsidTr="00361944">
        <w:trPr>
          <w:trHeight w:val="3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D345DE0"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TOTAL OSD</w:t>
            </w:r>
          </w:p>
        </w:tc>
        <w:tc>
          <w:tcPr>
            <w:tcW w:w="960" w:type="dxa"/>
            <w:tcBorders>
              <w:top w:val="nil"/>
              <w:left w:val="nil"/>
              <w:bottom w:val="single" w:sz="4" w:space="0" w:color="auto"/>
              <w:right w:val="single" w:sz="4" w:space="0" w:color="auto"/>
            </w:tcBorders>
            <w:shd w:val="clear" w:color="auto" w:fill="auto"/>
            <w:noWrap/>
            <w:vAlign w:val="center"/>
            <w:hideMark/>
          </w:tcPr>
          <w:p w14:paraId="0D025530"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 </w:t>
            </w:r>
          </w:p>
        </w:tc>
        <w:tc>
          <w:tcPr>
            <w:tcW w:w="12191"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D8ABAD3" w14:textId="77777777" w:rsidR="00361944" w:rsidRPr="009772A3" w:rsidRDefault="00361944" w:rsidP="00361944">
            <w:pPr>
              <w:spacing w:after="0" w:line="240" w:lineRule="auto"/>
              <w:jc w:val="center"/>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Calculat/verificat de ANRE</w:t>
            </w:r>
          </w:p>
        </w:tc>
      </w:tr>
      <w:tr w:rsidR="00361944" w:rsidRPr="009772A3" w14:paraId="7FD23994" w14:textId="77777777" w:rsidTr="0036194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6C87BC9"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 </w:t>
            </w:r>
          </w:p>
        </w:tc>
        <w:tc>
          <w:tcPr>
            <w:tcW w:w="960" w:type="dxa"/>
            <w:tcBorders>
              <w:top w:val="nil"/>
              <w:left w:val="nil"/>
              <w:bottom w:val="single" w:sz="4" w:space="0" w:color="auto"/>
              <w:right w:val="single" w:sz="4" w:space="0" w:color="auto"/>
            </w:tcBorders>
            <w:shd w:val="clear" w:color="auto" w:fill="auto"/>
            <w:noWrap/>
            <w:vAlign w:val="center"/>
            <w:hideMark/>
          </w:tcPr>
          <w:p w14:paraId="54418B29"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unit.de masura</w:t>
            </w:r>
          </w:p>
        </w:tc>
        <w:tc>
          <w:tcPr>
            <w:tcW w:w="1031" w:type="dxa"/>
            <w:tcBorders>
              <w:top w:val="nil"/>
              <w:left w:val="nil"/>
              <w:bottom w:val="single" w:sz="4" w:space="0" w:color="auto"/>
              <w:right w:val="single" w:sz="4" w:space="0" w:color="auto"/>
            </w:tcBorders>
            <w:shd w:val="clear" w:color="auto" w:fill="auto"/>
            <w:noWrap/>
            <w:vAlign w:val="center"/>
            <w:hideMark/>
          </w:tcPr>
          <w:p w14:paraId="7184861F"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2011</w:t>
            </w:r>
          </w:p>
        </w:tc>
        <w:tc>
          <w:tcPr>
            <w:tcW w:w="1134" w:type="dxa"/>
            <w:tcBorders>
              <w:top w:val="nil"/>
              <w:left w:val="nil"/>
              <w:bottom w:val="single" w:sz="4" w:space="0" w:color="auto"/>
              <w:right w:val="single" w:sz="4" w:space="0" w:color="auto"/>
            </w:tcBorders>
            <w:shd w:val="clear" w:color="auto" w:fill="auto"/>
            <w:noWrap/>
            <w:vAlign w:val="center"/>
            <w:hideMark/>
          </w:tcPr>
          <w:p w14:paraId="041A587D"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2012</w:t>
            </w:r>
          </w:p>
        </w:tc>
        <w:tc>
          <w:tcPr>
            <w:tcW w:w="992" w:type="dxa"/>
            <w:tcBorders>
              <w:top w:val="nil"/>
              <w:left w:val="nil"/>
              <w:bottom w:val="single" w:sz="4" w:space="0" w:color="auto"/>
              <w:right w:val="single" w:sz="4" w:space="0" w:color="auto"/>
            </w:tcBorders>
            <w:shd w:val="clear" w:color="auto" w:fill="auto"/>
            <w:noWrap/>
            <w:vAlign w:val="center"/>
            <w:hideMark/>
          </w:tcPr>
          <w:p w14:paraId="01C16564"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2013</w:t>
            </w:r>
          </w:p>
        </w:tc>
        <w:tc>
          <w:tcPr>
            <w:tcW w:w="992" w:type="dxa"/>
            <w:tcBorders>
              <w:top w:val="nil"/>
              <w:left w:val="nil"/>
              <w:bottom w:val="single" w:sz="4" w:space="0" w:color="auto"/>
              <w:right w:val="single" w:sz="4" w:space="0" w:color="auto"/>
            </w:tcBorders>
            <w:shd w:val="clear" w:color="auto" w:fill="auto"/>
            <w:noWrap/>
            <w:vAlign w:val="center"/>
            <w:hideMark/>
          </w:tcPr>
          <w:p w14:paraId="735B66B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2014</w:t>
            </w:r>
          </w:p>
        </w:tc>
        <w:tc>
          <w:tcPr>
            <w:tcW w:w="872" w:type="dxa"/>
            <w:tcBorders>
              <w:top w:val="nil"/>
              <w:left w:val="nil"/>
              <w:bottom w:val="single" w:sz="4" w:space="0" w:color="auto"/>
              <w:right w:val="single" w:sz="4" w:space="0" w:color="auto"/>
            </w:tcBorders>
            <w:shd w:val="clear" w:color="auto" w:fill="auto"/>
            <w:noWrap/>
            <w:vAlign w:val="center"/>
            <w:hideMark/>
          </w:tcPr>
          <w:p w14:paraId="1480A64C"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2015</w:t>
            </w:r>
          </w:p>
        </w:tc>
        <w:tc>
          <w:tcPr>
            <w:tcW w:w="971" w:type="dxa"/>
            <w:tcBorders>
              <w:top w:val="nil"/>
              <w:left w:val="nil"/>
              <w:bottom w:val="single" w:sz="4" w:space="0" w:color="auto"/>
              <w:right w:val="single" w:sz="4" w:space="0" w:color="auto"/>
            </w:tcBorders>
            <w:shd w:val="clear" w:color="auto" w:fill="auto"/>
            <w:noWrap/>
            <w:vAlign w:val="center"/>
            <w:hideMark/>
          </w:tcPr>
          <w:p w14:paraId="267868FC"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2016</w:t>
            </w:r>
          </w:p>
        </w:tc>
        <w:tc>
          <w:tcPr>
            <w:tcW w:w="871" w:type="dxa"/>
            <w:tcBorders>
              <w:top w:val="nil"/>
              <w:left w:val="nil"/>
              <w:bottom w:val="single" w:sz="4" w:space="0" w:color="auto"/>
              <w:right w:val="single" w:sz="4" w:space="0" w:color="auto"/>
            </w:tcBorders>
            <w:shd w:val="clear" w:color="auto" w:fill="auto"/>
            <w:noWrap/>
            <w:vAlign w:val="center"/>
            <w:hideMark/>
          </w:tcPr>
          <w:p w14:paraId="746047F0"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2017</w:t>
            </w:r>
          </w:p>
        </w:tc>
        <w:tc>
          <w:tcPr>
            <w:tcW w:w="1128" w:type="dxa"/>
            <w:tcBorders>
              <w:top w:val="nil"/>
              <w:left w:val="nil"/>
              <w:bottom w:val="single" w:sz="4" w:space="0" w:color="auto"/>
              <w:right w:val="single" w:sz="4" w:space="0" w:color="auto"/>
            </w:tcBorders>
            <w:shd w:val="clear" w:color="auto" w:fill="auto"/>
            <w:noWrap/>
            <w:vAlign w:val="center"/>
            <w:hideMark/>
          </w:tcPr>
          <w:p w14:paraId="2CB4AB77"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2018</w:t>
            </w:r>
          </w:p>
        </w:tc>
        <w:tc>
          <w:tcPr>
            <w:tcW w:w="1079" w:type="dxa"/>
            <w:tcBorders>
              <w:top w:val="nil"/>
              <w:left w:val="nil"/>
              <w:bottom w:val="single" w:sz="4" w:space="0" w:color="auto"/>
              <w:right w:val="single" w:sz="4" w:space="0" w:color="auto"/>
            </w:tcBorders>
            <w:shd w:val="clear" w:color="auto" w:fill="auto"/>
            <w:noWrap/>
            <w:vAlign w:val="center"/>
            <w:hideMark/>
          </w:tcPr>
          <w:p w14:paraId="2A22AFA6"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2019</w:t>
            </w:r>
          </w:p>
        </w:tc>
        <w:tc>
          <w:tcPr>
            <w:tcW w:w="1079" w:type="dxa"/>
            <w:tcBorders>
              <w:top w:val="nil"/>
              <w:left w:val="nil"/>
              <w:bottom w:val="single" w:sz="4" w:space="0" w:color="auto"/>
              <w:right w:val="single" w:sz="4" w:space="0" w:color="auto"/>
            </w:tcBorders>
            <w:shd w:val="clear" w:color="auto" w:fill="auto"/>
            <w:noWrap/>
            <w:vAlign w:val="center"/>
            <w:hideMark/>
          </w:tcPr>
          <w:p w14:paraId="0FB94EB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2020</w:t>
            </w:r>
          </w:p>
        </w:tc>
        <w:tc>
          <w:tcPr>
            <w:tcW w:w="946" w:type="dxa"/>
            <w:tcBorders>
              <w:top w:val="nil"/>
              <w:left w:val="nil"/>
              <w:bottom w:val="single" w:sz="4" w:space="0" w:color="auto"/>
              <w:right w:val="single" w:sz="4" w:space="0" w:color="auto"/>
            </w:tcBorders>
            <w:shd w:val="clear" w:color="auto" w:fill="auto"/>
            <w:noWrap/>
            <w:vAlign w:val="center"/>
            <w:hideMark/>
          </w:tcPr>
          <w:p w14:paraId="530DB366"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2021</w:t>
            </w:r>
          </w:p>
        </w:tc>
        <w:tc>
          <w:tcPr>
            <w:tcW w:w="1096" w:type="dxa"/>
            <w:tcBorders>
              <w:top w:val="nil"/>
              <w:left w:val="nil"/>
              <w:bottom w:val="single" w:sz="4" w:space="0" w:color="auto"/>
              <w:right w:val="single" w:sz="4" w:space="0" w:color="auto"/>
            </w:tcBorders>
            <w:shd w:val="clear" w:color="auto" w:fill="auto"/>
            <w:noWrap/>
            <w:vAlign w:val="center"/>
            <w:hideMark/>
          </w:tcPr>
          <w:p w14:paraId="4FA81FA1" w14:textId="77777777" w:rsidR="00361944" w:rsidRPr="009772A3" w:rsidRDefault="00361944" w:rsidP="00361944">
            <w:pPr>
              <w:spacing w:after="0" w:line="240" w:lineRule="auto"/>
              <w:ind w:left="-72"/>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 xml:space="preserve">TOTAL </w:t>
            </w:r>
            <w:r w:rsidRPr="009772A3">
              <w:rPr>
                <w:rFonts w:asciiTheme="majorHAnsi" w:eastAsia="Times New Roman" w:hAnsiTheme="majorHAnsi" w:cstheme="majorHAnsi"/>
                <w:sz w:val="18"/>
                <w:szCs w:val="20"/>
                <w:lang w:val="ro-MD"/>
              </w:rPr>
              <w:br/>
              <w:t>2011-2021</w:t>
            </w:r>
          </w:p>
        </w:tc>
      </w:tr>
      <w:tr w:rsidR="00361944" w:rsidRPr="009772A3" w14:paraId="2DE3898E"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F7D7A7"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Total pierderi normative tehnice</w:t>
            </w:r>
          </w:p>
        </w:tc>
        <w:tc>
          <w:tcPr>
            <w:tcW w:w="960" w:type="dxa"/>
            <w:tcBorders>
              <w:top w:val="nil"/>
              <w:left w:val="nil"/>
              <w:bottom w:val="single" w:sz="4" w:space="0" w:color="auto"/>
              <w:right w:val="single" w:sz="4" w:space="0" w:color="auto"/>
            </w:tcBorders>
            <w:shd w:val="clear" w:color="auto" w:fill="auto"/>
            <w:noWrap/>
            <w:vAlign w:val="center"/>
            <w:hideMark/>
          </w:tcPr>
          <w:p w14:paraId="4519094B"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m3</w:t>
            </w:r>
          </w:p>
        </w:tc>
        <w:tc>
          <w:tcPr>
            <w:tcW w:w="1031" w:type="dxa"/>
            <w:tcBorders>
              <w:top w:val="nil"/>
              <w:left w:val="nil"/>
              <w:bottom w:val="single" w:sz="4" w:space="0" w:color="auto"/>
              <w:right w:val="single" w:sz="4" w:space="0" w:color="auto"/>
            </w:tcBorders>
            <w:shd w:val="clear" w:color="auto" w:fill="auto"/>
            <w:noWrap/>
            <w:vAlign w:val="center"/>
            <w:hideMark/>
          </w:tcPr>
          <w:p w14:paraId="6C86641A"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19,439.3</w:t>
            </w:r>
          </w:p>
        </w:tc>
        <w:tc>
          <w:tcPr>
            <w:tcW w:w="1134" w:type="dxa"/>
            <w:tcBorders>
              <w:top w:val="nil"/>
              <w:left w:val="nil"/>
              <w:bottom w:val="single" w:sz="4" w:space="0" w:color="auto"/>
              <w:right w:val="single" w:sz="4" w:space="0" w:color="auto"/>
            </w:tcBorders>
            <w:shd w:val="clear" w:color="auto" w:fill="auto"/>
            <w:noWrap/>
            <w:vAlign w:val="center"/>
            <w:hideMark/>
          </w:tcPr>
          <w:p w14:paraId="7ABB1BD3"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17,880.0</w:t>
            </w:r>
          </w:p>
        </w:tc>
        <w:tc>
          <w:tcPr>
            <w:tcW w:w="992" w:type="dxa"/>
            <w:tcBorders>
              <w:top w:val="nil"/>
              <w:left w:val="nil"/>
              <w:bottom w:val="single" w:sz="4" w:space="0" w:color="auto"/>
              <w:right w:val="single" w:sz="4" w:space="0" w:color="auto"/>
            </w:tcBorders>
            <w:shd w:val="clear" w:color="auto" w:fill="auto"/>
            <w:noWrap/>
            <w:vAlign w:val="center"/>
            <w:hideMark/>
          </w:tcPr>
          <w:p w14:paraId="77275A85"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16,224.3</w:t>
            </w:r>
          </w:p>
        </w:tc>
        <w:tc>
          <w:tcPr>
            <w:tcW w:w="992" w:type="dxa"/>
            <w:tcBorders>
              <w:top w:val="nil"/>
              <w:left w:val="nil"/>
              <w:bottom w:val="single" w:sz="4" w:space="0" w:color="auto"/>
              <w:right w:val="single" w:sz="4" w:space="0" w:color="auto"/>
            </w:tcBorders>
            <w:shd w:val="clear" w:color="auto" w:fill="auto"/>
            <w:noWrap/>
            <w:vAlign w:val="center"/>
            <w:hideMark/>
          </w:tcPr>
          <w:p w14:paraId="3BC89DAC"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13,910.9</w:t>
            </w:r>
          </w:p>
        </w:tc>
        <w:tc>
          <w:tcPr>
            <w:tcW w:w="872" w:type="dxa"/>
            <w:tcBorders>
              <w:top w:val="nil"/>
              <w:left w:val="nil"/>
              <w:bottom w:val="single" w:sz="4" w:space="0" w:color="auto"/>
              <w:right w:val="single" w:sz="4" w:space="0" w:color="auto"/>
            </w:tcBorders>
            <w:shd w:val="clear" w:color="auto" w:fill="auto"/>
            <w:noWrap/>
            <w:vAlign w:val="center"/>
            <w:hideMark/>
          </w:tcPr>
          <w:p w14:paraId="1A55A4FB"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12,731.4</w:t>
            </w:r>
          </w:p>
        </w:tc>
        <w:tc>
          <w:tcPr>
            <w:tcW w:w="971" w:type="dxa"/>
            <w:tcBorders>
              <w:top w:val="nil"/>
              <w:left w:val="nil"/>
              <w:bottom w:val="single" w:sz="4" w:space="0" w:color="auto"/>
              <w:right w:val="single" w:sz="4" w:space="0" w:color="auto"/>
            </w:tcBorders>
            <w:shd w:val="clear" w:color="auto" w:fill="auto"/>
            <w:noWrap/>
            <w:vAlign w:val="center"/>
            <w:hideMark/>
          </w:tcPr>
          <w:p w14:paraId="62A6EE53"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12,188.2</w:t>
            </w:r>
          </w:p>
        </w:tc>
        <w:tc>
          <w:tcPr>
            <w:tcW w:w="871" w:type="dxa"/>
            <w:tcBorders>
              <w:top w:val="nil"/>
              <w:left w:val="nil"/>
              <w:bottom w:val="single" w:sz="4" w:space="0" w:color="auto"/>
              <w:right w:val="single" w:sz="4" w:space="0" w:color="auto"/>
            </w:tcBorders>
            <w:shd w:val="clear" w:color="auto" w:fill="auto"/>
            <w:noWrap/>
            <w:vAlign w:val="center"/>
            <w:hideMark/>
          </w:tcPr>
          <w:p w14:paraId="3911C862"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11,739.9</w:t>
            </w:r>
          </w:p>
        </w:tc>
        <w:tc>
          <w:tcPr>
            <w:tcW w:w="1128" w:type="dxa"/>
            <w:tcBorders>
              <w:top w:val="nil"/>
              <w:left w:val="nil"/>
              <w:bottom w:val="single" w:sz="4" w:space="0" w:color="auto"/>
              <w:right w:val="single" w:sz="4" w:space="0" w:color="auto"/>
            </w:tcBorders>
            <w:shd w:val="clear" w:color="auto" w:fill="auto"/>
            <w:noWrap/>
            <w:vAlign w:val="center"/>
            <w:hideMark/>
          </w:tcPr>
          <w:p w14:paraId="7A413675"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13,015.2</w:t>
            </w:r>
          </w:p>
        </w:tc>
        <w:tc>
          <w:tcPr>
            <w:tcW w:w="1079" w:type="dxa"/>
            <w:tcBorders>
              <w:top w:val="nil"/>
              <w:left w:val="nil"/>
              <w:bottom w:val="single" w:sz="4" w:space="0" w:color="auto"/>
              <w:right w:val="single" w:sz="4" w:space="0" w:color="auto"/>
            </w:tcBorders>
            <w:shd w:val="clear" w:color="auto" w:fill="auto"/>
            <w:noWrap/>
            <w:vAlign w:val="center"/>
            <w:hideMark/>
          </w:tcPr>
          <w:p w14:paraId="32D3250F"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11,545.5</w:t>
            </w:r>
          </w:p>
        </w:tc>
        <w:tc>
          <w:tcPr>
            <w:tcW w:w="1079" w:type="dxa"/>
            <w:tcBorders>
              <w:top w:val="nil"/>
              <w:left w:val="nil"/>
              <w:bottom w:val="single" w:sz="4" w:space="0" w:color="auto"/>
              <w:right w:val="single" w:sz="4" w:space="0" w:color="auto"/>
            </w:tcBorders>
            <w:shd w:val="clear" w:color="auto" w:fill="auto"/>
            <w:noWrap/>
            <w:vAlign w:val="center"/>
            <w:hideMark/>
          </w:tcPr>
          <w:p w14:paraId="6941825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946" w:type="dxa"/>
            <w:tcBorders>
              <w:top w:val="nil"/>
              <w:left w:val="nil"/>
              <w:bottom w:val="single" w:sz="4" w:space="0" w:color="auto"/>
              <w:right w:val="single" w:sz="4" w:space="0" w:color="auto"/>
            </w:tcBorders>
            <w:shd w:val="clear" w:color="auto" w:fill="auto"/>
            <w:noWrap/>
            <w:vAlign w:val="center"/>
            <w:hideMark/>
          </w:tcPr>
          <w:p w14:paraId="11325844"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14:paraId="5370EA90"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128,674.7</w:t>
            </w:r>
          </w:p>
        </w:tc>
      </w:tr>
      <w:tr w:rsidR="00361944" w:rsidRPr="009772A3" w14:paraId="11FD551C"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D20CE00"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Total pierderi normative comerciale</w:t>
            </w:r>
          </w:p>
        </w:tc>
        <w:tc>
          <w:tcPr>
            <w:tcW w:w="960" w:type="dxa"/>
            <w:tcBorders>
              <w:top w:val="nil"/>
              <w:left w:val="nil"/>
              <w:bottom w:val="single" w:sz="4" w:space="0" w:color="auto"/>
              <w:right w:val="single" w:sz="4" w:space="0" w:color="auto"/>
            </w:tcBorders>
            <w:shd w:val="clear" w:color="auto" w:fill="auto"/>
            <w:noWrap/>
            <w:vAlign w:val="center"/>
            <w:hideMark/>
          </w:tcPr>
          <w:p w14:paraId="3E8B9F6E"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m3</w:t>
            </w:r>
          </w:p>
        </w:tc>
        <w:tc>
          <w:tcPr>
            <w:tcW w:w="1031" w:type="dxa"/>
            <w:tcBorders>
              <w:top w:val="nil"/>
              <w:left w:val="nil"/>
              <w:bottom w:val="single" w:sz="4" w:space="0" w:color="auto"/>
              <w:right w:val="single" w:sz="4" w:space="0" w:color="auto"/>
            </w:tcBorders>
            <w:shd w:val="clear" w:color="auto" w:fill="auto"/>
            <w:noWrap/>
            <w:vAlign w:val="center"/>
            <w:hideMark/>
          </w:tcPr>
          <w:p w14:paraId="0D70191A"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07FC1A1"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992" w:type="dxa"/>
            <w:tcBorders>
              <w:top w:val="nil"/>
              <w:left w:val="nil"/>
              <w:bottom w:val="single" w:sz="4" w:space="0" w:color="auto"/>
              <w:right w:val="single" w:sz="4" w:space="0" w:color="auto"/>
            </w:tcBorders>
            <w:shd w:val="clear" w:color="auto" w:fill="auto"/>
            <w:noWrap/>
            <w:vAlign w:val="center"/>
            <w:hideMark/>
          </w:tcPr>
          <w:p w14:paraId="60340664"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992" w:type="dxa"/>
            <w:tcBorders>
              <w:top w:val="nil"/>
              <w:left w:val="nil"/>
              <w:bottom w:val="single" w:sz="4" w:space="0" w:color="auto"/>
              <w:right w:val="single" w:sz="4" w:space="0" w:color="auto"/>
            </w:tcBorders>
            <w:shd w:val="clear" w:color="auto" w:fill="auto"/>
            <w:noWrap/>
            <w:vAlign w:val="center"/>
            <w:hideMark/>
          </w:tcPr>
          <w:p w14:paraId="46E6206A"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872" w:type="dxa"/>
            <w:tcBorders>
              <w:top w:val="nil"/>
              <w:left w:val="nil"/>
              <w:bottom w:val="single" w:sz="4" w:space="0" w:color="auto"/>
              <w:right w:val="single" w:sz="4" w:space="0" w:color="auto"/>
            </w:tcBorders>
            <w:shd w:val="clear" w:color="auto" w:fill="auto"/>
            <w:noWrap/>
            <w:vAlign w:val="center"/>
            <w:hideMark/>
          </w:tcPr>
          <w:p w14:paraId="0576668A"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14,244.7</w:t>
            </w:r>
          </w:p>
        </w:tc>
        <w:tc>
          <w:tcPr>
            <w:tcW w:w="971" w:type="dxa"/>
            <w:tcBorders>
              <w:top w:val="nil"/>
              <w:left w:val="nil"/>
              <w:bottom w:val="single" w:sz="4" w:space="0" w:color="auto"/>
              <w:right w:val="single" w:sz="4" w:space="0" w:color="auto"/>
            </w:tcBorders>
            <w:shd w:val="clear" w:color="auto" w:fill="auto"/>
            <w:noWrap/>
            <w:vAlign w:val="center"/>
            <w:hideMark/>
          </w:tcPr>
          <w:p w14:paraId="2A48826B"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12,235.4</w:t>
            </w:r>
          </w:p>
        </w:tc>
        <w:tc>
          <w:tcPr>
            <w:tcW w:w="871" w:type="dxa"/>
            <w:tcBorders>
              <w:top w:val="nil"/>
              <w:left w:val="nil"/>
              <w:bottom w:val="single" w:sz="4" w:space="0" w:color="auto"/>
              <w:right w:val="single" w:sz="4" w:space="0" w:color="auto"/>
            </w:tcBorders>
            <w:shd w:val="clear" w:color="auto" w:fill="auto"/>
            <w:noWrap/>
            <w:vAlign w:val="center"/>
            <w:hideMark/>
          </w:tcPr>
          <w:p w14:paraId="3AC004E2"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9,777.5</w:t>
            </w:r>
          </w:p>
        </w:tc>
        <w:tc>
          <w:tcPr>
            <w:tcW w:w="1128" w:type="dxa"/>
            <w:tcBorders>
              <w:top w:val="nil"/>
              <w:left w:val="nil"/>
              <w:bottom w:val="single" w:sz="4" w:space="0" w:color="auto"/>
              <w:right w:val="single" w:sz="4" w:space="0" w:color="auto"/>
            </w:tcBorders>
            <w:shd w:val="clear" w:color="auto" w:fill="auto"/>
            <w:noWrap/>
            <w:vAlign w:val="center"/>
            <w:hideMark/>
          </w:tcPr>
          <w:p w14:paraId="73882CE9"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8,048.2</w:t>
            </w:r>
          </w:p>
        </w:tc>
        <w:tc>
          <w:tcPr>
            <w:tcW w:w="1079" w:type="dxa"/>
            <w:tcBorders>
              <w:top w:val="nil"/>
              <w:left w:val="nil"/>
              <w:bottom w:val="single" w:sz="4" w:space="0" w:color="auto"/>
              <w:right w:val="single" w:sz="4" w:space="0" w:color="auto"/>
            </w:tcBorders>
            <w:shd w:val="clear" w:color="auto" w:fill="auto"/>
            <w:noWrap/>
            <w:vAlign w:val="center"/>
            <w:hideMark/>
          </w:tcPr>
          <w:p w14:paraId="4A2FEC8B"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5,052.5</w:t>
            </w:r>
          </w:p>
        </w:tc>
        <w:tc>
          <w:tcPr>
            <w:tcW w:w="1079" w:type="dxa"/>
            <w:tcBorders>
              <w:top w:val="nil"/>
              <w:left w:val="nil"/>
              <w:bottom w:val="single" w:sz="4" w:space="0" w:color="auto"/>
              <w:right w:val="single" w:sz="4" w:space="0" w:color="auto"/>
            </w:tcBorders>
            <w:shd w:val="clear" w:color="auto" w:fill="auto"/>
            <w:noWrap/>
            <w:vAlign w:val="center"/>
            <w:hideMark/>
          </w:tcPr>
          <w:p w14:paraId="2B925AC0"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946" w:type="dxa"/>
            <w:tcBorders>
              <w:top w:val="nil"/>
              <w:left w:val="nil"/>
              <w:bottom w:val="single" w:sz="4" w:space="0" w:color="auto"/>
              <w:right w:val="single" w:sz="4" w:space="0" w:color="auto"/>
            </w:tcBorders>
            <w:shd w:val="clear" w:color="auto" w:fill="auto"/>
            <w:noWrap/>
            <w:vAlign w:val="center"/>
            <w:hideMark/>
          </w:tcPr>
          <w:p w14:paraId="28B051D1"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14:paraId="0F3F7F25"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49,358.3</w:t>
            </w:r>
          </w:p>
        </w:tc>
      </w:tr>
      <w:tr w:rsidR="00361944" w:rsidRPr="009772A3" w14:paraId="1F735B37"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B6BC28" w14:textId="77777777" w:rsidR="00361944" w:rsidRPr="009772A3" w:rsidRDefault="00361944" w:rsidP="00361944">
            <w:pPr>
              <w:spacing w:after="0" w:line="240" w:lineRule="auto"/>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Total pierderi normative</w:t>
            </w:r>
          </w:p>
        </w:tc>
        <w:tc>
          <w:tcPr>
            <w:tcW w:w="960" w:type="dxa"/>
            <w:tcBorders>
              <w:top w:val="nil"/>
              <w:left w:val="nil"/>
              <w:bottom w:val="single" w:sz="4" w:space="0" w:color="auto"/>
              <w:right w:val="single" w:sz="4" w:space="0" w:color="auto"/>
            </w:tcBorders>
            <w:shd w:val="clear" w:color="auto" w:fill="auto"/>
            <w:noWrap/>
            <w:vAlign w:val="center"/>
            <w:hideMark/>
          </w:tcPr>
          <w:p w14:paraId="035D3216" w14:textId="77777777" w:rsidR="00361944" w:rsidRPr="009772A3" w:rsidRDefault="00361944" w:rsidP="00361944">
            <w:pPr>
              <w:spacing w:after="0" w:line="240" w:lineRule="auto"/>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m3</w:t>
            </w:r>
          </w:p>
        </w:tc>
        <w:tc>
          <w:tcPr>
            <w:tcW w:w="1031" w:type="dxa"/>
            <w:tcBorders>
              <w:top w:val="nil"/>
              <w:left w:val="nil"/>
              <w:bottom w:val="single" w:sz="4" w:space="0" w:color="auto"/>
              <w:right w:val="single" w:sz="4" w:space="0" w:color="auto"/>
            </w:tcBorders>
            <w:shd w:val="clear" w:color="auto" w:fill="auto"/>
            <w:noWrap/>
            <w:vAlign w:val="center"/>
            <w:hideMark/>
          </w:tcPr>
          <w:p w14:paraId="29572A85"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19,439.3</w:t>
            </w:r>
          </w:p>
        </w:tc>
        <w:tc>
          <w:tcPr>
            <w:tcW w:w="1134" w:type="dxa"/>
            <w:tcBorders>
              <w:top w:val="nil"/>
              <w:left w:val="nil"/>
              <w:bottom w:val="single" w:sz="4" w:space="0" w:color="auto"/>
              <w:right w:val="single" w:sz="4" w:space="0" w:color="auto"/>
            </w:tcBorders>
            <w:shd w:val="clear" w:color="auto" w:fill="auto"/>
            <w:noWrap/>
            <w:vAlign w:val="center"/>
            <w:hideMark/>
          </w:tcPr>
          <w:p w14:paraId="1006F075"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17,880.0</w:t>
            </w:r>
          </w:p>
        </w:tc>
        <w:tc>
          <w:tcPr>
            <w:tcW w:w="992" w:type="dxa"/>
            <w:tcBorders>
              <w:top w:val="nil"/>
              <w:left w:val="nil"/>
              <w:bottom w:val="single" w:sz="4" w:space="0" w:color="auto"/>
              <w:right w:val="single" w:sz="4" w:space="0" w:color="auto"/>
            </w:tcBorders>
            <w:shd w:val="clear" w:color="auto" w:fill="auto"/>
            <w:noWrap/>
            <w:vAlign w:val="center"/>
            <w:hideMark/>
          </w:tcPr>
          <w:p w14:paraId="75437E8F"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16,224.3</w:t>
            </w:r>
          </w:p>
        </w:tc>
        <w:tc>
          <w:tcPr>
            <w:tcW w:w="992" w:type="dxa"/>
            <w:tcBorders>
              <w:top w:val="nil"/>
              <w:left w:val="nil"/>
              <w:bottom w:val="single" w:sz="4" w:space="0" w:color="auto"/>
              <w:right w:val="single" w:sz="4" w:space="0" w:color="auto"/>
            </w:tcBorders>
            <w:shd w:val="clear" w:color="auto" w:fill="auto"/>
            <w:noWrap/>
            <w:vAlign w:val="center"/>
            <w:hideMark/>
          </w:tcPr>
          <w:p w14:paraId="395B2DC9"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13,910.9</w:t>
            </w:r>
          </w:p>
        </w:tc>
        <w:tc>
          <w:tcPr>
            <w:tcW w:w="872" w:type="dxa"/>
            <w:tcBorders>
              <w:top w:val="nil"/>
              <w:left w:val="nil"/>
              <w:bottom w:val="single" w:sz="4" w:space="0" w:color="auto"/>
              <w:right w:val="single" w:sz="4" w:space="0" w:color="auto"/>
            </w:tcBorders>
            <w:shd w:val="clear" w:color="auto" w:fill="auto"/>
            <w:noWrap/>
            <w:vAlign w:val="center"/>
            <w:hideMark/>
          </w:tcPr>
          <w:p w14:paraId="79F838FB"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26,976.1</w:t>
            </w:r>
          </w:p>
        </w:tc>
        <w:tc>
          <w:tcPr>
            <w:tcW w:w="971" w:type="dxa"/>
            <w:tcBorders>
              <w:top w:val="nil"/>
              <w:left w:val="nil"/>
              <w:bottom w:val="single" w:sz="4" w:space="0" w:color="auto"/>
              <w:right w:val="single" w:sz="4" w:space="0" w:color="auto"/>
            </w:tcBorders>
            <w:shd w:val="clear" w:color="auto" w:fill="auto"/>
            <w:noWrap/>
            <w:vAlign w:val="center"/>
            <w:hideMark/>
          </w:tcPr>
          <w:p w14:paraId="42AEE188"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24,423.6</w:t>
            </w:r>
          </w:p>
        </w:tc>
        <w:tc>
          <w:tcPr>
            <w:tcW w:w="871" w:type="dxa"/>
            <w:tcBorders>
              <w:top w:val="nil"/>
              <w:left w:val="nil"/>
              <w:bottom w:val="single" w:sz="4" w:space="0" w:color="auto"/>
              <w:right w:val="single" w:sz="4" w:space="0" w:color="auto"/>
            </w:tcBorders>
            <w:shd w:val="clear" w:color="auto" w:fill="auto"/>
            <w:noWrap/>
            <w:vAlign w:val="center"/>
            <w:hideMark/>
          </w:tcPr>
          <w:p w14:paraId="4A0EEB0F"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21,517.4</w:t>
            </w:r>
          </w:p>
        </w:tc>
        <w:tc>
          <w:tcPr>
            <w:tcW w:w="1128" w:type="dxa"/>
            <w:tcBorders>
              <w:top w:val="nil"/>
              <w:left w:val="nil"/>
              <w:bottom w:val="single" w:sz="4" w:space="0" w:color="auto"/>
              <w:right w:val="single" w:sz="4" w:space="0" w:color="auto"/>
            </w:tcBorders>
            <w:shd w:val="clear" w:color="auto" w:fill="auto"/>
            <w:noWrap/>
            <w:vAlign w:val="center"/>
            <w:hideMark/>
          </w:tcPr>
          <w:p w14:paraId="395C7152"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21,063.4</w:t>
            </w:r>
          </w:p>
        </w:tc>
        <w:tc>
          <w:tcPr>
            <w:tcW w:w="1079" w:type="dxa"/>
            <w:tcBorders>
              <w:top w:val="nil"/>
              <w:left w:val="nil"/>
              <w:bottom w:val="single" w:sz="4" w:space="0" w:color="auto"/>
              <w:right w:val="single" w:sz="4" w:space="0" w:color="auto"/>
            </w:tcBorders>
            <w:shd w:val="clear" w:color="auto" w:fill="auto"/>
            <w:noWrap/>
            <w:vAlign w:val="center"/>
            <w:hideMark/>
          </w:tcPr>
          <w:p w14:paraId="2A742C95"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16,598.0</w:t>
            </w:r>
          </w:p>
        </w:tc>
        <w:tc>
          <w:tcPr>
            <w:tcW w:w="1079" w:type="dxa"/>
            <w:tcBorders>
              <w:top w:val="nil"/>
              <w:left w:val="nil"/>
              <w:bottom w:val="single" w:sz="4" w:space="0" w:color="auto"/>
              <w:right w:val="single" w:sz="4" w:space="0" w:color="auto"/>
            </w:tcBorders>
            <w:shd w:val="clear" w:color="auto" w:fill="auto"/>
            <w:noWrap/>
            <w:vAlign w:val="center"/>
            <w:hideMark/>
          </w:tcPr>
          <w:p w14:paraId="45DF2925"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16,360.0</w:t>
            </w:r>
          </w:p>
        </w:tc>
        <w:tc>
          <w:tcPr>
            <w:tcW w:w="946" w:type="dxa"/>
            <w:tcBorders>
              <w:top w:val="nil"/>
              <w:left w:val="nil"/>
              <w:bottom w:val="single" w:sz="4" w:space="0" w:color="auto"/>
              <w:right w:val="single" w:sz="4" w:space="0" w:color="auto"/>
            </w:tcBorders>
            <w:shd w:val="clear" w:color="auto" w:fill="auto"/>
            <w:noWrap/>
            <w:vAlign w:val="center"/>
            <w:hideMark/>
          </w:tcPr>
          <w:p w14:paraId="1D3A4231"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20,646.6</w:t>
            </w:r>
          </w:p>
        </w:tc>
        <w:tc>
          <w:tcPr>
            <w:tcW w:w="1096" w:type="dxa"/>
            <w:tcBorders>
              <w:top w:val="nil"/>
              <w:left w:val="nil"/>
              <w:bottom w:val="single" w:sz="4" w:space="0" w:color="auto"/>
              <w:right w:val="single" w:sz="4" w:space="0" w:color="auto"/>
            </w:tcBorders>
            <w:shd w:val="clear" w:color="auto" w:fill="auto"/>
            <w:noWrap/>
            <w:vAlign w:val="center"/>
            <w:hideMark/>
          </w:tcPr>
          <w:p w14:paraId="5F0A0BCB"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215,039.6</w:t>
            </w:r>
          </w:p>
        </w:tc>
      </w:tr>
      <w:tr w:rsidR="00361944" w:rsidRPr="009772A3" w14:paraId="21E82AD4"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7F191C"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Tariful pentru pierderi normative</w:t>
            </w:r>
          </w:p>
        </w:tc>
        <w:tc>
          <w:tcPr>
            <w:tcW w:w="960" w:type="dxa"/>
            <w:tcBorders>
              <w:top w:val="nil"/>
              <w:left w:val="nil"/>
              <w:bottom w:val="single" w:sz="4" w:space="0" w:color="auto"/>
              <w:right w:val="single" w:sz="4" w:space="0" w:color="auto"/>
            </w:tcBorders>
            <w:shd w:val="clear" w:color="auto" w:fill="auto"/>
            <w:noWrap/>
            <w:vAlign w:val="center"/>
            <w:hideMark/>
          </w:tcPr>
          <w:p w14:paraId="51F30FA0"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lei/1000 m3</w:t>
            </w:r>
          </w:p>
        </w:tc>
        <w:tc>
          <w:tcPr>
            <w:tcW w:w="1031" w:type="dxa"/>
            <w:tcBorders>
              <w:top w:val="nil"/>
              <w:left w:val="nil"/>
              <w:bottom w:val="single" w:sz="4" w:space="0" w:color="auto"/>
              <w:right w:val="single" w:sz="4" w:space="0" w:color="auto"/>
            </w:tcBorders>
            <w:shd w:val="clear" w:color="auto" w:fill="auto"/>
            <w:noWrap/>
            <w:vAlign w:val="center"/>
            <w:hideMark/>
          </w:tcPr>
          <w:p w14:paraId="74AB5FC3"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4,093.5</w:t>
            </w:r>
          </w:p>
        </w:tc>
        <w:tc>
          <w:tcPr>
            <w:tcW w:w="1134" w:type="dxa"/>
            <w:tcBorders>
              <w:top w:val="nil"/>
              <w:left w:val="nil"/>
              <w:bottom w:val="single" w:sz="4" w:space="0" w:color="auto"/>
              <w:right w:val="single" w:sz="4" w:space="0" w:color="auto"/>
            </w:tcBorders>
            <w:shd w:val="clear" w:color="auto" w:fill="auto"/>
            <w:noWrap/>
            <w:vAlign w:val="center"/>
            <w:hideMark/>
          </w:tcPr>
          <w:p w14:paraId="6D85B89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4,784.2</w:t>
            </w:r>
          </w:p>
        </w:tc>
        <w:tc>
          <w:tcPr>
            <w:tcW w:w="992" w:type="dxa"/>
            <w:tcBorders>
              <w:top w:val="nil"/>
              <w:left w:val="nil"/>
              <w:bottom w:val="single" w:sz="4" w:space="0" w:color="auto"/>
              <w:right w:val="single" w:sz="4" w:space="0" w:color="auto"/>
            </w:tcBorders>
            <w:shd w:val="clear" w:color="auto" w:fill="auto"/>
            <w:noWrap/>
            <w:vAlign w:val="center"/>
            <w:hideMark/>
          </w:tcPr>
          <w:p w14:paraId="3E0789B1"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4,734.2</w:t>
            </w:r>
          </w:p>
        </w:tc>
        <w:tc>
          <w:tcPr>
            <w:tcW w:w="992" w:type="dxa"/>
            <w:tcBorders>
              <w:top w:val="nil"/>
              <w:left w:val="nil"/>
              <w:bottom w:val="single" w:sz="4" w:space="0" w:color="auto"/>
              <w:right w:val="single" w:sz="4" w:space="0" w:color="auto"/>
            </w:tcBorders>
            <w:shd w:val="clear" w:color="auto" w:fill="auto"/>
            <w:noWrap/>
            <w:vAlign w:val="center"/>
            <w:hideMark/>
          </w:tcPr>
          <w:p w14:paraId="423A297C"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5,319.0</w:t>
            </w:r>
          </w:p>
        </w:tc>
        <w:tc>
          <w:tcPr>
            <w:tcW w:w="872" w:type="dxa"/>
            <w:tcBorders>
              <w:top w:val="nil"/>
              <w:left w:val="nil"/>
              <w:bottom w:val="single" w:sz="4" w:space="0" w:color="auto"/>
              <w:right w:val="single" w:sz="4" w:space="0" w:color="auto"/>
            </w:tcBorders>
            <w:shd w:val="clear" w:color="auto" w:fill="auto"/>
            <w:noWrap/>
            <w:vAlign w:val="center"/>
            <w:hideMark/>
          </w:tcPr>
          <w:p w14:paraId="4C566040"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4,696.5</w:t>
            </w:r>
          </w:p>
        </w:tc>
        <w:tc>
          <w:tcPr>
            <w:tcW w:w="971" w:type="dxa"/>
            <w:tcBorders>
              <w:top w:val="nil"/>
              <w:left w:val="nil"/>
              <w:bottom w:val="single" w:sz="4" w:space="0" w:color="auto"/>
              <w:right w:val="single" w:sz="4" w:space="0" w:color="auto"/>
            </w:tcBorders>
            <w:shd w:val="clear" w:color="auto" w:fill="auto"/>
            <w:noWrap/>
            <w:vAlign w:val="center"/>
            <w:hideMark/>
          </w:tcPr>
          <w:p w14:paraId="28B747CD"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4,567.9</w:t>
            </w:r>
          </w:p>
        </w:tc>
        <w:tc>
          <w:tcPr>
            <w:tcW w:w="871" w:type="dxa"/>
            <w:tcBorders>
              <w:top w:val="nil"/>
              <w:left w:val="nil"/>
              <w:bottom w:val="single" w:sz="4" w:space="0" w:color="auto"/>
              <w:right w:val="single" w:sz="4" w:space="0" w:color="auto"/>
            </w:tcBorders>
            <w:shd w:val="clear" w:color="auto" w:fill="auto"/>
            <w:noWrap/>
            <w:vAlign w:val="center"/>
            <w:hideMark/>
          </w:tcPr>
          <w:p w14:paraId="1A4A4111"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4,438.0</w:t>
            </w:r>
          </w:p>
        </w:tc>
        <w:tc>
          <w:tcPr>
            <w:tcW w:w="1128" w:type="dxa"/>
            <w:tcBorders>
              <w:top w:val="nil"/>
              <w:left w:val="nil"/>
              <w:bottom w:val="single" w:sz="4" w:space="0" w:color="auto"/>
              <w:right w:val="single" w:sz="4" w:space="0" w:color="auto"/>
            </w:tcBorders>
            <w:shd w:val="clear" w:color="auto" w:fill="auto"/>
            <w:noWrap/>
            <w:vAlign w:val="center"/>
            <w:hideMark/>
          </w:tcPr>
          <w:p w14:paraId="2DAEE87E"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3,199.0</w:t>
            </w:r>
          </w:p>
        </w:tc>
        <w:tc>
          <w:tcPr>
            <w:tcW w:w="1079" w:type="dxa"/>
            <w:tcBorders>
              <w:top w:val="nil"/>
              <w:left w:val="nil"/>
              <w:bottom w:val="single" w:sz="4" w:space="0" w:color="auto"/>
              <w:right w:val="single" w:sz="4" w:space="0" w:color="auto"/>
            </w:tcBorders>
            <w:shd w:val="clear" w:color="auto" w:fill="auto"/>
            <w:noWrap/>
            <w:vAlign w:val="center"/>
            <w:hideMark/>
          </w:tcPr>
          <w:p w14:paraId="2A19EFE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3,199.0</w:t>
            </w:r>
          </w:p>
        </w:tc>
        <w:tc>
          <w:tcPr>
            <w:tcW w:w="1079" w:type="dxa"/>
            <w:tcBorders>
              <w:top w:val="nil"/>
              <w:left w:val="nil"/>
              <w:bottom w:val="single" w:sz="4" w:space="0" w:color="auto"/>
              <w:right w:val="single" w:sz="4" w:space="0" w:color="auto"/>
            </w:tcBorders>
            <w:shd w:val="clear" w:color="auto" w:fill="auto"/>
            <w:noWrap/>
            <w:vAlign w:val="center"/>
            <w:hideMark/>
          </w:tcPr>
          <w:p w14:paraId="401571B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3,070.0</w:t>
            </w:r>
          </w:p>
        </w:tc>
        <w:tc>
          <w:tcPr>
            <w:tcW w:w="946" w:type="dxa"/>
            <w:tcBorders>
              <w:top w:val="nil"/>
              <w:left w:val="nil"/>
              <w:bottom w:val="single" w:sz="4" w:space="0" w:color="auto"/>
              <w:right w:val="single" w:sz="4" w:space="0" w:color="auto"/>
            </w:tcBorders>
            <w:shd w:val="clear" w:color="auto" w:fill="auto"/>
            <w:noWrap/>
            <w:vAlign w:val="center"/>
            <w:hideMark/>
          </w:tcPr>
          <w:p w14:paraId="11B882E7"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4,613.5</w:t>
            </w:r>
          </w:p>
        </w:tc>
        <w:tc>
          <w:tcPr>
            <w:tcW w:w="1096" w:type="dxa"/>
            <w:tcBorders>
              <w:top w:val="nil"/>
              <w:left w:val="nil"/>
              <w:bottom w:val="single" w:sz="4" w:space="0" w:color="auto"/>
              <w:right w:val="single" w:sz="4" w:space="0" w:color="auto"/>
            </w:tcBorders>
            <w:shd w:val="clear" w:color="auto" w:fill="auto"/>
            <w:noWrap/>
            <w:vAlign w:val="center"/>
            <w:hideMark/>
          </w:tcPr>
          <w:p w14:paraId="6E829056"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46,714.8</w:t>
            </w:r>
          </w:p>
        </w:tc>
      </w:tr>
      <w:tr w:rsidR="00361944" w:rsidRPr="009772A3" w14:paraId="27F83F45"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BFDCF5" w14:textId="77777777" w:rsidR="00361944" w:rsidRPr="009772A3" w:rsidRDefault="00361944" w:rsidP="00361944">
            <w:pPr>
              <w:spacing w:after="0" w:line="240" w:lineRule="auto"/>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Valoarea pierderilor normative</w:t>
            </w:r>
          </w:p>
        </w:tc>
        <w:tc>
          <w:tcPr>
            <w:tcW w:w="960" w:type="dxa"/>
            <w:tcBorders>
              <w:top w:val="nil"/>
              <w:left w:val="nil"/>
              <w:bottom w:val="single" w:sz="4" w:space="0" w:color="auto"/>
              <w:right w:val="single" w:sz="4" w:space="0" w:color="auto"/>
            </w:tcBorders>
            <w:shd w:val="clear" w:color="auto" w:fill="auto"/>
            <w:noWrap/>
            <w:vAlign w:val="center"/>
            <w:hideMark/>
          </w:tcPr>
          <w:p w14:paraId="758C89F4" w14:textId="77777777" w:rsidR="00361944" w:rsidRPr="009772A3" w:rsidRDefault="00361944" w:rsidP="00361944">
            <w:pPr>
              <w:spacing w:after="0" w:line="240" w:lineRule="auto"/>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mii.lei</w:t>
            </w:r>
          </w:p>
        </w:tc>
        <w:tc>
          <w:tcPr>
            <w:tcW w:w="1031" w:type="dxa"/>
            <w:tcBorders>
              <w:top w:val="nil"/>
              <w:left w:val="nil"/>
              <w:bottom w:val="single" w:sz="4" w:space="0" w:color="auto"/>
              <w:right w:val="single" w:sz="4" w:space="0" w:color="auto"/>
            </w:tcBorders>
            <w:shd w:val="clear" w:color="auto" w:fill="auto"/>
            <w:noWrap/>
            <w:vAlign w:val="center"/>
            <w:hideMark/>
          </w:tcPr>
          <w:p w14:paraId="2B954583"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79,575.0</w:t>
            </w:r>
          </w:p>
        </w:tc>
        <w:tc>
          <w:tcPr>
            <w:tcW w:w="1134" w:type="dxa"/>
            <w:tcBorders>
              <w:top w:val="nil"/>
              <w:left w:val="nil"/>
              <w:bottom w:val="single" w:sz="4" w:space="0" w:color="auto"/>
              <w:right w:val="single" w:sz="4" w:space="0" w:color="auto"/>
            </w:tcBorders>
            <w:shd w:val="clear" w:color="auto" w:fill="auto"/>
            <w:noWrap/>
            <w:vAlign w:val="center"/>
            <w:hideMark/>
          </w:tcPr>
          <w:p w14:paraId="18986D69"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85,542.3</w:t>
            </w:r>
          </w:p>
        </w:tc>
        <w:tc>
          <w:tcPr>
            <w:tcW w:w="992" w:type="dxa"/>
            <w:tcBorders>
              <w:top w:val="nil"/>
              <w:left w:val="nil"/>
              <w:bottom w:val="single" w:sz="4" w:space="0" w:color="auto"/>
              <w:right w:val="single" w:sz="4" w:space="0" w:color="auto"/>
            </w:tcBorders>
            <w:shd w:val="clear" w:color="auto" w:fill="auto"/>
            <w:noWrap/>
            <w:vAlign w:val="center"/>
            <w:hideMark/>
          </w:tcPr>
          <w:p w14:paraId="2AAA1F2D"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76,809.8</w:t>
            </w:r>
          </w:p>
        </w:tc>
        <w:tc>
          <w:tcPr>
            <w:tcW w:w="992" w:type="dxa"/>
            <w:tcBorders>
              <w:top w:val="nil"/>
              <w:left w:val="nil"/>
              <w:bottom w:val="single" w:sz="4" w:space="0" w:color="auto"/>
              <w:right w:val="single" w:sz="4" w:space="0" w:color="auto"/>
            </w:tcBorders>
            <w:shd w:val="clear" w:color="auto" w:fill="auto"/>
            <w:noWrap/>
            <w:vAlign w:val="center"/>
            <w:hideMark/>
          </w:tcPr>
          <w:p w14:paraId="5B7AC681"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73,991.7</w:t>
            </w:r>
          </w:p>
        </w:tc>
        <w:tc>
          <w:tcPr>
            <w:tcW w:w="872" w:type="dxa"/>
            <w:tcBorders>
              <w:top w:val="nil"/>
              <w:left w:val="nil"/>
              <w:bottom w:val="single" w:sz="4" w:space="0" w:color="auto"/>
              <w:right w:val="single" w:sz="4" w:space="0" w:color="auto"/>
            </w:tcBorders>
            <w:shd w:val="clear" w:color="auto" w:fill="auto"/>
            <w:noWrap/>
            <w:vAlign w:val="center"/>
            <w:hideMark/>
          </w:tcPr>
          <w:p w14:paraId="101E35CE"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126,692.5</w:t>
            </w:r>
          </w:p>
        </w:tc>
        <w:tc>
          <w:tcPr>
            <w:tcW w:w="971" w:type="dxa"/>
            <w:tcBorders>
              <w:top w:val="nil"/>
              <w:left w:val="nil"/>
              <w:bottom w:val="single" w:sz="4" w:space="0" w:color="auto"/>
              <w:right w:val="single" w:sz="4" w:space="0" w:color="auto"/>
            </w:tcBorders>
            <w:shd w:val="clear" w:color="auto" w:fill="auto"/>
            <w:noWrap/>
            <w:vAlign w:val="center"/>
            <w:hideMark/>
          </w:tcPr>
          <w:p w14:paraId="7202EBBC"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111,563.5</w:t>
            </w:r>
          </w:p>
        </w:tc>
        <w:tc>
          <w:tcPr>
            <w:tcW w:w="871" w:type="dxa"/>
            <w:tcBorders>
              <w:top w:val="nil"/>
              <w:left w:val="nil"/>
              <w:bottom w:val="single" w:sz="4" w:space="0" w:color="auto"/>
              <w:right w:val="single" w:sz="4" w:space="0" w:color="auto"/>
            </w:tcBorders>
            <w:shd w:val="clear" w:color="auto" w:fill="auto"/>
            <w:noWrap/>
            <w:vAlign w:val="center"/>
            <w:hideMark/>
          </w:tcPr>
          <w:p w14:paraId="751A8B92"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95,494.2</w:t>
            </w:r>
          </w:p>
        </w:tc>
        <w:tc>
          <w:tcPr>
            <w:tcW w:w="1128" w:type="dxa"/>
            <w:tcBorders>
              <w:top w:val="nil"/>
              <w:left w:val="nil"/>
              <w:bottom w:val="single" w:sz="4" w:space="0" w:color="auto"/>
              <w:right w:val="single" w:sz="4" w:space="0" w:color="auto"/>
            </w:tcBorders>
            <w:shd w:val="clear" w:color="auto" w:fill="auto"/>
            <w:noWrap/>
            <w:vAlign w:val="center"/>
            <w:hideMark/>
          </w:tcPr>
          <w:p w14:paraId="16695F0C"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67,381.7</w:t>
            </w:r>
          </w:p>
        </w:tc>
        <w:tc>
          <w:tcPr>
            <w:tcW w:w="1079" w:type="dxa"/>
            <w:tcBorders>
              <w:top w:val="nil"/>
              <w:left w:val="nil"/>
              <w:bottom w:val="single" w:sz="4" w:space="0" w:color="auto"/>
              <w:right w:val="single" w:sz="4" w:space="0" w:color="auto"/>
            </w:tcBorders>
            <w:shd w:val="clear" w:color="auto" w:fill="auto"/>
            <w:noWrap/>
            <w:vAlign w:val="center"/>
            <w:hideMark/>
          </w:tcPr>
          <w:p w14:paraId="636FFE56"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53,097.0</w:t>
            </w:r>
          </w:p>
        </w:tc>
        <w:tc>
          <w:tcPr>
            <w:tcW w:w="1079" w:type="dxa"/>
            <w:tcBorders>
              <w:top w:val="nil"/>
              <w:left w:val="nil"/>
              <w:bottom w:val="single" w:sz="4" w:space="0" w:color="auto"/>
              <w:right w:val="single" w:sz="4" w:space="0" w:color="auto"/>
            </w:tcBorders>
            <w:shd w:val="clear" w:color="auto" w:fill="auto"/>
            <w:noWrap/>
            <w:vAlign w:val="center"/>
            <w:hideMark/>
          </w:tcPr>
          <w:p w14:paraId="5A7D252C"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50,225.6</w:t>
            </w:r>
          </w:p>
        </w:tc>
        <w:tc>
          <w:tcPr>
            <w:tcW w:w="946" w:type="dxa"/>
            <w:tcBorders>
              <w:top w:val="nil"/>
              <w:left w:val="nil"/>
              <w:bottom w:val="single" w:sz="4" w:space="0" w:color="auto"/>
              <w:right w:val="single" w:sz="4" w:space="0" w:color="auto"/>
            </w:tcBorders>
            <w:shd w:val="clear" w:color="auto" w:fill="auto"/>
            <w:noWrap/>
            <w:vAlign w:val="center"/>
            <w:hideMark/>
          </w:tcPr>
          <w:p w14:paraId="0E07F376"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96,996.7</w:t>
            </w:r>
          </w:p>
        </w:tc>
        <w:tc>
          <w:tcPr>
            <w:tcW w:w="1096" w:type="dxa"/>
            <w:tcBorders>
              <w:top w:val="nil"/>
              <w:left w:val="nil"/>
              <w:bottom w:val="single" w:sz="4" w:space="0" w:color="auto"/>
              <w:right w:val="single" w:sz="4" w:space="0" w:color="auto"/>
            </w:tcBorders>
            <w:shd w:val="clear" w:color="auto" w:fill="auto"/>
            <w:noWrap/>
            <w:vAlign w:val="center"/>
            <w:hideMark/>
          </w:tcPr>
          <w:p w14:paraId="6213AD9D"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917,370.0</w:t>
            </w:r>
          </w:p>
        </w:tc>
      </w:tr>
      <w:tr w:rsidR="00361944" w:rsidRPr="009772A3" w14:paraId="4C882BEF"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A00EBB"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Total pierderi efective</w:t>
            </w:r>
          </w:p>
        </w:tc>
        <w:tc>
          <w:tcPr>
            <w:tcW w:w="960" w:type="dxa"/>
            <w:tcBorders>
              <w:top w:val="nil"/>
              <w:left w:val="nil"/>
              <w:bottom w:val="single" w:sz="4" w:space="0" w:color="auto"/>
              <w:right w:val="single" w:sz="4" w:space="0" w:color="auto"/>
            </w:tcBorders>
            <w:shd w:val="clear" w:color="auto" w:fill="auto"/>
            <w:noWrap/>
            <w:vAlign w:val="center"/>
            <w:hideMark/>
          </w:tcPr>
          <w:p w14:paraId="0C6225E1"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mii m3</w:t>
            </w:r>
          </w:p>
        </w:tc>
        <w:tc>
          <w:tcPr>
            <w:tcW w:w="1031" w:type="dxa"/>
            <w:tcBorders>
              <w:top w:val="nil"/>
              <w:left w:val="nil"/>
              <w:bottom w:val="single" w:sz="4" w:space="0" w:color="auto"/>
              <w:right w:val="single" w:sz="4" w:space="0" w:color="auto"/>
            </w:tcBorders>
            <w:shd w:val="clear" w:color="auto" w:fill="auto"/>
            <w:noWrap/>
            <w:vAlign w:val="center"/>
            <w:hideMark/>
          </w:tcPr>
          <w:p w14:paraId="2C53EBA7"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54,366.5</w:t>
            </w:r>
          </w:p>
        </w:tc>
        <w:tc>
          <w:tcPr>
            <w:tcW w:w="1134" w:type="dxa"/>
            <w:tcBorders>
              <w:top w:val="nil"/>
              <w:left w:val="nil"/>
              <w:bottom w:val="single" w:sz="4" w:space="0" w:color="auto"/>
              <w:right w:val="single" w:sz="4" w:space="0" w:color="auto"/>
            </w:tcBorders>
            <w:shd w:val="clear" w:color="auto" w:fill="auto"/>
            <w:noWrap/>
            <w:vAlign w:val="center"/>
            <w:hideMark/>
          </w:tcPr>
          <w:p w14:paraId="2A842103"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52,063.8</w:t>
            </w:r>
          </w:p>
        </w:tc>
        <w:tc>
          <w:tcPr>
            <w:tcW w:w="992" w:type="dxa"/>
            <w:tcBorders>
              <w:top w:val="nil"/>
              <w:left w:val="nil"/>
              <w:bottom w:val="single" w:sz="4" w:space="0" w:color="auto"/>
              <w:right w:val="single" w:sz="4" w:space="0" w:color="auto"/>
            </w:tcBorders>
            <w:shd w:val="clear" w:color="auto" w:fill="auto"/>
            <w:noWrap/>
            <w:vAlign w:val="center"/>
            <w:hideMark/>
          </w:tcPr>
          <w:p w14:paraId="29F34489"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49,839.4</w:t>
            </w:r>
          </w:p>
        </w:tc>
        <w:tc>
          <w:tcPr>
            <w:tcW w:w="992" w:type="dxa"/>
            <w:tcBorders>
              <w:top w:val="nil"/>
              <w:left w:val="nil"/>
              <w:bottom w:val="single" w:sz="4" w:space="0" w:color="auto"/>
              <w:right w:val="single" w:sz="4" w:space="0" w:color="auto"/>
            </w:tcBorders>
            <w:shd w:val="clear" w:color="auto" w:fill="auto"/>
            <w:noWrap/>
            <w:vAlign w:val="center"/>
            <w:hideMark/>
          </w:tcPr>
          <w:p w14:paraId="74990A71"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48,260.4</w:t>
            </w:r>
          </w:p>
        </w:tc>
        <w:tc>
          <w:tcPr>
            <w:tcW w:w="872" w:type="dxa"/>
            <w:tcBorders>
              <w:top w:val="nil"/>
              <w:left w:val="nil"/>
              <w:bottom w:val="single" w:sz="4" w:space="0" w:color="auto"/>
              <w:right w:val="single" w:sz="4" w:space="0" w:color="auto"/>
            </w:tcBorders>
            <w:shd w:val="clear" w:color="auto" w:fill="auto"/>
            <w:noWrap/>
            <w:vAlign w:val="center"/>
            <w:hideMark/>
          </w:tcPr>
          <w:p w14:paraId="2E32869D"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43,332.9</w:t>
            </w:r>
          </w:p>
        </w:tc>
        <w:tc>
          <w:tcPr>
            <w:tcW w:w="971" w:type="dxa"/>
            <w:tcBorders>
              <w:top w:val="nil"/>
              <w:left w:val="nil"/>
              <w:bottom w:val="single" w:sz="4" w:space="0" w:color="auto"/>
              <w:right w:val="single" w:sz="4" w:space="0" w:color="auto"/>
            </w:tcBorders>
            <w:shd w:val="clear" w:color="auto" w:fill="auto"/>
            <w:noWrap/>
            <w:vAlign w:val="center"/>
            <w:hideMark/>
          </w:tcPr>
          <w:p w14:paraId="63630EB9"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39,324.7</w:t>
            </w:r>
          </w:p>
        </w:tc>
        <w:tc>
          <w:tcPr>
            <w:tcW w:w="871" w:type="dxa"/>
            <w:tcBorders>
              <w:top w:val="nil"/>
              <w:left w:val="nil"/>
              <w:bottom w:val="single" w:sz="4" w:space="0" w:color="auto"/>
              <w:right w:val="single" w:sz="4" w:space="0" w:color="auto"/>
            </w:tcBorders>
            <w:shd w:val="clear" w:color="auto" w:fill="auto"/>
            <w:noWrap/>
            <w:vAlign w:val="center"/>
            <w:hideMark/>
          </w:tcPr>
          <w:p w14:paraId="6A38B94E"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38,311.9</w:t>
            </w:r>
          </w:p>
        </w:tc>
        <w:tc>
          <w:tcPr>
            <w:tcW w:w="1128" w:type="dxa"/>
            <w:tcBorders>
              <w:top w:val="nil"/>
              <w:left w:val="nil"/>
              <w:bottom w:val="single" w:sz="4" w:space="0" w:color="auto"/>
              <w:right w:val="single" w:sz="4" w:space="0" w:color="auto"/>
            </w:tcBorders>
            <w:shd w:val="clear" w:color="auto" w:fill="auto"/>
            <w:noWrap/>
            <w:vAlign w:val="center"/>
            <w:hideMark/>
          </w:tcPr>
          <w:p w14:paraId="1D29C6F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35,214.7</w:t>
            </w:r>
          </w:p>
        </w:tc>
        <w:tc>
          <w:tcPr>
            <w:tcW w:w="1079" w:type="dxa"/>
            <w:tcBorders>
              <w:top w:val="nil"/>
              <w:left w:val="nil"/>
              <w:bottom w:val="single" w:sz="4" w:space="0" w:color="auto"/>
              <w:right w:val="single" w:sz="4" w:space="0" w:color="auto"/>
            </w:tcBorders>
            <w:shd w:val="clear" w:color="auto" w:fill="auto"/>
            <w:noWrap/>
            <w:vAlign w:val="center"/>
            <w:hideMark/>
          </w:tcPr>
          <w:p w14:paraId="66C2E591"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31,255.3</w:t>
            </w:r>
          </w:p>
        </w:tc>
        <w:tc>
          <w:tcPr>
            <w:tcW w:w="1079" w:type="dxa"/>
            <w:tcBorders>
              <w:top w:val="nil"/>
              <w:left w:val="nil"/>
              <w:bottom w:val="single" w:sz="4" w:space="0" w:color="auto"/>
              <w:right w:val="single" w:sz="4" w:space="0" w:color="auto"/>
            </w:tcBorders>
            <w:shd w:val="clear" w:color="auto" w:fill="auto"/>
            <w:noWrap/>
            <w:vAlign w:val="center"/>
            <w:hideMark/>
          </w:tcPr>
          <w:p w14:paraId="5DEDE4D5"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28,049.4</w:t>
            </w:r>
          </w:p>
        </w:tc>
        <w:tc>
          <w:tcPr>
            <w:tcW w:w="946" w:type="dxa"/>
            <w:tcBorders>
              <w:top w:val="nil"/>
              <w:left w:val="nil"/>
              <w:bottom w:val="single" w:sz="4" w:space="0" w:color="auto"/>
              <w:right w:val="single" w:sz="4" w:space="0" w:color="auto"/>
            </w:tcBorders>
            <w:shd w:val="clear" w:color="auto" w:fill="auto"/>
            <w:noWrap/>
            <w:vAlign w:val="center"/>
            <w:hideMark/>
          </w:tcPr>
          <w:p w14:paraId="0A70B492"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26,862.4</w:t>
            </w:r>
          </w:p>
        </w:tc>
        <w:tc>
          <w:tcPr>
            <w:tcW w:w="1096" w:type="dxa"/>
            <w:tcBorders>
              <w:top w:val="nil"/>
              <w:left w:val="nil"/>
              <w:bottom w:val="single" w:sz="4" w:space="0" w:color="auto"/>
              <w:right w:val="single" w:sz="4" w:space="0" w:color="auto"/>
            </w:tcBorders>
            <w:shd w:val="clear" w:color="auto" w:fill="auto"/>
            <w:noWrap/>
            <w:vAlign w:val="center"/>
            <w:hideMark/>
          </w:tcPr>
          <w:p w14:paraId="20CBFBD0"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446,881.5</w:t>
            </w:r>
          </w:p>
        </w:tc>
      </w:tr>
      <w:tr w:rsidR="00361944" w:rsidRPr="009772A3" w14:paraId="64DC924B"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0A53B5"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Valoarea pierderilor efective</w:t>
            </w:r>
          </w:p>
        </w:tc>
        <w:tc>
          <w:tcPr>
            <w:tcW w:w="960" w:type="dxa"/>
            <w:tcBorders>
              <w:top w:val="nil"/>
              <w:left w:val="nil"/>
              <w:bottom w:val="single" w:sz="4" w:space="0" w:color="auto"/>
              <w:right w:val="single" w:sz="4" w:space="0" w:color="auto"/>
            </w:tcBorders>
            <w:shd w:val="clear" w:color="auto" w:fill="auto"/>
            <w:noWrap/>
            <w:vAlign w:val="center"/>
            <w:hideMark/>
          </w:tcPr>
          <w:p w14:paraId="6A39FF19" w14:textId="77777777" w:rsidR="00361944" w:rsidRPr="009772A3" w:rsidRDefault="00361944" w:rsidP="00361944">
            <w:pPr>
              <w:spacing w:after="0" w:line="240" w:lineRule="auto"/>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mii.lei</w:t>
            </w:r>
          </w:p>
        </w:tc>
        <w:tc>
          <w:tcPr>
            <w:tcW w:w="1031" w:type="dxa"/>
            <w:tcBorders>
              <w:top w:val="nil"/>
              <w:left w:val="nil"/>
              <w:bottom w:val="single" w:sz="4" w:space="0" w:color="auto"/>
              <w:right w:val="single" w:sz="4" w:space="0" w:color="auto"/>
            </w:tcBorders>
            <w:shd w:val="clear" w:color="auto" w:fill="auto"/>
            <w:noWrap/>
            <w:vAlign w:val="center"/>
            <w:hideMark/>
          </w:tcPr>
          <w:p w14:paraId="4DFC52B3"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222,550.3</w:t>
            </w:r>
          </w:p>
        </w:tc>
        <w:tc>
          <w:tcPr>
            <w:tcW w:w="1134" w:type="dxa"/>
            <w:tcBorders>
              <w:top w:val="nil"/>
              <w:left w:val="nil"/>
              <w:bottom w:val="single" w:sz="4" w:space="0" w:color="auto"/>
              <w:right w:val="single" w:sz="4" w:space="0" w:color="auto"/>
            </w:tcBorders>
            <w:shd w:val="clear" w:color="auto" w:fill="auto"/>
            <w:noWrap/>
            <w:vAlign w:val="center"/>
            <w:hideMark/>
          </w:tcPr>
          <w:p w14:paraId="63FD7717"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249,085.1</w:t>
            </w:r>
          </w:p>
        </w:tc>
        <w:tc>
          <w:tcPr>
            <w:tcW w:w="992" w:type="dxa"/>
            <w:tcBorders>
              <w:top w:val="nil"/>
              <w:left w:val="nil"/>
              <w:bottom w:val="single" w:sz="4" w:space="0" w:color="auto"/>
              <w:right w:val="single" w:sz="4" w:space="0" w:color="auto"/>
            </w:tcBorders>
            <w:shd w:val="clear" w:color="auto" w:fill="auto"/>
            <w:noWrap/>
            <w:vAlign w:val="center"/>
            <w:hideMark/>
          </w:tcPr>
          <w:p w14:paraId="0DCE93F0"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235,951.8</w:t>
            </w:r>
          </w:p>
        </w:tc>
        <w:tc>
          <w:tcPr>
            <w:tcW w:w="992" w:type="dxa"/>
            <w:tcBorders>
              <w:top w:val="nil"/>
              <w:left w:val="nil"/>
              <w:bottom w:val="single" w:sz="4" w:space="0" w:color="auto"/>
              <w:right w:val="single" w:sz="4" w:space="0" w:color="auto"/>
            </w:tcBorders>
            <w:shd w:val="clear" w:color="auto" w:fill="auto"/>
            <w:noWrap/>
            <w:vAlign w:val="center"/>
            <w:hideMark/>
          </w:tcPr>
          <w:p w14:paraId="490E04DA"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256,696.4</w:t>
            </w:r>
          </w:p>
        </w:tc>
        <w:tc>
          <w:tcPr>
            <w:tcW w:w="872" w:type="dxa"/>
            <w:tcBorders>
              <w:top w:val="nil"/>
              <w:left w:val="nil"/>
              <w:bottom w:val="single" w:sz="4" w:space="0" w:color="auto"/>
              <w:right w:val="single" w:sz="4" w:space="0" w:color="auto"/>
            </w:tcBorders>
            <w:shd w:val="clear" w:color="auto" w:fill="auto"/>
            <w:noWrap/>
            <w:vAlign w:val="center"/>
            <w:hideMark/>
          </w:tcPr>
          <w:p w14:paraId="39DCEE8C"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203,511.5</w:t>
            </w:r>
          </w:p>
        </w:tc>
        <w:tc>
          <w:tcPr>
            <w:tcW w:w="971" w:type="dxa"/>
            <w:tcBorders>
              <w:top w:val="nil"/>
              <w:left w:val="nil"/>
              <w:bottom w:val="single" w:sz="4" w:space="0" w:color="auto"/>
              <w:right w:val="single" w:sz="4" w:space="0" w:color="auto"/>
            </w:tcBorders>
            <w:shd w:val="clear" w:color="auto" w:fill="auto"/>
            <w:noWrap/>
            <w:vAlign w:val="center"/>
            <w:hideMark/>
          </w:tcPr>
          <w:p w14:paraId="6BB8320B"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179,629.5</w:t>
            </w:r>
          </w:p>
        </w:tc>
        <w:tc>
          <w:tcPr>
            <w:tcW w:w="871" w:type="dxa"/>
            <w:tcBorders>
              <w:top w:val="nil"/>
              <w:left w:val="nil"/>
              <w:bottom w:val="single" w:sz="4" w:space="0" w:color="auto"/>
              <w:right w:val="single" w:sz="4" w:space="0" w:color="auto"/>
            </w:tcBorders>
            <w:shd w:val="clear" w:color="auto" w:fill="auto"/>
            <w:noWrap/>
            <w:vAlign w:val="center"/>
            <w:hideMark/>
          </w:tcPr>
          <w:p w14:paraId="1464D140"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170,028.4</w:t>
            </w:r>
          </w:p>
        </w:tc>
        <w:tc>
          <w:tcPr>
            <w:tcW w:w="1128" w:type="dxa"/>
            <w:tcBorders>
              <w:top w:val="nil"/>
              <w:left w:val="nil"/>
              <w:bottom w:val="single" w:sz="4" w:space="0" w:color="auto"/>
              <w:right w:val="single" w:sz="4" w:space="0" w:color="auto"/>
            </w:tcBorders>
            <w:shd w:val="clear" w:color="auto" w:fill="auto"/>
            <w:noWrap/>
            <w:vAlign w:val="center"/>
            <w:hideMark/>
          </w:tcPr>
          <w:p w14:paraId="7ABC4476"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112,652.0</w:t>
            </w:r>
          </w:p>
        </w:tc>
        <w:tc>
          <w:tcPr>
            <w:tcW w:w="1079" w:type="dxa"/>
            <w:tcBorders>
              <w:top w:val="nil"/>
              <w:left w:val="nil"/>
              <w:bottom w:val="single" w:sz="4" w:space="0" w:color="auto"/>
              <w:right w:val="single" w:sz="4" w:space="0" w:color="auto"/>
            </w:tcBorders>
            <w:shd w:val="clear" w:color="auto" w:fill="auto"/>
            <w:noWrap/>
            <w:vAlign w:val="center"/>
            <w:hideMark/>
          </w:tcPr>
          <w:p w14:paraId="239B5642"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99,985.8</w:t>
            </w:r>
          </w:p>
        </w:tc>
        <w:tc>
          <w:tcPr>
            <w:tcW w:w="1079" w:type="dxa"/>
            <w:tcBorders>
              <w:top w:val="nil"/>
              <w:left w:val="nil"/>
              <w:bottom w:val="single" w:sz="4" w:space="0" w:color="auto"/>
              <w:right w:val="single" w:sz="4" w:space="0" w:color="auto"/>
            </w:tcBorders>
            <w:shd w:val="clear" w:color="auto" w:fill="auto"/>
            <w:noWrap/>
            <w:vAlign w:val="center"/>
            <w:hideMark/>
          </w:tcPr>
          <w:p w14:paraId="1948F154"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86,112.0</w:t>
            </w:r>
          </w:p>
        </w:tc>
        <w:tc>
          <w:tcPr>
            <w:tcW w:w="946" w:type="dxa"/>
            <w:tcBorders>
              <w:top w:val="nil"/>
              <w:left w:val="nil"/>
              <w:bottom w:val="single" w:sz="4" w:space="0" w:color="auto"/>
              <w:right w:val="single" w:sz="4" w:space="0" w:color="auto"/>
            </w:tcBorders>
            <w:shd w:val="clear" w:color="auto" w:fill="auto"/>
            <w:noWrap/>
            <w:vAlign w:val="center"/>
            <w:hideMark/>
          </w:tcPr>
          <w:p w14:paraId="1E5EE4B5"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123,928.9</w:t>
            </w:r>
          </w:p>
        </w:tc>
        <w:tc>
          <w:tcPr>
            <w:tcW w:w="1096" w:type="dxa"/>
            <w:tcBorders>
              <w:top w:val="nil"/>
              <w:left w:val="nil"/>
              <w:bottom w:val="single" w:sz="4" w:space="0" w:color="auto"/>
              <w:right w:val="single" w:sz="4" w:space="0" w:color="auto"/>
            </w:tcBorders>
            <w:shd w:val="clear" w:color="auto" w:fill="auto"/>
            <w:noWrap/>
            <w:vAlign w:val="center"/>
            <w:hideMark/>
          </w:tcPr>
          <w:p w14:paraId="3978A848" w14:textId="77777777" w:rsidR="00361944" w:rsidRPr="009772A3" w:rsidRDefault="00361944" w:rsidP="00361944">
            <w:pPr>
              <w:spacing w:after="0" w:line="240" w:lineRule="auto"/>
              <w:ind w:left="-72"/>
              <w:jc w:val="right"/>
              <w:rPr>
                <w:rFonts w:asciiTheme="majorHAnsi" w:eastAsia="Times New Roman" w:hAnsiTheme="majorHAnsi" w:cstheme="majorHAnsi"/>
                <w:sz w:val="18"/>
                <w:szCs w:val="20"/>
                <w:lang w:val="ro-MD"/>
              </w:rPr>
            </w:pPr>
            <w:r w:rsidRPr="009772A3">
              <w:rPr>
                <w:rFonts w:asciiTheme="majorHAnsi" w:eastAsia="Times New Roman" w:hAnsiTheme="majorHAnsi" w:cstheme="majorHAnsi"/>
                <w:sz w:val="18"/>
                <w:szCs w:val="20"/>
                <w:lang w:val="ro-MD"/>
              </w:rPr>
              <w:t>1,940,131.8</w:t>
            </w:r>
          </w:p>
        </w:tc>
      </w:tr>
      <w:tr w:rsidR="00361944" w:rsidRPr="009772A3" w14:paraId="38816713" w14:textId="77777777" w:rsidTr="00361944">
        <w:trPr>
          <w:trHeight w:val="6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E533AA" w14:textId="77777777" w:rsidR="00361944" w:rsidRPr="009772A3" w:rsidRDefault="00361944" w:rsidP="00361944">
            <w:pPr>
              <w:spacing w:after="0" w:line="240" w:lineRule="auto"/>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Pierderi rezultate din nerambursarea pierderilor normative tehnice și comerciale de gaze naturale ale OSD prin tarif</w:t>
            </w:r>
          </w:p>
        </w:tc>
        <w:tc>
          <w:tcPr>
            <w:tcW w:w="960" w:type="dxa"/>
            <w:tcBorders>
              <w:top w:val="nil"/>
              <w:left w:val="nil"/>
              <w:bottom w:val="single" w:sz="4" w:space="0" w:color="auto"/>
              <w:right w:val="single" w:sz="4" w:space="0" w:color="auto"/>
            </w:tcBorders>
            <w:shd w:val="clear" w:color="auto" w:fill="auto"/>
            <w:noWrap/>
            <w:vAlign w:val="center"/>
            <w:hideMark/>
          </w:tcPr>
          <w:p w14:paraId="7FFBFA96" w14:textId="77777777" w:rsidR="00361944" w:rsidRPr="009772A3" w:rsidRDefault="00361944" w:rsidP="00361944">
            <w:pPr>
              <w:spacing w:after="0" w:line="240" w:lineRule="auto"/>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mii.lei</w:t>
            </w:r>
          </w:p>
        </w:tc>
        <w:tc>
          <w:tcPr>
            <w:tcW w:w="1031" w:type="dxa"/>
            <w:tcBorders>
              <w:top w:val="nil"/>
              <w:left w:val="nil"/>
              <w:bottom w:val="single" w:sz="4" w:space="0" w:color="auto"/>
              <w:right w:val="single" w:sz="4" w:space="0" w:color="auto"/>
            </w:tcBorders>
            <w:shd w:val="clear" w:color="auto" w:fill="auto"/>
            <w:noWrap/>
            <w:vAlign w:val="center"/>
            <w:hideMark/>
          </w:tcPr>
          <w:p w14:paraId="00C95A30"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-142,975.3</w:t>
            </w:r>
          </w:p>
        </w:tc>
        <w:tc>
          <w:tcPr>
            <w:tcW w:w="1134" w:type="dxa"/>
            <w:tcBorders>
              <w:top w:val="nil"/>
              <w:left w:val="nil"/>
              <w:bottom w:val="single" w:sz="4" w:space="0" w:color="auto"/>
              <w:right w:val="single" w:sz="4" w:space="0" w:color="auto"/>
            </w:tcBorders>
            <w:shd w:val="clear" w:color="auto" w:fill="auto"/>
            <w:noWrap/>
            <w:vAlign w:val="center"/>
            <w:hideMark/>
          </w:tcPr>
          <w:p w14:paraId="47958322"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-163,542.8</w:t>
            </w:r>
          </w:p>
        </w:tc>
        <w:tc>
          <w:tcPr>
            <w:tcW w:w="992" w:type="dxa"/>
            <w:tcBorders>
              <w:top w:val="nil"/>
              <w:left w:val="nil"/>
              <w:bottom w:val="single" w:sz="4" w:space="0" w:color="auto"/>
              <w:right w:val="single" w:sz="4" w:space="0" w:color="auto"/>
            </w:tcBorders>
            <w:shd w:val="clear" w:color="auto" w:fill="auto"/>
            <w:noWrap/>
            <w:vAlign w:val="center"/>
            <w:hideMark/>
          </w:tcPr>
          <w:p w14:paraId="4DD482D3"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-159,142.1</w:t>
            </w:r>
          </w:p>
        </w:tc>
        <w:tc>
          <w:tcPr>
            <w:tcW w:w="992" w:type="dxa"/>
            <w:tcBorders>
              <w:top w:val="nil"/>
              <w:left w:val="nil"/>
              <w:bottom w:val="single" w:sz="4" w:space="0" w:color="auto"/>
              <w:right w:val="single" w:sz="4" w:space="0" w:color="auto"/>
            </w:tcBorders>
            <w:shd w:val="clear" w:color="auto" w:fill="auto"/>
            <w:noWrap/>
            <w:vAlign w:val="center"/>
            <w:hideMark/>
          </w:tcPr>
          <w:p w14:paraId="6CABA4ED"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-182,704.7</w:t>
            </w:r>
          </w:p>
        </w:tc>
        <w:tc>
          <w:tcPr>
            <w:tcW w:w="872" w:type="dxa"/>
            <w:tcBorders>
              <w:top w:val="nil"/>
              <w:left w:val="nil"/>
              <w:bottom w:val="single" w:sz="4" w:space="0" w:color="auto"/>
              <w:right w:val="single" w:sz="4" w:space="0" w:color="auto"/>
            </w:tcBorders>
            <w:shd w:val="clear" w:color="auto" w:fill="auto"/>
            <w:noWrap/>
            <w:vAlign w:val="center"/>
            <w:hideMark/>
          </w:tcPr>
          <w:p w14:paraId="0FE314DB"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-76,819.0</w:t>
            </w:r>
          </w:p>
        </w:tc>
        <w:tc>
          <w:tcPr>
            <w:tcW w:w="971" w:type="dxa"/>
            <w:tcBorders>
              <w:top w:val="nil"/>
              <w:left w:val="nil"/>
              <w:bottom w:val="single" w:sz="4" w:space="0" w:color="auto"/>
              <w:right w:val="single" w:sz="4" w:space="0" w:color="auto"/>
            </w:tcBorders>
            <w:shd w:val="clear" w:color="auto" w:fill="auto"/>
            <w:noWrap/>
            <w:vAlign w:val="center"/>
            <w:hideMark/>
          </w:tcPr>
          <w:p w14:paraId="15A3D9AC"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-68,066.1</w:t>
            </w:r>
          </w:p>
        </w:tc>
        <w:tc>
          <w:tcPr>
            <w:tcW w:w="871" w:type="dxa"/>
            <w:tcBorders>
              <w:top w:val="nil"/>
              <w:left w:val="nil"/>
              <w:bottom w:val="single" w:sz="4" w:space="0" w:color="auto"/>
              <w:right w:val="single" w:sz="4" w:space="0" w:color="auto"/>
            </w:tcBorders>
            <w:shd w:val="clear" w:color="auto" w:fill="auto"/>
            <w:noWrap/>
            <w:vAlign w:val="center"/>
            <w:hideMark/>
          </w:tcPr>
          <w:p w14:paraId="49E2533B"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-74,534.2</w:t>
            </w:r>
          </w:p>
        </w:tc>
        <w:tc>
          <w:tcPr>
            <w:tcW w:w="1128" w:type="dxa"/>
            <w:tcBorders>
              <w:top w:val="nil"/>
              <w:left w:val="nil"/>
              <w:bottom w:val="single" w:sz="4" w:space="0" w:color="auto"/>
              <w:right w:val="single" w:sz="4" w:space="0" w:color="auto"/>
            </w:tcBorders>
            <w:shd w:val="clear" w:color="auto" w:fill="auto"/>
            <w:noWrap/>
            <w:vAlign w:val="center"/>
            <w:hideMark/>
          </w:tcPr>
          <w:p w14:paraId="0A9FDDAC"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-45,270.2</w:t>
            </w:r>
          </w:p>
        </w:tc>
        <w:tc>
          <w:tcPr>
            <w:tcW w:w="1079" w:type="dxa"/>
            <w:tcBorders>
              <w:top w:val="nil"/>
              <w:left w:val="nil"/>
              <w:bottom w:val="single" w:sz="4" w:space="0" w:color="auto"/>
              <w:right w:val="single" w:sz="4" w:space="0" w:color="auto"/>
            </w:tcBorders>
            <w:shd w:val="clear" w:color="auto" w:fill="auto"/>
            <w:noWrap/>
            <w:vAlign w:val="center"/>
            <w:hideMark/>
          </w:tcPr>
          <w:p w14:paraId="3207BDCB"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-46,888.7</w:t>
            </w:r>
          </w:p>
        </w:tc>
        <w:tc>
          <w:tcPr>
            <w:tcW w:w="1079" w:type="dxa"/>
            <w:tcBorders>
              <w:top w:val="nil"/>
              <w:left w:val="nil"/>
              <w:bottom w:val="single" w:sz="4" w:space="0" w:color="auto"/>
              <w:right w:val="single" w:sz="4" w:space="0" w:color="auto"/>
            </w:tcBorders>
            <w:shd w:val="clear" w:color="auto" w:fill="auto"/>
            <w:noWrap/>
            <w:vAlign w:val="center"/>
            <w:hideMark/>
          </w:tcPr>
          <w:p w14:paraId="6E08D1F6"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-35,886.4</w:t>
            </w:r>
          </w:p>
        </w:tc>
        <w:tc>
          <w:tcPr>
            <w:tcW w:w="946" w:type="dxa"/>
            <w:tcBorders>
              <w:top w:val="nil"/>
              <w:left w:val="nil"/>
              <w:bottom w:val="single" w:sz="4" w:space="0" w:color="auto"/>
              <w:right w:val="single" w:sz="4" w:space="0" w:color="auto"/>
            </w:tcBorders>
            <w:shd w:val="clear" w:color="auto" w:fill="auto"/>
            <w:noWrap/>
            <w:vAlign w:val="center"/>
            <w:hideMark/>
          </w:tcPr>
          <w:p w14:paraId="636BB391"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-26,932.2</w:t>
            </w:r>
          </w:p>
        </w:tc>
        <w:tc>
          <w:tcPr>
            <w:tcW w:w="1096" w:type="dxa"/>
            <w:tcBorders>
              <w:top w:val="nil"/>
              <w:left w:val="nil"/>
              <w:bottom w:val="single" w:sz="4" w:space="0" w:color="auto"/>
              <w:right w:val="single" w:sz="4" w:space="0" w:color="auto"/>
            </w:tcBorders>
            <w:shd w:val="clear" w:color="auto" w:fill="auto"/>
            <w:noWrap/>
            <w:vAlign w:val="center"/>
            <w:hideMark/>
          </w:tcPr>
          <w:p w14:paraId="35D49C6A" w14:textId="77777777" w:rsidR="00361944" w:rsidRPr="009772A3" w:rsidRDefault="00361944" w:rsidP="00361944">
            <w:pPr>
              <w:spacing w:after="0" w:line="240" w:lineRule="auto"/>
              <w:ind w:left="-72"/>
              <w:jc w:val="right"/>
              <w:rPr>
                <w:rFonts w:asciiTheme="majorHAnsi" w:eastAsia="Times New Roman" w:hAnsiTheme="majorHAnsi" w:cstheme="majorHAnsi"/>
                <w:b/>
                <w:bCs/>
                <w:sz w:val="18"/>
                <w:szCs w:val="20"/>
                <w:lang w:val="ro-MD"/>
              </w:rPr>
            </w:pPr>
            <w:r w:rsidRPr="009772A3">
              <w:rPr>
                <w:rFonts w:asciiTheme="majorHAnsi" w:eastAsia="Times New Roman" w:hAnsiTheme="majorHAnsi" w:cstheme="majorHAnsi"/>
                <w:b/>
                <w:bCs/>
                <w:sz w:val="18"/>
                <w:szCs w:val="20"/>
                <w:lang w:val="ro-MD"/>
              </w:rPr>
              <w:t>-1,022,761.8</w:t>
            </w:r>
          </w:p>
        </w:tc>
      </w:tr>
    </w:tbl>
    <w:p w14:paraId="1FBC439F" w14:textId="7C8EB2C1" w:rsidR="00114E48" w:rsidRPr="0093348F" w:rsidRDefault="00114E48" w:rsidP="00114E48">
      <w:pPr>
        <w:jc w:val="both"/>
        <w:rPr>
          <w:rFonts w:asciiTheme="majorHAnsi" w:hAnsiTheme="majorHAnsi" w:cstheme="majorHAnsi"/>
          <w:sz w:val="20"/>
          <w:szCs w:val="20"/>
          <w:lang w:val="ro-MD"/>
        </w:rPr>
      </w:pPr>
      <w:r w:rsidRPr="0093348F">
        <w:rPr>
          <w:rFonts w:asciiTheme="majorHAnsi" w:hAnsiTheme="majorHAnsi" w:cstheme="majorHAnsi"/>
          <w:sz w:val="20"/>
          <w:szCs w:val="20"/>
          <w:lang w:val="ro-MD"/>
        </w:rPr>
        <w:t xml:space="preserve">Sursa: </w:t>
      </w:r>
      <w:r>
        <w:rPr>
          <w:rFonts w:asciiTheme="majorHAnsi" w:hAnsiTheme="majorHAnsi" w:cstheme="majorHAnsi"/>
          <w:sz w:val="20"/>
          <w:szCs w:val="20"/>
          <w:lang w:val="ro-MD"/>
        </w:rPr>
        <w:t>Informațiile prezentate de SA Moldovagaz și informațiile prezentate de ANRE</w:t>
      </w:r>
      <w:r w:rsidRPr="0093348F">
        <w:rPr>
          <w:rFonts w:asciiTheme="majorHAnsi" w:hAnsiTheme="majorHAnsi" w:cstheme="majorHAnsi"/>
          <w:sz w:val="20"/>
          <w:szCs w:val="20"/>
          <w:lang w:val="ro-MD"/>
        </w:rPr>
        <w:t>.</w:t>
      </w:r>
    </w:p>
    <w:p w14:paraId="125EC6DE" w14:textId="77777777" w:rsidR="00361944" w:rsidRPr="009772A3" w:rsidRDefault="00361944">
      <w:pPr>
        <w:spacing w:line="259" w:lineRule="auto"/>
        <w:rPr>
          <w:lang w:val="ro-MD"/>
        </w:rPr>
        <w:sectPr w:rsidR="00361944" w:rsidRPr="009772A3" w:rsidSect="00754C29">
          <w:pgSz w:w="16838" w:h="11906" w:orient="landscape"/>
          <w:pgMar w:top="1701" w:right="1140" w:bottom="851" w:left="1418" w:header="720" w:footer="720" w:gutter="0"/>
          <w:cols w:space="720"/>
        </w:sectPr>
      </w:pPr>
    </w:p>
    <w:p w14:paraId="3E806A6E" w14:textId="4A92E9A6" w:rsidR="004E417A" w:rsidRPr="009772A3" w:rsidRDefault="004E417A" w:rsidP="004E417A">
      <w:pPr>
        <w:pStyle w:val="Heading2"/>
        <w:jc w:val="center"/>
        <w:rPr>
          <w:color w:val="auto"/>
          <w:lang w:val="ro-MD"/>
        </w:rPr>
      </w:pPr>
      <w:bookmarkStart w:id="310" w:name="_Toc119496489"/>
      <w:r w:rsidRPr="009772A3">
        <w:rPr>
          <w:color w:val="auto"/>
          <w:lang w:val="ro-MD"/>
        </w:rPr>
        <w:t xml:space="preserve">Anexa nr.8. Informații privind cheltuielile </w:t>
      </w:r>
      <w:r w:rsidR="00701CAA" w:rsidRPr="009772A3">
        <w:rPr>
          <w:color w:val="auto"/>
          <w:lang w:val="ro-MD"/>
        </w:rPr>
        <w:t>de</w:t>
      </w:r>
      <w:r w:rsidRPr="009772A3">
        <w:rPr>
          <w:color w:val="auto"/>
          <w:lang w:val="ro-MD"/>
        </w:rPr>
        <w:t xml:space="preserve"> remunerare</w:t>
      </w:r>
      <w:r w:rsidR="00701CAA" w:rsidRPr="009772A3">
        <w:rPr>
          <w:color w:val="auto"/>
          <w:lang w:val="ro-MD"/>
        </w:rPr>
        <w:t xml:space="preserve"> </w:t>
      </w:r>
      <w:r w:rsidRPr="009772A3">
        <w:rPr>
          <w:color w:val="auto"/>
          <w:lang w:val="ro-MD"/>
        </w:rPr>
        <w:t>a muncii</w:t>
      </w:r>
      <w:r w:rsidR="00701CAA" w:rsidRPr="009772A3">
        <w:rPr>
          <w:color w:val="auto"/>
          <w:lang w:val="ro-MD"/>
        </w:rPr>
        <w:t>,</w:t>
      </w:r>
      <w:r w:rsidRPr="009772A3">
        <w:rPr>
          <w:color w:val="auto"/>
          <w:lang w:val="ro-MD"/>
        </w:rPr>
        <w:t xml:space="preserve"> acceptate de ANRE în scopuri tarifare</w:t>
      </w:r>
      <w:bookmarkEnd w:id="310"/>
    </w:p>
    <w:p w14:paraId="5FC112FD" w14:textId="68D61C17" w:rsidR="00754C29" w:rsidRPr="009772A3" w:rsidRDefault="00754C29">
      <w:pPr>
        <w:spacing w:line="259" w:lineRule="auto"/>
        <w:rPr>
          <w:lang w:val="ro-MD"/>
        </w:rPr>
      </w:pPr>
    </w:p>
    <w:p w14:paraId="79009257" w14:textId="6E6953B2" w:rsidR="005E7563" w:rsidRPr="009772A3" w:rsidRDefault="005E7563" w:rsidP="00A13B7D">
      <w:pPr>
        <w:spacing w:line="259" w:lineRule="auto"/>
        <w:ind w:left="709"/>
        <w:rPr>
          <w:lang w:val="ro-MD"/>
        </w:rPr>
      </w:pPr>
      <w:r w:rsidRPr="009772A3">
        <w:rPr>
          <w:lang w:val="ro-MD"/>
        </w:rPr>
        <w:t>Tabelul nr. 1 Cheltuielile salariale pe perioada 2017-2021</w:t>
      </w:r>
      <w:r w:rsidR="00701CAA" w:rsidRPr="009772A3">
        <w:rPr>
          <w:lang w:val="ro-MD"/>
        </w:rPr>
        <w:t>,</w:t>
      </w:r>
      <w:r w:rsidRPr="009772A3">
        <w:rPr>
          <w:lang w:val="ro-MD"/>
        </w:rPr>
        <w:t xml:space="preserve"> pe activitățile desfășurate</w:t>
      </w:r>
    </w:p>
    <w:tbl>
      <w:tblPr>
        <w:tblW w:w="12994" w:type="dxa"/>
        <w:tblInd w:w="704" w:type="dxa"/>
        <w:tblLook w:val="04A0" w:firstRow="1" w:lastRow="0" w:firstColumn="1" w:lastColumn="0" w:noHBand="0" w:noVBand="1"/>
      </w:tblPr>
      <w:tblGrid>
        <w:gridCol w:w="1360"/>
        <w:gridCol w:w="683"/>
        <w:gridCol w:w="4366"/>
        <w:gridCol w:w="1053"/>
        <w:gridCol w:w="1053"/>
        <w:gridCol w:w="1053"/>
        <w:gridCol w:w="1053"/>
        <w:gridCol w:w="1053"/>
        <w:gridCol w:w="1320"/>
      </w:tblGrid>
      <w:tr w:rsidR="006F07F7" w:rsidRPr="009772A3" w14:paraId="3AC875B6" w14:textId="77777777" w:rsidTr="00CF3AD4">
        <w:trPr>
          <w:trHeight w:val="495"/>
        </w:trPr>
        <w:tc>
          <w:tcPr>
            <w:tcW w:w="6409" w:type="dxa"/>
            <w:gridSpan w:val="3"/>
            <w:tcBorders>
              <w:top w:val="single" w:sz="4" w:space="0" w:color="auto"/>
              <w:left w:val="single" w:sz="4" w:space="0" w:color="auto"/>
              <w:bottom w:val="single" w:sz="4" w:space="0" w:color="auto"/>
              <w:right w:val="single" w:sz="4" w:space="0" w:color="auto"/>
            </w:tcBorders>
            <w:shd w:val="clear" w:color="000000" w:fill="BDD7EE"/>
            <w:vAlign w:val="center"/>
            <w:hideMark/>
          </w:tcPr>
          <w:p w14:paraId="16F029E4"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Anul</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1683DFDB"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2017</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5C2F87BC"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2018</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26771376"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2019</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41325961"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2020</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439BAAF7"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2021</w:t>
            </w:r>
          </w:p>
        </w:tc>
        <w:tc>
          <w:tcPr>
            <w:tcW w:w="1320" w:type="dxa"/>
            <w:tcBorders>
              <w:top w:val="single" w:sz="4" w:space="0" w:color="auto"/>
              <w:left w:val="nil"/>
              <w:bottom w:val="single" w:sz="4" w:space="0" w:color="auto"/>
              <w:right w:val="single" w:sz="4" w:space="0" w:color="auto"/>
            </w:tcBorders>
            <w:shd w:val="clear" w:color="000000" w:fill="BDD7EE"/>
            <w:vAlign w:val="center"/>
            <w:hideMark/>
          </w:tcPr>
          <w:p w14:paraId="45FA9F92"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 xml:space="preserve">TOTAL </w:t>
            </w:r>
            <w:r w:rsidRPr="009772A3">
              <w:rPr>
                <w:rFonts w:ascii="Calibri Light" w:eastAsia="Times New Roman" w:hAnsi="Calibri Light" w:cs="Calibri Light"/>
                <w:b/>
                <w:bCs/>
                <w:sz w:val="16"/>
                <w:szCs w:val="16"/>
                <w:lang w:val="ro-MD"/>
              </w:rPr>
              <w:br/>
              <w:t>2017-2021</w:t>
            </w:r>
          </w:p>
        </w:tc>
      </w:tr>
      <w:tr w:rsidR="005E7563" w:rsidRPr="009772A3" w14:paraId="129653B9" w14:textId="77777777" w:rsidTr="00CF3AD4">
        <w:trPr>
          <w:trHeight w:val="165"/>
        </w:trPr>
        <w:tc>
          <w:tcPr>
            <w:tcW w:w="1360" w:type="dxa"/>
            <w:tcBorders>
              <w:top w:val="nil"/>
              <w:left w:val="single" w:sz="4" w:space="0" w:color="auto"/>
              <w:bottom w:val="single" w:sz="4" w:space="0" w:color="auto"/>
              <w:right w:val="single" w:sz="4" w:space="0" w:color="auto"/>
            </w:tcBorders>
            <w:shd w:val="clear" w:color="000000" w:fill="DBDBDB"/>
            <w:vAlign w:val="center"/>
            <w:hideMark/>
          </w:tcPr>
          <w:p w14:paraId="3758A082"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1</w:t>
            </w:r>
          </w:p>
        </w:tc>
        <w:tc>
          <w:tcPr>
            <w:tcW w:w="5049" w:type="dxa"/>
            <w:gridSpan w:val="2"/>
            <w:tcBorders>
              <w:top w:val="single" w:sz="4" w:space="0" w:color="auto"/>
              <w:left w:val="nil"/>
              <w:bottom w:val="single" w:sz="4" w:space="0" w:color="auto"/>
              <w:right w:val="nil"/>
            </w:tcBorders>
            <w:shd w:val="clear" w:color="000000" w:fill="DBDBDB"/>
            <w:vAlign w:val="center"/>
            <w:hideMark/>
          </w:tcPr>
          <w:p w14:paraId="5E126973"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2</w:t>
            </w:r>
          </w:p>
        </w:tc>
        <w:tc>
          <w:tcPr>
            <w:tcW w:w="1053" w:type="dxa"/>
            <w:tcBorders>
              <w:top w:val="nil"/>
              <w:left w:val="single" w:sz="4" w:space="0" w:color="auto"/>
              <w:bottom w:val="single" w:sz="4" w:space="0" w:color="auto"/>
              <w:right w:val="single" w:sz="4" w:space="0" w:color="auto"/>
            </w:tcBorders>
            <w:shd w:val="clear" w:color="000000" w:fill="DBDBDB"/>
            <w:vAlign w:val="center"/>
            <w:hideMark/>
          </w:tcPr>
          <w:p w14:paraId="036452E6"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3</w:t>
            </w:r>
          </w:p>
        </w:tc>
        <w:tc>
          <w:tcPr>
            <w:tcW w:w="1053" w:type="dxa"/>
            <w:tcBorders>
              <w:top w:val="nil"/>
              <w:left w:val="nil"/>
              <w:bottom w:val="single" w:sz="4" w:space="0" w:color="auto"/>
              <w:right w:val="single" w:sz="4" w:space="0" w:color="auto"/>
            </w:tcBorders>
            <w:shd w:val="clear" w:color="000000" w:fill="DBDBDB"/>
            <w:vAlign w:val="center"/>
            <w:hideMark/>
          </w:tcPr>
          <w:p w14:paraId="3ACCE72B"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4</w:t>
            </w:r>
          </w:p>
        </w:tc>
        <w:tc>
          <w:tcPr>
            <w:tcW w:w="1053" w:type="dxa"/>
            <w:tcBorders>
              <w:top w:val="nil"/>
              <w:left w:val="nil"/>
              <w:bottom w:val="single" w:sz="4" w:space="0" w:color="auto"/>
              <w:right w:val="single" w:sz="4" w:space="0" w:color="auto"/>
            </w:tcBorders>
            <w:shd w:val="clear" w:color="000000" w:fill="DBDBDB"/>
            <w:vAlign w:val="center"/>
            <w:hideMark/>
          </w:tcPr>
          <w:p w14:paraId="61CD3D80"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5</w:t>
            </w:r>
          </w:p>
        </w:tc>
        <w:tc>
          <w:tcPr>
            <w:tcW w:w="1053" w:type="dxa"/>
            <w:tcBorders>
              <w:top w:val="nil"/>
              <w:left w:val="nil"/>
              <w:bottom w:val="single" w:sz="4" w:space="0" w:color="auto"/>
              <w:right w:val="single" w:sz="4" w:space="0" w:color="auto"/>
            </w:tcBorders>
            <w:shd w:val="clear" w:color="000000" w:fill="DBDBDB"/>
            <w:vAlign w:val="center"/>
            <w:hideMark/>
          </w:tcPr>
          <w:p w14:paraId="19BD5263"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6</w:t>
            </w:r>
          </w:p>
        </w:tc>
        <w:tc>
          <w:tcPr>
            <w:tcW w:w="1053" w:type="dxa"/>
            <w:tcBorders>
              <w:top w:val="nil"/>
              <w:left w:val="nil"/>
              <w:bottom w:val="single" w:sz="4" w:space="0" w:color="auto"/>
              <w:right w:val="single" w:sz="4" w:space="0" w:color="auto"/>
            </w:tcBorders>
            <w:shd w:val="clear" w:color="000000" w:fill="DBDBDB"/>
            <w:vAlign w:val="center"/>
            <w:hideMark/>
          </w:tcPr>
          <w:p w14:paraId="0F0E4F3F"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7</w:t>
            </w:r>
          </w:p>
        </w:tc>
        <w:tc>
          <w:tcPr>
            <w:tcW w:w="1320" w:type="dxa"/>
            <w:tcBorders>
              <w:top w:val="nil"/>
              <w:left w:val="nil"/>
              <w:bottom w:val="single" w:sz="4" w:space="0" w:color="auto"/>
              <w:right w:val="single" w:sz="4" w:space="0" w:color="auto"/>
            </w:tcBorders>
            <w:shd w:val="clear" w:color="000000" w:fill="DBDBDB"/>
            <w:vAlign w:val="center"/>
            <w:hideMark/>
          </w:tcPr>
          <w:p w14:paraId="3302EEF7" w14:textId="77777777" w:rsidR="006F07F7" w:rsidRPr="009772A3" w:rsidRDefault="006F07F7" w:rsidP="006F07F7">
            <w:pPr>
              <w:spacing w:after="0" w:line="240" w:lineRule="auto"/>
              <w:jc w:val="center"/>
              <w:rPr>
                <w:rFonts w:ascii="Calibri Light" w:eastAsia="Times New Roman" w:hAnsi="Calibri Light" w:cs="Calibri Light"/>
                <w:b/>
                <w:bCs/>
                <w:sz w:val="12"/>
                <w:szCs w:val="12"/>
                <w:lang w:val="ro-MD"/>
              </w:rPr>
            </w:pPr>
            <w:r w:rsidRPr="009772A3">
              <w:rPr>
                <w:rFonts w:ascii="Calibri Light" w:eastAsia="Times New Roman" w:hAnsi="Calibri Light" w:cs="Calibri Light"/>
                <w:b/>
                <w:bCs/>
                <w:sz w:val="12"/>
                <w:szCs w:val="12"/>
                <w:lang w:val="ro-MD"/>
              </w:rPr>
              <w:t>8=3+4+5+6+7</w:t>
            </w:r>
          </w:p>
        </w:tc>
      </w:tr>
      <w:tr w:rsidR="005E7563" w:rsidRPr="009772A3" w14:paraId="226DF1BB" w14:textId="77777777" w:rsidTr="00CF3AD4">
        <w:trPr>
          <w:trHeight w:val="240"/>
        </w:trPr>
        <w:tc>
          <w:tcPr>
            <w:tcW w:w="13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2C169974"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SA Moldovagaz</w:t>
            </w:r>
          </w:p>
        </w:tc>
        <w:tc>
          <w:tcPr>
            <w:tcW w:w="5049" w:type="dxa"/>
            <w:gridSpan w:val="2"/>
            <w:tcBorders>
              <w:top w:val="single" w:sz="4" w:space="0" w:color="auto"/>
              <w:left w:val="nil"/>
              <w:bottom w:val="single" w:sz="4" w:space="0" w:color="auto"/>
              <w:right w:val="single" w:sz="4" w:space="0" w:color="000000"/>
            </w:tcBorders>
            <w:shd w:val="clear" w:color="000000" w:fill="E2EFDA"/>
            <w:vAlign w:val="center"/>
            <w:hideMark/>
          </w:tcPr>
          <w:p w14:paraId="7A09C849" w14:textId="77777777" w:rsidR="006F07F7" w:rsidRPr="009772A3" w:rsidRDefault="006F07F7" w:rsidP="006F07F7">
            <w:pPr>
              <w:spacing w:after="0" w:line="240" w:lineRule="auto"/>
              <w:jc w:val="center"/>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SA Moldovagaz (contul 531.1)</w:t>
            </w:r>
          </w:p>
        </w:tc>
        <w:tc>
          <w:tcPr>
            <w:tcW w:w="1053" w:type="dxa"/>
            <w:tcBorders>
              <w:top w:val="nil"/>
              <w:left w:val="nil"/>
              <w:bottom w:val="single" w:sz="4" w:space="0" w:color="auto"/>
              <w:right w:val="single" w:sz="4" w:space="0" w:color="auto"/>
            </w:tcBorders>
            <w:shd w:val="clear" w:color="000000" w:fill="E2EFDA"/>
            <w:vAlign w:val="center"/>
            <w:hideMark/>
          </w:tcPr>
          <w:p w14:paraId="64558DD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84.999,7</w:t>
            </w:r>
          </w:p>
        </w:tc>
        <w:tc>
          <w:tcPr>
            <w:tcW w:w="1053" w:type="dxa"/>
            <w:tcBorders>
              <w:top w:val="nil"/>
              <w:left w:val="nil"/>
              <w:bottom w:val="single" w:sz="4" w:space="0" w:color="auto"/>
              <w:right w:val="single" w:sz="4" w:space="0" w:color="auto"/>
            </w:tcBorders>
            <w:shd w:val="clear" w:color="000000" w:fill="E2EFDA"/>
            <w:vAlign w:val="center"/>
            <w:hideMark/>
          </w:tcPr>
          <w:p w14:paraId="412FF5C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92.884,2</w:t>
            </w:r>
          </w:p>
        </w:tc>
        <w:tc>
          <w:tcPr>
            <w:tcW w:w="1053" w:type="dxa"/>
            <w:tcBorders>
              <w:top w:val="nil"/>
              <w:left w:val="nil"/>
              <w:bottom w:val="single" w:sz="4" w:space="0" w:color="auto"/>
              <w:right w:val="single" w:sz="4" w:space="0" w:color="auto"/>
            </w:tcBorders>
            <w:shd w:val="clear" w:color="000000" w:fill="E2EFDA"/>
            <w:vAlign w:val="center"/>
            <w:hideMark/>
          </w:tcPr>
          <w:p w14:paraId="67F4D0B9"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95.600,9</w:t>
            </w:r>
          </w:p>
        </w:tc>
        <w:tc>
          <w:tcPr>
            <w:tcW w:w="1053" w:type="dxa"/>
            <w:tcBorders>
              <w:top w:val="nil"/>
              <w:left w:val="nil"/>
              <w:bottom w:val="single" w:sz="4" w:space="0" w:color="auto"/>
              <w:right w:val="single" w:sz="4" w:space="0" w:color="auto"/>
            </w:tcBorders>
            <w:shd w:val="clear" w:color="000000" w:fill="E2EFDA"/>
            <w:vAlign w:val="center"/>
            <w:hideMark/>
          </w:tcPr>
          <w:p w14:paraId="35F8259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99.220,7</w:t>
            </w:r>
          </w:p>
        </w:tc>
        <w:tc>
          <w:tcPr>
            <w:tcW w:w="1053" w:type="dxa"/>
            <w:tcBorders>
              <w:top w:val="nil"/>
              <w:left w:val="nil"/>
              <w:bottom w:val="single" w:sz="4" w:space="0" w:color="auto"/>
              <w:right w:val="single" w:sz="4" w:space="0" w:color="auto"/>
            </w:tcBorders>
            <w:shd w:val="clear" w:color="000000" w:fill="E2EFDA"/>
            <w:vAlign w:val="center"/>
            <w:hideMark/>
          </w:tcPr>
          <w:p w14:paraId="0BC710A3"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100.816,7</w:t>
            </w:r>
          </w:p>
        </w:tc>
        <w:tc>
          <w:tcPr>
            <w:tcW w:w="1320" w:type="dxa"/>
            <w:tcBorders>
              <w:top w:val="nil"/>
              <w:left w:val="nil"/>
              <w:bottom w:val="single" w:sz="4" w:space="0" w:color="auto"/>
              <w:right w:val="single" w:sz="4" w:space="0" w:color="auto"/>
            </w:tcBorders>
            <w:shd w:val="clear" w:color="000000" w:fill="E2EFDA"/>
            <w:vAlign w:val="center"/>
            <w:hideMark/>
          </w:tcPr>
          <w:p w14:paraId="6ED5FD93"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473.522,2</w:t>
            </w:r>
          </w:p>
        </w:tc>
      </w:tr>
      <w:tr w:rsidR="006F07F7" w:rsidRPr="009772A3" w14:paraId="29FF454D"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6EDF5A30"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14:paraId="0993D9AE" w14:textId="77777777" w:rsidR="006F07F7" w:rsidRPr="009772A3" w:rsidRDefault="006F07F7" w:rsidP="006F07F7">
            <w:pPr>
              <w:spacing w:after="0" w:line="240" w:lineRule="auto"/>
              <w:jc w:val="center"/>
              <w:rPr>
                <w:rFonts w:ascii="Calibri Light" w:eastAsia="Times New Roman" w:hAnsi="Calibri Light" w:cs="Calibri Light"/>
                <w:i/>
                <w:iCs/>
                <w:sz w:val="16"/>
                <w:szCs w:val="16"/>
                <w:lang w:val="ro-MD"/>
              </w:rPr>
            </w:pPr>
            <w:r w:rsidRPr="009772A3">
              <w:rPr>
                <w:rFonts w:ascii="Calibri Light" w:eastAsia="Times New Roman" w:hAnsi="Calibri Light" w:cs="Calibri Light"/>
                <w:i/>
                <w:iCs/>
                <w:sz w:val="16"/>
                <w:szCs w:val="16"/>
                <w:lang w:val="ro-MD"/>
              </w:rPr>
              <w:t>inclusiv</w:t>
            </w:r>
          </w:p>
        </w:tc>
        <w:tc>
          <w:tcPr>
            <w:tcW w:w="4366" w:type="dxa"/>
            <w:tcBorders>
              <w:top w:val="nil"/>
              <w:left w:val="nil"/>
              <w:bottom w:val="single" w:sz="4" w:space="0" w:color="auto"/>
              <w:right w:val="nil"/>
            </w:tcBorders>
            <w:shd w:val="clear" w:color="auto" w:fill="auto"/>
            <w:vAlign w:val="center"/>
            <w:hideMark/>
          </w:tcPr>
          <w:p w14:paraId="08128D9B" w14:textId="77777777" w:rsidR="006F07F7" w:rsidRPr="009772A3" w:rsidRDefault="006F07F7" w:rsidP="006F07F7">
            <w:pPr>
              <w:spacing w:after="0" w:line="240" w:lineRule="auto"/>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Salariul din activitatea de bază a SA Moldovagaz</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4ACF18EC"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66.856,4</w:t>
            </w:r>
          </w:p>
        </w:tc>
        <w:tc>
          <w:tcPr>
            <w:tcW w:w="1053" w:type="dxa"/>
            <w:tcBorders>
              <w:top w:val="nil"/>
              <w:left w:val="nil"/>
              <w:bottom w:val="single" w:sz="4" w:space="0" w:color="auto"/>
              <w:right w:val="single" w:sz="4" w:space="0" w:color="auto"/>
            </w:tcBorders>
            <w:shd w:val="clear" w:color="auto" w:fill="auto"/>
            <w:vAlign w:val="center"/>
            <w:hideMark/>
          </w:tcPr>
          <w:p w14:paraId="05FBF69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69.237,0</w:t>
            </w:r>
          </w:p>
        </w:tc>
        <w:tc>
          <w:tcPr>
            <w:tcW w:w="1053" w:type="dxa"/>
            <w:tcBorders>
              <w:top w:val="nil"/>
              <w:left w:val="nil"/>
              <w:bottom w:val="single" w:sz="4" w:space="0" w:color="auto"/>
              <w:right w:val="single" w:sz="4" w:space="0" w:color="auto"/>
            </w:tcBorders>
            <w:shd w:val="clear" w:color="auto" w:fill="auto"/>
            <w:vAlign w:val="center"/>
            <w:hideMark/>
          </w:tcPr>
          <w:p w14:paraId="2E30DFE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71.282,5</w:t>
            </w:r>
          </w:p>
        </w:tc>
        <w:tc>
          <w:tcPr>
            <w:tcW w:w="1053" w:type="dxa"/>
            <w:tcBorders>
              <w:top w:val="nil"/>
              <w:left w:val="nil"/>
              <w:bottom w:val="single" w:sz="4" w:space="0" w:color="auto"/>
              <w:right w:val="single" w:sz="4" w:space="0" w:color="auto"/>
            </w:tcBorders>
            <w:shd w:val="clear" w:color="auto" w:fill="auto"/>
            <w:vAlign w:val="center"/>
            <w:hideMark/>
          </w:tcPr>
          <w:p w14:paraId="240B100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73.247,0</w:t>
            </w:r>
          </w:p>
        </w:tc>
        <w:tc>
          <w:tcPr>
            <w:tcW w:w="1053" w:type="dxa"/>
            <w:tcBorders>
              <w:top w:val="nil"/>
              <w:left w:val="nil"/>
              <w:bottom w:val="single" w:sz="4" w:space="0" w:color="auto"/>
              <w:right w:val="single" w:sz="4" w:space="0" w:color="auto"/>
            </w:tcBorders>
            <w:shd w:val="clear" w:color="auto" w:fill="auto"/>
            <w:vAlign w:val="center"/>
            <w:hideMark/>
          </w:tcPr>
          <w:p w14:paraId="5772348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74.964,5</w:t>
            </w:r>
          </w:p>
        </w:tc>
        <w:tc>
          <w:tcPr>
            <w:tcW w:w="1320" w:type="dxa"/>
            <w:tcBorders>
              <w:top w:val="nil"/>
              <w:left w:val="nil"/>
              <w:bottom w:val="single" w:sz="4" w:space="0" w:color="auto"/>
              <w:right w:val="single" w:sz="4" w:space="0" w:color="auto"/>
            </w:tcBorders>
            <w:shd w:val="clear" w:color="auto" w:fill="auto"/>
            <w:vAlign w:val="center"/>
            <w:hideMark/>
          </w:tcPr>
          <w:p w14:paraId="53561F6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355.587,4</w:t>
            </w:r>
          </w:p>
        </w:tc>
      </w:tr>
      <w:tr w:rsidR="006F07F7" w:rsidRPr="009772A3" w14:paraId="7275CB06"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41126C1F"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tcBorders>
              <w:top w:val="nil"/>
              <w:left w:val="single" w:sz="4" w:space="0" w:color="auto"/>
              <w:bottom w:val="single" w:sz="4" w:space="0" w:color="000000"/>
              <w:right w:val="single" w:sz="4" w:space="0" w:color="auto"/>
            </w:tcBorders>
            <w:vAlign w:val="center"/>
            <w:hideMark/>
          </w:tcPr>
          <w:p w14:paraId="7ACAB03C" w14:textId="77777777" w:rsidR="006F07F7" w:rsidRPr="009772A3" w:rsidRDefault="006F07F7" w:rsidP="006F07F7">
            <w:pPr>
              <w:spacing w:after="0" w:line="240" w:lineRule="auto"/>
              <w:rPr>
                <w:rFonts w:ascii="Calibri Light" w:eastAsia="Times New Roman" w:hAnsi="Calibri Light" w:cs="Calibri Light"/>
                <w:i/>
                <w:iCs/>
                <w:sz w:val="16"/>
                <w:szCs w:val="16"/>
                <w:lang w:val="ro-MD"/>
              </w:rPr>
            </w:pPr>
          </w:p>
        </w:tc>
        <w:tc>
          <w:tcPr>
            <w:tcW w:w="4366" w:type="dxa"/>
            <w:tcBorders>
              <w:top w:val="nil"/>
              <w:left w:val="nil"/>
              <w:bottom w:val="single" w:sz="4" w:space="0" w:color="auto"/>
              <w:right w:val="nil"/>
            </w:tcBorders>
            <w:shd w:val="clear" w:color="auto" w:fill="auto"/>
            <w:vAlign w:val="center"/>
            <w:hideMark/>
          </w:tcPr>
          <w:p w14:paraId="4CD7D8DE" w14:textId="51F84982" w:rsidR="006F07F7" w:rsidRPr="009772A3" w:rsidRDefault="006F07F7" w:rsidP="00701CAA">
            <w:pPr>
              <w:spacing w:after="0" w:line="240" w:lineRule="auto"/>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 xml:space="preserve">Salariul membrilor Organelor de conducere și </w:t>
            </w:r>
            <w:r w:rsidR="00701CAA" w:rsidRPr="009772A3">
              <w:rPr>
                <w:rFonts w:ascii="Calibri Light" w:eastAsia="Times New Roman" w:hAnsi="Calibri Light" w:cs="Calibri Light"/>
                <w:sz w:val="16"/>
                <w:szCs w:val="16"/>
                <w:lang w:val="ro-MD"/>
              </w:rPr>
              <w:t>c</w:t>
            </w:r>
            <w:r w:rsidRPr="009772A3">
              <w:rPr>
                <w:rFonts w:ascii="Calibri Light" w:eastAsia="Times New Roman" w:hAnsi="Calibri Light" w:cs="Calibri Light"/>
                <w:sz w:val="16"/>
                <w:szCs w:val="16"/>
                <w:lang w:val="ro-MD"/>
              </w:rPr>
              <w:t>ontrol</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0FA7AC3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16.827,1</w:t>
            </w:r>
          </w:p>
        </w:tc>
        <w:tc>
          <w:tcPr>
            <w:tcW w:w="1053" w:type="dxa"/>
            <w:tcBorders>
              <w:top w:val="nil"/>
              <w:left w:val="nil"/>
              <w:bottom w:val="single" w:sz="4" w:space="0" w:color="auto"/>
              <w:right w:val="single" w:sz="4" w:space="0" w:color="auto"/>
            </w:tcBorders>
            <w:shd w:val="clear" w:color="auto" w:fill="auto"/>
            <w:vAlign w:val="center"/>
            <w:hideMark/>
          </w:tcPr>
          <w:p w14:paraId="2E86A59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20.162,4</w:t>
            </w:r>
          </w:p>
        </w:tc>
        <w:tc>
          <w:tcPr>
            <w:tcW w:w="1053" w:type="dxa"/>
            <w:tcBorders>
              <w:top w:val="nil"/>
              <w:left w:val="nil"/>
              <w:bottom w:val="single" w:sz="4" w:space="0" w:color="auto"/>
              <w:right w:val="single" w:sz="4" w:space="0" w:color="auto"/>
            </w:tcBorders>
            <w:shd w:val="clear" w:color="auto" w:fill="auto"/>
            <w:vAlign w:val="center"/>
            <w:hideMark/>
          </w:tcPr>
          <w:p w14:paraId="7E8AF24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23.309,6</w:t>
            </w:r>
          </w:p>
        </w:tc>
        <w:tc>
          <w:tcPr>
            <w:tcW w:w="1053" w:type="dxa"/>
            <w:tcBorders>
              <w:top w:val="nil"/>
              <w:left w:val="nil"/>
              <w:bottom w:val="single" w:sz="4" w:space="0" w:color="auto"/>
              <w:right w:val="single" w:sz="4" w:space="0" w:color="auto"/>
            </w:tcBorders>
            <w:shd w:val="clear" w:color="auto" w:fill="auto"/>
            <w:vAlign w:val="center"/>
            <w:hideMark/>
          </w:tcPr>
          <w:p w14:paraId="337EAED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25.079,5</w:t>
            </w:r>
          </w:p>
        </w:tc>
        <w:tc>
          <w:tcPr>
            <w:tcW w:w="1053" w:type="dxa"/>
            <w:tcBorders>
              <w:top w:val="nil"/>
              <w:left w:val="nil"/>
              <w:bottom w:val="single" w:sz="4" w:space="0" w:color="auto"/>
              <w:right w:val="single" w:sz="4" w:space="0" w:color="auto"/>
            </w:tcBorders>
            <w:shd w:val="clear" w:color="auto" w:fill="auto"/>
            <w:vAlign w:val="center"/>
            <w:hideMark/>
          </w:tcPr>
          <w:p w14:paraId="1E066EE9"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24.560,7</w:t>
            </w:r>
          </w:p>
        </w:tc>
        <w:tc>
          <w:tcPr>
            <w:tcW w:w="1320" w:type="dxa"/>
            <w:tcBorders>
              <w:top w:val="nil"/>
              <w:left w:val="nil"/>
              <w:bottom w:val="single" w:sz="4" w:space="0" w:color="auto"/>
              <w:right w:val="single" w:sz="4" w:space="0" w:color="auto"/>
            </w:tcBorders>
            <w:shd w:val="clear" w:color="auto" w:fill="auto"/>
            <w:vAlign w:val="center"/>
            <w:hideMark/>
          </w:tcPr>
          <w:p w14:paraId="77D99D5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109.939,3</w:t>
            </w:r>
          </w:p>
        </w:tc>
      </w:tr>
      <w:tr w:rsidR="006F07F7" w:rsidRPr="009772A3" w14:paraId="14316D56" w14:textId="77777777" w:rsidTr="00CF3AD4">
        <w:trPr>
          <w:trHeight w:val="480"/>
        </w:trPr>
        <w:tc>
          <w:tcPr>
            <w:tcW w:w="1360" w:type="dxa"/>
            <w:vMerge/>
            <w:tcBorders>
              <w:top w:val="nil"/>
              <w:left w:val="single" w:sz="4" w:space="0" w:color="auto"/>
              <w:bottom w:val="single" w:sz="4" w:space="0" w:color="auto"/>
              <w:right w:val="single" w:sz="4" w:space="0" w:color="auto"/>
            </w:tcBorders>
            <w:vAlign w:val="center"/>
            <w:hideMark/>
          </w:tcPr>
          <w:p w14:paraId="2BFA9CD7"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tcBorders>
              <w:top w:val="nil"/>
              <w:left w:val="single" w:sz="4" w:space="0" w:color="auto"/>
              <w:bottom w:val="single" w:sz="4" w:space="0" w:color="000000"/>
              <w:right w:val="single" w:sz="4" w:space="0" w:color="auto"/>
            </w:tcBorders>
            <w:vAlign w:val="center"/>
            <w:hideMark/>
          </w:tcPr>
          <w:p w14:paraId="485FC117" w14:textId="77777777" w:rsidR="006F07F7" w:rsidRPr="009772A3" w:rsidRDefault="006F07F7" w:rsidP="006F07F7">
            <w:pPr>
              <w:spacing w:after="0" w:line="240" w:lineRule="auto"/>
              <w:rPr>
                <w:rFonts w:ascii="Calibri Light" w:eastAsia="Times New Roman" w:hAnsi="Calibri Light" w:cs="Calibri Light"/>
                <w:i/>
                <w:iCs/>
                <w:sz w:val="16"/>
                <w:szCs w:val="16"/>
                <w:lang w:val="ro-MD"/>
              </w:rPr>
            </w:pPr>
          </w:p>
        </w:tc>
        <w:tc>
          <w:tcPr>
            <w:tcW w:w="4366" w:type="dxa"/>
            <w:tcBorders>
              <w:top w:val="nil"/>
              <w:left w:val="nil"/>
              <w:bottom w:val="single" w:sz="4" w:space="0" w:color="auto"/>
              <w:right w:val="nil"/>
            </w:tcBorders>
            <w:shd w:val="clear" w:color="auto" w:fill="auto"/>
            <w:vAlign w:val="center"/>
            <w:hideMark/>
          </w:tcPr>
          <w:p w14:paraId="1C7F7928" w14:textId="51712064" w:rsidR="006F07F7" w:rsidRPr="001B577A" w:rsidRDefault="006F07F7">
            <w:pPr>
              <w:spacing w:after="0" w:line="240" w:lineRule="auto"/>
              <w:rPr>
                <w:rFonts w:ascii="Calibri Light" w:eastAsia="Times New Roman" w:hAnsi="Calibri Light" w:cs="Calibri Light"/>
                <w:sz w:val="16"/>
                <w:szCs w:val="16"/>
                <w:lang w:val="ro-MD"/>
              </w:rPr>
            </w:pPr>
            <w:r w:rsidRPr="001B577A">
              <w:rPr>
                <w:rFonts w:ascii="Calibri Light" w:eastAsia="Times New Roman" w:hAnsi="Calibri Light" w:cs="Calibri Light"/>
                <w:sz w:val="16"/>
                <w:szCs w:val="16"/>
                <w:lang w:val="ro-MD"/>
              </w:rPr>
              <w:t>Alte pl</w:t>
            </w:r>
            <w:r w:rsidR="00701CAA" w:rsidRPr="001B577A">
              <w:rPr>
                <w:rFonts w:ascii="Calibri Light" w:eastAsia="Times New Roman" w:hAnsi="Calibri Light" w:cs="Calibri Light"/>
                <w:sz w:val="16"/>
                <w:szCs w:val="16"/>
                <w:lang w:val="ro-MD"/>
              </w:rPr>
              <w:t>ă</w:t>
            </w:r>
            <w:r w:rsidRPr="001B577A">
              <w:rPr>
                <w:rFonts w:ascii="Calibri Light" w:eastAsia="Times New Roman" w:hAnsi="Calibri Light" w:cs="Calibri Light"/>
                <w:sz w:val="16"/>
                <w:szCs w:val="16"/>
                <w:lang w:val="ro-MD"/>
              </w:rPr>
              <w:t>ți (</w:t>
            </w:r>
            <w:r w:rsidRPr="001B577A">
              <w:rPr>
                <w:rFonts w:ascii="Calibri Light" w:eastAsia="Times New Roman" w:hAnsi="Calibri Light" w:cs="Calibri Light"/>
                <w:i/>
                <w:iCs/>
                <w:sz w:val="16"/>
                <w:szCs w:val="16"/>
                <w:lang w:val="ro-MD"/>
              </w:rPr>
              <w:t>achitarea buletin</w:t>
            </w:r>
            <w:r w:rsidR="00701CAA" w:rsidRPr="001B577A">
              <w:rPr>
                <w:rFonts w:ascii="Calibri Light" w:eastAsia="Times New Roman" w:hAnsi="Calibri Light" w:cs="Calibri Light"/>
                <w:i/>
                <w:iCs/>
                <w:sz w:val="16"/>
                <w:szCs w:val="16"/>
                <w:lang w:val="ro-MD"/>
              </w:rPr>
              <w:t>e</w:t>
            </w:r>
            <w:r w:rsidRPr="001B577A">
              <w:rPr>
                <w:rFonts w:ascii="Calibri Light" w:eastAsia="Times New Roman" w:hAnsi="Calibri Light" w:cs="Calibri Light"/>
                <w:i/>
                <w:iCs/>
                <w:sz w:val="16"/>
                <w:szCs w:val="16"/>
                <w:lang w:val="ro-MD"/>
              </w:rPr>
              <w:t>lor, pl</w:t>
            </w:r>
            <w:r w:rsidR="00701CAA" w:rsidRPr="001B577A">
              <w:rPr>
                <w:rFonts w:ascii="Calibri Light" w:eastAsia="Times New Roman" w:hAnsi="Calibri Light" w:cs="Calibri Light"/>
                <w:i/>
                <w:iCs/>
                <w:sz w:val="16"/>
                <w:szCs w:val="16"/>
                <w:lang w:val="ro-MD"/>
              </w:rPr>
              <w:t>ț</w:t>
            </w:r>
            <w:r w:rsidRPr="001B577A">
              <w:rPr>
                <w:rFonts w:ascii="Calibri Light" w:eastAsia="Times New Roman" w:hAnsi="Calibri Light" w:cs="Calibri Light"/>
                <w:i/>
                <w:iCs/>
                <w:sz w:val="16"/>
                <w:szCs w:val="16"/>
                <w:lang w:val="ro-MD"/>
              </w:rPr>
              <w:t>i conform CCM, rezerv</w:t>
            </w:r>
            <w:r w:rsidR="00701CAA" w:rsidRPr="001B577A">
              <w:rPr>
                <w:rFonts w:ascii="Calibri Light" w:eastAsia="Times New Roman" w:hAnsi="Calibri Light" w:cs="Calibri Light"/>
                <w:i/>
                <w:iCs/>
                <w:sz w:val="16"/>
                <w:szCs w:val="16"/>
                <w:lang w:val="ro-MD"/>
              </w:rPr>
              <w:t>a</w:t>
            </w:r>
            <w:r w:rsidRPr="001B577A">
              <w:rPr>
                <w:rFonts w:ascii="Calibri Light" w:eastAsia="Times New Roman" w:hAnsi="Calibri Light" w:cs="Calibri Light"/>
                <w:i/>
                <w:iCs/>
                <w:sz w:val="16"/>
                <w:szCs w:val="16"/>
                <w:lang w:val="ro-MD"/>
              </w:rPr>
              <w:t xml:space="preserve"> </w:t>
            </w:r>
            <w:r w:rsidRPr="00CF3AD4">
              <w:rPr>
                <w:rFonts w:ascii="Calibri Light" w:eastAsia="Times New Roman" w:hAnsi="Calibri Light" w:cs="Calibri Light"/>
                <w:i/>
                <w:iCs/>
                <w:sz w:val="16"/>
                <w:szCs w:val="16"/>
                <w:lang w:val="ro-MD"/>
              </w:rPr>
              <w:t>la concediu</w:t>
            </w:r>
            <w:r w:rsidRPr="001B577A">
              <w:rPr>
                <w:rFonts w:ascii="Calibri Light" w:eastAsia="Times New Roman" w:hAnsi="Calibri Light" w:cs="Calibri Light"/>
                <w:i/>
                <w:iCs/>
                <w:sz w:val="16"/>
                <w:szCs w:val="16"/>
                <w:lang w:val="ro-MD"/>
              </w:rPr>
              <w:t>)</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6157B94A"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1.316,2</w:t>
            </w:r>
          </w:p>
        </w:tc>
        <w:tc>
          <w:tcPr>
            <w:tcW w:w="1053" w:type="dxa"/>
            <w:tcBorders>
              <w:top w:val="nil"/>
              <w:left w:val="nil"/>
              <w:bottom w:val="single" w:sz="4" w:space="0" w:color="auto"/>
              <w:right w:val="single" w:sz="4" w:space="0" w:color="auto"/>
            </w:tcBorders>
            <w:shd w:val="clear" w:color="auto" w:fill="auto"/>
            <w:vAlign w:val="center"/>
            <w:hideMark/>
          </w:tcPr>
          <w:p w14:paraId="7D6C29D7"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3.484,8</w:t>
            </w:r>
          </w:p>
        </w:tc>
        <w:tc>
          <w:tcPr>
            <w:tcW w:w="1053" w:type="dxa"/>
            <w:tcBorders>
              <w:top w:val="nil"/>
              <w:left w:val="nil"/>
              <w:bottom w:val="single" w:sz="4" w:space="0" w:color="auto"/>
              <w:right w:val="single" w:sz="4" w:space="0" w:color="auto"/>
            </w:tcBorders>
            <w:shd w:val="clear" w:color="auto" w:fill="auto"/>
            <w:vAlign w:val="center"/>
            <w:hideMark/>
          </w:tcPr>
          <w:p w14:paraId="398E14C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1.008,8</w:t>
            </w:r>
          </w:p>
        </w:tc>
        <w:tc>
          <w:tcPr>
            <w:tcW w:w="1053" w:type="dxa"/>
            <w:tcBorders>
              <w:top w:val="nil"/>
              <w:left w:val="nil"/>
              <w:bottom w:val="single" w:sz="4" w:space="0" w:color="auto"/>
              <w:right w:val="single" w:sz="4" w:space="0" w:color="auto"/>
            </w:tcBorders>
            <w:shd w:val="clear" w:color="auto" w:fill="auto"/>
            <w:vAlign w:val="center"/>
            <w:hideMark/>
          </w:tcPr>
          <w:p w14:paraId="1ABF8031"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894,2</w:t>
            </w:r>
          </w:p>
        </w:tc>
        <w:tc>
          <w:tcPr>
            <w:tcW w:w="1053" w:type="dxa"/>
            <w:tcBorders>
              <w:top w:val="nil"/>
              <w:left w:val="nil"/>
              <w:bottom w:val="single" w:sz="4" w:space="0" w:color="auto"/>
              <w:right w:val="single" w:sz="4" w:space="0" w:color="auto"/>
            </w:tcBorders>
            <w:shd w:val="clear" w:color="auto" w:fill="auto"/>
            <w:vAlign w:val="center"/>
            <w:hideMark/>
          </w:tcPr>
          <w:p w14:paraId="3FA59B3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1.291,5</w:t>
            </w:r>
          </w:p>
        </w:tc>
        <w:tc>
          <w:tcPr>
            <w:tcW w:w="1320" w:type="dxa"/>
            <w:tcBorders>
              <w:top w:val="nil"/>
              <w:left w:val="nil"/>
              <w:bottom w:val="single" w:sz="4" w:space="0" w:color="auto"/>
              <w:right w:val="single" w:sz="4" w:space="0" w:color="auto"/>
            </w:tcBorders>
            <w:shd w:val="clear" w:color="auto" w:fill="auto"/>
            <w:vAlign w:val="center"/>
            <w:hideMark/>
          </w:tcPr>
          <w:p w14:paraId="4F4138E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7.995,5</w:t>
            </w:r>
          </w:p>
        </w:tc>
      </w:tr>
      <w:tr w:rsidR="006F07F7" w:rsidRPr="009772A3" w14:paraId="08C49211"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473C272D"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E2EFDA"/>
            <w:vAlign w:val="center"/>
            <w:hideMark/>
          </w:tcPr>
          <w:p w14:paraId="69B7C642" w14:textId="77777777" w:rsidR="006F07F7" w:rsidRPr="001B577A" w:rsidRDefault="006F07F7" w:rsidP="006F07F7">
            <w:pPr>
              <w:spacing w:after="0" w:line="240" w:lineRule="auto"/>
              <w:jc w:val="center"/>
              <w:rPr>
                <w:rFonts w:ascii="Calibri Light" w:eastAsia="Times New Roman" w:hAnsi="Calibri Light" w:cs="Calibri Light"/>
                <w:sz w:val="16"/>
                <w:szCs w:val="16"/>
                <w:lang w:val="ro-MD"/>
              </w:rPr>
            </w:pPr>
            <w:r w:rsidRPr="001B577A">
              <w:rPr>
                <w:rFonts w:ascii="Calibri Light" w:eastAsia="Times New Roman" w:hAnsi="Calibri Light" w:cs="Calibri Light"/>
                <w:sz w:val="16"/>
                <w:szCs w:val="16"/>
                <w:lang w:val="ro-MD"/>
              </w:rPr>
              <w:t>Acceptat de ANRE</w:t>
            </w:r>
          </w:p>
        </w:tc>
        <w:tc>
          <w:tcPr>
            <w:tcW w:w="1053" w:type="dxa"/>
            <w:tcBorders>
              <w:top w:val="nil"/>
              <w:left w:val="nil"/>
              <w:bottom w:val="single" w:sz="4" w:space="0" w:color="auto"/>
              <w:right w:val="single" w:sz="4" w:space="0" w:color="auto"/>
            </w:tcBorders>
            <w:shd w:val="clear" w:color="000000" w:fill="E2EFDA"/>
            <w:vAlign w:val="center"/>
            <w:hideMark/>
          </w:tcPr>
          <w:p w14:paraId="4A3DB4C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54.344,7</w:t>
            </w:r>
          </w:p>
        </w:tc>
        <w:tc>
          <w:tcPr>
            <w:tcW w:w="1053" w:type="dxa"/>
            <w:tcBorders>
              <w:top w:val="nil"/>
              <w:left w:val="nil"/>
              <w:bottom w:val="single" w:sz="4" w:space="0" w:color="auto"/>
              <w:right w:val="single" w:sz="4" w:space="0" w:color="auto"/>
            </w:tcBorders>
            <w:shd w:val="clear" w:color="000000" w:fill="E2EFDA"/>
            <w:vAlign w:val="center"/>
            <w:hideMark/>
          </w:tcPr>
          <w:p w14:paraId="3C4E331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60.891,2</w:t>
            </w:r>
          </w:p>
        </w:tc>
        <w:tc>
          <w:tcPr>
            <w:tcW w:w="1053" w:type="dxa"/>
            <w:tcBorders>
              <w:top w:val="nil"/>
              <w:left w:val="nil"/>
              <w:bottom w:val="single" w:sz="4" w:space="0" w:color="auto"/>
              <w:right w:val="single" w:sz="4" w:space="0" w:color="auto"/>
            </w:tcBorders>
            <w:shd w:val="clear" w:color="000000" w:fill="E2EFDA"/>
            <w:vAlign w:val="center"/>
            <w:hideMark/>
          </w:tcPr>
          <w:p w14:paraId="1F0A63DA"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66.220,7</w:t>
            </w:r>
          </w:p>
        </w:tc>
        <w:tc>
          <w:tcPr>
            <w:tcW w:w="1053" w:type="dxa"/>
            <w:tcBorders>
              <w:top w:val="nil"/>
              <w:left w:val="nil"/>
              <w:bottom w:val="single" w:sz="4" w:space="0" w:color="auto"/>
              <w:right w:val="single" w:sz="4" w:space="0" w:color="auto"/>
            </w:tcBorders>
            <w:shd w:val="clear" w:color="000000" w:fill="E2EFDA"/>
            <w:vAlign w:val="center"/>
            <w:hideMark/>
          </w:tcPr>
          <w:p w14:paraId="6CA57703"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69.668,7</w:t>
            </w:r>
          </w:p>
        </w:tc>
        <w:tc>
          <w:tcPr>
            <w:tcW w:w="1053" w:type="dxa"/>
            <w:tcBorders>
              <w:top w:val="nil"/>
              <w:left w:val="nil"/>
              <w:bottom w:val="single" w:sz="4" w:space="0" w:color="auto"/>
              <w:right w:val="single" w:sz="4" w:space="0" w:color="auto"/>
            </w:tcBorders>
            <w:shd w:val="clear" w:color="000000" w:fill="E2EFDA"/>
            <w:vAlign w:val="center"/>
            <w:hideMark/>
          </w:tcPr>
          <w:p w14:paraId="22D39F9C"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73.156,2</w:t>
            </w:r>
          </w:p>
        </w:tc>
        <w:tc>
          <w:tcPr>
            <w:tcW w:w="1320" w:type="dxa"/>
            <w:tcBorders>
              <w:top w:val="nil"/>
              <w:left w:val="nil"/>
              <w:bottom w:val="single" w:sz="4" w:space="0" w:color="auto"/>
              <w:right w:val="single" w:sz="4" w:space="0" w:color="auto"/>
            </w:tcBorders>
            <w:shd w:val="clear" w:color="000000" w:fill="E2EFDA"/>
            <w:vAlign w:val="center"/>
            <w:hideMark/>
          </w:tcPr>
          <w:p w14:paraId="2B9EDE5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324.281,5</w:t>
            </w:r>
          </w:p>
        </w:tc>
      </w:tr>
      <w:tr w:rsidR="006F07F7" w:rsidRPr="009772A3" w14:paraId="26204C4B"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78243D36"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E2EFDA"/>
            <w:vAlign w:val="center"/>
            <w:hideMark/>
          </w:tcPr>
          <w:p w14:paraId="214D32CF" w14:textId="77777777" w:rsidR="006F07F7" w:rsidRPr="001B577A" w:rsidRDefault="006F07F7" w:rsidP="006F07F7">
            <w:pPr>
              <w:spacing w:after="0" w:line="240" w:lineRule="auto"/>
              <w:jc w:val="center"/>
              <w:rPr>
                <w:rFonts w:ascii="Calibri Light" w:eastAsia="Times New Roman" w:hAnsi="Calibri Light" w:cs="Calibri Light"/>
                <w:sz w:val="16"/>
                <w:szCs w:val="16"/>
                <w:lang w:val="ro-MD"/>
              </w:rPr>
            </w:pPr>
            <w:r w:rsidRPr="001B577A">
              <w:rPr>
                <w:rFonts w:ascii="Calibri Light" w:eastAsia="Times New Roman" w:hAnsi="Calibri Light" w:cs="Calibri Light"/>
                <w:sz w:val="16"/>
                <w:szCs w:val="16"/>
                <w:lang w:val="ro-MD"/>
              </w:rPr>
              <w:t>%</w:t>
            </w:r>
          </w:p>
        </w:tc>
        <w:tc>
          <w:tcPr>
            <w:tcW w:w="1053" w:type="dxa"/>
            <w:tcBorders>
              <w:top w:val="nil"/>
              <w:left w:val="nil"/>
              <w:bottom w:val="single" w:sz="4" w:space="0" w:color="auto"/>
              <w:right w:val="single" w:sz="4" w:space="0" w:color="auto"/>
            </w:tcBorders>
            <w:shd w:val="clear" w:color="000000" w:fill="E2EFDA"/>
            <w:vAlign w:val="center"/>
            <w:hideMark/>
          </w:tcPr>
          <w:p w14:paraId="29A30226"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63,9</w:t>
            </w:r>
          </w:p>
        </w:tc>
        <w:tc>
          <w:tcPr>
            <w:tcW w:w="1053" w:type="dxa"/>
            <w:tcBorders>
              <w:top w:val="nil"/>
              <w:left w:val="nil"/>
              <w:bottom w:val="single" w:sz="4" w:space="0" w:color="auto"/>
              <w:right w:val="single" w:sz="4" w:space="0" w:color="auto"/>
            </w:tcBorders>
            <w:shd w:val="clear" w:color="000000" w:fill="E2EFDA"/>
            <w:vAlign w:val="center"/>
            <w:hideMark/>
          </w:tcPr>
          <w:p w14:paraId="6D962233"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65,6</w:t>
            </w:r>
          </w:p>
        </w:tc>
        <w:tc>
          <w:tcPr>
            <w:tcW w:w="1053" w:type="dxa"/>
            <w:tcBorders>
              <w:top w:val="nil"/>
              <w:left w:val="nil"/>
              <w:bottom w:val="single" w:sz="4" w:space="0" w:color="auto"/>
              <w:right w:val="single" w:sz="4" w:space="0" w:color="auto"/>
            </w:tcBorders>
            <w:shd w:val="clear" w:color="000000" w:fill="E2EFDA"/>
            <w:vAlign w:val="center"/>
            <w:hideMark/>
          </w:tcPr>
          <w:p w14:paraId="33AAF9C9"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69,3</w:t>
            </w:r>
          </w:p>
        </w:tc>
        <w:tc>
          <w:tcPr>
            <w:tcW w:w="1053" w:type="dxa"/>
            <w:tcBorders>
              <w:top w:val="nil"/>
              <w:left w:val="nil"/>
              <w:bottom w:val="single" w:sz="4" w:space="0" w:color="auto"/>
              <w:right w:val="single" w:sz="4" w:space="0" w:color="auto"/>
            </w:tcBorders>
            <w:shd w:val="clear" w:color="000000" w:fill="E2EFDA"/>
            <w:vAlign w:val="center"/>
            <w:hideMark/>
          </w:tcPr>
          <w:p w14:paraId="413D6637"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70,2</w:t>
            </w:r>
          </w:p>
        </w:tc>
        <w:tc>
          <w:tcPr>
            <w:tcW w:w="1053" w:type="dxa"/>
            <w:tcBorders>
              <w:top w:val="nil"/>
              <w:left w:val="nil"/>
              <w:bottom w:val="single" w:sz="4" w:space="0" w:color="auto"/>
              <w:right w:val="single" w:sz="4" w:space="0" w:color="auto"/>
            </w:tcBorders>
            <w:shd w:val="clear" w:color="000000" w:fill="E2EFDA"/>
            <w:vAlign w:val="center"/>
            <w:hideMark/>
          </w:tcPr>
          <w:p w14:paraId="6B872FC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72,6</w:t>
            </w:r>
          </w:p>
        </w:tc>
        <w:tc>
          <w:tcPr>
            <w:tcW w:w="1320" w:type="dxa"/>
            <w:tcBorders>
              <w:top w:val="nil"/>
              <w:left w:val="nil"/>
              <w:bottom w:val="single" w:sz="4" w:space="0" w:color="auto"/>
              <w:right w:val="single" w:sz="4" w:space="0" w:color="auto"/>
            </w:tcBorders>
            <w:shd w:val="clear" w:color="000000" w:fill="E2EFDA"/>
            <w:vAlign w:val="center"/>
            <w:hideMark/>
          </w:tcPr>
          <w:p w14:paraId="3C4109C3"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68,5</w:t>
            </w:r>
          </w:p>
        </w:tc>
      </w:tr>
      <w:tr w:rsidR="005E7563" w:rsidRPr="009772A3" w14:paraId="0109ACC9" w14:textId="77777777" w:rsidTr="00CF3AD4">
        <w:trPr>
          <w:trHeight w:val="240"/>
        </w:trPr>
        <w:tc>
          <w:tcPr>
            <w:tcW w:w="1360" w:type="dxa"/>
            <w:vMerge w:val="restart"/>
            <w:tcBorders>
              <w:top w:val="nil"/>
              <w:left w:val="single" w:sz="4" w:space="0" w:color="auto"/>
              <w:bottom w:val="single" w:sz="4" w:space="0" w:color="auto"/>
              <w:right w:val="single" w:sz="4" w:space="0" w:color="auto"/>
            </w:tcBorders>
            <w:shd w:val="clear" w:color="000000" w:fill="FFF2CC"/>
            <w:vAlign w:val="center"/>
            <w:hideMark/>
          </w:tcPr>
          <w:p w14:paraId="401B938A"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Întreprinderile de distribuție</w:t>
            </w:r>
          </w:p>
        </w:tc>
        <w:tc>
          <w:tcPr>
            <w:tcW w:w="5049" w:type="dxa"/>
            <w:gridSpan w:val="2"/>
            <w:tcBorders>
              <w:top w:val="single" w:sz="4" w:space="0" w:color="auto"/>
              <w:left w:val="nil"/>
              <w:bottom w:val="single" w:sz="4" w:space="0" w:color="auto"/>
              <w:right w:val="single" w:sz="4" w:space="0" w:color="000000"/>
            </w:tcBorders>
            <w:shd w:val="clear" w:color="000000" w:fill="FFF2CC"/>
            <w:vAlign w:val="center"/>
            <w:hideMark/>
          </w:tcPr>
          <w:p w14:paraId="7CF7FB1B" w14:textId="77777777" w:rsidR="006F07F7" w:rsidRPr="001B577A" w:rsidRDefault="006F07F7" w:rsidP="006F07F7">
            <w:pPr>
              <w:spacing w:after="0" w:line="240" w:lineRule="auto"/>
              <w:jc w:val="center"/>
              <w:rPr>
                <w:rFonts w:ascii="Calibri Light" w:eastAsia="Times New Roman" w:hAnsi="Calibri Light" w:cs="Calibri Light"/>
                <w:sz w:val="16"/>
                <w:szCs w:val="16"/>
                <w:lang w:val="ro-MD"/>
              </w:rPr>
            </w:pPr>
            <w:r w:rsidRPr="001B577A">
              <w:rPr>
                <w:rFonts w:ascii="Calibri Light" w:eastAsia="Times New Roman" w:hAnsi="Calibri Light" w:cs="Calibri Light"/>
                <w:sz w:val="16"/>
                <w:szCs w:val="16"/>
                <w:lang w:val="ro-MD"/>
              </w:rPr>
              <w:t>OSD (contul 531.1  )</w:t>
            </w:r>
          </w:p>
        </w:tc>
        <w:tc>
          <w:tcPr>
            <w:tcW w:w="1053" w:type="dxa"/>
            <w:tcBorders>
              <w:top w:val="nil"/>
              <w:left w:val="nil"/>
              <w:bottom w:val="single" w:sz="4" w:space="0" w:color="auto"/>
              <w:right w:val="single" w:sz="4" w:space="0" w:color="auto"/>
            </w:tcBorders>
            <w:shd w:val="clear" w:color="000000" w:fill="FFF2CC"/>
            <w:vAlign w:val="center"/>
            <w:hideMark/>
          </w:tcPr>
          <w:p w14:paraId="5069432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484.582,9</w:t>
            </w:r>
          </w:p>
        </w:tc>
        <w:tc>
          <w:tcPr>
            <w:tcW w:w="1053" w:type="dxa"/>
            <w:tcBorders>
              <w:top w:val="nil"/>
              <w:left w:val="nil"/>
              <w:bottom w:val="single" w:sz="4" w:space="0" w:color="auto"/>
              <w:right w:val="single" w:sz="4" w:space="0" w:color="auto"/>
            </w:tcBorders>
            <w:shd w:val="clear" w:color="000000" w:fill="FFF2CC"/>
            <w:vAlign w:val="center"/>
            <w:hideMark/>
          </w:tcPr>
          <w:p w14:paraId="714305AA"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509.263,6</w:t>
            </w:r>
          </w:p>
        </w:tc>
        <w:tc>
          <w:tcPr>
            <w:tcW w:w="1053" w:type="dxa"/>
            <w:tcBorders>
              <w:top w:val="nil"/>
              <w:left w:val="nil"/>
              <w:bottom w:val="single" w:sz="4" w:space="0" w:color="auto"/>
              <w:right w:val="single" w:sz="4" w:space="0" w:color="auto"/>
            </w:tcBorders>
            <w:shd w:val="clear" w:color="000000" w:fill="FFF2CC"/>
            <w:vAlign w:val="center"/>
            <w:hideMark/>
          </w:tcPr>
          <w:p w14:paraId="333D2F50"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584.716,8</w:t>
            </w:r>
          </w:p>
        </w:tc>
        <w:tc>
          <w:tcPr>
            <w:tcW w:w="1053" w:type="dxa"/>
            <w:tcBorders>
              <w:top w:val="nil"/>
              <w:left w:val="nil"/>
              <w:bottom w:val="single" w:sz="4" w:space="0" w:color="auto"/>
              <w:right w:val="single" w:sz="4" w:space="0" w:color="auto"/>
            </w:tcBorders>
            <w:shd w:val="clear" w:color="000000" w:fill="FFF2CC"/>
            <w:vAlign w:val="center"/>
            <w:hideMark/>
          </w:tcPr>
          <w:p w14:paraId="4D4CE0E9"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598.568,6</w:t>
            </w:r>
          </w:p>
        </w:tc>
        <w:tc>
          <w:tcPr>
            <w:tcW w:w="1053" w:type="dxa"/>
            <w:tcBorders>
              <w:top w:val="nil"/>
              <w:left w:val="nil"/>
              <w:bottom w:val="single" w:sz="4" w:space="0" w:color="auto"/>
              <w:right w:val="single" w:sz="4" w:space="0" w:color="auto"/>
            </w:tcBorders>
            <w:shd w:val="clear" w:color="000000" w:fill="FFF2CC"/>
            <w:vAlign w:val="center"/>
            <w:hideMark/>
          </w:tcPr>
          <w:p w14:paraId="195D241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607.902,1</w:t>
            </w:r>
          </w:p>
        </w:tc>
        <w:tc>
          <w:tcPr>
            <w:tcW w:w="1320" w:type="dxa"/>
            <w:tcBorders>
              <w:top w:val="nil"/>
              <w:left w:val="nil"/>
              <w:bottom w:val="single" w:sz="4" w:space="0" w:color="auto"/>
              <w:right w:val="single" w:sz="4" w:space="0" w:color="auto"/>
            </w:tcBorders>
            <w:shd w:val="clear" w:color="000000" w:fill="FFF2CC"/>
            <w:vAlign w:val="center"/>
            <w:hideMark/>
          </w:tcPr>
          <w:p w14:paraId="253F1B5E"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2.785.034,0</w:t>
            </w:r>
          </w:p>
        </w:tc>
      </w:tr>
      <w:tr w:rsidR="006F07F7" w:rsidRPr="009772A3" w14:paraId="3CD55146"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6B364102"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14:paraId="1B68C717" w14:textId="77777777" w:rsidR="006F07F7" w:rsidRPr="009772A3" w:rsidRDefault="006F07F7" w:rsidP="006F07F7">
            <w:pPr>
              <w:spacing w:after="0" w:line="240" w:lineRule="auto"/>
              <w:jc w:val="center"/>
              <w:rPr>
                <w:rFonts w:ascii="Calibri Light" w:eastAsia="Times New Roman" w:hAnsi="Calibri Light" w:cs="Calibri Light"/>
                <w:i/>
                <w:iCs/>
                <w:sz w:val="16"/>
                <w:szCs w:val="16"/>
                <w:lang w:val="ro-MD"/>
              </w:rPr>
            </w:pPr>
            <w:r w:rsidRPr="009772A3">
              <w:rPr>
                <w:rFonts w:ascii="Calibri Light" w:eastAsia="Times New Roman" w:hAnsi="Calibri Light" w:cs="Calibri Light"/>
                <w:i/>
                <w:iCs/>
                <w:sz w:val="16"/>
                <w:szCs w:val="16"/>
                <w:lang w:val="ro-MD"/>
              </w:rPr>
              <w:t>inclusiv</w:t>
            </w:r>
          </w:p>
        </w:tc>
        <w:tc>
          <w:tcPr>
            <w:tcW w:w="4366" w:type="dxa"/>
            <w:tcBorders>
              <w:top w:val="nil"/>
              <w:left w:val="nil"/>
              <w:bottom w:val="single" w:sz="4" w:space="0" w:color="auto"/>
              <w:right w:val="nil"/>
            </w:tcBorders>
            <w:shd w:val="clear" w:color="auto" w:fill="auto"/>
            <w:vAlign w:val="center"/>
            <w:hideMark/>
          </w:tcPr>
          <w:p w14:paraId="1DAA88D0" w14:textId="77777777" w:rsidR="006F07F7" w:rsidRPr="001B577A" w:rsidRDefault="006F07F7" w:rsidP="006F07F7">
            <w:pPr>
              <w:spacing w:after="0" w:line="240" w:lineRule="auto"/>
              <w:rPr>
                <w:rFonts w:ascii="Calibri Light" w:eastAsia="Times New Roman" w:hAnsi="Calibri Light" w:cs="Calibri Light"/>
                <w:sz w:val="16"/>
                <w:szCs w:val="16"/>
                <w:lang w:val="ro-MD"/>
              </w:rPr>
            </w:pPr>
            <w:r w:rsidRPr="001B577A">
              <w:rPr>
                <w:rFonts w:ascii="Calibri Light" w:eastAsia="Times New Roman" w:hAnsi="Calibri Light" w:cs="Calibri Light"/>
                <w:sz w:val="16"/>
                <w:szCs w:val="16"/>
                <w:lang w:val="ro-MD"/>
              </w:rPr>
              <w:t>Salariul din activitatea de bază a OSD</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324F43A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442.548,8</w:t>
            </w:r>
          </w:p>
        </w:tc>
        <w:tc>
          <w:tcPr>
            <w:tcW w:w="1053" w:type="dxa"/>
            <w:tcBorders>
              <w:top w:val="nil"/>
              <w:left w:val="nil"/>
              <w:bottom w:val="single" w:sz="4" w:space="0" w:color="auto"/>
              <w:right w:val="single" w:sz="4" w:space="0" w:color="auto"/>
            </w:tcBorders>
            <w:shd w:val="clear" w:color="auto" w:fill="auto"/>
            <w:vAlign w:val="center"/>
            <w:hideMark/>
          </w:tcPr>
          <w:p w14:paraId="25E3C220"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470.697,7</w:t>
            </w:r>
          </w:p>
        </w:tc>
        <w:tc>
          <w:tcPr>
            <w:tcW w:w="1053" w:type="dxa"/>
            <w:tcBorders>
              <w:top w:val="nil"/>
              <w:left w:val="nil"/>
              <w:bottom w:val="single" w:sz="4" w:space="0" w:color="auto"/>
              <w:right w:val="single" w:sz="4" w:space="0" w:color="auto"/>
            </w:tcBorders>
            <w:shd w:val="clear" w:color="auto" w:fill="auto"/>
            <w:vAlign w:val="center"/>
            <w:hideMark/>
          </w:tcPr>
          <w:p w14:paraId="2D9B18A6"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534.614,7</w:t>
            </w:r>
          </w:p>
        </w:tc>
        <w:tc>
          <w:tcPr>
            <w:tcW w:w="1053" w:type="dxa"/>
            <w:tcBorders>
              <w:top w:val="nil"/>
              <w:left w:val="nil"/>
              <w:bottom w:val="single" w:sz="4" w:space="0" w:color="auto"/>
              <w:right w:val="single" w:sz="4" w:space="0" w:color="auto"/>
            </w:tcBorders>
            <w:shd w:val="clear" w:color="auto" w:fill="auto"/>
            <w:vAlign w:val="center"/>
            <w:hideMark/>
          </w:tcPr>
          <w:p w14:paraId="320D55AC"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545.877,0</w:t>
            </w:r>
          </w:p>
        </w:tc>
        <w:tc>
          <w:tcPr>
            <w:tcW w:w="1053" w:type="dxa"/>
            <w:tcBorders>
              <w:top w:val="nil"/>
              <w:left w:val="nil"/>
              <w:bottom w:val="single" w:sz="4" w:space="0" w:color="auto"/>
              <w:right w:val="single" w:sz="4" w:space="0" w:color="auto"/>
            </w:tcBorders>
            <w:shd w:val="clear" w:color="auto" w:fill="auto"/>
            <w:vAlign w:val="center"/>
            <w:hideMark/>
          </w:tcPr>
          <w:p w14:paraId="449C7842"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575.398,4</w:t>
            </w:r>
          </w:p>
        </w:tc>
        <w:tc>
          <w:tcPr>
            <w:tcW w:w="1320" w:type="dxa"/>
            <w:tcBorders>
              <w:top w:val="nil"/>
              <w:left w:val="nil"/>
              <w:bottom w:val="single" w:sz="4" w:space="0" w:color="auto"/>
              <w:right w:val="single" w:sz="4" w:space="0" w:color="auto"/>
            </w:tcBorders>
            <w:shd w:val="clear" w:color="auto" w:fill="auto"/>
            <w:vAlign w:val="center"/>
            <w:hideMark/>
          </w:tcPr>
          <w:p w14:paraId="41BE4E79"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2.569.136,6</w:t>
            </w:r>
          </w:p>
        </w:tc>
      </w:tr>
      <w:tr w:rsidR="006F07F7" w:rsidRPr="009772A3" w14:paraId="1F7F0C78"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5E9BB1AF"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tcBorders>
              <w:top w:val="nil"/>
              <w:left w:val="single" w:sz="4" w:space="0" w:color="auto"/>
              <w:bottom w:val="single" w:sz="4" w:space="0" w:color="000000"/>
              <w:right w:val="single" w:sz="4" w:space="0" w:color="auto"/>
            </w:tcBorders>
            <w:vAlign w:val="center"/>
            <w:hideMark/>
          </w:tcPr>
          <w:p w14:paraId="15FC7CD0" w14:textId="77777777" w:rsidR="006F07F7" w:rsidRPr="009772A3" w:rsidRDefault="006F07F7" w:rsidP="006F07F7">
            <w:pPr>
              <w:spacing w:after="0" w:line="240" w:lineRule="auto"/>
              <w:rPr>
                <w:rFonts w:ascii="Calibri Light" w:eastAsia="Times New Roman" w:hAnsi="Calibri Light" w:cs="Calibri Light"/>
                <w:i/>
                <w:iCs/>
                <w:sz w:val="16"/>
                <w:szCs w:val="16"/>
                <w:lang w:val="ro-MD"/>
              </w:rPr>
            </w:pPr>
          </w:p>
        </w:tc>
        <w:tc>
          <w:tcPr>
            <w:tcW w:w="4366" w:type="dxa"/>
            <w:tcBorders>
              <w:top w:val="nil"/>
              <w:left w:val="nil"/>
              <w:bottom w:val="single" w:sz="4" w:space="0" w:color="auto"/>
              <w:right w:val="nil"/>
            </w:tcBorders>
            <w:shd w:val="clear" w:color="auto" w:fill="auto"/>
            <w:vAlign w:val="center"/>
            <w:hideMark/>
          </w:tcPr>
          <w:p w14:paraId="124D032B" w14:textId="7D8F2298" w:rsidR="006F07F7" w:rsidRPr="001B577A" w:rsidRDefault="006F07F7" w:rsidP="006F07F7">
            <w:pPr>
              <w:spacing w:after="0" w:line="240" w:lineRule="auto"/>
              <w:rPr>
                <w:rFonts w:ascii="Calibri Light" w:eastAsia="Times New Roman" w:hAnsi="Calibri Light" w:cs="Calibri Light"/>
                <w:sz w:val="16"/>
                <w:szCs w:val="16"/>
                <w:lang w:val="ro-MD"/>
              </w:rPr>
            </w:pPr>
            <w:r w:rsidRPr="001B577A">
              <w:rPr>
                <w:rFonts w:ascii="Calibri Light" w:eastAsia="Times New Roman" w:hAnsi="Calibri Light" w:cs="Calibri Light"/>
                <w:sz w:val="16"/>
                <w:szCs w:val="16"/>
                <w:lang w:val="ro-MD"/>
              </w:rPr>
              <w:t xml:space="preserve">Salariul </w:t>
            </w:r>
            <w:r w:rsidR="00701CAA" w:rsidRPr="001B577A">
              <w:rPr>
                <w:rFonts w:ascii="Calibri Light" w:eastAsia="Times New Roman" w:hAnsi="Calibri Light" w:cs="Calibri Light"/>
                <w:sz w:val="16"/>
                <w:szCs w:val="16"/>
                <w:lang w:val="ro-MD"/>
              </w:rPr>
              <w:t xml:space="preserve">din </w:t>
            </w:r>
            <w:r w:rsidRPr="001B577A">
              <w:rPr>
                <w:rFonts w:ascii="Calibri Light" w:eastAsia="Times New Roman" w:hAnsi="Calibri Light" w:cs="Calibri Light"/>
                <w:sz w:val="16"/>
                <w:szCs w:val="16"/>
                <w:lang w:val="ro-MD"/>
              </w:rPr>
              <w:t>activitatea auxiliară</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2F7F46AA"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22.765,7</w:t>
            </w:r>
          </w:p>
        </w:tc>
        <w:tc>
          <w:tcPr>
            <w:tcW w:w="1053" w:type="dxa"/>
            <w:tcBorders>
              <w:top w:val="nil"/>
              <w:left w:val="nil"/>
              <w:bottom w:val="single" w:sz="4" w:space="0" w:color="auto"/>
              <w:right w:val="single" w:sz="4" w:space="0" w:color="auto"/>
            </w:tcBorders>
            <w:shd w:val="clear" w:color="auto" w:fill="auto"/>
            <w:vAlign w:val="center"/>
            <w:hideMark/>
          </w:tcPr>
          <w:p w14:paraId="40C6AA8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25.377,5</w:t>
            </w:r>
          </w:p>
        </w:tc>
        <w:tc>
          <w:tcPr>
            <w:tcW w:w="1053" w:type="dxa"/>
            <w:tcBorders>
              <w:top w:val="nil"/>
              <w:left w:val="nil"/>
              <w:bottom w:val="single" w:sz="4" w:space="0" w:color="auto"/>
              <w:right w:val="single" w:sz="4" w:space="0" w:color="auto"/>
            </w:tcBorders>
            <w:shd w:val="clear" w:color="auto" w:fill="auto"/>
            <w:vAlign w:val="center"/>
            <w:hideMark/>
          </w:tcPr>
          <w:p w14:paraId="20888417"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31.881,5</w:t>
            </w:r>
          </w:p>
        </w:tc>
        <w:tc>
          <w:tcPr>
            <w:tcW w:w="1053" w:type="dxa"/>
            <w:tcBorders>
              <w:top w:val="nil"/>
              <w:left w:val="nil"/>
              <w:bottom w:val="single" w:sz="4" w:space="0" w:color="auto"/>
              <w:right w:val="single" w:sz="4" w:space="0" w:color="auto"/>
            </w:tcBorders>
            <w:shd w:val="clear" w:color="auto" w:fill="auto"/>
            <w:vAlign w:val="center"/>
            <w:hideMark/>
          </w:tcPr>
          <w:p w14:paraId="30401CAE"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28.092,4</w:t>
            </w:r>
          </w:p>
        </w:tc>
        <w:tc>
          <w:tcPr>
            <w:tcW w:w="1053" w:type="dxa"/>
            <w:tcBorders>
              <w:top w:val="nil"/>
              <w:left w:val="nil"/>
              <w:bottom w:val="single" w:sz="4" w:space="0" w:color="auto"/>
              <w:right w:val="single" w:sz="4" w:space="0" w:color="auto"/>
            </w:tcBorders>
            <w:shd w:val="clear" w:color="auto" w:fill="auto"/>
            <w:vAlign w:val="center"/>
            <w:hideMark/>
          </w:tcPr>
          <w:p w14:paraId="26990D23"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29.229,0</w:t>
            </w:r>
          </w:p>
        </w:tc>
        <w:tc>
          <w:tcPr>
            <w:tcW w:w="1320" w:type="dxa"/>
            <w:tcBorders>
              <w:top w:val="nil"/>
              <w:left w:val="nil"/>
              <w:bottom w:val="single" w:sz="4" w:space="0" w:color="auto"/>
              <w:right w:val="single" w:sz="4" w:space="0" w:color="auto"/>
            </w:tcBorders>
            <w:shd w:val="clear" w:color="auto" w:fill="auto"/>
            <w:vAlign w:val="center"/>
            <w:hideMark/>
          </w:tcPr>
          <w:p w14:paraId="5899CDF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137.346,2</w:t>
            </w:r>
          </w:p>
        </w:tc>
      </w:tr>
      <w:tr w:rsidR="006F07F7" w:rsidRPr="009772A3" w14:paraId="757327AB" w14:textId="77777777" w:rsidTr="00CF3AD4">
        <w:trPr>
          <w:trHeight w:val="480"/>
        </w:trPr>
        <w:tc>
          <w:tcPr>
            <w:tcW w:w="1360" w:type="dxa"/>
            <w:vMerge/>
            <w:tcBorders>
              <w:top w:val="nil"/>
              <w:left w:val="single" w:sz="4" w:space="0" w:color="auto"/>
              <w:bottom w:val="single" w:sz="4" w:space="0" w:color="auto"/>
              <w:right w:val="single" w:sz="4" w:space="0" w:color="auto"/>
            </w:tcBorders>
            <w:vAlign w:val="center"/>
            <w:hideMark/>
          </w:tcPr>
          <w:p w14:paraId="680E109D"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tcBorders>
              <w:top w:val="nil"/>
              <w:left w:val="single" w:sz="4" w:space="0" w:color="auto"/>
              <w:bottom w:val="single" w:sz="4" w:space="0" w:color="000000"/>
              <w:right w:val="single" w:sz="4" w:space="0" w:color="auto"/>
            </w:tcBorders>
            <w:vAlign w:val="center"/>
            <w:hideMark/>
          </w:tcPr>
          <w:p w14:paraId="7EA039A3" w14:textId="77777777" w:rsidR="006F07F7" w:rsidRPr="009772A3" w:rsidRDefault="006F07F7" w:rsidP="006F07F7">
            <w:pPr>
              <w:spacing w:after="0" w:line="240" w:lineRule="auto"/>
              <w:rPr>
                <w:rFonts w:ascii="Calibri Light" w:eastAsia="Times New Roman" w:hAnsi="Calibri Light" w:cs="Calibri Light"/>
                <w:i/>
                <w:iCs/>
                <w:sz w:val="16"/>
                <w:szCs w:val="16"/>
                <w:lang w:val="ro-MD"/>
              </w:rPr>
            </w:pPr>
          </w:p>
        </w:tc>
        <w:tc>
          <w:tcPr>
            <w:tcW w:w="4366" w:type="dxa"/>
            <w:tcBorders>
              <w:top w:val="nil"/>
              <w:left w:val="nil"/>
              <w:bottom w:val="single" w:sz="4" w:space="0" w:color="auto"/>
              <w:right w:val="nil"/>
            </w:tcBorders>
            <w:shd w:val="clear" w:color="auto" w:fill="auto"/>
            <w:vAlign w:val="center"/>
            <w:hideMark/>
          </w:tcPr>
          <w:p w14:paraId="63D023EA" w14:textId="7BF48034" w:rsidR="006F07F7" w:rsidRPr="001B577A" w:rsidRDefault="006F07F7">
            <w:pPr>
              <w:spacing w:after="0" w:line="240" w:lineRule="auto"/>
              <w:rPr>
                <w:rFonts w:ascii="Calibri Light" w:eastAsia="Times New Roman" w:hAnsi="Calibri Light" w:cs="Calibri Light"/>
                <w:sz w:val="16"/>
                <w:szCs w:val="16"/>
                <w:lang w:val="ro-MD"/>
              </w:rPr>
            </w:pPr>
            <w:r w:rsidRPr="001B577A">
              <w:rPr>
                <w:rFonts w:ascii="Calibri Light" w:eastAsia="Times New Roman" w:hAnsi="Calibri Light" w:cs="Calibri Light"/>
                <w:sz w:val="16"/>
                <w:szCs w:val="16"/>
                <w:lang w:val="ro-MD"/>
              </w:rPr>
              <w:t>Alte pl</w:t>
            </w:r>
            <w:r w:rsidR="00701CAA" w:rsidRPr="001B577A">
              <w:rPr>
                <w:rFonts w:ascii="Calibri Light" w:eastAsia="Times New Roman" w:hAnsi="Calibri Light" w:cs="Calibri Light"/>
                <w:sz w:val="16"/>
                <w:szCs w:val="16"/>
                <w:lang w:val="ro-MD"/>
              </w:rPr>
              <w:t>ă</w:t>
            </w:r>
            <w:r w:rsidRPr="001B577A">
              <w:rPr>
                <w:rFonts w:ascii="Calibri Light" w:eastAsia="Times New Roman" w:hAnsi="Calibri Light" w:cs="Calibri Light"/>
                <w:sz w:val="16"/>
                <w:szCs w:val="16"/>
                <w:lang w:val="ro-MD"/>
              </w:rPr>
              <w:t xml:space="preserve">ți </w:t>
            </w:r>
            <w:r w:rsidRPr="001B577A">
              <w:rPr>
                <w:rFonts w:ascii="Calibri Light" w:eastAsia="Times New Roman" w:hAnsi="Calibri Light" w:cs="Calibri Light"/>
                <w:i/>
                <w:iCs/>
                <w:sz w:val="16"/>
                <w:szCs w:val="16"/>
                <w:lang w:val="ro-MD"/>
              </w:rPr>
              <w:t>(</w:t>
            </w:r>
            <w:r w:rsidRPr="00CF3AD4">
              <w:rPr>
                <w:rFonts w:ascii="Calibri Light" w:eastAsia="Times New Roman" w:hAnsi="Calibri Light" w:cs="Calibri Light"/>
                <w:i/>
                <w:iCs/>
                <w:sz w:val="16"/>
                <w:szCs w:val="16"/>
                <w:lang w:val="ro-MD"/>
              </w:rPr>
              <w:t>rezerv</w:t>
            </w:r>
            <w:r w:rsidR="001B577A" w:rsidRPr="00CF3AD4">
              <w:rPr>
                <w:rFonts w:ascii="Calibri Light" w:eastAsia="Times New Roman" w:hAnsi="Calibri Light" w:cs="Calibri Light"/>
                <w:i/>
                <w:iCs/>
                <w:sz w:val="16"/>
                <w:szCs w:val="16"/>
                <w:lang w:val="ro-MD"/>
              </w:rPr>
              <w:t>a</w:t>
            </w:r>
            <w:r w:rsidRPr="00CF3AD4">
              <w:rPr>
                <w:rFonts w:ascii="Calibri Light" w:eastAsia="Times New Roman" w:hAnsi="Calibri Light" w:cs="Calibri Light"/>
                <w:i/>
                <w:iCs/>
                <w:sz w:val="16"/>
                <w:szCs w:val="16"/>
                <w:lang w:val="ro-MD"/>
              </w:rPr>
              <w:t xml:space="preserve"> la concediu</w:t>
            </w:r>
            <w:r w:rsidRPr="001B577A">
              <w:rPr>
                <w:rFonts w:ascii="Calibri Light" w:eastAsia="Times New Roman" w:hAnsi="Calibri Light" w:cs="Calibri Light"/>
                <w:i/>
                <w:iCs/>
                <w:sz w:val="16"/>
                <w:szCs w:val="16"/>
                <w:lang w:val="ro-MD"/>
              </w:rPr>
              <w:t>, stationarea, investi</w:t>
            </w:r>
            <w:r w:rsidR="00701CAA" w:rsidRPr="001B577A">
              <w:rPr>
                <w:rFonts w:ascii="Calibri Light" w:eastAsia="Times New Roman" w:hAnsi="Calibri Light" w:cs="Calibri Light"/>
                <w:i/>
                <w:iCs/>
                <w:sz w:val="16"/>
                <w:szCs w:val="16"/>
                <w:lang w:val="ro-MD"/>
              </w:rPr>
              <w:t>ț</w:t>
            </w:r>
            <w:r w:rsidRPr="001B577A">
              <w:rPr>
                <w:rFonts w:ascii="Calibri Light" w:eastAsia="Times New Roman" w:hAnsi="Calibri Light" w:cs="Calibri Light"/>
                <w:i/>
                <w:iCs/>
                <w:sz w:val="16"/>
                <w:szCs w:val="16"/>
                <w:lang w:val="ro-MD"/>
              </w:rPr>
              <w:t xml:space="preserve">ii, instalarea contoarelor </w:t>
            </w:r>
            <w:r w:rsidR="00701CAA" w:rsidRPr="001B577A">
              <w:rPr>
                <w:rFonts w:ascii="Calibri Light" w:eastAsia="Times New Roman" w:hAnsi="Calibri Light" w:cs="Calibri Light"/>
                <w:i/>
                <w:iCs/>
                <w:sz w:val="16"/>
                <w:szCs w:val="16"/>
                <w:lang w:val="ro-MD"/>
              </w:rPr>
              <w:t>ș.</w:t>
            </w:r>
            <w:r w:rsidRPr="001B577A">
              <w:rPr>
                <w:rFonts w:ascii="Calibri Light" w:eastAsia="Times New Roman" w:hAnsi="Calibri Light" w:cs="Calibri Light"/>
                <w:i/>
                <w:iCs/>
                <w:sz w:val="16"/>
                <w:szCs w:val="16"/>
                <w:lang w:val="ro-MD"/>
              </w:rPr>
              <w:t>a.)</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42FEB20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19.268,4</w:t>
            </w:r>
          </w:p>
        </w:tc>
        <w:tc>
          <w:tcPr>
            <w:tcW w:w="1053" w:type="dxa"/>
            <w:tcBorders>
              <w:top w:val="nil"/>
              <w:left w:val="nil"/>
              <w:bottom w:val="single" w:sz="4" w:space="0" w:color="auto"/>
              <w:right w:val="single" w:sz="4" w:space="0" w:color="auto"/>
            </w:tcBorders>
            <w:shd w:val="clear" w:color="auto" w:fill="auto"/>
            <w:vAlign w:val="center"/>
            <w:hideMark/>
          </w:tcPr>
          <w:p w14:paraId="4000B792"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13.188,3</w:t>
            </w:r>
          </w:p>
        </w:tc>
        <w:tc>
          <w:tcPr>
            <w:tcW w:w="1053" w:type="dxa"/>
            <w:tcBorders>
              <w:top w:val="nil"/>
              <w:left w:val="nil"/>
              <w:bottom w:val="single" w:sz="4" w:space="0" w:color="auto"/>
              <w:right w:val="single" w:sz="4" w:space="0" w:color="auto"/>
            </w:tcBorders>
            <w:shd w:val="clear" w:color="auto" w:fill="auto"/>
            <w:vAlign w:val="center"/>
            <w:hideMark/>
          </w:tcPr>
          <w:p w14:paraId="768F2DA2"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18.220,6</w:t>
            </w:r>
          </w:p>
        </w:tc>
        <w:tc>
          <w:tcPr>
            <w:tcW w:w="1053" w:type="dxa"/>
            <w:tcBorders>
              <w:top w:val="nil"/>
              <w:left w:val="nil"/>
              <w:bottom w:val="single" w:sz="4" w:space="0" w:color="auto"/>
              <w:right w:val="single" w:sz="4" w:space="0" w:color="auto"/>
            </w:tcBorders>
            <w:shd w:val="clear" w:color="auto" w:fill="auto"/>
            <w:vAlign w:val="center"/>
            <w:hideMark/>
          </w:tcPr>
          <w:p w14:paraId="6DD698A2"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24.599,2</w:t>
            </w:r>
          </w:p>
        </w:tc>
        <w:tc>
          <w:tcPr>
            <w:tcW w:w="1053" w:type="dxa"/>
            <w:tcBorders>
              <w:top w:val="nil"/>
              <w:left w:val="nil"/>
              <w:bottom w:val="single" w:sz="4" w:space="0" w:color="auto"/>
              <w:right w:val="single" w:sz="4" w:space="0" w:color="auto"/>
            </w:tcBorders>
            <w:shd w:val="clear" w:color="auto" w:fill="auto"/>
            <w:vAlign w:val="center"/>
            <w:hideMark/>
          </w:tcPr>
          <w:p w14:paraId="5CAA778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3.274,7</w:t>
            </w:r>
          </w:p>
        </w:tc>
        <w:tc>
          <w:tcPr>
            <w:tcW w:w="1320" w:type="dxa"/>
            <w:tcBorders>
              <w:top w:val="nil"/>
              <w:left w:val="nil"/>
              <w:bottom w:val="single" w:sz="4" w:space="0" w:color="auto"/>
              <w:right w:val="single" w:sz="4" w:space="0" w:color="auto"/>
            </w:tcBorders>
            <w:shd w:val="clear" w:color="auto" w:fill="auto"/>
            <w:vAlign w:val="center"/>
            <w:hideMark/>
          </w:tcPr>
          <w:p w14:paraId="12B99AC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78.551,3</w:t>
            </w:r>
          </w:p>
        </w:tc>
      </w:tr>
      <w:tr w:rsidR="006F07F7" w:rsidRPr="009772A3" w14:paraId="7E8114DF"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5DC5BC7C"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FFF2CC"/>
            <w:vAlign w:val="center"/>
            <w:hideMark/>
          </w:tcPr>
          <w:p w14:paraId="05DCDA82" w14:textId="77777777" w:rsidR="006F07F7" w:rsidRPr="009772A3" w:rsidRDefault="006F07F7" w:rsidP="006F07F7">
            <w:pPr>
              <w:spacing w:after="0" w:line="240" w:lineRule="auto"/>
              <w:jc w:val="center"/>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Acceptat de ANRE</w:t>
            </w:r>
          </w:p>
        </w:tc>
        <w:tc>
          <w:tcPr>
            <w:tcW w:w="1053" w:type="dxa"/>
            <w:tcBorders>
              <w:top w:val="nil"/>
              <w:left w:val="nil"/>
              <w:bottom w:val="single" w:sz="4" w:space="0" w:color="auto"/>
              <w:right w:val="single" w:sz="4" w:space="0" w:color="auto"/>
            </w:tcBorders>
            <w:shd w:val="clear" w:color="000000" w:fill="FFF2CC"/>
            <w:vAlign w:val="center"/>
            <w:hideMark/>
          </w:tcPr>
          <w:p w14:paraId="04B77191"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465.746,8</w:t>
            </w:r>
          </w:p>
        </w:tc>
        <w:tc>
          <w:tcPr>
            <w:tcW w:w="1053" w:type="dxa"/>
            <w:tcBorders>
              <w:top w:val="nil"/>
              <w:left w:val="nil"/>
              <w:bottom w:val="single" w:sz="4" w:space="0" w:color="auto"/>
              <w:right w:val="single" w:sz="4" w:space="0" w:color="auto"/>
            </w:tcBorders>
            <w:shd w:val="clear" w:color="000000" w:fill="FFF2CC"/>
            <w:vAlign w:val="center"/>
            <w:hideMark/>
          </w:tcPr>
          <w:p w14:paraId="0C8C6DF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524.230,3</w:t>
            </w:r>
          </w:p>
        </w:tc>
        <w:tc>
          <w:tcPr>
            <w:tcW w:w="1053" w:type="dxa"/>
            <w:tcBorders>
              <w:top w:val="nil"/>
              <w:left w:val="nil"/>
              <w:bottom w:val="single" w:sz="4" w:space="0" w:color="auto"/>
              <w:right w:val="single" w:sz="4" w:space="0" w:color="auto"/>
            </w:tcBorders>
            <w:shd w:val="clear" w:color="000000" w:fill="FFF2CC"/>
            <w:vAlign w:val="center"/>
            <w:hideMark/>
          </w:tcPr>
          <w:p w14:paraId="02636F9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571.946,6</w:t>
            </w:r>
          </w:p>
        </w:tc>
        <w:tc>
          <w:tcPr>
            <w:tcW w:w="1053" w:type="dxa"/>
            <w:tcBorders>
              <w:top w:val="nil"/>
              <w:left w:val="nil"/>
              <w:bottom w:val="single" w:sz="4" w:space="0" w:color="auto"/>
              <w:right w:val="single" w:sz="4" w:space="0" w:color="auto"/>
            </w:tcBorders>
            <w:shd w:val="clear" w:color="000000" w:fill="FFF2CC"/>
            <w:vAlign w:val="center"/>
            <w:hideMark/>
          </w:tcPr>
          <w:p w14:paraId="3BBD3CB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594.323,3</w:t>
            </w:r>
          </w:p>
        </w:tc>
        <w:tc>
          <w:tcPr>
            <w:tcW w:w="1053" w:type="dxa"/>
            <w:tcBorders>
              <w:top w:val="nil"/>
              <w:left w:val="nil"/>
              <w:bottom w:val="single" w:sz="4" w:space="0" w:color="auto"/>
              <w:right w:val="single" w:sz="4" w:space="0" w:color="auto"/>
            </w:tcBorders>
            <w:shd w:val="clear" w:color="000000" w:fill="FFF2CC"/>
            <w:vAlign w:val="center"/>
            <w:hideMark/>
          </w:tcPr>
          <w:p w14:paraId="65CFF7A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631.353,6</w:t>
            </w:r>
          </w:p>
        </w:tc>
        <w:tc>
          <w:tcPr>
            <w:tcW w:w="1320" w:type="dxa"/>
            <w:tcBorders>
              <w:top w:val="nil"/>
              <w:left w:val="nil"/>
              <w:bottom w:val="single" w:sz="4" w:space="0" w:color="auto"/>
              <w:right w:val="single" w:sz="4" w:space="0" w:color="auto"/>
            </w:tcBorders>
            <w:shd w:val="clear" w:color="000000" w:fill="FFF2CC"/>
            <w:vAlign w:val="center"/>
            <w:hideMark/>
          </w:tcPr>
          <w:p w14:paraId="765D9098"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2.787.600,7</w:t>
            </w:r>
          </w:p>
        </w:tc>
      </w:tr>
      <w:tr w:rsidR="006F07F7" w:rsidRPr="009772A3" w14:paraId="57EE4EF7"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390AA061"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FFF2CC"/>
            <w:vAlign w:val="center"/>
            <w:hideMark/>
          </w:tcPr>
          <w:p w14:paraId="67B77C55" w14:textId="77777777" w:rsidR="006F07F7" w:rsidRPr="009772A3" w:rsidRDefault="006F07F7" w:rsidP="006F07F7">
            <w:pPr>
              <w:spacing w:after="0" w:line="240" w:lineRule="auto"/>
              <w:jc w:val="center"/>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w:t>
            </w:r>
          </w:p>
        </w:tc>
        <w:tc>
          <w:tcPr>
            <w:tcW w:w="1053" w:type="dxa"/>
            <w:tcBorders>
              <w:top w:val="nil"/>
              <w:left w:val="nil"/>
              <w:bottom w:val="single" w:sz="4" w:space="0" w:color="auto"/>
              <w:right w:val="single" w:sz="4" w:space="0" w:color="auto"/>
            </w:tcBorders>
            <w:shd w:val="clear" w:color="000000" w:fill="FFF2CC"/>
            <w:vAlign w:val="center"/>
            <w:hideMark/>
          </w:tcPr>
          <w:p w14:paraId="0529B39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96,1</w:t>
            </w:r>
          </w:p>
        </w:tc>
        <w:tc>
          <w:tcPr>
            <w:tcW w:w="1053" w:type="dxa"/>
            <w:tcBorders>
              <w:top w:val="nil"/>
              <w:left w:val="nil"/>
              <w:bottom w:val="single" w:sz="4" w:space="0" w:color="auto"/>
              <w:right w:val="single" w:sz="4" w:space="0" w:color="auto"/>
            </w:tcBorders>
            <w:shd w:val="clear" w:color="000000" w:fill="FFF2CC"/>
            <w:vAlign w:val="center"/>
            <w:hideMark/>
          </w:tcPr>
          <w:p w14:paraId="2BDB016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102,9</w:t>
            </w:r>
          </w:p>
        </w:tc>
        <w:tc>
          <w:tcPr>
            <w:tcW w:w="1053" w:type="dxa"/>
            <w:tcBorders>
              <w:top w:val="nil"/>
              <w:left w:val="nil"/>
              <w:bottom w:val="single" w:sz="4" w:space="0" w:color="auto"/>
              <w:right w:val="single" w:sz="4" w:space="0" w:color="auto"/>
            </w:tcBorders>
            <w:shd w:val="clear" w:color="000000" w:fill="FFF2CC"/>
            <w:vAlign w:val="center"/>
            <w:hideMark/>
          </w:tcPr>
          <w:p w14:paraId="0BD238B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97,8</w:t>
            </w:r>
          </w:p>
        </w:tc>
        <w:tc>
          <w:tcPr>
            <w:tcW w:w="1053" w:type="dxa"/>
            <w:tcBorders>
              <w:top w:val="nil"/>
              <w:left w:val="nil"/>
              <w:bottom w:val="single" w:sz="4" w:space="0" w:color="auto"/>
              <w:right w:val="single" w:sz="4" w:space="0" w:color="auto"/>
            </w:tcBorders>
            <w:shd w:val="clear" w:color="000000" w:fill="FFF2CC"/>
            <w:vAlign w:val="center"/>
            <w:hideMark/>
          </w:tcPr>
          <w:p w14:paraId="1AD7A6D2"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99,3</w:t>
            </w:r>
          </w:p>
        </w:tc>
        <w:tc>
          <w:tcPr>
            <w:tcW w:w="1053" w:type="dxa"/>
            <w:tcBorders>
              <w:top w:val="nil"/>
              <w:left w:val="nil"/>
              <w:bottom w:val="single" w:sz="4" w:space="0" w:color="auto"/>
              <w:right w:val="single" w:sz="4" w:space="0" w:color="auto"/>
            </w:tcBorders>
            <w:shd w:val="clear" w:color="000000" w:fill="FFF2CC"/>
            <w:vAlign w:val="center"/>
            <w:hideMark/>
          </w:tcPr>
          <w:p w14:paraId="5E2778F0"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103,9</w:t>
            </w:r>
          </w:p>
        </w:tc>
        <w:tc>
          <w:tcPr>
            <w:tcW w:w="1320" w:type="dxa"/>
            <w:tcBorders>
              <w:top w:val="nil"/>
              <w:left w:val="nil"/>
              <w:bottom w:val="single" w:sz="4" w:space="0" w:color="auto"/>
              <w:right w:val="single" w:sz="4" w:space="0" w:color="auto"/>
            </w:tcBorders>
            <w:shd w:val="clear" w:color="000000" w:fill="FFF2CC"/>
            <w:vAlign w:val="center"/>
            <w:hideMark/>
          </w:tcPr>
          <w:p w14:paraId="2B57874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100,1</w:t>
            </w:r>
          </w:p>
        </w:tc>
      </w:tr>
      <w:tr w:rsidR="005E7563" w:rsidRPr="009772A3" w14:paraId="63A408CC" w14:textId="77777777" w:rsidTr="00CF3AD4">
        <w:trPr>
          <w:trHeight w:val="240"/>
        </w:trPr>
        <w:tc>
          <w:tcPr>
            <w:tcW w:w="1360" w:type="dxa"/>
            <w:vMerge w:val="restart"/>
            <w:tcBorders>
              <w:top w:val="nil"/>
              <w:left w:val="single" w:sz="4" w:space="0" w:color="auto"/>
              <w:bottom w:val="single" w:sz="4" w:space="0" w:color="auto"/>
              <w:right w:val="single" w:sz="4" w:space="0" w:color="auto"/>
            </w:tcBorders>
            <w:shd w:val="clear" w:color="000000" w:fill="FCE4D6"/>
            <w:vAlign w:val="center"/>
            <w:hideMark/>
          </w:tcPr>
          <w:p w14:paraId="6C584A32"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Întreprinderea de transport</w:t>
            </w:r>
          </w:p>
        </w:tc>
        <w:tc>
          <w:tcPr>
            <w:tcW w:w="5049" w:type="dxa"/>
            <w:gridSpan w:val="2"/>
            <w:tcBorders>
              <w:top w:val="single" w:sz="4" w:space="0" w:color="auto"/>
              <w:left w:val="nil"/>
              <w:bottom w:val="single" w:sz="4" w:space="0" w:color="auto"/>
              <w:right w:val="single" w:sz="4" w:space="0" w:color="000000"/>
            </w:tcBorders>
            <w:shd w:val="clear" w:color="000000" w:fill="FCE4D6"/>
            <w:vAlign w:val="center"/>
            <w:hideMark/>
          </w:tcPr>
          <w:p w14:paraId="122352A8" w14:textId="77777777" w:rsidR="006F07F7" w:rsidRPr="009772A3" w:rsidRDefault="006F07F7" w:rsidP="006F07F7">
            <w:pPr>
              <w:spacing w:after="0" w:line="240" w:lineRule="auto"/>
              <w:jc w:val="center"/>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OST (contul 531.1)</w:t>
            </w:r>
          </w:p>
        </w:tc>
        <w:tc>
          <w:tcPr>
            <w:tcW w:w="1053" w:type="dxa"/>
            <w:tcBorders>
              <w:top w:val="nil"/>
              <w:left w:val="nil"/>
              <w:bottom w:val="single" w:sz="4" w:space="0" w:color="auto"/>
              <w:right w:val="single" w:sz="4" w:space="0" w:color="auto"/>
            </w:tcBorders>
            <w:shd w:val="clear" w:color="000000" w:fill="FCE4D6"/>
            <w:vAlign w:val="center"/>
            <w:hideMark/>
          </w:tcPr>
          <w:p w14:paraId="7026BF7C"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101.865,1</w:t>
            </w:r>
          </w:p>
        </w:tc>
        <w:tc>
          <w:tcPr>
            <w:tcW w:w="1053" w:type="dxa"/>
            <w:tcBorders>
              <w:top w:val="nil"/>
              <w:left w:val="nil"/>
              <w:bottom w:val="single" w:sz="4" w:space="0" w:color="auto"/>
              <w:right w:val="single" w:sz="4" w:space="0" w:color="auto"/>
            </w:tcBorders>
            <w:shd w:val="clear" w:color="000000" w:fill="FCE4D6"/>
            <w:vAlign w:val="center"/>
            <w:hideMark/>
          </w:tcPr>
          <w:p w14:paraId="198CEAB1"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100.653,2</w:t>
            </w:r>
          </w:p>
        </w:tc>
        <w:tc>
          <w:tcPr>
            <w:tcW w:w="1053" w:type="dxa"/>
            <w:tcBorders>
              <w:top w:val="nil"/>
              <w:left w:val="nil"/>
              <w:bottom w:val="single" w:sz="4" w:space="0" w:color="auto"/>
              <w:right w:val="single" w:sz="4" w:space="0" w:color="auto"/>
            </w:tcBorders>
            <w:shd w:val="clear" w:color="000000" w:fill="FCE4D6"/>
            <w:vAlign w:val="center"/>
            <w:hideMark/>
          </w:tcPr>
          <w:p w14:paraId="4E14387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108.447,9</w:t>
            </w:r>
          </w:p>
        </w:tc>
        <w:tc>
          <w:tcPr>
            <w:tcW w:w="1053" w:type="dxa"/>
            <w:tcBorders>
              <w:top w:val="nil"/>
              <w:left w:val="nil"/>
              <w:bottom w:val="single" w:sz="4" w:space="0" w:color="auto"/>
              <w:right w:val="single" w:sz="4" w:space="0" w:color="auto"/>
            </w:tcBorders>
            <w:shd w:val="clear" w:color="000000" w:fill="FCE4D6"/>
            <w:vAlign w:val="center"/>
            <w:hideMark/>
          </w:tcPr>
          <w:p w14:paraId="78C798A7"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111.188,8</w:t>
            </w:r>
          </w:p>
        </w:tc>
        <w:tc>
          <w:tcPr>
            <w:tcW w:w="1053" w:type="dxa"/>
            <w:tcBorders>
              <w:top w:val="nil"/>
              <w:left w:val="nil"/>
              <w:bottom w:val="single" w:sz="4" w:space="0" w:color="auto"/>
              <w:right w:val="single" w:sz="4" w:space="0" w:color="auto"/>
            </w:tcBorders>
            <w:shd w:val="clear" w:color="000000" w:fill="FCE4D6"/>
            <w:vAlign w:val="center"/>
            <w:hideMark/>
          </w:tcPr>
          <w:p w14:paraId="1C3833E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117.354,7</w:t>
            </w:r>
          </w:p>
        </w:tc>
        <w:tc>
          <w:tcPr>
            <w:tcW w:w="1320" w:type="dxa"/>
            <w:tcBorders>
              <w:top w:val="nil"/>
              <w:left w:val="nil"/>
              <w:bottom w:val="single" w:sz="4" w:space="0" w:color="auto"/>
              <w:right w:val="single" w:sz="4" w:space="0" w:color="auto"/>
            </w:tcBorders>
            <w:shd w:val="clear" w:color="000000" w:fill="FCE4D6"/>
            <w:vAlign w:val="center"/>
            <w:hideMark/>
          </w:tcPr>
          <w:p w14:paraId="332D15A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539.509,7</w:t>
            </w:r>
          </w:p>
        </w:tc>
      </w:tr>
      <w:tr w:rsidR="006F07F7" w:rsidRPr="009772A3" w14:paraId="0519C945"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26F25A3F"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A7CD816" w14:textId="77777777" w:rsidR="006F07F7" w:rsidRPr="009772A3" w:rsidRDefault="006F07F7" w:rsidP="006F07F7">
            <w:pPr>
              <w:spacing w:after="0" w:line="240" w:lineRule="auto"/>
              <w:jc w:val="center"/>
              <w:rPr>
                <w:rFonts w:ascii="Calibri Light" w:eastAsia="Times New Roman" w:hAnsi="Calibri Light" w:cs="Calibri Light"/>
                <w:i/>
                <w:iCs/>
                <w:sz w:val="16"/>
                <w:szCs w:val="16"/>
                <w:lang w:val="ro-MD"/>
              </w:rPr>
            </w:pPr>
            <w:r w:rsidRPr="009772A3">
              <w:rPr>
                <w:rFonts w:ascii="Calibri Light" w:eastAsia="Times New Roman" w:hAnsi="Calibri Light" w:cs="Calibri Light"/>
                <w:i/>
                <w:iCs/>
                <w:sz w:val="16"/>
                <w:szCs w:val="16"/>
                <w:lang w:val="ro-MD"/>
              </w:rPr>
              <w:t>inclusiv</w:t>
            </w:r>
          </w:p>
        </w:tc>
        <w:tc>
          <w:tcPr>
            <w:tcW w:w="4366" w:type="dxa"/>
            <w:tcBorders>
              <w:top w:val="nil"/>
              <w:left w:val="nil"/>
              <w:bottom w:val="single" w:sz="4" w:space="0" w:color="auto"/>
              <w:right w:val="nil"/>
            </w:tcBorders>
            <w:shd w:val="clear" w:color="auto" w:fill="auto"/>
            <w:vAlign w:val="center"/>
            <w:hideMark/>
          </w:tcPr>
          <w:p w14:paraId="627A9C7B" w14:textId="77777777" w:rsidR="006F07F7" w:rsidRPr="009772A3" w:rsidRDefault="006F07F7" w:rsidP="006F07F7">
            <w:pPr>
              <w:spacing w:after="0" w:line="240" w:lineRule="auto"/>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Salariul din activitatea de bază a OST</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14D20862"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87.814,9</w:t>
            </w:r>
          </w:p>
        </w:tc>
        <w:tc>
          <w:tcPr>
            <w:tcW w:w="1053" w:type="dxa"/>
            <w:tcBorders>
              <w:top w:val="nil"/>
              <w:left w:val="nil"/>
              <w:bottom w:val="single" w:sz="4" w:space="0" w:color="auto"/>
              <w:right w:val="single" w:sz="4" w:space="0" w:color="auto"/>
            </w:tcBorders>
            <w:shd w:val="clear" w:color="auto" w:fill="auto"/>
            <w:vAlign w:val="center"/>
            <w:hideMark/>
          </w:tcPr>
          <w:p w14:paraId="5898481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93.933,1</w:t>
            </w:r>
          </w:p>
        </w:tc>
        <w:tc>
          <w:tcPr>
            <w:tcW w:w="1053" w:type="dxa"/>
            <w:tcBorders>
              <w:top w:val="nil"/>
              <w:left w:val="nil"/>
              <w:bottom w:val="single" w:sz="4" w:space="0" w:color="auto"/>
              <w:right w:val="single" w:sz="4" w:space="0" w:color="auto"/>
            </w:tcBorders>
            <w:shd w:val="clear" w:color="auto" w:fill="auto"/>
            <w:vAlign w:val="center"/>
            <w:hideMark/>
          </w:tcPr>
          <w:p w14:paraId="6512151C"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105.318,2</w:t>
            </w:r>
          </w:p>
        </w:tc>
        <w:tc>
          <w:tcPr>
            <w:tcW w:w="1053" w:type="dxa"/>
            <w:tcBorders>
              <w:top w:val="nil"/>
              <w:left w:val="nil"/>
              <w:bottom w:val="single" w:sz="4" w:space="0" w:color="auto"/>
              <w:right w:val="single" w:sz="4" w:space="0" w:color="auto"/>
            </w:tcBorders>
            <w:shd w:val="clear" w:color="auto" w:fill="auto"/>
            <w:vAlign w:val="center"/>
            <w:hideMark/>
          </w:tcPr>
          <w:p w14:paraId="01C0B7F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104.383,3</w:t>
            </w:r>
          </w:p>
        </w:tc>
        <w:tc>
          <w:tcPr>
            <w:tcW w:w="1053" w:type="dxa"/>
            <w:tcBorders>
              <w:top w:val="nil"/>
              <w:left w:val="nil"/>
              <w:bottom w:val="single" w:sz="4" w:space="0" w:color="auto"/>
              <w:right w:val="single" w:sz="4" w:space="0" w:color="auto"/>
            </w:tcBorders>
            <w:shd w:val="clear" w:color="auto" w:fill="auto"/>
            <w:vAlign w:val="center"/>
            <w:hideMark/>
          </w:tcPr>
          <w:p w14:paraId="595DCAE1"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111.412,9</w:t>
            </w:r>
          </w:p>
        </w:tc>
        <w:tc>
          <w:tcPr>
            <w:tcW w:w="1320" w:type="dxa"/>
            <w:tcBorders>
              <w:top w:val="nil"/>
              <w:left w:val="nil"/>
              <w:bottom w:val="single" w:sz="4" w:space="0" w:color="auto"/>
              <w:right w:val="single" w:sz="4" w:space="0" w:color="auto"/>
            </w:tcBorders>
            <w:shd w:val="clear" w:color="auto" w:fill="auto"/>
            <w:vAlign w:val="center"/>
            <w:hideMark/>
          </w:tcPr>
          <w:p w14:paraId="7E3CFF4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502.862,4</w:t>
            </w:r>
          </w:p>
        </w:tc>
      </w:tr>
      <w:tr w:rsidR="006F07F7" w:rsidRPr="009772A3" w14:paraId="0780DAAD"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494B0F64"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tcBorders>
              <w:top w:val="nil"/>
              <w:left w:val="single" w:sz="4" w:space="0" w:color="auto"/>
              <w:bottom w:val="single" w:sz="4" w:space="0" w:color="000000"/>
              <w:right w:val="single" w:sz="4" w:space="0" w:color="auto"/>
            </w:tcBorders>
            <w:vAlign w:val="center"/>
            <w:hideMark/>
          </w:tcPr>
          <w:p w14:paraId="5F9A596D" w14:textId="77777777" w:rsidR="006F07F7" w:rsidRPr="009772A3" w:rsidRDefault="006F07F7" w:rsidP="006F07F7">
            <w:pPr>
              <w:spacing w:after="0" w:line="240" w:lineRule="auto"/>
              <w:rPr>
                <w:rFonts w:ascii="Calibri Light" w:eastAsia="Times New Roman" w:hAnsi="Calibri Light" w:cs="Calibri Light"/>
                <w:i/>
                <w:iCs/>
                <w:sz w:val="16"/>
                <w:szCs w:val="16"/>
                <w:lang w:val="ro-MD"/>
              </w:rPr>
            </w:pPr>
          </w:p>
        </w:tc>
        <w:tc>
          <w:tcPr>
            <w:tcW w:w="4366" w:type="dxa"/>
            <w:tcBorders>
              <w:top w:val="nil"/>
              <w:left w:val="nil"/>
              <w:bottom w:val="single" w:sz="4" w:space="0" w:color="auto"/>
              <w:right w:val="nil"/>
            </w:tcBorders>
            <w:shd w:val="clear" w:color="auto" w:fill="auto"/>
            <w:vAlign w:val="center"/>
            <w:hideMark/>
          </w:tcPr>
          <w:p w14:paraId="3F658C3B" w14:textId="0B4B9014" w:rsidR="006F07F7" w:rsidRPr="009772A3" w:rsidRDefault="006F07F7" w:rsidP="006F07F7">
            <w:pPr>
              <w:spacing w:after="0" w:line="240" w:lineRule="auto"/>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 xml:space="preserve">Salariul </w:t>
            </w:r>
            <w:r w:rsidR="00701CAA" w:rsidRPr="009772A3">
              <w:rPr>
                <w:rFonts w:ascii="Calibri Light" w:eastAsia="Times New Roman" w:hAnsi="Calibri Light" w:cs="Calibri Light"/>
                <w:sz w:val="16"/>
                <w:szCs w:val="16"/>
                <w:lang w:val="ro-MD"/>
              </w:rPr>
              <w:t xml:space="preserve">din </w:t>
            </w:r>
            <w:r w:rsidRPr="009772A3">
              <w:rPr>
                <w:rFonts w:ascii="Calibri Light" w:eastAsia="Times New Roman" w:hAnsi="Calibri Light" w:cs="Calibri Light"/>
                <w:sz w:val="16"/>
                <w:szCs w:val="16"/>
                <w:lang w:val="ro-MD"/>
              </w:rPr>
              <w:t>activitatea auxiliară</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35C180E9"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4.642,2</w:t>
            </w:r>
          </w:p>
        </w:tc>
        <w:tc>
          <w:tcPr>
            <w:tcW w:w="1053" w:type="dxa"/>
            <w:tcBorders>
              <w:top w:val="nil"/>
              <w:left w:val="nil"/>
              <w:bottom w:val="single" w:sz="4" w:space="0" w:color="auto"/>
              <w:right w:val="single" w:sz="4" w:space="0" w:color="auto"/>
            </w:tcBorders>
            <w:shd w:val="clear" w:color="auto" w:fill="auto"/>
            <w:vAlign w:val="center"/>
            <w:hideMark/>
          </w:tcPr>
          <w:p w14:paraId="5B7B3D70"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3.973,1</w:t>
            </w:r>
          </w:p>
        </w:tc>
        <w:tc>
          <w:tcPr>
            <w:tcW w:w="1053" w:type="dxa"/>
            <w:tcBorders>
              <w:top w:val="nil"/>
              <w:left w:val="nil"/>
              <w:bottom w:val="single" w:sz="4" w:space="0" w:color="auto"/>
              <w:right w:val="single" w:sz="4" w:space="0" w:color="auto"/>
            </w:tcBorders>
            <w:shd w:val="clear" w:color="auto" w:fill="auto"/>
            <w:vAlign w:val="center"/>
            <w:hideMark/>
          </w:tcPr>
          <w:p w14:paraId="21F0E6E1"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1.253,7</w:t>
            </w:r>
          </w:p>
        </w:tc>
        <w:tc>
          <w:tcPr>
            <w:tcW w:w="1053" w:type="dxa"/>
            <w:tcBorders>
              <w:top w:val="nil"/>
              <w:left w:val="nil"/>
              <w:bottom w:val="single" w:sz="4" w:space="0" w:color="auto"/>
              <w:right w:val="single" w:sz="4" w:space="0" w:color="auto"/>
            </w:tcBorders>
            <w:shd w:val="clear" w:color="auto" w:fill="auto"/>
            <w:vAlign w:val="center"/>
            <w:hideMark/>
          </w:tcPr>
          <w:p w14:paraId="31D5FC83"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1.787,7</w:t>
            </w:r>
          </w:p>
        </w:tc>
        <w:tc>
          <w:tcPr>
            <w:tcW w:w="1053" w:type="dxa"/>
            <w:tcBorders>
              <w:top w:val="nil"/>
              <w:left w:val="nil"/>
              <w:bottom w:val="single" w:sz="4" w:space="0" w:color="auto"/>
              <w:right w:val="single" w:sz="4" w:space="0" w:color="auto"/>
            </w:tcBorders>
            <w:shd w:val="clear" w:color="auto" w:fill="auto"/>
            <w:vAlign w:val="center"/>
            <w:hideMark/>
          </w:tcPr>
          <w:p w14:paraId="7944FEF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2.589,8</w:t>
            </w:r>
          </w:p>
        </w:tc>
        <w:tc>
          <w:tcPr>
            <w:tcW w:w="1320" w:type="dxa"/>
            <w:tcBorders>
              <w:top w:val="nil"/>
              <w:left w:val="nil"/>
              <w:bottom w:val="single" w:sz="4" w:space="0" w:color="auto"/>
              <w:right w:val="single" w:sz="4" w:space="0" w:color="auto"/>
            </w:tcBorders>
            <w:shd w:val="clear" w:color="auto" w:fill="auto"/>
            <w:vAlign w:val="center"/>
            <w:hideMark/>
          </w:tcPr>
          <w:p w14:paraId="66F6073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14.246,5</w:t>
            </w:r>
          </w:p>
        </w:tc>
      </w:tr>
      <w:tr w:rsidR="006F07F7" w:rsidRPr="009772A3" w14:paraId="7E172173" w14:textId="77777777" w:rsidTr="00CF3AD4">
        <w:trPr>
          <w:trHeight w:val="480"/>
        </w:trPr>
        <w:tc>
          <w:tcPr>
            <w:tcW w:w="1360" w:type="dxa"/>
            <w:vMerge/>
            <w:tcBorders>
              <w:top w:val="nil"/>
              <w:left w:val="single" w:sz="4" w:space="0" w:color="auto"/>
              <w:bottom w:val="single" w:sz="4" w:space="0" w:color="auto"/>
              <w:right w:val="single" w:sz="4" w:space="0" w:color="auto"/>
            </w:tcBorders>
            <w:vAlign w:val="center"/>
            <w:hideMark/>
          </w:tcPr>
          <w:p w14:paraId="7551C9B4"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683" w:type="dxa"/>
            <w:vMerge/>
            <w:tcBorders>
              <w:top w:val="nil"/>
              <w:left w:val="single" w:sz="4" w:space="0" w:color="auto"/>
              <w:bottom w:val="single" w:sz="4" w:space="0" w:color="000000"/>
              <w:right w:val="single" w:sz="4" w:space="0" w:color="auto"/>
            </w:tcBorders>
            <w:vAlign w:val="center"/>
            <w:hideMark/>
          </w:tcPr>
          <w:p w14:paraId="5DB3FAB2" w14:textId="77777777" w:rsidR="006F07F7" w:rsidRPr="009772A3" w:rsidRDefault="006F07F7" w:rsidP="006F07F7">
            <w:pPr>
              <w:spacing w:after="0" w:line="240" w:lineRule="auto"/>
              <w:rPr>
                <w:rFonts w:ascii="Calibri Light" w:eastAsia="Times New Roman" w:hAnsi="Calibri Light" w:cs="Calibri Light"/>
                <w:i/>
                <w:iCs/>
                <w:sz w:val="16"/>
                <w:szCs w:val="16"/>
                <w:lang w:val="ro-MD"/>
              </w:rPr>
            </w:pPr>
          </w:p>
        </w:tc>
        <w:tc>
          <w:tcPr>
            <w:tcW w:w="4366" w:type="dxa"/>
            <w:tcBorders>
              <w:top w:val="nil"/>
              <w:left w:val="nil"/>
              <w:bottom w:val="single" w:sz="4" w:space="0" w:color="auto"/>
              <w:right w:val="nil"/>
            </w:tcBorders>
            <w:shd w:val="clear" w:color="auto" w:fill="auto"/>
            <w:vAlign w:val="center"/>
            <w:hideMark/>
          </w:tcPr>
          <w:p w14:paraId="5CA565B0" w14:textId="34C9730A" w:rsidR="006F07F7" w:rsidRPr="009772A3" w:rsidRDefault="006F07F7" w:rsidP="00701CAA">
            <w:pPr>
              <w:spacing w:after="0" w:line="240" w:lineRule="auto"/>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Alte pl</w:t>
            </w:r>
            <w:r w:rsidR="00701CAA" w:rsidRPr="009772A3">
              <w:rPr>
                <w:rFonts w:ascii="Calibri Light" w:eastAsia="Times New Roman" w:hAnsi="Calibri Light" w:cs="Calibri Light"/>
                <w:sz w:val="16"/>
                <w:szCs w:val="16"/>
                <w:lang w:val="ro-MD"/>
              </w:rPr>
              <w:t>ă</w:t>
            </w:r>
            <w:r w:rsidRPr="009772A3">
              <w:rPr>
                <w:rFonts w:ascii="Calibri Light" w:eastAsia="Times New Roman" w:hAnsi="Calibri Light" w:cs="Calibri Light"/>
                <w:sz w:val="16"/>
                <w:szCs w:val="16"/>
                <w:lang w:val="ro-MD"/>
              </w:rPr>
              <w:t xml:space="preserve">ți </w:t>
            </w:r>
            <w:r w:rsidRPr="009772A3">
              <w:rPr>
                <w:rFonts w:ascii="Calibri Light" w:eastAsia="Times New Roman" w:hAnsi="Calibri Light" w:cs="Calibri Light"/>
                <w:i/>
                <w:iCs/>
                <w:sz w:val="16"/>
                <w:szCs w:val="16"/>
                <w:lang w:val="ro-MD"/>
              </w:rPr>
              <w:t>(</w:t>
            </w:r>
            <w:r w:rsidR="00701CAA" w:rsidRPr="009772A3">
              <w:rPr>
                <w:rFonts w:ascii="Calibri Light" w:eastAsia="Times New Roman" w:hAnsi="Calibri Light" w:cs="Calibri Light"/>
                <w:i/>
                <w:iCs/>
                <w:sz w:val="16"/>
                <w:szCs w:val="16"/>
                <w:lang w:val="ro-MD"/>
              </w:rPr>
              <w:t>p</w:t>
            </w:r>
            <w:r w:rsidRPr="009772A3">
              <w:rPr>
                <w:rFonts w:ascii="Calibri Light" w:eastAsia="Times New Roman" w:hAnsi="Calibri Light" w:cs="Calibri Light"/>
                <w:i/>
                <w:iCs/>
                <w:sz w:val="16"/>
                <w:szCs w:val="16"/>
                <w:lang w:val="ro-MD"/>
              </w:rPr>
              <w:t>l</w:t>
            </w:r>
            <w:r w:rsidR="00701CAA" w:rsidRPr="009772A3">
              <w:rPr>
                <w:rFonts w:ascii="Calibri Light" w:eastAsia="Times New Roman" w:hAnsi="Calibri Light" w:cs="Calibri Light"/>
                <w:i/>
                <w:iCs/>
                <w:sz w:val="16"/>
                <w:szCs w:val="16"/>
                <w:lang w:val="ro-MD"/>
              </w:rPr>
              <w:t>ă</w:t>
            </w:r>
            <w:r w:rsidRPr="009772A3">
              <w:rPr>
                <w:rFonts w:ascii="Calibri Light" w:eastAsia="Times New Roman" w:hAnsi="Calibri Light" w:cs="Calibri Light"/>
                <w:i/>
                <w:iCs/>
                <w:sz w:val="16"/>
                <w:szCs w:val="16"/>
                <w:lang w:val="ro-MD"/>
              </w:rPr>
              <w:t xml:space="preserve">ti conform CCM, </w:t>
            </w:r>
            <w:r w:rsidR="00701CAA" w:rsidRPr="009772A3">
              <w:rPr>
                <w:rFonts w:ascii="Calibri Light" w:eastAsia="Times New Roman" w:hAnsi="Calibri Light" w:cs="Calibri Light"/>
                <w:i/>
                <w:iCs/>
                <w:sz w:val="16"/>
                <w:szCs w:val="16"/>
                <w:lang w:val="ro-MD"/>
              </w:rPr>
              <w:t>s</w:t>
            </w:r>
            <w:r w:rsidRPr="009772A3">
              <w:rPr>
                <w:rFonts w:ascii="Calibri Light" w:eastAsia="Times New Roman" w:hAnsi="Calibri Light" w:cs="Calibri Light"/>
                <w:i/>
                <w:iCs/>
                <w:sz w:val="16"/>
                <w:szCs w:val="16"/>
                <w:lang w:val="ro-MD"/>
              </w:rPr>
              <w:t>ta</w:t>
            </w:r>
            <w:r w:rsidR="00701CAA" w:rsidRPr="009772A3">
              <w:rPr>
                <w:rFonts w:ascii="Calibri Light" w:eastAsia="Times New Roman" w:hAnsi="Calibri Light" w:cs="Calibri Light"/>
                <w:i/>
                <w:iCs/>
                <w:sz w:val="16"/>
                <w:szCs w:val="16"/>
                <w:lang w:val="ro-MD"/>
              </w:rPr>
              <w:t>ț</w:t>
            </w:r>
            <w:r w:rsidRPr="009772A3">
              <w:rPr>
                <w:rFonts w:ascii="Calibri Light" w:eastAsia="Times New Roman" w:hAnsi="Calibri Light" w:cs="Calibri Light"/>
                <w:i/>
                <w:iCs/>
                <w:sz w:val="16"/>
                <w:szCs w:val="16"/>
                <w:lang w:val="ro-MD"/>
              </w:rPr>
              <w:t xml:space="preserve">ionarea, </w:t>
            </w:r>
            <w:r w:rsidR="00701CAA" w:rsidRPr="009772A3">
              <w:rPr>
                <w:rFonts w:ascii="Calibri Light" w:eastAsia="Times New Roman" w:hAnsi="Calibri Light" w:cs="Calibri Light"/>
                <w:i/>
                <w:iCs/>
                <w:sz w:val="16"/>
                <w:szCs w:val="16"/>
                <w:lang w:val="ro-MD"/>
              </w:rPr>
              <w:t>c</w:t>
            </w:r>
            <w:r w:rsidRPr="009772A3">
              <w:rPr>
                <w:rFonts w:ascii="Calibri Light" w:eastAsia="Times New Roman" w:hAnsi="Calibri Light" w:cs="Calibri Light"/>
                <w:i/>
                <w:iCs/>
                <w:sz w:val="16"/>
                <w:szCs w:val="16"/>
                <w:lang w:val="ro-MD"/>
              </w:rPr>
              <w:t>helt</w:t>
            </w:r>
            <w:r w:rsidR="00701CAA" w:rsidRPr="009772A3">
              <w:rPr>
                <w:rFonts w:ascii="Calibri Light" w:eastAsia="Times New Roman" w:hAnsi="Calibri Light" w:cs="Calibri Light"/>
                <w:i/>
                <w:iCs/>
                <w:sz w:val="16"/>
                <w:szCs w:val="16"/>
                <w:lang w:val="ro-MD"/>
              </w:rPr>
              <w:t>uieli aferente</w:t>
            </w:r>
            <w:r w:rsidRPr="009772A3">
              <w:rPr>
                <w:rFonts w:ascii="Calibri Light" w:eastAsia="Times New Roman" w:hAnsi="Calibri Light" w:cs="Calibri Light"/>
                <w:i/>
                <w:iCs/>
                <w:sz w:val="16"/>
                <w:szCs w:val="16"/>
                <w:lang w:val="ro-MD"/>
              </w:rPr>
              <w:t xml:space="preserve"> investi</w:t>
            </w:r>
            <w:r w:rsidR="00701CAA" w:rsidRPr="009772A3">
              <w:rPr>
                <w:rFonts w:ascii="Calibri Light" w:eastAsia="Times New Roman" w:hAnsi="Calibri Light" w:cs="Calibri Light"/>
                <w:i/>
                <w:iCs/>
                <w:sz w:val="16"/>
                <w:szCs w:val="16"/>
                <w:lang w:val="ro-MD"/>
              </w:rPr>
              <w:t>ț</w:t>
            </w:r>
            <w:r w:rsidRPr="009772A3">
              <w:rPr>
                <w:rFonts w:ascii="Calibri Light" w:eastAsia="Times New Roman" w:hAnsi="Calibri Light" w:cs="Calibri Light"/>
                <w:i/>
                <w:iCs/>
                <w:sz w:val="16"/>
                <w:szCs w:val="16"/>
                <w:lang w:val="ro-MD"/>
              </w:rPr>
              <w:t>ii</w:t>
            </w:r>
            <w:r w:rsidR="00701CAA" w:rsidRPr="009772A3">
              <w:rPr>
                <w:rFonts w:ascii="Calibri Light" w:eastAsia="Times New Roman" w:hAnsi="Calibri Light" w:cs="Calibri Light"/>
                <w:i/>
                <w:iCs/>
                <w:sz w:val="16"/>
                <w:szCs w:val="16"/>
                <w:lang w:val="ro-MD"/>
              </w:rPr>
              <w:t>lor</w:t>
            </w:r>
            <w:r w:rsidRPr="009772A3">
              <w:rPr>
                <w:rFonts w:ascii="Calibri Light" w:eastAsia="Times New Roman" w:hAnsi="Calibri Light" w:cs="Calibri Light"/>
                <w:i/>
                <w:iCs/>
                <w:sz w:val="16"/>
                <w:szCs w:val="16"/>
                <w:lang w:val="ro-MD"/>
              </w:rPr>
              <w:t>, repara</w:t>
            </w:r>
            <w:r w:rsidR="00701CAA" w:rsidRPr="009772A3">
              <w:rPr>
                <w:rFonts w:ascii="Calibri Light" w:eastAsia="Times New Roman" w:hAnsi="Calibri Light" w:cs="Calibri Light"/>
                <w:i/>
                <w:iCs/>
                <w:sz w:val="16"/>
                <w:szCs w:val="16"/>
                <w:lang w:val="ro-MD"/>
              </w:rPr>
              <w:t>ț</w:t>
            </w:r>
            <w:r w:rsidRPr="009772A3">
              <w:rPr>
                <w:rFonts w:ascii="Calibri Light" w:eastAsia="Times New Roman" w:hAnsi="Calibri Light" w:cs="Calibri Light"/>
                <w:i/>
                <w:iCs/>
                <w:sz w:val="16"/>
                <w:szCs w:val="16"/>
                <w:lang w:val="ro-MD"/>
              </w:rPr>
              <w:t>ia mijloacelor fixe ș</w:t>
            </w:r>
            <w:r w:rsidR="00701CAA" w:rsidRPr="009772A3">
              <w:rPr>
                <w:rFonts w:ascii="Calibri Light" w:eastAsia="Times New Roman" w:hAnsi="Calibri Light" w:cs="Calibri Light"/>
                <w:i/>
                <w:iCs/>
                <w:sz w:val="16"/>
                <w:szCs w:val="16"/>
                <w:lang w:val="ro-MD"/>
              </w:rPr>
              <w:t>.</w:t>
            </w:r>
            <w:r w:rsidRPr="009772A3">
              <w:rPr>
                <w:rFonts w:ascii="Calibri Light" w:eastAsia="Times New Roman" w:hAnsi="Calibri Light" w:cs="Calibri Light"/>
                <w:i/>
                <w:iCs/>
                <w:sz w:val="16"/>
                <w:szCs w:val="16"/>
                <w:lang w:val="ro-MD"/>
              </w:rPr>
              <w:t>a.)</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503B07C6"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9.408,0</w:t>
            </w:r>
          </w:p>
        </w:tc>
        <w:tc>
          <w:tcPr>
            <w:tcW w:w="1053" w:type="dxa"/>
            <w:tcBorders>
              <w:top w:val="nil"/>
              <w:left w:val="nil"/>
              <w:bottom w:val="single" w:sz="4" w:space="0" w:color="auto"/>
              <w:right w:val="single" w:sz="4" w:space="0" w:color="auto"/>
            </w:tcBorders>
            <w:shd w:val="clear" w:color="auto" w:fill="auto"/>
            <w:vAlign w:val="center"/>
            <w:hideMark/>
          </w:tcPr>
          <w:p w14:paraId="03A613E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2.747,0</w:t>
            </w:r>
          </w:p>
        </w:tc>
        <w:tc>
          <w:tcPr>
            <w:tcW w:w="1053" w:type="dxa"/>
            <w:tcBorders>
              <w:top w:val="nil"/>
              <w:left w:val="nil"/>
              <w:bottom w:val="single" w:sz="4" w:space="0" w:color="auto"/>
              <w:right w:val="single" w:sz="4" w:space="0" w:color="auto"/>
            </w:tcBorders>
            <w:shd w:val="clear" w:color="auto" w:fill="auto"/>
            <w:vAlign w:val="center"/>
            <w:hideMark/>
          </w:tcPr>
          <w:p w14:paraId="1556E1CF"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1.876,0</w:t>
            </w:r>
          </w:p>
        </w:tc>
        <w:tc>
          <w:tcPr>
            <w:tcW w:w="1053" w:type="dxa"/>
            <w:tcBorders>
              <w:top w:val="nil"/>
              <w:left w:val="nil"/>
              <w:bottom w:val="single" w:sz="4" w:space="0" w:color="auto"/>
              <w:right w:val="single" w:sz="4" w:space="0" w:color="auto"/>
            </w:tcBorders>
            <w:shd w:val="clear" w:color="auto" w:fill="auto"/>
            <w:vAlign w:val="center"/>
            <w:hideMark/>
          </w:tcPr>
          <w:p w14:paraId="412187F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5.017,8</w:t>
            </w:r>
          </w:p>
        </w:tc>
        <w:tc>
          <w:tcPr>
            <w:tcW w:w="1053" w:type="dxa"/>
            <w:tcBorders>
              <w:top w:val="nil"/>
              <w:left w:val="nil"/>
              <w:bottom w:val="single" w:sz="4" w:space="0" w:color="auto"/>
              <w:right w:val="single" w:sz="4" w:space="0" w:color="auto"/>
            </w:tcBorders>
            <w:shd w:val="clear" w:color="auto" w:fill="auto"/>
            <w:vAlign w:val="center"/>
            <w:hideMark/>
          </w:tcPr>
          <w:p w14:paraId="3E699FF7"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3.352,0</w:t>
            </w:r>
          </w:p>
        </w:tc>
        <w:tc>
          <w:tcPr>
            <w:tcW w:w="1320" w:type="dxa"/>
            <w:tcBorders>
              <w:top w:val="nil"/>
              <w:left w:val="nil"/>
              <w:bottom w:val="single" w:sz="4" w:space="0" w:color="auto"/>
              <w:right w:val="single" w:sz="4" w:space="0" w:color="auto"/>
            </w:tcBorders>
            <w:shd w:val="clear" w:color="auto" w:fill="auto"/>
            <w:vAlign w:val="center"/>
            <w:hideMark/>
          </w:tcPr>
          <w:p w14:paraId="752A9806"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22.400,8</w:t>
            </w:r>
          </w:p>
        </w:tc>
      </w:tr>
      <w:tr w:rsidR="006F07F7" w:rsidRPr="009772A3" w14:paraId="6C6BC6F1"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586B41F8"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FCE4D6"/>
            <w:vAlign w:val="center"/>
            <w:hideMark/>
          </w:tcPr>
          <w:p w14:paraId="25CEB76A" w14:textId="77777777" w:rsidR="006F07F7" w:rsidRPr="009772A3" w:rsidRDefault="006F07F7" w:rsidP="006F07F7">
            <w:pPr>
              <w:spacing w:after="0" w:line="240" w:lineRule="auto"/>
              <w:jc w:val="center"/>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Acceptat de ANRE</w:t>
            </w:r>
          </w:p>
        </w:tc>
        <w:tc>
          <w:tcPr>
            <w:tcW w:w="1053" w:type="dxa"/>
            <w:tcBorders>
              <w:top w:val="nil"/>
              <w:left w:val="nil"/>
              <w:bottom w:val="single" w:sz="4" w:space="0" w:color="auto"/>
              <w:right w:val="single" w:sz="4" w:space="0" w:color="auto"/>
            </w:tcBorders>
            <w:shd w:val="clear" w:color="000000" w:fill="FCE4D6"/>
            <w:vAlign w:val="center"/>
            <w:hideMark/>
          </w:tcPr>
          <w:p w14:paraId="065F1BB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82.521,3</w:t>
            </w:r>
          </w:p>
        </w:tc>
        <w:tc>
          <w:tcPr>
            <w:tcW w:w="1053" w:type="dxa"/>
            <w:tcBorders>
              <w:top w:val="nil"/>
              <w:left w:val="nil"/>
              <w:bottom w:val="single" w:sz="4" w:space="0" w:color="auto"/>
              <w:right w:val="single" w:sz="4" w:space="0" w:color="auto"/>
            </w:tcBorders>
            <w:shd w:val="clear" w:color="000000" w:fill="FCE4D6"/>
            <w:vAlign w:val="center"/>
            <w:hideMark/>
          </w:tcPr>
          <w:p w14:paraId="09B672BB"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91.423,1</w:t>
            </w:r>
          </w:p>
        </w:tc>
        <w:tc>
          <w:tcPr>
            <w:tcW w:w="1053" w:type="dxa"/>
            <w:tcBorders>
              <w:top w:val="nil"/>
              <w:left w:val="nil"/>
              <w:bottom w:val="single" w:sz="4" w:space="0" w:color="auto"/>
              <w:right w:val="single" w:sz="4" w:space="0" w:color="auto"/>
            </w:tcBorders>
            <w:shd w:val="clear" w:color="000000" w:fill="FCE4D6"/>
            <w:vAlign w:val="center"/>
            <w:hideMark/>
          </w:tcPr>
          <w:p w14:paraId="375C1519"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98.159,5</w:t>
            </w:r>
          </w:p>
        </w:tc>
        <w:tc>
          <w:tcPr>
            <w:tcW w:w="1053" w:type="dxa"/>
            <w:tcBorders>
              <w:top w:val="nil"/>
              <w:left w:val="nil"/>
              <w:bottom w:val="single" w:sz="4" w:space="0" w:color="auto"/>
              <w:right w:val="single" w:sz="4" w:space="0" w:color="auto"/>
            </w:tcBorders>
            <w:shd w:val="clear" w:color="000000" w:fill="FCE4D6"/>
            <w:vAlign w:val="center"/>
            <w:hideMark/>
          </w:tcPr>
          <w:p w14:paraId="62A23D8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82.065,9</w:t>
            </w:r>
          </w:p>
        </w:tc>
        <w:tc>
          <w:tcPr>
            <w:tcW w:w="1053" w:type="dxa"/>
            <w:tcBorders>
              <w:top w:val="nil"/>
              <w:left w:val="nil"/>
              <w:bottom w:val="single" w:sz="4" w:space="0" w:color="auto"/>
              <w:right w:val="single" w:sz="4" w:space="0" w:color="auto"/>
            </w:tcBorders>
            <w:shd w:val="clear" w:color="000000" w:fill="FCE4D6"/>
            <w:vAlign w:val="center"/>
            <w:hideMark/>
          </w:tcPr>
          <w:p w14:paraId="051EDE34"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85.833,1</w:t>
            </w:r>
          </w:p>
        </w:tc>
        <w:tc>
          <w:tcPr>
            <w:tcW w:w="1320" w:type="dxa"/>
            <w:tcBorders>
              <w:top w:val="nil"/>
              <w:left w:val="nil"/>
              <w:bottom w:val="single" w:sz="4" w:space="0" w:color="auto"/>
              <w:right w:val="single" w:sz="4" w:space="0" w:color="auto"/>
            </w:tcBorders>
            <w:shd w:val="clear" w:color="000000" w:fill="FCE4D6"/>
            <w:vAlign w:val="center"/>
            <w:hideMark/>
          </w:tcPr>
          <w:p w14:paraId="0C3F1DE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440.002,9</w:t>
            </w:r>
          </w:p>
        </w:tc>
      </w:tr>
      <w:tr w:rsidR="006F07F7" w:rsidRPr="009772A3" w14:paraId="36C2F5F1"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7DBBEE14"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FCE4D6"/>
            <w:vAlign w:val="center"/>
            <w:hideMark/>
          </w:tcPr>
          <w:p w14:paraId="2DA97013" w14:textId="77777777" w:rsidR="006F07F7" w:rsidRPr="009772A3" w:rsidRDefault="006F07F7" w:rsidP="006F07F7">
            <w:pPr>
              <w:spacing w:after="0" w:line="240" w:lineRule="auto"/>
              <w:jc w:val="center"/>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w:t>
            </w:r>
          </w:p>
        </w:tc>
        <w:tc>
          <w:tcPr>
            <w:tcW w:w="1053" w:type="dxa"/>
            <w:tcBorders>
              <w:top w:val="nil"/>
              <w:left w:val="nil"/>
              <w:bottom w:val="single" w:sz="4" w:space="0" w:color="auto"/>
              <w:right w:val="single" w:sz="4" w:space="0" w:color="auto"/>
            </w:tcBorders>
            <w:shd w:val="clear" w:color="000000" w:fill="FCE4D6"/>
            <w:vAlign w:val="center"/>
            <w:hideMark/>
          </w:tcPr>
          <w:p w14:paraId="583D57A7"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81,0</w:t>
            </w:r>
          </w:p>
        </w:tc>
        <w:tc>
          <w:tcPr>
            <w:tcW w:w="1053" w:type="dxa"/>
            <w:tcBorders>
              <w:top w:val="nil"/>
              <w:left w:val="nil"/>
              <w:bottom w:val="single" w:sz="4" w:space="0" w:color="auto"/>
              <w:right w:val="single" w:sz="4" w:space="0" w:color="auto"/>
            </w:tcBorders>
            <w:shd w:val="clear" w:color="000000" w:fill="FCE4D6"/>
            <w:vAlign w:val="center"/>
            <w:hideMark/>
          </w:tcPr>
          <w:p w14:paraId="445877D6"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90,8</w:t>
            </w:r>
          </w:p>
        </w:tc>
        <w:tc>
          <w:tcPr>
            <w:tcW w:w="1053" w:type="dxa"/>
            <w:tcBorders>
              <w:top w:val="nil"/>
              <w:left w:val="nil"/>
              <w:bottom w:val="single" w:sz="4" w:space="0" w:color="auto"/>
              <w:right w:val="single" w:sz="4" w:space="0" w:color="auto"/>
            </w:tcBorders>
            <w:shd w:val="clear" w:color="000000" w:fill="FCE4D6"/>
            <w:vAlign w:val="center"/>
            <w:hideMark/>
          </w:tcPr>
          <w:p w14:paraId="10FA223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90,5</w:t>
            </w:r>
          </w:p>
        </w:tc>
        <w:tc>
          <w:tcPr>
            <w:tcW w:w="1053" w:type="dxa"/>
            <w:tcBorders>
              <w:top w:val="nil"/>
              <w:left w:val="nil"/>
              <w:bottom w:val="single" w:sz="4" w:space="0" w:color="auto"/>
              <w:right w:val="single" w:sz="4" w:space="0" w:color="auto"/>
            </w:tcBorders>
            <w:shd w:val="clear" w:color="000000" w:fill="FCE4D6"/>
            <w:vAlign w:val="center"/>
            <w:hideMark/>
          </w:tcPr>
          <w:p w14:paraId="67003B4D"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73,8</w:t>
            </w:r>
          </w:p>
        </w:tc>
        <w:tc>
          <w:tcPr>
            <w:tcW w:w="1053" w:type="dxa"/>
            <w:tcBorders>
              <w:top w:val="nil"/>
              <w:left w:val="nil"/>
              <w:bottom w:val="single" w:sz="4" w:space="0" w:color="auto"/>
              <w:right w:val="single" w:sz="4" w:space="0" w:color="auto"/>
            </w:tcBorders>
            <w:shd w:val="clear" w:color="000000" w:fill="FCE4D6"/>
            <w:vAlign w:val="center"/>
            <w:hideMark/>
          </w:tcPr>
          <w:p w14:paraId="0EEFDB35"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73,1</w:t>
            </w:r>
          </w:p>
        </w:tc>
        <w:tc>
          <w:tcPr>
            <w:tcW w:w="1320" w:type="dxa"/>
            <w:tcBorders>
              <w:top w:val="nil"/>
              <w:left w:val="nil"/>
              <w:bottom w:val="single" w:sz="4" w:space="0" w:color="auto"/>
              <w:right w:val="single" w:sz="4" w:space="0" w:color="auto"/>
            </w:tcBorders>
            <w:shd w:val="clear" w:color="000000" w:fill="FCE4D6"/>
            <w:vAlign w:val="center"/>
            <w:hideMark/>
          </w:tcPr>
          <w:p w14:paraId="22B938C1" w14:textId="77777777" w:rsidR="006F07F7" w:rsidRPr="009772A3" w:rsidRDefault="006F07F7" w:rsidP="006F07F7">
            <w:pPr>
              <w:spacing w:after="0" w:line="240" w:lineRule="auto"/>
              <w:jc w:val="right"/>
              <w:rPr>
                <w:rFonts w:ascii="Calibri Light" w:eastAsia="Times New Roman" w:hAnsi="Calibri Light" w:cs="Calibri Light"/>
                <w:sz w:val="16"/>
                <w:szCs w:val="16"/>
                <w:lang w:val="ro-MD"/>
              </w:rPr>
            </w:pPr>
            <w:r w:rsidRPr="009772A3">
              <w:rPr>
                <w:rFonts w:ascii="Calibri Light" w:eastAsia="Times New Roman" w:hAnsi="Calibri Light" w:cs="Calibri Light"/>
                <w:sz w:val="16"/>
                <w:szCs w:val="16"/>
                <w:lang w:val="ro-MD"/>
              </w:rPr>
              <w:t>81,6</w:t>
            </w:r>
          </w:p>
        </w:tc>
      </w:tr>
      <w:tr w:rsidR="005E7563" w:rsidRPr="009772A3" w14:paraId="50A75202" w14:textId="77777777" w:rsidTr="00CF3AD4">
        <w:trPr>
          <w:trHeight w:val="240"/>
        </w:trPr>
        <w:tc>
          <w:tcPr>
            <w:tcW w:w="1360" w:type="dxa"/>
            <w:vMerge w:val="restart"/>
            <w:tcBorders>
              <w:top w:val="nil"/>
              <w:left w:val="single" w:sz="4" w:space="0" w:color="auto"/>
              <w:bottom w:val="single" w:sz="4" w:space="0" w:color="auto"/>
              <w:right w:val="single" w:sz="4" w:space="0" w:color="auto"/>
            </w:tcBorders>
            <w:shd w:val="clear" w:color="000000" w:fill="BDD7EE"/>
            <w:vAlign w:val="center"/>
            <w:hideMark/>
          </w:tcPr>
          <w:p w14:paraId="7061F05F"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Total pe sistemul SA Moldovagaz</w:t>
            </w: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784F53D6"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Cheltuieli de remunerare a muncii</w:t>
            </w:r>
          </w:p>
        </w:tc>
        <w:tc>
          <w:tcPr>
            <w:tcW w:w="1053" w:type="dxa"/>
            <w:tcBorders>
              <w:top w:val="nil"/>
              <w:left w:val="nil"/>
              <w:bottom w:val="single" w:sz="4" w:space="0" w:color="auto"/>
              <w:right w:val="single" w:sz="4" w:space="0" w:color="auto"/>
            </w:tcBorders>
            <w:shd w:val="clear" w:color="000000" w:fill="BDD7EE"/>
            <w:vAlign w:val="center"/>
            <w:hideMark/>
          </w:tcPr>
          <w:p w14:paraId="1650252B"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671.447,7</w:t>
            </w:r>
          </w:p>
        </w:tc>
        <w:tc>
          <w:tcPr>
            <w:tcW w:w="1053" w:type="dxa"/>
            <w:tcBorders>
              <w:top w:val="nil"/>
              <w:left w:val="nil"/>
              <w:bottom w:val="single" w:sz="4" w:space="0" w:color="auto"/>
              <w:right w:val="single" w:sz="4" w:space="0" w:color="auto"/>
            </w:tcBorders>
            <w:shd w:val="clear" w:color="000000" w:fill="BDD7EE"/>
            <w:vAlign w:val="center"/>
            <w:hideMark/>
          </w:tcPr>
          <w:p w14:paraId="1BAE8FCE"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702.801,0</w:t>
            </w:r>
          </w:p>
        </w:tc>
        <w:tc>
          <w:tcPr>
            <w:tcW w:w="1053" w:type="dxa"/>
            <w:tcBorders>
              <w:top w:val="nil"/>
              <w:left w:val="nil"/>
              <w:bottom w:val="single" w:sz="4" w:space="0" w:color="auto"/>
              <w:right w:val="single" w:sz="4" w:space="0" w:color="auto"/>
            </w:tcBorders>
            <w:shd w:val="clear" w:color="000000" w:fill="BDD7EE"/>
            <w:vAlign w:val="center"/>
            <w:hideMark/>
          </w:tcPr>
          <w:p w14:paraId="12CF999F"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788.765,6</w:t>
            </w:r>
          </w:p>
        </w:tc>
        <w:tc>
          <w:tcPr>
            <w:tcW w:w="1053" w:type="dxa"/>
            <w:tcBorders>
              <w:top w:val="nil"/>
              <w:left w:val="nil"/>
              <w:bottom w:val="single" w:sz="4" w:space="0" w:color="auto"/>
              <w:right w:val="single" w:sz="4" w:space="0" w:color="auto"/>
            </w:tcBorders>
            <w:shd w:val="clear" w:color="000000" w:fill="BDD7EE"/>
            <w:vAlign w:val="center"/>
            <w:hideMark/>
          </w:tcPr>
          <w:p w14:paraId="41451CB0"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808.978,1</w:t>
            </w:r>
          </w:p>
        </w:tc>
        <w:tc>
          <w:tcPr>
            <w:tcW w:w="1053" w:type="dxa"/>
            <w:tcBorders>
              <w:top w:val="nil"/>
              <w:left w:val="nil"/>
              <w:bottom w:val="single" w:sz="4" w:space="0" w:color="auto"/>
              <w:right w:val="single" w:sz="4" w:space="0" w:color="auto"/>
            </w:tcBorders>
            <w:shd w:val="clear" w:color="000000" w:fill="BDD7EE"/>
            <w:vAlign w:val="center"/>
            <w:hideMark/>
          </w:tcPr>
          <w:p w14:paraId="136A610F"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826.073,5</w:t>
            </w:r>
          </w:p>
        </w:tc>
        <w:tc>
          <w:tcPr>
            <w:tcW w:w="1320" w:type="dxa"/>
            <w:tcBorders>
              <w:top w:val="nil"/>
              <w:left w:val="nil"/>
              <w:bottom w:val="single" w:sz="4" w:space="0" w:color="auto"/>
              <w:right w:val="single" w:sz="4" w:space="0" w:color="auto"/>
            </w:tcBorders>
            <w:shd w:val="clear" w:color="000000" w:fill="BDD7EE"/>
            <w:vAlign w:val="center"/>
            <w:hideMark/>
          </w:tcPr>
          <w:p w14:paraId="731A3D1C"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3.798.065,9</w:t>
            </w:r>
          </w:p>
        </w:tc>
      </w:tr>
      <w:tr w:rsidR="006F07F7" w:rsidRPr="009772A3" w14:paraId="3A0429B4"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3E01F3DD"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6BF536A8"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 xml:space="preserve">Salariul din activitatea de bază </w:t>
            </w:r>
          </w:p>
        </w:tc>
        <w:tc>
          <w:tcPr>
            <w:tcW w:w="1053" w:type="dxa"/>
            <w:tcBorders>
              <w:top w:val="nil"/>
              <w:left w:val="nil"/>
              <w:bottom w:val="single" w:sz="4" w:space="0" w:color="auto"/>
              <w:right w:val="single" w:sz="4" w:space="0" w:color="auto"/>
            </w:tcBorders>
            <w:shd w:val="clear" w:color="000000" w:fill="BDD7EE"/>
            <w:vAlign w:val="center"/>
            <w:hideMark/>
          </w:tcPr>
          <w:p w14:paraId="393EAEE9"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597.220,1</w:t>
            </w:r>
          </w:p>
        </w:tc>
        <w:tc>
          <w:tcPr>
            <w:tcW w:w="1053" w:type="dxa"/>
            <w:tcBorders>
              <w:top w:val="nil"/>
              <w:left w:val="nil"/>
              <w:bottom w:val="single" w:sz="4" w:space="0" w:color="auto"/>
              <w:right w:val="single" w:sz="4" w:space="0" w:color="auto"/>
            </w:tcBorders>
            <w:shd w:val="clear" w:color="000000" w:fill="BDD7EE"/>
            <w:vAlign w:val="center"/>
            <w:hideMark/>
          </w:tcPr>
          <w:p w14:paraId="34C8FF6E"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633.867,8</w:t>
            </w:r>
          </w:p>
        </w:tc>
        <w:tc>
          <w:tcPr>
            <w:tcW w:w="1053" w:type="dxa"/>
            <w:tcBorders>
              <w:top w:val="nil"/>
              <w:left w:val="nil"/>
              <w:bottom w:val="single" w:sz="4" w:space="0" w:color="auto"/>
              <w:right w:val="single" w:sz="4" w:space="0" w:color="auto"/>
            </w:tcBorders>
            <w:shd w:val="clear" w:color="000000" w:fill="BDD7EE"/>
            <w:vAlign w:val="center"/>
            <w:hideMark/>
          </w:tcPr>
          <w:p w14:paraId="1DFBF030"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711.215,4</w:t>
            </w:r>
          </w:p>
        </w:tc>
        <w:tc>
          <w:tcPr>
            <w:tcW w:w="1053" w:type="dxa"/>
            <w:tcBorders>
              <w:top w:val="nil"/>
              <w:left w:val="nil"/>
              <w:bottom w:val="single" w:sz="4" w:space="0" w:color="auto"/>
              <w:right w:val="single" w:sz="4" w:space="0" w:color="auto"/>
            </w:tcBorders>
            <w:shd w:val="clear" w:color="000000" w:fill="BDD7EE"/>
            <w:vAlign w:val="center"/>
            <w:hideMark/>
          </w:tcPr>
          <w:p w14:paraId="653A1104"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723.507,3</w:t>
            </w:r>
          </w:p>
        </w:tc>
        <w:tc>
          <w:tcPr>
            <w:tcW w:w="1053" w:type="dxa"/>
            <w:tcBorders>
              <w:top w:val="nil"/>
              <w:left w:val="nil"/>
              <w:bottom w:val="single" w:sz="4" w:space="0" w:color="auto"/>
              <w:right w:val="single" w:sz="4" w:space="0" w:color="auto"/>
            </w:tcBorders>
            <w:shd w:val="clear" w:color="000000" w:fill="BDD7EE"/>
            <w:vAlign w:val="center"/>
            <w:hideMark/>
          </w:tcPr>
          <w:p w14:paraId="7FABAD67"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761.775,8</w:t>
            </w:r>
          </w:p>
        </w:tc>
        <w:tc>
          <w:tcPr>
            <w:tcW w:w="1320" w:type="dxa"/>
            <w:tcBorders>
              <w:top w:val="nil"/>
              <w:left w:val="nil"/>
              <w:bottom w:val="single" w:sz="4" w:space="0" w:color="auto"/>
              <w:right w:val="single" w:sz="4" w:space="0" w:color="auto"/>
            </w:tcBorders>
            <w:shd w:val="clear" w:color="000000" w:fill="BDD7EE"/>
            <w:vAlign w:val="center"/>
            <w:hideMark/>
          </w:tcPr>
          <w:p w14:paraId="78283848"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3.427.586,4</w:t>
            </w:r>
          </w:p>
        </w:tc>
      </w:tr>
      <w:tr w:rsidR="006F07F7" w:rsidRPr="009772A3" w14:paraId="03FEE7FD"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4CC0A87F"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160CDC44"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Acceptat de ANRE</w:t>
            </w:r>
          </w:p>
        </w:tc>
        <w:tc>
          <w:tcPr>
            <w:tcW w:w="1053" w:type="dxa"/>
            <w:tcBorders>
              <w:top w:val="nil"/>
              <w:left w:val="nil"/>
              <w:bottom w:val="single" w:sz="4" w:space="0" w:color="auto"/>
              <w:right w:val="single" w:sz="4" w:space="0" w:color="auto"/>
            </w:tcBorders>
            <w:shd w:val="clear" w:color="000000" w:fill="BDD7EE"/>
            <w:vAlign w:val="center"/>
            <w:hideMark/>
          </w:tcPr>
          <w:p w14:paraId="066AE52A"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602.612,9</w:t>
            </w:r>
          </w:p>
        </w:tc>
        <w:tc>
          <w:tcPr>
            <w:tcW w:w="1053" w:type="dxa"/>
            <w:tcBorders>
              <w:top w:val="nil"/>
              <w:left w:val="nil"/>
              <w:bottom w:val="single" w:sz="4" w:space="0" w:color="auto"/>
              <w:right w:val="single" w:sz="4" w:space="0" w:color="auto"/>
            </w:tcBorders>
            <w:shd w:val="clear" w:color="000000" w:fill="BDD7EE"/>
            <w:vAlign w:val="center"/>
            <w:hideMark/>
          </w:tcPr>
          <w:p w14:paraId="4DE6222C"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676.544,6</w:t>
            </w:r>
          </w:p>
        </w:tc>
        <w:tc>
          <w:tcPr>
            <w:tcW w:w="1053" w:type="dxa"/>
            <w:tcBorders>
              <w:top w:val="nil"/>
              <w:left w:val="nil"/>
              <w:bottom w:val="single" w:sz="4" w:space="0" w:color="auto"/>
              <w:right w:val="single" w:sz="4" w:space="0" w:color="auto"/>
            </w:tcBorders>
            <w:shd w:val="clear" w:color="000000" w:fill="BDD7EE"/>
            <w:vAlign w:val="center"/>
            <w:hideMark/>
          </w:tcPr>
          <w:p w14:paraId="10B9C861"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736.326,8</w:t>
            </w:r>
          </w:p>
        </w:tc>
        <w:tc>
          <w:tcPr>
            <w:tcW w:w="1053" w:type="dxa"/>
            <w:tcBorders>
              <w:top w:val="nil"/>
              <w:left w:val="nil"/>
              <w:bottom w:val="single" w:sz="4" w:space="0" w:color="auto"/>
              <w:right w:val="single" w:sz="4" w:space="0" w:color="auto"/>
            </w:tcBorders>
            <w:shd w:val="clear" w:color="000000" w:fill="BDD7EE"/>
            <w:vAlign w:val="center"/>
            <w:hideMark/>
          </w:tcPr>
          <w:p w14:paraId="4248F546"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746.057,9</w:t>
            </w:r>
          </w:p>
        </w:tc>
        <w:tc>
          <w:tcPr>
            <w:tcW w:w="1053" w:type="dxa"/>
            <w:tcBorders>
              <w:top w:val="nil"/>
              <w:left w:val="nil"/>
              <w:bottom w:val="single" w:sz="4" w:space="0" w:color="auto"/>
              <w:right w:val="single" w:sz="4" w:space="0" w:color="auto"/>
            </w:tcBorders>
            <w:shd w:val="clear" w:color="000000" w:fill="BDD7EE"/>
            <w:vAlign w:val="center"/>
            <w:hideMark/>
          </w:tcPr>
          <w:p w14:paraId="03F65593"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790.342,9</w:t>
            </w:r>
          </w:p>
        </w:tc>
        <w:tc>
          <w:tcPr>
            <w:tcW w:w="1320" w:type="dxa"/>
            <w:tcBorders>
              <w:top w:val="nil"/>
              <w:left w:val="nil"/>
              <w:bottom w:val="single" w:sz="4" w:space="0" w:color="auto"/>
              <w:right w:val="single" w:sz="4" w:space="0" w:color="auto"/>
            </w:tcBorders>
            <w:shd w:val="clear" w:color="000000" w:fill="BDD7EE"/>
            <w:vAlign w:val="center"/>
            <w:hideMark/>
          </w:tcPr>
          <w:p w14:paraId="1C3DA566"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3.551.885,1</w:t>
            </w:r>
          </w:p>
        </w:tc>
      </w:tr>
      <w:tr w:rsidR="006F07F7" w:rsidRPr="009772A3" w14:paraId="43EFF4E7" w14:textId="77777777" w:rsidTr="00CF3AD4">
        <w:trPr>
          <w:trHeight w:val="240"/>
        </w:trPr>
        <w:tc>
          <w:tcPr>
            <w:tcW w:w="1360" w:type="dxa"/>
            <w:vMerge/>
            <w:tcBorders>
              <w:top w:val="nil"/>
              <w:left w:val="single" w:sz="4" w:space="0" w:color="auto"/>
              <w:bottom w:val="single" w:sz="4" w:space="0" w:color="auto"/>
              <w:right w:val="single" w:sz="4" w:space="0" w:color="auto"/>
            </w:tcBorders>
            <w:vAlign w:val="center"/>
            <w:hideMark/>
          </w:tcPr>
          <w:p w14:paraId="651695A5" w14:textId="77777777" w:rsidR="006F07F7" w:rsidRPr="009772A3" w:rsidRDefault="006F07F7" w:rsidP="006F07F7">
            <w:pPr>
              <w:spacing w:after="0" w:line="240" w:lineRule="auto"/>
              <w:rPr>
                <w:rFonts w:ascii="Calibri Light" w:eastAsia="Times New Roman" w:hAnsi="Calibri Light" w:cs="Calibri Light"/>
                <w:b/>
                <w:bCs/>
                <w:sz w:val="16"/>
                <w:szCs w:val="16"/>
                <w:lang w:val="ro-MD"/>
              </w:rPr>
            </w:pP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2E77D8BF" w14:textId="77777777" w:rsidR="006F07F7" w:rsidRPr="009772A3" w:rsidRDefault="006F07F7" w:rsidP="006F07F7">
            <w:pPr>
              <w:spacing w:after="0" w:line="240" w:lineRule="auto"/>
              <w:jc w:val="center"/>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w:t>
            </w:r>
          </w:p>
        </w:tc>
        <w:tc>
          <w:tcPr>
            <w:tcW w:w="1053" w:type="dxa"/>
            <w:tcBorders>
              <w:top w:val="nil"/>
              <w:left w:val="nil"/>
              <w:bottom w:val="single" w:sz="4" w:space="0" w:color="auto"/>
              <w:right w:val="single" w:sz="4" w:space="0" w:color="auto"/>
            </w:tcBorders>
            <w:shd w:val="clear" w:color="000000" w:fill="BDD7EE"/>
            <w:vAlign w:val="center"/>
            <w:hideMark/>
          </w:tcPr>
          <w:p w14:paraId="46C2F040"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89,7</w:t>
            </w:r>
          </w:p>
        </w:tc>
        <w:tc>
          <w:tcPr>
            <w:tcW w:w="1053" w:type="dxa"/>
            <w:tcBorders>
              <w:top w:val="nil"/>
              <w:left w:val="nil"/>
              <w:bottom w:val="single" w:sz="4" w:space="0" w:color="auto"/>
              <w:right w:val="single" w:sz="4" w:space="0" w:color="auto"/>
            </w:tcBorders>
            <w:shd w:val="clear" w:color="000000" w:fill="BDD7EE"/>
            <w:vAlign w:val="center"/>
            <w:hideMark/>
          </w:tcPr>
          <w:p w14:paraId="3F87B16C"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96,3</w:t>
            </w:r>
          </w:p>
        </w:tc>
        <w:tc>
          <w:tcPr>
            <w:tcW w:w="1053" w:type="dxa"/>
            <w:tcBorders>
              <w:top w:val="nil"/>
              <w:left w:val="nil"/>
              <w:bottom w:val="single" w:sz="4" w:space="0" w:color="auto"/>
              <w:right w:val="single" w:sz="4" w:space="0" w:color="auto"/>
            </w:tcBorders>
            <w:shd w:val="clear" w:color="000000" w:fill="BDD7EE"/>
            <w:vAlign w:val="center"/>
            <w:hideMark/>
          </w:tcPr>
          <w:p w14:paraId="53AE64D5"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93,4</w:t>
            </w:r>
          </w:p>
        </w:tc>
        <w:tc>
          <w:tcPr>
            <w:tcW w:w="1053" w:type="dxa"/>
            <w:tcBorders>
              <w:top w:val="nil"/>
              <w:left w:val="nil"/>
              <w:bottom w:val="single" w:sz="4" w:space="0" w:color="auto"/>
              <w:right w:val="single" w:sz="4" w:space="0" w:color="auto"/>
            </w:tcBorders>
            <w:shd w:val="clear" w:color="000000" w:fill="BDD7EE"/>
            <w:vAlign w:val="center"/>
            <w:hideMark/>
          </w:tcPr>
          <w:p w14:paraId="645F2F18"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92,2</w:t>
            </w:r>
          </w:p>
        </w:tc>
        <w:tc>
          <w:tcPr>
            <w:tcW w:w="1053" w:type="dxa"/>
            <w:tcBorders>
              <w:top w:val="nil"/>
              <w:left w:val="nil"/>
              <w:bottom w:val="single" w:sz="4" w:space="0" w:color="auto"/>
              <w:right w:val="single" w:sz="4" w:space="0" w:color="auto"/>
            </w:tcBorders>
            <w:shd w:val="clear" w:color="000000" w:fill="BDD7EE"/>
            <w:vAlign w:val="center"/>
            <w:hideMark/>
          </w:tcPr>
          <w:p w14:paraId="329EA541"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95,7</w:t>
            </w:r>
          </w:p>
        </w:tc>
        <w:tc>
          <w:tcPr>
            <w:tcW w:w="1320" w:type="dxa"/>
            <w:tcBorders>
              <w:top w:val="nil"/>
              <w:left w:val="nil"/>
              <w:bottom w:val="single" w:sz="4" w:space="0" w:color="auto"/>
              <w:right w:val="single" w:sz="4" w:space="0" w:color="auto"/>
            </w:tcBorders>
            <w:shd w:val="clear" w:color="000000" w:fill="BDD7EE"/>
            <w:vAlign w:val="center"/>
            <w:hideMark/>
          </w:tcPr>
          <w:p w14:paraId="0B3679EB" w14:textId="77777777" w:rsidR="006F07F7" w:rsidRPr="009772A3" w:rsidRDefault="006F07F7" w:rsidP="006F07F7">
            <w:pPr>
              <w:spacing w:after="0" w:line="240" w:lineRule="auto"/>
              <w:jc w:val="right"/>
              <w:rPr>
                <w:rFonts w:ascii="Calibri Light" w:eastAsia="Times New Roman" w:hAnsi="Calibri Light" w:cs="Calibri Light"/>
                <w:b/>
                <w:bCs/>
                <w:sz w:val="16"/>
                <w:szCs w:val="16"/>
                <w:lang w:val="ro-MD"/>
              </w:rPr>
            </w:pPr>
            <w:r w:rsidRPr="009772A3">
              <w:rPr>
                <w:rFonts w:ascii="Calibri Light" w:eastAsia="Times New Roman" w:hAnsi="Calibri Light" w:cs="Calibri Light"/>
                <w:b/>
                <w:bCs/>
                <w:sz w:val="16"/>
                <w:szCs w:val="16"/>
                <w:lang w:val="ro-MD"/>
              </w:rPr>
              <w:t>93,5</w:t>
            </w:r>
          </w:p>
        </w:tc>
      </w:tr>
    </w:tbl>
    <w:p w14:paraId="49C51F04" w14:textId="77777777" w:rsidR="00D93D05" w:rsidRPr="0093348F" w:rsidRDefault="00754C29" w:rsidP="00D93D05">
      <w:pPr>
        <w:jc w:val="both"/>
        <w:rPr>
          <w:rFonts w:asciiTheme="majorHAnsi" w:hAnsiTheme="majorHAnsi" w:cstheme="majorHAnsi"/>
          <w:sz w:val="20"/>
          <w:szCs w:val="20"/>
          <w:lang w:val="ro-MD"/>
        </w:rPr>
      </w:pPr>
      <w:r w:rsidRPr="009772A3">
        <w:rPr>
          <w:lang w:val="ro-MD"/>
        </w:rPr>
        <w:tab/>
      </w:r>
      <w:r w:rsidR="00D93D05" w:rsidRPr="0093348F">
        <w:rPr>
          <w:rFonts w:asciiTheme="majorHAnsi" w:hAnsiTheme="majorHAnsi" w:cstheme="majorHAnsi"/>
          <w:sz w:val="20"/>
          <w:szCs w:val="20"/>
          <w:lang w:val="ro-MD"/>
        </w:rPr>
        <w:t xml:space="preserve">Sursa: </w:t>
      </w:r>
      <w:r w:rsidR="00D93D05">
        <w:rPr>
          <w:rFonts w:asciiTheme="majorHAnsi" w:hAnsiTheme="majorHAnsi" w:cstheme="majorHAnsi"/>
          <w:sz w:val="20"/>
          <w:szCs w:val="20"/>
          <w:lang w:val="ro-MD"/>
        </w:rPr>
        <w:t>Informațiile prezentate de SA Moldovagaz și informațiile prezentate de ANRE</w:t>
      </w:r>
      <w:r w:rsidR="00D93D05" w:rsidRPr="0093348F">
        <w:rPr>
          <w:rFonts w:asciiTheme="majorHAnsi" w:hAnsiTheme="majorHAnsi" w:cstheme="majorHAnsi"/>
          <w:sz w:val="20"/>
          <w:szCs w:val="20"/>
          <w:lang w:val="ro-MD"/>
        </w:rPr>
        <w:t>.</w:t>
      </w:r>
    </w:p>
    <w:p w14:paraId="2A43C428" w14:textId="77777777" w:rsidR="00D93D05" w:rsidRPr="009772A3" w:rsidRDefault="00D93D05" w:rsidP="00D93D05">
      <w:pPr>
        <w:spacing w:line="259" w:lineRule="auto"/>
        <w:rPr>
          <w:lang w:val="ro-MD"/>
        </w:rPr>
        <w:sectPr w:rsidR="00D93D05" w:rsidRPr="009772A3" w:rsidSect="00754C29">
          <w:pgSz w:w="16838" w:h="11906" w:orient="landscape"/>
          <w:pgMar w:top="1701" w:right="1140" w:bottom="851" w:left="1418" w:header="720" w:footer="720" w:gutter="0"/>
          <w:cols w:space="720"/>
        </w:sectPr>
      </w:pPr>
    </w:p>
    <w:p w14:paraId="6EB558BC" w14:textId="66B58A42" w:rsidR="005E7563" w:rsidRPr="009772A3" w:rsidRDefault="005E7563" w:rsidP="005E7563">
      <w:pPr>
        <w:spacing w:line="259" w:lineRule="auto"/>
        <w:rPr>
          <w:lang w:val="ro-MD"/>
        </w:rPr>
      </w:pPr>
      <w:r w:rsidRPr="00CF3AD4">
        <w:rPr>
          <w:lang w:val="ro-MD"/>
        </w:rPr>
        <w:t>Tabelul nr. 2 Cheltuielile salariale pe perioada 2011</w:t>
      </w:r>
      <w:r w:rsidRPr="009772A3">
        <w:rPr>
          <w:lang w:val="ro-MD"/>
        </w:rPr>
        <w:t>-2021</w:t>
      </w:r>
      <w:r w:rsidR="00701CAA" w:rsidRPr="009772A3">
        <w:rPr>
          <w:lang w:val="ro-MD"/>
        </w:rPr>
        <w:t>,</w:t>
      </w:r>
      <w:r w:rsidRPr="009772A3">
        <w:rPr>
          <w:lang w:val="ro-MD"/>
        </w:rPr>
        <w:t xml:space="preserve"> efectiv față de cele acceptate în tarif</w:t>
      </w:r>
    </w:p>
    <w:tbl>
      <w:tblPr>
        <w:tblW w:w="14941" w:type="dxa"/>
        <w:tblInd w:w="118" w:type="dxa"/>
        <w:tblLook w:val="04A0" w:firstRow="1" w:lastRow="0" w:firstColumn="1" w:lastColumn="0" w:noHBand="0" w:noVBand="1"/>
      </w:tblPr>
      <w:tblGrid>
        <w:gridCol w:w="497"/>
        <w:gridCol w:w="927"/>
        <w:gridCol w:w="1401"/>
        <w:gridCol w:w="1277"/>
        <w:gridCol w:w="1117"/>
        <w:gridCol w:w="1150"/>
        <w:gridCol w:w="1134"/>
        <w:gridCol w:w="851"/>
        <w:gridCol w:w="1277"/>
        <w:gridCol w:w="1277"/>
        <w:gridCol w:w="935"/>
        <w:gridCol w:w="8"/>
        <w:gridCol w:w="1180"/>
        <w:gridCol w:w="1126"/>
        <w:gridCol w:w="784"/>
      </w:tblGrid>
      <w:tr w:rsidR="00D6475C" w:rsidRPr="009772A3" w14:paraId="63794601" w14:textId="77777777" w:rsidTr="00EA00B4">
        <w:trPr>
          <w:trHeight w:val="20"/>
        </w:trPr>
        <w:tc>
          <w:tcPr>
            <w:tcW w:w="49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45F93635" w14:textId="116914F6"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Nr. d/o</w:t>
            </w:r>
          </w:p>
        </w:tc>
        <w:tc>
          <w:tcPr>
            <w:tcW w:w="92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04A16A12"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Perioada</w:t>
            </w:r>
          </w:p>
        </w:tc>
        <w:tc>
          <w:tcPr>
            <w:tcW w:w="3795"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14:paraId="3F6EEDB6"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Total pe sistem</w:t>
            </w:r>
          </w:p>
        </w:tc>
        <w:tc>
          <w:tcPr>
            <w:tcW w:w="3135" w:type="dxa"/>
            <w:gridSpan w:val="3"/>
            <w:tcBorders>
              <w:top w:val="single" w:sz="8" w:space="0" w:color="auto"/>
              <w:left w:val="nil"/>
              <w:bottom w:val="single" w:sz="4" w:space="0" w:color="auto"/>
              <w:right w:val="single" w:sz="8" w:space="0" w:color="000000"/>
            </w:tcBorders>
            <w:shd w:val="clear" w:color="000000" w:fill="FFFFFF"/>
            <w:vAlign w:val="center"/>
            <w:hideMark/>
          </w:tcPr>
          <w:p w14:paraId="1DA2294C"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SA "Moldovagaz"</w:t>
            </w:r>
          </w:p>
        </w:tc>
        <w:tc>
          <w:tcPr>
            <w:tcW w:w="3497" w:type="dxa"/>
            <w:gridSpan w:val="4"/>
            <w:tcBorders>
              <w:top w:val="single" w:sz="8" w:space="0" w:color="auto"/>
              <w:left w:val="nil"/>
              <w:bottom w:val="single" w:sz="4" w:space="0" w:color="auto"/>
              <w:right w:val="single" w:sz="8" w:space="0" w:color="000000"/>
            </w:tcBorders>
            <w:shd w:val="clear" w:color="000000" w:fill="FFFFFF"/>
            <w:vAlign w:val="center"/>
            <w:hideMark/>
          </w:tcPr>
          <w:p w14:paraId="71171BB4" w14:textId="76009611"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OSD</w:t>
            </w:r>
          </w:p>
        </w:tc>
        <w:tc>
          <w:tcPr>
            <w:tcW w:w="3090" w:type="dxa"/>
            <w:gridSpan w:val="3"/>
            <w:tcBorders>
              <w:top w:val="single" w:sz="8" w:space="0" w:color="auto"/>
              <w:left w:val="nil"/>
              <w:bottom w:val="single" w:sz="4" w:space="0" w:color="auto"/>
              <w:right w:val="single" w:sz="8" w:space="0" w:color="000000"/>
            </w:tcBorders>
            <w:shd w:val="clear" w:color="000000" w:fill="FFFFFF"/>
            <w:vAlign w:val="center"/>
            <w:hideMark/>
          </w:tcPr>
          <w:p w14:paraId="1E8EB31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MTG</w:t>
            </w:r>
          </w:p>
        </w:tc>
      </w:tr>
      <w:tr w:rsidR="00D6475C" w:rsidRPr="009772A3" w14:paraId="3D54CA1B" w14:textId="77777777" w:rsidTr="00D93D05">
        <w:trPr>
          <w:trHeight w:val="450"/>
        </w:trPr>
        <w:tc>
          <w:tcPr>
            <w:tcW w:w="497" w:type="dxa"/>
            <w:vMerge/>
            <w:tcBorders>
              <w:top w:val="single" w:sz="8" w:space="0" w:color="auto"/>
              <w:left w:val="single" w:sz="8" w:space="0" w:color="auto"/>
              <w:bottom w:val="single" w:sz="8" w:space="0" w:color="000000"/>
              <w:right w:val="single" w:sz="4" w:space="0" w:color="auto"/>
            </w:tcBorders>
            <w:vAlign w:val="center"/>
            <w:hideMark/>
          </w:tcPr>
          <w:p w14:paraId="3E7F8D99" w14:textId="77777777" w:rsidR="00D6475C" w:rsidRPr="009772A3" w:rsidRDefault="00D6475C" w:rsidP="00D6475C">
            <w:pPr>
              <w:spacing w:after="0" w:line="240" w:lineRule="auto"/>
              <w:rPr>
                <w:rFonts w:asciiTheme="majorHAnsi" w:eastAsia="Times New Roman" w:hAnsiTheme="majorHAnsi" w:cstheme="majorHAnsi"/>
                <w:b/>
                <w:bCs/>
                <w:sz w:val="20"/>
                <w:szCs w:val="20"/>
                <w:lang w:val="ro-MD"/>
              </w:rPr>
            </w:pPr>
          </w:p>
        </w:tc>
        <w:tc>
          <w:tcPr>
            <w:tcW w:w="927" w:type="dxa"/>
            <w:vMerge/>
            <w:tcBorders>
              <w:top w:val="single" w:sz="8" w:space="0" w:color="auto"/>
              <w:left w:val="single" w:sz="4" w:space="0" w:color="auto"/>
              <w:bottom w:val="single" w:sz="8" w:space="0" w:color="000000"/>
              <w:right w:val="single" w:sz="4" w:space="0" w:color="auto"/>
            </w:tcBorders>
            <w:vAlign w:val="center"/>
            <w:hideMark/>
          </w:tcPr>
          <w:p w14:paraId="3E67FC60" w14:textId="77777777" w:rsidR="00D6475C" w:rsidRPr="009772A3" w:rsidRDefault="00D6475C" w:rsidP="00D6475C">
            <w:pPr>
              <w:spacing w:after="0" w:line="240" w:lineRule="auto"/>
              <w:rPr>
                <w:rFonts w:asciiTheme="majorHAnsi" w:eastAsia="Times New Roman" w:hAnsiTheme="majorHAnsi" w:cstheme="majorHAnsi"/>
                <w:b/>
                <w:bCs/>
                <w:sz w:val="20"/>
                <w:szCs w:val="20"/>
                <w:lang w:val="ro-MD"/>
              </w:rPr>
            </w:pPr>
          </w:p>
        </w:tc>
        <w:tc>
          <w:tcPr>
            <w:tcW w:w="140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649C7E4"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efectiv </w:t>
            </w:r>
          </w:p>
        </w:tc>
        <w:tc>
          <w:tcPr>
            <w:tcW w:w="12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47864793"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actualizat </w:t>
            </w:r>
          </w:p>
        </w:tc>
        <w:tc>
          <w:tcPr>
            <w:tcW w:w="1117"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0574B2C4"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Devieri </w:t>
            </w:r>
          </w:p>
        </w:tc>
        <w:tc>
          <w:tcPr>
            <w:tcW w:w="115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8FAACF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efectiv </w:t>
            </w:r>
          </w:p>
        </w:tc>
        <w:tc>
          <w:tcPr>
            <w:tcW w:w="113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73C98C0A"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actualizat </w:t>
            </w:r>
          </w:p>
        </w:tc>
        <w:tc>
          <w:tcPr>
            <w:tcW w:w="851"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160E4A74" w14:textId="5D860115" w:rsidR="00D6475C" w:rsidRPr="009772A3" w:rsidRDefault="00D6475C" w:rsidP="00701CAA">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w:t>
            </w:r>
            <w:r w:rsidR="00701CAA" w:rsidRPr="009772A3">
              <w:rPr>
                <w:rFonts w:asciiTheme="majorHAnsi" w:eastAsia="Times New Roman" w:hAnsiTheme="majorHAnsi" w:cstheme="majorHAnsi"/>
                <w:i/>
                <w:iCs/>
                <w:sz w:val="20"/>
                <w:szCs w:val="20"/>
                <w:lang w:val="ro-MD"/>
              </w:rPr>
              <w:t>d</w:t>
            </w:r>
            <w:r w:rsidRPr="009772A3">
              <w:rPr>
                <w:rFonts w:asciiTheme="majorHAnsi" w:eastAsia="Times New Roman" w:hAnsiTheme="majorHAnsi" w:cstheme="majorHAnsi"/>
                <w:i/>
                <w:iCs/>
                <w:sz w:val="20"/>
                <w:szCs w:val="20"/>
                <w:lang w:val="ro-MD"/>
              </w:rPr>
              <w:t xml:space="preserve">evieri </w:t>
            </w:r>
          </w:p>
        </w:tc>
        <w:tc>
          <w:tcPr>
            <w:tcW w:w="12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D4B107E"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efectiv </w:t>
            </w:r>
          </w:p>
        </w:tc>
        <w:tc>
          <w:tcPr>
            <w:tcW w:w="12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3C48F2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actualizat </w:t>
            </w:r>
          </w:p>
        </w:tc>
        <w:tc>
          <w:tcPr>
            <w:tcW w:w="935"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6B3F1A1" w14:textId="78E46D2C" w:rsidR="00D6475C" w:rsidRPr="009772A3" w:rsidRDefault="00D6475C" w:rsidP="00701CAA">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w:t>
            </w:r>
            <w:r w:rsidR="00701CAA" w:rsidRPr="009772A3">
              <w:rPr>
                <w:rFonts w:asciiTheme="majorHAnsi" w:eastAsia="Times New Roman" w:hAnsiTheme="majorHAnsi" w:cstheme="majorHAnsi"/>
                <w:i/>
                <w:iCs/>
                <w:sz w:val="20"/>
                <w:szCs w:val="20"/>
                <w:lang w:val="ro-MD"/>
              </w:rPr>
              <w:t>d</w:t>
            </w:r>
            <w:r w:rsidRPr="009772A3">
              <w:rPr>
                <w:rFonts w:asciiTheme="majorHAnsi" w:eastAsia="Times New Roman" w:hAnsiTheme="majorHAnsi" w:cstheme="majorHAnsi"/>
                <w:i/>
                <w:iCs/>
                <w:sz w:val="20"/>
                <w:szCs w:val="20"/>
                <w:lang w:val="ro-MD"/>
              </w:rPr>
              <w:t xml:space="preserve">evieri </w:t>
            </w:r>
          </w:p>
        </w:tc>
        <w:tc>
          <w:tcPr>
            <w:tcW w:w="1188"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049850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efectiv </w:t>
            </w:r>
          </w:p>
        </w:tc>
        <w:tc>
          <w:tcPr>
            <w:tcW w:w="11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7F80573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actualizat </w:t>
            </w:r>
          </w:p>
        </w:tc>
        <w:tc>
          <w:tcPr>
            <w:tcW w:w="784"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799DFF37" w14:textId="6E3D3C6C" w:rsidR="00D6475C" w:rsidRPr="009772A3" w:rsidRDefault="00D6475C" w:rsidP="00701CAA">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w:t>
            </w:r>
            <w:r w:rsidR="00701CAA" w:rsidRPr="009772A3">
              <w:rPr>
                <w:rFonts w:asciiTheme="majorHAnsi" w:eastAsia="Times New Roman" w:hAnsiTheme="majorHAnsi" w:cstheme="majorHAnsi"/>
                <w:i/>
                <w:iCs/>
                <w:sz w:val="20"/>
                <w:szCs w:val="20"/>
                <w:lang w:val="ro-MD"/>
              </w:rPr>
              <w:t>d</w:t>
            </w:r>
            <w:r w:rsidRPr="009772A3">
              <w:rPr>
                <w:rFonts w:asciiTheme="majorHAnsi" w:eastAsia="Times New Roman" w:hAnsiTheme="majorHAnsi" w:cstheme="majorHAnsi"/>
                <w:i/>
                <w:iCs/>
                <w:sz w:val="20"/>
                <w:szCs w:val="20"/>
                <w:lang w:val="ro-MD"/>
              </w:rPr>
              <w:t xml:space="preserve">evieri </w:t>
            </w:r>
          </w:p>
        </w:tc>
      </w:tr>
      <w:tr w:rsidR="00D6475C" w:rsidRPr="009772A3" w14:paraId="7B7216F5" w14:textId="77777777" w:rsidTr="00D93D05">
        <w:trPr>
          <w:trHeight w:val="450"/>
        </w:trPr>
        <w:tc>
          <w:tcPr>
            <w:tcW w:w="497" w:type="dxa"/>
            <w:vMerge/>
            <w:tcBorders>
              <w:top w:val="single" w:sz="8" w:space="0" w:color="auto"/>
              <w:left w:val="single" w:sz="8" w:space="0" w:color="auto"/>
              <w:bottom w:val="single" w:sz="8" w:space="0" w:color="000000"/>
              <w:right w:val="single" w:sz="4" w:space="0" w:color="auto"/>
            </w:tcBorders>
            <w:vAlign w:val="center"/>
            <w:hideMark/>
          </w:tcPr>
          <w:p w14:paraId="78DA41A6" w14:textId="77777777" w:rsidR="00D6475C" w:rsidRPr="009772A3" w:rsidRDefault="00D6475C" w:rsidP="00D6475C">
            <w:pPr>
              <w:spacing w:after="0" w:line="240" w:lineRule="auto"/>
              <w:rPr>
                <w:rFonts w:asciiTheme="majorHAnsi" w:eastAsia="Times New Roman" w:hAnsiTheme="majorHAnsi" w:cstheme="majorHAnsi"/>
                <w:b/>
                <w:bCs/>
                <w:sz w:val="20"/>
                <w:szCs w:val="20"/>
                <w:lang w:val="ro-MD"/>
              </w:rPr>
            </w:pPr>
          </w:p>
        </w:tc>
        <w:tc>
          <w:tcPr>
            <w:tcW w:w="927" w:type="dxa"/>
            <w:vMerge/>
            <w:tcBorders>
              <w:top w:val="single" w:sz="8" w:space="0" w:color="auto"/>
              <w:left w:val="single" w:sz="4" w:space="0" w:color="auto"/>
              <w:bottom w:val="single" w:sz="8" w:space="0" w:color="000000"/>
              <w:right w:val="single" w:sz="4" w:space="0" w:color="auto"/>
            </w:tcBorders>
            <w:vAlign w:val="center"/>
            <w:hideMark/>
          </w:tcPr>
          <w:p w14:paraId="68158752" w14:textId="77777777" w:rsidR="00D6475C" w:rsidRPr="009772A3" w:rsidRDefault="00D6475C" w:rsidP="00D6475C">
            <w:pPr>
              <w:spacing w:after="0" w:line="240" w:lineRule="auto"/>
              <w:rPr>
                <w:rFonts w:asciiTheme="majorHAnsi" w:eastAsia="Times New Roman" w:hAnsiTheme="majorHAnsi" w:cstheme="majorHAnsi"/>
                <w:b/>
                <w:bCs/>
                <w:sz w:val="20"/>
                <w:szCs w:val="20"/>
                <w:lang w:val="ro-MD"/>
              </w:rPr>
            </w:pPr>
          </w:p>
        </w:tc>
        <w:tc>
          <w:tcPr>
            <w:tcW w:w="1401" w:type="dxa"/>
            <w:vMerge/>
            <w:tcBorders>
              <w:top w:val="nil"/>
              <w:left w:val="single" w:sz="8" w:space="0" w:color="auto"/>
              <w:bottom w:val="single" w:sz="8" w:space="0" w:color="000000"/>
              <w:right w:val="single" w:sz="4" w:space="0" w:color="auto"/>
            </w:tcBorders>
            <w:vAlign w:val="center"/>
            <w:hideMark/>
          </w:tcPr>
          <w:p w14:paraId="1CF5451C" w14:textId="77777777" w:rsidR="00D6475C" w:rsidRPr="009772A3" w:rsidRDefault="00D6475C" w:rsidP="00D6475C">
            <w:pPr>
              <w:spacing w:after="0" w:line="240" w:lineRule="auto"/>
              <w:rPr>
                <w:rFonts w:asciiTheme="majorHAnsi" w:eastAsia="Times New Roman" w:hAnsiTheme="majorHAnsi" w:cstheme="majorHAnsi"/>
                <w:b/>
                <w:bCs/>
                <w:sz w:val="20"/>
                <w:szCs w:val="20"/>
                <w:lang w:val="ro-MD"/>
              </w:rPr>
            </w:pPr>
          </w:p>
        </w:tc>
        <w:tc>
          <w:tcPr>
            <w:tcW w:w="1277" w:type="dxa"/>
            <w:vMerge/>
            <w:tcBorders>
              <w:top w:val="nil"/>
              <w:left w:val="single" w:sz="4" w:space="0" w:color="auto"/>
              <w:bottom w:val="single" w:sz="8" w:space="0" w:color="000000"/>
              <w:right w:val="single" w:sz="4" w:space="0" w:color="auto"/>
            </w:tcBorders>
            <w:vAlign w:val="center"/>
            <w:hideMark/>
          </w:tcPr>
          <w:p w14:paraId="0869015E" w14:textId="77777777" w:rsidR="00D6475C" w:rsidRPr="009772A3" w:rsidRDefault="00D6475C" w:rsidP="00D6475C">
            <w:pPr>
              <w:spacing w:after="0" w:line="240" w:lineRule="auto"/>
              <w:rPr>
                <w:rFonts w:asciiTheme="majorHAnsi" w:eastAsia="Times New Roman" w:hAnsiTheme="majorHAnsi" w:cstheme="majorHAnsi"/>
                <w:b/>
                <w:bCs/>
                <w:sz w:val="20"/>
                <w:szCs w:val="20"/>
                <w:lang w:val="ro-MD"/>
              </w:rPr>
            </w:pPr>
          </w:p>
        </w:tc>
        <w:tc>
          <w:tcPr>
            <w:tcW w:w="1117" w:type="dxa"/>
            <w:vMerge/>
            <w:tcBorders>
              <w:top w:val="nil"/>
              <w:left w:val="single" w:sz="4" w:space="0" w:color="auto"/>
              <w:bottom w:val="single" w:sz="8" w:space="0" w:color="000000"/>
              <w:right w:val="single" w:sz="8" w:space="0" w:color="auto"/>
            </w:tcBorders>
            <w:vAlign w:val="center"/>
            <w:hideMark/>
          </w:tcPr>
          <w:p w14:paraId="3F661D7C" w14:textId="77777777" w:rsidR="00D6475C" w:rsidRPr="009772A3" w:rsidRDefault="00D6475C" w:rsidP="00D6475C">
            <w:pPr>
              <w:spacing w:after="0" w:line="240" w:lineRule="auto"/>
              <w:rPr>
                <w:rFonts w:asciiTheme="majorHAnsi" w:eastAsia="Times New Roman" w:hAnsiTheme="majorHAnsi" w:cstheme="majorHAnsi"/>
                <w:b/>
                <w:bCs/>
                <w:i/>
                <w:iCs/>
                <w:sz w:val="20"/>
                <w:szCs w:val="20"/>
                <w:lang w:val="ro-MD"/>
              </w:rPr>
            </w:pPr>
          </w:p>
        </w:tc>
        <w:tc>
          <w:tcPr>
            <w:tcW w:w="1150" w:type="dxa"/>
            <w:vMerge/>
            <w:tcBorders>
              <w:top w:val="nil"/>
              <w:left w:val="single" w:sz="8" w:space="0" w:color="auto"/>
              <w:bottom w:val="single" w:sz="8" w:space="0" w:color="000000"/>
              <w:right w:val="single" w:sz="4" w:space="0" w:color="auto"/>
            </w:tcBorders>
            <w:vAlign w:val="center"/>
            <w:hideMark/>
          </w:tcPr>
          <w:p w14:paraId="4B85E993" w14:textId="77777777" w:rsidR="00D6475C" w:rsidRPr="009772A3" w:rsidRDefault="00D6475C" w:rsidP="00D6475C">
            <w:pPr>
              <w:spacing w:after="0" w:line="240" w:lineRule="auto"/>
              <w:rPr>
                <w:rFonts w:asciiTheme="majorHAnsi" w:eastAsia="Times New Roman" w:hAnsiTheme="majorHAnsi" w:cstheme="majorHAnsi"/>
                <w:sz w:val="20"/>
                <w:szCs w:val="20"/>
                <w:lang w:val="ro-MD"/>
              </w:rPr>
            </w:pPr>
          </w:p>
        </w:tc>
        <w:tc>
          <w:tcPr>
            <w:tcW w:w="1134" w:type="dxa"/>
            <w:vMerge/>
            <w:tcBorders>
              <w:top w:val="nil"/>
              <w:left w:val="single" w:sz="4" w:space="0" w:color="auto"/>
              <w:bottom w:val="single" w:sz="8" w:space="0" w:color="000000"/>
              <w:right w:val="single" w:sz="4" w:space="0" w:color="auto"/>
            </w:tcBorders>
            <w:vAlign w:val="center"/>
            <w:hideMark/>
          </w:tcPr>
          <w:p w14:paraId="6B5E89D6" w14:textId="77777777" w:rsidR="00D6475C" w:rsidRPr="009772A3" w:rsidRDefault="00D6475C" w:rsidP="00D6475C">
            <w:pPr>
              <w:spacing w:after="0" w:line="240" w:lineRule="auto"/>
              <w:rPr>
                <w:rFonts w:asciiTheme="majorHAnsi" w:eastAsia="Times New Roman" w:hAnsiTheme="majorHAnsi" w:cstheme="majorHAnsi"/>
                <w:sz w:val="20"/>
                <w:szCs w:val="20"/>
                <w:lang w:val="ro-MD"/>
              </w:rPr>
            </w:pPr>
          </w:p>
        </w:tc>
        <w:tc>
          <w:tcPr>
            <w:tcW w:w="851" w:type="dxa"/>
            <w:vMerge/>
            <w:tcBorders>
              <w:top w:val="nil"/>
              <w:left w:val="single" w:sz="4" w:space="0" w:color="auto"/>
              <w:bottom w:val="single" w:sz="8" w:space="0" w:color="000000"/>
              <w:right w:val="single" w:sz="8" w:space="0" w:color="auto"/>
            </w:tcBorders>
            <w:vAlign w:val="center"/>
            <w:hideMark/>
          </w:tcPr>
          <w:p w14:paraId="24DAC3FD" w14:textId="77777777" w:rsidR="00D6475C" w:rsidRPr="009772A3" w:rsidRDefault="00D6475C" w:rsidP="00D6475C">
            <w:pPr>
              <w:spacing w:after="0" w:line="240" w:lineRule="auto"/>
              <w:rPr>
                <w:rFonts w:asciiTheme="majorHAnsi" w:eastAsia="Times New Roman" w:hAnsiTheme="majorHAnsi" w:cstheme="majorHAnsi"/>
                <w:i/>
                <w:iCs/>
                <w:sz w:val="20"/>
                <w:szCs w:val="20"/>
                <w:lang w:val="ro-MD"/>
              </w:rPr>
            </w:pPr>
          </w:p>
        </w:tc>
        <w:tc>
          <w:tcPr>
            <w:tcW w:w="1277" w:type="dxa"/>
            <w:vMerge/>
            <w:tcBorders>
              <w:top w:val="nil"/>
              <w:left w:val="single" w:sz="8" w:space="0" w:color="auto"/>
              <w:bottom w:val="single" w:sz="8" w:space="0" w:color="000000"/>
              <w:right w:val="single" w:sz="4" w:space="0" w:color="auto"/>
            </w:tcBorders>
            <w:vAlign w:val="center"/>
            <w:hideMark/>
          </w:tcPr>
          <w:p w14:paraId="779D9474" w14:textId="77777777" w:rsidR="00D6475C" w:rsidRPr="009772A3" w:rsidRDefault="00D6475C" w:rsidP="00D6475C">
            <w:pPr>
              <w:spacing w:after="0" w:line="240" w:lineRule="auto"/>
              <w:rPr>
                <w:rFonts w:asciiTheme="majorHAnsi" w:eastAsia="Times New Roman" w:hAnsiTheme="majorHAnsi" w:cstheme="majorHAnsi"/>
                <w:sz w:val="20"/>
                <w:szCs w:val="20"/>
                <w:lang w:val="ro-MD"/>
              </w:rPr>
            </w:pPr>
          </w:p>
        </w:tc>
        <w:tc>
          <w:tcPr>
            <w:tcW w:w="1277" w:type="dxa"/>
            <w:vMerge/>
            <w:tcBorders>
              <w:top w:val="nil"/>
              <w:left w:val="single" w:sz="4" w:space="0" w:color="auto"/>
              <w:bottom w:val="single" w:sz="8" w:space="0" w:color="000000"/>
              <w:right w:val="single" w:sz="4" w:space="0" w:color="auto"/>
            </w:tcBorders>
            <w:vAlign w:val="center"/>
            <w:hideMark/>
          </w:tcPr>
          <w:p w14:paraId="73551448" w14:textId="77777777" w:rsidR="00D6475C" w:rsidRPr="009772A3" w:rsidRDefault="00D6475C" w:rsidP="00D6475C">
            <w:pPr>
              <w:spacing w:after="0" w:line="240" w:lineRule="auto"/>
              <w:rPr>
                <w:rFonts w:asciiTheme="majorHAnsi" w:eastAsia="Times New Roman" w:hAnsiTheme="majorHAnsi" w:cstheme="majorHAnsi"/>
                <w:sz w:val="20"/>
                <w:szCs w:val="20"/>
                <w:lang w:val="ro-MD"/>
              </w:rPr>
            </w:pPr>
          </w:p>
        </w:tc>
        <w:tc>
          <w:tcPr>
            <w:tcW w:w="935" w:type="dxa"/>
            <w:vMerge/>
            <w:tcBorders>
              <w:top w:val="nil"/>
              <w:left w:val="single" w:sz="4" w:space="0" w:color="auto"/>
              <w:bottom w:val="single" w:sz="8" w:space="0" w:color="000000"/>
              <w:right w:val="single" w:sz="8" w:space="0" w:color="auto"/>
            </w:tcBorders>
            <w:vAlign w:val="center"/>
            <w:hideMark/>
          </w:tcPr>
          <w:p w14:paraId="21F80EF6" w14:textId="77777777" w:rsidR="00D6475C" w:rsidRPr="009772A3" w:rsidRDefault="00D6475C" w:rsidP="00D6475C">
            <w:pPr>
              <w:spacing w:after="0" w:line="240" w:lineRule="auto"/>
              <w:rPr>
                <w:rFonts w:asciiTheme="majorHAnsi" w:eastAsia="Times New Roman" w:hAnsiTheme="majorHAnsi" w:cstheme="majorHAnsi"/>
                <w:i/>
                <w:iCs/>
                <w:sz w:val="20"/>
                <w:szCs w:val="20"/>
                <w:lang w:val="ro-MD"/>
              </w:rPr>
            </w:pPr>
          </w:p>
        </w:tc>
        <w:tc>
          <w:tcPr>
            <w:tcW w:w="1188" w:type="dxa"/>
            <w:gridSpan w:val="2"/>
            <w:vMerge/>
            <w:tcBorders>
              <w:top w:val="nil"/>
              <w:left w:val="single" w:sz="8" w:space="0" w:color="auto"/>
              <w:bottom w:val="single" w:sz="8" w:space="0" w:color="000000"/>
              <w:right w:val="single" w:sz="4" w:space="0" w:color="auto"/>
            </w:tcBorders>
            <w:vAlign w:val="center"/>
            <w:hideMark/>
          </w:tcPr>
          <w:p w14:paraId="4462B022" w14:textId="77777777" w:rsidR="00D6475C" w:rsidRPr="009772A3" w:rsidRDefault="00D6475C" w:rsidP="00D6475C">
            <w:pPr>
              <w:spacing w:after="0" w:line="240" w:lineRule="auto"/>
              <w:rPr>
                <w:rFonts w:asciiTheme="majorHAnsi" w:eastAsia="Times New Roman" w:hAnsiTheme="majorHAnsi" w:cstheme="majorHAnsi"/>
                <w:sz w:val="20"/>
                <w:szCs w:val="20"/>
                <w:lang w:val="ro-MD"/>
              </w:rPr>
            </w:pPr>
          </w:p>
        </w:tc>
        <w:tc>
          <w:tcPr>
            <w:tcW w:w="1126" w:type="dxa"/>
            <w:vMerge/>
            <w:tcBorders>
              <w:top w:val="nil"/>
              <w:left w:val="single" w:sz="4" w:space="0" w:color="auto"/>
              <w:bottom w:val="single" w:sz="8" w:space="0" w:color="000000"/>
              <w:right w:val="single" w:sz="4" w:space="0" w:color="auto"/>
            </w:tcBorders>
            <w:vAlign w:val="center"/>
            <w:hideMark/>
          </w:tcPr>
          <w:p w14:paraId="190BEE1B" w14:textId="77777777" w:rsidR="00D6475C" w:rsidRPr="009772A3" w:rsidRDefault="00D6475C" w:rsidP="00D6475C">
            <w:pPr>
              <w:spacing w:after="0" w:line="240" w:lineRule="auto"/>
              <w:rPr>
                <w:rFonts w:asciiTheme="majorHAnsi" w:eastAsia="Times New Roman" w:hAnsiTheme="majorHAnsi" w:cstheme="majorHAnsi"/>
                <w:sz w:val="20"/>
                <w:szCs w:val="20"/>
                <w:lang w:val="ro-MD"/>
              </w:rPr>
            </w:pPr>
          </w:p>
        </w:tc>
        <w:tc>
          <w:tcPr>
            <w:tcW w:w="784" w:type="dxa"/>
            <w:vMerge/>
            <w:tcBorders>
              <w:top w:val="nil"/>
              <w:left w:val="single" w:sz="4" w:space="0" w:color="auto"/>
              <w:bottom w:val="single" w:sz="8" w:space="0" w:color="000000"/>
              <w:right w:val="single" w:sz="8" w:space="0" w:color="auto"/>
            </w:tcBorders>
            <w:vAlign w:val="center"/>
            <w:hideMark/>
          </w:tcPr>
          <w:p w14:paraId="79BA4EE8" w14:textId="77777777" w:rsidR="00D6475C" w:rsidRPr="009772A3" w:rsidRDefault="00D6475C" w:rsidP="00D6475C">
            <w:pPr>
              <w:spacing w:after="0" w:line="240" w:lineRule="auto"/>
              <w:rPr>
                <w:rFonts w:asciiTheme="majorHAnsi" w:eastAsia="Times New Roman" w:hAnsiTheme="majorHAnsi" w:cstheme="majorHAnsi"/>
                <w:i/>
                <w:iCs/>
                <w:sz w:val="20"/>
                <w:szCs w:val="20"/>
                <w:lang w:val="ro-MD"/>
              </w:rPr>
            </w:pPr>
          </w:p>
        </w:tc>
      </w:tr>
      <w:tr w:rsidR="00D6475C" w:rsidRPr="009772A3" w14:paraId="0510AAD8"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4A00CC1D"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1</w:t>
            </w:r>
          </w:p>
        </w:tc>
        <w:tc>
          <w:tcPr>
            <w:tcW w:w="927" w:type="dxa"/>
            <w:tcBorders>
              <w:top w:val="nil"/>
              <w:left w:val="nil"/>
              <w:bottom w:val="single" w:sz="4" w:space="0" w:color="auto"/>
              <w:right w:val="single" w:sz="4" w:space="0" w:color="auto"/>
            </w:tcBorders>
            <w:shd w:val="clear" w:color="000000" w:fill="FFFFFF"/>
            <w:vAlign w:val="center"/>
            <w:hideMark/>
          </w:tcPr>
          <w:p w14:paraId="1BA342B0"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2011</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61421EB8"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305.518,46 </w:t>
            </w:r>
          </w:p>
        </w:tc>
        <w:tc>
          <w:tcPr>
            <w:tcW w:w="1277" w:type="dxa"/>
            <w:tcBorders>
              <w:top w:val="nil"/>
              <w:left w:val="nil"/>
              <w:bottom w:val="single" w:sz="4" w:space="0" w:color="auto"/>
              <w:right w:val="single" w:sz="4" w:space="0" w:color="auto"/>
            </w:tcBorders>
            <w:shd w:val="clear" w:color="auto" w:fill="auto"/>
            <w:noWrap/>
            <w:vAlign w:val="bottom"/>
            <w:hideMark/>
          </w:tcPr>
          <w:p w14:paraId="40A16F4E"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310.290,32 </w:t>
            </w:r>
          </w:p>
        </w:tc>
        <w:tc>
          <w:tcPr>
            <w:tcW w:w="1117" w:type="dxa"/>
            <w:tcBorders>
              <w:top w:val="nil"/>
              <w:left w:val="nil"/>
              <w:bottom w:val="single" w:sz="4" w:space="0" w:color="auto"/>
              <w:right w:val="single" w:sz="8" w:space="0" w:color="auto"/>
            </w:tcBorders>
            <w:shd w:val="clear" w:color="auto" w:fill="auto"/>
            <w:noWrap/>
            <w:vAlign w:val="bottom"/>
            <w:hideMark/>
          </w:tcPr>
          <w:p w14:paraId="0C37E3D9"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101,56 </w:t>
            </w:r>
          </w:p>
        </w:tc>
        <w:tc>
          <w:tcPr>
            <w:tcW w:w="1150" w:type="dxa"/>
            <w:tcBorders>
              <w:top w:val="nil"/>
              <w:left w:val="nil"/>
              <w:bottom w:val="single" w:sz="4" w:space="0" w:color="auto"/>
              <w:right w:val="single" w:sz="4" w:space="0" w:color="auto"/>
            </w:tcBorders>
            <w:shd w:val="clear" w:color="000000" w:fill="FFFFFF"/>
            <w:vAlign w:val="center"/>
            <w:hideMark/>
          </w:tcPr>
          <w:p w14:paraId="572CAD82"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18.416,60 </w:t>
            </w:r>
          </w:p>
        </w:tc>
        <w:tc>
          <w:tcPr>
            <w:tcW w:w="1134" w:type="dxa"/>
            <w:tcBorders>
              <w:top w:val="nil"/>
              <w:left w:val="nil"/>
              <w:bottom w:val="single" w:sz="4" w:space="0" w:color="auto"/>
              <w:right w:val="single" w:sz="4" w:space="0" w:color="auto"/>
            </w:tcBorders>
            <w:shd w:val="clear" w:color="auto" w:fill="auto"/>
            <w:noWrap/>
            <w:vAlign w:val="bottom"/>
            <w:hideMark/>
          </w:tcPr>
          <w:p w14:paraId="68093E79"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19.528,35 </w:t>
            </w:r>
          </w:p>
        </w:tc>
        <w:tc>
          <w:tcPr>
            <w:tcW w:w="851" w:type="dxa"/>
            <w:tcBorders>
              <w:top w:val="nil"/>
              <w:left w:val="nil"/>
              <w:bottom w:val="single" w:sz="4" w:space="0" w:color="auto"/>
              <w:right w:val="single" w:sz="8" w:space="0" w:color="auto"/>
            </w:tcBorders>
            <w:shd w:val="clear" w:color="auto" w:fill="auto"/>
            <w:noWrap/>
            <w:vAlign w:val="bottom"/>
            <w:hideMark/>
          </w:tcPr>
          <w:p w14:paraId="45AE9786"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106,04 </w:t>
            </w:r>
          </w:p>
        </w:tc>
        <w:tc>
          <w:tcPr>
            <w:tcW w:w="1277" w:type="dxa"/>
            <w:tcBorders>
              <w:top w:val="nil"/>
              <w:left w:val="nil"/>
              <w:bottom w:val="single" w:sz="4" w:space="0" w:color="auto"/>
              <w:right w:val="single" w:sz="4" w:space="0" w:color="auto"/>
            </w:tcBorders>
            <w:shd w:val="clear" w:color="auto" w:fill="auto"/>
            <w:vAlign w:val="center"/>
            <w:hideMark/>
          </w:tcPr>
          <w:p w14:paraId="55F7DB47"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243.689,56 </w:t>
            </w:r>
          </w:p>
        </w:tc>
        <w:tc>
          <w:tcPr>
            <w:tcW w:w="1277" w:type="dxa"/>
            <w:tcBorders>
              <w:top w:val="nil"/>
              <w:left w:val="nil"/>
              <w:bottom w:val="single" w:sz="4" w:space="0" w:color="auto"/>
              <w:right w:val="single" w:sz="4" w:space="0" w:color="auto"/>
            </w:tcBorders>
            <w:shd w:val="clear" w:color="auto" w:fill="auto"/>
            <w:noWrap/>
            <w:vAlign w:val="bottom"/>
            <w:hideMark/>
          </w:tcPr>
          <w:p w14:paraId="20A40657"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247.051,52 </w:t>
            </w:r>
          </w:p>
        </w:tc>
        <w:tc>
          <w:tcPr>
            <w:tcW w:w="935" w:type="dxa"/>
            <w:tcBorders>
              <w:top w:val="nil"/>
              <w:left w:val="nil"/>
              <w:bottom w:val="single" w:sz="4" w:space="0" w:color="auto"/>
              <w:right w:val="single" w:sz="8" w:space="0" w:color="auto"/>
            </w:tcBorders>
            <w:shd w:val="clear" w:color="auto" w:fill="auto"/>
            <w:noWrap/>
            <w:vAlign w:val="bottom"/>
            <w:hideMark/>
          </w:tcPr>
          <w:p w14:paraId="4F93FF63"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101,38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95340"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43.412,30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0FBBB9BC"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43.710,45 </w:t>
            </w:r>
          </w:p>
        </w:tc>
        <w:tc>
          <w:tcPr>
            <w:tcW w:w="784" w:type="dxa"/>
            <w:tcBorders>
              <w:top w:val="nil"/>
              <w:left w:val="nil"/>
              <w:bottom w:val="single" w:sz="4" w:space="0" w:color="auto"/>
              <w:right w:val="single" w:sz="8" w:space="0" w:color="auto"/>
            </w:tcBorders>
            <w:shd w:val="clear" w:color="auto" w:fill="auto"/>
            <w:noWrap/>
            <w:vAlign w:val="bottom"/>
            <w:hideMark/>
          </w:tcPr>
          <w:p w14:paraId="2FD121F6"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100,69 </w:t>
            </w:r>
          </w:p>
        </w:tc>
      </w:tr>
      <w:tr w:rsidR="00D6475C" w:rsidRPr="009772A3" w14:paraId="173795A2"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6B76D717"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2</w:t>
            </w:r>
          </w:p>
        </w:tc>
        <w:tc>
          <w:tcPr>
            <w:tcW w:w="927" w:type="dxa"/>
            <w:tcBorders>
              <w:top w:val="nil"/>
              <w:left w:val="nil"/>
              <w:bottom w:val="single" w:sz="4" w:space="0" w:color="auto"/>
              <w:right w:val="single" w:sz="4" w:space="0" w:color="auto"/>
            </w:tcBorders>
            <w:shd w:val="clear" w:color="000000" w:fill="FFFFFF"/>
            <w:noWrap/>
            <w:vAlign w:val="center"/>
            <w:hideMark/>
          </w:tcPr>
          <w:p w14:paraId="4926772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2012</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63B5FF4A"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325.042,39 </w:t>
            </w:r>
          </w:p>
        </w:tc>
        <w:tc>
          <w:tcPr>
            <w:tcW w:w="1277" w:type="dxa"/>
            <w:tcBorders>
              <w:top w:val="nil"/>
              <w:left w:val="nil"/>
              <w:bottom w:val="single" w:sz="4" w:space="0" w:color="auto"/>
              <w:right w:val="single" w:sz="4" w:space="0" w:color="auto"/>
            </w:tcBorders>
            <w:shd w:val="clear" w:color="auto" w:fill="auto"/>
            <w:noWrap/>
            <w:vAlign w:val="bottom"/>
            <w:hideMark/>
          </w:tcPr>
          <w:p w14:paraId="580F97D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350.520,02 </w:t>
            </w:r>
          </w:p>
        </w:tc>
        <w:tc>
          <w:tcPr>
            <w:tcW w:w="1117" w:type="dxa"/>
            <w:tcBorders>
              <w:top w:val="nil"/>
              <w:left w:val="nil"/>
              <w:bottom w:val="single" w:sz="4" w:space="0" w:color="auto"/>
              <w:right w:val="single" w:sz="8" w:space="0" w:color="auto"/>
            </w:tcBorders>
            <w:shd w:val="clear" w:color="auto" w:fill="auto"/>
            <w:noWrap/>
            <w:vAlign w:val="bottom"/>
            <w:hideMark/>
          </w:tcPr>
          <w:p w14:paraId="69410AC4"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107,84 </w:t>
            </w:r>
          </w:p>
        </w:tc>
        <w:tc>
          <w:tcPr>
            <w:tcW w:w="1150" w:type="dxa"/>
            <w:tcBorders>
              <w:top w:val="nil"/>
              <w:left w:val="nil"/>
              <w:bottom w:val="single" w:sz="4" w:space="0" w:color="auto"/>
              <w:right w:val="single" w:sz="4" w:space="0" w:color="auto"/>
            </w:tcBorders>
            <w:shd w:val="clear" w:color="000000" w:fill="FFFFFF"/>
            <w:vAlign w:val="center"/>
            <w:hideMark/>
          </w:tcPr>
          <w:p w14:paraId="7F46DE1C"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20.007,90 </w:t>
            </w:r>
          </w:p>
        </w:tc>
        <w:tc>
          <w:tcPr>
            <w:tcW w:w="1134" w:type="dxa"/>
            <w:tcBorders>
              <w:top w:val="nil"/>
              <w:left w:val="nil"/>
              <w:bottom w:val="single" w:sz="4" w:space="0" w:color="auto"/>
              <w:right w:val="single" w:sz="4" w:space="0" w:color="auto"/>
            </w:tcBorders>
            <w:shd w:val="clear" w:color="auto" w:fill="auto"/>
            <w:noWrap/>
            <w:vAlign w:val="bottom"/>
            <w:hideMark/>
          </w:tcPr>
          <w:p w14:paraId="5CC3E15D"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21.701,68 </w:t>
            </w:r>
          </w:p>
        </w:tc>
        <w:tc>
          <w:tcPr>
            <w:tcW w:w="851" w:type="dxa"/>
            <w:tcBorders>
              <w:top w:val="nil"/>
              <w:left w:val="nil"/>
              <w:bottom w:val="single" w:sz="4" w:space="0" w:color="auto"/>
              <w:right w:val="single" w:sz="8" w:space="0" w:color="auto"/>
            </w:tcBorders>
            <w:shd w:val="clear" w:color="auto" w:fill="auto"/>
            <w:noWrap/>
            <w:vAlign w:val="bottom"/>
            <w:hideMark/>
          </w:tcPr>
          <w:p w14:paraId="61A99D1A"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108,47 </w:t>
            </w:r>
          </w:p>
        </w:tc>
        <w:tc>
          <w:tcPr>
            <w:tcW w:w="1277" w:type="dxa"/>
            <w:tcBorders>
              <w:top w:val="nil"/>
              <w:left w:val="nil"/>
              <w:bottom w:val="single" w:sz="4" w:space="0" w:color="auto"/>
              <w:right w:val="single" w:sz="4" w:space="0" w:color="auto"/>
            </w:tcBorders>
            <w:shd w:val="clear" w:color="auto" w:fill="auto"/>
            <w:vAlign w:val="center"/>
            <w:hideMark/>
          </w:tcPr>
          <w:p w14:paraId="42FCD300"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257.828,39 </w:t>
            </w:r>
          </w:p>
        </w:tc>
        <w:tc>
          <w:tcPr>
            <w:tcW w:w="1277" w:type="dxa"/>
            <w:tcBorders>
              <w:top w:val="nil"/>
              <w:left w:val="nil"/>
              <w:bottom w:val="single" w:sz="4" w:space="0" w:color="auto"/>
              <w:right w:val="single" w:sz="4" w:space="0" w:color="auto"/>
            </w:tcBorders>
            <w:shd w:val="clear" w:color="auto" w:fill="auto"/>
            <w:noWrap/>
            <w:vAlign w:val="bottom"/>
            <w:hideMark/>
          </w:tcPr>
          <w:p w14:paraId="783777B2"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280.132,89 </w:t>
            </w:r>
          </w:p>
        </w:tc>
        <w:tc>
          <w:tcPr>
            <w:tcW w:w="935" w:type="dxa"/>
            <w:tcBorders>
              <w:top w:val="nil"/>
              <w:left w:val="nil"/>
              <w:bottom w:val="single" w:sz="4" w:space="0" w:color="auto"/>
              <w:right w:val="single" w:sz="8" w:space="0" w:color="auto"/>
            </w:tcBorders>
            <w:shd w:val="clear" w:color="auto" w:fill="auto"/>
            <w:noWrap/>
            <w:vAlign w:val="bottom"/>
            <w:hideMark/>
          </w:tcPr>
          <w:p w14:paraId="02F7D98F"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108,65 </w:t>
            </w:r>
          </w:p>
        </w:tc>
        <w:tc>
          <w:tcPr>
            <w:tcW w:w="1188" w:type="dxa"/>
            <w:gridSpan w:val="2"/>
            <w:tcBorders>
              <w:top w:val="nil"/>
              <w:left w:val="single" w:sz="4" w:space="0" w:color="auto"/>
              <w:bottom w:val="single" w:sz="4" w:space="0" w:color="auto"/>
              <w:right w:val="single" w:sz="4" w:space="0" w:color="auto"/>
            </w:tcBorders>
            <w:shd w:val="clear" w:color="auto" w:fill="auto"/>
            <w:vAlign w:val="center"/>
            <w:hideMark/>
          </w:tcPr>
          <w:p w14:paraId="7961FA05"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47.206,10 </w:t>
            </w:r>
          </w:p>
        </w:tc>
        <w:tc>
          <w:tcPr>
            <w:tcW w:w="1126" w:type="dxa"/>
            <w:tcBorders>
              <w:top w:val="nil"/>
              <w:left w:val="nil"/>
              <w:bottom w:val="single" w:sz="4" w:space="0" w:color="auto"/>
              <w:right w:val="single" w:sz="4" w:space="0" w:color="auto"/>
            </w:tcBorders>
            <w:shd w:val="clear" w:color="auto" w:fill="auto"/>
            <w:noWrap/>
            <w:vAlign w:val="bottom"/>
            <w:hideMark/>
          </w:tcPr>
          <w:p w14:paraId="3EC17F1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48.685,44 </w:t>
            </w:r>
          </w:p>
        </w:tc>
        <w:tc>
          <w:tcPr>
            <w:tcW w:w="784" w:type="dxa"/>
            <w:tcBorders>
              <w:top w:val="nil"/>
              <w:left w:val="nil"/>
              <w:bottom w:val="single" w:sz="4" w:space="0" w:color="auto"/>
              <w:right w:val="single" w:sz="8" w:space="0" w:color="auto"/>
            </w:tcBorders>
            <w:shd w:val="clear" w:color="auto" w:fill="auto"/>
            <w:noWrap/>
            <w:vAlign w:val="bottom"/>
            <w:hideMark/>
          </w:tcPr>
          <w:p w14:paraId="2034734A"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103,13 </w:t>
            </w:r>
          </w:p>
        </w:tc>
      </w:tr>
      <w:tr w:rsidR="00D6475C" w:rsidRPr="009772A3" w14:paraId="07970903"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4A7420B9"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3</w:t>
            </w:r>
          </w:p>
        </w:tc>
        <w:tc>
          <w:tcPr>
            <w:tcW w:w="927" w:type="dxa"/>
            <w:tcBorders>
              <w:top w:val="nil"/>
              <w:left w:val="nil"/>
              <w:bottom w:val="single" w:sz="4" w:space="0" w:color="auto"/>
              <w:right w:val="single" w:sz="4" w:space="0" w:color="auto"/>
            </w:tcBorders>
            <w:shd w:val="clear" w:color="000000" w:fill="FFFFFF"/>
            <w:noWrap/>
            <w:vAlign w:val="center"/>
            <w:hideMark/>
          </w:tcPr>
          <w:p w14:paraId="64182DE0"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2013</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0EA4CDF5"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390.949,64 </w:t>
            </w:r>
          </w:p>
        </w:tc>
        <w:tc>
          <w:tcPr>
            <w:tcW w:w="1277" w:type="dxa"/>
            <w:tcBorders>
              <w:top w:val="nil"/>
              <w:left w:val="nil"/>
              <w:bottom w:val="single" w:sz="4" w:space="0" w:color="auto"/>
              <w:right w:val="single" w:sz="4" w:space="0" w:color="auto"/>
            </w:tcBorders>
            <w:shd w:val="clear" w:color="auto" w:fill="auto"/>
            <w:noWrap/>
            <w:vAlign w:val="bottom"/>
            <w:hideMark/>
          </w:tcPr>
          <w:p w14:paraId="637DF2D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385.188,48 </w:t>
            </w:r>
          </w:p>
        </w:tc>
        <w:tc>
          <w:tcPr>
            <w:tcW w:w="1117" w:type="dxa"/>
            <w:tcBorders>
              <w:top w:val="nil"/>
              <w:left w:val="nil"/>
              <w:bottom w:val="single" w:sz="4" w:space="0" w:color="auto"/>
              <w:right w:val="single" w:sz="8" w:space="0" w:color="auto"/>
            </w:tcBorders>
            <w:shd w:val="clear" w:color="auto" w:fill="auto"/>
            <w:noWrap/>
            <w:vAlign w:val="bottom"/>
            <w:hideMark/>
          </w:tcPr>
          <w:p w14:paraId="71D9FCD7"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98,53 </w:t>
            </w:r>
          </w:p>
        </w:tc>
        <w:tc>
          <w:tcPr>
            <w:tcW w:w="1150" w:type="dxa"/>
            <w:tcBorders>
              <w:top w:val="nil"/>
              <w:left w:val="nil"/>
              <w:bottom w:val="single" w:sz="4" w:space="0" w:color="auto"/>
              <w:right w:val="single" w:sz="4" w:space="0" w:color="auto"/>
            </w:tcBorders>
            <w:shd w:val="clear" w:color="000000" w:fill="FFFFFF"/>
            <w:vAlign w:val="center"/>
            <w:hideMark/>
          </w:tcPr>
          <w:p w14:paraId="52C5C308"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27.686,30 </w:t>
            </w:r>
          </w:p>
        </w:tc>
        <w:tc>
          <w:tcPr>
            <w:tcW w:w="1134" w:type="dxa"/>
            <w:tcBorders>
              <w:top w:val="nil"/>
              <w:left w:val="nil"/>
              <w:bottom w:val="single" w:sz="4" w:space="0" w:color="auto"/>
              <w:right w:val="single" w:sz="4" w:space="0" w:color="auto"/>
            </w:tcBorders>
            <w:shd w:val="clear" w:color="auto" w:fill="auto"/>
            <w:noWrap/>
            <w:vAlign w:val="bottom"/>
            <w:hideMark/>
          </w:tcPr>
          <w:p w14:paraId="07D7FEB9"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23.553,34 </w:t>
            </w:r>
          </w:p>
        </w:tc>
        <w:tc>
          <w:tcPr>
            <w:tcW w:w="851" w:type="dxa"/>
            <w:tcBorders>
              <w:top w:val="nil"/>
              <w:left w:val="nil"/>
              <w:bottom w:val="single" w:sz="4" w:space="0" w:color="auto"/>
              <w:right w:val="single" w:sz="8" w:space="0" w:color="auto"/>
            </w:tcBorders>
            <w:shd w:val="clear" w:color="auto" w:fill="auto"/>
            <w:noWrap/>
            <w:vAlign w:val="bottom"/>
            <w:hideMark/>
          </w:tcPr>
          <w:p w14:paraId="0453B981"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85,07 </w:t>
            </w:r>
          </w:p>
        </w:tc>
        <w:tc>
          <w:tcPr>
            <w:tcW w:w="1277" w:type="dxa"/>
            <w:tcBorders>
              <w:top w:val="nil"/>
              <w:left w:val="nil"/>
              <w:bottom w:val="single" w:sz="4" w:space="0" w:color="auto"/>
              <w:right w:val="single" w:sz="4" w:space="0" w:color="auto"/>
            </w:tcBorders>
            <w:shd w:val="clear" w:color="auto" w:fill="auto"/>
            <w:vAlign w:val="center"/>
            <w:hideMark/>
          </w:tcPr>
          <w:p w14:paraId="1B00497B"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305.408,14 </w:t>
            </w:r>
          </w:p>
        </w:tc>
        <w:tc>
          <w:tcPr>
            <w:tcW w:w="1277" w:type="dxa"/>
            <w:tcBorders>
              <w:top w:val="nil"/>
              <w:left w:val="nil"/>
              <w:bottom w:val="single" w:sz="4" w:space="0" w:color="auto"/>
              <w:right w:val="single" w:sz="4" w:space="0" w:color="auto"/>
            </w:tcBorders>
            <w:shd w:val="clear" w:color="auto" w:fill="auto"/>
            <w:noWrap/>
            <w:vAlign w:val="bottom"/>
            <w:hideMark/>
          </w:tcPr>
          <w:p w14:paraId="750FAF5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308.717,95 </w:t>
            </w:r>
          </w:p>
        </w:tc>
        <w:tc>
          <w:tcPr>
            <w:tcW w:w="935" w:type="dxa"/>
            <w:tcBorders>
              <w:top w:val="nil"/>
              <w:left w:val="nil"/>
              <w:bottom w:val="single" w:sz="4" w:space="0" w:color="auto"/>
              <w:right w:val="single" w:sz="8" w:space="0" w:color="auto"/>
            </w:tcBorders>
            <w:shd w:val="clear" w:color="auto" w:fill="auto"/>
            <w:noWrap/>
            <w:vAlign w:val="bottom"/>
            <w:hideMark/>
          </w:tcPr>
          <w:p w14:paraId="75C5F378"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101,08 </w:t>
            </w:r>
          </w:p>
        </w:tc>
        <w:tc>
          <w:tcPr>
            <w:tcW w:w="1188" w:type="dxa"/>
            <w:gridSpan w:val="2"/>
            <w:tcBorders>
              <w:top w:val="nil"/>
              <w:left w:val="single" w:sz="4" w:space="0" w:color="auto"/>
              <w:bottom w:val="single" w:sz="4" w:space="0" w:color="auto"/>
              <w:right w:val="single" w:sz="4" w:space="0" w:color="auto"/>
            </w:tcBorders>
            <w:shd w:val="clear" w:color="auto" w:fill="auto"/>
            <w:vAlign w:val="center"/>
            <w:hideMark/>
          </w:tcPr>
          <w:p w14:paraId="461A2739"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57.855,20 </w:t>
            </w:r>
          </w:p>
        </w:tc>
        <w:tc>
          <w:tcPr>
            <w:tcW w:w="1126" w:type="dxa"/>
            <w:tcBorders>
              <w:top w:val="nil"/>
              <w:left w:val="nil"/>
              <w:bottom w:val="single" w:sz="4" w:space="0" w:color="auto"/>
              <w:right w:val="single" w:sz="4" w:space="0" w:color="auto"/>
            </w:tcBorders>
            <w:shd w:val="clear" w:color="auto" w:fill="auto"/>
            <w:noWrap/>
            <w:vAlign w:val="bottom"/>
            <w:hideMark/>
          </w:tcPr>
          <w:p w14:paraId="745F8D72"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52.917,19 </w:t>
            </w:r>
          </w:p>
        </w:tc>
        <w:tc>
          <w:tcPr>
            <w:tcW w:w="784" w:type="dxa"/>
            <w:tcBorders>
              <w:top w:val="nil"/>
              <w:left w:val="nil"/>
              <w:bottom w:val="single" w:sz="4" w:space="0" w:color="auto"/>
              <w:right w:val="single" w:sz="8" w:space="0" w:color="auto"/>
            </w:tcBorders>
            <w:shd w:val="clear" w:color="auto" w:fill="auto"/>
            <w:noWrap/>
            <w:vAlign w:val="bottom"/>
            <w:hideMark/>
          </w:tcPr>
          <w:p w14:paraId="10C24328"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91,46 </w:t>
            </w:r>
          </w:p>
        </w:tc>
      </w:tr>
      <w:tr w:rsidR="00D6475C" w:rsidRPr="009772A3" w14:paraId="1F1783DE"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48416366"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4</w:t>
            </w:r>
          </w:p>
        </w:tc>
        <w:tc>
          <w:tcPr>
            <w:tcW w:w="927" w:type="dxa"/>
            <w:tcBorders>
              <w:top w:val="nil"/>
              <w:left w:val="nil"/>
              <w:bottom w:val="single" w:sz="4" w:space="0" w:color="auto"/>
              <w:right w:val="single" w:sz="4" w:space="0" w:color="auto"/>
            </w:tcBorders>
            <w:shd w:val="clear" w:color="000000" w:fill="FFFFFF"/>
            <w:noWrap/>
            <w:vAlign w:val="center"/>
            <w:hideMark/>
          </w:tcPr>
          <w:p w14:paraId="0F8F1973"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2014</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7FCFF8A3"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441.148,26 </w:t>
            </w:r>
          </w:p>
        </w:tc>
        <w:tc>
          <w:tcPr>
            <w:tcW w:w="1277" w:type="dxa"/>
            <w:tcBorders>
              <w:top w:val="nil"/>
              <w:left w:val="nil"/>
              <w:bottom w:val="single" w:sz="4" w:space="0" w:color="auto"/>
              <w:right w:val="single" w:sz="4" w:space="0" w:color="auto"/>
            </w:tcBorders>
            <w:shd w:val="clear" w:color="auto" w:fill="auto"/>
            <w:noWrap/>
            <w:vAlign w:val="bottom"/>
            <w:hideMark/>
          </w:tcPr>
          <w:p w14:paraId="68827754"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436.311,17 </w:t>
            </w:r>
          </w:p>
        </w:tc>
        <w:tc>
          <w:tcPr>
            <w:tcW w:w="1117" w:type="dxa"/>
            <w:tcBorders>
              <w:top w:val="nil"/>
              <w:left w:val="nil"/>
              <w:bottom w:val="single" w:sz="4" w:space="0" w:color="auto"/>
              <w:right w:val="single" w:sz="8" w:space="0" w:color="auto"/>
            </w:tcBorders>
            <w:shd w:val="clear" w:color="auto" w:fill="auto"/>
            <w:noWrap/>
            <w:vAlign w:val="bottom"/>
            <w:hideMark/>
          </w:tcPr>
          <w:p w14:paraId="7028C3EE"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98,90 </w:t>
            </w:r>
          </w:p>
        </w:tc>
        <w:tc>
          <w:tcPr>
            <w:tcW w:w="1150" w:type="dxa"/>
            <w:tcBorders>
              <w:top w:val="nil"/>
              <w:left w:val="nil"/>
              <w:bottom w:val="single" w:sz="4" w:space="0" w:color="auto"/>
              <w:right w:val="single" w:sz="4" w:space="0" w:color="auto"/>
            </w:tcBorders>
            <w:shd w:val="clear" w:color="000000" w:fill="FFFFFF"/>
            <w:vAlign w:val="center"/>
            <w:hideMark/>
          </w:tcPr>
          <w:p w14:paraId="66F1694F"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35.017,80 </w:t>
            </w:r>
          </w:p>
        </w:tc>
        <w:tc>
          <w:tcPr>
            <w:tcW w:w="1134" w:type="dxa"/>
            <w:tcBorders>
              <w:top w:val="nil"/>
              <w:left w:val="nil"/>
              <w:bottom w:val="single" w:sz="4" w:space="0" w:color="auto"/>
              <w:right w:val="single" w:sz="4" w:space="0" w:color="auto"/>
            </w:tcBorders>
            <w:shd w:val="clear" w:color="auto" w:fill="auto"/>
            <w:noWrap/>
            <w:vAlign w:val="bottom"/>
            <w:hideMark/>
          </w:tcPr>
          <w:p w14:paraId="5661F29C"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26.421,41 </w:t>
            </w:r>
          </w:p>
        </w:tc>
        <w:tc>
          <w:tcPr>
            <w:tcW w:w="851" w:type="dxa"/>
            <w:tcBorders>
              <w:top w:val="nil"/>
              <w:left w:val="nil"/>
              <w:bottom w:val="single" w:sz="4" w:space="0" w:color="auto"/>
              <w:right w:val="single" w:sz="8" w:space="0" w:color="auto"/>
            </w:tcBorders>
            <w:shd w:val="clear" w:color="auto" w:fill="auto"/>
            <w:noWrap/>
            <w:vAlign w:val="bottom"/>
            <w:hideMark/>
          </w:tcPr>
          <w:p w14:paraId="06A52EA1"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75,45 </w:t>
            </w:r>
          </w:p>
        </w:tc>
        <w:tc>
          <w:tcPr>
            <w:tcW w:w="1277" w:type="dxa"/>
            <w:tcBorders>
              <w:top w:val="nil"/>
              <w:left w:val="nil"/>
              <w:bottom w:val="single" w:sz="4" w:space="0" w:color="auto"/>
              <w:right w:val="single" w:sz="4" w:space="0" w:color="auto"/>
            </w:tcBorders>
            <w:shd w:val="clear" w:color="auto" w:fill="auto"/>
            <w:vAlign w:val="center"/>
            <w:hideMark/>
          </w:tcPr>
          <w:p w14:paraId="09FA95CE"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341.938,26 </w:t>
            </w:r>
          </w:p>
        </w:tc>
        <w:tc>
          <w:tcPr>
            <w:tcW w:w="1277" w:type="dxa"/>
            <w:tcBorders>
              <w:top w:val="nil"/>
              <w:left w:val="nil"/>
              <w:bottom w:val="single" w:sz="4" w:space="0" w:color="auto"/>
              <w:right w:val="single" w:sz="4" w:space="0" w:color="auto"/>
            </w:tcBorders>
            <w:shd w:val="clear" w:color="auto" w:fill="auto"/>
            <w:noWrap/>
            <w:vAlign w:val="bottom"/>
            <w:hideMark/>
          </w:tcPr>
          <w:p w14:paraId="6D51C5F7"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350.406,48 </w:t>
            </w:r>
          </w:p>
        </w:tc>
        <w:tc>
          <w:tcPr>
            <w:tcW w:w="935" w:type="dxa"/>
            <w:tcBorders>
              <w:top w:val="nil"/>
              <w:left w:val="nil"/>
              <w:bottom w:val="single" w:sz="4" w:space="0" w:color="auto"/>
              <w:right w:val="single" w:sz="8" w:space="0" w:color="auto"/>
            </w:tcBorders>
            <w:shd w:val="clear" w:color="auto" w:fill="auto"/>
            <w:noWrap/>
            <w:vAlign w:val="bottom"/>
            <w:hideMark/>
          </w:tcPr>
          <w:p w14:paraId="75249587"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102,48 </w:t>
            </w:r>
          </w:p>
        </w:tc>
        <w:tc>
          <w:tcPr>
            <w:tcW w:w="1188" w:type="dxa"/>
            <w:gridSpan w:val="2"/>
            <w:tcBorders>
              <w:top w:val="nil"/>
              <w:left w:val="single" w:sz="4" w:space="0" w:color="auto"/>
              <w:bottom w:val="single" w:sz="4" w:space="0" w:color="auto"/>
              <w:right w:val="single" w:sz="4" w:space="0" w:color="auto"/>
            </w:tcBorders>
            <w:shd w:val="clear" w:color="auto" w:fill="auto"/>
            <w:vAlign w:val="center"/>
            <w:hideMark/>
          </w:tcPr>
          <w:p w14:paraId="1789658A"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64.192,20 </w:t>
            </w:r>
          </w:p>
        </w:tc>
        <w:tc>
          <w:tcPr>
            <w:tcW w:w="1126" w:type="dxa"/>
            <w:tcBorders>
              <w:top w:val="nil"/>
              <w:left w:val="nil"/>
              <w:bottom w:val="single" w:sz="4" w:space="0" w:color="auto"/>
              <w:right w:val="single" w:sz="4" w:space="0" w:color="auto"/>
            </w:tcBorders>
            <w:shd w:val="clear" w:color="auto" w:fill="auto"/>
            <w:noWrap/>
            <w:vAlign w:val="bottom"/>
            <w:hideMark/>
          </w:tcPr>
          <w:p w14:paraId="0D091E9A"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59.483,28 </w:t>
            </w:r>
          </w:p>
        </w:tc>
        <w:tc>
          <w:tcPr>
            <w:tcW w:w="784" w:type="dxa"/>
            <w:tcBorders>
              <w:top w:val="nil"/>
              <w:left w:val="nil"/>
              <w:bottom w:val="single" w:sz="4" w:space="0" w:color="auto"/>
              <w:right w:val="single" w:sz="8" w:space="0" w:color="auto"/>
            </w:tcBorders>
            <w:shd w:val="clear" w:color="auto" w:fill="auto"/>
            <w:noWrap/>
            <w:vAlign w:val="bottom"/>
            <w:hideMark/>
          </w:tcPr>
          <w:p w14:paraId="31E7A7A7"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92,66 </w:t>
            </w:r>
          </w:p>
        </w:tc>
      </w:tr>
      <w:tr w:rsidR="00D6475C" w:rsidRPr="009772A3" w14:paraId="30B5653C"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642A9916"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5</w:t>
            </w:r>
          </w:p>
        </w:tc>
        <w:tc>
          <w:tcPr>
            <w:tcW w:w="927" w:type="dxa"/>
            <w:tcBorders>
              <w:top w:val="nil"/>
              <w:left w:val="nil"/>
              <w:bottom w:val="single" w:sz="4" w:space="0" w:color="auto"/>
              <w:right w:val="single" w:sz="4" w:space="0" w:color="auto"/>
            </w:tcBorders>
            <w:shd w:val="clear" w:color="000000" w:fill="FFFFFF"/>
            <w:noWrap/>
            <w:vAlign w:val="center"/>
            <w:hideMark/>
          </w:tcPr>
          <w:p w14:paraId="513FDF19"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2015</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1A5E9076"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540.809,43 </w:t>
            </w:r>
          </w:p>
        </w:tc>
        <w:tc>
          <w:tcPr>
            <w:tcW w:w="1277" w:type="dxa"/>
            <w:tcBorders>
              <w:top w:val="nil"/>
              <w:left w:val="nil"/>
              <w:bottom w:val="single" w:sz="4" w:space="0" w:color="auto"/>
              <w:right w:val="single" w:sz="4" w:space="0" w:color="auto"/>
            </w:tcBorders>
            <w:shd w:val="clear" w:color="auto" w:fill="auto"/>
            <w:noWrap/>
            <w:vAlign w:val="bottom"/>
            <w:hideMark/>
          </w:tcPr>
          <w:p w14:paraId="38D8B232"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468.581,27 </w:t>
            </w:r>
          </w:p>
        </w:tc>
        <w:tc>
          <w:tcPr>
            <w:tcW w:w="1117" w:type="dxa"/>
            <w:tcBorders>
              <w:top w:val="nil"/>
              <w:left w:val="nil"/>
              <w:bottom w:val="single" w:sz="4" w:space="0" w:color="auto"/>
              <w:right w:val="single" w:sz="8" w:space="0" w:color="auto"/>
            </w:tcBorders>
            <w:shd w:val="clear" w:color="auto" w:fill="auto"/>
            <w:noWrap/>
            <w:vAlign w:val="bottom"/>
            <w:hideMark/>
          </w:tcPr>
          <w:p w14:paraId="6C38EBE6"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86,64 </w:t>
            </w:r>
          </w:p>
        </w:tc>
        <w:tc>
          <w:tcPr>
            <w:tcW w:w="1150" w:type="dxa"/>
            <w:tcBorders>
              <w:top w:val="nil"/>
              <w:left w:val="nil"/>
              <w:bottom w:val="single" w:sz="4" w:space="0" w:color="auto"/>
              <w:right w:val="single" w:sz="4" w:space="0" w:color="auto"/>
            </w:tcBorders>
            <w:shd w:val="clear" w:color="000000" w:fill="FFFFFF"/>
            <w:vAlign w:val="center"/>
            <w:hideMark/>
          </w:tcPr>
          <w:p w14:paraId="5EBEB82F"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40.757,30 </w:t>
            </w:r>
          </w:p>
        </w:tc>
        <w:tc>
          <w:tcPr>
            <w:tcW w:w="1134" w:type="dxa"/>
            <w:tcBorders>
              <w:top w:val="nil"/>
              <w:left w:val="nil"/>
              <w:bottom w:val="single" w:sz="4" w:space="0" w:color="auto"/>
              <w:right w:val="single" w:sz="4" w:space="0" w:color="auto"/>
            </w:tcBorders>
            <w:shd w:val="clear" w:color="auto" w:fill="auto"/>
            <w:noWrap/>
            <w:vAlign w:val="bottom"/>
            <w:hideMark/>
          </w:tcPr>
          <w:p w14:paraId="55ACD6FD"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42.195,69 </w:t>
            </w:r>
          </w:p>
        </w:tc>
        <w:tc>
          <w:tcPr>
            <w:tcW w:w="851" w:type="dxa"/>
            <w:tcBorders>
              <w:top w:val="nil"/>
              <w:left w:val="nil"/>
              <w:bottom w:val="single" w:sz="4" w:space="0" w:color="auto"/>
              <w:right w:val="single" w:sz="8" w:space="0" w:color="auto"/>
            </w:tcBorders>
            <w:shd w:val="clear" w:color="auto" w:fill="auto"/>
            <w:noWrap/>
            <w:vAlign w:val="bottom"/>
            <w:hideMark/>
          </w:tcPr>
          <w:p w14:paraId="62C081AC"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103,53 </w:t>
            </w:r>
          </w:p>
        </w:tc>
        <w:tc>
          <w:tcPr>
            <w:tcW w:w="1277" w:type="dxa"/>
            <w:tcBorders>
              <w:top w:val="nil"/>
              <w:left w:val="nil"/>
              <w:bottom w:val="single" w:sz="4" w:space="0" w:color="auto"/>
              <w:right w:val="single" w:sz="4" w:space="0" w:color="auto"/>
            </w:tcBorders>
            <w:shd w:val="clear" w:color="auto" w:fill="auto"/>
            <w:vAlign w:val="center"/>
            <w:hideMark/>
          </w:tcPr>
          <w:p w14:paraId="0E3B948E"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425.625,43 </w:t>
            </w:r>
          </w:p>
        </w:tc>
        <w:tc>
          <w:tcPr>
            <w:tcW w:w="1277" w:type="dxa"/>
            <w:tcBorders>
              <w:top w:val="nil"/>
              <w:left w:val="nil"/>
              <w:bottom w:val="single" w:sz="4" w:space="0" w:color="auto"/>
              <w:right w:val="single" w:sz="4" w:space="0" w:color="auto"/>
            </w:tcBorders>
            <w:shd w:val="clear" w:color="auto" w:fill="auto"/>
            <w:noWrap/>
            <w:vAlign w:val="bottom"/>
            <w:hideMark/>
          </w:tcPr>
          <w:p w14:paraId="1EBEC2BC"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360.825,62 </w:t>
            </w:r>
          </w:p>
        </w:tc>
        <w:tc>
          <w:tcPr>
            <w:tcW w:w="935" w:type="dxa"/>
            <w:tcBorders>
              <w:top w:val="nil"/>
              <w:left w:val="nil"/>
              <w:bottom w:val="single" w:sz="4" w:space="0" w:color="auto"/>
              <w:right w:val="single" w:sz="8" w:space="0" w:color="auto"/>
            </w:tcBorders>
            <w:shd w:val="clear" w:color="auto" w:fill="auto"/>
            <w:noWrap/>
            <w:vAlign w:val="bottom"/>
            <w:hideMark/>
          </w:tcPr>
          <w:p w14:paraId="17417426"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84,78 </w:t>
            </w:r>
          </w:p>
        </w:tc>
        <w:tc>
          <w:tcPr>
            <w:tcW w:w="1188" w:type="dxa"/>
            <w:gridSpan w:val="2"/>
            <w:tcBorders>
              <w:top w:val="nil"/>
              <w:left w:val="single" w:sz="4" w:space="0" w:color="auto"/>
              <w:bottom w:val="single" w:sz="4" w:space="0" w:color="auto"/>
              <w:right w:val="single" w:sz="4" w:space="0" w:color="auto"/>
            </w:tcBorders>
            <w:shd w:val="clear" w:color="auto" w:fill="auto"/>
            <w:vAlign w:val="center"/>
            <w:hideMark/>
          </w:tcPr>
          <w:p w14:paraId="4511A514"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74.426,70 </w:t>
            </w:r>
          </w:p>
        </w:tc>
        <w:tc>
          <w:tcPr>
            <w:tcW w:w="1126" w:type="dxa"/>
            <w:tcBorders>
              <w:top w:val="nil"/>
              <w:left w:val="nil"/>
              <w:bottom w:val="single" w:sz="4" w:space="0" w:color="auto"/>
              <w:right w:val="single" w:sz="4" w:space="0" w:color="auto"/>
            </w:tcBorders>
            <w:shd w:val="clear" w:color="auto" w:fill="auto"/>
            <w:noWrap/>
            <w:vAlign w:val="bottom"/>
            <w:hideMark/>
          </w:tcPr>
          <w:p w14:paraId="50F6D0D9"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65.559,95 </w:t>
            </w:r>
          </w:p>
        </w:tc>
        <w:tc>
          <w:tcPr>
            <w:tcW w:w="784" w:type="dxa"/>
            <w:tcBorders>
              <w:top w:val="nil"/>
              <w:left w:val="nil"/>
              <w:bottom w:val="single" w:sz="4" w:space="0" w:color="auto"/>
              <w:right w:val="single" w:sz="8" w:space="0" w:color="auto"/>
            </w:tcBorders>
            <w:shd w:val="clear" w:color="auto" w:fill="auto"/>
            <w:noWrap/>
            <w:vAlign w:val="bottom"/>
            <w:hideMark/>
          </w:tcPr>
          <w:p w14:paraId="27B6F3D8"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88,09 </w:t>
            </w:r>
          </w:p>
        </w:tc>
      </w:tr>
      <w:tr w:rsidR="00D6475C" w:rsidRPr="009772A3" w14:paraId="092C868F"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39F9786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6</w:t>
            </w:r>
          </w:p>
        </w:tc>
        <w:tc>
          <w:tcPr>
            <w:tcW w:w="927" w:type="dxa"/>
            <w:tcBorders>
              <w:top w:val="nil"/>
              <w:left w:val="nil"/>
              <w:bottom w:val="single" w:sz="4" w:space="0" w:color="auto"/>
              <w:right w:val="single" w:sz="4" w:space="0" w:color="auto"/>
            </w:tcBorders>
            <w:shd w:val="clear" w:color="000000" w:fill="FFFFFF"/>
            <w:noWrap/>
            <w:vAlign w:val="center"/>
            <w:hideMark/>
          </w:tcPr>
          <w:p w14:paraId="328BE2F4"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2016</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3B8E6995"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556.605,76 </w:t>
            </w:r>
          </w:p>
        </w:tc>
        <w:tc>
          <w:tcPr>
            <w:tcW w:w="1277" w:type="dxa"/>
            <w:tcBorders>
              <w:top w:val="nil"/>
              <w:left w:val="nil"/>
              <w:bottom w:val="single" w:sz="4" w:space="0" w:color="auto"/>
              <w:right w:val="single" w:sz="4" w:space="0" w:color="auto"/>
            </w:tcBorders>
            <w:shd w:val="clear" w:color="auto" w:fill="auto"/>
            <w:noWrap/>
            <w:vAlign w:val="bottom"/>
            <w:hideMark/>
          </w:tcPr>
          <w:p w14:paraId="617542C8"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529.541,86 </w:t>
            </w:r>
          </w:p>
        </w:tc>
        <w:tc>
          <w:tcPr>
            <w:tcW w:w="1117" w:type="dxa"/>
            <w:tcBorders>
              <w:top w:val="nil"/>
              <w:left w:val="nil"/>
              <w:bottom w:val="single" w:sz="4" w:space="0" w:color="auto"/>
              <w:right w:val="single" w:sz="8" w:space="0" w:color="auto"/>
            </w:tcBorders>
            <w:shd w:val="clear" w:color="auto" w:fill="auto"/>
            <w:noWrap/>
            <w:vAlign w:val="bottom"/>
            <w:hideMark/>
          </w:tcPr>
          <w:p w14:paraId="6A8FE1B3"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95,14 </w:t>
            </w:r>
          </w:p>
        </w:tc>
        <w:tc>
          <w:tcPr>
            <w:tcW w:w="1150" w:type="dxa"/>
            <w:tcBorders>
              <w:top w:val="nil"/>
              <w:left w:val="nil"/>
              <w:bottom w:val="single" w:sz="4" w:space="0" w:color="auto"/>
              <w:right w:val="single" w:sz="4" w:space="0" w:color="auto"/>
            </w:tcBorders>
            <w:shd w:val="clear" w:color="000000" w:fill="FFFFFF"/>
            <w:vAlign w:val="center"/>
            <w:hideMark/>
          </w:tcPr>
          <w:p w14:paraId="2CD27136"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63.178,27 </w:t>
            </w:r>
          </w:p>
        </w:tc>
        <w:tc>
          <w:tcPr>
            <w:tcW w:w="1134" w:type="dxa"/>
            <w:tcBorders>
              <w:top w:val="nil"/>
              <w:left w:val="nil"/>
              <w:bottom w:val="single" w:sz="4" w:space="0" w:color="auto"/>
              <w:right w:val="single" w:sz="4" w:space="0" w:color="auto"/>
            </w:tcBorders>
            <w:shd w:val="clear" w:color="auto" w:fill="auto"/>
            <w:noWrap/>
            <w:vAlign w:val="bottom"/>
            <w:hideMark/>
          </w:tcPr>
          <w:p w14:paraId="204DEEA6"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47.728,07 </w:t>
            </w:r>
          </w:p>
        </w:tc>
        <w:tc>
          <w:tcPr>
            <w:tcW w:w="851" w:type="dxa"/>
            <w:tcBorders>
              <w:top w:val="nil"/>
              <w:left w:val="nil"/>
              <w:bottom w:val="single" w:sz="4" w:space="0" w:color="auto"/>
              <w:right w:val="single" w:sz="8" w:space="0" w:color="auto"/>
            </w:tcBorders>
            <w:shd w:val="clear" w:color="auto" w:fill="auto"/>
            <w:noWrap/>
            <w:vAlign w:val="bottom"/>
            <w:hideMark/>
          </w:tcPr>
          <w:p w14:paraId="68C91B76"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75,55 </w:t>
            </w:r>
          </w:p>
        </w:tc>
        <w:tc>
          <w:tcPr>
            <w:tcW w:w="1277" w:type="dxa"/>
            <w:tcBorders>
              <w:top w:val="nil"/>
              <w:left w:val="nil"/>
              <w:bottom w:val="single" w:sz="4" w:space="0" w:color="auto"/>
              <w:right w:val="single" w:sz="4" w:space="0" w:color="auto"/>
            </w:tcBorders>
            <w:shd w:val="clear" w:color="auto" w:fill="auto"/>
            <w:vAlign w:val="center"/>
            <w:hideMark/>
          </w:tcPr>
          <w:p w14:paraId="062F70D0"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412.186,08 </w:t>
            </w:r>
          </w:p>
        </w:tc>
        <w:tc>
          <w:tcPr>
            <w:tcW w:w="1277" w:type="dxa"/>
            <w:tcBorders>
              <w:top w:val="nil"/>
              <w:left w:val="nil"/>
              <w:bottom w:val="single" w:sz="4" w:space="0" w:color="auto"/>
              <w:right w:val="single" w:sz="4" w:space="0" w:color="auto"/>
            </w:tcBorders>
            <w:shd w:val="clear" w:color="auto" w:fill="auto"/>
            <w:noWrap/>
            <w:vAlign w:val="bottom"/>
            <w:hideMark/>
          </w:tcPr>
          <w:p w14:paraId="6507811A"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408.434,75 </w:t>
            </w:r>
          </w:p>
        </w:tc>
        <w:tc>
          <w:tcPr>
            <w:tcW w:w="935" w:type="dxa"/>
            <w:tcBorders>
              <w:top w:val="nil"/>
              <w:left w:val="nil"/>
              <w:bottom w:val="single" w:sz="4" w:space="0" w:color="auto"/>
              <w:right w:val="single" w:sz="8" w:space="0" w:color="auto"/>
            </w:tcBorders>
            <w:shd w:val="clear" w:color="auto" w:fill="auto"/>
            <w:noWrap/>
            <w:vAlign w:val="bottom"/>
            <w:hideMark/>
          </w:tcPr>
          <w:p w14:paraId="6BF09C5B"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99,09 </w:t>
            </w:r>
          </w:p>
        </w:tc>
        <w:tc>
          <w:tcPr>
            <w:tcW w:w="1188" w:type="dxa"/>
            <w:gridSpan w:val="2"/>
            <w:tcBorders>
              <w:top w:val="nil"/>
              <w:left w:val="single" w:sz="4" w:space="0" w:color="auto"/>
              <w:bottom w:val="single" w:sz="4" w:space="0" w:color="auto"/>
              <w:right w:val="single" w:sz="4" w:space="0" w:color="auto"/>
            </w:tcBorders>
            <w:shd w:val="clear" w:color="auto" w:fill="auto"/>
            <w:vAlign w:val="center"/>
            <w:hideMark/>
          </w:tcPr>
          <w:p w14:paraId="08AB4E1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81.241,40 </w:t>
            </w:r>
          </w:p>
        </w:tc>
        <w:tc>
          <w:tcPr>
            <w:tcW w:w="1126" w:type="dxa"/>
            <w:tcBorders>
              <w:top w:val="nil"/>
              <w:left w:val="nil"/>
              <w:bottom w:val="single" w:sz="4" w:space="0" w:color="auto"/>
              <w:right w:val="single" w:sz="4" w:space="0" w:color="auto"/>
            </w:tcBorders>
            <w:shd w:val="clear" w:color="auto" w:fill="auto"/>
            <w:noWrap/>
            <w:vAlign w:val="bottom"/>
            <w:hideMark/>
          </w:tcPr>
          <w:p w14:paraId="2EDE9128"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73.379,03 </w:t>
            </w:r>
          </w:p>
        </w:tc>
        <w:tc>
          <w:tcPr>
            <w:tcW w:w="784" w:type="dxa"/>
            <w:tcBorders>
              <w:top w:val="nil"/>
              <w:left w:val="nil"/>
              <w:bottom w:val="single" w:sz="4" w:space="0" w:color="auto"/>
              <w:right w:val="single" w:sz="8" w:space="0" w:color="auto"/>
            </w:tcBorders>
            <w:shd w:val="clear" w:color="auto" w:fill="auto"/>
            <w:noWrap/>
            <w:vAlign w:val="bottom"/>
            <w:hideMark/>
          </w:tcPr>
          <w:p w14:paraId="2B73811A"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90,32 </w:t>
            </w:r>
          </w:p>
        </w:tc>
      </w:tr>
      <w:tr w:rsidR="00D6475C" w:rsidRPr="009772A3" w14:paraId="4308E0E8"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0C32D3B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7</w:t>
            </w:r>
          </w:p>
        </w:tc>
        <w:tc>
          <w:tcPr>
            <w:tcW w:w="927" w:type="dxa"/>
            <w:tcBorders>
              <w:top w:val="nil"/>
              <w:left w:val="nil"/>
              <w:bottom w:val="single" w:sz="4" w:space="0" w:color="auto"/>
              <w:right w:val="single" w:sz="4" w:space="0" w:color="auto"/>
            </w:tcBorders>
            <w:shd w:val="clear" w:color="000000" w:fill="FFFFFF"/>
            <w:vAlign w:val="center"/>
            <w:hideMark/>
          </w:tcPr>
          <w:p w14:paraId="14F032E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2017</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5DDD7639"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602.002,90 </w:t>
            </w:r>
          </w:p>
        </w:tc>
        <w:tc>
          <w:tcPr>
            <w:tcW w:w="1277" w:type="dxa"/>
            <w:tcBorders>
              <w:top w:val="nil"/>
              <w:left w:val="nil"/>
              <w:bottom w:val="single" w:sz="4" w:space="0" w:color="auto"/>
              <w:right w:val="single" w:sz="4" w:space="0" w:color="auto"/>
            </w:tcBorders>
            <w:shd w:val="clear" w:color="auto" w:fill="auto"/>
            <w:noWrap/>
            <w:vAlign w:val="bottom"/>
            <w:hideMark/>
          </w:tcPr>
          <w:p w14:paraId="140D4C4A"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602.612,86 </w:t>
            </w:r>
          </w:p>
        </w:tc>
        <w:tc>
          <w:tcPr>
            <w:tcW w:w="1117" w:type="dxa"/>
            <w:tcBorders>
              <w:top w:val="nil"/>
              <w:left w:val="nil"/>
              <w:bottom w:val="single" w:sz="4" w:space="0" w:color="auto"/>
              <w:right w:val="single" w:sz="8" w:space="0" w:color="auto"/>
            </w:tcBorders>
            <w:shd w:val="clear" w:color="auto" w:fill="auto"/>
            <w:noWrap/>
            <w:vAlign w:val="bottom"/>
            <w:hideMark/>
          </w:tcPr>
          <w:p w14:paraId="5D3475B8"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100,10 </w:t>
            </w:r>
          </w:p>
        </w:tc>
        <w:tc>
          <w:tcPr>
            <w:tcW w:w="1150" w:type="dxa"/>
            <w:tcBorders>
              <w:top w:val="nil"/>
              <w:left w:val="nil"/>
              <w:bottom w:val="single" w:sz="4" w:space="0" w:color="auto"/>
              <w:right w:val="single" w:sz="4" w:space="0" w:color="auto"/>
            </w:tcBorders>
            <w:shd w:val="clear" w:color="000000" w:fill="FFFFFF"/>
            <w:vAlign w:val="center"/>
            <w:hideMark/>
          </w:tcPr>
          <w:p w14:paraId="4094EE95"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71.639,20 </w:t>
            </w:r>
          </w:p>
        </w:tc>
        <w:tc>
          <w:tcPr>
            <w:tcW w:w="1134" w:type="dxa"/>
            <w:tcBorders>
              <w:top w:val="nil"/>
              <w:left w:val="nil"/>
              <w:bottom w:val="single" w:sz="4" w:space="0" w:color="auto"/>
              <w:right w:val="single" w:sz="4" w:space="0" w:color="auto"/>
            </w:tcBorders>
            <w:shd w:val="clear" w:color="auto" w:fill="auto"/>
            <w:noWrap/>
            <w:vAlign w:val="bottom"/>
            <w:hideMark/>
          </w:tcPr>
          <w:p w14:paraId="2C91A2B2"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54.344,71 </w:t>
            </w:r>
          </w:p>
        </w:tc>
        <w:tc>
          <w:tcPr>
            <w:tcW w:w="851" w:type="dxa"/>
            <w:tcBorders>
              <w:top w:val="nil"/>
              <w:left w:val="nil"/>
              <w:bottom w:val="single" w:sz="4" w:space="0" w:color="auto"/>
              <w:right w:val="single" w:sz="8" w:space="0" w:color="auto"/>
            </w:tcBorders>
            <w:shd w:val="clear" w:color="auto" w:fill="auto"/>
            <w:noWrap/>
            <w:vAlign w:val="bottom"/>
            <w:hideMark/>
          </w:tcPr>
          <w:p w14:paraId="6A1B54F6"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75,86 </w:t>
            </w:r>
          </w:p>
        </w:tc>
        <w:tc>
          <w:tcPr>
            <w:tcW w:w="1277" w:type="dxa"/>
            <w:tcBorders>
              <w:top w:val="nil"/>
              <w:left w:val="nil"/>
              <w:bottom w:val="single" w:sz="4" w:space="0" w:color="auto"/>
              <w:right w:val="single" w:sz="4" w:space="0" w:color="auto"/>
            </w:tcBorders>
            <w:shd w:val="clear" w:color="auto" w:fill="auto"/>
            <w:vAlign w:val="center"/>
            <w:hideMark/>
          </w:tcPr>
          <w:p w14:paraId="35975A74"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442.548,80 </w:t>
            </w:r>
          </w:p>
        </w:tc>
        <w:tc>
          <w:tcPr>
            <w:tcW w:w="1277" w:type="dxa"/>
            <w:tcBorders>
              <w:top w:val="nil"/>
              <w:left w:val="nil"/>
              <w:bottom w:val="single" w:sz="4" w:space="0" w:color="auto"/>
              <w:right w:val="single" w:sz="4" w:space="0" w:color="auto"/>
            </w:tcBorders>
            <w:shd w:val="clear" w:color="auto" w:fill="auto"/>
            <w:noWrap/>
            <w:vAlign w:val="bottom"/>
            <w:hideMark/>
          </w:tcPr>
          <w:p w14:paraId="0A75DC00"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465.746,83 </w:t>
            </w:r>
          </w:p>
        </w:tc>
        <w:tc>
          <w:tcPr>
            <w:tcW w:w="935" w:type="dxa"/>
            <w:tcBorders>
              <w:top w:val="nil"/>
              <w:left w:val="nil"/>
              <w:bottom w:val="single" w:sz="4" w:space="0" w:color="auto"/>
              <w:right w:val="single" w:sz="8" w:space="0" w:color="auto"/>
            </w:tcBorders>
            <w:shd w:val="clear" w:color="auto" w:fill="auto"/>
            <w:noWrap/>
            <w:vAlign w:val="bottom"/>
            <w:hideMark/>
          </w:tcPr>
          <w:p w14:paraId="6685A6E4"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105,24 </w:t>
            </w:r>
          </w:p>
        </w:tc>
        <w:tc>
          <w:tcPr>
            <w:tcW w:w="1188" w:type="dxa"/>
            <w:gridSpan w:val="2"/>
            <w:tcBorders>
              <w:top w:val="nil"/>
              <w:left w:val="single" w:sz="4" w:space="0" w:color="auto"/>
              <w:bottom w:val="single" w:sz="4" w:space="0" w:color="auto"/>
              <w:right w:val="single" w:sz="4" w:space="0" w:color="auto"/>
            </w:tcBorders>
            <w:shd w:val="clear" w:color="000000" w:fill="FFFFFF"/>
            <w:vAlign w:val="center"/>
            <w:hideMark/>
          </w:tcPr>
          <w:p w14:paraId="3060703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87.814,90 </w:t>
            </w:r>
          </w:p>
        </w:tc>
        <w:tc>
          <w:tcPr>
            <w:tcW w:w="1126" w:type="dxa"/>
            <w:tcBorders>
              <w:top w:val="nil"/>
              <w:left w:val="nil"/>
              <w:bottom w:val="single" w:sz="4" w:space="0" w:color="auto"/>
              <w:right w:val="single" w:sz="4" w:space="0" w:color="auto"/>
            </w:tcBorders>
            <w:shd w:val="clear" w:color="auto" w:fill="auto"/>
            <w:noWrap/>
            <w:vAlign w:val="bottom"/>
            <w:hideMark/>
          </w:tcPr>
          <w:p w14:paraId="7EBCC8D6"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82.521,33 </w:t>
            </w:r>
          </w:p>
        </w:tc>
        <w:tc>
          <w:tcPr>
            <w:tcW w:w="784" w:type="dxa"/>
            <w:tcBorders>
              <w:top w:val="nil"/>
              <w:left w:val="nil"/>
              <w:bottom w:val="single" w:sz="4" w:space="0" w:color="auto"/>
              <w:right w:val="single" w:sz="8" w:space="0" w:color="auto"/>
            </w:tcBorders>
            <w:shd w:val="clear" w:color="auto" w:fill="auto"/>
            <w:noWrap/>
            <w:vAlign w:val="bottom"/>
            <w:hideMark/>
          </w:tcPr>
          <w:p w14:paraId="2B71AD0F"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93,97 </w:t>
            </w:r>
          </w:p>
        </w:tc>
      </w:tr>
      <w:tr w:rsidR="00D6475C" w:rsidRPr="009772A3" w14:paraId="32FF9F72"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46A8F08F"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8</w:t>
            </w:r>
          </w:p>
        </w:tc>
        <w:tc>
          <w:tcPr>
            <w:tcW w:w="927" w:type="dxa"/>
            <w:tcBorders>
              <w:top w:val="nil"/>
              <w:left w:val="nil"/>
              <w:bottom w:val="single" w:sz="4" w:space="0" w:color="auto"/>
              <w:right w:val="single" w:sz="4" w:space="0" w:color="auto"/>
            </w:tcBorders>
            <w:shd w:val="clear" w:color="000000" w:fill="FFFFFF"/>
            <w:noWrap/>
            <w:vAlign w:val="center"/>
            <w:hideMark/>
          </w:tcPr>
          <w:p w14:paraId="5A21745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2018</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50791801"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639.372,50 </w:t>
            </w:r>
          </w:p>
        </w:tc>
        <w:tc>
          <w:tcPr>
            <w:tcW w:w="1277" w:type="dxa"/>
            <w:tcBorders>
              <w:top w:val="nil"/>
              <w:left w:val="nil"/>
              <w:bottom w:val="single" w:sz="4" w:space="0" w:color="auto"/>
              <w:right w:val="single" w:sz="4" w:space="0" w:color="auto"/>
            </w:tcBorders>
            <w:shd w:val="clear" w:color="auto" w:fill="auto"/>
            <w:noWrap/>
            <w:vAlign w:val="bottom"/>
            <w:hideMark/>
          </w:tcPr>
          <w:p w14:paraId="509AB581"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676.544,57 </w:t>
            </w:r>
          </w:p>
        </w:tc>
        <w:tc>
          <w:tcPr>
            <w:tcW w:w="1117" w:type="dxa"/>
            <w:tcBorders>
              <w:top w:val="nil"/>
              <w:left w:val="nil"/>
              <w:bottom w:val="single" w:sz="4" w:space="0" w:color="auto"/>
              <w:right w:val="single" w:sz="8" w:space="0" w:color="auto"/>
            </w:tcBorders>
            <w:shd w:val="clear" w:color="auto" w:fill="auto"/>
            <w:noWrap/>
            <w:vAlign w:val="bottom"/>
            <w:hideMark/>
          </w:tcPr>
          <w:p w14:paraId="5A31F938"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105,81 </w:t>
            </w:r>
          </w:p>
        </w:tc>
        <w:tc>
          <w:tcPr>
            <w:tcW w:w="1150" w:type="dxa"/>
            <w:tcBorders>
              <w:top w:val="nil"/>
              <w:left w:val="nil"/>
              <w:bottom w:val="single" w:sz="4" w:space="0" w:color="auto"/>
              <w:right w:val="single" w:sz="4" w:space="0" w:color="auto"/>
            </w:tcBorders>
            <w:shd w:val="clear" w:color="000000" w:fill="FFFFFF"/>
            <w:vAlign w:val="center"/>
            <w:hideMark/>
          </w:tcPr>
          <w:p w14:paraId="4A32ADA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74.741,70 </w:t>
            </w:r>
          </w:p>
        </w:tc>
        <w:tc>
          <w:tcPr>
            <w:tcW w:w="1134" w:type="dxa"/>
            <w:tcBorders>
              <w:top w:val="nil"/>
              <w:left w:val="nil"/>
              <w:bottom w:val="single" w:sz="4" w:space="0" w:color="auto"/>
              <w:right w:val="single" w:sz="4" w:space="0" w:color="auto"/>
            </w:tcBorders>
            <w:shd w:val="clear" w:color="auto" w:fill="auto"/>
            <w:noWrap/>
            <w:vAlign w:val="bottom"/>
            <w:hideMark/>
          </w:tcPr>
          <w:p w14:paraId="153C2D52"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60.891,25 </w:t>
            </w:r>
          </w:p>
        </w:tc>
        <w:tc>
          <w:tcPr>
            <w:tcW w:w="851" w:type="dxa"/>
            <w:tcBorders>
              <w:top w:val="nil"/>
              <w:left w:val="nil"/>
              <w:bottom w:val="single" w:sz="4" w:space="0" w:color="auto"/>
              <w:right w:val="single" w:sz="8" w:space="0" w:color="auto"/>
            </w:tcBorders>
            <w:shd w:val="clear" w:color="auto" w:fill="auto"/>
            <w:noWrap/>
            <w:vAlign w:val="bottom"/>
            <w:hideMark/>
          </w:tcPr>
          <w:p w14:paraId="40A353DE"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81,47 </w:t>
            </w:r>
          </w:p>
        </w:tc>
        <w:tc>
          <w:tcPr>
            <w:tcW w:w="1277" w:type="dxa"/>
            <w:tcBorders>
              <w:top w:val="nil"/>
              <w:left w:val="nil"/>
              <w:bottom w:val="single" w:sz="4" w:space="0" w:color="auto"/>
              <w:right w:val="single" w:sz="4" w:space="0" w:color="auto"/>
            </w:tcBorders>
            <w:shd w:val="clear" w:color="auto" w:fill="auto"/>
            <w:vAlign w:val="center"/>
            <w:hideMark/>
          </w:tcPr>
          <w:p w14:paraId="54D5448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470.697,70 </w:t>
            </w:r>
          </w:p>
        </w:tc>
        <w:tc>
          <w:tcPr>
            <w:tcW w:w="1277" w:type="dxa"/>
            <w:tcBorders>
              <w:top w:val="nil"/>
              <w:left w:val="nil"/>
              <w:bottom w:val="single" w:sz="4" w:space="0" w:color="auto"/>
              <w:right w:val="single" w:sz="4" w:space="0" w:color="auto"/>
            </w:tcBorders>
            <w:shd w:val="clear" w:color="auto" w:fill="auto"/>
            <w:noWrap/>
            <w:vAlign w:val="bottom"/>
            <w:hideMark/>
          </w:tcPr>
          <w:p w14:paraId="14B23FC4"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524.230,27 </w:t>
            </w:r>
          </w:p>
        </w:tc>
        <w:tc>
          <w:tcPr>
            <w:tcW w:w="935" w:type="dxa"/>
            <w:tcBorders>
              <w:top w:val="nil"/>
              <w:left w:val="nil"/>
              <w:bottom w:val="single" w:sz="4" w:space="0" w:color="auto"/>
              <w:right w:val="single" w:sz="8" w:space="0" w:color="auto"/>
            </w:tcBorders>
            <w:shd w:val="clear" w:color="auto" w:fill="auto"/>
            <w:noWrap/>
            <w:vAlign w:val="bottom"/>
            <w:hideMark/>
          </w:tcPr>
          <w:p w14:paraId="15450471"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111,37 </w:t>
            </w:r>
          </w:p>
        </w:tc>
        <w:tc>
          <w:tcPr>
            <w:tcW w:w="1188" w:type="dxa"/>
            <w:gridSpan w:val="2"/>
            <w:tcBorders>
              <w:top w:val="nil"/>
              <w:left w:val="single" w:sz="4" w:space="0" w:color="auto"/>
              <w:bottom w:val="single" w:sz="4" w:space="0" w:color="auto"/>
              <w:right w:val="single" w:sz="4" w:space="0" w:color="auto"/>
            </w:tcBorders>
            <w:shd w:val="clear" w:color="000000" w:fill="FFFFFF"/>
            <w:vAlign w:val="center"/>
            <w:hideMark/>
          </w:tcPr>
          <w:p w14:paraId="13C82C69"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93.933,10 </w:t>
            </w:r>
          </w:p>
        </w:tc>
        <w:tc>
          <w:tcPr>
            <w:tcW w:w="1126" w:type="dxa"/>
            <w:tcBorders>
              <w:top w:val="nil"/>
              <w:left w:val="nil"/>
              <w:bottom w:val="single" w:sz="4" w:space="0" w:color="auto"/>
              <w:right w:val="single" w:sz="4" w:space="0" w:color="auto"/>
            </w:tcBorders>
            <w:shd w:val="clear" w:color="auto" w:fill="auto"/>
            <w:noWrap/>
            <w:vAlign w:val="bottom"/>
            <w:hideMark/>
          </w:tcPr>
          <w:p w14:paraId="015C64F5"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91.423,05 </w:t>
            </w:r>
          </w:p>
        </w:tc>
        <w:tc>
          <w:tcPr>
            <w:tcW w:w="784" w:type="dxa"/>
            <w:tcBorders>
              <w:top w:val="nil"/>
              <w:left w:val="nil"/>
              <w:bottom w:val="single" w:sz="4" w:space="0" w:color="auto"/>
              <w:right w:val="single" w:sz="8" w:space="0" w:color="auto"/>
            </w:tcBorders>
            <w:shd w:val="clear" w:color="auto" w:fill="auto"/>
            <w:noWrap/>
            <w:vAlign w:val="bottom"/>
            <w:hideMark/>
          </w:tcPr>
          <w:p w14:paraId="5099AFF1"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97,33 </w:t>
            </w:r>
          </w:p>
        </w:tc>
      </w:tr>
      <w:tr w:rsidR="00D6475C" w:rsidRPr="009772A3" w14:paraId="371999FF"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1394B720"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9</w:t>
            </w:r>
          </w:p>
        </w:tc>
        <w:tc>
          <w:tcPr>
            <w:tcW w:w="927" w:type="dxa"/>
            <w:tcBorders>
              <w:top w:val="nil"/>
              <w:left w:val="nil"/>
              <w:bottom w:val="single" w:sz="4" w:space="0" w:color="auto"/>
              <w:right w:val="single" w:sz="4" w:space="0" w:color="auto"/>
            </w:tcBorders>
            <w:shd w:val="clear" w:color="000000" w:fill="FFFFFF"/>
            <w:noWrap/>
            <w:vAlign w:val="center"/>
            <w:hideMark/>
          </w:tcPr>
          <w:p w14:paraId="4B4210E1"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2019</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408E61CD"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717.930,40 </w:t>
            </w:r>
          </w:p>
        </w:tc>
        <w:tc>
          <w:tcPr>
            <w:tcW w:w="1277" w:type="dxa"/>
            <w:tcBorders>
              <w:top w:val="nil"/>
              <w:left w:val="nil"/>
              <w:bottom w:val="single" w:sz="4" w:space="0" w:color="auto"/>
              <w:right w:val="single" w:sz="4" w:space="0" w:color="auto"/>
            </w:tcBorders>
            <w:shd w:val="clear" w:color="auto" w:fill="auto"/>
            <w:noWrap/>
            <w:vAlign w:val="bottom"/>
            <w:hideMark/>
          </w:tcPr>
          <w:p w14:paraId="314ADC0D"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736.326,87 </w:t>
            </w:r>
          </w:p>
        </w:tc>
        <w:tc>
          <w:tcPr>
            <w:tcW w:w="1117" w:type="dxa"/>
            <w:tcBorders>
              <w:top w:val="nil"/>
              <w:left w:val="nil"/>
              <w:bottom w:val="single" w:sz="4" w:space="0" w:color="auto"/>
              <w:right w:val="single" w:sz="8" w:space="0" w:color="auto"/>
            </w:tcBorders>
            <w:shd w:val="clear" w:color="auto" w:fill="auto"/>
            <w:noWrap/>
            <w:vAlign w:val="bottom"/>
            <w:hideMark/>
          </w:tcPr>
          <w:p w14:paraId="1FE8ABC0"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102,56 </w:t>
            </w:r>
          </w:p>
        </w:tc>
        <w:tc>
          <w:tcPr>
            <w:tcW w:w="1150" w:type="dxa"/>
            <w:tcBorders>
              <w:top w:val="nil"/>
              <w:left w:val="nil"/>
              <w:bottom w:val="single" w:sz="4" w:space="0" w:color="auto"/>
              <w:right w:val="single" w:sz="4" w:space="0" w:color="auto"/>
            </w:tcBorders>
            <w:shd w:val="clear" w:color="000000" w:fill="FFFFFF"/>
            <w:vAlign w:val="center"/>
            <w:hideMark/>
          </w:tcPr>
          <w:p w14:paraId="3C11B41A"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77.997,46 </w:t>
            </w:r>
          </w:p>
        </w:tc>
        <w:tc>
          <w:tcPr>
            <w:tcW w:w="1134" w:type="dxa"/>
            <w:tcBorders>
              <w:top w:val="nil"/>
              <w:left w:val="nil"/>
              <w:bottom w:val="single" w:sz="4" w:space="0" w:color="auto"/>
              <w:right w:val="single" w:sz="4" w:space="0" w:color="auto"/>
            </w:tcBorders>
            <w:shd w:val="clear" w:color="auto" w:fill="auto"/>
            <w:noWrap/>
            <w:vAlign w:val="bottom"/>
            <w:hideMark/>
          </w:tcPr>
          <w:p w14:paraId="0E370AA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66.220,73 </w:t>
            </w:r>
          </w:p>
        </w:tc>
        <w:tc>
          <w:tcPr>
            <w:tcW w:w="851" w:type="dxa"/>
            <w:tcBorders>
              <w:top w:val="nil"/>
              <w:left w:val="nil"/>
              <w:bottom w:val="single" w:sz="4" w:space="0" w:color="auto"/>
              <w:right w:val="single" w:sz="8" w:space="0" w:color="auto"/>
            </w:tcBorders>
            <w:shd w:val="clear" w:color="auto" w:fill="auto"/>
            <w:noWrap/>
            <w:vAlign w:val="bottom"/>
            <w:hideMark/>
          </w:tcPr>
          <w:p w14:paraId="709FC3BD"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84,90 </w:t>
            </w:r>
          </w:p>
        </w:tc>
        <w:tc>
          <w:tcPr>
            <w:tcW w:w="1277" w:type="dxa"/>
            <w:tcBorders>
              <w:top w:val="nil"/>
              <w:left w:val="nil"/>
              <w:bottom w:val="single" w:sz="4" w:space="0" w:color="auto"/>
              <w:right w:val="single" w:sz="4" w:space="0" w:color="auto"/>
            </w:tcBorders>
            <w:shd w:val="clear" w:color="auto" w:fill="auto"/>
            <w:vAlign w:val="center"/>
            <w:hideMark/>
          </w:tcPr>
          <w:p w14:paraId="3C25102A"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534.614,74 </w:t>
            </w:r>
          </w:p>
        </w:tc>
        <w:tc>
          <w:tcPr>
            <w:tcW w:w="1277" w:type="dxa"/>
            <w:tcBorders>
              <w:top w:val="nil"/>
              <w:left w:val="nil"/>
              <w:bottom w:val="single" w:sz="4" w:space="0" w:color="auto"/>
              <w:right w:val="single" w:sz="4" w:space="0" w:color="auto"/>
            </w:tcBorders>
            <w:shd w:val="clear" w:color="auto" w:fill="auto"/>
            <w:noWrap/>
            <w:vAlign w:val="bottom"/>
            <w:hideMark/>
          </w:tcPr>
          <w:p w14:paraId="74E9E150"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571.946,64 </w:t>
            </w:r>
          </w:p>
        </w:tc>
        <w:tc>
          <w:tcPr>
            <w:tcW w:w="935" w:type="dxa"/>
            <w:tcBorders>
              <w:top w:val="nil"/>
              <w:left w:val="nil"/>
              <w:bottom w:val="single" w:sz="4" w:space="0" w:color="auto"/>
              <w:right w:val="single" w:sz="8" w:space="0" w:color="auto"/>
            </w:tcBorders>
            <w:shd w:val="clear" w:color="auto" w:fill="auto"/>
            <w:noWrap/>
            <w:vAlign w:val="bottom"/>
            <w:hideMark/>
          </w:tcPr>
          <w:p w14:paraId="4B75B3E5"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106,98 </w:t>
            </w:r>
          </w:p>
        </w:tc>
        <w:tc>
          <w:tcPr>
            <w:tcW w:w="1188" w:type="dxa"/>
            <w:gridSpan w:val="2"/>
            <w:tcBorders>
              <w:top w:val="nil"/>
              <w:left w:val="single" w:sz="4" w:space="0" w:color="auto"/>
              <w:bottom w:val="single" w:sz="4" w:space="0" w:color="auto"/>
              <w:right w:val="single" w:sz="4" w:space="0" w:color="auto"/>
            </w:tcBorders>
            <w:shd w:val="clear" w:color="000000" w:fill="FFFFFF"/>
            <w:vAlign w:val="center"/>
            <w:hideMark/>
          </w:tcPr>
          <w:p w14:paraId="7D833F84"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105.318,20 </w:t>
            </w:r>
          </w:p>
        </w:tc>
        <w:tc>
          <w:tcPr>
            <w:tcW w:w="1126" w:type="dxa"/>
            <w:tcBorders>
              <w:top w:val="nil"/>
              <w:left w:val="nil"/>
              <w:bottom w:val="single" w:sz="4" w:space="0" w:color="auto"/>
              <w:right w:val="single" w:sz="4" w:space="0" w:color="auto"/>
            </w:tcBorders>
            <w:shd w:val="clear" w:color="auto" w:fill="auto"/>
            <w:noWrap/>
            <w:vAlign w:val="bottom"/>
            <w:hideMark/>
          </w:tcPr>
          <w:p w14:paraId="2F28974D"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98.159,49 </w:t>
            </w:r>
          </w:p>
        </w:tc>
        <w:tc>
          <w:tcPr>
            <w:tcW w:w="784" w:type="dxa"/>
            <w:tcBorders>
              <w:top w:val="nil"/>
              <w:left w:val="nil"/>
              <w:bottom w:val="single" w:sz="4" w:space="0" w:color="auto"/>
              <w:right w:val="single" w:sz="8" w:space="0" w:color="auto"/>
            </w:tcBorders>
            <w:shd w:val="clear" w:color="auto" w:fill="auto"/>
            <w:noWrap/>
            <w:vAlign w:val="bottom"/>
            <w:hideMark/>
          </w:tcPr>
          <w:p w14:paraId="434131A0"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93,20 </w:t>
            </w:r>
          </w:p>
        </w:tc>
      </w:tr>
      <w:tr w:rsidR="00D6475C" w:rsidRPr="009772A3" w14:paraId="7642DEA6" w14:textId="77777777" w:rsidTr="00D93D05">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6C35A16D"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10</w:t>
            </w:r>
          </w:p>
        </w:tc>
        <w:tc>
          <w:tcPr>
            <w:tcW w:w="927" w:type="dxa"/>
            <w:tcBorders>
              <w:top w:val="nil"/>
              <w:left w:val="nil"/>
              <w:bottom w:val="single" w:sz="4" w:space="0" w:color="auto"/>
              <w:right w:val="single" w:sz="4" w:space="0" w:color="auto"/>
            </w:tcBorders>
            <w:shd w:val="clear" w:color="000000" w:fill="FFFFFF"/>
            <w:noWrap/>
            <w:vAlign w:val="center"/>
            <w:hideMark/>
          </w:tcPr>
          <w:p w14:paraId="607ED1F9"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2020</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7C4A3590"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731.738,55 </w:t>
            </w:r>
          </w:p>
        </w:tc>
        <w:tc>
          <w:tcPr>
            <w:tcW w:w="1277" w:type="dxa"/>
            <w:tcBorders>
              <w:top w:val="nil"/>
              <w:left w:val="nil"/>
              <w:bottom w:val="single" w:sz="4" w:space="0" w:color="auto"/>
              <w:right w:val="single" w:sz="4" w:space="0" w:color="auto"/>
            </w:tcBorders>
            <w:shd w:val="clear" w:color="auto" w:fill="auto"/>
            <w:noWrap/>
            <w:vAlign w:val="bottom"/>
            <w:hideMark/>
          </w:tcPr>
          <w:p w14:paraId="45F5DC09"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745.197,15 </w:t>
            </w:r>
          </w:p>
        </w:tc>
        <w:tc>
          <w:tcPr>
            <w:tcW w:w="1117" w:type="dxa"/>
            <w:tcBorders>
              <w:top w:val="nil"/>
              <w:left w:val="nil"/>
              <w:bottom w:val="single" w:sz="4" w:space="0" w:color="auto"/>
              <w:right w:val="single" w:sz="8" w:space="0" w:color="auto"/>
            </w:tcBorders>
            <w:shd w:val="clear" w:color="auto" w:fill="auto"/>
            <w:noWrap/>
            <w:vAlign w:val="bottom"/>
            <w:hideMark/>
          </w:tcPr>
          <w:p w14:paraId="04070F87"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101,84 </w:t>
            </w:r>
          </w:p>
        </w:tc>
        <w:tc>
          <w:tcPr>
            <w:tcW w:w="1150" w:type="dxa"/>
            <w:tcBorders>
              <w:top w:val="nil"/>
              <w:left w:val="nil"/>
              <w:bottom w:val="single" w:sz="4" w:space="0" w:color="auto"/>
              <w:right w:val="single" w:sz="4" w:space="0" w:color="auto"/>
            </w:tcBorders>
            <w:shd w:val="clear" w:color="000000" w:fill="FFFFFF"/>
            <w:vAlign w:val="center"/>
            <w:hideMark/>
          </w:tcPr>
          <w:p w14:paraId="1DEB61BF"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81.478,30 </w:t>
            </w:r>
          </w:p>
        </w:tc>
        <w:tc>
          <w:tcPr>
            <w:tcW w:w="1134" w:type="dxa"/>
            <w:tcBorders>
              <w:top w:val="nil"/>
              <w:left w:val="nil"/>
              <w:bottom w:val="single" w:sz="4" w:space="0" w:color="auto"/>
              <w:right w:val="single" w:sz="4" w:space="0" w:color="auto"/>
            </w:tcBorders>
            <w:shd w:val="clear" w:color="auto" w:fill="auto"/>
            <w:noWrap/>
            <w:vAlign w:val="bottom"/>
            <w:hideMark/>
          </w:tcPr>
          <w:p w14:paraId="6A119C99"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68.807,92 </w:t>
            </w:r>
          </w:p>
        </w:tc>
        <w:tc>
          <w:tcPr>
            <w:tcW w:w="851" w:type="dxa"/>
            <w:tcBorders>
              <w:top w:val="nil"/>
              <w:left w:val="nil"/>
              <w:bottom w:val="single" w:sz="4" w:space="0" w:color="auto"/>
              <w:right w:val="single" w:sz="8" w:space="0" w:color="auto"/>
            </w:tcBorders>
            <w:shd w:val="clear" w:color="auto" w:fill="auto"/>
            <w:noWrap/>
            <w:vAlign w:val="bottom"/>
            <w:hideMark/>
          </w:tcPr>
          <w:p w14:paraId="40B18CF9"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84,45 </w:t>
            </w:r>
          </w:p>
        </w:tc>
        <w:tc>
          <w:tcPr>
            <w:tcW w:w="1277" w:type="dxa"/>
            <w:tcBorders>
              <w:top w:val="nil"/>
              <w:left w:val="nil"/>
              <w:bottom w:val="single" w:sz="4" w:space="0" w:color="auto"/>
              <w:right w:val="single" w:sz="4" w:space="0" w:color="auto"/>
            </w:tcBorders>
            <w:shd w:val="clear" w:color="auto" w:fill="auto"/>
            <w:vAlign w:val="center"/>
            <w:hideMark/>
          </w:tcPr>
          <w:p w14:paraId="7679FBCE"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545.876,95 </w:t>
            </w:r>
          </w:p>
        </w:tc>
        <w:tc>
          <w:tcPr>
            <w:tcW w:w="1277" w:type="dxa"/>
            <w:tcBorders>
              <w:top w:val="nil"/>
              <w:left w:val="nil"/>
              <w:bottom w:val="single" w:sz="4" w:space="0" w:color="auto"/>
              <w:right w:val="single" w:sz="4" w:space="0" w:color="auto"/>
            </w:tcBorders>
            <w:shd w:val="clear" w:color="auto" w:fill="auto"/>
            <w:noWrap/>
            <w:vAlign w:val="bottom"/>
            <w:hideMark/>
          </w:tcPr>
          <w:p w14:paraId="40BDF56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594.323,33 </w:t>
            </w:r>
          </w:p>
        </w:tc>
        <w:tc>
          <w:tcPr>
            <w:tcW w:w="935" w:type="dxa"/>
            <w:tcBorders>
              <w:top w:val="nil"/>
              <w:left w:val="nil"/>
              <w:bottom w:val="single" w:sz="4" w:space="0" w:color="auto"/>
              <w:right w:val="single" w:sz="8" w:space="0" w:color="auto"/>
            </w:tcBorders>
            <w:shd w:val="clear" w:color="auto" w:fill="auto"/>
            <w:noWrap/>
            <w:vAlign w:val="bottom"/>
            <w:hideMark/>
          </w:tcPr>
          <w:p w14:paraId="527BB200"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108,87 </w:t>
            </w:r>
          </w:p>
        </w:tc>
        <w:tc>
          <w:tcPr>
            <w:tcW w:w="1188" w:type="dxa"/>
            <w:gridSpan w:val="2"/>
            <w:tcBorders>
              <w:top w:val="nil"/>
              <w:left w:val="single" w:sz="4" w:space="0" w:color="auto"/>
              <w:bottom w:val="single" w:sz="4" w:space="0" w:color="auto"/>
              <w:right w:val="single" w:sz="4" w:space="0" w:color="auto"/>
            </w:tcBorders>
            <w:shd w:val="clear" w:color="000000" w:fill="FFFFFF"/>
            <w:vAlign w:val="center"/>
            <w:hideMark/>
          </w:tcPr>
          <w:p w14:paraId="6E689E70"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104.383,30 </w:t>
            </w:r>
          </w:p>
        </w:tc>
        <w:tc>
          <w:tcPr>
            <w:tcW w:w="1126" w:type="dxa"/>
            <w:tcBorders>
              <w:top w:val="nil"/>
              <w:left w:val="nil"/>
              <w:bottom w:val="single" w:sz="4" w:space="0" w:color="auto"/>
              <w:right w:val="single" w:sz="4" w:space="0" w:color="auto"/>
            </w:tcBorders>
            <w:shd w:val="clear" w:color="auto" w:fill="auto"/>
            <w:noWrap/>
            <w:vAlign w:val="bottom"/>
            <w:hideMark/>
          </w:tcPr>
          <w:p w14:paraId="3E9312DE"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82.065,90 </w:t>
            </w:r>
          </w:p>
        </w:tc>
        <w:tc>
          <w:tcPr>
            <w:tcW w:w="784" w:type="dxa"/>
            <w:tcBorders>
              <w:top w:val="nil"/>
              <w:left w:val="nil"/>
              <w:bottom w:val="single" w:sz="4" w:space="0" w:color="auto"/>
              <w:right w:val="single" w:sz="8" w:space="0" w:color="auto"/>
            </w:tcBorders>
            <w:shd w:val="clear" w:color="auto" w:fill="auto"/>
            <w:noWrap/>
            <w:vAlign w:val="bottom"/>
            <w:hideMark/>
          </w:tcPr>
          <w:p w14:paraId="2B47A2F2"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78,62 </w:t>
            </w:r>
          </w:p>
        </w:tc>
      </w:tr>
      <w:tr w:rsidR="00D6475C" w:rsidRPr="009772A3" w14:paraId="7E3F02FF" w14:textId="77777777" w:rsidTr="00D93D05">
        <w:trPr>
          <w:trHeight w:val="20"/>
        </w:trPr>
        <w:tc>
          <w:tcPr>
            <w:tcW w:w="497" w:type="dxa"/>
            <w:tcBorders>
              <w:top w:val="nil"/>
              <w:left w:val="single" w:sz="8" w:space="0" w:color="auto"/>
              <w:bottom w:val="nil"/>
              <w:right w:val="single" w:sz="4" w:space="0" w:color="auto"/>
            </w:tcBorders>
            <w:shd w:val="clear" w:color="000000" w:fill="FFFFFF"/>
            <w:noWrap/>
            <w:vAlign w:val="center"/>
            <w:hideMark/>
          </w:tcPr>
          <w:p w14:paraId="7E64841B"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11</w:t>
            </w:r>
          </w:p>
        </w:tc>
        <w:tc>
          <w:tcPr>
            <w:tcW w:w="927" w:type="dxa"/>
            <w:tcBorders>
              <w:top w:val="nil"/>
              <w:left w:val="nil"/>
              <w:bottom w:val="nil"/>
              <w:right w:val="single" w:sz="4" w:space="0" w:color="auto"/>
            </w:tcBorders>
            <w:shd w:val="clear" w:color="000000" w:fill="FFFFFF"/>
            <w:noWrap/>
            <w:vAlign w:val="center"/>
            <w:hideMark/>
          </w:tcPr>
          <w:p w14:paraId="712CFF1C"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2021</w:t>
            </w:r>
          </w:p>
        </w:tc>
        <w:tc>
          <w:tcPr>
            <w:tcW w:w="1401" w:type="dxa"/>
            <w:tcBorders>
              <w:top w:val="nil"/>
              <w:left w:val="single" w:sz="8" w:space="0" w:color="auto"/>
              <w:bottom w:val="nil"/>
              <w:right w:val="single" w:sz="4" w:space="0" w:color="auto"/>
            </w:tcBorders>
            <w:shd w:val="clear" w:color="000000" w:fill="FFFFFF"/>
            <w:vAlign w:val="center"/>
            <w:hideMark/>
          </w:tcPr>
          <w:p w14:paraId="6643C663"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770.043,00 </w:t>
            </w:r>
          </w:p>
        </w:tc>
        <w:tc>
          <w:tcPr>
            <w:tcW w:w="1277" w:type="dxa"/>
            <w:tcBorders>
              <w:top w:val="nil"/>
              <w:left w:val="nil"/>
              <w:bottom w:val="nil"/>
              <w:right w:val="single" w:sz="4" w:space="0" w:color="auto"/>
            </w:tcBorders>
            <w:shd w:val="clear" w:color="auto" w:fill="auto"/>
            <w:noWrap/>
            <w:vAlign w:val="bottom"/>
            <w:hideMark/>
          </w:tcPr>
          <w:p w14:paraId="511EAF7C"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788.611,00 </w:t>
            </w:r>
          </w:p>
        </w:tc>
        <w:tc>
          <w:tcPr>
            <w:tcW w:w="1117" w:type="dxa"/>
            <w:tcBorders>
              <w:top w:val="nil"/>
              <w:left w:val="nil"/>
              <w:bottom w:val="nil"/>
              <w:right w:val="single" w:sz="8" w:space="0" w:color="auto"/>
            </w:tcBorders>
            <w:shd w:val="clear" w:color="auto" w:fill="auto"/>
            <w:noWrap/>
            <w:vAlign w:val="bottom"/>
            <w:hideMark/>
          </w:tcPr>
          <w:p w14:paraId="213F1AFD"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102,41 </w:t>
            </w:r>
          </w:p>
        </w:tc>
        <w:tc>
          <w:tcPr>
            <w:tcW w:w="1150" w:type="dxa"/>
            <w:tcBorders>
              <w:top w:val="nil"/>
              <w:left w:val="nil"/>
              <w:bottom w:val="nil"/>
              <w:right w:val="single" w:sz="4" w:space="0" w:color="auto"/>
            </w:tcBorders>
            <w:shd w:val="clear" w:color="000000" w:fill="FFFFFF"/>
            <w:vAlign w:val="center"/>
            <w:hideMark/>
          </w:tcPr>
          <w:p w14:paraId="0CFB27D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83.231,65 </w:t>
            </w:r>
          </w:p>
        </w:tc>
        <w:tc>
          <w:tcPr>
            <w:tcW w:w="1134" w:type="dxa"/>
            <w:tcBorders>
              <w:top w:val="nil"/>
              <w:left w:val="nil"/>
              <w:bottom w:val="nil"/>
              <w:right w:val="single" w:sz="4" w:space="0" w:color="auto"/>
            </w:tcBorders>
            <w:shd w:val="clear" w:color="auto" w:fill="auto"/>
            <w:noWrap/>
            <w:vAlign w:val="bottom"/>
            <w:hideMark/>
          </w:tcPr>
          <w:p w14:paraId="1A33307B"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71.424,35 </w:t>
            </w:r>
          </w:p>
        </w:tc>
        <w:tc>
          <w:tcPr>
            <w:tcW w:w="851" w:type="dxa"/>
            <w:tcBorders>
              <w:top w:val="nil"/>
              <w:left w:val="nil"/>
              <w:bottom w:val="nil"/>
              <w:right w:val="single" w:sz="8" w:space="0" w:color="auto"/>
            </w:tcBorders>
            <w:shd w:val="clear" w:color="auto" w:fill="auto"/>
            <w:noWrap/>
            <w:vAlign w:val="bottom"/>
            <w:hideMark/>
          </w:tcPr>
          <w:p w14:paraId="38D790F6"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85,81 </w:t>
            </w:r>
          </w:p>
        </w:tc>
        <w:tc>
          <w:tcPr>
            <w:tcW w:w="1277" w:type="dxa"/>
            <w:tcBorders>
              <w:top w:val="nil"/>
              <w:left w:val="nil"/>
              <w:bottom w:val="nil"/>
              <w:right w:val="single" w:sz="4" w:space="0" w:color="auto"/>
            </w:tcBorders>
            <w:shd w:val="clear" w:color="auto" w:fill="auto"/>
            <w:vAlign w:val="center"/>
            <w:hideMark/>
          </w:tcPr>
          <w:p w14:paraId="40E102A3"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575.398,45 </w:t>
            </w:r>
          </w:p>
        </w:tc>
        <w:tc>
          <w:tcPr>
            <w:tcW w:w="1277" w:type="dxa"/>
            <w:tcBorders>
              <w:top w:val="nil"/>
              <w:left w:val="nil"/>
              <w:bottom w:val="nil"/>
              <w:right w:val="single" w:sz="4" w:space="0" w:color="auto"/>
            </w:tcBorders>
            <w:shd w:val="clear" w:color="auto" w:fill="auto"/>
            <w:noWrap/>
            <w:vAlign w:val="bottom"/>
            <w:hideMark/>
          </w:tcPr>
          <w:p w14:paraId="132EF5D1"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631.353,58 </w:t>
            </w:r>
          </w:p>
        </w:tc>
        <w:tc>
          <w:tcPr>
            <w:tcW w:w="935" w:type="dxa"/>
            <w:tcBorders>
              <w:top w:val="nil"/>
              <w:left w:val="nil"/>
              <w:bottom w:val="nil"/>
              <w:right w:val="single" w:sz="8" w:space="0" w:color="auto"/>
            </w:tcBorders>
            <w:shd w:val="clear" w:color="auto" w:fill="auto"/>
            <w:noWrap/>
            <w:vAlign w:val="bottom"/>
            <w:hideMark/>
          </w:tcPr>
          <w:p w14:paraId="0B991B29"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109,72 </w:t>
            </w:r>
          </w:p>
        </w:tc>
        <w:tc>
          <w:tcPr>
            <w:tcW w:w="1188" w:type="dxa"/>
            <w:gridSpan w:val="2"/>
            <w:tcBorders>
              <w:top w:val="nil"/>
              <w:left w:val="single" w:sz="4" w:space="0" w:color="auto"/>
              <w:bottom w:val="single" w:sz="4" w:space="0" w:color="auto"/>
              <w:right w:val="single" w:sz="4" w:space="0" w:color="auto"/>
            </w:tcBorders>
            <w:shd w:val="clear" w:color="000000" w:fill="FFFFFF"/>
            <w:vAlign w:val="center"/>
            <w:hideMark/>
          </w:tcPr>
          <w:p w14:paraId="0BB3AB45"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111.412,90 </w:t>
            </w:r>
          </w:p>
        </w:tc>
        <w:tc>
          <w:tcPr>
            <w:tcW w:w="1126" w:type="dxa"/>
            <w:tcBorders>
              <w:top w:val="nil"/>
              <w:left w:val="nil"/>
              <w:bottom w:val="single" w:sz="4" w:space="0" w:color="auto"/>
              <w:right w:val="single" w:sz="4" w:space="0" w:color="auto"/>
            </w:tcBorders>
            <w:shd w:val="clear" w:color="auto" w:fill="auto"/>
            <w:noWrap/>
            <w:vAlign w:val="bottom"/>
            <w:hideMark/>
          </w:tcPr>
          <w:p w14:paraId="06BE3276" w14:textId="77777777" w:rsidR="00D6475C" w:rsidRPr="009772A3" w:rsidRDefault="00D6475C" w:rsidP="00D6475C">
            <w:pPr>
              <w:spacing w:after="0" w:line="240" w:lineRule="auto"/>
              <w:jc w:val="center"/>
              <w:rPr>
                <w:rFonts w:asciiTheme="majorHAnsi" w:eastAsia="Times New Roman" w:hAnsiTheme="majorHAnsi" w:cstheme="majorHAnsi"/>
                <w:sz w:val="20"/>
                <w:szCs w:val="20"/>
                <w:lang w:val="ro-MD"/>
              </w:rPr>
            </w:pPr>
            <w:r w:rsidRPr="009772A3">
              <w:rPr>
                <w:rFonts w:asciiTheme="majorHAnsi" w:eastAsia="Times New Roman" w:hAnsiTheme="majorHAnsi" w:cstheme="majorHAnsi"/>
                <w:sz w:val="20"/>
                <w:szCs w:val="20"/>
                <w:lang w:val="ro-MD"/>
              </w:rPr>
              <w:t xml:space="preserve">       85.833,06 </w:t>
            </w:r>
          </w:p>
        </w:tc>
        <w:tc>
          <w:tcPr>
            <w:tcW w:w="784" w:type="dxa"/>
            <w:tcBorders>
              <w:top w:val="nil"/>
              <w:left w:val="nil"/>
              <w:bottom w:val="nil"/>
              <w:right w:val="single" w:sz="8" w:space="0" w:color="auto"/>
            </w:tcBorders>
            <w:shd w:val="clear" w:color="auto" w:fill="auto"/>
            <w:noWrap/>
            <w:vAlign w:val="bottom"/>
            <w:hideMark/>
          </w:tcPr>
          <w:p w14:paraId="49A29BC7" w14:textId="77777777" w:rsidR="00D6475C" w:rsidRPr="009772A3" w:rsidRDefault="00D6475C" w:rsidP="00D6475C">
            <w:pPr>
              <w:spacing w:after="0" w:line="240" w:lineRule="auto"/>
              <w:jc w:val="center"/>
              <w:rPr>
                <w:rFonts w:asciiTheme="majorHAnsi" w:eastAsia="Times New Roman" w:hAnsiTheme="majorHAnsi" w:cstheme="majorHAnsi"/>
                <w:i/>
                <w:iCs/>
                <w:sz w:val="20"/>
                <w:szCs w:val="20"/>
                <w:lang w:val="ro-MD"/>
              </w:rPr>
            </w:pPr>
            <w:r w:rsidRPr="009772A3">
              <w:rPr>
                <w:rFonts w:asciiTheme="majorHAnsi" w:eastAsia="Times New Roman" w:hAnsiTheme="majorHAnsi" w:cstheme="majorHAnsi"/>
                <w:i/>
                <w:iCs/>
                <w:sz w:val="20"/>
                <w:szCs w:val="20"/>
                <w:lang w:val="ro-MD"/>
              </w:rPr>
              <w:t xml:space="preserve">             77,04 </w:t>
            </w:r>
          </w:p>
        </w:tc>
      </w:tr>
      <w:tr w:rsidR="00D6475C" w:rsidRPr="009772A3" w14:paraId="71366324" w14:textId="77777777" w:rsidTr="00D93D05">
        <w:trPr>
          <w:trHeight w:val="20"/>
        </w:trPr>
        <w:tc>
          <w:tcPr>
            <w:tcW w:w="49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262EB72"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12</w:t>
            </w:r>
          </w:p>
        </w:tc>
        <w:tc>
          <w:tcPr>
            <w:tcW w:w="927" w:type="dxa"/>
            <w:tcBorders>
              <w:top w:val="single" w:sz="8" w:space="0" w:color="auto"/>
              <w:left w:val="nil"/>
              <w:bottom w:val="single" w:sz="8" w:space="0" w:color="auto"/>
              <w:right w:val="single" w:sz="4" w:space="0" w:color="auto"/>
            </w:tcBorders>
            <w:shd w:val="clear" w:color="000000" w:fill="FFFFFF"/>
            <w:noWrap/>
            <w:vAlign w:val="center"/>
            <w:hideMark/>
          </w:tcPr>
          <w:p w14:paraId="37EF432A"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Total</w:t>
            </w:r>
          </w:p>
        </w:tc>
        <w:tc>
          <w:tcPr>
            <w:tcW w:w="140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0F0786C"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6.021.161,28 </w:t>
            </w:r>
          </w:p>
        </w:tc>
        <w:tc>
          <w:tcPr>
            <w:tcW w:w="1277" w:type="dxa"/>
            <w:tcBorders>
              <w:top w:val="single" w:sz="8" w:space="0" w:color="auto"/>
              <w:left w:val="nil"/>
              <w:bottom w:val="single" w:sz="8" w:space="0" w:color="auto"/>
              <w:right w:val="single" w:sz="4" w:space="0" w:color="auto"/>
            </w:tcBorders>
            <w:shd w:val="clear" w:color="000000" w:fill="FFFFFF"/>
            <w:vAlign w:val="center"/>
            <w:hideMark/>
          </w:tcPr>
          <w:p w14:paraId="5448C31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6.029.725,57 </w:t>
            </w:r>
          </w:p>
        </w:tc>
        <w:tc>
          <w:tcPr>
            <w:tcW w:w="1117" w:type="dxa"/>
            <w:tcBorders>
              <w:top w:val="single" w:sz="8" w:space="0" w:color="auto"/>
              <w:left w:val="nil"/>
              <w:bottom w:val="single" w:sz="8" w:space="0" w:color="auto"/>
              <w:right w:val="single" w:sz="8" w:space="0" w:color="auto"/>
            </w:tcBorders>
            <w:shd w:val="clear" w:color="000000" w:fill="FFFFFF"/>
            <w:vAlign w:val="center"/>
            <w:hideMark/>
          </w:tcPr>
          <w:p w14:paraId="06712CF0"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100,14 </w:t>
            </w:r>
          </w:p>
        </w:tc>
        <w:tc>
          <w:tcPr>
            <w:tcW w:w="1150" w:type="dxa"/>
            <w:tcBorders>
              <w:top w:val="single" w:sz="8" w:space="0" w:color="auto"/>
              <w:left w:val="nil"/>
              <w:bottom w:val="single" w:sz="8" w:space="0" w:color="auto"/>
              <w:right w:val="single" w:sz="4" w:space="0" w:color="auto"/>
            </w:tcBorders>
            <w:shd w:val="clear" w:color="000000" w:fill="FFFFFF"/>
            <w:vAlign w:val="center"/>
            <w:hideMark/>
          </w:tcPr>
          <w:p w14:paraId="3ED5B606"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594.152,48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27B4DEEB"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502.817,51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60D8B5EF"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84,63 </w:t>
            </w:r>
          </w:p>
        </w:tc>
        <w:tc>
          <w:tcPr>
            <w:tcW w:w="1277" w:type="dxa"/>
            <w:tcBorders>
              <w:top w:val="single" w:sz="8" w:space="0" w:color="auto"/>
              <w:left w:val="nil"/>
              <w:bottom w:val="single" w:sz="8" w:space="0" w:color="auto"/>
              <w:right w:val="single" w:sz="4" w:space="0" w:color="auto"/>
            </w:tcBorders>
            <w:shd w:val="clear" w:color="000000" w:fill="FFFFFF"/>
            <w:vAlign w:val="center"/>
            <w:hideMark/>
          </w:tcPr>
          <w:p w14:paraId="74C8867C"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4.555.812,49 </w:t>
            </w:r>
          </w:p>
        </w:tc>
        <w:tc>
          <w:tcPr>
            <w:tcW w:w="1277" w:type="dxa"/>
            <w:tcBorders>
              <w:top w:val="single" w:sz="8" w:space="0" w:color="auto"/>
              <w:left w:val="nil"/>
              <w:bottom w:val="single" w:sz="8" w:space="0" w:color="auto"/>
              <w:right w:val="single" w:sz="4" w:space="0" w:color="auto"/>
            </w:tcBorders>
            <w:shd w:val="clear" w:color="000000" w:fill="FFFFFF"/>
            <w:vAlign w:val="center"/>
            <w:hideMark/>
          </w:tcPr>
          <w:p w14:paraId="4BDC3C21"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4.743.169,88 </w:t>
            </w:r>
          </w:p>
        </w:tc>
        <w:tc>
          <w:tcPr>
            <w:tcW w:w="935" w:type="dxa"/>
            <w:tcBorders>
              <w:top w:val="single" w:sz="8" w:space="0" w:color="auto"/>
              <w:left w:val="nil"/>
              <w:bottom w:val="single" w:sz="8" w:space="0" w:color="auto"/>
              <w:right w:val="single" w:sz="8" w:space="0" w:color="auto"/>
            </w:tcBorders>
            <w:shd w:val="clear" w:color="000000" w:fill="FFFFFF"/>
            <w:vAlign w:val="center"/>
            <w:hideMark/>
          </w:tcPr>
          <w:p w14:paraId="5AFBAC35"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104,11 </w:t>
            </w:r>
          </w:p>
        </w:tc>
        <w:tc>
          <w:tcPr>
            <w:tcW w:w="1188" w:type="dxa"/>
            <w:gridSpan w:val="2"/>
            <w:tcBorders>
              <w:top w:val="single" w:sz="8" w:space="0" w:color="auto"/>
              <w:left w:val="nil"/>
              <w:bottom w:val="single" w:sz="8" w:space="0" w:color="auto"/>
              <w:right w:val="single" w:sz="4" w:space="0" w:color="auto"/>
            </w:tcBorders>
            <w:shd w:val="clear" w:color="000000" w:fill="FFFFFF"/>
            <w:vAlign w:val="center"/>
            <w:hideMark/>
          </w:tcPr>
          <w:p w14:paraId="040A4E84"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871.196,30 </w:t>
            </w:r>
          </w:p>
        </w:tc>
        <w:tc>
          <w:tcPr>
            <w:tcW w:w="1126" w:type="dxa"/>
            <w:tcBorders>
              <w:top w:val="single" w:sz="8" w:space="0" w:color="auto"/>
              <w:left w:val="nil"/>
              <w:bottom w:val="single" w:sz="8" w:space="0" w:color="auto"/>
              <w:right w:val="single" w:sz="4" w:space="0" w:color="auto"/>
            </w:tcBorders>
            <w:shd w:val="clear" w:color="000000" w:fill="FFFFFF"/>
            <w:vAlign w:val="center"/>
            <w:hideMark/>
          </w:tcPr>
          <w:p w14:paraId="1A72C897" w14:textId="77777777" w:rsidR="00D6475C" w:rsidRPr="009772A3" w:rsidRDefault="00D6475C" w:rsidP="00D6475C">
            <w:pPr>
              <w:spacing w:after="0" w:line="240" w:lineRule="auto"/>
              <w:jc w:val="center"/>
              <w:rPr>
                <w:rFonts w:asciiTheme="majorHAnsi" w:eastAsia="Times New Roman" w:hAnsiTheme="majorHAnsi" w:cstheme="majorHAnsi"/>
                <w:b/>
                <w:bCs/>
                <w:sz w:val="20"/>
                <w:szCs w:val="20"/>
                <w:lang w:val="ro-MD"/>
              </w:rPr>
            </w:pPr>
            <w:r w:rsidRPr="009772A3">
              <w:rPr>
                <w:rFonts w:asciiTheme="majorHAnsi" w:eastAsia="Times New Roman" w:hAnsiTheme="majorHAnsi" w:cstheme="majorHAnsi"/>
                <w:b/>
                <w:bCs/>
                <w:sz w:val="20"/>
                <w:szCs w:val="20"/>
                <w:lang w:val="ro-MD"/>
              </w:rPr>
              <w:t xml:space="preserve">     783.738,18 </w:t>
            </w:r>
          </w:p>
        </w:tc>
        <w:tc>
          <w:tcPr>
            <w:tcW w:w="784" w:type="dxa"/>
            <w:tcBorders>
              <w:top w:val="single" w:sz="8" w:space="0" w:color="auto"/>
              <w:left w:val="nil"/>
              <w:bottom w:val="single" w:sz="8" w:space="0" w:color="auto"/>
              <w:right w:val="single" w:sz="8" w:space="0" w:color="auto"/>
            </w:tcBorders>
            <w:shd w:val="clear" w:color="000000" w:fill="FFFFFF"/>
            <w:vAlign w:val="center"/>
            <w:hideMark/>
          </w:tcPr>
          <w:p w14:paraId="408609E5" w14:textId="77777777" w:rsidR="00D6475C" w:rsidRPr="009772A3" w:rsidRDefault="00D6475C" w:rsidP="00D6475C">
            <w:pPr>
              <w:spacing w:after="0" w:line="240" w:lineRule="auto"/>
              <w:jc w:val="center"/>
              <w:rPr>
                <w:rFonts w:asciiTheme="majorHAnsi" w:eastAsia="Times New Roman" w:hAnsiTheme="majorHAnsi" w:cstheme="majorHAnsi"/>
                <w:b/>
                <w:bCs/>
                <w:i/>
                <w:iCs/>
                <w:sz w:val="20"/>
                <w:szCs w:val="20"/>
                <w:lang w:val="ro-MD"/>
              </w:rPr>
            </w:pPr>
            <w:r w:rsidRPr="009772A3">
              <w:rPr>
                <w:rFonts w:asciiTheme="majorHAnsi" w:eastAsia="Times New Roman" w:hAnsiTheme="majorHAnsi" w:cstheme="majorHAnsi"/>
                <w:b/>
                <w:bCs/>
                <w:i/>
                <w:iCs/>
                <w:sz w:val="20"/>
                <w:szCs w:val="20"/>
                <w:lang w:val="ro-MD"/>
              </w:rPr>
              <w:t xml:space="preserve">             89,96 </w:t>
            </w:r>
          </w:p>
        </w:tc>
      </w:tr>
    </w:tbl>
    <w:p w14:paraId="1AED7C00" w14:textId="77777777" w:rsidR="00D93D05" w:rsidRPr="00D93D05" w:rsidRDefault="00D93D05" w:rsidP="00D93D05">
      <w:pPr>
        <w:spacing w:line="259" w:lineRule="auto"/>
        <w:rPr>
          <w:lang w:val="ro-MD"/>
        </w:rPr>
      </w:pPr>
      <w:r w:rsidRPr="00D93D05">
        <w:rPr>
          <w:lang w:val="ro-MD"/>
        </w:rPr>
        <w:t>Sursa: Informațiile prezentate de SA Moldovagaz și informațiile prezentate de ANRE.</w:t>
      </w:r>
    </w:p>
    <w:p w14:paraId="7DA5EA07" w14:textId="23BAD8F4" w:rsidR="00132BE6" w:rsidRPr="009772A3" w:rsidRDefault="00D93D05" w:rsidP="00D93D05">
      <w:pPr>
        <w:spacing w:line="259" w:lineRule="auto"/>
        <w:rPr>
          <w:lang w:val="ro-MD"/>
        </w:rPr>
        <w:sectPr w:rsidR="00132BE6" w:rsidRPr="009772A3" w:rsidSect="00132BE6">
          <w:pgSz w:w="16838" w:h="11906" w:orient="landscape"/>
          <w:pgMar w:top="1701" w:right="1140" w:bottom="851" w:left="1418" w:header="720" w:footer="720" w:gutter="0"/>
          <w:cols w:space="720"/>
          <w:docGrid w:linePitch="299"/>
        </w:sectPr>
      </w:pPr>
      <w:r w:rsidRPr="00D93D05">
        <w:rPr>
          <w:lang w:val="ro-MD"/>
        </w:rPr>
        <w:t xml:space="preserve"> </w:t>
      </w:r>
      <w:r w:rsidR="00754C29" w:rsidRPr="009772A3">
        <w:rPr>
          <w:lang w:val="ro-MD"/>
        </w:rPr>
        <w:br w:type="page"/>
      </w:r>
    </w:p>
    <w:p w14:paraId="39A7A9C0" w14:textId="5ABA8ACF" w:rsidR="008F661E" w:rsidRPr="009772A3" w:rsidRDefault="00784F53" w:rsidP="00784F53">
      <w:pPr>
        <w:pStyle w:val="Heading2"/>
        <w:jc w:val="center"/>
        <w:rPr>
          <w:color w:val="auto"/>
          <w:lang w:val="ro-MD"/>
        </w:rPr>
      </w:pPr>
      <w:bookmarkStart w:id="311" w:name="_Toc119496490"/>
      <w:r w:rsidRPr="009772A3">
        <w:rPr>
          <w:color w:val="auto"/>
          <w:lang w:val="ro-MD"/>
        </w:rPr>
        <w:t>Anexa nr.9. Informații privind evoluția datoriei SA Moldovagaz față de SA Gazprom</w:t>
      </w:r>
      <w:bookmarkEnd w:id="311"/>
    </w:p>
    <w:tbl>
      <w:tblPr>
        <w:tblW w:w="9775" w:type="dxa"/>
        <w:tblInd w:w="-431" w:type="dxa"/>
        <w:tblLook w:val="04A0" w:firstRow="1" w:lastRow="0" w:firstColumn="1" w:lastColumn="0" w:noHBand="0" w:noVBand="1"/>
      </w:tblPr>
      <w:tblGrid>
        <w:gridCol w:w="710"/>
        <w:gridCol w:w="1741"/>
        <w:gridCol w:w="1740"/>
        <w:gridCol w:w="1922"/>
        <w:gridCol w:w="1922"/>
        <w:gridCol w:w="1740"/>
      </w:tblGrid>
      <w:tr w:rsidR="00DA1735" w:rsidRPr="009772A3" w14:paraId="74F96D0B" w14:textId="77777777" w:rsidTr="00A01729">
        <w:trPr>
          <w:trHeight w:val="57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8F64" w14:textId="77777777" w:rsidR="00DA1735" w:rsidRPr="009772A3" w:rsidRDefault="00DA1735" w:rsidP="00DA1735">
            <w:pPr>
              <w:spacing w:after="0" w:line="240" w:lineRule="auto"/>
              <w:jc w:val="center"/>
              <w:rPr>
                <w:rFonts w:asciiTheme="majorHAnsi" w:eastAsia="Times New Roman" w:hAnsiTheme="majorHAnsi" w:cstheme="majorHAnsi"/>
                <w:b/>
                <w:sz w:val="20"/>
                <w:szCs w:val="20"/>
                <w:lang w:val="ro-MD"/>
              </w:rPr>
            </w:pPr>
            <w:r w:rsidRPr="009772A3">
              <w:rPr>
                <w:rFonts w:asciiTheme="majorHAnsi" w:eastAsia="Times New Roman" w:hAnsiTheme="majorHAnsi" w:cstheme="majorHAnsi"/>
                <w:b/>
                <w:sz w:val="20"/>
                <w:szCs w:val="20"/>
                <w:lang w:val="ro-MD"/>
              </w:rPr>
              <w:t>Anul</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0D20F621" w14:textId="77777777" w:rsidR="00DA1735" w:rsidRPr="009772A3" w:rsidRDefault="00DA1735" w:rsidP="00DA1735">
            <w:pPr>
              <w:spacing w:after="0" w:line="240" w:lineRule="auto"/>
              <w:jc w:val="center"/>
              <w:rPr>
                <w:rFonts w:asciiTheme="majorHAnsi" w:eastAsia="Times New Roman" w:hAnsiTheme="majorHAnsi" w:cstheme="majorHAnsi"/>
                <w:b/>
                <w:sz w:val="20"/>
                <w:szCs w:val="20"/>
                <w:lang w:val="ro-MD"/>
              </w:rPr>
            </w:pPr>
            <w:r w:rsidRPr="009772A3">
              <w:rPr>
                <w:rFonts w:asciiTheme="majorHAnsi" w:eastAsia="Times New Roman" w:hAnsiTheme="majorHAnsi" w:cstheme="majorHAnsi"/>
                <w:b/>
                <w:sz w:val="20"/>
                <w:szCs w:val="20"/>
                <w:lang w:val="ro-MD"/>
              </w:rPr>
              <w:t>Sold Factoring Finance</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48EFAC6" w14:textId="77777777" w:rsidR="00DA1735" w:rsidRPr="009772A3" w:rsidRDefault="00DA1735" w:rsidP="00DA1735">
            <w:pPr>
              <w:spacing w:after="0" w:line="240" w:lineRule="auto"/>
              <w:jc w:val="center"/>
              <w:rPr>
                <w:rFonts w:asciiTheme="majorHAnsi" w:eastAsia="Times New Roman" w:hAnsiTheme="majorHAnsi" w:cstheme="majorHAnsi"/>
                <w:b/>
                <w:sz w:val="20"/>
                <w:szCs w:val="20"/>
                <w:lang w:val="ro-MD"/>
              </w:rPr>
            </w:pPr>
            <w:r w:rsidRPr="009772A3">
              <w:rPr>
                <w:rFonts w:asciiTheme="majorHAnsi" w:eastAsia="Times New Roman" w:hAnsiTheme="majorHAnsi" w:cstheme="majorHAnsi"/>
                <w:b/>
                <w:sz w:val="20"/>
                <w:szCs w:val="20"/>
                <w:lang w:val="ro-MD"/>
              </w:rPr>
              <w:t>Sold Gazprom</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14:paraId="3C374CE8" w14:textId="77777777" w:rsidR="00DA1735" w:rsidRPr="009772A3" w:rsidRDefault="00DA1735" w:rsidP="00DA1735">
            <w:pPr>
              <w:spacing w:after="0" w:line="240" w:lineRule="auto"/>
              <w:jc w:val="center"/>
              <w:rPr>
                <w:rFonts w:asciiTheme="majorHAnsi" w:eastAsia="Times New Roman" w:hAnsiTheme="majorHAnsi" w:cstheme="majorHAnsi"/>
                <w:b/>
                <w:sz w:val="20"/>
                <w:szCs w:val="20"/>
                <w:lang w:val="ro-MD"/>
              </w:rPr>
            </w:pPr>
            <w:r w:rsidRPr="009772A3">
              <w:rPr>
                <w:rFonts w:asciiTheme="majorHAnsi" w:eastAsia="Times New Roman" w:hAnsiTheme="majorHAnsi" w:cstheme="majorHAnsi"/>
                <w:b/>
                <w:sz w:val="20"/>
                <w:szCs w:val="20"/>
                <w:lang w:val="ro-MD"/>
              </w:rPr>
              <w:t>Procurat</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14:paraId="308E24FE" w14:textId="77777777" w:rsidR="00DA1735" w:rsidRPr="009772A3" w:rsidRDefault="00DA1735" w:rsidP="00DA1735">
            <w:pPr>
              <w:spacing w:after="0" w:line="240" w:lineRule="auto"/>
              <w:jc w:val="center"/>
              <w:rPr>
                <w:rFonts w:asciiTheme="majorHAnsi" w:eastAsia="Times New Roman" w:hAnsiTheme="majorHAnsi" w:cstheme="majorHAnsi"/>
                <w:b/>
                <w:sz w:val="20"/>
                <w:szCs w:val="20"/>
                <w:lang w:val="ro-MD"/>
              </w:rPr>
            </w:pPr>
            <w:r w:rsidRPr="009772A3">
              <w:rPr>
                <w:rFonts w:asciiTheme="majorHAnsi" w:eastAsia="Times New Roman" w:hAnsiTheme="majorHAnsi" w:cstheme="majorHAnsi"/>
                <w:b/>
                <w:sz w:val="20"/>
                <w:szCs w:val="20"/>
                <w:lang w:val="ro-MD"/>
              </w:rPr>
              <w:t>Achitat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82DED67" w14:textId="77777777" w:rsidR="00DA1735" w:rsidRPr="009772A3" w:rsidRDefault="00DA1735" w:rsidP="00DA1735">
            <w:pPr>
              <w:spacing w:after="0" w:line="240" w:lineRule="auto"/>
              <w:jc w:val="center"/>
              <w:rPr>
                <w:rFonts w:asciiTheme="majorHAnsi" w:eastAsia="Times New Roman" w:hAnsiTheme="majorHAnsi" w:cstheme="majorHAnsi"/>
                <w:b/>
                <w:sz w:val="20"/>
                <w:szCs w:val="20"/>
                <w:lang w:val="ro-MD"/>
              </w:rPr>
            </w:pPr>
            <w:r w:rsidRPr="009772A3">
              <w:rPr>
                <w:rFonts w:asciiTheme="majorHAnsi" w:eastAsia="Times New Roman" w:hAnsiTheme="majorHAnsi" w:cstheme="majorHAnsi"/>
                <w:b/>
                <w:sz w:val="20"/>
                <w:szCs w:val="20"/>
                <w:lang w:val="ro-MD"/>
              </w:rPr>
              <w:t>Diferenta</w:t>
            </w:r>
          </w:p>
        </w:tc>
      </w:tr>
      <w:tr w:rsidR="0020523C" w:rsidRPr="009772A3" w14:paraId="3C5E2CF1" w14:textId="77777777" w:rsidTr="00A01729">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7397E" w14:textId="77777777" w:rsidR="0020523C" w:rsidRPr="009772A3" w:rsidRDefault="0020523C" w:rsidP="0020523C">
            <w:pPr>
              <w:spacing w:after="0" w:line="240" w:lineRule="auto"/>
              <w:jc w:val="right"/>
              <w:rPr>
                <w:rFonts w:ascii="Calibri" w:hAnsi="Calibri" w:cs="Calibri"/>
                <w:lang w:val="ro-MD"/>
              </w:rPr>
            </w:pPr>
          </w:p>
        </w:tc>
        <w:tc>
          <w:tcPr>
            <w:tcW w:w="1741" w:type="dxa"/>
            <w:tcBorders>
              <w:top w:val="single" w:sz="4" w:space="0" w:color="auto"/>
              <w:left w:val="nil"/>
              <w:bottom w:val="single" w:sz="4" w:space="0" w:color="auto"/>
              <w:right w:val="single" w:sz="4" w:space="0" w:color="auto"/>
            </w:tcBorders>
            <w:shd w:val="clear" w:color="auto" w:fill="auto"/>
            <w:noWrap/>
            <w:vAlign w:val="bottom"/>
          </w:tcPr>
          <w:p w14:paraId="02057BB5" w14:textId="77777777" w:rsidR="0020523C" w:rsidRPr="009772A3" w:rsidRDefault="0020523C" w:rsidP="0020523C">
            <w:pPr>
              <w:spacing w:after="0" w:line="240" w:lineRule="auto"/>
              <w:rPr>
                <w:rFonts w:ascii="Calibri" w:hAnsi="Calibri" w:cs="Calibri"/>
                <w:lang w:val="ro-MD"/>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27677592" w14:textId="77777777" w:rsidR="0020523C" w:rsidRPr="009772A3" w:rsidRDefault="0020523C" w:rsidP="0020523C">
            <w:pPr>
              <w:spacing w:after="0" w:line="240" w:lineRule="auto"/>
              <w:jc w:val="right"/>
              <w:rPr>
                <w:rFonts w:ascii="Calibri" w:hAnsi="Calibri" w:cs="Calibri"/>
                <w:lang w:val="ro-MD"/>
              </w:rPr>
            </w:pPr>
          </w:p>
        </w:tc>
        <w:tc>
          <w:tcPr>
            <w:tcW w:w="1922" w:type="dxa"/>
            <w:tcBorders>
              <w:top w:val="single" w:sz="4" w:space="0" w:color="auto"/>
              <w:left w:val="nil"/>
              <w:bottom w:val="single" w:sz="4" w:space="0" w:color="auto"/>
              <w:right w:val="single" w:sz="4" w:space="0" w:color="auto"/>
            </w:tcBorders>
            <w:shd w:val="clear" w:color="auto" w:fill="auto"/>
            <w:noWrap/>
            <w:vAlign w:val="bottom"/>
          </w:tcPr>
          <w:p w14:paraId="471618F7" w14:textId="77777777" w:rsidR="0020523C" w:rsidRPr="009772A3" w:rsidRDefault="0020523C" w:rsidP="0020523C">
            <w:pPr>
              <w:spacing w:after="0" w:line="240" w:lineRule="auto"/>
              <w:jc w:val="right"/>
              <w:rPr>
                <w:rFonts w:ascii="Calibri" w:hAnsi="Calibri" w:cs="Calibri"/>
                <w:lang w:val="ro-MD"/>
              </w:rPr>
            </w:pPr>
          </w:p>
        </w:tc>
        <w:tc>
          <w:tcPr>
            <w:tcW w:w="1922" w:type="dxa"/>
            <w:tcBorders>
              <w:top w:val="single" w:sz="4" w:space="0" w:color="auto"/>
              <w:left w:val="nil"/>
              <w:bottom w:val="single" w:sz="4" w:space="0" w:color="auto"/>
              <w:right w:val="single" w:sz="4" w:space="0" w:color="auto"/>
            </w:tcBorders>
            <w:shd w:val="clear" w:color="auto" w:fill="auto"/>
            <w:noWrap/>
            <w:vAlign w:val="bottom"/>
          </w:tcPr>
          <w:p w14:paraId="35C88BAE" w14:textId="77777777" w:rsidR="0020523C" w:rsidRPr="009772A3" w:rsidRDefault="0020523C" w:rsidP="0020523C">
            <w:pPr>
              <w:spacing w:after="0" w:line="240" w:lineRule="auto"/>
              <w:jc w:val="right"/>
              <w:rPr>
                <w:rFonts w:ascii="Calibri" w:hAnsi="Calibri" w:cs="Calibri"/>
                <w:lang w:val="ro-MD"/>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69A364C8" w14:textId="26DADE25" w:rsidR="0020523C" w:rsidRPr="009772A3" w:rsidRDefault="0020523C" w:rsidP="0020523C">
            <w:pPr>
              <w:spacing w:after="0" w:line="240" w:lineRule="auto"/>
              <w:jc w:val="right"/>
              <w:rPr>
                <w:rFonts w:ascii="Calibri" w:hAnsi="Calibri" w:cs="Calibri"/>
                <w:lang w:val="ro-MD"/>
              </w:rPr>
            </w:pPr>
            <w:r w:rsidRPr="009772A3">
              <w:rPr>
                <w:rFonts w:asciiTheme="majorHAnsi" w:eastAsia="Times New Roman" w:hAnsiTheme="majorHAnsi" w:cstheme="majorHAnsi"/>
                <w:sz w:val="20"/>
                <w:szCs w:val="20"/>
                <w:lang w:val="ro-MD"/>
              </w:rPr>
              <w:t>Dolari SUA</w:t>
            </w:r>
          </w:p>
        </w:tc>
      </w:tr>
      <w:tr w:rsidR="0020523C" w:rsidRPr="009772A3" w14:paraId="293593E9" w14:textId="77777777" w:rsidTr="00A01729">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ADE7C" w14:textId="16A385A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1996</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14:paraId="039609E0" w14:textId="1A4BF23A"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E058D26" w14:textId="6E984D4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0,00</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2604BC2E" w14:textId="63D944B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110.244.602,00</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1EB3EE3B" w14:textId="212E8CB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9.938.233,00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7C705C7" w14:textId="11D9B0C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100.306.369,00</w:t>
            </w:r>
          </w:p>
        </w:tc>
      </w:tr>
      <w:tr w:rsidR="0020523C" w:rsidRPr="009772A3" w14:paraId="61158058" w14:textId="77777777" w:rsidTr="00D85C2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782BC9" w14:textId="675EDF9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1997</w:t>
            </w:r>
          </w:p>
        </w:tc>
        <w:tc>
          <w:tcPr>
            <w:tcW w:w="1741" w:type="dxa"/>
            <w:tcBorders>
              <w:top w:val="nil"/>
              <w:left w:val="nil"/>
              <w:bottom w:val="single" w:sz="4" w:space="0" w:color="auto"/>
              <w:right w:val="single" w:sz="4" w:space="0" w:color="auto"/>
            </w:tcBorders>
            <w:shd w:val="clear" w:color="auto" w:fill="auto"/>
            <w:noWrap/>
            <w:vAlign w:val="bottom"/>
            <w:hideMark/>
          </w:tcPr>
          <w:p w14:paraId="28348534" w14:textId="3DB55B68"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01E6E4CD" w14:textId="718088A8"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100.306.369,00</w:t>
            </w:r>
          </w:p>
        </w:tc>
        <w:tc>
          <w:tcPr>
            <w:tcW w:w="1922" w:type="dxa"/>
            <w:tcBorders>
              <w:top w:val="nil"/>
              <w:left w:val="nil"/>
              <w:bottom w:val="single" w:sz="4" w:space="0" w:color="auto"/>
              <w:right w:val="single" w:sz="4" w:space="0" w:color="auto"/>
            </w:tcBorders>
            <w:shd w:val="clear" w:color="auto" w:fill="auto"/>
            <w:noWrap/>
            <w:vAlign w:val="bottom"/>
            <w:hideMark/>
          </w:tcPr>
          <w:p w14:paraId="11E435D6" w14:textId="6B079A1A" w:rsidR="0020523C" w:rsidRPr="009772A3" w:rsidRDefault="0020523C" w:rsidP="0020523C">
            <w:pPr>
              <w:spacing w:after="0" w:line="240" w:lineRule="auto"/>
              <w:jc w:val="right"/>
              <w:rPr>
                <w:rFonts w:asciiTheme="majorHAnsi" w:eastAsia="Times New Roman" w:hAnsiTheme="majorHAnsi" w:cstheme="majorHAnsi"/>
                <w:sz w:val="20"/>
                <w:szCs w:val="20"/>
                <w:highlight w:val="cyan"/>
                <w:lang w:val="ro-MD"/>
              </w:rPr>
            </w:pPr>
            <w:r w:rsidRPr="009772A3">
              <w:rPr>
                <w:rFonts w:ascii="Calibri" w:hAnsi="Calibri" w:cs="Calibri"/>
                <w:highlight w:val="cyan"/>
                <w:lang w:val="ro-MD"/>
              </w:rPr>
              <w:t>144.408.000,00</w:t>
            </w:r>
          </w:p>
        </w:tc>
        <w:tc>
          <w:tcPr>
            <w:tcW w:w="1922" w:type="dxa"/>
            <w:tcBorders>
              <w:top w:val="nil"/>
              <w:left w:val="nil"/>
              <w:bottom w:val="single" w:sz="4" w:space="0" w:color="auto"/>
              <w:right w:val="single" w:sz="4" w:space="0" w:color="auto"/>
            </w:tcBorders>
            <w:shd w:val="clear" w:color="auto" w:fill="auto"/>
            <w:noWrap/>
            <w:vAlign w:val="bottom"/>
            <w:hideMark/>
          </w:tcPr>
          <w:p w14:paraId="7AF21068" w14:textId="1DAFC811" w:rsidR="0020523C" w:rsidRPr="009772A3" w:rsidRDefault="0020523C" w:rsidP="0020523C">
            <w:pPr>
              <w:spacing w:after="0" w:line="240" w:lineRule="auto"/>
              <w:jc w:val="right"/>
              <w:rPr>
                <w:rFonts w:asciiTheme="majorHAnsi" w:eastAsia="Times New Roman" w:hAnsiTheme="majorHAnsi" w:cstheme="majorHAnsi"/>
                <w:sz w:val="20"/>
                <w:szCs w:val="20"/>
                <w:highlight w:val="cyan"/>
                <w:lang w:val="ro-MD"/>
              </w:rPr>
            </w:pPr>
            <w:r w:rsidRPr="009772A3">
              <w:rPr>
                <w:rFonts w:ascii="Calibri" w:hAnsi="Calibri" w:cs="Calibri"/>
                <w:highlight w:val="cyan"/>
                <w:lang w:val="ro-MD"/>
              </w:rPr>
              <w:t>153.574.185,00</w:t>
            </w:r>
          </w:p>
        </w:tc>
        <w:tc>
          <w:tcPr>
            <w:tcW w:w="1740" w:type="dxa"/>
            <w:tcBorders>
              <w:top w:val="nil"/>
              <w:left w:val="nil"/>
              <w:bottom w:val="single" w:sz="4" w:space="0" w:color="auto"/>
              <w:right w:val="single" w:sz="4" w:space="0" w:color="auto"/>
            </w:tcBorders>
            <w:shd w:val="clear" w:color="auto" w:fill="auto"/>
            <w:noWrap/>
            <w:vAlign w:val="bottom"/>
            <w:hideMark/>
          </w:tcPr>
          <w:p w14:paraId="336C696E" w14:textId="7B9AE7F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-9.166.185,00</w:t>
            </w:r>
          </w:p>
        </w:tc>
      </w:tr>
      <w:tr w:rsidR="0020523C" w:rsidRPr="009772A3" w14:paraId="66392003"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0E99294" w14:textId="00C142D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1998</w:t>
            </w:r>
          </w:p>
        </w:tc>
        <w:tc>
          <w:tcPr>
            <w:tcW w:w="1741" w:type="dxa"/>
            <w:tcBorders>
              <w:top w:val="nil"/>
              <w:left w:val="nil"/>
              <w:bottom w:val="single" w:sz="4" w:space="0" w:color="auto"/>
              <w:right w:val="single" w:sz="4" w:space="0" w:color="auto"/>
            </w:tcBorders>
            <w:shd w:val="clear" w:color="auto" w:fill="auto"/>
            <w:noWrap/>
            <w:vAlign w:val="bottom"/>
            <w:hideMark/>
          </w:tcPr>
          <w:p w14:paraId="6BA8ECBD" w14:textId="112D61B6"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4A8EF89C" w14:textId="150A3A6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91.140.184,00</w:t>
            </w:r>
          </w:p>
        </w:tc>
        <w:tc>
          <w:tcPr>
            <w:tcW w:w="1922" w:type="dxa"/>
            <w:tcBorders>
              <w:top w:val="nil"/>
              <w:left w:val="nil"/>
              <w:bottom w:val="single" w:sz="4" w:space="0" w:color="auto"/>
              <w:right w:val="single" w:sz="4" w:space="0" w:color="auto"/>
            </w:tcBorders>
            <w:shd w:val="clear" w:color="auto" w:fill="auto"/>
            <w:noWrap/>
            <w:vAlign w:val="bottom"/>
            <w:hideMark/>
          </w:tcPr>
          <w:p w14:paraId="69E44C84" w14:textId="446FDBC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123.262.136,00</w:t>
            </w:r>
          </w:p>
        </w:tc>
        <w:tc>
          <w:tcPr>
            <w:tcW w:w="1922" w:type="dxa"/>
            <w:tcBorders>
              <w:top w:val="nil"/>
              <w:left w:val="nil"/>
              <w:bottom w:val="single" w:sz="4" w:space="0" w:color="auto"/>
              <w:right w:val="single" w:sz="4" w:space="0" w:color="auto"/>
            </w:tcBorders>
            <w:shd w:val="clear" w:color="auto" w:fill="auto"/>
            <w:noWrap/>
            <w:vAlign w:val="bottom"/>
            <w:hideMark/>
          </w:tcPr>
          <w:p w14:paraId="7658479B" w14:textId="124FF6C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86.167.085,77</w:t>
            </w:r>
          </w:p>
        </w:tc>
        <w:tc>
          <w:tcPr>
            <w:tcW w:w="1740" w:type="dxa"/>
            <w:tcBorders>
              <w:top w:val="nil"/>
              <w:left w:val="nil"/>
              <w:bottom w:val="single" w:sz="4" w:space="0" w:color="auto"/>
              <w:right w:val="single" w:sz="4" w:space="0" w:color="auto"/>
            </w:tcBorders>
            <w:shd w:val="clear" w:color="auto" w:fill="auto"/>
            <w:noWrap/>
            <w:vAlign w:val="bottom"/>
            <w:hideMark/>
          </w:tcPr>
          <w:p w14:paraId="33BFF57A" w14:textId="20BB851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37.095.050,23</w:t>
            </w:r>
          </w:p>
        </w:tc>
      </w:tr>
      <w:tr w:rsidR="0020523C" w:rsidRPr="009772A3" w14:paraId="33675800"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8DF300" w14:textId="54ED97C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1999</w:t>
            </w:r>
          </w:p>
        </w:tc>
        <w:tc>
          <w:tcPr>
            <w:tcW w:w="1741" w:type="dxa"/>
            <w:tcBorders>
              <w:top w:val="nil"/>
              <w:left w:val="nil"/>
              <w:bottom w:val="single" w:sz="4" w:space="0" w:color="auto"/>
              <w:right w:val="single" w:sz="4" w:space="0" w:color="auto"/>
            </w:tcBorders>
            <w:shd w:val="clear" w:color="auto" w:fill="auto"/>
            <w:noWrap/>
            <w:vAlign w:val="bottom"/>
            <w:hideMark/>
          </w:tcPr>
          <w:p w14:paraId="38B00DA8" w14:textId="39E56226"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5508CAE2" w14:textId="2FF31B01"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128.235.234,00</w:t>
            </w:r>
          </w:p>
        </w:tc>
        <w:tc>
          <w:tcPr>
            <w:tcW w:w="1922" w:type="dxa"/>
            <w:tcBorders>
              <w:top w:val="nil"/>
              <w:left w:val="nil"/>
              <w:bottom w:val="single" w:sz="4" w:space="0" w:color="auto"/>
              <w:right w:val="single" w:sz="4" w:space="0" w:color="auto"/>
            </w:tcBorders>
            <w:shd w:val="clear" w:color="auto" w:fill="auto"/>
            <w:noWrap/>
            <w:vAlign w:val="bottom"/>
            <w:hideMark/>
          </w:tcPr>
          <w:p w14:paraId="4D5C2CAC" w14:textId="1C5FCEF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76.464.415,00</w:t>
            </w:r>
          </w:p>
        </w:tc>
        <w:tc>
          <w:tcPr>
            <w:tcW w:w="1922" w:type="dxa"/>
            <w:tcBorders>
              <w:top w:val="nil"/>
              <w:left w:val="nil"/>
              <w:bottom w:val="single" w:sz="4" w:space="0" w:color="auto"/>
              <w:right w:val="single" w:sz="4" w:space="0" w:color="auto"/>
            </w:tcBorders>
            <w:shd w:val="clear" w:color="auto" w:fill="auto"/>
            <w:noWrap/>
            <w:vAlign w:val="bottom"/>
            <w:hideMark/>
          </w:tcPr>
          <w:p w14:paraId="642AA3E4" w14:textId="22942FF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21.064.544,35</w:t>
            </w:r>
          </w:p>
        </w:tc>
        <w:tc>
          <w:tcPr>
            <w:tcW w:w="1740" w:type="dxa"/>
            <w:tcBorders>
              <w:top w:val="nil"/>
              <w:left w:val="nil"/>
              <w:bottom w:val="single" w:sz="4" w:space="0" w:color="auto"/>
              <w:right w:val="single" w:sz="4" w:space="0" w:color="auto"/>
            </w:tcBorders>
            <w:shd w:val="clear" w:color="auto" w:fill="auto"/>
            <w:noWrap/>
            <w:vAlign w:val="bottom"/>
            <w:hideMark/>
          </w:tcPr>
          <w:p w14:paraId="52DE40C3" w14:textId="2A006308"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55.399.870,65</w:t>
            </w:r>
          </w:p>
        </w:tc>
      </w:tr>
      <w:tr w:rsidR="0020523C" w:rsidRPr="009772A3" w14:paraId="7A497D16"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EA7C5B4" w14:textId="6BE3F701"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2000</w:t>
            </w:r>
          </w:p>
        </w:tc>
        <w:tc>
          <w:tcPr>
            <w:tcW w:w="1741" w:type="dxa"/>
            <w:tcBorders>
              <w:top w:val="nil"/>
              <w:left w:val="nil"/>
              <w:bottom w:val="single" w:sz="4" w:space="0" w:color="auto"/>
              <w:right w:val="single" w:sz="4" w:space="0" w:color="auto"/>
            </w:tcBorders>
            <w:shd w:val="clear" w:color="auto" w:fill="auto"/>
            <w:noWrap/>
            <w:vAlign w:val="bottom"/>
            <w:hideMark/>
          </w:tcPr>
          <w:p w14:paraId="25584BBB" w14:textId="2387DE0C"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475E0765" w14:textId="2E5E2F6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183.635.104,86</w:t>
            </w:r>
          </w:p>
        </w:tc>
        <w:tc>
          <w:tcPr>
            <w:tcW w:w="1922" w:type="dxa"/>
            <w:tcBorders>
              <w:top w:val="nil"/>
              <w:left w:val="nil"/>
              <w:bottom w:val="single" w:sz="4" w:space="0" w:color="auto"/>
              <w:right w:val="single" w:sz="4" w:space="0" w:color="auto"/>
            </w:tcBorders>
            <w:shd w:val="clear" w:color="auto" w:fill="auto"/>
            <w:noWrap/>
            <w:vAlign w:val="bottom"/>
            <w:hideMark/>
          </w:tcPr>
          <w:p w14:paraId="7D4E8BF3" w14:textId="6E4E43D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66.401.028,64</w:t>
            </w:r>
          </w:p>
        </w:tc>
        <w:tc>
          <w:tcPr>
            <w:tcW w:w="1922" w:type="dxa"/>
            <w:tcBorders>
              <w:top w:val="nil"/>
              <w:left w:val="nil"/>
              <w:bottom w:val="single" w:sz="4" w:space="0" w:color="auto"/>
              <w:right w:val="single" w:sz="4" w:space="0" w:color="auto"/>
            </w:tcBorders>
            <w:shd w:val="clear" w:color="auto" w:fill="auto"/>
            <w:noWrap/>
            <w:vAlign w:val="bottom"/>
            <w:hideMark/>
          </w:tcPr>
          <w:p w14:paraId="495BD673" w14:textId="4B8E31E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145.808.235,47</w:t>
            </w:r>
          </w:p>
        </w:tc>
        <w:tc>
          <w:tcPr>
            <w:tcW w:w="1740" w:type="dxa"/>
            <w:tcBorders>
              <w:top w:val="nil"/>
              <w:left w:val="nil"/>
              <w:bottom w:val="single" w:sz="4" w:space="0" w:color="auto"/>
              <w:right w:val="single" w:sz="4" w:space="0" w:color="auto"/>
            </w:tcBorders>
            <w:shd w:val="clear" w:color="auto" w:fill="auto"/>
            <w:noWrap/>
            <w:vAlign w:val="bottom"/>
            <w:hideMark/>
          </w:tcPr>
          <w:p w14:paraId="633EC647" w14:textId="291D42D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-79.407.206,83</w:t>
            </w:r>
          </w:p>
        </w:tc>
      </w:tr>
      <w:tr w:rsidR="0020523C" w:rsidRPr="009772A3" w14:paraId="6D7B5CEC"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050B963" w14:textId="6298DB8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2001</w:t>
            </w:r>
          </w:p>
        </w:tc>
        <w:tc>
          <w:tcPr>
            <w:tcW w:w="1741" w:type="dxa"/>
            <w:tcBorders>
              <w:top w:val="nil"/>
              <w:left w:val="nil"/>
              <w:bottom w:val="single" w:sz="4" w:space="0" w:color="auto"/>
              <w:right w:val="single" w:sz="4" w:space="0" w:color="auto"/>
            </w:tcBorders>
            <w:shd w:val="clear" w:color="auto" w:fill="auto"/>
            <w:noWrap/>
            <w:vAlign w:val="bottom"/>
            <w:hideMark/>
          </w:tcPr>
          <w:p w14:paraId="63E509AB" w14:textId="1D2A020A"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64B0C4F4" w14:textId="6F9CFE1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104.227.897,90</w:t>
            </w:r>
          </w:p>
        </w:tc>
        <w:tc>
          <w:tcPr>
            <w:tcW w:w="1922" w:type="dxa"/>
            <w:tcBorders>
              <w:top w:val="nil"/>
              <w:left w:val="nil"/>
              <w:bottom w:val="single" w:sz="4" w:space="0" w:color="auto"/>
              <w:right w:val="single" w:sz="4" w:space="0" w:color="auto"/>
            </w:tcBorders>
            <w:shd w:val="clear" w:color="auto" w:fill="auto"/>
            <w:noWrap/>
            <w:vAlign w:val="bottom"/>
            <w:hideMark/>
          </w:tcPr>
          <w:p w14:paraId="6C80AAB1" w14:textId="74CD9F7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69.966.114,76</w:t>
            </w:r>
          </w:p>
        </w:tc>
        <w:tc>
          <w:tcPr>
            <w:tcW w:w="1922" w:type="dxa"/>
            <w:tcBorders>
              <w:top w:val="nil"/>
              <w:left w:val="nil"/>
              <w:bottom w:val="single" w:sz="4" w:space="0" w:color="auto"/>
              <w:right w:val="single" w:sz="4" w:space="0" w:color="auto"/>
            </w:tcBorders>
            <w:shd w:val="clear" w:color="auto" w:fill="auto"/>
            <w:noWrap/>
            <w:vAlign w:val="bottom"/>
            <w:hideMark/>
          </w:tcPr>
          <w:p w14:paraId="1F213147" w14:textId="0F6C491E"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86.476.440,01</w:t>
            </w:r>
          </w:p>
        </w:tc>
        <w:tc>
          <w:tcPr>
            <w:tcW w:w="1740" w:type="dxa"/>
            <w:tcBorders>
              <w:top w:val="nil"/>
              <w:left w:val="nil"/>
              <w:bottom w:val="single" w:sz="4" w:space="0" w:color="auto"/>
              <w:right w:val="single" w:sz="4" w:space="0" w:color="auto"/>
            </w:tcBorders>
            <w:shd w:val="clear" w:color="auto" w:fill="auto"/>
            <w:noWrap/>
            <w:vAlign w:val="bottom"/>
            <w:hideMark/>
          </w:tcPr>
          <w:p w14:paraId="576C36B3" w14:textId="483DBB1F"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-16.510.325,25</w:t>
            </w:r>
          </w:p>
        </w:tc>
      </w:tr>
      <w:tr w:rsidR="0020523C" w:rsidRPr="009772A3" w14:paraId="504FE0FE"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A8B927" w14:textId="0340691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2002</w:t>
            </w:r>
          </w:p>
        </w:tc>
        <w:tc>
          <w:tcPr>
            <w:tcW w:w="1741" w:type="dxa"/>
            <w:tcBorders>
              <w:top w:val="nil"/>
              <w:left w:val="nil"/>
              <w:bottom w:val="single" w:sz="4" w:space="0" w:color="auto"/>
              <w:right w:val="single" w:sz="4" w:space="0" w:color="auto"/>
            </w:tcBorders>
            <w:shd w:val="clear" w:color="auto" w:fill="auto"/>
            <w:noWrap/>
            <w:vAlign w:val="bottom"/>
            <w:hideMark/>
          </w:tcPr>
          <w:p w14:paraId="53D3EAE7" w14:textId="590C15C8"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03E782AD" w14:textId="3FAC7A9E"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87.717.572,17</w:t>
            </w:r>
          </w:p>
        </w:tc>
        <w:tc>
          <w:tcPr>
            <w:tcW w:w="1922" w:type="dxa"/>
            <w:tcBorders>
              <w:top w:val="nil"/>
              <w:left w:val="nil"/>
              <w:bottom w:val="single" w:sz="4" w:space="0" w:color="auto"/>
              <w:right w:val="single" w:sz="4" w:space="0" w:color="auto"/>
            </w:tcBorders>
            <w:shd w:val="clear" w:color="auto" w:fill="auto"/>
            <w:noWrap/>
            <w:vAlign w:val="bottom"/>
            <w:hideMark/>
          </w:tcPr>
          <w:p w14:paraId="638CE9C2" w14:textId="56E8CB8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80.490.209,11</w:t>
            </w:r>
          </w:p>
        </w:tc>
        <w:tc>
          <w:tcPr>
            <w:tcW w:w="1922" w:type="dxa"/>
            <w:tcBorders>
              <w:top w:val="nil"/>
              <w:left w:val="nil"/>
              <w:bottom w:val="single" w:sz="4" w:space="0" w:color="auto"/>
              <w:right w:val="single" w:sz="4" w:space="0" w:color="auto"/>
            </w:tcBorders>
            <w:shd w:val="clear" w:color="auto" w:fill="auto"/>
            <w:noWrap/>
            <w:vAlign w:val="bottom"/>
            <w:hideMark/>
          </w:tcPr>
          <w:p w14:paraId="2FF0992F" w14:textId="3BD4C28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55.801.188,02</w:t>
            </w:r>
          </w:p>
        </w:tc>
        <w:tc>
          <w:tcPr>
            <w:tcW w:w="1740" w:type="dxa"/>
            <w:tcBorders>
              <w:top w:val="nil"/>
              <w:left w:val="nil"/>
              <w:bottom w:val="single" w:sz="4" w:space="0" w:color="auto"/>
              <w:right w:val="single" w:sz="4" w:space="0" w:color="auto"/>
            </w:tcBorders>
            <w:shd w:val="clear" w:color="auto" w:fill="auto"/>
            <w:noWrap/>
            <w:vAlign w:val="bottom"/>
            <w:hideMark/>
          </w:tcPr>
          <w:p w14:paraId="3C317485" w14:textId="6C3674C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24.689.021,09</w:t>
            </w:r>
          </w:p>
        </w:tc>
      </w:tr>
      <w:tr w:rsidR="0020523C" w:rsidRPr="009772A3" w14:paraId="42CC1313"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773F7A" w14:textId="002ACCB1"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2003</w:t>
            </w:r>
          </w:p>
        </w:tc>
        <w:tc>
          <w:tcPr>
            <w:tcW w:w="1741" w:type="dxa"/>
            <w:tcBorders>
              <w:top w:val="nil"/>
              <w:left w:val="nil"/>
              <w:bottom w:val="single" w:sz="4" w:space="0" w:color="auto"/>
              <w:right w:val="single" w:sz="4" w:space="0" w:color="auto"/>
            </w:tcBorders>
            <w:shd w:val="clear" w:color="auto" w:fill="auto"/>
            <w:noWrap/>
            <w:vAlign w:val="bottom"/>
            <w:hideMark/>
          </w:tcPr>
          <w:p w14:paraId="30CADE93" w14:textId="04FB400D"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71C96A2B" w14:textId="35D4EA7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112.406.593,73</w:t>
            </w:r>
          </w:p>
        </w:tc>
        <w:tc>
          <w:tcPr>
            <w:tcW w:w="1922" w:type="dxa"/>
            <w:tcBorders>
              <w:top w:val="nil"/>
              <w:left w:val="nil"/>
              <w:bottom w:val="single" w:sz="4" w:space="0" w:color="auto"/>
              <w:right w:val="single" w:sz="4" w:space="0" w:color="auto"/>
            </w:tcBorders>
            <w:shd w:val="clear" w:color="auto" w:fill="auto"/>
            <w:noWrap/>
            <w:vAlign w:val="bottom"/>
            <w:hideMark/>
          </w:tcPr>
          <w:p w14:paraId="56FAD95F" w14:textId="4433EB3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51.782.223,36</w:t>
            </w:r>
          </w:p>
        </w:tc>
        <w:tc>
          <w:tcPr>
            <w:tcW w:w="1922" w:type="dxa"/>
            <w:tcBorders>
              <w:top w:val="nil"/>
              <w:left w:val="nil"/>
              <w:bottom w:val="single" w:sz="4" w:space="0" w:color="auto"/>
              <w:right w:val="single" w:sz="4" w:space="0" w:color="auto"/>
            </w:tcBorders>
            <w:shd w:val="clear" w:color="auto" w:fill="auto"/>
            <w:noWrap/>
            <w:vAlign w:val="bottom"/>
            <w:hideMark/>
          </w:tcPr>
          <w:p w14:paraId="70720520" w14:textId="16D2E2E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44.071.649,73</w:t>
            </w:r>
          </w:p>
        </w:tc>
        <w:tc>
          <w:tcPr>
            <w:tcW w:w="1740" w:type="dxa"/>
            <w:tcBorders>
              <w:top w:val="nil"/>
              <w:left w:val="nil"/>
              <w:bottom w:val="single" w:sz="4" w:space="0" w:color="auto"/>
              <w:right w:val="single" w:sz="4" w:space="0" w:color="auto"/>
            </w:tcBorders>
            <w:shd w:val="clear" w:color="auto" w:fill="auto"/>
            <w:noWrap/>
            <w:vAlign w:val="bottom"/>
            <w:hideMark/>
          </w:tcPr>
          <w:p w14:paraId="613B80E1" w14:textId="3357E74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7.710.573,63</w:t>
            </w:r>
          </w:p>
        </w:tc>
      </w:tr>
      <w:tr w:rsidR="0020523C" w:rsidRPr="009772A3" w14:paraId="2953CD03"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A04A9DA" w14:textId="4E4F5D9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2004</w:t>
            </w:r>
          </w:p>
        </w:tc>
        <w:tc>
          <w:tcPr>
            <w:tcW w:w="1741" w:type="dxa"/>
            <w:tcBorders>
              <w:top w:val="nil"/>
              <w:left w:val="nil"/>
              <w:bottom w:val="single" w:sz="4" w:space="0" w:color="auto"/>
              <w:right w:val="single" w:sz="4" w:space="0" w:color="auto"/>
            </w:tcBorders>
            <w:shd w:val="clear" w:color="auto" w:fill="auto"/>
            <w:noWrap/>
            <w:vAlign w:val="bottom"/>
            <w:hideMark/>
          </w:tcPr>
          <w:p w14:paraId="0FF4E3E5" w14:textId="55C62D71"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40D7778C" w14:textId="2ECA1BBF"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922" w:type="dxa"/>
            <w:tcBorders>
              <w:top w:val="nil"/>
              <w:left w:val="nil"/>
              <w:bottom w:val="single" w:sz="4" w:space="0" w:color="auto"/>
              <w:right w:val="single" w:sz="4" w:space="0" w:color="auto"/>
            </w:tcBorders>
            <w:shd w:val="clear" w:color="auto" w:fill="auto"/>
            <w:noWrap/>
            <w:vAlign w:val="bottom"/>
            <w:hideMark/>
          </w:tcPr>
          <w:p w14:paraId="251207E8" w14:textId="1A97441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55.093.164,56</w:t>
            </w:r>
          </w:p>
        </w:tc>
        <w:tc>
          <w:tcPr>
            <w:tcW w:w="1922" w:type="dxa"/>
            <w:tcBorders>
              <w:top w:val="nil"/>
              <w:left w:val="nil"/>
              <w:bottom w:val="single" w:sz="4" w:space="0" w:color="auto"/>
              <w:right w:val="single" w:sz="4" w:space="0" w:color="auto"/>
            </w:tcBorders>
            <w:shd w:val="clear" w:color="auto" w:fill="auto"/>
            <w:noWrap/>
            <w:vAlign w:val="bottom"/>
            <w:hideMark/>
          </w:tcPr>
          <w:p w14:paraId="3FC62526" w14:textId="381C91D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54.614.913,60</w:t>
            </w:r>
          </w:p>
        </w:tc>
        <w:tc>
          <w:tcPr>
            <w:tcW w:w="1740" w:type="dxa"/>
            <w:tcBorders>
              <w:top w:val="nil"/>
              <w:left w:val="nil"/>
              <w:bottom w:val="single" w:sz="4" w:space="0" w:color="auto"/>
              <w:right w:val="single" w:sz="4" w:space="0" w:color="auto"/>
            </w:tcBorders>
            <w:shd w:val="clear" w:color="auto" w:fill="auto"/>
            <w:noWrap/>
            <w:vAlign w:val="bottom"/>
            <w:hideMark/>
          </w:tcPr>
          <w:p w14:paraId="2F8C02CA" w14:textId="3B14546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478.250,96</w:t>
            </w:r>
          </w:p>
        </w:tc>
      </w:tr>
      <w:tr w:rsidR="0020523C" w:rsidRPr="009772A3" w14:paraId="10615B7D"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EECA676" w14:textId="15F7B99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2005</w:t>
            </w:r>
          </w:p>
        </w:tc>
        <w:tc>
          <w:tcPr>
            <w:tcW w:w="1741" w:type="dxa"/>
            <w:tcBorders>
              <w:top w:val="nil"/>
              <w:left w:val="nil"/>
              <w:bottom w:val="single" w:sz="4" w:space="0" w:color="auto"/>
              <w:right w:val="single" w:sz="4" w:space="0" w:color="auto"/>
            </w:tcBorders>
            <w:shd w:val="clear" w:color="auto" w:fill="auto"/>
            <w:noWrap/>
            <w:vAlign w:val="bottom"/>
            <w:hideMark/>
          </w:tcPr>
          <w:p w14:paraId="27BAC374" w14:textId="5B9756C1"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42E8F0AA" w14:textId="57E80AD8"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120.595.418,32</w:t>
            </w:r>
          </w:p>
        </w:tc>
        <w:tc>
          <w:tcPr>
            <w:tcW w:w="1922" w:type="dxa"/>
            <w:tcBorders>
              <w:top w:val="nil"/>
              <w:left w:val="nil"/>
              <w:bottom w:val="single" w:sz="4" w:space="0" w:color="auto"/>
              <w:right w:val="single" w:sz="4" w:space="0" w:color="auto"/>
            </w:tcBorders>
            <w:shd w:val="clear" w:color="auto" w:fill="auto"/>
            <w:noWrap/>
            <w:vAlign w:val="bottom"/>
            <w:hideMark/>
          </w:tcPr>
          <w:p w14:paraId="7D657415" w14:textId="7BF4ED6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47.816.607,12</w:t>
            </w:r>
          </w:p>
        </w:tc>
        <w:tc>
          <w:tcPr>
            <w:tcW w:w="1922" w:type="dxa"/>
            <w:tcBorders>
              <w:top w:val="nil"/>
              <w:left w:val="nil"/>
              <w:bottom w:val="single" w:sz="4" w:space="0" w:color="auto"/>
              <w:right w:val="single" w:sz="4" w:space="0" w:color="auto"/>
            </w:tcBorders>
            <w:shd w:val="clear" w:color="auto" w:fill="auto"/>
            <w:noWrap/>
            <w:vAlign w:val="bottom"/>
            <w:hideMark/>
          </w:tcPr>
          <w:p w14:paraId="38235106" w14:textId="7E44D96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48.294.858,09</w:t>
            </w:r>
          </w:p>
        </w:tc>
        <w:tc>
          <w:tcPr>
            <w:tcW w:w="1740" w:type="dxa"/>
            <w:tcBorders>
              <w:top w:val="nil"/>
              <w:left w:val="nil"/>
              <w:bottom w:val="single" w:sz="4" w:space="0" w:color="auto"/>
              <w:right w:val="single" w:sz="4" w:space="0" w:color="auto"/>
            </w:tcBorders>
            <w:shd w:val="clear" w:color="auto" w:fill="auto"/>
            <w:noWrap/>
            <w:vAlign w:val="bottom"/>
            <w:hideMark/>
          </w:tcPr>
          <w:p w14:paraId="3DE835B6" w14:textId="3254C21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-478.250,97</w:t>
            </w:r>
          </w:p>
        </w:tc>
      </w:tr>
      <w:tr w:rsidR="0020523C" w:rsidRPr="009772A3" w14:paraId="03649B5F"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FF921F" w14:textId="78A6FAC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2006</w:t>
            </w:r>
          </w:p>
        </w:tc>
        <w:tc>
          <w:tcPr>
            <w:tcW w:w="1741" w:type="dxa"/>
            <w:tcBorders>
              <w:top w:val="nil"/>
              <w:left w:val="nil"/>
              <w:bottom w:val="single" w:sz="4" w:space="0" w:color="auto"/>
              <w:right w:val="single" w:sz="4" w:space="0" w:color="auto"/>
            </w:tcBorders>
            <w:shd w:val="clear" w:color="auto" w:fill="auto"/>
            <w:noWrap/>
            <w:vAlign w:val="bottom"/>
            <w:hideMark/>
          </w:tcPr>
          <w:p w14:paraId="44955C38" w14:textId="38F0230D"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30FFA996" w14:textId="6F7D736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120.117.167,35</w:t>
            </w:r>
          </w:p>
        </w:tc>
        <w:tc>
          <w:tcPr>
            <w:tcW w:w="1922" w:type="dxa"/>
            <w:tcBorders>
              <w:top w:val="nil"/>
              <w:left w:val="nil"/>
              <w:bottom w:val="single" w:sz="4" w:space="0" w:color="auto"/>
              <w:right w:val="single" w:sz="4" w:space="0" w:color="auto"/>
            </w:tcBorders>
            <w:shd w:val="clear" w:color="auto" w:fill="auto"/>
            <w:noWrap/>
            <w:vAlign w:val="bottom"/>
            <w:hideMark/>
          </w:tcPr>
          <w:p w14:paraId="5B19B6C8" w14:textId="3AC018E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189.114.176,72</w:t>
            </w:r>
          </w:p>
        </w:tc>
        <w:tc>
          <w:tcPr>
            <w:tcW w:w="1922" w:type="dxa"/>
            <w:tcBorders>
              <w:top w:val="nil"/>
              <w:left w:val="nil"/>
              <w:bottom w:val="single" w:sz="4" w:space="0" w:color="auto"/>
              <w:right w:val="single" w:sz="4" w:space="0" w:color="auto"/>
            </w:tcBorders>
            <w:shd w:val="clear" w:color="auto" w:fill="auto"/>
            <w:noWrap/>
            <w:vAlign w:val="bottom"/>
            <w:hideMark/>
          </w:tcPr>
          <w:p w14:paraId="048607F4" w14:textId="7688D0B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153.942.674,71</w:t>
            </w:r>
          </w:p>
        </w:tc>
        <w:tc>
          <w:tcPr>
            <w:tcW w:w="1740" w:type="dxa"/>
            <w:tcBorders>
              <w:top w:val="nil"/>
              <w:left w:val="nil"/>
              <w:bottom w:val="single" w:sz="4" w:space="0" w:color="auto"/>
              <w:right w:val="single" w:sz="4" w:space="0" w:color="auto"/>
            </w:tcBorders>
            <w:shd w:val="clear" w:color="auto" w:fill="auto"/>
            <w:noWrap/>
            <w:vAlign w:val="bottom"/>
            <w:hideMark/>
          </w:tcPr>
          <w:p w14:paraId="24EBC155" w14:textId="79BB615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35.171.502,01</w:t>
            </w:r>
          </w:p>
        </w:tc>
      </w:tr>
      <w:tr w:rsidR="0020523C" w:rsidRPr="009772A3" w14:paraId="3DC22B7E"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5A9358C" w14:textId="2492C37E"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2007</w:t>
            </w:r>
          </w:p>
        </w:tc>
        <w:tc>
          <w:tcPr>
            <w:tcW w:w="1741" w:type="dxa"/>
            <w:tcBorders>
              <w:top w:val="nil"/>
              <w:left w:val="nil"/>
              <w:bottom w:val="single" w:sz="4" w:space="0" w:color="auto"/>
              <w:right w:val="single" w:sz="4" w:space="0" w:color="auto"/>
            </w:tcBorders>
            <w:shd w:val="clear" w:color="auto" w:fill="auto"/>
            <w:noWrap/>
            <w:vAlign w:val="bottom"/>
            <w:hideMark/>
          </w:tcPr>
          <w:p w14:paraId="077811E1" w14:textId="2D626DC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2452AC4C" w14:textId="3419225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35.171.502,00</w:t>
            </w:r>
          </w:p>
        </w:tc>
        <w:tc>
          <w:tcPr>
            <w:tcW w:w="1922" w:type="dxa"/>
            <w:tcBorders>
              <w:top w:val="nil"/>
              <w:left w:val="nil"/>
              <w:bottom w:val="single" w:sz="4" w:space="0" w:color="auto"/>
              <w:right w:val="single" w:sz="4" w:space="0" w:color="auto"/>
            </w:tcBorders>
            <w:shd w:val="clear" w:color="auto" w:fill="auto"/>
            <w:noWrap/>
            <w:vAlign w:val="bottom"/>
            <w:hideMark/>
          </w:tcPr>
          <w:p w14:paraId="12A8A4FF" w14:textId="434710F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253.993.094,72</w:t>
            </w:r>
          </w:p>
        </w:tc>
        <w:tc>
          <w:tcPr>
            <w:tcW w:w="1922" w:type="dxa"/>
            <w:tcBorders>
              <w:top w:val="nil"/>
              <w:left w:val="nil"/>
              <w:bottom w:val="single" w:sz="4" w:space="0" w:color="auto"/>
              <w:right w:val="single" w:sz="4" w:space="0" w:color="auto"/>
            </w:tcBorders>
            <w:shd w:val="clear" w:color="auto" w:fill="auto"/>
            <w:noWrap/>
            <w:vAlign w:val="bottom"/>
            <w:hideMark/>
          </w:tcPr>
          <w:p w14:paraId="6ACE85C1" w14:textId="18619CE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224.638.819,91</w:t>
            </w:r>
          </w:p>
        </w:tc>
        <w:tc>
          <w:tcPr>
            <w:tcW w:w="1740" w:type="dxa"/>
            <w:tcBorders>
              <w:top w:val="nil"/>
              <w:left w:val="nil"/>
              <w:bottom w:val="single" w:sz="4" w:space="0" w:color="auto"/>
              <w:right w:val="single" w:sz="4" w:space="0" w:color="auto"/>
            </w:tcBorders>
            <w:shd w:val="clear" w:color="auto" w:fill="auto"/>
            <w:noWrap/>
            <w:vAlign w:val="bottom"/>
            <w:hideMark/>
          </w:tcPr>
          <w:p w14:paraId="0FEE2305" w14:textId="73CD425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29.354.274,81</w:t>
            </w:r>
          </w:p>
        </w:tc>
      </w:tr>
      <w:tr w:rsidR="0020523C" w:rsidRPr="009772A3" w14:paraId="2F659967"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D0B4ED9" w14:textId="2476666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2008</w:t>
            </w:r>
          </w:p>
        </w:tc>
        <w:tc>
          <w:tcPr>
            <w:tcW w:w="1741" w:type="dxa"/>
            <w:tcBorders>
              <w:top w:val="nil"/>
              <w:left w:val="nil"/>
              <w:bottom w:val="single" w:sz="4" w:space="0" w:color="auto"/>
              <w:right w:val="single" w:sz="4" w:space="0" w:color="auto"/>
            </w:tcBorders>
            <w:shd w:val="clear" w:color="auto" w:fill="auto"/>
            <w:noWrap/>
            <w:vAlign w:val="bottom"/>
            <w:hideMark/>
          </w:tcPr>
          <w:p w14:paraId="15DCBF04" w14:textId="6D429DB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098AA4F" w14:textId="2FAA10D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64.525.776,81</w:t>
            </w:r>
          </w:p>
        </w:tc>
        <w:tc>
          <w:tcPr>
            <w:tcW w:w="1922" w:type="dxa"/>
            <w:tcBorders>
              <w:top w:val="nil"/>
              <w:left w:val="nil"/>
              <w:bottom w:val="single" w:sz="4" w:space="0" w:color="auto"/>
              <w:right w:val="single" w:sz="4" w:space="0" w:color="auto"/>
            </w:tcBorders>
            <w:shd w:val="clear" w:color="auto" w:fill="auto"/>
            <w:noWrap/>
            <w:vAlign w:val="bottom"/>
            <w:hideMark/>
          </w:tcPr>
          <w:p w14:paraId="0BCA78D6" w14:textId="2A55A09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285.006.848,48</w:t>
            </w:r>
          </w:p>
        </w:tc>
        <w:tc>
          <w:tcPr>
            <w:tcW w:w="1922" w:type="dxa"/>
            <w:tcBorders>
              <w:top w:val="nil"/>
              <w:left w:val="nil"/>
              <w:bottom w:val="single" w:sz="4" w:space="0" w:color="auto"/>
              <w:right w:val="single" w:sz="4" w:space="0" w:color="auto"/>
            </w:tcBorders>
            <w:shd w:val="clear" w:color="auto" w:fill="auto"/>
            <w:noWrap/>
            <w:vAlign w:val="bottom"/>
            <w:hideMark/>
          </w:tcPr>
          <w:p w14:paraId="718A5EF0" w14:textId="31FD899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263.767.772,66</w:t>
            </w:r>
          </w:p>
        </w:tc>
        <w:tc>
          <w:tcPr>
            <w:tcW w:w="1740" w:type="dxa"/>
            <w:tcBorders>
              <w:top w:val="nil"/>
              <w:left w:val="nil"/>
              <w:bottom w:val="single" w:sz="4" w:space="0" w:color="auto"/>
              <w:right w:val="single" w:sz="4" w:space="0" w:color="auto"/>
            </w:tcBorders>
            <w:shd w:val="clear" w:color="auto" w:fill="auto"/>
            <w:noWrap/>
            <w:vAlign w:val="bottom"/>
            <w:hideMark/>
          </w:tcPr>
          <w:p w14:paraId="64691C0A" w14:textId="6693E7B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21.239.075,82</w:t>
            </w:r>
          </w:p>
        </w:tc>
      </w:tr>
      <w:tr w:rsidR="0020523C" w:rsidRPr="009772A3" w14:paraId="2D3E24F4"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7BAE23A" w14:textId="532DB92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2009</w:t>
            </w:r>
          </w:p>
        </w:tc>
        <w:tc>
          <w:tcPr>
            <w:tcW w:w="1741" w:type="dxa"/>
            <w:tcBorders>
              <w:top w:val="nil"/>
              <w:left w:val="nil"/>
              <w:bottom w:val="single" w:sz="4" w:space="0" w:color="auto"/>
              <w:right w:val="single" w:sz="4" w:space="0" w:color="auto"/>
            </w:tcBorders>
            <w:shd w:val="clear" w:color="auto" w:fill="auto"/>
            <w:noWrap/>
            <w:vAlign w:val="bottom"/>
            <w:hideMark/>
          </w:tcPr>
          <w:p w14:paraId="0785B4CC" w14:textId="1C255DFF"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2F75B4E7" w14:textId="6093BC0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85.764.852,63</w:t>
            </w:r>
          </w:p>
        </w:tc>
        <w:tc>
          <w:tcPr>
            <w:tcW w:w="1922" w:type="dxa"/>
            <w:tcBorders>
              <w:top w:val="nil"/>
              <w:left w:val="nil"/>
              <w:bottom w:val="single" w:sz="4" w:space="0" w:color="auto"/>
              <w:right w:val="single" w:sz="4" w:space="0" w:color="auto"/>
            </w:tcBorders>
            <w:shd w:val="clear" w:color="auto" w:fill="auto"/>
            <w:noWrap/>
            <w:vAlign w:val="bottom"/>
            <w:hideMark/>
          </w:tcPr>
          <w:p w14:paraId="51A9BDA3" w14:textId="1EA141D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297.171.064,03</w:t>
            </w:r>
          </w:p>
        </w:tc>
        <w:tc>
          <w:tcPr>
            <w:tcW w:w="1922" w:type="dxa"/>
            <w:tcBorders>
              <w:top w:val="nil"/>
              <w:left w:val="nil"/>
              <w:bottom w:val="single" w:sz="4" w:space="0" w:color="auto"/>
              <w:right w:val="single" w:sz="4" w:space="0" w:color="auto"/>
            </w:tcBorders>
            <w:shd w:val="clear" w:color="auto" w:fill="auto"/>
            <w:noWrap/>
            <w:vAlign w:val="bottom"/>
            <w:hideMark/>
          </w:tcPr>
          <w:p w14:paraId="77DCE722" w14:textId="2B66D0A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259.354.725,03</w:t>
            </w:r>
          </w:p>
        </w:tc>
        <w:tc>
          <w:tcPr>
            <w:tcW w:w="1740" w:type="dxa"/>
            <w:tcBorders>
              <w:top w:val="nil"/>
              <w:left w:val="nil"/>
              <w:bottom w:val="single" w:sz="4" w:space="0" w:color="auto"/>
              <w:right w:val="single" w:sz="4" w:space="0" w:color="auto"/>
            </w:tcBorders>
            <w:shd w:val="clear" w:color="auto" w:fill="auto"/>
            <w:noWrap/>
            <w:vAlign w:val="bottom"/>
            <w:hideMark/>
          </w:tcPr>
          <w:p w14:paraId="709C0A25" w14:textId="225EAB4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37.816.339,00</w:t>
            </w:r>
          </w:p>
        </w:tc>
      </w:tr>
      <w:tr w:rsidR="0020523C" w:rsidRPr="009772A3" w14:paraId="779A3C03"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41C73B1" w14:textId="24DE514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2010</w:t>
            </w:r>
          </w:p>
        </w:tc>
        <w:tc>
          <w:tcPr>
            <w:tcW w:w="1741" w:type="dxa"/>
            <w:tcBorders>
              <w:top w:val="nil"/>
              <w:left w:val="nil"/>
              <w:bottom w:val="single" w:sz="4" w:space="0" w:color="auto"/>
              <w:right w:val="single" w:sz="4" w:space="0" w:color="auto"/>
            </w:tcBorders>
            <w:shd w:val="clear" w:color="auto" w:fill="auto"/>
            <w:noWrap/>
            <w:vAlign w:val="bottom"/>
            <w:hideMark/>
          </w:tcPr>
          <w:p w14:paraId="128F18FB" w14:textId="7FE12CB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16BE1A32" w14:textId="7C7D687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123.581.191,63</w:t>
            </w:r>
          </w:p>
        </w:tc>
        <w:tc>
          <w:tcPr>
            <w:tcW w:w="1922" w:type="dxa"/>
            <w:tcBorders>
              <w:top w:val="nil"/>
              <w:left w:val="nil"/>
              <w:bottom w:val="single" w:sz="4" w:space="0" w:color="auto"/>
              <w:right w:val="single" w:sz="4" w:space="0" w:color="auto"/>
            </w:tcBorders>
            <w:shd w:val="clear" w:color="auto" w:fill="auto"/>
            <w:noWrap/>
            <w:vAlign w:val="bottom"/>
            <w:hideMark/>
          </w:tcPr>
          <w:p w14:paraId="15FFAECF" w14:textId="721D33A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297.106.842,37</w:t>
            </w:r>
          </w:p>
        </w:tc>
        <w:tc>
          <w:tcPr>
            <w:tcW w:w="1922" w:type="dxa"/>
            <w:tcBorders>
              <w:top w:val="nil"/>
              <w:left w:val="nil"/>
              <w:bottom w:val="single" w:sz="4" w:space="0" w:color="auto"/>
              <w:right w:val="single" w:sz="4" w:space="0" w:color="auto"/>
            </w:tcBorders>
            <w:shd w:val="clear" w:color="auto" w:fill="auto"/>
            <w:noWrap/>
            <w:vAlign w:val="bottom"/>
            <w:hideMark/>
          </w:tcPr>
          <w:p w14:paraId="0CE1E8FC" w14:textId="6552B3A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244.920.081,33</w:t>
            </w:r>
          </w:p>
        </w:tc>
        <w:tc>
          <w:tcPr>
            <w:tcW w:w="1740" w:type="dxa"/>
            <w:tcBorders>
              <w:top w:val="nil"/>
              <w:left w:val="nil"/>
              <w:bottom w:val="single" w:sz="4" w:space="0" w:color="auto"/>
              <w:right w:val="single" w:sz="4" w:space="0" w:color="auto"/>
            </w:tcBorders>
            <w:shd w:val="clear" w:color="auto" w:fill="auto"/>
            <w:noWrap/>
            <w:vAlign w:val="bottom"/>
            <w:hideMark/>
          </w:tcPr>
          <w:p w14:paraId="51B3BE59" w14:textId="30C3EE5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52.186.761,04</w:t>
            </w:r>
          </w:p>
        </w:tc>
      </w:tr>
      <w:tr w:rsidR="0020523C" w:rsidRPr="009772A3" w14:paraId="4B020A97"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2FD3D91" w14:textId="679BF23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2011</w:t>
            </w:r>
          </w:p>
        </w:tc>
        <w:tc>
          <w:tcPr>
            <w:tcW w:w="1741" w:type="dxa"/>
            <w:tcBorders>
              <w:top w:val="nil"/>
              <w:left w:val="nil"/>
              <w:bottom w:val="single" w:sz="4" w:space="0" w:color="auto"/>
              <w:right w:val="single" w:sz="4" w:space="0" w:color="auto"/>
            </w:tcBorders>
            <w:shd w:val="clear" w:color="auto" w:fill="auto"/>
            <w:noWrap/>
            <w:vAlign w:val="bottom"/>
            <w:hideMark/>
          </w:tcPr>
          <w:p w14:paraId="782FD4E4" w14:textId="64A8546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E071A59" w14:textId="28BA587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175.767.952,67</w:t>
            </w:r>
          </w:p>
        </w:tc>
        <w:tc>
          <w:tcPr>
            <w:tcW w:w="1922" w:type="dxa"/>
            <w:tcBorders>
              <w:top w:val="nil"/>
              <w:left w:val="nil"/>
              <w:bottom w:val="single" w:sz="4" w:space="0" w:color="auto"/>
              <w:right w:val="single" w:sz="4" w:space="0" w:color="auto"/>
            </w:tcBorders>
            <w:shd w:val="clear" w:color="auto" w:fill="auto"/>
            <w:noWrap/>
            <w:vAlign w:val="bottom"/>
            <w:hideMark/>
          </w:tcPr>
          <w:p w14:paraId="518ABB59" w14:textId="0FDFD84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390.949.224,42</w:t>
            </w:r>
          </w:p>
        </w:tc>
        <w:tc>
          <w:tcPr>
            <w:tcW w:w="1922" w:type="dxa"/>
            <w:tcBorders>
              <w:top w:val="nil"/>
              <w:left w:val="nil"/>
              <w:bottom w:val="single" w:sz="4" w:space="0" w:color="auto"/>
              <w:right w:val="single" w:sz="4" w:space="0" w:color="auto"/>
            </w:tcBorders>
            <w:shd w:val="clear" w:color="auto" w:fill="auto"/>
            <w:noWrap/>
            <w:vAlign w:val="bottom"/>
            <w:hideMark/>
          </w:tcPr>
          <w:p w14:paraId="52421834" w14:textId="1978942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352.221.448,10</w:t>
            </w:r>
          </w:p>
        </w:tc>
        <w:tc>
          <w:tcPr>
            <w:tcW w:w="1740" w:type="dxa"/>
            <w:tcBorders>
              <w:top w:val="nil"/>
              <w:left w:val="nil"/>
              <w:bottom w:val="single" w:sz="4" w:space="0" w:color="auto"/>
              <w:right w:val="single" w:sz="4" w:space="0" w:color="auto"/>
            </w:tcBorders>
            <w:shd w:val="clear" w:color="auto" w:fill="auto"/>
            <w:noWrap/>
            <w:vAlign w:val="bottom"/>
            <w:hideMark/>
          </w:tcPr>
          <w:p w14:paraId="4CA758AF" w14:textId="41D861C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38.727.776,32</w:t>
            </w:r>
          </w:p>
        </w:tc>
      </w:tr>
      <w:tr w:rsidR="0020523C" w:rsidRPr="009772A3" w14:paraId="17F744D2"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85D149B" w14:textId="252BDF51"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2012</w:t>
            </w:r>
          </w:p>
        </w:tc>
        <w:tc>
          <w:tcPr>
            <w:tcW w:w="1741" w:type="dxa"/>
            <w:tcBorders>
              <w:top w:val="nil"/>
              <w:left w:val="nil"/>
              <w:bottom w:val="single" w:sz="4" w:space="0" w:color="auto"/>
              <w:right w:val="single" w:sz="4" w:space="0" w:color="auto"/>
            </w:tcBorders>
            <w:shd w:val="clear" w:color="auto" w:fill="auto"/>
            <w:noWrap/>
            <w:vAlign w:val="bottom"/>
            <w:hideMark/>
          </w:tcPr>
          <w:p w14:paraId="15EC384E" w14:textId="1F22FFF8"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2238D271" w14:textId="1CC282E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214.495.728,99</w:t>
            </w:r>
          </w:p>
        </w:tc>
        <w:tc>
          <w:tcPr>
            <w:tcW w:w="1922" w:type="dxa"/>
            <w:tcBorders>
              <w:top w:val="nil"/>
              <w:left w:val="nil"/>
              <w:bottom w:val="single" w:sz="4" w:space="0" w:color="auto"/>
              <w:right w:val="single" w:sz="4" w:space="0" w:color="auto"/>
            </w:tcBorders>
            <w:shd w:val="clear" w:color="auto" w:fill="auto"/>
            <w:noWrap/>
            <w:vAlign w:val="bottom"/>
            <w:hideMark/>
          </w:tcPr>
          <w:p w14:paraId="78EE052D" w14:textId="6D244EB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431.579.627,20</w:t>
            </w:r>
          </w:p>
        </w:tc>
        <w:tc>
          <w:tcPr>
            <w:tcW w:w="1922" w:type="dxa"/>
            <w:tcBorders>
              <w:top w:val="nil"/>
              <w:left w:val="nil"/>
              <w:bottom w:val="single" w:sz="4" w:space="0" w:color="auto"/>
              <w:right w:val="single" w:sz="4" w:space="0" w:color="auto"/>
            </w:tcBorders>
            <w:shd w:val="clear" w:color="auto" w:fill="auto"/>
            <w:noWrap/>
            <w:vAlign w:val="bottom"/>
            <w:hideMark/>
          </w:tcPr>
          <w:p w14:paraId="5E497E2A" w14:textId="24EC1C1F"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354.641.991,66</w:t>
            </w:r>
          </w:p>
        </w:tc>
        <w:tc>
          <w:tcPr>
            <w:tcW w:w="1740" w:type="dxa"/>
            <w:tcBorders>
              <w:top w:val="nil"/>
              <w:left w:val="nil"/>
              <w:bottom w:val="single" w:sz="4" w:space="0" w:color="auto"/>
              <w:right w:val="single" w:sz="4" w:space="0" w:color="auto"/>
            </w:tcBorders>
            <w:shd w:val="clear" w:color="auto" w:fill="auto"/>
            <w:noWrap/>
            <w:vAlign w:val="bottom"/>
            <w:hideMark/>
          </w:tcPr>
          <w:p w14:paraId="447A03F9" w14:textId="10FF84BE"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76.937.635,54</w:t>
            </w:r>
          </w:p>
        </w:tc>
      </w:tr>
      <w:tr w:rsidR="0020523C" w:rsidRPr="009772A3" w14:paraId="14CC8FCF"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417EC35" w14:textId="3594185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2013</w:t>
            </w:r>
          </w:p>
        </w:tc>
        <w:tc>
          <w:tcPr>
            <w:tcW w:w="1741" w:type="dxa"/>
            <w:tcBorders>
              <w:top w:val="nil"/>
              <w:left w:val="nil"/>
              <w:bottom w:val="single" w:sz="4" w:space="0" w:color="auto"/>
              <w:right w:val="single" w:sz="4" w:space="0" w:color="auto"/>
            </w:tcBorders>
            <w:shd w:val="clear" w:color="auto" w:fill="auto"/>
            <w:noWrap/>
            <w:vAlign w:val="bottom"/>
            <w:hideMark/>
          </w:tcPr>
          <w:p w14:paraId="24CD5E69" w14:textId="0D764E4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75AB9B9D" w14:textId="0EA57B4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291.433.364,53</w:t>
            </w:r>
          </w:p>
        </w:tc>
        <w:tc>
          <w:tcPr>
            <w:tcW w:w="1922" w:type="dxa"/>
            <w:tcBorders>
              <w:top w:val="nil"/>
              <w:left w:val="nil"/>
              <w:bottom w:val="single" w:sz="4" w:space="0" w:color="auto"/>
              <w:right w:val="single" w:sz="4" w:space="0" w:color="auto"/>
            </w:tcBorders>
            <w:shd w:val="clear" w:color="auto" w:fill="auto"/>
            <w:noWrap/>
            <w:vAlign w:val="bottom"/>
            <w:hideMark/>
          </w:tcPr>
          <w:p w14:paraId="537DBC16" w14:textId="7D77B7FF"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391.407.027,44</w:t>
            </w:r>
          </w:p>
        </w:tc>
        <w:tc>
          <w:tcPr>
            <w:tcW w:w="1922" w:type="dxa"/>
            <w:tcBorders>
              <w:top w:val="nil"/>
              <w:left w:val="nil"/>
              <w:bottom w:val="single" w:sz="4" w:space="0" w:color="auto"/>
              <w:right w:val="single" w:sz="4" w:space="0" w:color="auto"/>
            </w:tcBorders>
            <w:shd w:val="clear" w:color="auto" w:fill="auto"/>
            <w:noWrap/>
            <w:vAlign w:val="bottom"/>
            <w:hideMark/>
          </w:tcPr>
          <w:p w14:paraId="19A5811F" w14:textId="74DAA3F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355.412.622,01</w:t>
            </w:r>
          </w:p>
        </w:tc>
        <w:tc>
          <w:tcPr>
            <w:tcW w:w="1740" w:type="dxa"/>
            <w:tcBorders>
              <w:top w:val="nil"/>
              <w:left w:val="nil"/>
              <w:bottom w:val="single" w:sz="4" w:space="0" w:color="auto"/>
              <w:right w:val="single" w:sz="4" w:space="0" w:color="auto"/>
            </w:tcBorders>
            <w:shd w:val="clear" w:color="auto" w:fill="auto"/>
            <w:noWrap/>
            <w:vAlign w:val="bottom"/>
            <w:hideMark/>
          </w:tcPr>
          <w:p w14:paraId="7D572FAA" w14:textId="02D18ED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35.994.405,43</w:t>
            </w:r>
          </w:p>
        </w:tc>
      </w:tr>
      <w:tr w:rsidR="0020523C" w:rsidRPr="009772A3" w14:paraId="2EA012D2"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6B5C634" w14:textId="3C6223B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2014</w:t>
            </w:r>
          </w:p>
        </w:tc>
        <w:tc>
          <w:tcPr>
            <w:tcW w:w="1741" w:type="dxa"/>
            <w:tcBorders>
              <w:top w:val="nil"/>
              <w:left w:val="nil"/>
              <w:bottom w:val="single" w:sz="4" w:space="0" w:color="auto"/>
              <w:right w:val="single" w:sz="4" w:space="0" w:color="auto"/>
            </w:tcBorders>
            <w:shd w:val="clear" w:color="auto" w:fill="auto"/>
            <w:noWrap/>
            <w:vAlign w:val="bottom"/>
            <w:hideMark/>
          </w:tcPr>
          <w:p w14:paraId="06816FBE" w14:textId="1C016AF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2EA87E01" w14:textId="7D707E4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327.427.769,96</w:t>
            </w:r>
          </w:p>
        </w:tc>
        <w:tc>
          <w:tcPr>
            <w:tcW w:w="1922" w:type="dxa"/>
            <w:tcBorders>
              <w:top w:val="nil"/>
              <w:left w:val="nil"/>
              <w:bottom w:val="single" w:sz="4" w:space="0" w:color="auto"/>
              <w:right w:val="single" w:sz="4" w:space="0" w:color="auto"/>
            </w:tcBorders>
            <w:shd w:val="clear" w:color="auto" w:fill="auto"/>
            <w:noWrap/>
            <w:vAlign w:val="bottom"/>
            <w:hideMark/>
          </w:tcPr>
          <w:p w14:paraId="10F6A5C3" w14:textId="5FA89A98"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397.079.690,14</w:t>
            </w:r>
          </w:p>
        </w:tc>
        <w:tc>
          <w:tcPr>
            <w:tcW w:w="1922" w:type="dxa"/>
            <w:tcBorders>
              <w:top w:val="nil"/>
              <w:left w:val="nil"/>
              <w:bottom w:val="single" w:sz="4" w:space="0" w:color="auto"/>
              <w:right w:val="single" w:sz="4" w:space="0" w:color="auto"/>
            </w:tcBorders>
            <w:shd w:val="clear" w:color="auto" w:fill="auto"/>
            <w:noWrap/>
            <w:vAlign w:val="bottom"/>
            <w:hideMark/>
          </w:tcPr>
          <w:p w14:paraId="6141E28F" w14:textId="623F935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277.034.864,05</w:t>
            </w:r>
          </w:p>
        </w:tc>
        <w:tc>
          <w:tcPr>
            <w:tcW w:w="1740" w:type="dxa"/>
            <w:tcBorders>
              <w:top w:val="nil"/>
              <w:left w:val="nil"/>
              <w:bottom w:val="single" w:sz="4" w:space="0" w:color="auto"/>
              <w:right w:val="single" w:sz="4" w:space="0" w:color="auto"/>
            </w:tcBorders>
            <w:shd w:val="clear" w:color="auto" w:fill="auto"/>
            <w:noWrap/>
            <w:vAlign w:val="bottom"/>
            <w:hideMark/>
          </w:tcPr>
          <w:p w14:paraId="379D750C" w14:textId="3C04F79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120.044.826,09</w:t>
            </w:r>
          </w:p>
        </w:tc>
      </w:tr>
      <w:tr w:rsidR="0020523C" w:rsidRPr="009772A3" w14:paraId="1D046682"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FEC460" w14:textId="259BBE3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2015</w:t>
            </w:r>
          </w:p>
        </w:tc>
        <w:tc>
          <w:tcPr>
            <w:tcW w:w="1741" w:type="dxa"/>
            <w:tcBorders>
              <w:top w:val="nil"/>
              <w:left w:val="nil"/>
              <w:bottom w:val="single" w:sz="4" w:space="0" w:color="auto"/>
              <w:right w:val="single" w:sz="4" w:space="0" w:color="auto"/>
            </w:tcBorders>
            <w:shd w:val="clear" w:color="auto" w:fill="auto"/>
            <w:noWrap/>
            <w:vAlign w:val="bottom"/>
            <w:hideMark/>
          </w:tcPr>
          <w:p w14:paraId="41C078A8" w14:textId="62DD13B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0FE1A072" w14:textId="5649C46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447.472.596,05</w:t>
            </w:r>
          </w:p>
        </w:tc>
        <w:tc>
          <w:tcPr>
            <w:tcW w:w="1922" w:type="dxa"/>
            <w:tcBorders>
              <w:top w:val="nil"/>
              <w:left w:val="nil"/>
              <w:bottom w:val="single" w:sz="4" w:space="0" w:color="auto"/>
              <w:right w:val="single" w:sz="4" w:space="0" w:color="auto"/>
            </w:tcBorders>
            <w:shd w:val="clear" w:color="auto" w:fill="auto"/>
            <w:noWrap/>
            <w:vAlign w:val="bottom"/>
            <w:hideMark/>
          </w:tcPr>
          <w:p w14:paraId="5DD4FFF7" w14:textId="6701298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257.874.375,59</w:t>
            </w:r>
          </w:p>
        </w:tc>
        <w:tc>
          <w:tcPr>
            <w:tcW w:w="1922" w:type="dxa"/>
            <w:tcBorders>
              <w:top w:val="nil"/>
              <w:left w:val="nil"/>
              <w:bottom w:val="single" w:sz="4" w:space="0" w:color="auto"/>
              <w:right w:val="single" w:sz="4" w:space="0" w:color="auto"/>
            </w:tcBorders>
            <w:shd w:val="clear" w:color="auto" w:fill="auto"/>
            <w:noWrap/>
            <w:vAlign w:val="bottom"/>
            <w:hideMark/>
          </w:tcPr>
          <w:p w14:paraId="4F6C9CAB" w14:textId="32A2955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216.587.420,21</w:t>
            </w:r>
          </w:p>
        </w:tc>
        <w:tc>
          <w:tcPr>
            <w:tcW w:w="1740" w:type="dxa"/>
            <w:tcBorders>
              <w:top w:val="nil"/>
              <w:left w:val="nil"/>
              <w:bottom w:val="single" w:sz="4" w:space="0" w:color="auto"/>
              <w:right w:val="single" w:sz="4" w:space="0" w:color="auto"/>
            </w:tcBorders>
            <w:shd w:val="clear" w:color="auto" w:fill="auto"/>
            <w:noWrap/>
            <w:vAlign w:val="bottom"/>
            <w:hideMark/>
          </w:tcPr>
          <w:p w14:paraId="14C32237" w14:textId="2247925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41.286.955,38</w:t>
            </w:r>
          </w:p>
        </w:tc>
      </w:tr>
      <w:tr w:rsidR="0020523C" w:rsidRPr="009772A3" w14:paraId="5F2E5264"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CDD4A7D" w14:textId="2EC5800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2016</w:t>
            </w:r>
          </w:p>
        </w:tc>
        <w:tc>
          <w:tcPr>
            <w:tcW w:w="1741" w:type="dxa"/>
            <w:tcBorders>
              <w:top w:val="nil"/>
              <w:left w:val="nil"/>
              <w:bottom w:val="single" w:sz="4" w:space="0" w:color="auto"/>
              <w:right w:val="single" w:sz="4" w:space="0" w:color="auto"/>
            </w:tcBorders>
            <w:shd w:val="clear" w:color="auto" w:fill="auto"/>
            <w:noWrap/>
            <w:vAlign w:val="bottom"/>
            <w:hideMark/>
          </w:tcPr>
          <w:p w14:paraId="607F7F44" w14:textId="69CE3CE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16423616" w14:textId="28033D0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488.759.551,43</w:t>
            </w:r>
          </w:p>
        </w:tc>
        <w:tc>
          <w:tcPr>
            <w:tcW w:w="1922" w:type="dxa"/>
            <w:tcBorders>
              <w:top w:val="nil"/>
              <w:left w:val="nil"/>
              <w:bottom w:val="single" w:sz="4" w:space="0" w:color="auto"/>
              <w:right w:val="single" w:sz="4" w:space="0" w:color="auto"/>
            </w:tcBorders>
            <w:shd w:val="clear" w:color="auto" w:fill="auto"/>
            <w:noWrap/>
            <w:vAlign w:val="bottom"/>
            <w:hideMark/>
          </w:tcPr>
          <w:p w14:paraId="0521B06E" w14:textId="1F4886C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200.634.114,11</w:t>
            </w:r>
          </w:p>
        </w:tc>
        <w:tc>
          <w:tcPr>
            <w:tcW w:w="1922" w:type="dxa"/>
            <w:tcBorders>
              <w:top w:val="nil"/>
              <w:left w:val="nil"/>
              <w:bottom w:val="single" w:sz="4" w:space="0" w:color="auto"/>
              <w:right w:val="single" w:sz="4" w:space="0" w:color="auto"/>
            </w:tcBorders>
            <w:shd w:val="clear" w:color="auto" w:fill="auto"/>
            <w:noWrap/>
            <w:vAlign w:val="bottom"/>
            <w:hideMark/>
          </w:tcPr>
          <w:p w14:paraId="787A158B" w14:textId="3C67C00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219.623.912,44</w:t>
            </w:r>
          </w:p>
        </w:tc>
        <w:tc>
          <w:tcPr>
            <w:tcW w:w="1740" w:type="dxa"/>
            <w:tcBorders>
              <w:top w:val="nil"/>
              <w:left w:val="nil"/>
              <w:bottom w:val="single" w:sz="4" w:space="0" w:color="auto"/>
              <w:right w:val="single" w:sz="4" w:space="0" w:color="auto"/>
            </w:tcBorders>
            <w:shd w:val="clear" w:color="auto" w:fill="auto"/>
            <w:noWrap/>
            <w:vAlign w:val="bottom"/>
            <w:hideMark/>
          </w:tcPr>
          <w:p w14:paraId="7E996E6D" w14:textId="733EEC2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-18.989.798,33</w:t>
            </w:r>
          </w:p>
        </w:tc>
      </w:tr>
      <w:tr w:rsidR="0020523C" w:rsidRPr="009772A3" w14:paraId="7618D9C2"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1BBDD8" w14:textId="4FF5F6DF"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2017</w:t>
            </w:r>
          </w:p>
        </w:tc>
        <w:tc>
          <w:tcPr>
            <w:tcW w:w="1741" w:type="dxa"/>
            <w:tcBorders>
              <w:top w:val="nil"/>
              <w:left w:val="nil"/>
              <w:bottom w:val="single" w:sz="4" w:space="0" w:color="auto"/>
              <w:right w:val="single" w:sz="4" w:space="0" w:color="auto"/>
            </w:tcBorders>
            <w:shd w:val="clear" w:color="auto" w:fill="auto"/>
            <w:noWrap/>
            <w:vAlign w:val="bottom"/>
            <w:hideMark/>
          </w:tcPr>
          <w:p w14:paraId="364EB015" w14:textId="2A0CA21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03C5DA58" w14:textId="41B3982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469.769.753,10</w:t>
            </w:r>
          </w:p>
        </w:tc>
        <w:tc>
          <w:tcPr>
            <w:tcW w:w="1922" w:type="dxa"/>
            <w:tcBorders>
              <w:top w:val="nil"/>
              <w:left w:val="nil"/>
              <w:bottom w:val="single" w:sz="4" w:space="0" w:color="auto"/>
              <w:right w:val="single" w:sz="4" w:space="0" w:color="auto"/>
            </w:tcBorders>
            <w:shd w:val="clear" w:color="auto" w:fill="auto"/>
            <w:noWrap/>
            <w:vAlign w:val="bottom"/>
            <w:hideMark/>
          </w:tcPr>
          <w:p w14:paraId="585604BC" w14:textId="21E1392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167.542.622,63</w:t>
            </w:r>
          </w:p>
        </w:tc>
        <w:tc>
          <w:tcPr>
            <w:tcW w:w="1922" w:type="dxa"/>
            <w:tcBorders>
              <w:top w:val="nil"/>
              <w:left w:val="nil"/>
              <w:bottom w:val="single" w:sz="4" w:space="0" w:color="auto"/>
              <w:right w:val="single" w:sz="4" w:space="0" w:color="auto"/>
            </w:tcBorders>
            <w:shd w:val="clear" w:color="auto" w:fill="auto"/>
            <w:noWrap/>
            <w:vAlign w:val="bottom"/>
            <w:hideMark/>
          </w:tcPr>
          <w:p w14:paraId="770084EC" w14:textId="585997D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187.758.707,60</w:t>
            </w:r>
          </w:p>
        </w:tc>
        <w:tc>
          <w:tcPr>
            <w:tcW w:w="1740" w:type="dxa"/>
            <w:tcBorders>
              <w:top w:val="nil"/>
              <w:left w:val="nil"/>
              <w:bottom w:val="single" w:sz="4" w:space="0" w:color="auto"/>
              <w:right w:val="single" w:sz="4" w:space="0" w:color="auto"/>
            </w:tcBorders>
            <w:shd w:val="clear" w:color="auto" w:fill="auto"/>
            <w:noWrap/>
            <w:vAlign w:val="bottom"/>
            <w:hideMark/>
          </w:tcPr>
          <w:p w14:paraId="69F84FC3" w14:textId="00228EF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-20.216.084,97</w:t>
            </w:r>
          </w:p>
        </w:tc>
      </w:tr>
      <w:tr w:rsidR="0020523C" w:rsidRPr="009772A3" w14:paraId="092EA3E3"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266D33A" w14:textId="48D433C3"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2018</w:t>
            </w:r>
          </w:p>
        </w:tc>
        <w:tc>
          <w:tcPr>
            <w:tcW w:w="1741" w:type="dxa"/>
            <w:tcBorders>
              <w:top w:val="nil"/>
              <w:left w:val="nil"/>
              <w:bottom w:val="single" w:sz="4" w:space="0" w:color="auto"/>
              <w:right w:val="single" w:sz="4" w:space="0" w:color="auto"/>
            </w:tcBorders>
            <w:shd w:val="clear" w:color="auto" w:fill="auto"/>
            <w:noWrap/>
            <w:vAlign w:val="bottom"/>
            <w:hideMark/>
          </w:tcPr>
          <w:p w14:paraId="2DC21357" w14:textId="0FD28DFF"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096CBE16" w14:textId="1B9E1C7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449.553.668,13</w:t>
            </w:r>
          </w:p>
        </w:tc>
        <w:tc>
          <w:tcPr>
            <w:tcW w:w="1922" w:type="dxa"/>
            <w:tcBorders>
              <w:top w:val="nil"/>
              <w:left w:val="nil"/>
              <w:bottom w:val="single" w:sz="4" w:space="0" w:color="auto"/>
              <w:right w:val="single" w:sz="4" w:space="0" w:color="auto"/>
            </w:tcBorders>
            <w:shd w:val="clear" w:color="auto" w:fill="auto"/>
            <w:noWrap/>
            <w:vAlign w:val="bottom"/>
            <w:hideMark/>
          </w:tcPr>
          <w:p w14:paraId="2BC4FE6D" w14:textId="1BB60CB8"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245.662.314,11</w:t>
            </w:r>
          </w:p>
        </w:tc>
        <w:tc>
          <w:tcPr>
            <w:tcW w:w="1922" w:type="dxa"/>
            <w:tcBorders>
              <w:top w:val="nil"/>
              <w:left w:val="nil"/>
              <w:bottom w:val="single" w:sz="4" w:space="0" w:color="auto"/>
              <w:right w:val="single" w:sz="4" w:space="0" w:color="auto"/>
            </w:tcBorders>
            <w:shd w:val="clear" w:color="auto" w:fill="auto"/>
            <w:noWrap/>
            <w:vAlign w:val="bottom"/>
            <w:hideMark/>
          </w:tcPr>
          <w:p w14:paraId="3F616A6C" w14:textId="3212B76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239.840.693,88</w:t>
            </w:r>
          </w:p>
        </w:tc>
        <w:tc>
          <w:tcPr>
            <w:tcW w:w="1740" w:type="dxa"/>
            <w:tcBorders>
              <w:top w:val="nil"/>
              <w:left w:val="nil"/>
              <w:bottom w:val="single" w:sz="4" w:space="0" w:color="auto"/>
              <w:right w:val="single" w:sz="4" w:space="0" w:color="auto"/>
            </w:tcBorders>
            <w:shd w:val="clear" w:color="auto" w:fill="auto"/>
            <w:noWrap/>
            <w:vAlign w:val="bottom"/>
            <w:hideMark/>
          </w:tcPr>
          <w:p w14:paraId="173C8E60" w14:textId="1311B12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5.821.620,23</w:t>
            </w:r>
          </w:p>
        </w:tc>
      </w:tr>
      <w:tr w:rsidR="0020523C" w:rsidRPr="009772A3" w14:paraId="7708C27A"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D51F8FB" w14:textId="28C4C48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2019</w:t>
            </w:r>
          </w:p>
        </w:tc>
        <w:tc>
          <w:tcPr>
            <w:tcW w:w="1741" w:type="dxa"/>
            <w:tcBorders>
              <w:top w:val="nil"/>
              <w:left w:val="nil"/>
              <w:bottom w:val="single" w:sz="4" w:space="0" w:color="auto"/>
              <w:right w:val="single" w:sz="4" w:space="0" w:color="auto"/>
            </w:tcBorders>
            <w:shd w:val="clear" w:color="auto" w:fill="auto"/>
            <w:noWrap/>
            <w:vAlign w:val="bottom"/>
            <w:hideMark/>
          </w:tcPr>
          <w:p w14:paraId="2CC993E5" w14:textId="1FB4802E"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4C3B8272" w14:textId="6AA63854"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455.375.288,36</w:t>
            </w:r>
          </w:p>
        </w:tc>
        <w:tc>
          <w:tcPr>
            <w:tcW w:w="1922" w:type="dxa"/>
            <w:tcBorders>
              <w:top w:val="nil"/>
              <w:left w:val="nil"/>
              <w:bottom w:val="single" w:sz="4" w:space="0" w:color="auto"/>
              <w:right w:val="single" w:sz="4" w:space="0" w:color="auto"/>
            </w:tcBorders>
            <w:shd w:val="clear" w:color="auto" w:fill="auto"/>
            <w:noWrap/>
            <w:vAlign w:val="bottom"/>
            <w:hideMark/>
          </w:tcPr>
          <w:p w14:paraId="2208297B" w14:textId="05CBE3A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247.155.945,02</w:t>
            </w:r>
          </w:p>
        </w:tc>
        <w:tc>
          <w:tcPr>
            <w:tcW w:w="1922" w:type="dxa"/>
            <w:tcBorders>
              <w:top w:val="nil"/>
              <w:left w:val="nil"/>
              <w:bottom w:val="single" w:sz="4" w:space="0" w:color="auto"/>
              <w:right w:val="single" w:sz="4" w:space="0" w:color="auto"/>
            </w:tcBorders>
            <w:shd w:val="clear" w:color="auto" w:fill="auto"/>
            <w:noWrap/>
            <w:vAlign w:val="bottom"/>
            <w:hideMark/>
          </w:tcPr>
          <w:p w14:paraId="2E2C13E6" w14:textId="79E86DA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246.578.946,57</w:t>
            </w:r>
          </w:p>
        </w:tc>
        <w:tc>
          <w:tcPr>
            <w:tcW w:w="1740" w:type="dxa"/>
            <w:tcBorders>
              <w:top w:val="nil"/>
              <w:left w:val="nil"/>
              <w:bottom w:val="single" w:sz="4" w:space="0" w:color="auto"/>
              <w:right w:val="single" w:sz="4" w:space="0" w:color="auto"/>
            </w:tcBorders>
            <w:shd w:val="clear" w:color="auto" w:fill="auto"/>
            <w:noWrap/>
            <w:vAlign w:val="bottom"/>
            <w:hideMark/>
          </w:tcPr>
          <w:p w14:paraId="6C042B94" w14:textId="64C39B8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576.998,45</w:t>
            </w:r>
          </w:p>
        </w:tc>
      </w:tr>
      <w:tr w:rsidR="0020523C" w:rsidRPr="009772A3" w14:paraId="3FD1F794"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19A9F3" w14:textId="3F324742"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2020</w:t>
            </w:r>
          </w:p>
        </w:tc>
        <w:tc>
          <w:tcPr>
            <w:tcW w:w="1741" w:type="dxa"/>
            <w:tcBorders>
              <w:top w:val="nil"/>
              <w:left w:val="nil"/>
              <w:bottom w:val="single" w:sz="4" w:space="0" w:color="auto"/>
              <w:right w:val="single" w:sz="4" w:space="0" w:color="auto"/>
            </w:tcBorders>
            <w:shd w:val="clear" w:color="auto" w:fill="auto"/>
            <w:noWrap/>
            <w:vAlign w:val="bottom"/>
            <w:hideMark/>
          </w:tcPr>
          <w:p w14:paraId="41998AD8" w14:textId="06E4982E"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3A7069D2" w14:textId="0AAED11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455.952.286,81</w:t>
            </w:r>
          </w:p>
        </w:tc>
        <w:tc>
          <w:tcPr>
            <w:tcW w:w="1922" w:type="dxa"/>
            <w:tcBorders>
              <w:top w:val="nil"/>
              <w:left w:val="nil"/>
              <w:bottom w:val="single" w:sz="4" w:space="0" w:color="auto"/>
              <w:right w:val="single" w:sz="4" w:space="0" w:color="auto"/>
            </w:tcBorders>
            <w:shd w:val="clear" w:color="auto" w:fill="auto"/>
            <w:noWrap/>
            <w:hideMark/>
          </w:tcPr>
          <w:p w14:paraId="05985F9B" w14:textId="6F98118E"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167.675.949,87</w:t>
            </w:r>
          </w:p>
        </w:tc>
        <w:tc>
          <w:tcPr>
            <w:tcW w:w="1922" w:type="dxa"/>
            <w:tcBorders>
              <w:top w:val="nil"/>
              <w:left w:val="nil"/>
              <w:bottom w:val="single" w:sz="4" w:space="0" w:color="auto"/>
              <w:right w:val="single" w:sz="4" w:space="0" w:color="auto"/>
            </w:tcBorders>
            <w:shd w:val="clear" w:color="auto" w:fill="auto"/>
            <w:noWrap/>
            <w:hideMark/>
          </w:tcPr>
          <w:p w14:paraId="41986745" w14:textId="37E6694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183.660.294,48</w:t>
            </w:r>
          </w:p>
        </w:tc>
        <w:tc>
          <w:tcPr>
            <w:tcW w:w="1740" w:type="dxa"/>
            <w:tcBorders>
              <w:top w:val="nil"/>
              <w:left w:val="nil"/>
              <w:bottom w:val="single" w:sz="4" w:space="0" w:color="auto"/>
              <w:right w:val="single" w:sz="4" w:space="0" w:color="auto"/>
            </w:tcBorders>
            <w:shd w:val="clear" w:color="auto" w:fill="auto"/>
            <w:noWrap/>
            <w:vAlign w:val="bottom"/>
            <w:hideMark/>
          </w:tcPr>
          <w:p w14:paraId="0EBE911E" w14:textId="1D608F0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-15.984.344,61</w:t>
            </w:r>
          </w:p>
        </w:tc>
      </w:tr>
      <w:tr w:rsidR="0020523C" w:rsidRPr="009772A3" w14:paraId="1EDD4E72"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513ADC6" w14:textId="1C5C8E30"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2021</w:t>
            </w:r>
          </w:p>
        </w:tc>
        <w:tc>
          <w:tcPr>
            <w:tcW w:w="1741" w:type="dxa"/>
            <w:tcBorders>
              <w:top w:val="nil"/>
              <w:left w:val="nil"/>
              <w:bottom w:val="single" w:sz="4" w:space="0" w:color="auto"/>
              <w:right w:val="single" w:sz="4" w:space="0" w:color="auto"/>
            </w:tcBorders>
            <w:shd w:val="clear" w:color="auto" w:fill="auto"/>
            <w:noWrap/>
            <w:vAlign w:val="bottom"/>
            <w:hideMark/>
          </w:tcPr>
          <w:p w14:paraId="0EFE69F0" w14:textId="25C77E36"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132C9F8" w14:textId="7141AEFD"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439.967.942,20</w:t>
            </w:r>
          </w:p>
        </w:tc>
        <w:tc>
          <w:tcPr>
            <w:tcW w:w="1922" w:type="dxa"/>
            <w:tcBorders>
              <w:top w:val="nil"/>
              <w:left w:val="nil"/>
              <w:bottom w:val="single" w:sz="4" w:space="0" w:color="auto"/>
              <w:right w:val="single" w:sz="4" w:space="0" w:color="auto"/>
            </w:tcBorders>
            <w:shd w:val="clear" w:color="auto" w:fill="auto"/>
            <w:noWrap/>
            <w:hideMark/>
          </w:tcPr>
          <w:p w14:paraId="247B0843" w14:textId="7FE303C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352.459.731,44</w:t>
            </w:r>
          </w:p>
        </w:tc>
        <w:tc>
          <w:tcPr>
            <w:tcW w:w="1922" w:type="dxa"/>
            <w:tcBorders>
              <w:top w:val="nil"/>
              <w:left w:val="nil"/>
              <w:bottom w:val="single" w:sz="4" w:space="0" w:color="auto"/>
              <w:right w:val="single" w:sz="4" w:space="0" w:color="auto"/>
            </w:tcBorders>
            <w:shd w:val="clear" w:color="auto" w:fill="auto"/>
            <w:noWrap/>
            <w:hideMark/>
          </w:tcPr>
          <w:p w14:paraId="1EF8ABAA" w14:textId="43153B2B"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324.329.477,81</w:t>
            </w:r>
          </w:p>
        </w:tc>
        <w:tc>
          <w:tcPr>
            <w:tcW w:w="1740" w:type="dxa"/>
            <w:tcBorders>
              <w:top w:val="nil"/>
              <w:left w:val="nil"/>
              <w:bottom w:val="single" w:sz="4" w:space="0" w:color="auto"/>
              <w:right w:val="single" w:sz="4" w:space="0" w:color="auto"/>
            </w:tcBorders>
            <w:shd w:val="clear" w:color="auto" w:fill="auto"/>
            <w:noWrap/>
            <w:vAlign w:val="bottom"/>
            <w:hideMark/>
          </w:tcPr>
          <w:p w14:paraId="44DE4A83" w14:textId="208BB1E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28.130.253,63</w:t>
            </w:r>
          </w:p>
        </w:tc>
      </w:tr>
      <w:tr w:rsidR="0020523C" w:rsidRPr="009772A3" w14:paraId="50F51AB3"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173080" w14:textId="2A356149"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2022</w:t>
            </w:r>
          </w:p>
        </w:tc>
        <w:tc>
          <w:tcPr>
            <w:tcW w:w="1741" w:type="dxa"/>
            <w:tcBorders>
              <w:top w:val="nil"/>
              <w:left w:val="nil"/>
              <w:bottom w:val="single" w:sz="4" w:space="0" w:color="auto"/>
              <w:right w:val="single" w:sz="4" w:space="0" w:color="auto"/>
            </w:tcBorders>
            <w:shd w:val="clear" w:color="auto" w:fill="auto"/>
            <w:noWrap/>
            <w:vAlign w:val="bottom"/>
            <w:hideMark/>
          </w:tcPr>
          <w:p w14:paraId="33AC641C" w14:textId="5CE1E9FC"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77895631" w14:textId="61DA58CA"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468.098.195,83</w:t>
            </w:r>
          </w:p>
        </w:tc>
        <w:tc>
          <w:tcPr>
            <w:tcW w:w="1922" w:type="dxa"/>
            <w:tcBorders>
              <w:top w:val="nil"/>
              <w:left w:val="nil"/>
              <w:bottom w:val="single" w:sz="4" w:space="0" w:color="auto"/>
              <w:right w:val="single" w:sz="4" w:space="0" w:color="auto"/>
            </w:tcBorders>
            <w:shd w:val="clear" w:color="auto" w:fill="auto"/>
            <w:noWrap/>
            <w:vAlign w:val="bottom"/>
            <w:hideMark/>
          </w:tcPr>
          <w:p w14:paraId="6ABC95B3" w14:textId="108D1AF9"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922" w:type="dxa"/>
            <w:tcBorders>
              <w:top w:val="nil"/>
              <w:left w:val="nil"/>
              <w:bottom w:val="single" w:sz="4" w:space="0" w:color="auto"/>
              <w:right w:val="single" w:sz="4" w:space="0" w:color="auto"/>
            </w:tcBorders>
            <w:shd w:val="clear" w:color="auto" w:fill="auto"/>
            <w:noWrap/>
            <w:vAlign w:val="bottom"/>
            <w:hideMark/>
          </w:tcPr>
          <w:p w14:paraId="5FC7F6A0" w14:textId="105070EA"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154D48F8" w14:textId="79088C28"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r>
      <w:tr w:rsidR="0020523C" w:rsidRPr="009772A3" w14:paraId="75062CB2" w14:textId="77777777" w:rsidTr="00A01729">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60E1F3D" w14:textId="57F5E1DA"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Total</w:t>
            </w:r>
          </w:p>
        </w:tc>
        <w:tc>
          <w:tcPr>
            <w:tcW w:w="1741" w:type="dxa"/>
            <w:tcBorders>
              <w:top w:val="nil"/>
              <w:left w:val="nil"/>
              <w:bottom w:val="single" w:sz="4" w:space="0" w:color="auto"/>
              <w:right w:val="single" w:sz="4" w:space="0" w:color="auto"/>
            </w:tcBorders>
            <w:shd w:val="clear" w:color="auto" w:fill="auto"/>
            <w:noWrap/>
            <w:vAlign w:val="bottom"/>
            <w:hideMark/>
          </w:tcPr>
          <w:p w14:paraId="46D15BAC" w14:textId="0EE643D6"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740" w:type="dxa"/>
            <w:tcBorders>
              <w:top w:val="nil"/>
              <w:left w:val="nil"/>
              <w:bottom w:val="single" w:sz="4" w:space="0" w:color="auto"/>
              <w:right w:val="single" w:sz="4" w:space="0" w:color="auto"/>
            </w:tcBorders>
            <w:shd w:val="clear" w:color="auto" w:fill="auto"/>
            <w:noWrap/>
            <w:vAlign w:val="bottom"/>
            <w:hideMark/>
          </w:tcPr>
          <w:p w14:paraId="68B6C0A1" w14:textId="32C521D7" w:rsidR="0020523C" w:rsidRPr="009772A3" w:rsidRDefault="0020523C" w:rsidP="0020523C">
            <w:pPr>
              <w:spacing w:after="0" w:line="240" w:lineRule="auto"/>
              <w:rPr>
                <w:rFonts w:asciiTheme="majorHAnsi" w:eastAsia="Times New Roman" w:hAnsiTheme="majorHAnsi" w:cstheme="majorHAnsi"/>
                <w:sz w:val="20"/>
                <w:szCs w:val="20"/>
                <w:lang w:val="ro-MD"/>
              </w:rPr>
            </w:pPr>
            <w:r w:rsidRPr="009772A3">
              <w:rPr>
                <w:rFonts w:ascii="Calibri" w:hAnsi="Calibri" w:cs="Calibri"/>
                <w:lang w:val="ro-MD"/>
              </w:rPr>
              <w:t> </w:t>
            </w:r>
          </w:p>
        </w:tc>
        <w:tc>
          <w:tcPr>
            <w:tcW w:w="1922" w:type="dxa"/>
            <w:tcBorders>
              <w:top w:val="nil"/>
              <w:left w:val="nil"/>
              <w:bottom w:val="single" w:sz="4" w:space="0" w:color="auto"/>
              <w:right w:val="single" w:sz="4" w:space="0" w:color="auto"/>
            </w:tcBorders>
            <w:shd w:val="clear" w:color="auto" w:fill="auto"/>
            <w:noWrap/>
            <w:vAlign w:val="bottom"/>
            <w:hideMark/>
          </w:tcPr>
          <w:p w14:paraId="4608D6F3" w14:textId="4FAFF851"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4.943.961.995,84</w:t>
            </w:r>
          </w:p>
        </w:tc>
        <w:tc>
          <w:tcPr>
            <w:tcW w:w="1922" w:type="dxa"/>
            <w:tcBorders>
              <w:top w:val="nil"/>
              <w:left w:val="nil"/>
              <w:bottom w:val="single" w:sz="4" w:space="0" w:color="auto"/>
              <w:right w:val="single" w:sz="4" w:space="0" w:color="auto"/>
            </w:tcBorders>
            <w:shd w:val="clear" w:color="auto" w:fill="auto"/>
            <w:noWrap/>
            <w:vAlign w:val="bottom"/>
            <w:hideMark/>
          </w:tcPr>
          <w:p w14:paraId="5C2B08C9" w14:textId="2CD612A5"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4.539.381.737,37</w:t>
            </w:r>
          </w:p>
        </w:tc>
        <w:tc>
          <w:tcPr>
            <w:tcW w:w="1740" w:type="dxa"/>
            <w:tcBorders>
              <w:top w:val="nil"/>
              <w:left w:val="nil"/>
              <w:bottom w:val="single" w:sz="4" w:space="0" w:color="auto"/>
              <w:right w:val="single" w:sz="4" w:space="0" w:color="auto"/>
            </w:tcBorders>
            <w:shd w:val="clear" w:color="auto" w:fill="auto"/>
            <w:noWrap/>
            <w:vAlign w:val="bottom"/>
            <w:hideMark/>
          </w:tcPr>
          <w:p w14:paraId="79FCDF0F" w14:textId="2B9607E7" w:rsidR="0020523C" w:rsidRPr="009772A3" w:rsidRDefault="0020523C" w:rsidP="0020523C">
            <w:pPr>
              <w:spacing w:after="0" w:line="240" w:lineRule="auto"/>
              <w:jc w:val="right"/>
              <w:rPr>
                <w:rFonts w:asciiTheme="majorHAnsi" w:eastAsia="Times New Roman" w:hAnsiTheme="majorHAnsi" w:cstheme="majorHAnsi"/>
                <w:sz w:val="20"/>
                <w:szCs w:val="20"/>
                <w:lang w:val="ro-MD"/>
              </w:rPr>
            </w:pPr>
            <w:r w:rsidRPr="009772A3">
              <w:rPr>
                <w:rFonts w:ascii="Calibri" w:hAnsi="Calibri" w:cs="Calibri"/>
                <w:lang w:val="ro-MD"/>
              </w:rPr>
              <w:t>588.215.363,35</w:t>
            </w:r>
          </w:p>
        </w:tc>
      </w:tr>
      <w:bookmarkEnd w:id="296"/>
      <w:bookmarkEnd w:id="297"/>
      <w:bookmarkEnd w:id="301"/>
    </w:tbl>
    <w:p w14:paraId="28B4E6E8" w14:textId="77777777" w:rsidR="00DC38FE" w:rsidRDefault="00DC38FE" w:rsidP="00DC38FE">
      <w:pPr>
        <w:jc w:val="both"/>
        <w:rPr>
          <w:rFonts w:asciiTheme="majorHAnsi" w:hAnsiTheme="majorHAnsi" w:cstheme="majorHAnsi"/>
          <w:sz w:val="20"/>
          <w:szCs w:val="20"/>
          <w:lang w:val="ro-MD"/>
        </w:rPr>
      </w:pPr>
    </w:p>
    <w:p w14:paraId="42012A5C" w14:textId="7A2AA8EE" w:rsidR="00DC38FE" w:rsidRPr="0093348F" w:rsidRDefault="00DC38FE" w:rsidP="00DC38FE">
      <w:pPr>
        <w:jc w:val="both"/>
        <w:rPr>
          <w:rFonts w:asciiTheme="majorHAnsi" w:hAnsiTheme="majorHAnsi" w:cstheme="majorHAnsi"/>
          <w:sz w:val="20"/>
          <w:szCs w:val="20"/>
          <w:lang w:val="ro-MD"/>
        </w:rPr>
      </w:pPr>
      <w:r w:rsidRPr="0093348F">
        <w:rPr>
          <w:rFonts w:asciiTheme="majorHAnsi" w:hAnsiTheme="majorHAnsi" w:cstheme="majorHAnsi"/>
          <w:sz w:val="20"/>
          <w:szCs w:val="20"/>
          <w:lang w:val="ro-MD"/>
        </w:rPr>
        <w:t>Sursa: Actele de verificare a datoriilor întocmite în perioada 199</w:t>
      </w:r>
      <w:r>
        <w:rPr>
          <w:rFonts w:asciiTheme="majorHAnsi" w:hAnsiTheme="majorHAnsi" w:cstheme="majorHAnsi"/>
          <w:sz w:val="20"/>
          <w:szCs w:val="20"/>
          <w:lang w:val="ro-MD"/>
        </w:rPr>
        <w:t>6</w:t>
      </w:r>
      <w:r w:rsidRPr="0093348F">
        <w:rPr>
          <w:rFonts w:asciiTheme="majorHAnsi" w:hAnsiTheme="majorHAnsi" w:cstheme="majorHAnsi"/>
          <w:sz w:val="20"/>
          <w:szCs w:val="20"/>
          <w:lang w:val="ro-MD"/>
        </w:rPr>
        <w:t>-2021 de SA Gazsnabtranzit și SA Moldovagaz cu SA Gazprom.</w:t>
      </w:r>
    </w:p>
    <w:p w14:paraId="3CA01972" w14:textId="455F6555" w:rsidR="00ED62AF" w:rsidRPr="009772A3" w:rsidRDefault="00847E3B">
      <w:pPr>
        <w:spacing w:line="259" w:lineRule="auto"/>
        <w:rPr>
          <w:rFonts w:cstheme="majorHAnsi"/>
          <w:b/>
          <w:szCs w:val="24"/>
          <w:lang w:val="ro-MD"/>
        </w:rPr>
      </w:pPr>
      <w:r w:rsidRPr="00020F96">
        <w:rPr>
          <w:rFonts w:cstheme="majorHAnsi"/>
          <w:b/>
          <w:szCs w:val="24"/>
          <w:highlight w:val="cyan"/>
          <w:lang w:val="ro-MD"/>
        </w:rPr>
        <w:t>Notă</w:t>
      </w:r>
      <w:r>
        <w:rPr>
          <w:rFonts w:cstheme="majorHAnsi"/>
          <w:b/>
          <w:szCs w:val="24"/>
          <w:lang w:val="ro-MD"/>
        </w:rPr>
        <w:t>: - informații lipsă.</w:t>
      </w:r>
      <w:r w:rsidR="00ED62AF" w:rsidRPr="009772A3">
        <w:rPr>
          <w:rFonts w:cstheme="majorHAnsi"/>
          <w:b/>
          <w:szCs w:val="24"/>
          <w:lang w:val="ro-MD"/>
        </w:rPr>
        <w:br w:type="page"/>
      </w:r>
    </w:p>
    <w:p w14:paraId="7E4E4758" w14:textId="77777777" w:rsidR="00ED62AF" w:rsidRPr="00CF3AD4" w:rsidRDefault="00ED62AF">
      <w:pPr>
        <w:spacing w:line="259" w:lineRule="auto"/>
        <w:rPr>
          <w:rFonts w:cstheme="majorHAnsi"/>
          <w:b/>
          <w:szCs w:val="24"/>
          <w:lang w:val="ro-MD"/>
        </w:rPr>
        <w:sectPr w:rsidR="00ED62AF" w:rsidRPr="00CF3AD4" w:rsidSect="00132BE6">
          <w:pgSz w:w="11906" w:h="16838"/>
          <w:pgMar w:top="1140" w:right="851" w:bottom="1418" w:left="1701" w:header="720" w:footer="720" w:gutter="0"/>
          <w:cols w:space="720"/>
          <w:docGrid w:linePitch="299"/>
        </w:sectPr>
      </w:pPr>
    </w:p>
    <w:p w14:paraId="20300309" w14:textId="62A2C125" w:rsidR="00ED62AF" w:rsidRPr="009772A3" w:rsidRDefault="00ED62AF" w:rsidP="00ED62AF">
      <w:pPr>
        <w:pStyle w:val="Heading2"/>
        <w:jc w:val="center"/>
        <w:rPr>
          <w:color w:val="auto"/>
          <w:lang w:val="ro-MD"/>
        </w:rPr>
      </w:pPr>
      <w:bookmarkStart w:id="312" w:name="_Toc119496491"/>
      <w:r w:rsidRPr="009772A3">
        <w:rPr>
          <w:color w:val="auto"/>
          <w:lang w:val="ro-MD"/>
        </w:rPr>
        <w:t>Anexa nr.10. Informații privind factorii ce au influențat neachitarea consumului curent al gazelor naturale în anii 2011</w:t>
      </w:r>
      <w:r w:rsidR="00701CAA" w:rsidRPr="009772A3">
        <w:rPr>
          <w:color w:val="auto"/>
          <w:lang w:val="ro-MD"/>
        </w:rPr>
        <w:t>-</w:t>
      </w:r>
      <w:r w:rsidRPr="009772A3">
        <w:rPr>
          <w:color w:val="auto"/>
          <w:lang w:val="ro-MD"/>
        </w:rPr>
        <w:t>2021</w:t>
      </w:r>
      <w:bookmarkEnd w:id="312"/>
    </w:p>
    <w:p w14:paraId="1A5F19CD" w14:textId="1BCDC402" w:rsidR="00ED62AF" w:rsidRPr="009772A3" w:rsidRDefault="007F400C">
      <w:pPr>
        <w:spacing w:line="259" w:lineRule="auto"/>
        <w:rPr>
          <w:rFonts w:cstheme="majorHAnsi"/>
          <w:b/>
          <w:szCs w:val="24"/>
          <w:lang w:val="ro-MD"/>
        </w:rPr>
      </w:pPr>
      <w:r w:rsidRPr="009772A3">
        <w:rPr>
          <w:noProof/>
        </w:rPr>
        <w:drawing>
          <wp:inline distT="0" distB="0" distL="0" distR="0" wp14:anchorId="076C6145" wp14:editId="7838FDD0">
            <wp:extent cx="9067800" cy="426465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0" cy="4264658"/>
                    </a:xfrm>
                    <a:prstGeom prst="rect">
                      <a:avLst/>
                    </a:prstGeom>
                    <a:noFill/>
                    <a:ln>
                      <a:noFill/>
                    </a:ln>
                  </pic:spPr>
                </pic:pic>
              </a:graphicData>
            </a:graphic>
          </wp:inline>
        </w:drawing>
      </w:r>
    </w:p>
    <w:p w14:paraId="31E45392" w14:textId="228ECD49" w:rsidR="001E4E20" w:rsidRPr="00CF3AD4" w:rsidRDefault="00882DD5">
      <w:pPr>
        <w:spacing w:line="259" w:lineRule="auto"/>
        <w:rPr>
          <w:rFonts w:asciiTheme="majorHAnsi" w:hAnsiTheme="majorHAnsi" w:cstheme="majorHAnsi"/>
          <w:lang w:val="ro-MD"/>
        </w:rPr>
      </w:pPr>
      <w:r w:rsidRPr="00CF3AD4">
        <w:rPr>
          <w:rFonts w:asciiTheme="majorHAnsi" w:hAnsiTheme="majorHAnsi" w:cstheme="majorHAnsi"/>
          <w:lang w:val="ro-MD"/>
        </w:rPr>
        <w:t>Sursa: Informațiile prezentate de SA Moldovagaz și informațiile prezentate de ANRE.</w:t>
      </w:r>
      <w:r w:rsidR="001E4E20" w:rsidRPr="00CF3AD4">
        <w:rPr>
          <w:rFonts w:asciiTheme="majorHAnsi" w:hAnsiTheme="majorHAnsi" w:cstheme="majorHAnsi"/>
          <w:b/>
          <w:szCs w:val="24"/>
          <w:lang w:val="ro-MD"/>
        </w:rPr>
        <w:br w:type="page"/>
      </w:r>
    </w:p>
    <w:p w14:paraId="6C63E8AD" w14:textId="77777777" w:rsidR="00985966" w:rsidRPr="001B577A" w:rsidRDefault="00985966" w:rsidP="006E62BF">
      <w:pPr>
        <w:pStyle w:val="Heading2"/>
        <w:rPr>
          <w:rFonts w:cstheme="majorHAnsi"/>
          <w:b/>
          <w:color w:val="auto"/>
          <w:szCs w:val="24"/>
          <w:lang w:val="ro-MD"/>
        </w:rPr>
        <w:sectPr w:rsidR="00985966" w:rsidRPr="001B577A" w:rsidSect="00A01729">
          <w:pgSz w:w="16838" w:h="11906" w:orient="landscape"/>
          <w:pgMar w:top="851" w:right="1140" w:bottom="851" w:left="1418" w:header="720" w:footer="720" w:gutter="0"/>
          <w:cols w:space="720"/>
        </w:sectPr>
      </w:pPr>
    </w:p>
    <w:p w14:paraId="6D954B1A" w14:textId="2664DB2F" w:rsidR="00060748" w:rsidRPr="009772A3" w:rsidRDefault="00985966" w:rsidP="00985966">
      <w:pPr>
        <w:pStyle w:val="Heading2"/>
        <w:jc w:val="center"/>
        <w:rPr>
          <w:color w:val="auto"/>
          <w:lang w:val="ro-MD"/>
        </w:rPr>
      </w:pPr>
      <w:bookmarkStart w:id="313" w:name="_Toc119496492"/>
      <w:r w:rsidRPr="009772A3">
        <w:rPr>
          <w:color w:val="auto"/>
          <w:lang w:val="ro-MD"/>
        </w:rPr>
        <w:t>A</w:t>
      </w:r>
      <w:r w:rsidR="00ED62AF" w:rsidRPr="009772A3">
        <w:rPr>
          <w:color w:val="auto"/>
          <w:lang w:val="ro-MD"/>
        </w:rPr>
        <w:t>nexa nr.11</w:t>
      </w:r>
      <w:r w:rsidRPr="009772A3">
        <w:rPr>
          <w:color w:val="auto"/>
          <w:lang w:val="ro-MD"/>
        </w:rPr>
        <w:t>. Informații privind cheltuielile ce nu țin de activitatea de întreprinzător</w:t>
      </w:r>
      <w:r w:rsidR="00AE0165" w:rsidRPr="009772A3">
        <w:rPr>
          <w:color w:val="auto"/>
          <w:lang w:val="ro-MD"/>
        </w:rPr>
        <w:t>, în perioada 2011-2021</w:t>
      </w:r>
      <w:bookmarkEnd w:id="313"/>
    </w:p>
    <w:tbl>
      <w:tblPr>
        <w:tblW w:w="9539" w:type="dxa"/>
        <w:tblInd w:w="113" w:type="dxa"/>
        <w:tblLook w:val="04A0" w:firstRow="1" w:lastRow="0" w:firstColumn="1" w:lastColumn="0" w:noHBand="0" w:noVBand="1"/>
      </w:tblPr>
      <w:tblGrid>
        <w:gridCol w:w="7083"/>
        <w:gridCol w:w="897"/>
        <w:gridCol w:w="1559"/>
      </w:tblGrid>
      <w:tr w:rsidR="004D1DB9" w:rsidRPr="009772A3" w14:paraId="2A0EDAE0" w14:textId="77777777" w:rsidTr="004D1DB9">
        <w:trPr>
          <w:trHeight w:val="20"/>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02B8B6D"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Cheltuieli ce nu sunt legate de activitatea de antreprenzător reflectate în Anexa 2D</w:t>
            </w:r>
          </w:p>
        </w:tc>
        <w:tc>
          <w:tcPr>
            <w:tcW w:w="897" w:type="dxa"/>
            <w:tcBorders>
              <w:top w:val="single" w:sz="4" w:space="0" w:color="auto"/>
              <w:left w:val="nil"/>
              <w:bottom w:val="single" w:sz="4" w:space="0" w:color="auto"/>
              <w:right w:val="single" w:sz="4" w:space="0" w:color="auto"/>
            </w:tcBorders>
            <w:shd w:val="clear" w:color="auto" w:fill="auto"/>
            <w:hideMark/>
          </w:tcPr>
          <w:p w14:paraId="2190975C"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w:t>
            </w:r>
          </w:p>
        </w:tc>
        <w:tc>
          <w:tcPr>
            <w:tcW w:w="1559" w:type="dxa"/>
            <w:tcBorders>
              <w:top w:val="single" w:sz="4" w:space="0" w:color="auto"/>
              <w:left w:val="nil"/>
              <w:bottom w:val="single" w:sz="4" w:space="0" w:color="auto"/>
              <w:right w:val="single" w:sz="4" w:space="0" w:color="auto"/>
            </w:tcBorders>
            <w:shd w:val="clear" w:color="auto" w:fill="auto"/>
            <w:hideMark/>
          </w:tcPr>
          <w:p w14:paraId="430B7831"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Total</w:t>
            </w:r>
          </w:p>
        </w:tc>
      </w:tr>
      <w:tr w:rsidR="004D1DB9" w:rsidRPr="009772A3" w14:paraId="4489689B"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16EF8C82"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w:t>
            </w:r>
          </w:p>
        </w:tc>
        <w:tc>
          <w:tcPr>
            <w:tcW w:w="897" w:type="dxa"/>
            <w:tcBorders>
              <w:top w:val="nil"/>
              <w:left w:val="nil"/>
              <w:bottom w:val="single" w:sz="4" w:space="0" w:color="auto"/>
              <w:right w:val="single" w:sz="4" w:space="0" w:color="auto"/>
            </w:tcBorders>
            <w:shd w:val="clear" w:color="auto" w:fill="auto"/>
            <w:hideMark/>
          </w:tcPr>
          <w:p w14:paraId="7EEE157D"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w:t>
            </w:r>
          </w:p>
        </w:tc>
        <w:tc>
          <w:tcPr>
            <w:tcW w:w="1559" w:type="dxa"/>
            <w:tcBorders>
              <w:top w:val="nil"/>
              <w:left w:val="nil"/>
              <w:bottom w:val="single" w:sz="4" w:space="0" w:color="auto"/>
              <w:right w:val="single" w:sz="4" w:space="0" w:color="auto"/>
            </w:tcBorders>
            <w:shd w:val="clear" w:color="auto" w:fill="auto"/>
            <w:hideMark/>
          </w:tcPr>
          <w:p w14:paraId="0EBB5A71" w14:textId="44CFE9E8"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lei</w:t>
            </w:r>
          </w:p>
        </w:tc>
      </w:tr>
      <w:tr w:rsidR="004D1DB9" w:rsidRPr="009772A3" w14:paraId="423618CE"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667EEE0E" w14:textId="77777777" w:rsidR="004D1DB9" w:rsidRPr="009772A3" w:rsidRDefault="004D1DB9" w:rsidP="004D1DB9">
            <w:pPr>
              <w:spacing w:after="0" w:line="240" w:lineRule="auto"/>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xml:space="preserve">Total cheltuieli constatate în contabilitatea financiară </w:t>
            </w:r>
          </w:p>
        </w:tc>
        <w:tc>
          <w:tcPr>
            <w:tcW w:w="897" w:type="dxa"/>
            <w:tcBorders>
              <w:top w:val="nil"/>
              <w:left w:val="nil"/>
              <w:bottom w:val="single" w:sz="4" w:space="0" w:color="auto"/>
              <w:right w:val="single" w:sz="4" w:space="0" w:color="auto"/>
            </w:tcBorders>
            <w:shd w:val="clear" w:color="auto" w:fill="auto"/>
            <w:hideMark/>
          </w:tcPr>
          <w:p w14:paraId="2E7F7092"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w:t>
            </w:r>
          </w:p>
        </w:tc>
        <w:tc>
          <w:tcPr>
            <w:tcW w:w="1559" w:type="dxa"/>
            <w:tcBorders>
              <w:top w:val="nil"/>
              <w:left w:val="nil"/>
              <w:bottom w:val="single" w:sz="4" w:space="0" w:color="auto"/>
              <w:right w:val="single" w:sz="4" w:space="0" w:color="auto"/>
            </w:tcBorders>
            <w:shd w:val="clear" w:color="auto" w:fill="auto"/>
            <w:hideMark/>
          </w:tcPr>
          <w:p w14:paraId="6A0E5093" w14:textId="77777777" w:rsidR="004D1DB9" w:rsidRPr="009772A3" w:rsidRDefault="004D1DB9" w:rsidP="004D1DB9">
            <w:pPr>
              <w:spacing w:after="0" w:line="240" w:lineRule="auto"/>
              <w:jc w:val="right"/>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3807679656,32</w:t>
            </w:r>
          </w:p>
        </w:tc>
      </w:tr>
      <w:tr w:rsidR="004D1DB9" w:rsidRPr="009772A3" w14:paraId="24EA6726"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306264EA" w14:textId="77777777" w:rsidR="004D1DB9" w:rsidRPr="009772A3" w:rsidRDefault="004D1DB9" w:rsidP="004D1DB9">
            <w:pPr>
              <w:spacing w:after="0" w:line="240" w:lineRule="auto"/>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xml:space="preserve">Total cheltuieli constatate în scopuri fiscale </w:t>
            </w:r>
          </w:p>
        </w:tc>
        <w:tc>
          <w:tcPr>
            <w:tcW w:w="897" w:type="dxa"/>
            <w:tcBorders>
              <w:top w:val="nil"/>
              <w:left w:val="nil"/>
              <w:bottom w:val="single" w:sz="4" w:space="0" w:color="auto"/>
              <w:right w:val="single" w:sz="4" w:space="0" w:color="auto"/>
            </w:tcBorders>
            <w:shd w:val="clear" w:color="auto" w:fill="auto"/>
            <w:hideMark/>
          </w:tcPr>
          <w:p w14:paraId="49C622D3"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w:t>
            </w:r>
          </w:p>
        </w:tc>
        <w:tc>
          <w:tcPr>
            <w:tcW w:w="1559" w:type="dxa"/>
            <w:tcBorders>
              <w:top w:val="nil"/>
              <w:left w:val="nil"/>
              <w:bottom w:val="single" w:sz="4" w:space="0" w:color="auto"/>
              <w:right w:val="single" w:sz="4" w:space="0" w:color="auto"/>
            </w:tcBorders>
            <w:shd w:val="clear" w:color="auto" w:fill="auto"/>
            <w:hideMark/>
          </w:tcPr>
          <w:p w14:paraId="5132CCDF" w14:textId="77777777" w:rsidR="004D1DB9" w:rsidRPr="009772A3" w:rsidRDefault="004D1DB9" w:rsidP="004D1DB9">
            <w:pPr>
              <w:spacing w:after="0" w:line="240" w:lineRule="auto"/>
              <w:jc w:val="right"/>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2807465616,05</w:t>
            </w:r>
          </w:p>
        </w:tc>
      </w:tr>
      <w:tr w:rsidR="004D1DB9" w:rsidRPr="009772A3" w14:paraId="35ABC1AC"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F83D201" w14:textId="77777777" w:rsidR="004D1DB9" w:rsidRPr="009772A3" w:rsidRDefault="004D1DB9" w:rsidP="004D1DB9">
            <w:pPr>
              <w:spacing w:after="0" w:line="240" w:lineRule="auto"/>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Cheltuielile care nu sunt aferente activității de antreprenor și nu se recunos în scopuri fiscale</w:t>
            </w:r>
          </w:p>
        </w:tc>
        <w:tc>
          <w:tcPr>
            <w:tcW w:w="897" w:type="dxa"/>
            <w:tcBorders>
              <w:top w:val="nil"/>
              <w:left w:val="nil"/>
              <w:bottom w:val="single" w:sz="4" w:space="0" w:color="auto"/>
              <w:right w:val="single" w:sz="4" w:space="0" w:color="auto"/>
            </w:tcBorders>
            <w:shd w:val="clear" w:color="auto" w:fill="auto"/>
            <w:hideMark/>
          </w:tcPr>
          <w:p w14:paraId="0F1C48DB" w14:textId="77777777" w:rsidR="004D1DB9" w:rsidRPr="009772A3" w:rsidRDefault="004D1DB9" w:rsidP="004D1DB9">
            <w:pPr>
              <w:spacing w:after="0" w:line="240" w:lineRule="auto"/>
              <w:jc w:val="center"/>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 </w:t>
            </w:r>
          </w:p>
        </w:tc>
        <w:tc>
          <w:tcPr>
            <w:tcW w:w="1559" w:type="dxa"/>
            <w:tcBorders>
              <w:top w:val="nil"/>
              <w:left w:val="nil"/>
              <w:bottom w:val="single" w:sz="4" w:space="0" w:color="auto"/>
              <w:right w:val="single" w:sz="4" w:space="0" w:color="auto"/>
            </w:tcBorders>
            <w:shd w:val="clear" w:color="auto" w:fill="auto"/>
            <w:hideMark/>
          </w:tcPr>
          <w:p w14:paraId="4B23C0E4" w14:textId="77777777" w:rsidR="004D1DB9" w:rsidRPr="009772A3" w:rsidRDefault="004D1DB9" w:rsidP="004D1DB9">
            <w:pPr>
              <w:spacing w:after="0" w:line="240" w:lineRule="auto"/>
              <w:jc w:val="right"/>
              <w:rPr>
                <w:rFonts w:asciiTheme="majorHAnsi" w:eastAsia="Times New Roman" w:hAnsiTheme="majorHAnsi" w:cs="Times New Roman"/>
                <w:b/>
                <w:bCs/>
                <w:sz w:val="20"/>
                <w:szCs w:val="20"/>
                <w:lang w:val="ro-MD"/>
              </w:rPr>
            </w:pPr>
            <w:r w:rsidRPr="009772A3">
              <w:rPr>
                <w:rFonts w:asciiTheme="majorHAnsi" w:eastAsia="Times New Roman" w:hAnsiTheme="majorHAnsi" w:cs="Times New Roman"/>
                <w:b/>
                <w:bCs/>
                <w:sz w:val="20"/>
                <w:szCs w:val="20"/>
                <w:lang w:val="ro-MD"/>
              </w:rPr>
              <w:t>-1000214040,27</w:t>
            </w:r>
          </w:p>
        </w:tc>
      </w:tr>
      <w:tr w:rsidR="004D1DB9" w:rsidRPr="009772A3" w14:paraId="776F048A"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1931AAF8"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personale si familiale (Codul fiscal art.23)</w:t>
            </w:r>
          </w:p>
        </w:tc>
        <w:tc>
          <w:tcPr>
            <w:tcW w:w="897" w:type="dxa"/>
            <w:tcBorders>
              <w:top w:val="nil"/>
              <w:left w:val="nil"/>
              <w:bottom w:val="single" w:sz="4" w:space="0" w:color="auto"/>
              <w:right w:val="single" w:sz="4" w:space="0" w:color="auto"/>
            </w:tcBorders>
            <w:shd w:val="clear" w:color="auto" w:fill="auto"/>
            <w:hideMark/>
          </w:tcPr>
          <w:p w14:paraId="2178AA83"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0301</w:t>
            </w:r>
          </w:p>
        </w:tc>
        <w:tc>
          <w:tcPr>
            <w:tcW w:w="1559" w:type="dxa"/>
            <w:tcBorders>
              <w:top w:val="nil"/>
              <w:left w:val="nil"/>
              <w:bottom w:val="single" w:sz="4" w:space="0" w:color="auto"/>
              <w:right w:val="single" w:sz="4" w:space="0" w:color="auto"/>
            </w:tcBorders>
            <w:shd w:val="clear" w:color="auto" w:fill="auto"/>
            <w:hideMark/>
          </w:tcPr>
          <w:p w14:paraId="2D3222D5"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-18741,00</w:t>
            </w:r>
          </w:p>
        </w:tc>
      </w:tr>
      <w:tr w:rsidR="004D1DB9" w:rsidRPr="009772A3" w14:paraId="3F8087B5"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90E270D"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de delegatii  (Codul fiscal alin.(3) art.24)</w:t>
            </w:r>
          </w:p>
        </w:tc>
        <w:tc>
          <w:tcPr>
            <w:tcW w:w="897" w:type="dxa"/>
            <w:tcBorders>
              <w:top w:val="nil"/>
              <w:left w:val="nil"/>
              <w:bottom w:val="single" w:sz="4" w:space="0" w:color="auto"/>
              <w:right w:val="single" w:sz="4" w:space="0" w:color="auto"/>
            </w:tcBorders>
            <w:shd w:val="clear" w:color="auto" w:fill="auto"/>
            <w:hideMark/>
          </w:tcPr>
          <w:p w14:paraId="2EFD26EB"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w:t>
            </w:r>
          </w:p>
        </w:tc>
        <w:tc>
          <w:tcPr>
            <w:tcW w:w="1559" w:type="dxa"/>
            <w:tcBorders>
              <w:top w:val="nil"/>
              <w:left w:val="nil"/>
              <w:bottom w:val="single" w:sz="4" w:space="0" w:color="auto"/>
              <w:right w:val="single" w:sz="4" w:space="0" w:color="auto"/>
            </w:tcBorders>
            <w:shd w:val="clear" w:color="auto" w:fill="auto"/>
            <w:hideMark/>
          </w:tcPr>
          <w:p w14:paraId="40CACF53"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-2541036,45</w:t>
            </w:r>
          </w:p>
        </w:tc>
      </w:tr>
      <w:tr w:rsidR="004D1DB9" w:rsidRPr="009772A3" w14:paraId="4D1CD9D5"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0E2FB74"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de asigurare   (Codul fiscal alin.(3) art.24)</w:t>
            </w:r>
          </w:p>
        </w:tc>
        <w:tc>
          <w:tcPr>
            <w:tcW w:w="897" w:type="dxa"/>
            <w:tcBorders>
              <w:top w:val="nil"/>
              <w:left w:val="nil"/>
              <w:bottom w:val="single" w:sz="4" w:space="0" w:color="auto"/>
              <w:right w:val="single" w:sz="4" w:space="0" w:color="auto"/>
            </w:tcBorders>
            <w:shd w:val="clear" w:color="auto" w:fill="auto"/>
            <w:hideMark/>
          </w:tcPr>
          <w:p w14:paraId="5ED55CAB"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w:t>
            </w:r>
          </w:p>
        </w:tc>
        <w:tc>
          <w:tcPr>
            <w:tcW w:w="1559" w:type="dxa"/>
            <w:tcBorders>
              <w:top w:val="nil"/>
              <w:left w:val="nil"/>
              <w:bottom w:val="single" w:sz="4" w:space="0" w:color="auto"/>
              <w:right w:val="single" w:sz="4" w:space="0" w:color="auto"/>
            </w:tcBorders>
            <w:shd w:val="clear" w:color="auto" w:fill="auto"/>
            <w:hideMark/>
          </w:tcPr>
          <w:p w14:paraId="3A50E98F"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-911318,00</w:t>
            </w:r>
          </w:p>
        </w:tc>
      </w:tr>
      <w:tr w:rsidR="004D1DB9" w:rsidRPr="009772A3" w14:paraId="19820D42"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66DD93C6"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de reprezentanta (Codul fiscal alin.(3) art.24) anexa 2.1 D</w:t>
            </w:r>
          </w:p>
        </w:tc>
        <w:tc>
          <w:tcPr>
            <w:tcW w:w="897" w:type="dxa"/>
            <w:tcBorders>
              <w:top w:val="nil"/>
              <w:left w:val="nil"/>
              <w:bottom w:val="single" w:sz="4" w:space="0" w:color="auto"/>
              <w:right w:val="single" w:sz="4" w:space="0" w:color="auto"/>
            </w:tcBorders>
            <w:shd w:val="clear" w:color="auto" w:fill="auto"/>
            <w:hideMark/>
          </w:tcPr>
          <w:p w14:paraId="5D7AF323"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0304</w:t>
            </w:r>
          </w:p>
        </w:tc>
        <w:tc>
          <w:tcPr>
            <w:tcW w:w="1559" w:type="dxa"/>
            <w:tcBorders>
              <w:top w:val="nil"/>
              <w:left w:val="nil"/>
              <w:bottom w:val="single" w:sz="4" w:space="0" w:color="auto"/>
              <w:right w:val="single" w:sz="4" w:space="0" w:color="auto"/>
            </w:tcBorders>
            <w:shd w:val="clear" w:color="auto" w:fill="auto"/>
            <w:hideMark/>
          </w:tcPr>
          <w:p w14:paraId="50CE683F"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-3136762,23</w:t>
            </w:r>
          </w:p>
        </w:tc>
      </w:tr>
      <w:tr w:rsidR="004D1DB9" w:rsidRPr="009772A3" w14:paraId="4ED1F429"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FCACF07"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efectuate in interesul unui membru al familiei contribuabilului, al unei persoane cu functie de raspundere sau al unui conducator de agent economic, daca nu exista justificarea platii unei astfel de sume  (Codul fiscal alin.(7) art.24)</w:t>
            </w:r>
          </w:p>
        </w:tc>
        <w:tc>
          <w:tcPr>
            <w:tcW w:w="897" w:type="dxa"/>
            <w:tcBorders>
              <w:top w:val="nil"/>
              <w:left w:val="nil"/>
              <w:bottom w:val="single" w:sz="4" w:space="0" w:color="auto"/>
              <w:right w:val="single" w:sz="4" w:space="0" w:color="auto"/>
            </w:tcBorders>
            <w:shd w:val="clear" w:color="auto" w:fill="auto"/>
            <w:vAlign w:val="center"/>
            <w:hideMark/>
          </w:tcPr>
          <w:p w14:paraId="32753123"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0306</w:t>
            </w:r>
          </w:p>
        </w:tc>
        <w:tc>
          <w:tcPr>
            <w:tcW w:w="1559" w:type="dxa"/>
            <w:tcBorders>
              <w:top w:val="nil"/>
              <w:left w:val="nil"/>
              <w:bottom w:val="single" w:sz="4" w:space="0" w:color="auto"/>
              <w:right w:val="single" w:sz="4" w:space="0" w:color="auto"/>
            </w:tcBorders>
            <w:shd w:val="clear" w:color="auto" w:fill="auto"/>
            <w:hideMark/>
          </w:tcPr>
          <w:p w14:paraId="54EACD47"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-13638636,00</w:t>
            </w:r>
          </w:p>
        </w:tc>
      </w:tr>
      <w:tr w:rsidR="004D1DB9" w:rsidRPr="009772A3" w14:paraId="6E7E13C7"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67909ACA"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Deducerea datoriilor compromise (Codul fiscal alin.(1) art.31)</w:t>
            </w:r>
          </w:p>
        </w:tc>
        <w:tc>
          <w:tcPr>
            <w:tcW w:w="897" w:type="dxa"/>
            <w:tcBorders>
              <w:top w:val="nil"/>
              <w:left w:val="nil"/>
              <w:bottom w:val="single" w:sz="4" w:space="0" w:color="auto"/>
              <w:right w:val="single" w:sz="4" w:space="0" w:color="auto"/>
            </w:tcBorders>
            <w:shd w:val="clear" w:color="auto" w:fill="auto"/>
            <w:hideMark/>
          </w:tcPr>
          <w:p w14:paraId="318F25AE"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03015</w:t>
            </w:r>
          </w:p>
        </w:tc>
        <w:tc>
          <w:tcPr>
            <w:tcW w:w="1559" w:type="dxa"/>
            <w:tcBorders>
              <w:top w:val="nil"/>
              <w:left w:val="nil"/>
              <w:bottom w:val="single" w:sz="4" w:space="0" w:color="auto"/>
              <w:right w:val="single" w:sz="4" w:space="0" w:color="auto"/>
            </w:tcBorders>
            <w:shd w:val="clear" w:color="auto" w:fill="auto"/>
            <w:hideMark/>
          </w:tcPr>
          <w:p w14:paraId="5BA54612"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-103120985,09</w:t>
            </w:r>
          </w:p>
        </w:tc>
      </w:tr>
      <w:tr w:rsidR="004D1DB9" w:rsidRPr="009772A3" w14:paraId="4ED13ABD"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5C9A111"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Penalitati, amenzi si alte sanctiuni aplicate pentru incalcarea actelor normative (Codul fiscal alin.(1) art.30)</w:t>
            </w:r>
          </w:p>
        </w:tc>
        <w:tc>
          <w:tcPr>
            <w:tcW w:w="897" w:type="dxa"/>
            <w:tcBorders>
              <w:top w:val="nil"/>
              <w:left w:val="nil"/>
              <w:bottom w:val="single" w:sz="4" w:space="0" w:color="auto"/>
              <w:right w:val="single" w:sz="4" w:space="0" w:color="auto"/>
            </w:tcBorders>
            <w:shd w:val="clear" w:color="auto" w:fill="auto"/>
            <w:hideMark/>
          </w:tcPr>
          <w:p w14:paraId="5334F90B"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03019</w:t>
            </w:r>
          </w:p>
        </w:tc>
        <w:tc>
          <w:tcPr>
            <w:tcW w:w="1559" w:type="dxa"/>
            <w:tcBorders>
              <w:top w:val="nil"/>
              <w:left w:val="nil"/>
              <w:bottom w:val="single" w:sz="4" w:space="0" w:color="auto"/>
              <w:right w:val="single" w:sz="4" w:space="0" w:color="auto"/>
            </w:tcBorders>
            <w:shd w:val="clear" w:color="auto" w:fill="auto"/>
            <w:hideMark/>
          </w:tcPr>
          <w:p w14:paraId="3242FC2E"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-54144183,23</w:t>
            </w:r>
          </w:p>
        </w:tc>
      </w:tr>
      <w:tr w:rsidR="004D1DB9" w:rsidRPr="009772A3" w14:paraId="07BF63F5"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BC7502F"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Pierderi din vinzarea  mijloacelor fixe,inclusiv in cazul efectuarii donatiei (Codul fiscal alin.(2) art.27)</w:t>
            </w:r>
          </w:p>
        </w:tc>
        <w:tc>
          <w:tcPr>
            <w:tcW w:w="897" w:type="dxa"/>
            <w:tcBorders>
              <w:top w:val="nil"/>
              <w:left w:val="nil"/>
              <w:bottom w:val="single" w:sz="4" w:space="0" w:color="auto"/>
              <w:right w:val="single" w:sz="4" w:space="0" w:color="auto"/>
            </w:tcBorders>
            <w:shd w:val="clear" w:color="auto" w:fill="auto"/>
            <w:hideMark/>
          </w:tcPr>
          <w:p w14:paraId="385BE7A7"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03020</w:t>
            </w:r>
          </w:p>
        </w:tc>
        <w:tc>
          <w:tcPr>
            <w:tcW w:w="1559" w:type="dxa"/>
            <w:tcBorders>
              <w:top w:val="nil"/>
              <w:left w:val="nil"/>
              <w:bottom w:val="single" w:sz="4" w:space="0" w:color="auto"/>
              <w:right w:val="single" w:sz="4" w:space="0" w:color="auto"/>
            </w:tcBorders>
            <w:shd w:val="clear" w:color="auto" w:fill="auto"/>
            <w:hideMark/>
          </w:tcPr>
          <w:p w14:paraId="38D2BD92"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-3436923,00</w:t>
            </w:r>
          </w:p>
        </w:tc>
      </w:tr>
      <w:tr w:rsidR="004D1DB9" w:rsidRPr="009772A3" w14:paraId="000537C3"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546A6048"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Pierderi din alte iesiri ale mijloacelor fixe decit cele indicate in rindul 03020 (Codul fiscal alin.(1) art.24)</w:t>
            </w:r>
          </w:p>
        </w:tc>
        <w:tc>
          <w:tcPr>
            <w:tcW w:w="897" w:type="dxa"/>
            <w:tcBorders>
              <w:top w:val="nil"/>
              <w:left w:val="nil"/>
              <w:bottom w:val="single" w:sz="4" w:space="0" w:color="auto"/>
              <w:right w:val="single" w:sz="4" w:space="0" w:color="auto"/>
            </w:tcBorders>
            <w:shd w:val="clear" w:color="auto" w:fill="auto"/>
            <w:hideMark/>
          </w:tcPr>
          <w:p w14:paraId="0FFC7F6E"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03021</w:t>
            </w:r>
          </w:p>
        </w:tc>
        <w:tc>
          <w:tcPr>
            <w:tcW w:w="1559" w:type="dxa"/>
            <w:tcBorders>
              <w:top w:val="nil"/>
              <w:left w:val="nil"/>
              <w:bottom w:val="single" w:sz="4" w:space="0" w:color="auto"/>
              <w:right w:val="single" w:sz="4" w:space="0" w:color="auto"/>
            </w:tcBorders>
            <w:shd w:val="clear" w:color="auto" w:fill="auto"/>
            <w:hideMark/>
          </w:tcPr>
          <w:p w14:paraId="64B14732"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-33562027,88</w:t>
            </w:r>
          </w:p>
        </w:tc>
      </w:tr>
      <w:tr w:rsidR="004D1DB9" w:rsidRPr="009772A3" w14:paraId="5C581ACD"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6338EB36"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de investitii (Codul fiscal,lit b) alin.(4) art.36)</w:t>
            </w:r>
          </w:p>
        </w:tc>
        <w:tc>
          <w:tcPr>
            <w:tcW w:w="897" w:type="dxa"/>
            <w:tcBorders>
              <w:top w:val="nil"/>
              <w:left w:val="nil"/>
              <w:bottom w:val="single" w:sz="4" w:space="0" w:color="auto"/>
              <w:right w:val="single" w:sz="4" w:space="0" w:color="auto"/>
            </w:tcBorders>
            <w:shd w:val="clear" w:color="auto" w:fill="auto"/>
            <w:hideMark/>
          </w:tcPr>
          <w:p w14:paraId="19A45960"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03024</w:t>
            </w:r>
          </w:p>
        </w:tc>
        <w:tc>
          <w:tcPr>
            <w:tcW w:w="1559" w:type="dxa"/>
            <w:tcBorders>
              <w:top w:val="nil"/>
              <w:left w:val="nil"/>
              <w:bottom w:val="single" w:sz="4" w:space="0" w:color="auto"/>
              <w:right w:val="single" w:sz="4" w:space="0" w:color="auto"/>
            </w:tcBorders>
            <w:shd w:val="clear" w:color="auto" w:fill="auto"/>
            <w:hideMark/>
          </w:tcPr>
          <w:p w14:paraId="510588A6"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-3125,00</w:t>
            </w:r>
          </w:p>
        </w:tc>
      </w:tr>
      <w:tr w:rsidR="004D1DB9" w:rsidRPr="009772A3" w14:paraId="3F929FBE"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3B0903CA"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Suma contributiilor banesti efectuate in scopuri filantropice si de sponsorizare (Codul fiscal alin.(1) art.36)</w:t>
            </w:r>
          </w:p>
        </w:tc>
        <w:tc>
          <w:tcPr>
            <w:tcW w:w="897" w:type="dxa"/>
            <w:tcBorders>
              <w:top w:val="nil"/>
              <w:left w:val="nil"/>
              <w:bottom w:val="single" w:sz="4" w:space="0" w:color="auto"/>
              <w:right w:val="single" w:sz="4" w:space="0" w:color="auto"/>
            </w:tcBorders>
            <w:shd w:val="clear" w:color="auto" w:fill="auto"/>
            <w:hideMark/>
          </w:tcPr>
          <w:p w14:paraId="63E323A3"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03025</w:t>
            </w:r>
          </w:p>
        </w:tc>
        <w:tc>
          <w:tcPr>
            <w:tcW w:w="1559" w:type="dxa"/>
            <w:tcBorders>
              <w:top w:val="nil"/>
              <w:left w:val="nil"/>
              <w:bottom w:val="single" w:sz="4" w:space="0" w:color="auto"/>
              <w:right w:val="single" w:sz="4" w:space="0" w:color="auto"/>
            </w:tcBorders>
            <w:shd w:val="clear" w:color="auto" w:fill="auto"/>
            <w:hideMark/>
          </w:tcPr>
          <w:p w14:paraId="1BDB1A74"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-12060310,04</w:t>
            </w:r>
          </w:p>
        </w:tc>
      </w:tr>
      <w:tr w:rsidR="004D1DB9" w:rsidRPr="009772A3" w14:paraId="64975D60"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707206D"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Suma cheltuielilor neconfirmate documentar (Codul fiscal alin.(10) art.24)</w:t>
            </w:r>
          </w:p>
        </w:tc>
        <w:tc>
          <w:tcPr>
            <w:tcW w:w="897" w:type="dxa"/>
            <w:tcBorders>
              <w:top w:val="nil"/>
              <w:left w:val="nil"/>
              <w:bottom w:val="single" w:sz="4" w:space="0" w:color="auto"/>
              <w:right w:val="single" w:sz="4" w:space="0" w:color="auto"/>
            </w:tcBorders>
            <w:shd w:val="clear" w:color="auto" w:fill="auto"/>
            <w:hideMark/>
          </w:tcPr>
          <w:p w14:paraId="6773DEB8"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03026</w:t>
            </w:r>
          </w:p>
        </w:tc>
        <w:tc>
          <w:tcPr>
            <w:tcW w:w="1559" w:type="dxa"/>
            <w:tcBorders>
              <w:top w:val="nil"/>
              <w:left w:val="nil"/>
              <w:bottom w:val="single" w:sz="4" w:space="0" w:color="auto"/>
              <w:right w:val="single" w:sz="4" w:space="0" w:color="auto"/>
            </w:tcBorders>
            <w:shd w:val="clear" w:color="auto" w:fill="auto"/>
            <w:hideMark/>
          </w:tcPr>
          <w:p w14:paraId="6334330D"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-8732140,87</w:t>
            </w:r>
          </w:p>
        </w:tc>
      </w:tr>
      <w:tr w:rsidR="004D1DB9" w:rsidRPr="009772A3" w14:paraId="40CCAC99"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1DE61C0C"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viitoare pentru recultivarea terenurilor (Codul fiscal alin.(4) art.29)</w:t>
            </w:r>
          </w:p>
        </w:tc>
        <w:tc>
          <w:tcPr>
            <w:tcW w:w="897" w:type="dxa"/>
            <w:tcBorders>
              <w:top w:val="nil"/>
              <w:left w:val="nil"/>
              <w:bottom w:val="single" w:sz="4" w:space="0" w:color="auto"/>
              <w:right w:val="single" w:sz="4" w:space="0" w:color="auto"/>
            </w:tcBorders>
            <w:shd w:val="clear" w:color="auto" w:fill="auto"/>
            <w:hideMark/>
          </w:tcPr>
          <w:p w14:paraId="1FCEA89E"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03027</w:t>
            </w:r>
          </w:p>
        </w:tc>
        <w:tc>
          <w:tcPr>
            <w:tcW w:w="1559" w:type="dxa"/>
            <w:tcBorders>
              <w:top w:val="nil"/>
              <w:left w:val="nil"/>
              <w:bottom w:val="single" w:sz="4" w:space="0" w:color="auto"/>
              <w:right w:val="single" w:sz="4" w:space="0" w:color="auto"/>
            </w:tcBorders>
            <w:shd w:val="clear" w:color="auto" w:fill="auto"/>
            <w:hideMark/>
          </w:tcPr>
          <w:p w14:paraId="562767F9"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0,00</w:t>
            </w:r>
          </w:p>
        </w:tc>
      </w:tr>
      <w:tr w:rsidR="004D1DB9" w:rsidRPr="009772A3" w14:paraId="54516980"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7064E11"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viitoare privind recuperarea pierderilor productiei agricole in cazul atribuirii terenurilor prin hotirirea de Guvern (CF art.29 alin.(5))</w:t>
            </w:r>
          </w:p>
        </w:tc>
        <w:tc>
          <w:tcPr>
            <w:tcW w:w="897" w:type="dxa"/>
            <w:tcBorders>
              <w:top w:val="nil"/>
              <w:left w:val="nil"/>
              <w:bottom w:val="single" w:sz="4" w:space="0" w:color="auto"/>
              <w:right w:val="single" w:sz="4" w:space="0" w:color="auto"/>
            </w:tcBorders>
            <w:shd w:val="clear" w:color="auto" w:fill="auto"/>
            <w:hideMark/>
          </w:tcPr>
          <w:p w14:paraId="17ED858B"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03028</w:t>
            </w:r>
          </w:p>
        </w:tc>
        <w:tc>
          <w:tcPr>
            <w:tcW w:w="1559" w:type="dxa"/>
            <w:tcBorders>
              <w:top w:val="nil"/>
              <w:left w:val="nil"/>
              <w:bottom w:val="single" w:sz="4" w:space="0" w:color="auto"/>
              <w:right w:val="single" w:sz="4" w:space="0" w:color="auto"/>
            </w:tcBorders>
            <w:shd w:val="clear" w:color="auto" w:fill="auto"/>
            <w:hideMark/>
          </w:tcPr>
          <w:p w14:paraId="0E28F526"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0,00</w:t>
            </w:r>
          </w:p>
        </w:tc>
      </w:tr>
      <w:tr w:rsidR="004D1DB9" w:rsidRPr="009772A3" w14:paraId="00F3F45A"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52494444"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Cheltuieli aferente titularilor patentelor de intreprinzator (Codul fiscal alin.(11) art.24)</w:t>
            </w:r>
          </w:p>
        </w:tc>
        <w:tc>
          <w:tcPr>
            <w:tcW w:w="897" w:type="dxa"/>
            <w:tcBorders>
              <w:top w:val="nil"/>
              <w:left w:val="nil"/>
              <w:bottom w:val="single" w:sz="4" w:space="0" w:color="auto"/>
              <w:right w:val="single" w:sz="4" w:space="0" w:color="auto"/>
            </w:tcBorders>
            <w:shd w:val="clear" w:color="auto" w:fill="auto"/>
            <w:hideMark/>
          </w:tcPr>
          <w:p w14:paraId="5FCCCCB4"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03030</w:t>
            </w:r>
          </w:p>
        </w:tc>
        <w:tc>
          <w:tcPr>
            <w:tcW w:w="1559" w:type="dxa"/>
            <w:tcBorders>
              <w:top w:val="nil"/>
              <w:left w:val="nil"/>
              <w:bottom w:val="single" w:sz="4" w:space="0" w:color="auto"/>
              <w:right w:val="single" w:sz="4" w:space="0" w:color="auto"/>
            </w:tcBorders>
            <w:shd w:val="clear" w:color="auto" w:fill="auto"/>
            <w:hideMark/>
          </w:tcPr>
          <w:p w14:paraId="4ED5F3BA"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-162547,00</w:t>
            </w:r>
          </w:p>
        </w:tc>
      </w:tr>
      <w:tr w:rsidR="004D1DB9" w:rsidRPr="009772A3" w14:paraId="03E4AD34"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29F1C2A4"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Pierderi din reziduuri, deseuri, rebut si perisabilitate (Codul fiscal alin.(13) art.24)</w:t>
            </w:r>
          </w:p>
        </w:tc>
        <w:tc>
          <w:tcPr>
            <w:tcW w:w="897" w:type="dxa"/>
            <w:tcBorders>
              <w:top w:val="nil"/>
              <w:left w:val="nil"/>
              <w:bottom w:val="single" w:sz="4" w:space="0" w:color="auto"/>
              <w:right w:val="single" w:sz="4" w:space="0" w:color="auto"/>
            </w:tcBorders>
            <w:shd w:val="clear" w:color="auto" w:fill="auto"/>
            <w:hideMark/>
          </w:tcPr>
          <w:p w14:paraId="3AC4CBEC"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03031</w:t>
            </w:r>
          </w:p>
        </w:tc>
        <w:tc>
          <w:tcPr>
            <w:tcW w:w="1559" w:type="dxa"/>
            <w:tcBorders>
              <w:top w:val="nil"/>
              <w:left w:val="nil"/>
              <w:bottom w:val="single" w:sz="4" w:space="0" w:color="auto"/>
              <w:right w:val="single" w:sz="4" w:space="0" w:color="auto"/>
            </w:tcBorders>
            <w:shd w:val="clear" w:color="auto" w:fill="auto"/>
            <w:hideMark/>
          </w:tcPr>
          <w:p w14:paraId="2ACFE082"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-37555340,57</w:t>
            </w:r>
          </w:p>
        </w:tc>
      </w:tr>
      <w:tr w:rsidR="004D1DB9" w:rsidRPr="009772A3" w14:paraId="5D8DA2E8"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6D54C6C"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Pierderi rezultate de la evaluarea stocurilor de marfuri si materiale la valoarea realizabila neta in conformitate cu Standardele Nationale de Contabilitate sau Standardele Internationale de Raportare Financiara</w:t>
            </w:r>
          </w:p>
        </w:tc>
        <w:tc>
          <w:tcPr>
            <w:tcW w:w="897" w:type="dxa"/>
            <w:tcBorders>
              <w:top w:val="nil"/>
              <w:left w:val="nil"/>
              <w:bottom w:val="single" w:sz="4" w:space="0" w:color="auto"/>
              <w:right w:val="single" w:sz="4" w:space="0" w:color="auto"/>
            </w:tcBorders>
            <w:shd w:val="clear" w:color="auto" w:fill="auto"/>
            <w:vAlign w:val="center"/>
            <w:hideMark/>
          </w:tcPr>
          <w:p w14:paraId="6FE1D5B3"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03032</w:t>
            </w:r>
          </w:p>
        </w:tc>
        <w:tc>
          <w:tcPr>
            <w:tcW w:w="1559" w:type="dxa"/>
            <w:tcBorders>
              <w:top w:val="nil"/>
              <w:left w:val="nil"/>
              <w:bottom w:val="single" w:sz="4" w:space="0" w:color="auto"/>
              <w:right w:val="single" w:sz="4" w:space="0" w:color="auto"/>
            </w:tcBorders>
            <w:shd w:val="clear" w:color="auto" w:fill="auto"/>
            <w:hideMark/>
          </w:tcPr>
          <w:p w14:paraId="45D027A4"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-309811,00</w:t>
            </w:r>
          </w:p>
        </w:tc>
      </w:tr>
      <w:tr w:rsidR="004D1DB9" w:rsidRPr="009772A3" w14:paraId="641692B6"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1DAF8071"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Pierderi rezultate din evaluarea investitiilor pe termen scurt la valoarea de piata in conformitate cu Standardele Nationale de Contabilitate sau Standardele Internationale de Raportare Financiara</w:t>
            </w:r>
          </w:p>
        </w:tc>
        <w:tc>
          <w:tcPr>
            <w:tcW w:w="897" w:type="dxa"/>
            <w:tcBorders>
              <w:top w:val="nil"/>
              <w:left w:val="nil"/>
              <w:bottom w:val="single" w:sz="4" w:space="0" w:color="auto"/>
              <w:right w:val="single" w:sz="4" w:space="0" w:color="auto"/>
            </w:tcBorders>
            <w:shd w:val="clear" w:color="auto" w:fill="auto"/>
            <w:vAlign w:val="center"/>
            <w:hideMark/>
          </w:tcPr>
          <w:p w14:paraId="70DF2093"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03033</w:t>
            </w:r>
          </w:p>
        </w:tc>
        <w:tc>
          <w:tcPr>
            <w:tcW w:w="1559" w:type="dxa"/>
            <w:tcBorders>
              <w:top w:val="nil"/>
              <w:left w:val="nil"/>
              <w:bottom w:val="single" w:sz="4" w:space="0" w:color="auto"/>
              <w:right w:val="single" w:sz="4" w:space="0" w:color="auto"/>
            </w:tcBorders>
            <w:shd w:val="clear" w:color="auto" w:fill="auto"/>
            <w:hideMark/>
          </w:tcPr>
          <w:p w14:paraId="3AF1AA14"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0,00</w:t>
            </w:r>
          </w:p>
        </w:tc>
      </w:tr>
      <w:tr w:rsidR="004D1DB9" w:rsidRPr="009772A3" w14:paraId="01B2936B"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51073AF7"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Sumele platite la procurarea proprietatii la care se calculeaza uzura(amortizarea) (Codul fiscal alin.(6) art.24)</w:t>
            </w:r>
          </w:p>
        </w:tc>
        <w:tc>
          <w:tcPr>
            <w:tcW w:w="897" w:type="dxa"/>
            <w:tcBorders>
              <w:top w:val="nil"/>
              <w:left w:val="nil"/>
              <w:bottom w:val="single" w:sz="4" w:space="0" w:color="auto"/>
              <w:right w:val="single" w:sz="4" w:space="0" w:color="auto"/>
            </w:tcBorders>
            <w:shd w:val="clear" w:color="auto" w:fill="auto"/>
            <w:hideMark/>
          </w:tcPr>
          <w:p w14:paraId="1D6DF052"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03035</w:t>
            </w:r>
          </w:p>
        </w:tc>
        <w:tc>
          <w:tcPr>
            <w:tcW w:w="1559" w:type="dxa"/>
            <w:tcBorders>
              <w:top w:val="nil"/>
              <w:left w:val="nil"/>
              <w:bottom w:val="single" w:sz="4" w:space="0" w:color="auto"/>
              <w:right w:val="single" w:sz="4" w:space="0" w:color="auto"/>
            </w:tcBorders>
            <w:shd w:val="clear" w:color="auto" w:fill="auto"/>
            <w:hideMark/>
          </w:tcPr>
          <w:p w14:paraId="1DA9446C"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-968547,00</w:t>
            </w:r>
          </w:p>
        </w:tc>
      </w:tr>
      <w:tr w:rsidR="004D1DB9" w:rsidRPr="009772A3" w14:paraId="7F520757"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3ACE1B7B"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Suma contributiilor banesti efectuate in scopuri filantropice si de sponsorizare in forma nemonetara (Codul fiscal alin.(1) art.36)</w:t>
            </w:r>
          </w:p>
        </w:tc>
        <w:tc>
          <w:tcPr>
            <w:tcW w:w="897" w:type="dxa"/>
            <w:tcBorders>
              <w:top w:val="nil"/>
              <w:left w:val="nil"/>
              <w:bottom w:val="single" w:sz="4" w:space="0" w:color="auto"/>
              <w:right w:val="single" w:sz="4" w:space="0" w:color="auto"/>
            </w:tcBorders>
            <w:shd w:val="clear" w:color="auto" w:fill="auto"/>
            <w:hideMark/>
          </w:tcPr>
          <w:p w14:paraId="10010C97"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03037</w:t>
            </w:r>
          </w:p>
        </w:tc>
        <w:tc>
          <w:tcPr>
            <w:tcW w:w="1559" w:type="dxa"/>
            <w:tcBorders>
              <w:top w:val="nil"/>
              <w:left w:val="nil"/>
              <w:bottom w:val="single" w:sz="4" w:space="0" w:color="auto"/>
              <w:right w:val="single" w:sz="4" w:space="0" w:color="auto"/>
            </w:tcBorders>
            <w:shd w:val="clear" w:color="auto" w:fill="auto"/>
            <w:hideMark/>
          </w:tcPr>
          <w:p w14:paraId="134CAB3D"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-2122596,14</w:t>
            </w:r>
          </w:p>
        </w:tc>
      </w:tr>
      <w:tr w:rsidR="004D1DB9" w:rsidRPr="009772A3" w14:paraId="2EBC43F3"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8F0A00D"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Suma contributiilor banesti efectuate sub forma de donatie</w:t>
            </w:r>
          </w:p>
        </w:tc>
        <w:tc>
          <w:tcPr>
            <w:tcW w:w="897" w:type="dxa"/>
            <w:tcBorders>
              <w:top w:val="nil"/>
              <w:left w:val="nil"/>
              <w:bottom w:val="single" w:sz="4" w:space="0" w:color="auto"/>
              <w:right w:val="single" w:sz="4" w:space="0" w:color="auto"/>
            </w:tcBorders>
            <w:shd w:val="clear" w:color="auto" w:fill="auto"/>
            <w:hideMark/>
          </w:tcPr>
          <w:p w14:paraId="1238C78D"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03038</w:t>
            </w:r>
          </w:p>
        </w:tc>
        <w:tc>
          <w:tcPr>
            <w:tcW w:w="1559" w:type="dxa"/>
            <w:tcBorders>
              <w:top w:val="nil"/>
              <w:left w:val="nil"/>
              <w:bottom w:val="single" w:sz="4" w:space="0" w:color="auto"/>
              <w:right w:val="single" w:sz="4" w:space="0" w:color="auto"/>
            </w:tcBorders>
            <w:shd w:val="clear" w:color="auto" w:fill="auto"/>
            <w:hideMark/>
          </w:tcPr>
          <w:p w14:paraId="274C21E0"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-3140327,74</w:t>
            </w:r>
          </w:p>
        </w:tc>
      </w:tr>
      <w:tr w:rsidR="004D1DB9" w:rsidRPr="009772A3" w14:paraId="585C5601"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7879640"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Cheltuielele aferente eliminarilor supranormative de substante poluante in mediul inconjurator si folosirea supralimita a resurselor naturale (Codul fiscal alin.(12) art.24)</w:t>
            </w:r>
          </w:p>
        </w:tc>
        <w:tc>
          <w:tcPr>
            <w:tcW w:w="897" w:type="dxa"/>
            <w:tcBorders>
              <w:top w:val="nil"/>
              <w:left w:val="nil"/>
              <w:bottom w:val="single" w:sz="4" w:space="0" w:color="auto"/>
              <w:right w:val="single" w:sz="4" w:space="0" w:color="auto"/>
            </w:tcBorders>
            <w:shd w:val="clear" w:color="auto" w:fill="auto"/>
            <w:vAlign w:val="center"/>
            <w:hideMark/>
          </w:tcPr>
          <w:p w14:paraId="779BC7F9"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03039</w:t>
            </w:r>
          </w:p>
        </w:tc>
        <w:tc>
          <w:tcPr>
            <w:tcW w:w="1559" w:type="dxa"/>
            <w:tcBorders>
              <w:top w:val="nil"/>
              <w:left w:val="nil"/>
              <w:bottom w:val="single" w:sz="4" w:space="0" w:color="auto"/>
              <w:right w:val="single" w:sz="4" w:space="0" w:color="auto"/>
            </w:tcBorders>
            <w:shd w:val="clear" w:color="auto" w:fill="auto"/>
            <w:hideMark/>
          </w:tcPr>
          <w:p w14:paraId="2E539A89"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-17359051,00</w:t>
            </w:r>
          </w:p>
        </w:tc>
      </w:tr>
      <w:tr w:rsidR="004D1DB9" w:rsidRPr="009772A3" w14:paraId="1EF340DE"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695C5534"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Cheltuielele aferente taxelor de aderare si cotizatiilor de membru destinate</w:t>
            </w:r>
            <w:r w:rsidRPr="009772A3">
              <w:rPr>
                <w:rFonts w:asciiTheme="majorHAnsi" w:eastAsia="Times New Roman" w:hAnsiTheme="majorHAnsi" w:cs="Times New Roman"/>
                <w:sz w:val="20"/>
                <w:szCs w:val="20"/>
                <w:lang w:val="ro-MD"/>
              </w:rPr>
              <w:br/>
              <w:t>activitatii patronatelor (Codul fiscal alin.(15) art.24)</w:t>
            </w:r>
          </w:p>
        </w:tc>
        <w:tc>
          <w:tcPr>
            <w:tcW w:w="897" w:type="dxa"/>
            <w:tcBorders>
              <w:top w:val="nil"/>
              <w:left w:val="nil"/>
              <w:bottom w:val="single" w:sz="4" w:space="0" w:color="auto"/>
              <w:right w:val="single" w:sz="4" w:space="0" w:color="auto"/>
            </w:tcBorders>
            <w:shd w:val="clear" w:color="auto" w:fill="auto"/>
            <w:hideMark/>
          </w:tcPr>
          <w:p w14:paraId="163D9ADD"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03040</w:t>
            </w:r>
          </w:p>
        </w:tc>
        <w:tc>
          <w:tcPr>
            <w:tcW w:w="1559" w:type="dxa"/>
            <w:tcBorders>
              <w:top w:val="nil"/>
              <w:left w:val="nil"/>
              <w:bottom w:val="single" w:sz="4" w:space="0" w:color="auto"/>
              <w:right w:val="single" w:sz="4" w:space="0" w:color="auto"/>
            </w:tcBorders>
            <w:shd w:val="clear" w:color="auto" w:fill="auto"/>
            <w:hideMark/>
          </w:tcPr>
          <w:p w14:paraId="546AC422"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-6214841,11</w:t>
            </w:r>
          </w:p>
        </w:tc>
      </w:tr>
      <w:tr w:rsidR="004D1DB9" w:rsidRPr="009772A3" w14:paraId="67829302" w14:textId="77777777" w:rsidTr="004D1DB9">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50C496E" w14:textId="77777777" w:rsidR="004D1DB9" w:rsidRPr="009772A3" w:rsidRDefault="004D1DB9" w:rsidP="004D1DB9">
            <w:pPr>
              <w:spacing w:after="0" w:line="240" w:lineRule="auto"/>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Alte cheltuieli ce nu tin de activitatea de intreprinzator (se indica)</w:t>
            </w:r>
          </w:p>
        </w:tc>
        <w:tc>
          <w:tcPr>
            <w:tcW w:w="897" w:type="dxa"/>
            <w:tcBorders>
              <w:top w:val="nil"/>
              <w:left w:val="nil"/>
              <w:bottom w:val="single" w:sz="4" w:space="0" w:color="auto"/>
              <w:right w:val="single" w:sz="4" w:space="0" w:color="auto"/>
            </w:tcBorders>
            <w:shd w:val="clear" w:color="auto" w:fill="auto"/>
            <w:hideMark/>
          </w:tcPr>
          <w:p w14:paraId="7369F76B" w14:textId="77777777" w:rsidR="004D1DB9" w:rsidRPr="009772A3" w:rsidRDefault="004D1DB9" w:rsidP="004D1DB9">
            <w:pPr>
              <w:spacing w:after="0" w:line="240" w:lineRule="auto"/>
              <w:jc w:val="center"/>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03046</w:t>
            </w:r>
          </w:p>
        </w:tc>
        <w:tc>
          <w:tcPr>
            <w:tcW w:w="1559" w:type="dxa"/>
            <w:tcBorders>
              <w:top w:val="nil"/>
              <w:left w:val="nil"/>
              <w:bottom w:val="single" w:sz="4" w:space="0" w:color="auto"/>
              <w:right w:val="single" w:sz="4" w:space="0" w:color="auto"/>
            </w:tcBorders>
            <w:shd w:val="clear" w:color="auto" w:fill="auto"/>
            <w:hideMark/>
          </w:tcPr>
          <w:p w14:paraId="4345CAD1" w14:textId="77777777" w:rsidR="004D1DB9" w:rsidRPr="009772A3" w:rsidRDefault="004D1DB9" w:rsidP="004D1DB9">
            <w:pPr>
              <w:spacing w:after="0" w:line="240" w:lineRule="auto"/>
              <w:jc w:val="right"/>
              <w:rPr>
                <w:rFonts w:asciiTheme="majorHAnsi" w:eastAsia="Times New Roman" w:hAnsiTheme="majorHAnsi" w:cs="Times New Roman"/>
                <w:sz w:val="20"/>
                <w:szCs w:val="20"/>
                <w:lang w:val="ro-MD"/>
              </w:rPr>
            </w:pPr>
            <w:r w:rsidRPr="009772A3">
              <w:rPr>
                <w:rFonts w:asciiTheme="majorHAnsi" w:eastAsia="Times New Roman" w:hAnsiTheme="majorHAnsi" w:cs="Times New Roman"/>
                <w:sz w:val="20"/>
                <w:szCs w:val="20"/>
                <w:lang w:val="ro-MD"/>
              </w:rPr>
              <w:t>-697074800,50</w:t>
            </w:r>
          </w:p>
        </w:tc>
      </w:tr>
    </w:tbl>
    <w:p w14:paraId="5E012965" w14:textId="0C3B6A3D" w:rsidR="00985966" w:rsidRDefault="00985966" w:rsidP="00985966">
      <w:pPr>
        <w:rPr>
          <w:rFonts w:asciiTheme="majorHAnsi" w:hAnsiTheme="majorHAnsi"/>
          <w:sz w:val="20"/>
          <w:szCs w:val="20"/>
          <w:lang w:val="ro-MD"/>
        </w:rPr>
      </w:pPr>
    </w:p>
    <w:p w14:paraId="059DAF9A" w14:textId="7DC8C959" w:rsidR="00882DD5" w:rsidRPr="00CF3AD4" w:rsidRDefault="00882DD5" w:rsidP="00882DD5">
      <w:pPr>
        <w:spacing w:line="259" w:lineRule="auto"/>
        <w:rPr>
          <w:rFonts w:asciiTheme="majorHAnsi" w:hAnsiTheme="majorHAnsi" w:cstheme="majorHAnsi"/>
          <w:lang w:val="ro-MD"/>
        </w:rPr>
      </w:pPr>
      <w:r w:rsidRPr="00CF3AD4">
        <w:rPr>
          <w:rFonts w:asciiTheme="majorHAnsi" w:hAnsiTheme="majorHAnsi" w:cstheme="majorHAnsi"/>
          <w:lang w:val="ro-MD"/>
        </w:rPr>
        <w:t>Sursa: Informațiile din declarațiile VEN pe perioada 2011-2021.</w:t>
      </w:r>
    </w:p>
    <w:p w14:paraId="5E676A91" w14:textId="77777777" w:rsidR="00882DD5" w:rsidRPr="009772A3" w:rsidRDefault="00882DD5" w:rsidP="00985966">
      <w:pPr>
        <w:rPr>
          <w:rFonts w:asciiTheme="majorHAnsi" w:hAnsiTheme="majorHAnsi"/>
          <w:sz w:val="20"/>
          <w:szCs w:val="20"/>
          <w:lang w:val="ro-MD"/>
        </w:rPr>
      </w:pPr>
    </w:p>
    <w:sectPr w:rsidR="00882DD5" w:rsidRPr="009772A3" w:rsidSect="00985966">
      <w:pgSz w:w="11906" w:h="16838"/>
      <w:pgMar w:top="1140"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69F6C" w14:textId="77777777" w:rsidR="00ED2ADE" w:rsidRDefault="00ED2ADE" w:rsidP="00C80505">
      <w:pPr>
        <w:spacing w:after="0" w:line="240" w:lineRule="auto"/>
      </w:pPr>
      <w:r>
        <w:separator/>
      </w:r>
    </w:p>
  </w:endnote>
  <w:endnote w:type="continuationSeparator" w:id="0">
    <w:p w14:paraId="1B9F1850" w14:textId="77777777" w:rsidR="00ED2ADE" w:rsidRDefault="00ED2ADE" w:rsidP="00C8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33564"/>
      <w:docPartObj>
        <w:docPartGallery w:val="Page Numbers (Bottom of Page)"/>
        <w:docPartUnique/>
      </w:docPartObj>
    </w:sdtPr>
    <w:sdtEndPr>
      <w:rPr>
        <w:noProof/>
      </w:rPr>
    </w:sdtEndPr>
    <w:sdtContent>
      <w:p w14:paraId="3A14A2D5" w14:textId="656FAAA5" w:rsidR="00036D7F" w:rsidRDefault="00036D7F">
        <w:pPr>
          <w:pStyle w:val="Footer"/>
          <w:jc w:val="right"/>
        </w:pPr>
        <w:r>
          <w:fldChar w:fldCharType="begin"/>
        </w:r>
        <w:r>
          <w:instrText xml:space="preserve"> PAGE   \* MERGEFORMAT </w:instrText>
        </w:r>
        <w:r>
          <w:fldChar w:fldCharType="separate"/>
        </w:r>
        <w:r w:rsidR="007E7BC5">
          <w:rPr>
            <w:noProof/>
          </w:rPr>
          <w:t>1</w:t>
        </w:r>
        <w:r>
          <w:rPr>
            <w:noProof/>
          </w:rPr>
          <w:fldChar w:fldCharType="end"/>
        </w:r>
      </w:p>
    </w:sdtContent>
  </w:sdt>
  <w:p w14:paraId="44B787D7" w14:textId="77777777" w:rsidR="00036D7F" w:rsidRDefault="00036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0990" w14:textId="77777777" w:rsidR="00ED2ADE" w:rsidRDefault="00ED2ADE" w:rsidP="00C80505">
      <w:pPr>
        <w:spacing w:after="0" w:line="240" w:lineRule="auto"/>
      </w:pPr>
      <w:r>
        <w:separator/>
      </w:r>
    </w:p>
  </w:footnote>
  <w:footnote w:type="continuationSeparator" w:id="0">
    <w:p w14:paraId="5DAD3EDD" w14:textId="77777777" w:rsidR="00ED2ADE" w:rsidRDefault="00ED2ADE" w:rsidP="00C80505">
      <w:pPr>
        <w:spacing w:after="0" w:line="240" w:lineRule="auto"/>
      </w:pPr>
      <w:r>
        <w:continuationSeparator/>
      </w:r>
    </w:p>
  </w:footnote>
  <w:footnote w:id="1">
    <w:p w14:paraId="14AAC688" w14:textId="77777777" w:rsidR="00036D7F" w:rsidRPr="002212BC" w:rsidRDefault="00036D7F" w:rsidP="00CA42EB">
      <w:pPr>
        <w:pStyle w:val="FootnoteText"/>
        <w:jc w:val="both"/>
        <w:rPr>
          <w:rFonts w:asciiTheme="majorHAnsi" w:hAnsiTheme="majorHAnsi" w:cstheme="majorHAnsi"/>
          <w:sz w:val="16"/>
          <w:szCs w:val="16"/>
          <w:vertAlign w:val="baseline"/>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Legea nr. 244 din 24.12.2021 privind efectuarea auditului public extern în domeniul gazelor naturale.</w:t>
      </w:r>
    </w:p>
  </w:footnote>
  <w:footnote w:id="2">
    <w:p w14:paraId="768F04AD" w14:textId="59EA2B79" w:rsidR="00036D7F" w:rsidRPr="002212BC" w:rsidRDefault="00036D7F" w:rsidP="00CA42EB">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H</w:t>
      </w:r>
      <w:r>
        <w:rPr>
          <w:rFonts w:asciiTheme="majorHAnsi" w:hAnsiTheme="majorHAnsi" w:cstheme="majorHAnsi"/>
          <w:sz w:val="16"/>
          <w:szCs w:val="16"/>
          <w:vertAlign w:val="baseline"/>
          <w:lang w:val="ro-MD"/>
        </w:rPr>
        <w:t>P</w:t>
      </w:r>
      <w:r w:rsidRPr="002212BC">
        <w:rPr>
          <w:rFonts w:asciiTheme="majorHAnsi" w:hAnsiTheme="majorHAnsi" w:cstheme="majorHAnsi"/>
          <w:sz w:val="16"/>
          <w:szCs w:val="16"/>
          <w:vertAlign w:val="baseline"/>
          <w:lang w:val="ro-MD"/>
        </w:rPr>
        <w:t xml:space="preserve"> nr. 148 din 22.10.2021 privind declararea stării de urgență.</w:t>
      </w:r>
    </w:p>
  </w:footnote>
  <w:footnote w:id="3">
    <w:p w14:paraId="61F23638" w14:textId="71C955A1" w:rsidR="00036D7F" w:rsidRPr="002212BC" w:rsidRDefault="00036D7F" w:rsidP="006D0AB8">
      <w:pPr>
        <w:pStyle w:val="FootnoteText"/>
        <w:rPr>
          <w:rFonts w:asciiTheme="majorHAnsi" w:hAnsiTheme="majorHAnsi" w:cstheme="majorHAnsi"/>
          <w:sz w:val="16"/>
          <w:szCs w:val="16"/>
          <w:vertAlign w:val="baseline"/>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ISSAI 100 (pct.51); ISSAI 4000 (pct. 4000)</w:t>
      </w:r>
      <w:r>
        <w:rPr>
          <w:rFonts w:asciiTheme="majorHAnsi" w:hAnsiTheme="majorHAnsi" w:cstheme="majorHAnsi"/>
          <w:sz w:val="16"/>
          <w:szCs w:val="16"/>
          <w:vertAlign w:val="baseline"/>
          <w:lang w:val="ro-MD"/>
        </w:rPr>
        <w:t xml:space="preserve"> - </w:t>
      </w:r>
      <w:r w:rsidRPr="002212BC">
        <w:rPr>
          <w:rFonts w:asciiTheme="majorHAnsi" w:hAnsiTheme="majorHAnsi" w:cstheme="majorHAnsi"/>
          <w:sz w:val="16"/>
          <w:szCs w:val="16"/>
          <w:vertAlign w:val="baseline"/>
          <w:lang w:val="ro-MD"/>
        </w:rPr>
        <w:t xml:space="preserve">Detalii </w:t>
      </w:r>
      <w:r>
        <w:rPr>
          <w:rFonts w:asciiTheme="majorHAnsi" w:hAnsiTheme="majorHAnsi" w:cstheme="majorHAnsi"/>
          <w:sz w:val="16"/>
          <w:szCs w:val="16"/>
          <w:vertAlign w:val="baseline"/>
          <w:lang w:val="ro-MD"/>
        </w:rPr>
        <w:t>în</w:t>
      </w:r>
      <w:r w:rsidRPr="002212BC">
        <w:rPr>
          <w:rFonts w:asciiTheme="majorHAnsi" w:hAnsiTheme="majorHAnsi" w:cstheme="majorHAnsi"/>
          <w:sz w:val="16"/>
          <w:szCs w:val="16"/>
          <w:vertAlign w:val="baseline"/>
          <w:lang w:val="ro-MD"/>
        </w:rPr>
        <w:t xml:space="preserve"> Capitolul III. S</w:t>
      </w:r>
      <w:r>
        <w:rPr>
          <w:rFonts w:asciiTheme="majorHAnsi" w:hAnsiTheme="majorHAnsi" w:cstheme="majorHAnsi"/>
          <w:sz w:val="16"/>
          <w:szCs w:val="16"/>
          <w:vertAlign w:val="baseline"/>
          <w:lang w:val="ro-MD"/>
        </w:rPr>
        <w:t>fera și abordarea auditului</w:t>
      </w:r>
      <w:r w:rsidRPr="002212BC">
        <w:rPr>
          <w:rFonts w:asciiTheme="majorHAnsi" w:hAnsiTheme="majorHAnsi" w:cstheme="majorHAnsi"/>
          <w:sz w:val="16"/>
          <w:szCs w:val="16"/>
          <w:vertAlign w:val="baseline"/>
          <w:lang w:val="ro-MD"/>
        </w:rPr>
        <w:t>.</w:t>
      </w:r>
    </w:p>
  </w:footnote>
  <w:footnote w:id="4">
    <w:p w14:paraId="02474585" w14:textId="62B110D3" w:rsidR="00036D7F" w:rsidRPr="002212BC" w:rsidRDefault="00036D7F" w:rsidP="006D0D3C">
      <w:pPr>
        <w:pStyle w:val="FootnoteText"/>
        <w:rPr>
          <w:rFonts w:asciiTheme="majorHAnsi" w:hAnsiTheme="majorHAnsi" w:cstheme="majorHAnsi"/>
          <w:sz w:val="16"/>
          <w:szCs w:val="16"/>
          <w:vertAlign w:val="baseline"/>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În unele cazuri documentele prevăd transmiterea patrimoniului în folosință, iar în altele – în capitalul social.</w:t>
      </w:r>
    </w:p>
  </w:footnote>
  <w:footnote w:id="5">
    <w:p w14:paraId="46FD0FB0" w14:textId="33188B50" w:rsidR="00036D7F" w:rsidRPr="002212BC" w:rsidRDefault="00036D7F" w:rsidP="002A1796">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 xml:space="preserve">HP nr.1556 din 02.04.1998 cu privire la reorganizarea și privatizarea complexului de gaze din Republica Moldova (în continuare – HP nr.1556/1998). </w:t>
      </w:r>
    </w:p>
  </w:footnote>
  <w:footnote w:id="6">
    <w:p w14:paraId="754FB71D" w14:textId="14A0F34F" w:rsidR="00036D7F" w:rsidRPr="002212BC" w:rsidRDefault="00036D7F" w:rsidP="002A1796">
      <w:pPr>
        <w:pStyle w:val="FootnoteText"/>
        <w:jc w:val="both"/>
        <w:rPr>
          <w:rFonts w:asciiTheme="majorHAnsi" w:hAnsiTheme="majorHAnsi" w:cstheme="majorHAnsi"/>
          <w:sz w:val="16"/>
          <w:szCs w:val="16"/>
          <w:vertAlign w:val="baseline"/>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HG nr.605 din 10.08.1994 „Cu privire la aprobarea Statutului Concernului de Stat „Moldovagaz””.</w:t>
      </w:r>
    </w:p>
  </w:footnote>
  <w:footnote w:id="7">
    <w:p w14:paraId="0E30CE1F" w14:textId="790DB69C" w:rsidR="00036D7F" w:rsidRPr="002212BC" w:rsidRDefault="00036D7F" w:rsidP="002A1796">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HG nr.302 din 12.05.1995 „Cu privire la Societatea pe acțiuni moldo-rusă de tip închis „Gazsnabtranzit””.</w:t>
      </w:r>
    </w:p>
  </w:footnote>
  <w:footnote w:id="8">
    <w:p w14:paraId="2FD72FC5" w14:textId="29951838" w:rsidR="00036D7F" w:rsidRPr="002212BC" w:rsidRDefault="00036D7F" w:rsidP="002A1796">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Aprobat la Adunarea generală ordinară a acționarilor SA Moldovagaz din 30.06.2021.</w:t>
      </w:r>
      <w:r w:rsidRPr="002212BC">
        <w:rPr>
          <w:rFonts w:asciiTheme="majorHAnsi" w:hAnsiTheme="majorHAnsi" w:cstheme="majorHAnsi"/>
          <w:sz w:val="16"/>
          <w:szCs w:val="16"/>
          <w:lang w:val="ro-MD"/>
        </w:rPr>
        <w:t xml:space="preserve">  </w:t>
      </w:r>
    </w:p>
  </w:footnote>
  <w:footnote w:id="9">
    <w:p w14:paraId="578C859F" w14:textId="178FDFEC" w:rsidR="00036D7F" w:rsidRPr="002212BC" w:rsidRDefault="00036D7F" w:rsidP="002A1796">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Legea nr. 108 din 27.05.2016 cu privire la gazele naturale</w:t>
      </w:r>
      <w:r>
        <w:rPr>
          <w:rFonts w:asciiTheme="majorHAnsi" w:hAnsiTheme="majorHAnsi" w:cstheme="majorHAnsi"/>
          <w:sz w:val="16"/>
          <w:szCs w:val="16"/>
          <w:vertAlign w:val="baseline"/>
          <w:lang w:val="ro-MD"/>
        </w:rPr>
        <w:t xml:space="preserve"> (în continuare – Legea nr.108/2016)</w:t>
      </w:r>
      <w:r w:rsidRPr="002212BC">
        <w:rPr>
          <w:rFonts w:asciiTheme="majorHAnsi" w:hAnsiTheme="majorHAnsi" w:cstheme="majorHAnsi"/>
          <w:sz w:val="16"/>
          <w:szCs w:val="16"/>
          <w:vertAlign w:val="baseline"/>
          <w:lang w:val="ro-MD"/>
        </w:rPr>
        <w:t>.</w:t>
      </w:r>
    </w:p>
  </w:footnote>
  <w:footnote w:id="10">
    <w:p w14:paraId="52D9003F" w14:textId="6E35FF52" w:rsidR="00036D7F" w:rsidRPr="002212BC" w:rsidRDefault="00036D7F" w:rsidP="00ED3F73">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Legea nr.244 din 24.12.2021 privind efectuarea auditului public extern în domeniul gazelor naturale și Legea nr.260 din 07.12.2017 privind organizarea și funcționarea Curții de Conturi a Republicii Moldova.</w:t>
      </w:r>
    </w:p>
  </w:footnote>
  <w:footnote w:id="11">
    <w:p w14:paraId="69EB5BA8" w14:textId="67ECD0EF" w:rsidR="00036D7F" w:rsidRPr="002212BC" w:rsidRDefault="00036D7F" w:rsidP="00ED3F73">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HCC nr.75 din 28.12.2021 „Cu privire la aprobarea Programului activității de audit al Curții de Conturi pe anul 2022”.</w:t>
      </w:r>
      <w:r w:rsidRPr="002212BC">
        <w:rPr>
          <w:rFonts w:asciiTheme="majorHAnsi" w:hAnsiTheme="majorHAnsi" w:cstheme="majorHAnsi"/>
          <w:sz w:val="16"/>
          <w:szCs w:val="16"/>
          <w:lang w:val="ro-MD"/>
        </w:rPr>
        <w:t xml:space="preserve"> </w:t>
      </w:r>
    </w:p>
  </w:footnote>
  <w:footnote w:id="12">
    <w:p w14:paraId="72AD0633" w14:textId="77777777" w:rsidR="00036D7F" w:rsidRPr="002212BC" w:rsidRDefault="00036D7F" w:rsidP="00ED3F73">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 xml:space="preserve">Standardul auditului de conformitate. </w:t>
      </w:r>
    </w:p>
  </w:footnote>
  <w:footnote w:id="13">
    <w:p w14:paraId="72D3CF0E" w14:textId="5271146F" w:rsidR="00036D7F" w:rsidRPr="002212BC" w:rsidRDefault="00036D7F" w:rsidP="00ED3F73">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HP nr.1556/26.02.</w:t>
      </w:r>
      <w:r>
        <w:rPr>
          <w:rFonts w:asciiTheme="majorHAnsi" w:hAnsiTheme="majorHAnsi" w:cstheme="majorHAnsi"/>
          <w:sz w:val="16"/>
          <w:szCs w:val="16"/>
          <w:vertAlign w:val="baseline"/>
          <w:lang w:val="ro-MD"/>
        </w:rPr>
        <w:t>19</w:t>
      </w:r>
      <w:r w:rsidRPr="002212BC">
        <w:rPr>
          <w:rFonts w:asciiTheme="majorHAnsi" w:hAnsiTheme="majorHAnsi" w:cstheme="majorHAnsi"/>
          <w:sz w:val="16"/>
          <w:szCs w:val="16"/>
          <w:vertAlign w:val="baseline"/>
          <w:lang w:val="ro-MD"/>
        </w:rPr>
        <w:t>98 cu privire la reorganizarea şi privatizarea complexului de gaze din Republica Moldova.</w:t>
      </w:r>
    </w:p>
  </w:footnote>
  <w:footnote w:id="14">
    <w:p w14:paraId="42BB4818" w14:textId="77777777" w:rsidR="00036D7F" w:rsidRPr="002212BC" w:rsidRDefault="00036D7F" w:rsidP="00ED3F73">
      <w:pPr>
        <w:pStyle w:val="1"/>
        <w:rPr>
          <w:lang w:val="ro-MD"/>
        </w:rPr>
      </w:pPr>
      <w:r w:rsidRPr="002212BC">
        <w:rPr>
          <w:rStyle w:val="FootnoteReference"/>
          <w:rFonts w:eastAsiaTheme="majorEastAsia"/>
          <w:lang w:val="ro-MD"/>
        </w:rPr>
        <w:footnoteRef/>
      </w:r>
      <w:r w:rsidRPr="002212BC">
        <w:rPr>
          <w:lang w:val="ro-MD"/>
        </w:rPr>
        <w:t xml:space="preserve"> HCC nr.2 din 24.01.2020 „Cu privire la Cadrul Declarațiilor Profesionale ale INTOSAI”.</w:t>
      </w:r>
    </w:p>
  </w:footnote>
  <w:footnote w:id="15">
    <w:p w14:paraId="184CAC57" w14:textId="77777777" w:rsidR="00036D7F" w:rsidRPr="002212BC" w:rsidRDefault="00036D7F" w:rsidP="006E7BDC">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Procesul-verbal cu privire la nimicirea dosarelor nr.18 din 05.12.2019, permisul Direcției generale a Agenției Naționale a Arhivelor nr.22 din 02.09.2020.</w:t>
      </w:r>
    </w:p>
  </w:footnote>
  <w:footnote w:id="16">
    <w:p w14:paraId="4007CAF8" w14:textId="77777777" w:rsidR="00036D7F" w:rsidRPr="002212BC" w:rsidRDefault="00036D7F" w:rsidP="00ED3F73">
      <w:pPr>
        <w:pStyle w:val="FootnoteText"/>
        <w:jc w:val="both"/>
        <w:rPr>
          <w:rFonts w:asciiTheme="majorHAnsi" w:hAnsiTheme="majorHAnsi" w:cstheme="majorHAnsi"/>
          <w:sz w:val="16"/>
          <w:szCs w:val="16"/>
          <w:vertAlign w:val="baseline"/>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SRL „Moldovatransgaz”, SRL „Chișinău-Gaz”, SRL „Bălți-Gaz”, SRL „Ialoveni-Gaz”, SRL „Găgăuz-Gaz”, SRL „Edineț-Gaz”, SRL „Ungheni-Gaz”, SRL „Florești-Gaz”, SRL „Transautogaz”.</w:t>
      </w:r>
      <w:r w:rsidRPr="002212BC">
        <w:rPr>
          <w:rFonts w:asciiTheme="majorHAnsi" w:hAnsiTheme="majorHAnsi" w:cstheme="majorHAnsi"/>
          <w:sz w:val="16"/>
          <w:szCs w:val="16"/>
          <w:lang w:val="ro-MD"/>
        </w:rPr>
        <w:t xml:space="preserve"> </w:t>
      </w:r>
    </w:p>
  </w:footnote>
  <w:footnote w:id="17">
    <w:p w14:paraId="06026796" w14:textId="1D652934" w:rsidR="00036D7F" w:rsidRPr="004F4116" w:rsidRDefault="00036D7F" w:rsidP="00ED3F73">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2212BC">
        <w:rPr>
          <w:rFonts w:asciiTheme="majorHAnsi" w:hAnsiTheme="majorHAnsi" w:cstheme="majorHAnsi"/>
          <w:sz w:val="16"/>
          <w:szCs w:val="16"/>
          <w:vertAlign w:val="baseline"/>
        </w:rPr>
        <w:t xml:space="preserve">HCC nr. 19 din 05.04.2019 </w:t>
      </w:r>
      <w:r>
        <w:rPr>
          <w:rFonts w:asciiTheme="majorHAnsi" w:hAnsiTheme="majorHAnsi" w:cstheme="majorHAnsi"/>
          <w:sz w:val="16"/>
          <w:szCs w:val="16"/>
          <w:vertAlign w:val="baseline"/>
        </w:rPr>
        <w:t>„C</w:t>
      </w:r>
      <w:r w:rsidRPr="002212BC">
        <w:rPr>
          <w:rFonts w:asciiTheme="majorHAnsi" w:hAnsiTheme="majorHAnsi" w:cstheme="majorHAnsi"/>
          <w:sz w:val="16"/>
          <w:szCs w:val="16"/>
          <w:vertAlign w:val="baseline"/>
        </w:rPr>
        <w:t>u privire la aprobarea Codului etic al Curții de Conturi</w:t>
      </w:r>
      <w:r>
        <w:rPr>
          <w:rFonts w:asciiTheme="majorHAnsi" w:hAnsiTheme="majorHAnsi" w:cstheme="majorHAnsi"/>
          <w:sz w:val="16"/>
          <w:szCs w:val="16"/>
          <w:vertAlign w:val="baseline"/>
        </w:rPr>
        <w:t>”</w:t>
      </w:r>
      <w:r w:rsidRPr="002212BC">
        <w:rPr>
          <w:rFonts w:asciiTheme="majorHAnsi" w:hAnsiTheme="majorHAnsi" w:cstheme="majorHAnsi"/>
          <w:sz w:val="16"/>
          <w:szCs w:val="16"/>
          <w:vertAlign w:val="baseline"/>
        </w:rPr>
        <w:t>.</w:t>
      </w:r>
      <w:r w:rsidRPr="004F4116">
        <w:rPr>
          <w:rFonts w:asciiTheme="majorHAnsi" w:hAnsiTheme="majorHAnsi" w:cstheme="majorHAnsi"/>
          <w:sz w:val="16"/>
          <w:szCs w:val="16"/>
        </w:rPr>
        <w:t xml:space="preserve"> </w:t>
      </w:r>
    </w:p>
  </w:footnote>
  <w:footnote w:id="18">
    <w:p w14:paraId="2D95D2D8" w14:textId="15F89A21" w:rsidR="00036D7F" w:rsidRPr="002212BC" w:rsidRDefault="00036D7F" w:rsidP="00B84F30">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Inclusiv porțiunile de gazoducte magistrale, amplasate geografic pe teritoriul UTA Gagauz-</w:t>
      </w:r>
      <w:r>
        <w:rPr>
          <w:rFonts w:asciiTheme="majorHAnsi" w:hAnsiTheme="majorHAnsi" w:cstheme="majorHAnsi"/>
          <w:sz w:val="16"/>
          <w:szCs w:val="16"/>
          <w:vertAlign w:val="baseline"/>
          <w:lang w:val="ro-MD"/>
        </w:rPr>
        <w:t>y</w:t>
      </w:r>
      <w:r w:rsidRPr="002212BC">
        <w:rPr>
          <w:rFonts w:asciiTheme="majorHAnsi" w:hAnsiTheme="majorHAnsi" w:cstheme="majorHAnsi"/>
          <w:sz w:val="16"/>
          <w:szCs w:val="16"/>
          <w:vertAlign w:val="baseline"/>
          <w:lang w:val="ro-MD"/>
        </w:rPr>
        <w:t>eri, cu lungimea de 120,2 km, care au fost estimate la valoarea de 57,0 mil.lei.</w:t>
      </w:r>
    </w:p>
  </w:footnote>
  <w:footnote w:id="19">
    <w:p w14:paraId="67C683F4" w14:textId="5F02297A" w:rsidR="00036D7F" w:rsidRPr="002212BC" w:rsidRDefault="00036D7F" w:rsidP="00B84F30">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 xml:space="preserve">Valoarea inițială </w:t>
      </w:r>
      <w:r>
        <w:rPr>
          <w:rFonts w:asciiTheme="majorHAnsi" w:hAnsiTheme="majorHAnsi" w:cstheme="majorHAnsi"/>
          <w:sz w:val="16"/>
          <w:szCs w:val="16"/>
          <w:vertAlign w:val="baseline"/>
          <w:lang w:val="ro-MD"/>
        </w:rPr>
        <w:t xml:space="preserve">de </w:t>
      </w:r>
      <w:r w:rsidRPr="002212BC">
        <w:rPr>
          <w:rFonts w:asciiTheme="majorHAnsi" w:hAnsiTheme="majorHAnsi" w:cstheme="majorHAnsi"/>
          <w:sz w:val="16"/>
          <w:szCs w:val="16"/>
          <w:vertAlign w:val="baseline"/>
          <w:lang w:val="ro-MD"/>
        </w:rPr>
        <w:t>212</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644</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817,31 lei, uzura – </w:t>
      </w:r>
      <w:r>
        <w:rPr>
          <w:rFonts w:asciiTheme="majorHAnsi" w:hAnsiTheme="majorHAnsi" w:cstheme="majorHAnsi"/>
          <w:sz w:val="16"/>
          <w:szCs w:val="16"/>
          <w:vertAlign w:val="baseline"/>
          <w:lang w:val="ro-MD"/>
        </w:rPr>
        <w:t xml:space="preserve">de </w:t>
      </w:r>
      <w:r w:rsidRPr="002212BC">
        <w:rPr>
          <w:rFonts w:asciiTheme="majorHAnsi" w:hAnsiTheme="majorHAnsi" w:cstheme="majorHAnsi"/>
          <w:sz w:val="16"/>
          <w:szCs w:val="16"/>
          <w:vertAlign w:val="baseline"/>
          <w:lang w:val="ro-MD"/>
        </w:rPr>
        <w:t>122</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713</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401,06 lei, valoarea de bilanț – </w:t>
      </w:r>
      <w:r>
        <w:rPr>
          <w:rFonts w:asciiTheme="majorHAnsi" w:hAnsiTheme="majorHAnsi" w:cstheme="majorHAnsi"/>
          <w:sz w:val="16"/>
          <w:szCs w:val="16"/>
          <w:vertAlign w:val="baseline"/>
          <w:lang w:val="ro-MD"/>
        </w:rPr>
        <w:t xml:space="preserve">de </w:t>
      </w:r>
      <w:r w:rsidRPr="002212BC">
        <w:rPr>
          <w:rFonts w:asciiTheme="majorHAnsi" w:hAnsiTheme="majorHAnsi" w:cstheme="majorHAnsi"/>
          <w:sz w:val="16"/>
          <w:szCs w:val="16"/>
          <w:vertAlign w:val="baseline"/>
          <w:lang w:val="ro-MD"/>
        </w:rPr>
        <w:t>89</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931</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416,25 lei</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c</w:t>
      </w:r>
      <w:r w:rsidRPr="002212BC">
        <w:rPr>
          <w:rFonts w:asciiTheme="majorHAnsi" w:hAnsiTheme="majorHAnsi" w:cstheme="majorHAnsi"/>
          <w:sz w:val="16"/>
          <w:szCs w:val="16"/>
          <w:vertAlign w:val="baseline"/>
          <w:lang w:val="ro-MD"/>
        </w:rPr>
        <w:t>are conform evaluării la situația din 01</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07</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1997 constituiau 22</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674</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760,22 dolari SUA</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sau 104</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020</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462,38 lei.  </w:t>
      </w:r>
    </w:p>
  </w:footnote>
  <w:footnote w:id="20">
    <w:p w14:paraId="45C11F87" w14:textId="5CB03E34" w:rsidR="00036D7F" w:rsidRPr="002212BC" w:rsidRDefault="00036D7F" w:rsidP="00B84F30">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H</w:t>
      </w:r>
      <w:r>
        <w:rPr>
          <w:rFonts w:asciiTheme="majorHAnsi" w:hAnsiTheme="majorHAnsi" w:cstheme="majorHAnsi"/>
          <w:sz w:val="16"/>
          <w:szCs w:val="16"/>
          <w:vertAlign w:val="baseline"/>
          <w:lang w:val="ro-MD"/>
        </w:rPr>
        <w:t>CC</w:t>
      </w:r>
      <w:r w:rsidRPr="002212BC">
        <w:rPr>
          <w:rFonts w:asciiTheme="majorHAnsi" w:hAnsiTheme="majorHAnsi" w:cstheme="majorHAnsi"/>
          <w:sz w:val="16"/>
          <w:szCs w:val="16"/>
          <w:vertAlign w:val="baseline"/>
          <w:lang w:val="ro-MD"/>
        </w:rPr>
        <w:t xml:space="preserve"> nr.15 din 14.02.2002 </w:t>
      </w:r>
      <w:r>
        <w:rPr>
          <w:rFonts w:asciiTheme="majorHAnsi" w:hAnsiTheme="majorHAnsi" w:cstheme="majorHAnsi"/>
          <w:sz w:val="16"/>
          <w:szCs w:val="16"/>
          <w:vertAlign w:val="baseline"/>
          <w:lang w:val="ro-MD"/>
        </w:rPr>
        <w:t>„P</w:t>
      </w:r>
      <w:r w:rsidRPr="002212BC">
        <w:rPr>
          <w:rFonts w:asciiTheme="majorHAnsi" w:hAnsiTheme="majorHAnsi" w:cstheme="majorHAnsi"/>
          <w:sz w:val="16"/>
          <w:szCs w:val="16"/>
          <w:vertAlign w:val="baseline"/>
          <w:lang w:val="ro-MD"/>
        </w:rPr>
        <w:t>rivind rezultatele controlului asupra unor aspecte ale activității sistemului de aprovizionare cu gaze naturale a Republicii Moldova</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w:t>
      </w:r>
    </w:p>
  </w:footnote>
  <w:footnote w:id="21">
    <w:p w14:paraId="52E9755C" w14:textId="5E58E0F7" w:rsidR="00036D7F" w:rsidRPr="002212BC" w:rsidRDefault="00036D7F" w:rsidP="00CE2965">
      <w:pPr>
        <w:pStyle w:val="FootnoteText"/>
        <w:jc w:val="both"/>
        <w:rPr>
          <w:rFonts w:asciiTheme="majorHAnsi" w:hAnsiTheme="majorHAnsi" w:cstheme="majorHAnsi"/>
          <w:sz w:val="16"/>
          <w:szCs w:val="16"/>
          <w:vertAlign w:val="baseline"/>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 xml:space="preserve">Art.1. - Se permite Guvernului să efectueze reorganizarea Concernului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Moldova-Gaz</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prin comasarea acestuia, în modul stabilit de lege, cu  Societatea pe Acțiuni de tip închis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Gazsnabtranzit</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şi crearea unei societăți pe acțiuni moldo</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ruse, denumite în continuare societate. Art.2. - La comasarea întreprinderilor menționate la art.1 , aportul Republicii Moldova la capitalul social al societății se va constitui din: a) cota-parte a statului în patrimoniul Societății pe Acțiuni de tip închis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Gazsnabtranzit</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creată conform Hotărîrii Parlamentului nr.305-XIII din 6 decembrie 1994; b) cota-parte a statului în patrimoniul societăților pe acțiuni ale Concernului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Moldova-Gaz</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create conform Hotărîrii Parlamentului nr.611-XIII din 27 octombrie 1995, cu excepția societăților pe acțiuni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Incorgaz</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şi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Gazproiect</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Art.3 - Se permite Guvernului, în contul reducerii datoriilor Republicii Moldova pentru gazele primite, să transmită o parte din mijloacele menționate la art.2 lit.b) în proprietatea Societății pe Acțiuni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Gazprom</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 xml:space="preserve"> din Rusia sub formă de aporturi în capitalul social al societății care se creează, în care cota-parte a </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Gazprom</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-ului se stabileşte în mărime de 50 la sută.</w:t>
      </w:r>
    </w:p>
  </w:footnote>
  <w:footnote w:id="22">
    <w:p w14:paraId="61481B31" w14:textId="350A9224" w:rsidR="00036D7F" w:rsidRPr="002212BC" w:rsidRDefault="00036D7F" w:rsidP="00CE2965">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 xml:space="preserve">HG nr.1068 din 21.10.1998 </w:t>
      </w:r>
      <w:r>
        <w:rPr>
          <w:rFonts w:asciiTheme="majorHAnsi" w:hAnsiTheme="majorHAnsi" w:cstheme="majorHAnsi"/>
          <w:sz w:val="16"/>
          <w:szCs w:val="16"/>
          <w:vertAlign w:val="baseline"/>
          <w:lang w:val="ro-MD"/>
        </w:rPr>
        <w:t>„C</w:t>
      </w:r>
      <w:r w:rsidRPr="002212BC">
        <w:rPr>
          <w:rFonts w:asciiTheme="majorHAnsi" w:hAnsiTheme="majorHAnsi" w:cstheme="majorHAnsi"/>
          <w:sz w:val="16"/>
          <w:szCs w:val="16"/>
          <w:vertAlign w:val="baseline"/>
          <w:lang w:val="ro-MD"/>
        </w:rPr>
        <w:t>u privire la crearea în complexul de gaze al Republicii Moldova a unei societăți pe acțiuni moldo-ruse</w:t>
      </w:r>
      <w:r>
        <w:rPr>
          <w:rFonts w:asciiTheme="majorHAnsi" w:hAnsiTheme="majorHAnsi" w:cstheme="majorHAnsi"/>
          <w:sz w:val="16"/>
          <w:szCs w:val="16"/>
          <w:vertAlign w:val="baseline"/>
          <w:lang w:val="ro-MD"/>
        </w:rPr>
        <w:t>”</w:t>
      </w:r>
      <w:r w:rsidRPr="002212BC">
        <w:rPr>
          <w:rFonts w:asciiTheme="majorHAnsi" w:hAnsiTheme="majorHAnsi" w:cstheme="majorHAnsi"/>
          <w:sz w:val="16"/>
          <w:szCs w:val="16"/>
          <w:vertAlign w:val="baseline"/>
          <w:lang w:val="ro-MD"/>
        </w:rPr>
        <w:t>.</w:t>
      </w:r>
    </w:p>
  </w:footnote>
  <w:footnote w:id="23">
    <w:p w14:paraId="26481FA9" w14:textId="5CB79A16" w:rsidR="00036D7F" w:rsidRPr="002212BC" w:rsidRDefault="00036D7F" w:rsidP="003C5A66">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Valoarea inițială de 212.644.817,31 lei, uzura – de 122.713.401,06 lei, valoarea de bilanț – de 89.931.416,25 lei, care conform evaluării la situația din 01.07.1997 constituia 22.674.760,22 dolari SUA. sau 104.020.462,38 lei.</w:t>
      </w:r>
      <w:r w:rsidRPr="002212BC">
        <w:rPr>
          <w:rFonts w:asciiTheme="majorHAnsi" w:hAnsiTheme="majorHAnsi" w:cstheme="majorHAnsi"/>
          <w:sz w:val="16"/>
          <w:szCs w:val="16"/>
          <w:lang w:val="ro-MD"/>
        </w:rPr>
        <w:t xml:space="preserve">  </w:t>
      </w:r>
    </w:p>
  </w:footnote>
  <w:footnote w:id="24">
    <w:p w14:paraId="37F36FB6" w14:textId="4E57EDC0" w:rsidR="00036D7F" w:rsidRPr="002212BC" w:rsidRDefault="00036D7F" w:rsidP="003C5A66">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lang w:val="ro-MD"/>
        </w:rPr>
        <w:t xml:space="preserve"> </w:t>
      </w:r>
      <w:r w:rsidRPr="002212BC">
        <w:rPr>
          <w:rFonts w:asciiTheme="majorHAnsi" w:hAnsiTheme="majorHAnsi" w:cstheme="majorHAnsi"/>
          <w:sz w:val="16"/>
          <w:szCs w:val="16"/>
          <w:vertAlign w:val="baseline"/>
          <w:lang w:val="ro-MD"/>
        </w:rPr>
        <w:t>Valoarea estimativă de bilanț a gazoductului la 01.07.1997 constituia 2.507.131,51+197.931,435 (uzura de 3% pe 2 ani) = 2.705.062,945 lei. Valoarea la situația din 30.09.2008, conform evaluării „Tiraspoltransgaz”, constituia 688.209 dolari SUA*10,358 lei/dolari SUA  = 7.128.468,822 lei.</w:t>
      </w:r>
    </w:p>
  </w:footnote>
  <w:footnote w:id="25">
    <w:p w14:paraId="3CDE32EA" w14:textId="3F505282" w:rsidR="00036D7F" w:rsidRPr="002212BC" w:rsidRDefault="00036D7F" w:rsidP="003C5A66">
      <w:pPr>
        <w:pStyle w:val="FootnoteText"/>
        <w:jc w:val="both"/>
        <w:rPr>
          <w:rFonts w:asciiTheme="majorHAnsi" w:hAnsiTheme="majorHAnsi" w:cstheme="majorHAnsi"/>
          <w:sz w:val="16"/>
          <w:szCs w:val="16"/>
          <w:lang w:val="ro-MD"/>
        </w:rPr>
      </w:pPr>
      <w:r w:rsidRPr="002212BC">
        <w:rPr>
          <w:rStyle w:val="FootnoteReference"/>
          <w:rFonts w:asciiTheme="majorHAnsi" w:hAnsiTheme="majorHAnsi" w:cstheme="majorHAnsi"/>
          <w:sz w:val="16"/>
          <w:szCs w:val="16"/>
          <w:lang w:val="ro-MD"/>
        </w:rPr>
        <w:footnoteRef/>
      </w:r>
      <w:r w:rsidRPr="002212BC">
        <w:rPr>
          <w:rFonts w:asciiTheme="majorHAnsi" w:hAnsiTheme="majorHAnsi" w:cstheme="majorHAnsi"/>
          <w:sz w:val="16"/>
          <w:szCs w:val="16"/>
          <w:vertAlign w:val="baseline"/>
          <w:lang w:val="ro-MD"/>
        </w:rPr>
        <w:t xml:space="preserve"> Conform explicațiilor și informațiilor SA Moldovagaz oferite Curții de Conturi pe marginea Hotărârii nr.15 din 14.02.2002.</w:t>
      </w:r>
    </w:p>
  </w:footnote>
  <w:footnote w:id="26">
    <w:p w14:paraId="6CEE63AF" w14:textId="3EA9C08E" w:rsidR="00036D7F" w:rsidRPr="00CF3AD4" w:rsidRDefault="00036D7F" w:rsidP="00CF3AD4">
      <w:pPr>
        <w:pStyle w:val="FootnoteText"/>
        <w:jc w:val="both"/>
        <w:rPr>
          <w:rFonts w:asciiTheme="majorHAnsi" w:hAnsiTheme="majorHAnsi" w:cstheme="majorHAnsi"/>
          <w:sz w:val="16"/>
          <w:szCs w:val="16"/>
          <w:vertAlign w:val="baseline"/>
          <w:lang w:val="ro-MD"/>
        </w:rPr>
      </w:pPr>
      <w:r w:rsidRPr="00CF3AD4">
        <w:rPr>
          <w:rStyle w:val="FootnoteReference"/>
          <w:rFonts w:asciiTheme="majorHAnsi" w:hAnsiTheme="majorHAnsi" w:cstheme="majorHAnsi"/>
          <w:sz w:val="16"/>
          <w:szCs w:val="16"/>
        </w:rPr>
        <w:footnoteRef/>
      </w:r>
      <w:r w:rsidRPr="00CF3AD4">
        <w:rPr>
          <w:rFonts w:asciiTheme="majorHAnsi" w:hAnsiTheme="majorHAnsi" w:cstheme="majorHAnsi"/>
          <w:sz w:val="16"/>
          <w:szCs w:val="16"/>
          <w:vertAlign w:val="baseline"/>
        </w:rPr>
        <w:t xml:space="preserve"> În baza rezultatelor concursului din 06.07.2007, la 16.07.2007, conform deciziei nr.43 a Consiliului de administrație al SA Moldovagaz, SRL Ecofin-Audit-Service a fost confirmată câștigătoare a concursului.</w:t>
      </w:r>
    </w:p>
  </w:footnote>
  <w:footnote w:id="27">
    <w:p w14:paraId="768A8F6C" w14:textId="5DE658DA" w:rsidR="00036D7F" w:rsidRPr="00017149" w:rsidRDefault="00036D7F">
      <w:pPr>
        <w:pStyle w:val="FootnoteText"/>
        <w:rPr>
          <w:rFonts w:asciiTheme="majorHAnsi" w:hAnsiTheme="majorHAnsi" w:cstheme="majorHAnsi"/>
          <w:sz w:val="16"/>
          <w:szCs w:val="16"/>
          <w:vertAlign w:val="baseline"/>
          <w:lang w:val="ro-MD"/>
        </w:rPr>
      </w:pPr>
      <w:r w:rsidRPr="00CF3AD4">
        <w:rPr>
          <w:rStyle w:val="FootnoteReference"/>
          <w:rFonts w:asciiTheme="majorHAnsi" w:hAnsiTheme="majorHAnsi" w:cstheme="majorHAnsi"/>
          <w:sz w:val="16"/>
          <w:szCs w:val="16"/>
        </w:rPr>
        <w:footnoteRef/>
      </w:r>
      <w:r w:rsidRPr="00017149">
        <w:rPr>
          <w:rFonts w:asciiTheme="majorHAnsi" w:hAnsiTheme="majorHAnsi" w:cstheme="majorHAnsi"/>
          <w:sz w:val="16"/>
          <w:szCs w:val="16"/>
          <w:vertAlign w:val="baseline"/>
          <w:lang w:val="ro-MD"/>
        </w:rPr>
        <w:t xml:space="preserve"> Modificarea valorii investițiilor financiare.</w:t>
      </w:r>
    </w:p>
  </w:footnote>
  <w:footnote w:id="28">
    <w:p w14:paraId="3B894780" w14:textId="77777777" w:rsidR="00036D7F" w:rsidRPr="00017149" w:rsidRDefault="00036D7F" w:rsidP="00513BCC">
      <w:pPr>
        <w:pStyle w:val="FootnoteText"/>
        <w:rPr>
          <w:rFonts w:asciiTheme="majorHAnsi" w:hAnsiTheme="majorHAnsi" w:cstheme="majorHAnsi"/>
          <w:sz w:val="16"/>
          <w:szCs w:val="16"/>
          <w:lang w:val="ro-MD"/>
        </w:rPr>
      </w:pPr>
      <w:r w:rsidRPr="00017149">
        <w:rPr>
          <w:rStyle w:val="FootnoteReference"/>
          <w:rFonts w:asciiTheme="majorHAnsi" w:hAnsiTheme="majorHAnsi" w:cstheme="majorHAnsi"/>
          <w:sz w:val="16"/>
          <w:szCs w:val="16"/>
          <w:lang w:val="ro-MD"/>
        </w:rPr>
        <w:footnoteRef/>
      </w:r>
      <w:r w:rsidRPr="00017149">
        <w:rPr>
          <w:rFonts w:asciiTheme="majorHAnsi" w:hAnsiTheme="majorHAnsi" w:cstheme="majorHAnsi"/>
          <w:sz w:val="16"/>
          <w:szCs w:val="16"/>
          <w:lang w:val="ro-MD"/>
        </w:rPr>
        <w:t xml:space="preserve"> </w:t>
      </w:r>
      <w:r w:rsidRPr="00017149">
        <w:rPr>
          <w:rFonts w:asciiTheme="majorHAnsi" w:hAnsiTheme="majorHAnsi" w:cstheme="majorHAnsi"/>
          <w:color w:val="4472C4" w:themeColor="accent5"/>
          <w:sz w:val="16"/>
          <w:szCs w:val="16"/>
          <w:u w:val="single"/>
          <w:vertAlign w:val="baseline"/>
          <w:lang w:val="ro-MD"/>
        </w:rPr>
        <w:t>https://www.bnm.md/ro/content/ratele-de-schimb</w:t>
      </w:r>
    </w:p>
  </w:footnote>
  <w:footnote w:id="29">
    <w:p w14:paraId="62AB12BF" w14:textId="5E53462D" w:rsidR="00036D7F" w:rsidRPr="002C1A5E" w:rsidRDefault="00036D7F" w:rsidP="00B84F30">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Cu condiția că în evidența contabilă a acestuia erau înregistrate diferențele negative de curs valutar de 85.558,2 mii lei aferente datoriei față de SA Gazprom (12.662,35 mii dolari SUA), prin intermediul SA Gazsnabtranzit, stinse prin depunerea patrimoniului în capitalul social al SA Moldovagaz.</w:t>
      </w:r>
      <w:r w:rsidRPr="002C1A5E">
        <w:rPr>
          <w:rFonts w:asciiTheme="majorHAnsi" w:hAnsiTheme="majorHAnsi" w:cstheme="majorHAnsi"/>
          <w:sz w:val="16"/>
          <w:szCs w:val="16"/>
          <w:lang w:val="ro-MD"/>
        </w:rPr>
        <w:t>.</w:t>
      </w:r>
    </w:p>
  </w:footnote>
  <w:footnote w:id="30">
    <w:p w14:paraId="751F92C6" w14:textId="77777777" w:rsidR="00036D7F" w:rsidRPr="002C1A5E" w:rsidRDefault="00036D7F" w:rsidP="00E0174F">
      <w:pPr>
        <w:pStyle w:val="FootnoteText"/>
        <w:rPr>
          <w:rFonts w:asciiTheme="majorHAnsi" w:hAnsiTheme="majorHAnsi" w:cstheme="majorHAnsi"/>
          <w:color w:val="4472C4" w:themeColor="accent5"/>
          <w:sz w:val="16"/>
          <w:szCs w:val="16"/>
          <w:u w:val="single"/>
          <w:lang w:val="ro-MD"/>
        </w:rPr>
      </w:pPr>
      <w:r w:rsidRPr="004F4116">
        <w:rPr>
          <w:rStyle w:val="FootnoteReference"/>
          <w:rFonts w:asciiTheme="majorHAnsi" w:hAnsiTheme="majorHAnsi" w:cstheme="majorHAnsi"/>
          <w:sz w:val="16"/>
          <w:szCs w:val="16"/>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color w:val="4472C4" w:themeColor="accent5"/>
          <w:sz w:val="16"/>
          <w:szCs w:val="16"/>
          <w:u w:val="single"/>
          <w:vertAlign w:val="baseline"/>
          <w:lang w:val="ro-MD"/>
        </w:rPr>
        <w:t>https://www.ttgpmr.com/istoriya-predpriyatiya-0</w:t>
      </w:r>
    </w:p>
  </w:footnote>
  <w:footnote w:id="31">
    <w:p w14:paraId="7808BF08" w14:textId="28664807" w:rsidR="00036D7F" w:rsidRPr="00120029" w:rsidRDefault="00036D7F">
      <w:pPr>
        <w:pStyle w:val="FootnoteText"/>
        <w:rPr>
          <w:rFonts w:asciiTheme="majorHAnsi" w:hAnsiTheme="majorHAnsi" w:cstheme="majorHAnsi"/>
          <w:sz w:val="16"/>
          <w:szCs w:val="16"/>
          <w:vertAlign w:val="baseline"/>
        </w:rPr>
      </w:pPr>
      <w:r w:rsidRPr="00120029">
        <w:rPr>
          <w:rStyle w:val="FootnoteReference"/>
          <w:rFonts w:asciiTheme="majorHAnsi" w:hAnsiTheme="majorHAnsi" w:cstheme="majorHAnsi"/>
          <w:sz w:val="16"/>
          <w:szCs w:val="16"/>
        </w:rPr>
        <w:footnoteRef/>
      </w:r>
      <w:r w:rsidRPr="00120029">
        <w:rPr>
          <w:rFonts w:asciiTheme="majorHAnsi" w:hAnsiTheme="majorHAnsi" w:cstheme="majorHAnsi"/>
          <w:sz w:val="16"/>
          <w:szCs w:val="16"/>
          <w:vertAlign w:val="baseline"/>
        </w:rPr>
        <w:t xml:space="preserve"> </w:t>
      </w:r>
      <w:r>
        <w:rPr>
          <w:rFonts w:asciiTheme="majorHAnsi" w:hAnsiTheme="majorHAnsi" w:cstheme="majorHAnsi"/>
          <w:sz w:val="16"/>
          <w:szCs w:val="16"/>
          <w:vertAlign w:val="baseline"/>
        </w:rPr>
        <w:t>D</w:t>
      </w:r>
      <w:r w:rsidRPr="00120029">
        <w:rPr>
          <w:rFonts w:asciiTheme="majorHAnsi" w:hAnsiTheme="majorHAnsi" w:cstheme="majorHAnsi"/>
          <w:sz w:val="16"/>
          <w:szCs w:val="16"/>
          <w:vertAlign w:val="baseline"/>
        </w:rPr>
        <w:t xml:space="preserve">ecretul preşedintelui nerecunoscutei RMT nr. 96 „Cu privire la retragerea </w:t>
      </w:r>
      <w:r>
        <w:rPr>
          <w:rFonts w:asciiTheme="majorHAnsi" w:hAnsiTheme="majorHAnsi" w:cstheme="majorHAnsi"/>
          <w:sz w:val="16"/>
          <w:szCs w:val="16"/>
          <w:vertAlign w:val="baseline"/>
        </w:rPr>
        <w:t>RMT</w:t>
      </w:r>
      <w:r w:rsidRPr="00120029">
        <w:rPr>
          <w:rFonts w:asciiTheme="majorHAnsi" w:hAnsiTheme="majorHAnsi" w:cstheme="majorHAnsi"/>
          <w:sz w:val="16"/>
          <w:szCs w:val="16"/>
          <w:vertAlign w:val="baseline"/>
        </w:rPr>
        <w:t xml:space="preserve"> de la participarea în SA Moldovagaz”</w:t>
      </w:r>
      <w:r>
        <w:rPr>
          <w:rFonts w:asciiTheme="majorHAnsi" w:hAnsiTheme="majorHAnsi" w:cstheme="majorHAnsi"/>
          <w:sz w:val="16"/>
          <w:szCs w:val="16"/>
          <w:vertAlign w:val="baseline"/>
        </w:rPr>
        <w:t>.</w:t>
      </w:r>
    </w:p>
  </w:footnote>
  <w:footnote w:id="32">
    <w:p w14:paraId="007ABDB1" w14:textId="1E48AFFA" w:rsidR="00036D7F" w:rsidRPr="004F4116" w:rsidRDefault="00036D7F">
      <w:pPr>
        <w:pStyle w:val="FootnoteText"/>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Ordinul Ministerul</w:t>
      </w:r>
      <w:r>
        <w:rPr>
          <w:rFonts w:asciiTheme="majorHAnsi" w:hAnsiTheme="majorHAnsi" w:cstheme="majorHAnsi"/>
          <w:sz w:val="16"/>
          <w:szCs w:val="16"/>
          <w:vertAlign w:val="baseline"/>
        </w:rPr>
        <w:t>ui</w:t>
      </w:r>
      <w:r w:rsidRPr="004F4116">
        <w:rPr>
          <w:rFonts w:asciiTheme="majorHAnsi" w:hAnsiTheme="majorHAnsi" w:cstheme="majorHAnsi"/>
          <w:sz w:val="16"/>
          <w:szCs w:val="16"/>
          <w:vertAlign w:val="baseline"/>
        </w:rPr>
        <w:t xml:space="preserve"> industriei al RMT nr. 294 din 24 martie 2005 „Cu privire la înființarea SRL Tiraspoltransgaz-Pridnestrovie”</w:t>
      </w:r>
      <w:r>
        <w:rPr>
          <w:rFonts w:asciiTheme="majorHAnsi" w:hAnsiTheme="majorHAnsi" w:cstheme="majorHAnsi"/>
          <w:sz w:val="16"/>
          <w:szCs w:val="16"/>
          <w:vertAlign w:val="baseline"/>
        </w:rPr>
        <w:t>.</w:t>
      </w:r>
    </w:p>
  </w:footnote>
  <w:footnote w:id="33">
    <w:p w14:paraId="57553019" w14:textId="0AFD1140" w:rsidR="00036D7F" w:rsidRPr="004F4116" w:rsidRDefault="00036D7F" w:rsidP="00B84F30">
      <w:pPr>
        <w:spacing w:after="0"/>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La 18.10.2005, prin Ordinul ministrului industriei al RMT nr. 926 „Cu privire la înființarea sucursalelor și modificările la statutul SRL Tiraspoltransgaz-Pridnestrovie”, au fost înființate filialele întreprinderii la Bender, Grigoriopol, Dubăsari, Rîbnița, Slobodzia</w:t>
      </w:r>
      <w:r>
        <w:rPr>
          <w:rFonts w:asciiTheme="majorHAnsi" w:hAnsiTheme="majorHAnsi" w:cstheme="majorHAnsi"/>
          <w:sz w:val="16"/>
          <w:szCs w:val="16"/>
        </w:rPr>
        <w:t xml:space="preserve"> și</w:t>
      </w:r>
      <w:r w:rsidRPr="004F4116">
        <w:rPr>
          <w:rFonts w:asciiTheme="majorHAnsi" w:hAnsiTheme="majorHAnsi" w:cstheme="majorHAnsi"/>
          <w:sz w:val="16"/>
          <w:szCs w:val="16"/>
        </w:rPr>
        <w:t xml:space="preserve"> Tiraspol. La 26.02.2007, prin Ordinul </w:t>
      </w:r>
      <w:r>
        <w:rPr>
          <w:rFonts w:asciiTheme="majorHAnsi" w:hAnsiTheme="majorHAnsi" w:cstheme="majorHAnsi"/>
          <w:sz w:val="16"/>
          <w:szCs w:val="16"/>
        </w:rPr>
        <w:t>m</w:t>
      </w:r>
      <w:r w:rsidRPr="004F4116">
        <w:rPr>
          <w:rFonts w:asciiTheme="majorHAnsi" w:hAnsiTheme="majorHAnsi" w:cstheme="majorHAnsi"/>
          <w:sz w:val="16"/>
          <w:szCs w:val="16"/>
        </w:rPr>
        <w:t xml:space="preserve">inistrului </w:t>
      </w:r>
      <w:r>
        <w:rPr>
          <w:rFonts w:asciiTheme="majorHAnsi" w:hAnsiTheme="majorHAnsi" w:cstheme="majorHAnsi"/>
          <w:sz w:val="16"/>
          <w:szCs w:val="16"/>
        </w:rPr>
        <w:t>i</w:t>
      </w:r>
      <w:r w:rsidRPr="004F4116">
        <w:rPr>
          <w:rFonts w:asciiTheme="majorHAnsi" w:hAnsiTheme="majorHAnsi" w:cstheme="majorHAnsi"/>
          <w:sz w:val="16"/>
          <w:szCs w:val="16"/>
        </w:rPr>
        <w:t>ndustriei al RMT nr.102, a fost înființată filiala Camenca.</w:t>
      </w:r>
    </w:p>
    <w:p w14:paraId="7A231834" w14:textId="298B7B06" w:rsidR="00036D7F" w:rsidRPr="004F4116" w:rsidRDefault="00036D7F" w:rsidP="00B84F30">
      <w:pPr>
        <w:spacing w:after="0"/>
        <w:jc w:val="both"/>
        <w:rPr>
          <w:rFonts w:asciiTheme="majorHAnsi" w:hAnsiTheme="majorHAnsi" w:cstheme="majorHAnsi"/>
          <w:sz w:val="16"/>
          <w:szCs w:val="16"/>
        </w:rPr>
      </w:pPr>
      <w:r w:rsidRPr="004F4116">
        <w:rPr>
          <w:rFonts w:asciiTheme="majorHAnsi" w:hAnsiTheme="majorHAnsi" w:cstheme="majorHAnsi"/>
          <w:sz w:val="16"/>
          <w:szCs w:val="16"/>
        </w:rPr>
        <w:t>La 14.10.2013 conform Ordinului serviciului de stat pentru energie și servicii locativ-comunale al RMT nr. 404 din 18.01.2014, au fost lichidate filialele din Camenca și Grigoriopol. Astfel, în prezent, structura SRL „Tiraspoltransgaz-Pridnestrovie” include filialele Tiraspol, Bender, Slobozia, Dubăsari</w:t>
      </w:r>
      <w:r>
        <w:rPr>
          <w:rFonts w:asciiTheme="majorHAnsi" w:hAnsiTheme="majorHAnsi" w:cstheme="majorHAnsi"/>
          <w:sz w:val="16"/>
          <w:szCs w:val="16"/>
        </w:rPr>
        <w:t xml:space="preserve"> și</w:t>
      </w:r>
      <w:r w:rsidRPr="004F4116">
        <w:rPr>
          <w:rFonts w:asciiTheme="majorHAnsi" w:hAnsiTheme="majorHAnsi" w:cstheme="majorHAnsi"/>
          <w:sz w:val="16"/>
          <w:szCs w:val="16"/>
        </w:rPr>
        <w:t xml:space="preserve"> Rîbnița.</w:t>
      </w:r>
    </w:p>
  </w:footnote>
  <w:footnote w:id="34">
    <w:p w14:paraId="081B9552" w14:textId="0F16597E" w:rsidR="00036D7F" w:rsidRPr="00F764E4" w:rsidRDefault="00036D7F" w:rsidP="004F4116">
      <w:pPr>
        <w:spacing w:after="0"/>
        <w:jc w:val="both"/>
        <w:rPr>
          <w:rFonts w:asciiTheme="majorHAnsi" w:eastAsia="Times New Roman" w:hAnsiTheme="majorHAnsi" w:cstheme="majorHAnsi"/>
          <w:sz w:val="16"/>
          <w:szCs w:val="16"/>
          <w:lang w:val="ro-MD"/>
        </w:rPr>
      </w:pPr>
      <w:r w:rsidRPr="00F764E4">
        <w:rPr>
          <w:rStyle w:val="FootnoteReference"/>
          <w:rFonts w:asciiTheme="majorHAnsi" w:hAnsiTheme="majorHAnsi" w:cstheme="majorHAnsi"/>
          <w:sz w:val="16"/>
          <w:szCs w:val="16"/>
          <w:lang w:val="ro-MD"/>
        </w:rPr>
        <w:footnoteRef/>
      </w:r>
      <w:r w:rsidRPr="00F764E4">
        <w:rPr>
          <w:rFonts w:asciiTheme="majorHAnsi" w:hAnsiTheme="majorHAnsi" w:cstheme="majorHAnsi"/>
          <w:sz w:val="16"/>
          <w:szCs w:val="16"/>
          <w:lang w:val="ro-MD"/>
        </w:rPr>
        <w:t xml:space="preserve"> </w:t>
      </w:r>
      <w:r w:rsidRPr="00F764E4">
        <w:rPr>
          <w:rFonts w:asciiTheme="majorHAnsi" w:eastAsia="Times New Roman" w:hAnsiTheme="majorHAnsi" w:cstheme="majorHAnsi"/>
          <w:sz w:val="16"/>
          <w:szCs w:val="16"/>
          <w:lang w:val="ro-MD"/>
        </w:rPr>
        <w:t xml:space="preserve">Acordul dintre Guvernul Republicii Moldova şi Societatea pe Acţiuni </w:t>
      </w:r>
      <w:r>
        <w:rPr>
          <w:rFonts w:asciiTheme="majorHAnsi" w:eastAsia="Times New Roman" w:hAnsiTheme="majorHAnsi" w:cstheme="majorHAnsi"/>
          <w:sz w:val="16"/>
          <w:szCs w:val="16"/>
          <w:lang w:val="ro-MD"/>
        </w:rPr>
        <w:t>„</w:t>
      </w:r>
      <w:r w:rsidRPr="00F764E4">
        <w:rPr>
          <w:rFonts w:asciiTheme="majorHAnsi" w:eastAsia="Times New Roman" w:hAnsiTheme="majorHAnsi" w:cstheme="majorHAnsi"/>
          <w:sz w:val="16"/>
          <w:szCs w:val="16"/>
          <w:lang w:val="ro-MD"/>
        </w:rPr>
        <w:t>Gazprom</w:t>
      </w:r>
      <w:r>
        <w:rPr>
          <w:rFonts w:asciiTheme="majorHAnsi" w:eastAsia="Times New Roman" w:hAnsiTheme="majorHAnsi" w:cstheme="majorHAnsi"/>
          <w:sz w:val="16"/>
          <w:szCs w:val="16"/>
          <w:lang w:val="ro-MD"/>
        </w:rPr>
        <w:t>”</w:t>
      </w:r>
      <w:r w:rsidRPr="00F764E4">
        <w:rPr>
          <w:rFonts w:asciiTheme="majorHAnsi" w:eastAsia="Times New Roman" w:hAnsiTheme="majorHAnsi" w:cstheme="majorHAnsi"/>
          <w:sz w:val="16"/>
          <w:szCs w:val="16"/>
          <w:lang w:val="ro-MD"/>
        </w:rPr>
        <w:t xml:space="preserve"> din Rusia privind principiile de reglementare a datoriilor Republicii Moldova pentru gazele naturale livrate de Rusia în anii 1994-1996, semnat la Moscova la 18 iulie 1996; HG nr. 275 din 21.03.1997.</w:t>
      </w:r>
    </w:p>
    <w:p w14:paraId="6AC7B9A2" w14:textId="1BC3E2C4" w:rsidR="00036D7F" w:rsidRPr="00F764E4" w:rsidRDefault="00036D7F" w:rsidP="004F4116">
      <w:pPr>
        <w:spacing w:after="0"/>
        <w:jc w:val="both"/>
        <w:rPr>
          <w:rFonts w:asciiTheme="majorHAnsi" w:eastAsia="Times New Roman" w:hAnsiTheme="majorHAnsi" w:cstheme="majorHAnsi"/>
          <w:sz w:val="16"/>
          <w:szCs w:val="16"/>
          <w:lang w:val="ro-MD"/>
        </w:rPr>
      </w:pPr>
      <w:r w:rsidRPr="00F764E4">
        <w:rPr>
          <w:rFonts w:asciiTheme="majorHAnsi" w:eastAsia="Times New Roman" w:hAnsiTheme="majorHAnsi" w:cstheme="majorHAnsi"/>
          <w:sz w:val="16"/>
          <w:szCs w:val="16"/>
          <w:lang w:val="ro-MD"/>
        </w:rPr>
        <w:t>Acord</w:t>
      </w:r>
      <w:r>
        <w:rPr>
          <w:rFonts w:asciiTheme="majorHAnsi" w:eastAsia="Times New Roman" w:hAnsiTheme="majorHAnsi" w:cstheme="majorHAnsi"/>
          <w:sz w:val="16"/>
          <w:szCs w:val="16"/>
          <w:lang w:val="ro-MD"/>
        </w:rPr>
        <w:t>ul</w:t>
      </w:r>
      <w:r w:rsidRPr="00F764E4">
        <w:rPr>
          <w:rFonts w:asciiTheme="majorHAnsi" w:eastAsia="Times New Roman" w:hAnsiTheme="majorHAnsi" w:cstheme="majorHAnsi"/>
          <w:sz w:val="16"/>
          <w:szCs w:val="16"/>
          <w:lang w:val="ro-MD"/>
        </w:rPr>
        <w:t xml:space="preserve"> din 09.02.2000 între Republica Moldova şi Societatea pe Acţiuni </w:t>
      </w:r>
      <w:r>
        <w:rPr>
          <w:rFonts w:asciiTheme="majorHAnsi" w:eastAsia="Times New Roman" w:hAnsiTheme="majorHAnsi" w:cstheme="majorHAnsi"/>
          <w:sz w:val="16"/>
          <w:szCs w:val="16"/>
          <w:lang w:val="ro-MD"/>
        </w:rPr>
        <w:t>„</w:t>
      </w:r>
      <w:r w:rsidRPr="00F764E4">
        <w:rPr>
          <w:rFonts w:asciiTheme="majorHAnsi" w:eastAsia="Times New Roman" w:hAnsiTheme="majorHAnsi" w:cstheme="majorHAnsi"/>
          <w:sz w:val="16"/>
          <w:szCs w:val="16"/>
          <w:lang w:val="ro-MD"/>
        </w:rPr>
        <w:t>Gazprom</w:t>
      </w:r>
      <w:r>
        <w:rPr>
          <w:rFonts w:asciiTheme="majorHAnsi" w:eastAsia="Times New Roman" w:hAnsiTheme="majorHAnsi" w:cstheme="majorHAnsi"/>
          <w:sz w:val="16"/>
          <w:szCs w:val="16"/>
          <w:lang w:val="ro-MD"/>
        </w:rPr>
        <w:t>”</w:t>
      </w:r>
      <w:r w:rsidRPr="00F764E4">
        <w:rPr>
          <w:rFonts w:asciiTheme="majorHAnsi" w:eastAsia="Times New Roman" w:hAnsiTheme="majorHAnsi" w:cstheme="majorHAnsi"/>
          <w:sz w:val="16"/>
          <w:szCs w:val="16"/>
          <w:lang w:val="ro-MD"/>
        </w:rPr>
        <w:t xml:space="preserve"> din Federaţia Rusă privind reglementarea datoriei Republicii Moldova pentru gazele naturale livrate în anul 1996; Acord</w:t>
      </w:r>
      <w:r>
        <w:rPr>
          <w:rFonts w:asciiTheme="majorHAnsi" w:eastAsia="Times New Roman" w:hAnsiTheme="majorHAnsi" w:cstheme="majorHAnsi"/>
          <w:sz w:val="16"/>
          <w:szCs w:val="16"/>
          <w:lang w:val="ro-MD"/>
        </w:rPr>
        <w:t>ul</w:t>
      </w:r>
      <w:r w:rsidRPr="00F764E4">
        <w:rPr>
          <w:rFonts w:asciiTheme="majorHAnsi" w:eastAsia="Times New Roman" w:hAnsiTheme="majorHAnsi" w:cstheme="majorHAnsi"/>
          <w:sz w:val="16"/>
          <w:szCs w:val="16"/>
          <w:lang w:val="ro-MD"/>
        </w:rPr>
        <w:t xml:space="preserve"> din 09.02.2000 între Republica Moldova şi Societatea pe Acţiuni </w:t>
      </w:r>
      <w:r>
        <w:rPr>
          <w:rFonts w:asciiTheme="majorHAnsi" w:eastAsia="Times New Roman" w:hAnsiTheme="majorHAnsi" w:cstheme="majorHAnsi"/>
          <w:sz w:val="16"/>
          <w:szCs w:val="16"/>
          <w:lang w:val="ro-MD"/>
        </w:rPr>
        <w:t>„</w:t>
      </w:r>
      <w:r w:rsidRPr="00F764E4">
        <w:rPr>
          <w:rFonts w:asciiTheme="majorHAnsi" w:eastAsia="Times New Roman" w:hAnsiTheme="majorHAnsi" w:cstheme="majorHAnsi"/>
          <w:sz w:val="16"/>
          <w:szCs w:val="16"/>
          <w:lang w:val="ro-MD"/>
        </w:rPr>
        <w:t>Gazprom</w:t>
      </w:r>
      <w:r>
        <w:rPr>
          <w:rFonts w:asciiTheme="majorHAnsi" w:eastAsia="Times New Roman" w:hAnsiTheme="majorHAnsi" w:cstheme="majorHAnsi"/>
          <w:sz w:val="16"/>
          <w:szCs w:val="16"/>
          <w:lang w:val="ro-MD"/>
        </w:rPr>
        <w:t>”</w:t>
      </w:r>
      <w:r w:rsidRPr="00F764E4">
        <w:rPr>
          <w:rFonts w:asciiTheme="majorHAnsi" w:eastAsia="Times New Roman" w:hAnsiTheme="majorHAnsi" w:cstheme="majorHAnsi"/>
          <w:sz w:val="16"/>
          <w:szCs w:val="16"/>
          <w:lang w:val="ro-MD"/>
        </w:rPr>
        <w:t xml:space="preserve"> din Federaţia Rusă privind reglementarea datoriei Republicii Moldova pentru gazele naturale livrate în anul 1997;  HG nr.297 din 29.03.2000; HG nr.819 din 14.08.2000</w:t>
      </w:r>
      <w:r>
        <w:rPr>
          <w:rFonts w:asciiTheme="majorHAnsi" w:eastAsia="Times New Roman" w:hAnsiTheme="majorHAnsi" w:cstheme="majorHAnsi"/>
          <w:sz w:val="16"/>
          <w:szCs w:val="16"/>
          <w:lang w:val="ro-MD"/>
        </w:rPr>
        <w:t>.</w:t>
      </w:r>
    </w:p>
  </w:footnote>
  <w:footnote w:id="35">
    <w:p w14:paraId="480ECC36" w14:textId="13CA3821" w:rsidR="00036D7F" w:rsidRPr="002C1A5E" w:rsidRDefault="00036D7F" w:rsidP="002C1A5E">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vertAlign w:val="baseline"/>
          <w:lang w:val="ro-MD"/>
        </w:rPr>
        <w:t xml:space="preserve"> Actul de primire</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predare din 9 septembrie 2021, întocmit între SA Moldovagaz și SRL Cimișlia</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gaz.</w:t>
      </w:r>
    </w:p>
  </w:footnote>
  <w:footnote w:id="36">
    <w:p w14:paraId="7ABCFE2B" w14:textId="77777777" w:rsidR="00036D7F" w:rsidRPr="002C1A5E" w:rsidRDefault="00036D7F" w:rsidP="002C1A5E">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vertAlign w:val="baseline"/>
          <w:lang w:val="ro-MD"/>
        </w:rPr>
        <w:t xml:space="preserve"> Pct.4.5 din Regulamentul privind modul de cumpărare, casare și vânzare, transmitere în locațiune și transmitere de la bilanț la bilanț a activelor SA Moldovagaz, aprobat prin hotărârea Consiliului de observatori nr.56 din 24.11.2000. </w:t>
      </w:r>
    </w:p>
  </w:footnote>
  <w:footnote w:id="37">
    <w:p w14:paraId="561BC8E2" w14:textId="77777777" w:rsidR="00036D7F" w:rsidRPr="002C1A5E" w:rsidRDefault="00036D7F" w:rsidP="00F26F37">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Pct.2 din Ordinul Președintelui Consiliului de administrație al SA Moldovagaz nr.14 din 30.04.2021.</w:t>
      </w:r>
    </w:p>
  </w:footnote>
  <w:footnote w:id="38">
    <w:p w14:paraId="02F667E3" w14:textId="74077120" w:rsidR="00036D7F" w:rsidRPr="002C1A5E" w:rsidRDefault="00036D7F" w:rsidP="00F26F37">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Contract</w:t>
      </w:r>
      <w:r>
        <w:rPr>
          <w:rFonts w:asciiTheme="majorHAnsi" w:hAnsiTheme="majorHAnsi" w:cstheme="majorHAnsi"/>
          <w:sz w:val="16"/>
          <w:szCs w:val="16"/>
          <w:vertAlign w:val="baseline"/>
          <w:lang w:val="ro-MD"/>
        </w:rPr>
        <w:t>e</w:t>
      </w:r>
      <w:r w:rsidRPr="002C1A5E">
        <w:rPr>
          <w:rFonts w:asciiTheme="majorHAnsi" w:hAnsiTheme="majorHAnsi" w:cstheme="majorHAnsi"/>
          <w:sz w:val="16"/>
          <w:szCs w:val="16"/>
          <w:vertAlign w:val="baseline"/>
          <w:lang w:val="ro-MD"/>
        </w:rPr>
        <w:t>l</w:t>
      </w:r>
      <w:r>
        <w:rPr>
          <w:rFonts w:asciiTheme="majorHAnsi" w:hAnsiTheme="majorHAnsi" w:cstheme="majorHAnsi"/>
          <w:sz w:val="16"/>
          <w:szCs w:val="16"/>
          <w:vertAlign w:val="baseline"/>
          <w:lang w:val="ro-MD"/>
        </w:rPr>
        <w:t>e</w:t>
      </w:r>
      <w:r w:rsidRPr="002C1A5E">
        <w:rPr>
          <w:rFonts w:asciiTheme="majorHAnsi" w:hAnsiTheme="majorHAnsi" w:cstheme="majorHAnsi"/>
          <w:sz w:val="16"/>
          <w:szCs w:val="16"/>
          <w:vertAlign w:val="baseline"/>
          <w:lang w:val="ro-MD"/>
        </w:rPr>
        <w:t xml:space="preserve"> de vânzare</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cumpărare nr.1-144 din 23.08.2021, nr.1-445 din 23.08.2021 și nr.1-460 din 23.08.2021, încheiate între SA Moldovagaz și SRL Transautogaz.</w:t>
      </w:r>
    </w:p>
  </w:footnote>
  <w:footnote w:id="39">
    <w:p w14:paraId="41FC2484" w14:textId="5C8BC3FF" w:rsidR="00036D7F" w:rsidRPr="002C1A5E" w:rsidRDefault="00036D7F" w:rsidP="00F26F37">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 xml:space="preserve">Pct.1.1. din </w:t>
      </w:r>
      <w:r>
        <w:rPr>
          <w:rFonts w:asciiTheme="majorHAnsi" w:hAnsiTheme="majorHAnsi" w:cstheme="majorHAnsi"/>
          <w:sz w:val="16"/>
          <w:szCs w:val="16"/>
          <w:vertAlign w:val="baseline"/>
          <w:lang w:val="ro-MD"/>
        </w:rPr>
        <w:t>C</w:t>
      </w:r>
      <w:r w:rsidRPr="002C1A5E">
        <w:rPr>
          <w:rFonts w:asciiTheme="majorHAnsi" w:hAnsiTheme="majorHAnsi" w:cstheme="majorHAnsi"/>
          <w:sz w:val="16"/>
          <w:szCs w:val="16"/>
          <w:vertAlign w:val="baseline"/>
          <w:lang w:val="ro-MD"/>
        </w:rPr>
        <w:t>ontractul de transmitere în folosință SRL Moldovatransgaz a patrimoniului SA Moldovagaz, fără număr din data de 30.09.1999.</w:t>
      </w:r>
    </w:p>
  </w:footnote>
  <w:footnote w:id="40">
    <w:p w14:paraId="0111A683" w14:textId="66716943" w:rsidR="00036D7F" w:rsidRPr="002C1A5E" w:rsidRDefault="00036D7F" w:rsidP="00F26F37">
      <w:pPr>
        <w:spacing w:after="0" w:line="276" w:lineRule="auto"/>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Factura nr.AAL3752899 </w:t>
      </w:r>
      <w:r>
        <w:rPr>
          <w:rFonts w:asciiTheme="majorHAnsi" w:hAnsiTheme="majorHAnsi" w:cstheme="majorHAnsi"/>
          <w:sz w:val="16"/>
          <w:szCs w:val="16"/>
          <w:lang w:val="ro-MD"/>
        </w:rPr>
        <w:t>–</w:t>
      </w:r>
      <w:r w:rsidRPr="002C1A5E">
        <w:rPr>
          <w:rFonts w:asciiTheme="majorHAnsi" w:hAnsiTheme="majorHAnsi" w:cstheme="majorHAnsi"/>
          <w:sz w:val="16"/>
          <w:szCs w:val="16"/>
          <w:lang w:val="ro-MD"/>
        </w:rPr>
        <w:t xml:space="preserve"> 4.136,3 mii lei, factura nr. AAL3752900 </w:t>
      </w:r>
      <w:r>
        <w:rPr>
          <w:rFonts w:asciiTheme="majorHAnsi" w:hAnsiTheme="majorHAnsi" w:cstheme="majorHAnsi"/>
          <w:sz w:val="16"/>
          <w:szCs w:val="16"/>
          <w:lang w:val="ro-MD"/>
        </w:rPr>
        <w:t>–</w:t>
      </w:r>
      <w:r w:rsidRPr="002C1A5E">
        <w:rPr>
          <w:rFonts w:asciiTheme="majorHAnsi" w:hAnsiTheme="majorHAnsi" w:cstheme="majorHAnsi"/>
          <w:sz w:val="16"/>
          <w:szCs w:val="16"/>
          <w:lang w:val="ro-MD"/>
        </w:rPr>
        <w:t xml:space="preserve"> 2.683,2 mii lei</w:t>
      </w:r>
      <w:r>
        <w:rPr>
          <w:rFonts w:asciiTheme="majorHAnsi" w:hAnsiTheme="majorHAnsi" w:cstheme="majorHAnsi"/>
          <w:sz w:val="16"/>
          <w:szCs w:val="16"/>
          <w:lang w:val="ro-MD"/>
        </w:rPr>
        <w:t>,</w:t>
      </w:r>
      <w:r w:rsidRPr="002C1A5E">
        <w:rPr>
          <w:rFonts w:asciiTheme="majorHAnsi" w:hAnsiTheme="majorHAnsi" w:cstheme="majorHAnsi"/>
          <w:sz w:val="16"/>
          <w:szCs w:val="16"/>
          <w:lang w:val="ro-MD"/>
        </w:rPr>
        <w:t xml:space="preserve"> și factura nr. AAL3752932 </w:t>
      </w:r>
      <w:r>
        <w:rPr>
          <w:rFonts w:asciiTheme="majorHAnsi" w:hAnsiTheme="majorHAnsi" w:cstheme="majorHAnsi"/>
          <w:sz w:val="16"/>
          <w:szCs w:val="16"/>
          <w:lang w:val="ro-MD"/>
        </w:rPr>
        <w:t>–</w:t>
      </w:r>
      <w:r w:rsidRPr="002C1A5E">
        <w:rPr>
          <w:rFonts w:asciiTheme="majorHAnsi" w:hAnsiTheme="majorHAnsi" w:cstheme="majorHAnsi"/>
          <w:sz w:val="16"/>
          <w:szCs w:val="16"/>
          <w:lang w:val="ro-MD"/>
        </w:rPr>
        <w:t xml:space="preserve"> 75,8 mii lei.</w:t>
      </w:r>
    </w:p>
  </w:footnote>
  <w:footnote w:id="41">
    <w:p w14:paraId="1D2DAFCE" w14:textId="77777777" w:rsidR="00036D7F" w:rsidRPr="002C1A5E" w:rsidRDefault="00036D7F" w:rsidP="00F26F37">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vertAlign w:val="baseline"/>
          <w:lang w:val="ro-MD"/>
        </w:rPr>
        <w:t xml:space="preserve"> Acordul adițional fără număr din data de 30.04.2021 la contractul de transmitere în folosință SRL Moldovatransgaz a patrimoniului SA Moldovagaz, fără număr din data de 30.09.1999.</w:t>
      </w:r>
    </w:p>
  </w:footnote>
  <w:footnote w:id="42">
    <w:p w14:paraId="77407E8E" w14:textId="77777777" w:rsidR="00036D7F" w:rsidRPr="003A70BF" w:rsidRDefault="00036D7F" w:rsidP="00EC25E2">
      <w:pPr>
        <w:pStyle w:val="FootnoteText"/>
        <w:jc w:val="both"/>
        <w:rPr>
          <w:rFonts w:asciiTheme="majorHAnsi" w:hAnsiTheme="majorHAnsi" w:cstheme="majorHAnsi"/>
          <w:sz w:val="16"/>
          <w:szCs w:val="16"/>
          <w:lang w:val="ro-MD"/>
        </w:rPr>
      </w:pPr>
      <w:r w:rsidRPr="003A70BF">
        <w:rPr>
          <w:rStyle w:val="FootnoteReference"/>
          <w:rFonts w:asciiTheme="majorHAnsi" w:hAnsiTheme="majorHAnsi" w:cstheme="majorHAnsi"/>
          <w:sz w:val="16"/>
          <w:szCs w:val="16"/>
          <w:lang w:val="ro-MD"/>
        </w:rPr>
        <w:footnoteRef/>
      </w:r>
      <w:r w:rsidRPr="003A70BF">
        <w:rPr>
          <w:rFonts w:asciiTheme="majorHAnsi" w:hAnsiTheme="majorHAnsi" w:cstheme="majorHAnsi"/>
          <w:sz w:val="16"/>
          <w:szCs w:val="16"/>
          <w:lang w:val="ro-MD"/>
        </w:rPr>
        <w:t xml:space="preserve"> </w:t>
      </w:r>
      <w:r w:rsidRPr="00CF3AD4">
        <w:rPr>
          <w:rFonts w:asciiTheme="majorHAnsi" w:hAnsiTheme="majorHAnsi" w:cstheme="majorHAnsi"/>
          <w:sz w:val="16"/>
          <w:szCs w:val="16"/>
          <w:vertAlign w:val="baseline"/>
          <w:lang w:val="ro-MD"/>
        </w:rPr>
        <w:t>Plăți de bază, inclusiv datorie aferentă rezervării capacităților suplimentare de tranzit al gazelor prin Ucraina: pentru SA „Moldovagaz” – 1.544,6 mii dolari SUA,  pentru SRL „Tiraspoltransgaz” – 1.075,2 mii dolari SUA.</w:t>
      </w:r>
    </w:p>
  </w:footnote>
  <w:footnote w:id="43">
    <w:p w14:paraId="1ACDEA0E" w14:textId="77777777" w:rsidR="00036D7F" w:rsidRPr="002C1A5E" w:rsidRDefault="00036D7F" w:rsidP="002C1A5E">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vertAlign w:val="baseline"/>
          <w:lang w:val="ro-MD"/>
        </w:rPr>
        <w:t xml:space="preserve"> Pct.35 din HANRE nr.283 din 15.11.2016 cu privire la aprobarea Regulamentului privind planificarea, aprobarea și efectuarea investițiilor.</w:t>
      </w:r>
    </w:p>
  </w:footnote>
  <w:footnote w:id="44">
    <w:p w14:paraId="6B5554BD" w14:textId="77777777" w:rsidR="00036D7F" w:rsidRPr="00573289" w:rsidRDefault="00036D7F" w:rsidP="002B2835">
      <w:pPr>
        <w:tabs>
          <w:tab w:val="left" w:pos="567"/>
          <w:tab w:val="left" w:pos="1695"/>
        </w:tabs>
        <w:spacing w:after="0" w:line="240" w:lineRule="auto"/>
        <w:jc w:val="both"/>
        <w:rPr>
          <w:rFonts w:asciiTheme="majorHAnsi" w:hAnsiTheme="majorHAnsi" w:cstheme="majorHAnsi"/>
          <w:sz w:val="16"/>
          <w:szCs w:val="16"/>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lang w:val="ro-MD"/>
        </w:rPr>
        <w:t xml:space="preserve"> Costul total include TVA, determinat la 01.12.2008, </w:t>
      </w:r>
      <w:r w:rsidRPr="00573289">
        <w:rPr>
          <w:rFonts w:asciiTheme="majorHAnsi" w:hAnsiTheme="majorHAnsi" w:cstheme="majorHAnsi"/>
          <w:sz w:val="16"/>
          <w:szCs w:val="16"/>
          <w:lang w:val="ro-MD" w:eastAsia="ru-RU"/>
        </w:rPr>
        <w:t>prețul pentru 1 m</w:t>
      </w:r>
      <w:r w:rsidRPr="00573289">
        <w:rPr>
          <w:rFonts w:asciiTheme="majorHAnsi" w:hAnsiTheme="majorHAnsi" w:cstheme="majorHAnsi"/>
          <w:sz w:val="16"/>
          <w:szCs w:val="16"/>
          <w:vertAlign w:val="superscript"/>
          <w:lang w:val="ro-MD" w:eastAsia="ru-RU"/>
        </w:rPr>
        <w:t>2</w:t>
      </w:r>
      <w:r w:rsidRPr="00573289">
        <w:rPr>
          <w:rFonts w:asciiTheme="majorHAnsi" w:hAnsiTheme="majorHAnsi" w:cstheme="majorHAnsi"/>
          <w:sz w:val="16"/>
          <w:szCs w:val="16"/>
          <w:lang w:val="ro-MD" w:eastAsia="ru-RU"/>
        </w:rPr>
        <w:t xml:space="preserve"> fiind de 1044,77 euro fără TVA.</w:t>
      </w:r>
    </w:p>
  </w:footnote>
  <w:footnote w:id="45">
    <w:p w14:paraId="08172A0E" w14:textId="662DCFAA" w:rsidR="00036D7F" w:rsidRPr="00573289" w:rsidRDefault="00036D7F">
      <w:pPr>
        <w:pStyle w:val="FootnoteText"/>
        <w:rPr>
          <w:rFonts w:asciiTheme="majorHAnsi" w:hAnsiTheme="majorHAnsi" w:cstheme="majorHAnsi"/>
          <w:sz w:val="16"/>
          <w:szCs w:val="16"/>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lang w:val="ro-MD"/>
        </w:rPr>
        <w:t xml:space="preserve"> </w:t>
      </w:r>
      <w:r w:rsidRPr="00573289">
        <w:rPr>
          <w:rFonts w:asciiTheme="majorHAnsi" w:hAnsiTheme="majorHAnsi" w:cstheme="majorHAnsi"/>
          <w:sz w:val="16"/>
          <w:szCs w:val="16"/>
          <w:vertAlign w:val="baseline"/>
          <w:lang w:val="ro-MD" w:eastAsia="ru-RU"/>
        </w:rPr>
        <w:t>În sumă de 137,0 mii lei și, respectiv, de 39,0 mii lei</w:t>
      </w:r>
      <w:r>
        <w:rPr>
          <w:rFonts w:asciiTheme="majorHAnsi" w:hAnsiTheme="majorHAnsi" w:cstheme="majorHAnsi"/>
          <w:sz w:val="16"/>
          <w:szCs w:val="16"/>
          <w:vertAlign w:val="baseline"/>
          <w:lang w:val="ro-MD" w:eastAsia="ru-RU"/>
        </w:rPr>
        <w:t>.</w:t>
      </w:r>
    </w:p>
  </w:footnote>
  <w:footnote w:id="46">
    <w:p w14:paraId="43A0C40E" w14:textId="3469513D" w:rsidR="00036D7F" w:rsidRPr="00573289" w:rsidRDefault="00036D7F" w:rsidP="002B2835">
      <w:pPr>
        <w:pStyle w:val="FootnoteText"/>
        <w:jc w:val="both"/>
        <w:rPr>
          <w:rFonts w:asciiTheme="majorHAnsi" w:hAnsiTheme="majorHAnsi" w:cstheme="majorHAnsi"/>
          <w:sz w:val="16"/>
          <w:szCs w:val="16"/>
          <w:vertAlign w:val="baseline"/>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vertAlign w:val="baseline"/>
          <w:lang w:val="ro-MD"/>
        </w:rPr>
        <w:t xml:space="preserve"> Responsabilii SA Moldovagaz au motivat că modificările în proiect se referă la reproiectarea parcării amplasat</w:t>
      </w:r>
      <w:r>
        <w:rPr>
          <w:rFonts w:asciiTheme="majorHAnsi" w:hAnsiTheme="majorHAnsi" w:cstheme="majorHAnsi"/>
          <w:sz w:val="16"/>
          <w:szCs w:val="16"/>
          <w:vertAlign w:val="baseline"/>
          <w:lang w:val="ro-MD"/>
        </w:rPr>
        <w:t>e</w:t>
      </w:r>
      <w:r w:rsidRPr="00573289">
        <w:rPr>
          <w:rFonts w:asciiTheme="majorHAnsi" w:hAnsiTheme="majorHAnsi" w:cstheme="majorHAnsi"/>
          <w:sz w:val="16"/>
          <w:szCs w:val="16"/>
          <w:vertAlign w:val="baseline"/>
          <w:lang w:val="ro-MD"/>
        </w:rPr>
        <w:t xml:space="preserve"> la parter în spațiu</w:t>
      </w:r>
      <w:r>
        <w:rPr>
          <w:rFonts w:asciiTheme="majorHAnsi" w:hAnsiTheme="majorHAnsi" w:cstheme="majorHAnsi"/>
          <w:sz w:val="16"/>
          <w:szCs w:val="16"/>
          <w:vertAlign w:val="baseline"/>
          <w:lang w:val="ro-MD"/>
        </w:rPr>
        <w:t>l</w:t>
      </w:r>
      <w:r w:rsidRPr="00573289">
        <w:rPr>
          <w:rFonts w:asciiTheme="majorHAnsi" w:hAnsiTheme="majorHAnsi" w:cstheme="majorHAnsi"/>
          <w:sz w:val="16"/>
          <w:szCs w:val="16"/>
          <w:vertAlign w:val="baseline"/>
          <w:lang w:val="ro-MD"/>
        </w:rPr>
        <w:t xml:space="preserve"> de oficiu pentru amplasarea sălii de abonați-relații cu consumatorii, condiționată de adoptarea Legii nr.108 din 27.05.2016 cu privire la gazele naturale</w:t>
      </w:r>
      <w:r>
        <w:rPr>
          <w:rFonts w:asciiTheme="majorHAnsi" w:hAnsiTheme="majorHAnsi" w:cstheme="majorHAnsi"/>
          <w:sz w:val="16"/>
          <w:szCs w:val="16"/>
          <w:vertAlign w:val="baseline"/>
          <w:lang w:val="ro-MD"/>
        </w:rPr>
        <w:t>,</w:t>
      </w:r>
      <w:r w:rsidRPr="00573289">
        <w:rPr>
          <w:rFonts w:asciiTheme="majorHAnsi" w:hAnsiTheme="majorHAnsi" w:cstheme="majorHAnsi"/>
          <w:sz w:val="16"/>
          <w:szCs w:val="16"/>
          <w:vertAlign w:val="baseline"/>
          <w:lang w:val="ro-MD"/>
        </w:rPr>
        <w:t xml:space="preserve"> în vederea implementării Pachet</w:t>
      </w:r>
      <w:r>
        <w:rPr>
          <w:rFonts w:asciiTheme="majorHAnsi" w:hAnsiTheme="majorHAnsi" w:cstheme="majorHAnsi"/>
          <w:sz w:val="16"/>
          <w:szCs w:val="16"/>
          <w:vertAlign w:val="baseline"/>
          <w:lang w:val="ro-MD"/>
        </w:rPr>
        <w:t>elor</w:t>
      </w:r>
      <w:r w:rsidRPr="00573289">
        <w:rPr>
          <w:rFonts w:asciiTheme="majorHAnsi" w:hAnsiTheme="majorHAnsi" w:cstheme="majorHAnsi"/>
          <w:sz w:val="16"/>
          <w:szCs w:val="16"/>
          <w:vertAlign w:val="baseline"/>
          <w:lang w:val="ro-MD"/>
        </w:rPr>
        <w:t xml:space="preserve"> energetic</w:t>
      </w:r>
      <w:r>
        <w:rPr>
          <w:rFonts w:asciiTheme="majorHAnsi" w:hAnsiTheme="majorHAnsi" w:cstheme="majorHAnsi"/>
          <w:sz w:val="16"/>
          <w:szCs w:val="16"/>
          <w:vertAlign w:val="baseline"/>
          <w:lang w:val="ro-MD"/>
        </w:rPr>
        <w:t>e</w:t>
      </w:r>
      <w:r w:rsidRPr="00573289">
        <w:rPr>
          <w:rFonts w:asciiTheme="majorHAnsi" w:hAnsiTheme="majorHAnsi" w:cstheme="majorHAnsi"/>
          <w:sz w:val="16"/>
          <w:szCs w:val="16"/>
          <w:vertAlign w:val="baseline"/>
          <w:lang w:val="ro-MD"/>
        </w:rPr>
        <w:t xml:space="preserve"> II și III</w:t>
      </w:r>
      <w:r>
        <w:rPr>
          <w:rFonts w:asciiTheme="majorHAnsi" w:hAnsiTheme="majorHAnsi" w:cstheme="majorHAnsi"/>
          <w:sz w:val="16"/>
          <w:szCs w:val="16"/>
          <w:vertAlign w:val="baseline"/>
          <w:lang w:val="ro-MD"/>
        </w:rPr>
        <w:t>,</w:t>
      </w:r>
      <w:r w:rsidRPr="00573289">
        <w:rPr>
          <w:rFonts w:asciiTheme="majorHAnsi" w:hAnsiTheme="majorHAnsi" w:cstheme="majorHAnsi"/>
          <w:sz w:val="16"/>
          <w:szCs w:val="16"/>
          <w:vertAlign w:val="baseline"/>
          <w:lang w:val="ro-MD"/>
        </w:rPr>
        <w:t xml:space="preserve"> care prev</w:t>
      </w:r>
      <w:r>
        <w:rPr>
          <w:rFonts w:asciiTheme="majorHAnsi" w:hAnsiTheme="majorHAnsi" w:cstheme="majorHAnsi"/>
          <w:sz w:val="16"/>
          <w:szCs w:val="16"/>
          <w:vertAlign w:val="baseline"/>
          <w:lang w:val="ro-MD"/>
        </w:rPr>
        <w:t>ăd</w:t>
      </w:r>
      <w:r w:rsidRPr="00573289">
        <w:rPr>
          <w:rFonts w:asciiTheme="majorHAnsi" w:hAnsiTheme="majorHAnsi" w:cstheme="majorHAnsi"/>
          <w:sz w:val="16"/>
          <w:szCs w:val="16"/>
          <w:vertAlign w:val="baseline"/>
          <w:lang w:val="ro-MD"/>
        </w:rPr>
        <w:t xml:space="preserve"> divizarea genurilor de activitate a</w:t>
      </w:r>
      <w:r>
        <w:rPr>
          <w:rFonts w:asciiTheme="majorHAnsi" w:hAnsiTheme="majorHAnsi" w:cstheme="majorHAnsi"/>
          <w:sz w:val="16"/>
          <w:szCs w:val="16"/>
          <w:vertAlign w:val="baseline"/>
          <w:lang w:val="ro-MD"/>
        </w:rPr>
        <w:t>le</w:t>
      </w:r>
      <w:r w:rsidRPr="00573289">
        <w:rPr>
          <w:rFonts w:asciiTheme="majorHAnsi" w:hAnsiTheme="majorHAnsi" w:cstheme="majorHAnsi"/>
          <w:sz w:val="16"/>
          <w:szCs w:val="16"/>
          <w:vertAlign w:val="baseline"/>
          <w:lang w:val="ro-MD"/>
        </w:rPr>
        <w:t xml:space="preserve"> societății în furnizare, transport și distribuția gazelor naturale; construcția etajului 2 în perimetrul arcei din blocul </w:t>
      </w:r>
      <w:r>
        <w:rPr>
          <w:rFonts w:asciiTheme="majorHAnsi" w:hAnsiTheme="majorHAnsi" w:cstheme="majorHAnsi"/>
          <w:sz w:val="16"/>
          <w:szCs w:val="16"/>
          <w:vertAlign w:val="baseline"/>
          <w:lang w:val="ro-MD"/>
        </w:rPr>
        <w:t>„</w:t>
      </w:r>
      <w:r w:rsidRPr="00573289">
        <w:rPr>
          <w:rFonts w:asciiTheme="majorHAnsi" w:hAnsiTheme="majorHAnsi" w:cstheme="majorHAnsi"/>
          <w:sz w:val="16"/>
          <w:szCs w:val="16"/>
          <w:vertAlign w:val="baseline"/>
          <w:lang w:val="ro-MD"/>
        </w:rPr>
        <w:t xml:space="preserve">B” și reproiectarea spațiilor în interiorul clădirii; elaborarea unui nou proiect cu sistemele de încălzire, ventilare și condiționare, apeduct și canalizare, centrala termică autonomă nr.1; elaborarea proiectului pentru sistemele de încălzire, ventilare și condiționare, apeduct și canalizare, încălzirea și ventilarea pentru sala de abonați, centrala termică autonomă nr.2; excluderea tamburului cu pereți din sticlă la ascensoarele din blocul </w:t>
      </w:r>
      <w:r>
        <w:rPr>
          <w:rFonts w:asciiTheme="majorHAnsi" w:hAnsiTheme="majorHAnsi" w:cstheme="majorHAnsi"/>
          <w:sz w:val="16"/>
          <w:szCs w:val="16"/>
          <w:vertAlign w:val="baseline"/>
          <w:lang w:val="ro-MD"/>
        </w:rPr>
        <w:t>„</w:t>
      </w:r>
      <w:r w:rsidRPr="00573289">
        <w:rPr>
          <w:rFonts w:asciiTheme="majorHAnsi" w:hAnsiTheme="majorHAnsi" w:cstheme="majorHAnsi"/>
          <w:sz w:val="16"/>
          <w:szCs w:val="16"/>
          <w:vertAlign w:val="baseline"/>
          <w:lang w:val="ro-MD"/>
        </w:rPr>
        <w:t xml:space="preserve">B” (la fiecare etaj) și instalarea cortinelor anti-foc (rolete); proiectarea stației de transformatoare electrice și preconizarea sursei de alimentare cu energie electrică autonomă; modificări la amenajarea teritoriului prin împrejmuiri metalice (gard, porți de intrare, bariere auto, punctul de pază și control/acces cu montarea turnichetelor); proiectarea sălilor de ședință la etajele nr. 4, 5, 6, 9; elaborarea unui proiect la sistemul de securitate-pază, videomontare și antiincendiu; elaborarea unui nou proiect la sistemul de rețele de tensiune joasă și IP telefonie și racordarea clădirii la rețeaua de fibră optică a S.A. Moldtelecom. Totodată, au fost efectuate modificări în baza proiectului de design interior elaborat în anul 2017, prin reproiectarea spațiilor în interiorul clădirii; înlocuirea tavanelor suspendate, a pardoselilor </w:t>
      </w:r>
      <w:r>
        <w:rPr>
          <w:rFonts w:asciiTheme="majorHAnsi" w:hAnsiTheme="majorHAnsi" w:cstheme="majorHAnsi"/>
          <w:sz w:val="16"/>
          <w:szCs w:val="16"/>
          <w:vertAlign w:val="baseline"/>
          <w:lang w:val="ro-MD"/>
        </w:rPr>
        <w:t xml:space="preserve">de </w:t>
      </w:r>
      <w:r w:rsidRPr="00573289">
        <w:rPr>
          <w:rFonts w:asciiTheme="majorHAnsi" w:hAnsiTheme="majorHAnsi" w:cstheme="majorHAnsi"/>
          <w:sz w:val="16"/>
          <w:szCs w:val="16"/>
          <w:vertAlign w:val="baseline"/>
          <w:lang w:val="ro-MD"/>
        </w:rPr>
        <w:t>mochetă, a pardoselilor parket, a placajelor din piatră, a pereților din panouri multistrat, a pereților din sticlă, a ușilor interioare duble, a ferestrelor și vitraliilor interioare, a pereților despărțitori, a ușilor interioare, a pardoselilor din gresie ceramic și montarea corpurilor de iluminat de tip LED. Urmare</w:t>
      </w:r>
      <w:r>
        <w:rPr>
          <w:rFonts w:asciiTheme="majorHAnsi" w:hAnsiTheme="majorHAnsi" w:cstheme="majorHAnsi"/>
          <w:sz w:val="16"/>
          <w:szCs w:val="16"/>
          <w:vertAlign w:val="baseline"/>
          <w:lang w:val="ro-MD"/>
        </w:rPr>
        <w:t xml:space="preserve"> a</w:t>
      </w:r>
      <w:r w:rsidRPr="00573289">
        <w:rPr>
          <w:rFonts w:asciiTheme="majorHAnsi" w:hAnsiTheme="majorHAnsi" w:cstheme="majorHAnsi"/>
          <w:sz w:val="16"/>
          <w:szCs w:val="16"/>
          <w:vertAlign w:val="baseline"/>
          <w:lang w:val="ro-MD"/>
        </w:rPr>
        <w:t xml:space="preserve"> modificărilor efectuate, suprafața totală interioară a construcției s-a majorat de la 12 727,0 m</w:t>
      </w:r>
      <w:r w:rsidRPr="00573289">
        <w:rPr>
          <w:rFonts w:asciiTheme="majorHAnsi" w:hAnsiTheme="majorHAnsi" w:cstheme="majorHAnsi"/>
          <w:sz w:val="16"/>
          <w:szCs w:val="16"/>
          <w:lang w:val="ro-MD"/>
        </w:rPr>
        <w:t>2</w:t>
      </w:r>
      <w:r w:rsidRPr="00573289">
        <w:rPr>
          <w:rFonts w:asciiTheme="majorHAnsi" w:hAnsiTheme="majorHAnsi" w:cstheme="majorHAnsi"/>
          <w:sz w:val="16"/>
          <w:szCs w:val="16"/>
          <w:vertAlign w:val="baseline"/>
          <w:lang w:val="ro-MD"/>
        </w:rPr>
        <w:t xml:space="preserve"> la 13 459,3 m</w:t>
      </w:r>
      <w:r w:rsidRPr="00573289">
        <w:rPr>
          <w:rFonts w:asciiTheme="majorHAnsi" w:hAnsiTheme="majorHAnsi" w:cstheme="majorHAnsi"/>
          <w:sz w:val="16"/>
          <w:szCs w:val="16"/>
          <w:lang w:val="ro-MD"/>
        </w:rPr>
        <w:t>2</w:t>
      </w:r>
      <w:r w:rsidRPr="00573289">
        <w:rPr>
          <w:rFonts w:asciiTheme="majorHAnsi" w:hAnsiTheme="majorHAnsi" w:cstheme="majorHAnsi"/>
          <w:sz w:val="16"/>
          <w:szCs w:val="16"/>
          <w:vertAlign w:val="baseline"/>
          <w:lang w:val="ro-MD"/>
        </w:rPr>
        <w:t>, sau cu 732,3 m</w:t>
      </w:r>
      <w:r w:rsidRPr="00573289">
        <w:rPr>
          <w:rFonts w:asciiTheme="majorHAnsi" w:hAnsiTheme="majorHAnsi" w:cstheme="majorHAnsi"/>
          <w:sz w:val="16"/>
          <w:szCs w:val="16"/>
          <w:lang w:val="ro-MD"/>
        </w:rPr>
        <w:t>2</w:t>
      </w:r>
      <w:r w:rsidRPr="00573289">
        <w:rPr>
          <w:rFonts w:asciiTheme="majorHAnsi" w:hAnsiTheme="majorHAnsi" w:cstheme="majorHAnsi"/>
          <w:sz w:val="16"/>
          <w:szCs w:val="16"/>
          <w:vertAlign w:val="baseline"/>
          <w:lang w:val="ro-MD"/>
        </w:rPr>
        <w:t xml:space="preserve"> mai mult. </w:t>
      </w:r>
    </w:p>
  </w:footnote>
  <w:footnote w:id="47">
    <w:p w14:paraId="098E2E6C" w14:textId="322023B2" w:rsidR="00036D7F" w:rsidRPr="004F4116" w:rsidRDefault="00036D7F" w:rsidP="002B2835">
      <w:pPr>
        <w:pStyle w:val="FootnoteText"/>
        <w:jc w:val="both"/>
        <w:rPr>
          <w:rFonts w:asciiTheme="majorHAnsi" w:hAnsiTheme="majorHAnsi" w:cstheme="majorHAnsi"/>
          <w:sz w:val="16"/>
          <w:szCs w:val="16"/>
          <w:vertAlign w:val="baseline"/>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lang w:val="ro-MD"/>
        </w:rPr>
        <w:t xml:space="preserve"> </w:t>
      </w:r>
      <w:r w:rsidRPr="00573289">
        <w:rPr>
          <w:rFonts w:asciiTheme="majorHAnsi" w:hAnsiTheme="majorHAnsi" w:cstheme="majorHAnsi"/>
          <w:sz w:val="16"/>
          <w:szCs w:val="16"/>
          <w:vertAlign w:val="baseline"/>
          <w:lang w:val="ro-MD"/>
        </w:rPr>
        <w:t>Document</w:t>
      </w:r>
      <w:r>
        <w:rPr>
          <w:rFonts w:asciiTheme="majorHAnsi" w:hAnsiTheme="majorHAnsi" w:cstheme="majorHAnsi"/>
          <w:sz w:val="16"/>
          <w:szCs w:val="16"/>
          <w:vertAlign w:val="baseline"/>
          <w:lang w:val="ro-MD"/>
        </w:rPr>
        <w:t>ul</w:t>
      </w:r>
      <w:r w:rsidRPr="00573289">
        <w:rPr>
          <w:rFonts w:asciiTheme="majorHAnsi" w:hAnsiTheme="majorHAnsi" w:cstheme="majorHAnsi"/>
          <w:sz w:val="16"/>
          <w:szCs w:val="16"/>
          <w:vertAlign w:val="baseline"/>
          <w:lang w:val="ro-MD"/>
        </w:rPr>
        <w:t xml:space="preserve"> normativ CPL.0101.2012 </w:t>
      </w:r>
      <w:r>
        <w:rPr>
          <w:rFonts w:asciiTheme="majorHAnsi" w:hAnsiTheme="majorHAnsi" w:cstheme="majorHAnsi"/>
          <w:sz w:val="16"/>
          <w:szCs w:val="16"/>
          <w:vertAlign w:val="baseline"/>
          <w:lang w:val="ro-MD"/>
        </w:rPr>
        <w:t>„</w:t>
      </w:r>
      <w:r w:rsidRPr="00573289">
        <w:rPr>
          <w:rFonts w:asciiTheme="majorHAnsi" w:hAnsiTheme="majorHAnsi" w:cstheme="majorHAnsi"/>
          <w:sz w:val="16"/>
          <w:szCs w:val="16"/>
          <w:vertAlign w:val="baseline"/>
          <w:lang w:val="ro-MD"/>
        </w:rPr>
        <w:t>Instrucțiuni privind întocmirea devizelor pentru lucrările de constrcucții-montaj prin metoda de resurse”, aprobat prin Ordinul nr.6 din 23.01.2013 a</w:t>
      </w:r>
      <w:r>
        <w:rPr>
          <w:rFonts w:asciiTheme="majorHAnsi" w:hAnsiTheme="majorHAnsi" w:cstheme="majorHAnsi"/>
          <w:sz w:val="16"/>
          <w:szCs w:val="16"/>
          <w:vertAlign w:val="baseline"/>
          <w:lang w:val="ro-MD"/>
        </w:rPr>
        <w:t>l</w:t>
      </w:r>
      <w:r w:rsidRPr="00573289">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m</w:t>
      </w:r>
      <w:r w:rsidRPr="00573289">
        <w:rPr>
          <w:rFonts w:asciiTheme="majorHAnsi" w:hAnsiTheme="majorHAnsi" w:cstheme="majorHAnsi"/>
          <w:sz w:val="16"/>
          <w:szCs w:val="16"/>
          <w:vertAlign w:val="baseline"/>
          <w:lang w:val="ro-MD"/>
        </w:rPr>
        <w:t>inistrului Dezvoltării Regionale și Construcțiilor.</w:t>
      </w:r>
    </w:p>
  </w:footnote>
  <w:footnote w:id="48">
    <w:p w14:paraId="2E9796D7" w14:textId="6BDB20EE" w:rsidR="00036D7F" w:rsidRPr="004F4116" w:rsidRDefault="00036D7F" w:rsidP="002B2835">
      <w:pPr>
        <w:pStyle w:val="FootnoteText"/>
        <w:jc w:val="both"/>
        <w:rPr>
          <w:rFonts w:asciiTheme="majorHAnsi" w:hAnsiTheme="majorHAnsi" w:cstheme="majorHAnsi"/>
          <w:sz w:val="16"/>
          <w:szCs w:val="16"/>
          <w:vertAlign w:val="baseline"/>
        </w:rPr>
      </w:pPr>
      <w:r w:rsidRPr="00573289">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rPr>
        <w:t xml:space="preserve"> </w:t>
      </w:r>
      <w:r w:rsidRPr="004F4116">
        <w:rPr>
          <w:rFonts w:asciiTheme="majorHAnsi" w:hAnsiTheme="majorHAnsi" w:cstheme="majorHAnsi"/>
          <w:sz w:val="16"/>
          <w:szCs w:val="16"/>
          <w:vertAlign w:val="baseline"/>
          <w:lang w:val="ro-RO"/>
        </w:rPr>
        <w:t xml:space="preserve">Regulamentul de efectuare a achizițiilor de bunuri, lucrări şi servicii în sistemul S.A. Moldovagaz, aprobat prin Hotărârea Consiliului de </w:t>
      </w:r>
      <w:r>
        <w:rPr>
          <w:rFonts w:asciiTheme="majorHAnsi" w:hAnsiTheme="majorHAnsi" w:cstheme="majorHAnsi"/>
          <w:sz w:val="16"/>
          <w:szCs w:val="16"/>
          <w:vertAlign w:val="baseline"/>
          <w:lang w:val="ro-RO"/>
        </w:rPr>
        <w:t>a</w:t>
      </w:r>
      <w:r w:rsidRPr="004F4116">
        <w:rPr>
          <w:rFonts w:asciiTheme="majorHAnsi" w:hAnsiTheme="majorHAnsi" w:cstheme="majorHAnsi"/>
          <w:sz w:val="16"/>
          <w:szCs w:val="16"/>
          <w:vertAlign w:val="baseline"/>
          <w:lang w:val="ro-RO"/>
        </w:rPr>
        <w:t>dministrație nr.58 din 16.09.2009.</w:t>
      </w:r>
    </w:p>
  </w:footnote>
  <w:footnote w:id="49">
    <w:p w14:paraId="08827307" w14:textId="6593B966" w:rsidR="00036D7F" w:rsidRPr="004F4116" w:rsidRDefault="00036D7F" w:rsidP="002B2835">
      <w:pPr>
        <w:pStyle w:val="FootnoteText"/>
        <w:jc w:val="both"/>
        <w:rPr>
          <w:rFonts w:asciiTheme="majorHAnsi" w:hAnsiTheme="majorHAnsi" w:cstheme="majorHAnsi"/>
          <w:sz w:val="16"/>
          <w:szCs w:val="16"/>
          <w:vertAlign w:val="baseline"/>
        </w:rPr>
      </w:pPr>
      <w:r w:rsidRPr="00573289">
        <w:rPr>
          <w:rStyle w:val="FootnoteReference"/>
          <w:rFonts w:asciiTheme="majorHAnsi" w:hAnsiTheme="majorHAnsi" w:cstheme="majorHAnsi"/>
          <w:sz w:val="16"/>
          <w:szCs w:val="16"/>
        </w:rPr>
        <w:footnoteRef/>
      </w:r>
      <w:r w:rsidRPr="00573289">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Contract</w:t>
      </w:r>
      <w:r>
        <w:rPr>
          <w:rFonts w:asciiTheme="majorHAnsi" w:hAnsiTheme="majorHAnsi" w:cstheme="majorHAnsi"/>
          <w:sz w:val="16"/>
          <w:szCs w:val="16"/>
          <w:vertAlign w:val="baseline"/>
        </w:rPr>
        <w:t>ul</w:t>
      </w:r>
      <w:r w:rsidRPr="004F4116">
        <w:rPr>
          <w:rFonts w:asciiTheme="majorHAnsi" w:hAnsiTheme="majorHAnsi" w:cstheme="majorHAnsi"/>
          <w:sz w:val="16"/>
          <w:szCs w:val="16"/>
          <w:vertAlign w:val="baseline"/>
        </w:rPr>
        <w:t xml:space="preserve"> de credit nr.4662 din 02</w:t>
      </w:r>
      <w:r>
        <w:rPr>
          <w:rFonts w:asciiTheme="majorHAnsi" w:hAnsiTheme="majorHAnsi" w:cstheme="majorHAnsi"/>
          <w:sz w:val="16"/>
          <w:szCs w:val="16"/>
          <w:vertAlign w:val="baseline"/>
        </w:rPr>
        <w:t>.06.</w:t>
      </w:r>
      <w:r w:rsidRPr="004F4116">
        <w:rPr>
          <w:rFonts w:asciiTheme="majorHAnsi" w:hAnsiTheme="majorHAnsi" w:cstheme="majorHAnsi"/>
          <w:sz w:val="16"/>
          <w:szCs w:val="16"/>
          <w:vertAlign w:val="baseline"/>
        </w:rPr>
        <w:t>2010 în sumă de 46</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000,0 mii lei, din care 3</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000,0 mii lei pentru investiții capitale în construcția oficiului; Contract</w:t>
      </w:r>
      <w:r>
        <w:rPr>
          <w:rFonts w:asciiTheme="majorHAnsi" w:hAnsiTheme="majorHAnsi" w:cstheme="majorHAnsi"/>
          <w:sz w:val="16"/>
          <w:szCs w:val="16"/>
          <w:vertAlign w:val="baseline"/>
        </w:rPr>
        <w:t>ul</w:t>
      </w:r>
      <w:r w:rsidRPr="004F4116">
        <w:rPr>
          <w:rFonts w:asciiTheme="majorHAnsi" w:hAnsiTheme="majorHAnsi" w:cstheme="majorHAnsi"/>
          <w:sz w:val="16"/>
          <w:szCs w:val="16"/>
          <w:vertAlign w:val="baseline"/>
        </w:rPr>
        <w:t xml:space="preserve"> de credit nr.C11 345 din 03</w:t>
      </w:r>
      <w:r>
        <w:rPr>
          <w:rFonts w:asciiTheme="majorHAnsi" w:hAnsiTheme="majorHAnsi" w:cstheme="majorHAnsi"/>
          <w:sz w:val="16"/>
          <w:szCs w:val="16"/>
          <w:vertAlign w:val="baseline"/>
        </w:rPr>
        <w:t>.11.</w:t>
      </w:r>
      <w:r w:rsidRPr="004F4116">
        <w:rPr>
          <w:rFonts w:asciiTheme="majorHAnsi" w:hAnsiTheme="majorHAnsi" w:cstheme="majorHAnsi"/>
          <w:sz w:val="16"/>
          <w:szCs w:val="16"/>
          <w:vertAlign w:val="baseline"/>
        </w:rPr>
        <w:t>2011 în sumă de 70</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000,0 mii lei; Contract</w:t>
      </w:r>
      <w:r>
        <w:rPr>
          <w:rFonts w:asciiTheme="majorHAnsi" w:hAnsiTheme="majorHAnsi" w:cstheme="majorHAnsi"/>
          <w:sz w:val="16"/>
          <w:szCs w:val="16"/>
          <w:vertAlign w:val="baseline"/>
        </w:rPr>
        <w:t>ul</w:t>
      </w:r>
      <w:r w:rsidRPr="004F4116">
        <w:rPr>
          <w:rFonts w:asciiTheme="majorHAnsi" w:hAnsiTheme="majorHAnsi" w:cstheme="majorHAnsi"/>
          <w:sz w:val="16"/>
          <w:szCs w:val="16"/>
          <w:vertAlign w:val="baseline"/>
        </w:rPr>
        <w:t xml:space="preserve"> de credit nr.5480 din 16</w:t>
      </w:r>
      <w:r>
        <w:rPr>
          <w:rFonts w:asciiTheme="majorHAnsi" w:hAnsiTheme="majorHAnsi" w:cstheme="majorHAnsi"/>
          <w:sz w:val="16"/>
          <w:szCs w:val="16"/>
          <w:vertAlign w:val="baseline"/>
        </w:rPr>
        <w:t>.12.</w:t>
      </w:r>
      <w:r w:rsidRPr="004F4116">
        <w:rPr>
          <w:rFonts w:asciiTheme="majorHAnsi" w:hAnsiTheme="majorHAnsi" w:cstheme="majorHAnsi"/>
          <w:sz w:val="16"/>
          <w:szCs w:val="16"/>
          <w:vertAlign w:val="baseline"/>
        </w:rPr>
        <w:t>2013 în sumă de 65</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000,0 mii lei.</w:t>
      </w:r>
    </w:p>
  </w:footnote>
  <w:footnote w:id="50">
    <w:p w14:paraId="0F837A82" w14:textId="02E29C91" w:rsidR="00036D7F" w:rsidRPr="004F4116" w:rsidRDefault="00036D7F" w:rsidP="002B2835">
      <w:pPr>
        <w:pStyle w:val="FootnoteText"/>
        <w:jc w:val="both"/>
        <w:rPr>
          <w:rFonts w:asciiTheme="majorHAnsi" w:hAnsiTheme="majorHAnsi" w:cstheme="majorHAnsi"/>
          <w:sz w:val="16"/>
          <w:szCs w:val="16"/>
          <w:vertAlign w:val="baseline"/>
        </w:rPr>
      </w:pPr>
      <w:r w:rsidRPr="00573289">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rPr>
        <w:t xml:space="preserve"> Decizia Consiliului de administrație a</w:t>
      </w:r>
      <w:r>
        <w:rPr>
          <w:rFonts w:asciiTheme="majorHAnsi" w:hAnsiTheme="majorHAnsi" w:cstheme="majorHAnsi"/>
          <w:sz w:val="16"/>
          <w:szCs w:val="16"/>
          <w:vertAlign w:val="baseline"/>
        </w:rPr>
        <w:t>l</w:t>
      </w:r>
      <w:r w:rsidRPr="004F4116">
        <w:rPr>
          <w:rFonts w:asciiTheme="majorHAnsi" w:hAnsiTheme="majorHAnsi" w:cstheme="majorHAnsi"/>
          <w:sz w:val="16"/>
          <w:szCs w:val="16"/>
          <w:vertAlign w:val="baseline"/>
        </w:rPr>
        <w:t xml:space="preserve"> SA Moldovagaz nr.68 din 17</w:t>
      </w:r>
      <w:r>
        <w:rPr>
          <w:rFonts w:asciiTheme="majorHAnsi" w:hAnsiTheme="majorHAnsi" w:cstheme="majorHAnsi"/>
          <w:sz w:val="16"/>
          <w:szCs w:val="16"/>
          <w:vertAlign w:val="baseline"/>
        </w:rPr>
        <w:t>.11.</w:t>
      </w:r>
      <w:r w:rsidRPr="004F4116">
        <w:rPr>
          <w:rFonts w:asciiTheme="majorHAnsi" w:hAnsiTheme="majorHAnsi" w:cstheme="majorHAnsi"/>
          <w:sz w:val="16"/>
          <w:szCs w:val="16"/>
          <w:vertAlign w:val="baseline"/>
        </w:rPr>
        <w:t>2017 cu privire la proiectul Programului investițional a</w:t>
      </w:r>
      <w:r>
        <w:rPr>
          <w:rFonts w:asciiTheme="majorHAnsi" w:hAnsiTheme="majorHAnsi" w:cstheme="majorHAnsi"/>
          <w:sz w:val="16"/>
          <w:szCs w:val="16"/>
          <w:vertAlign w:val="baseline"/>
        </w:rPr>
        <w:t>l</w:t>
      </w:r>
      <w:r w:rsidRPr="004F4116">
        <w:rPr>
          <w:rFonts w:asciiTheme="majorHAnsi" w:hAnsiTheme="majorHAnsi" w:cstheme="majorHAnsi"/>
          <w:sz w:val="16"/>
          <w:szCs w:val="16"/>
          <w:vertAlign w:val="baseline"/>
        </w:rPr>
        <w:t xml:space="preserve"> S.A. Moldovagaz și a</w:t>
      </w:r>
      <w:r>
        <w:rPr>
          <w:rFonts w:asciiTheme="majorHAnsi" w:hAnsiTheme="majorHAnsi" w:cstheme="majorHAnsi"/>
          <w:sz w:val="16"/>
          <w:szCs w:val="16"/>
          <w:vertAlign w:val="baseline"/>
        </w:rPr>
        <w:t>l</w:t>
      </w:r>
      <w:r w:rsidRPr="004F4116">
        <w:rPr>
          <w:rFonts w:asciiTheme="majorHAnsi" w:hAnsiTheme="majorHAnsi" w:cstheme="majorHAnsi"/>
          <w:sz w:val="16"/>
          <w:szCs w:val="16"/>
          <w:vertAlign w:val="baseline"/>
        </w:rPr>
        <w:t xml:space="preserve"> societăților afiliate pentru anul 2018 și Decizia Consiliului de observatori nr.62 din 27</w:t>
      </w:r>
      <w:r>
        <w:rPr>
          <w:rFonts w:asciiTheme="majorHAnsi" w:hAnsiTheme="majorHAnsi" w:cstheme="majorHAnsi"/>
          <w:sz w:val="16"/>
          <w:szCs w:val="16"/>
          <w:vertAlign w:val="baseline"/>
        </w:rPr>
        <w:t>.12.</w:t>
      </w:r>
      <w:r w:rsidRPr="004F4116">
        <w:rPr>
          <w:rFonts w:asciiTheme="majorHAnsi" w:hAnsiTheme="majorHAnsi" w:cstheme="majorHAnsi"/>
          <w:sz w:val="16"/>
          <w:szCs w:val="16"/>
          <w:vertAlign w:val="baseline"/>
        </w:rPr>
        <w:t xml:space="preserve">2017 cu privire la Programul investițional </w:t>
      </w:r>
      <w:r>
        <w:rPr>
          <w:rFonts w:asciiTheme="majorHAnsi" w:hAnsiTheme="majorHAnsi" w:cstheme="majorHAnsi"/>
          <w:sz w:val="16"/>
          <w:szCs w:val="16"/>
          <w:vertAlign w:val="baseline"/>
        </w:rPr>
        <w:t xml:space="preserve">al </w:t>
      </w:r>
      <w:r w:rsidRPr="004F4116">
        <w:rPr>
          <w:rFonts w:asciiTheme="majorHAnsi" w:hAnsiTheme="majorHAnsi" w:cstheme="majorHAnsi"/>
          <w:sz w:val="16"/>
          <w:szCs w:val="16"/>
          <w:vertAlign w:val="baseline"/>
        </w:rPr>
        <w:t>S.A. Moldovagaz și a</w:t>
      </w:r>
      <w:r>
        <w:rPr>
          <w:rFonts w:asciiTheme="majorHAnsi" w:hAnsiTheme="majorHAnsi" w:cstheme="majorHAnsi"/>
          <w:sz w:val="16"/>
          <w:szCs w:val="16"/>
          <w:vertAlign w:val="baseline"/>
        </w:rPr>
        <w:t>l</w:t>
      </w:r>
      <w:r w:rsidRPr="004F4116">
        <w:rPr>
          <w:rFonts w:asciiTheme="majorHAnsi" w:hAnsiTheme="majorHAnsi" w:cstheme="majorHAnsi"/>
          <w:sz w:val="16"/>
          <w:szCs w:val="16"/>
          <w:vertAlign w:val="baseline"/>
        </w:rPr>
        <w:t xml:space="preserve"> societăților afiliate pentru anul 2018. </w:t>
      </w:r>
    </w:p>
  </w:footnote>
  <w:footnote w:id="51">
    <w:p w14:paraId="41FF9216" w14:textId="79EC1F98" w:rsidR="00036D7F" w:rsidRPr="004F4116" w:rsidRDefault="00036D7F" w:rsidP="002B2835">
      <w:pPr>
        <w:pStyle w:val="NormalWeb"/>
        <w:spacing w:line="240" w:lineRule="auto"/>
        <w:rPr>
          <w:color w:val="000000"/>
        </w:rPr>
      </w:pPr>
      <w:r w:rsidRPr="004F4116">
        <w:rPr>
          <w:rStyle w:val="FootnoteReference"/>
        </w:rPr>
        <w:footnoteRef/>
      </w:r>
      <w:r w:rsidRPr="004F4116">
        <w:t xml:space="preserve"> </w:t>
      </w:r>
      <w:r w:rsidRPr="004F4116">
        <w:rPr>
          <w:lang w:eastAsia="ru-RU"/>
        </w:rPr>
        <w:t>Prin decizia Consiliului de observatori a</w:t>
      </w:r>
      <w:r>
        <w:rPr>
          <w:lang w:eastAsia="ru-RU"/>
        </w:rPr>
        <w:t>l</w:t>
      </w:r>
      <w:r w:rsidRPr="004F4116">
        <w:rPr>
          <w:lang w:eastAsia="ru-RU"/>
        </w:rPr>
        <w:t xml:space="preserve"> SA Moldovagaz nr.37 din 03.08.2018</w:t>
      </w:r>
      <w:r>
        <w:rPr>
          <w:lang w:eastAsia="ru-RU"/>
        </w:rPr>
        <w:t>,</w:t>
      </w:r>
      <w:r w:rsidRPr="004F4116">
        <w:rPr>
          <w:lang w:eastAsia="ru-RU"/>
        </w:rPr>
        <w:t xml:space="preserve"> a fost aprobat Planul de acțiuni privind transmiterea bunului imobil (clădirea de tip oficiu) către SRL </w:t>
      </w:r>
      <w:r>
        <w:rPr>
          <w:lang w:eastAsia="ru-RU"/>
        </w:rPr>
        <w:t>„</w:t>
      </w:r>
      <w:r w:rsidRPr="004F4116">
        <w:rPr>
          <w:lang w:eastAsia="ru-RU"/>
        </w:rPr>
        <w:t>Flacăra Albastră</w:t>
      </w:r>
      <w:r>
        <w:rPr>
          <w:lang w:eastAsia="ru-RU"/>
        </w:rPr>
        <w:t>”</w:t>
      </w:r>
      <w:r w:rsidRPr="004F4116">
        <w:rPr>
          <w:lang w:eastAsia="ru-RU"/>
        </w:rPr>
        <w:t>, prin care s-a stabilit darea în exploatare a clădirii la 01.09.2018.​</w:t>
      </w:r>
    </w:p>
  </w:footnote>
  <w:footnote w:id="52">
    <w:p w14:paraId="04942D10" w14:textId="7285039A" w:rsidR="00036D7F" w:rsidRPr="00573289" w:rsidRDefault="00036D7F" w:rsidP="002B2835">
      <w:pPr>
        <w:pStyle w:val="FootnoteText"/>
        <w:jc w:val="both"/>
        <w:rPr>
          <w:rFonts w:asciiTheme="majorHAnsi" w:hAnsiTheme="majorHAnsi" w:cstheme="majorHAnsi"/>
          <w:sz w:val="16"/>
          <w:szCs w:val="16"/>
          <w:vertAlign w:val="baseline"/>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vertAlign w:val="baseline"/>
          <w:lang w:val="ro-MD"/>
        </w:rPr>
        <w:t xml:space="preserve"> Valoarea contractului de 75.271,9 mii lei include și lucrări de construcție în valoare de 6.733,3 mii lei, conform modificărilor în proiectul de design.</w:t>
      </w:r>
    </w:p>
  </w:footnote>
  <w:footnote w:id="53">
    <w:p w14:paraId="439174D6" w14:textId="73E80EAC" w:rsidR="00036D7F" w:rsidRPr="00573289" w:rsidRDefault="00036D7F" w:rsidP="002B2835">
      <w:pPr>
        <w:pStyle w:val="FootnoteText"/>
        <w:jc w:val="both"/>
        <w:rPr>
          <w:rFonts w:asciiTheme="majorHAnsi" w:hAnsiTheme="majorHAnsi" w:cstheme="majorHAnsi"/>
          <w:sz w:val="16"/>
          <w:szCs w:val="16"/>
          <w:vertAlign w:val="baseline"/>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vertAlign w:val="baseline"/>
          <w:lang w:val="ro-MD"/>
        </w:rPr>
        <w:t xml:space="preserve"> Pct.41 din Regulamentul de efectuare a achizițiilor de bunuri, lucrări şi servicii în sistemul SA Moldovagaz, aprobat prin Hotărârea Consiliului de </w:t>
      </w:r>
      <w:r>
        <w:rPr>
          <w:rFonts w:asciiTheme="majorHAnsi" w:hAnsiTheme="majorHAnsi" w:cstheme="majorHAnsi"/>
          <w:sz w:val="16"/>
          <w:szCs w:val="16"/>
          <w:vertAlign w:val="baseline"/>
          <w:lang w:val="ro-MD"/>
        </w:rPr>
        <w:t>a</w:t>
      </w:r>
      <w:r w:rsidRPr="00573289">
        <w:rPr>
          <w:rFonts w:asciiTheme="majorHAnsi" w:hAnsiTheme="majorHAnsi" w:cstheme="majorHAnsi"/>
          <w:sz w:val="16"/>
          <w:szCs w:val="16"/>
          <w:vertAlign w:val="baseline"/>
          <w:lang w:val="ro-MD"/>
        </w:rPr>
        <w:t xml:space="preserve">dministrație nr.58 din 16.09.2009. </w:t>
      </w:r>
    </w:p>
  </w:footnote>
  <w:footnote w:id="54">
    <w:p w14:paraId="3E3C0E28" w14:textId="7DD12D33" w:rsidR="00036D7F" w:rsidRPr="00573289" w:rsidRDefault="00036D7F" w:rsidP="002B2835">
      <w:pPr>
        <w:pStyle w:val="FootnoteText"/>
        <w:jc w:val="both"/>
        <w:rPr>
          <w:rFonts w:asciiTheme="majorHAnsi" w:hAnsiTheme="majorHAnsi" w:cstheme="majorHAnsi"/>
          <w:sz w:val="16"/>
          <w:szCs w:val="16"/>
          <w:vertAlign w:val="baseline"/>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lang w:val="ro-MD"/>
        </w:rPr>
        <w:t xml:space="preserve"> </w:t>
      </w:r>
      <w:r w:rsidRPr="00573289">
        <w:rPr>
          <w:rFonts w:asciiTheme="majorHAnsi" w:hAnsiTheme="majorHAnsi" w:cstheme="majorHAnsi"/>
          <w:sz w:val="16"/>
          <w:szCs w:val="16"/>
          <w:vertAlign w:val="baseline"/>
          <w:lang w:val="ro-MD"/>
        </w:rPr>
        <w:t xml:space="preserve">Regulamentul privind încheierea contractelor în S.A. Moldovagaz, aprobat prin </w:t>
      </w:r>
      <w:r>
        <w:rPr>
          <w:rFonts w:asciiTheme="majorHAnsi" w:hAnsiTheme="majorHAnsi" w:cstheme="majorHAnsi"/>
          <w:sz w:val="16"/>
          <w:szCs w:val="16"/>
          <w:vertAlign w:val="baseline"/>
          <w:lang w:val="ro-MD"/>
        </w:rPr>
        <w:t>O</w:t>
      </w:r>
      <w:r w:rsidRPr="00573289">
        <w:rPr>
          <w:rFonts w:asciiTheme="majorHAnsi" w:hAnsiTheme="majorHAnsi" w:cstheme="majorHAnsi"/>
          <w:sz w:val="16"/>
          <w:szCs w:val="16"/>
          <w:vertAlign w:val="baseline"/>
          <w:lang w:val="ro-MD"/>
        </w:rPr>
        <w:t>rdinul Consiliului de observatori a</w:t>
      </w:r>
      <w:r>
        <w:rPr>
          <w:rFonts w:asciiTheme="majorHAnsi" w:hAnsiTheme="majorHAnsi" w:cstheme="majorHAnsi"/>
          <w:sz w:val="16"/>
          <w:szCs w:val="16"/>
          <w:vertAlign w:val="baseline"/>
          <w:lang w:val="ro-MD"/>
        </w:rPr>
        <w:t>l</w:t>
      </w:r>
      <w:r w:rsidRPr="00573289">
        <w:rPr>
          <w:rFonts w:asciiTheme="majorHAnsi" w:hAnsiTheme="majorHAnsi" w:cstheme="majorHAnsi"/>
          <w:sz w:val="16"/>
          <w:szCs w:val="16"/>
          <w:vertAlign w:val="baseline"/>
          <w:lang w:val="ro-MD"/>
        </w:rPr>
        <w:t xml:space="preserve"> S.A. Moldovagaz nr.43 din 05</w:t>
      </w:r>
      <w:r>
        <w:rPr>
          <w:rFonts w:asciiTheme="majorHAnsi" w:hAnsiTheme="majorHAnsi" w:cstheme="majorHAnsi"/>
          <w:sz w:val="16"/>
          <w:szCs w:val="16"/>
          <w:vertAlign w:val="baseline"/>
          <w:lang w:val="ro-MD"/>
        </w:rPr>
        <w:t>.10.</w:t>
      </w:r>
      <w:r w:rsidRPr="00573289">
        <w:rPr>
          <w:rFonts w:asciiTheme="majorHAnsi" w:hAnsiTheme="majorHAnsi" w:cstheme="majorHAnsi"/>
          <w:sz w:val="16"/>
          <w:szCs w:val="16"/>
          <w:vertAlign w:val="baseline"/>
          <w:lang w:val="ro-MD"/>
        </w:rPr>
        <w:t>2011.</w:t>
      </w:r>
    </w:p>
  </w:footnote>
  <w:footnote w:id="55">
    <w:p w14:paraId="646EEDF0" w14:textId="137D75FA" w:rsidR="00036D7F" w:rsidRPr="00573289" w:rsidRDefault="00036D7F" w:rsidP="002B2835">
      <w:pPr>
        <w:spacing w:after="0" w:line="240" w:lineRule="auto"/>
        <w:jc w:val="both"/>
        <w:rPr>
          <w:rFonts w:asciiTheme="majorHAnsi" w:hAnsiTheme="majorHAnsi" w:cstheme="majorHAnsi"/>
          <w:sz w:val="16"/>
          <w:szCs w:val="16"/>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Pct. 5 </w:t>
      </w:r>
      <w:r w:rsidRPr="00FC7B0E">
        <w:rPr>
          <w:rFonts w:asciiTheme="majorHAnsi" w:hAnsiTheme="majorHAnsi" w:cstheme="majorHAnsi"/>
          <w:sz w:val="16"/>
          <w:szCs w:val="16"/>
          <w:lang w:val="ro-MD"/>
        </w:rPr>
        <w:t xml:space="preserve">la </w:t>
      </w:r>
      <w:r w:rsidRPr="00FC7B0E">
        <w:rPr>
          <w:rFonts w:asciiTheme="majorHAnsi" w:hAnsiTheme="majorHAnsi" w:cstheme="majorHAnsi"/>
          <w:bCs/>
          <w:sz w:val="16"/>
          <w:szCs w:val="16"/>
        </w:rPr>
        <w:t xml:space="preserve">Anexa nr.5 la </w:t>
      </w:r>
      <w:r w:rsidRPr="00FC7B0E">
        <w:rPr>
          <w:rFonts w:asciiTheme="majorHAnsi" w:hAnsiTheme="majorHAnsi" w:cstheme="majorHAnsi"/>
          <w:sz w:val="16"/>
          <w:szCs w:val="16"/>
        </w:rPr>
        <w:t>Regulamentului de recepţie a construcţiilor şi instalaţiilor aferente,</w:t>
      </w:r>
      <w:r w:rsidRPr="00FC7B0E">
        <w:rPr>
          <w:rFonts w:asciiTheme="majorHAnsi" w:hAnsiTheme="majorHAnsi" w:cstheme="majorHAnsi"/>
          <w:sz w:val="16"/>
          <w:szCs w:val="16"/>
          <w:lang w:val="ro-MD"/>
        </w:rPr>
        <w:t xml:space="preserve"> aprobat prin HG nr.285 din 23.05.1996 : „</w:t>
      </w:r>
      <w:r w:rsidRPr="00CF3AD4">
        <w:rPr>
          <w:rFonts w:asciiTheme="majorHAnsi" w:hAnsiTheme="majorHAnsi" w:cstheme="majorHAnsi"/>
          <w:i/>
          <w:iCs/>
          <w:sz w:val="16"/>
          <w:szCs w:val="16"/>
        </w:rPr>
        <w:t>Cartea tehnică a construcţiei</w:t>
      </w:r>
      <w:r w:rsidRPr="00CF3AD4">
        <w:rPr>
          <w:rFonts w:asciiTheme="majorHAnsi" w:hAnsiTheme="majorHAnsi" w:cstheme="majorHAnsi"/>
          <w:sz w:val="16"/>
          <w:szCs w:val="16"/>
        </w:rPr>
        <w:t xml:space="preserve"> – ansamblul documentelor tehnice referitoare la proiectarea, execuţia, recepţia, exploatarea şi urmărirea comportării în exploatare a construcţiei şi instalaţiilor aferente acesteia, cuprinzînd toate datele, necesare pentru identificarea şi determinarea stării tehnice (fizice) a construcţiei respective şi a evoluţiei acesteia în timp”. </w:t>
      </w:r>
      <w:r w:rsidRPr="00CF3AD4">
        <w:rPr>
          <w:rFonts w:asciiTheme="majorHAnsi" w:hAnsiTheme="majorHAnsi" w:cstheme="majorHAnsi"/>
          <w:bCs/>
          <w:sz w:val="16"/>
          <w:szCs w:val="16"/>
        </w:rPr>
        <w:t>Norme</w:t>
      </w:r>
      <w:r>
        <w:rPr>
          <w:rFonts w:asciiTheme="majorHAnsi" w:hAnsiTheme="majorHAnsi" w:cstheme="majorHAnsi"/>
          <w:bCs/>
          <w:sz w:val="16"/>
          <w:szCs w:val="16"/>
        </w:rPr>
        <w:t>le</w:t>
      </w:r>
      <w:r w:rsidRPr="00CF3AD4">
        <w:rPr>
          <w:rFonts w:asciiTheme="majorHAnsi" w:hAnsiTheme="majorHAnsi" w:cstheme="majorHAnsi"/>
          <w:bCs/>
          <w:sz w:val="16"/>
          <w:szCs w:val="16"/>
        </w:rPr>
        <w:t xml:space="preserve"> privind cuprinsul şi modul de întocmire, completare şi păstrare a cărţii tehnice a construcţiei, Anexa nr.6 la </w:t>
      </w:r>
      <w:r w:rsidRPr="00FC7B0E">
        <w:rPr>
          <w:rFonts w:asciiTheme="majorHAnsi" w:hAnsiTheme="majorHAnsi" w:cstheme="majorHAnsi"/>
          <w:sz w:val="16"/>
          <w:szCs w:val="16"/>
        </w:rPr>
        <w:t>Regulamentului de recepţie a construcţiilor şi instalaţiilor aferente,</w:t>
      </w:r>
      <w:r w:rsidRPr="00FC7B0E">
        <w:rPr>
          <w:rFonts w:asciiTheme="majorHAnsi" w:hAnsiTheme="majorHAnsi" w:cstheme="majorHAnsi"/>
          <w:sz w:val="16"/>
          <w:szCs w:val="16"/>
          <w:lang w:val="ro-MD"/>
        </w:rPr>
        <w:t xml:space="preserve"> aprobat prin HG nr.285 din 23.05.1996.</w:t>
      </w:r>
      <w:r w:rsidRPr="00FC7B0E">
        <w:rPr>
          <w:rFonts w:asciiTheme="majorHAnsi" w:hAnsiTheme="majorHAnsi" w:cstheme="majorHAnsi"/>
          <w:sz w:val="16"/>
          <w:szCs w:val="16"/>
        </w:rPr>
        <w:t xml:space="preserve"> </w:t>
      </w:r>
    </w:p>
  </w:footnote>
  <w:footnote w:id="56">
    <w:p w14:paraId="0EAAFDA9" w14:textId="20588A8A" w:rsidR="00036D7F" w:rsidRPr="00573289" w:rsidRDefault="00036D7F" w:rsidP="002B2835">
      <w:pPr>
        <w:pStyle w:val="FootnoteText"/>
        <w:jc w:val="both"/>
        <w:rPr>
          <w:rFonts w:asciiTheme="majorHAnsi" w:hAnsiTheme="majorHAnsi" w:cstheme="majorHAnsi"/>
          <w:sz w:val="16"/>
          <w:szCs w:val="16"/>
          <w:vertAlign w:val="baseline"/>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vertAlign w:val="baseline"/>
          <w:lang w:val="ro-MD"/>
        </w:rPr>
        <w:t xml:space="preserve"> Pct.21 subpct. 1-2 din Regulamentul de recepție a construcțiilor și instalațiilor aferente, aprobat prin H</w:t>
      </w:r>
      <w:r>
        <w:rPr>
          <w:rFonts w:asciiTheme="majorHAnsi" w:hAnsiTheme="majorHAnsi" w:cstheme="majorHAnsi"/>
          <w:sz w:val="16"/>
          <w:szCs w:val="16"/>
          <w:vertAlign w:val="baseline"/>
          <w:lang w:val="ro-MD"/>
        </w:rPr>
        <w:t>G</w:t>
      </w:r>
      <w:r w:rsidRPr="00573289">
        <w:rPr>
          <w:rFonts w:asciiTheme="majorHAnsi" w:hAnsiTheme="majorHAnsi" w:cstheme="majorHAnsi"/>
          <w:sz w:val="16"/>
          <w:szCs w:val="16"/>
          <w:vertAlign w:val="baseline"/>
          <w:lang w:val="ro-MD"/>
        </w:rPr>
        <w:t xml:space="preserve"> nr.285 din 23.05.1996.</w:t>
      </w:r>
    </w:p>
  </w:footnote>
  <w:footnote w:id="57">
    <w:p w14:paraId="50D1FE55" w14:textId="5D4C7086" w:rsidR="00036D7F" w:rsidRPr="00573289" w:rsidRDefault="00036D7F" w:rsidP="002B2835">
      <w:pPr>
        <w:pStyle w:val="FootnoteText"/>
        <w:jc w:val="both"/>
        <w:rPr>
          <w:rFonts w:asciiTheme="majorHAnsi" w:hAnsiTheme="majorHAnsi" w:cstheme="majorHAnsi"/>
          <w:sz w:val="16"/>
          <w:szCs w:val="16"/>
          <w:vertAlign w:val="baseline"/>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vertAlign w:val="baseline"/>
          <w:lang w:val="ro-MD"/>
        </w:rPr>
        <w:t xml:space="preserve"> </w:t>
      </w:r>
      <w:r w:rsidRPr="003E123B">
        <w:rPr>
          <w:rFonts w:asciiTheme="majorHAnsi" w:hAnsiTheme="majorHAnsi" w:cstheme="majorHAnsi"/>
          <w:sz w:val="16"/>
          <w:szCs w:val="16"/>
          <w:vertAlign w:val="baseline"/>
          <w:lang w:val="ro-MD"/>
        </w:rPr>
        <w:t xml:space="preserve">Capitolul </w:t>
      </w:r>
      <w:r w:rsidRPr="002C1A5E">
        <w:rPr>
          <w:rFonts w:asciiTheme="majorHAnsi" w:hAnsiTheme="majorHAnsi" w:cstheme="majorHAnsi"/>
          <w:sz w:val="16"/>
          <w:szCs w:val="16"/>
          <w:vertAlign w:val="baseline"/>
          <w:lang w:val="ro-MD"/>
        </w:rPr>
        <w:t>III</w:t>
      </w:r>
      <w:r w:rsidRPr="002C1A5E">
        <w:rPr>
          <w:rFonts w:asciiTheme="majorHAnsi" w:hAnsiTheme="majorHAnsi" w:cstheme="majorHAnsi"/>
          <w:sz w:val="16"/>
          <w:szCs w:val="16"/>
          <w:lang w:val="ro-MD"/>
        </w:rPr>
        <w:t>1</w:t>
      </w:r>
      <w:r w:rsidRPr="003E123B">
        <w:rPr>
          <w:rFonts w:asciiTheme="majorHAnsi" w:hAnsiTheme="majorHAnsi" w:cstheme="majorHAnsi"/>
          <w:sz w:val="16"/>
          <w:szCs w:val="16"/>
          <w:vertAlign w:val="baseline"/>
          <w:lang w:val="ro-MD"/>
        </w:rPr>
        <w:t>, pct.</w:t>
      </w:r>
      <w:r w:rsidRPr="002C1A5E">
        <w:rPr>
          <w:rFonts w:asciiTheme="majorHAnsi" w:hAnsiTheme="majorHAnsi" w:cstheme="majorHAnsi"/>
          <w:sz w:val="16"/>
          <w:szCs w:val="16"/>
          <w:vertAlign w:val="baseline"/>
          <w:lang w:val="ro-MD"/>
        </w:rPr>
        <w:t>43</w:t>
      </w:r>
      <w:r w:rsidRPr="002C1A5E">
        <w:rPr>
          <w:rFonts w:asciiTheme="majorHAnsi" w:hAnsiTheme="majorHAnsi" w:cstheme="majorHAnsi"/>
          <w:sz w:val="16"/>
          <w:szCs w:val="16"/>
          <w:lang w:val="ro-MD"/>
        </w:rPr>
        <w:t>2</w:t>
      </w:r>
      <w:r w:rsidRPr="003E123B">
        <w:rPr>
          <w:rFonts w:asciiTheme="majorHAnsi" w:hAnsiTheme="majorHAnsi" w:cstheme="majorHAnsi"/>
          <w:sz w:val="16"/>
          <w:szCs w:val="16"/>
          <w:vertAlign w:val="baseline"/>
          <w:lang w:val="ro-MD"/>
        </w:rPr>
        <w:t xml:space="preserve"> din Regulamentul</w:t>
      </w:r>
      <w:r w:rsidRPr="00573289">
        <w:rPr>
          <w:rFonts w:asciiTheme="majorHAnsi" w:hAnsiTheme="majorHAnsi" w:cstheme="majorHAnsi"/>
          <w:sz w:val="16"/>
          <w:szCs w:val="16"/>
          <w:vertAlign w:val="baseline"/>
          <w:lang w:val="ro-MD"/>
        </w:rPr>
        <w:t xml:space="preserve"> de recepție a construcțiilor și instalațiilor aferente, aprobat prin HG nr.285 din 23.05.1996.</w:t>
      </w:r>
    </w:p>
  </w:footnote>
  <w:footnote w:id="58">
    <w:p w14:paraId="2316D6BA" w14:textId="6CF2EBA7" w:rsidR="00036D7F" w:rsidRPr="00573289" w:rsidRDefault="00036D7F" w:rsidP="002B2835">
      <w:pPr>
        <w:pStyle w:val="FootnoteText"/>
        <w:jc w:val="both"/>
        <w:rPr>
          <w:rFonts w:asciiTheme="majorHAnsi" w:hAnsiTheme="majorHAnsi" w:cstheme="majorHAnsi"/>
          <w:sz w:val="16"/>
          <w:szCs w:val="16"/>
          <w:vertAlign w:val="baseline"/>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vertAlign w:val="baseline"/>
          <w:lang w:val="ro-MD"/>
        </w:rPr>
        <w:t xml:space="preserve"> Procedurile de audit convenite în vederea examinării procesului de achiziții în cadrul contractelor se referă la 1) necesitatea efectuării achizițiilor de bunuri/servicii; 2) corespunderea solicitării privind procurarea de bunuri/servicii făcută de cumpărător cu standardele concurențiale reglementate/ practicate pe piața națională; 3) examinarea caracterului ofertei acceptate de cumpărător/beneficiar din punct de vedere economic; 4) analiza comparativă a prețurilor pentru bunurile/serviciile procurate; 5) corectitudinea încheierii contractelor la procurarea de bunuri/servicii cu actele normative și ofertele acceptate; 6) corectitudinea întocmirii actelor de lucrări efectuate, facturilor de procurare a mărfurilor/serviciilor, altor documente în baza contractelor încheiate.  </w:t>
      </w:r>
    </w:p>
  </w:footnote>
  <w:footnote w:id="59">
    <w:p w14:paraId="781219A5" w14:textId="524A42B5" w:rsidR="00036D7F" w:rsidRPr="00573289" w:rsidRDefault="00036D7F" w:rsidP="00FA082E">
      <w:pPr>
        <w:pStyle w:val="FootnoteText"/>
        <w:rPr>
          <w:rFonts w:asciiTheme="majorHAnsi" w:hAnsiTheme="majorHAnsi" w:cstheme="majorHAnsi"/>
          <w:sz w:val="16"/>
          <w:szCs w:val="16"/>
          <w:lang w:val="ro-MD"/>
        </w:rPr>
      </w:pPr>
      <w:r w:rsidRPr="00573289">
        <w:rPr>
          <w:rStyle w:val="FootnoteReference"/>
          <w:rFonts w:asciiTheme="majorHAnsi" w:hAnsiTheme="majorHAnsi" w:cstheme="majorHAnsi"/>
          <w:sz w:val="16"/>
          <w:szCs w:val="16"/>
          <w:lang w:val="ro-MD"/>
        </w:rPr>
        <w:footnoteRef/>
      </w:r>
      <w:r w:rsidRPr="00573289">
        <w:rPr>
          <w:rFonts w:asciiTheme="majorHAnsi" w:hAnsiTheme="majorHAnsi" w:cstheme="majorHAnsi"/>
          <w:sz w:val="16"/>
          <w:szCs w:val="16"/>
          <w:lang w:val="ro-MD"/>
        </w:rPr>
        <w:t xml:space="preserve"> </w:t>
      </w:r>
      <w:r w:rsidRPr="00573289">
        <w:rPr>
          <w:rFonts w:asciiTheme="majorHAnsi" w:hAnsiTheme="majorHAnsi" w:cstheme="majorHAnsi"/>
          <w:sz w:val="16"/>
          <w:szCs w:val="16"/>
          <w:vertAlign w:val="baseline"/>
          <w:lang w:val="ro-MD"/>
        </w:rPr>
        <w:t xml:space="preserve">Capitolul V din </w:t>
      </w:r>
      <w:r>
        <w:rPr>
          <w:rFonts w:asciiTheme="majorHAnsi" w:hAnsiTheme="majorHAnsi" w:cstheme="majorHAnsi"/>
          <w:sz w:val="16"/>
          <w:szCs w:val="16"/>
          <w:vertAlign w:val="baseline"/>
          <w:lang w:val="ro-MD"/>
        </w:rPr>
        <w:t>C</w:t>
      </w:r>
      <w:r w:rsidRPr="00573289">
        <w:rPr>
          <w:rFonts w:asciiTheme="majorHAnsi" w:hAnsiTheme="majorHAnsi" w:cstheme="majorHAnsi"/>
          <w:sz w:val="16"/>
          <w:szCs w:val="16"/>
          <w:vertAlign w:val="baseline"/>
          <w:lang w:val="ro-MD"/>
        </w:rPr>
        <w:t>ontractul de sublocațiune nr.1 din 17.10.2017.</w:t>
      </w:r>
    </w:p>
  </w:footnote>
  <w:footnote w:id="60">
    <w:p w14:paraId="4A788EF0" w14:textId="62DBDDD1" w:rsidR="00036D7F" w:rsidRPr="004F4116" w:rsidRDefault="00036D7F" w:rsidP="00573289">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Pct.29</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33 din Regulamentul privind procedurile de achiziție a bunurilor, lucrărilor și serviciilor utilizate în activitatea titularilor de licență din sectoarele electroenergetic, termoenergetic, gazelor natural</w:t>
      </w:r>
      <w:r>
        <w:rPr>
          <w:rFonts w:asciiTheme="majorHAnsi" w:hAnsiTheme="majorHAnsi" w:cstheme="majorHAnsi"/>
          <w:sz w:val="16"/>
          <w:szCs w:val="16"/>
          <w:vertAlign w:val="baseline"/>
        </w:rPr>
        <w:t>e</w:t>
      </w:r>
      <w:r w:rsidRPr="004F4116">
        <w:rPr>
          <w:rFonts w:asciiTheme="majorHAnsi" w:hAnsiTheme="majorHAnsi" w:cstheme="majorHAnsi"/>
          <w:sz w:val="16"/>
          <w:szCs w:val="16"/>
          <w:vertAlign w:val="baseline"/>
        </w:rPr>
        <w:t xml:space="preserve"> și a operatorilor care furnizează serviciul public de alimentare cu apă și de canalizare, aprobat prin HANRE nr.24 din 26.01.2017</w:t>
      </w:r>
      <w:r>
        <w:rPr>
          <w:rFonts w:asciiTheme="majorHAnsi" w:hAnsiTheme="majorHAnsi" w:cstheme="majorHAnsi"/>
          <w:sz w:val="16"/>
          <w:szCs w:val="16"/>
          <w:vertAlign w:val="baseline"/>
        </w:rPr>
        <w:t xml:space="preserve"> (în continuare – Regulamentul </w:t>
      </w:r>
      <w:r w:rsidRPr="004F4116">
        <w:rPr>
          <w:rFonts w:asciiTheme="majorHAnsi" w:hAnsiTheme="majorHAnsi" w:cstheme="majorHAnsi"/>
          <w:sz w:val="16"/>
          <w:szCs w:val="16"/>
          <w:vertAlign w:val="baseline"/>
        </w:rPr>
        <w:t>aprobat prin HANRE nr.24 din 26.01.2017</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w:t>
      </w:r>
    </w:p>
  </w:footnote>
  <w:footnote w:id="61">
    <w:p w14:paraId="76DA524D" w14:textId="39E126BC" w:rsidR="00036D7F" w:rsidRPr="004F4116" w:rsidRDefault="00036D7F" w:rsidP="00AD51BA">
      <w:pPr>
        <w:pStyle w:val="FootnoteText"/>
        <w:jc w:val="both"/>
        <w:rPr>
          <w:rFonts w:asciiTheme="majorHAnsi" w:hAnsiTheme="majorHAnsi" w:cstheme="majorHAnsi"/>
          <w:sz w:val="16"/>
          <w:szCs w:val="16"/>
          <w:lang w:val="ro-RO"/>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lang w:val="fr-FR"/>
        </w:rPr>
        <w:t xml:space="preserve"> D</w:t>
      </w:r>
      <w:r w:rsidRPr="004F4116">
        <w:rPr>
          <w:rFonts w:asciiTheme="majorHAnsi" w:hAnsiTheme="majorHAnsi" w:cstheme="majorHAnsi"/>
          <w:sz w:val="16"/>
          <w:szCs w:val="16"/>
          <w:vertAlign w:val="baseline"/>
        </w:rPr>
        <w:t>ouă televizoare LED-40 –</w:t>
      </w:r>
      <w:r>
        <w:rPr>
          <w:rFonts w:asciiTheme="majorHAnsi" w:hAnsiTheme="majorHAnsi" w:cstheme="majorHAnsi"/>
          <w:sz w:val="16"/>
          <w:szCs w:val="16"/>
          <w:vertAlign w:val="baseline"/>
        </w:rPr>
        <w:t xml:space="preserve"> </w:t>
      </w:r>
      <w:r w:rsidRPr="004F4116">
        <w:rPr>
          <w:rFonts w:asciiTheme="majorHAnsi" w:hAnsiTheme="majorHAnsi" w:cstheme="majorHAnsi"/>
          <w:sz w:val="16"/>
          <w:szCs w:val="16"/>
          <w:vertAlign w:val="baseline"/>
        </w:rPr>
        <w:t xml:space="preserve">14,7 mii lei, attack pestrepeller PS-927 </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 0,56 mii lei, aparat de cafea </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 12,9 mii lei</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 și 2 halate de baie </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 0,5 mii lei</w:t>
      </w:r>
      <w:r>
        <w:rPr>
          <w:rFonts w:asciiTheme="majorHAnsi" w:hAnsiTheme="majorHAnsi" w:cstheme="majorHAnsi"/>
          <w:sz w:val="16"/>
          <w:szCs w:val="16"/>
          <w:vertAlign w:val="baseline"/>
        </w:rPr>
        <w:t>.</w:t>
      </w:r>
    </w:p>
  </w:footnote>
  <w:footnote w:id="62">
    <w:p w14:paraId="283566E5" w14:textId="26947AB9" w:rsidR="00036D7F" w:rsidRPr="004F4116" w:rsidRDefault="00036D7F">
      <w:pPr>
        <w:pStyle w:val="FootnoteText"/>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rPr>
        <w:t xml:space="preserve"> SRL Bercut Grup.</w:t>
      </w:r>
    </w:p>
  </w:footnote>
  <w:footnote w:id="63">
    <w:p w14:paraId="490745AA" w14:textId="2A0DBEEF" w:rsidR="00036D7F" w:rsidRPr="004F4116" w:rsidRDefault="00036D7F">
      <w:pPr>
        <w:pStyle w:val="FootnoteText"/>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rPr>
        <w:t xml:space="preserve"> ANRE nu a prezentat motivul neacceptării în temeiul pct.35 din HANRE nr.283 din 15.11.2016 cu privire la aprobarea Regulamentului privind planificarea, aprobarea și efectuarea investițiilor.</w:t>
      </w:r>
    </w:p>
  </w:footnote>
  <w:footnote w:id="64">
    <w:p w14:paraId="54A98EC7" w14:textId="26CB5025" w:rsidR="00036D7F" w:rsidRPr="00E41020" w:rsidRDefault="00036D7F" w:rsidP="00A91FB5">
      <w:pPr>
        <w:pStyle w:val="FootnoteText"/>
        <w:jc w:val="both"/>
        <w:rPr>
          <w:rFonts w:asciiTheme="majorHAnsi" w:hAnsiTheme="majorHAnsi" w:cstheme="majorHAnsi"/>
          <w:bCs/>
          <w:sz w:val="16"/>
          <w:szCs w:val="16"/>
          <w:vertAlign w:val="baseline"/>
          <w:lang w:val="ro-MD"/>
        </w:rPr>
      </w:pPr>
      <w:r w:rsidRPr="00E41020">
        <w:rPr>
          <w:rStyle w:val="FootnoteReference"/>
          <w:rFonts w:asciiTheme="majorHAnsi" w:hAnsiTheme="majorHAnsi" w:cstheme="majorHAnsi"/>
          <w:sz w:val="16"/>
          <w:szCs w:val="16"/>
          <w:lang w:val="ro-MD"/>
        </w:rPr>
        <w:footnoteRef/>
      </w:r>
      <w:r w:rsidRPr="00E41020">
        <w:rPr>
          <w:rFonts w:asciiTheme="majorHAnsi" w:hAnsiTheme="majorHAnsi" w:cstheme="majorHAnsi"/>
          <w:sz w:val="16"/>
          <w:szCs w:val="16"/>
          <w:lang w:val="ro-MD"/>
        </w:rPr>
        <w:t xml:space="preserve"> </w:t>
      </w:r>
      <w:r w:rsidRPr="00E41020">
        <w:rPr>
          <w:rFonts w:asciiTheme="majorHAnsi" w:hAnsiTheme="majorHAnsi" w:cstheme="majorHAnsi"/>
          <w:bCs/>
          <w:sz w:val="16"/>
          <w:szCs w:val="16"/>
          <w:vertAlign w:val="baseline"/>
          <w:lang w:val="ro-MD"/>
        </w:rPr>
        <w:t>Regulamentul privind planificarea, aprobarea şi efectuarea investiţiilor</w:t>
      </w:r>
      <w:r>
        <w:rPr>
          <w:rFonts w:asciiTheme="majorHAnsi" w:hAnsiTheme="majorHAnsi" w:cstheme="majorHAnsi"/>
          <w:bCs/>
          <w:sz w:val="16"/>
          <w:szCs w:val="16"/>
          <w:vertAlign w:val="baseline"/>
          <w:lang w:val="ro-MD"/>
        </w:rPr>
        <w:t>,</w:t>
      </w:r>
      <w:r w:rsidRPr="00E41020">
        <w:rPr>
          <w:rFonts w:asciiTheme="majorHAnsi" w:hAnsiTheme="majorHAnsi" w:cstheme="majorHAnsi"/>
          <w:bCs/>
          <w:sz w:val="16"/>
          <w:szCs w:val="16"/>
          <w:vertAlign w:val="baseline"/>
          <w:lang w:val="ro-MD"/>
        </w:rPr>
        <w:t xml:space="preserve"> aprobat prin HANRE nr.283 din 15.11.2016 și Regulamentul, aprobat prin HANRE nr.</w:t>
      </w:r>
      <w:r w:rsidRPr="00F63291">
        <w:rPr>
          <w:rFonts w:asciiTheme="majorHAnsi" w:hAnsiTheme="majorHAnsi" w:cstheme="majorHAnsi"/>
          <w:bCs/>
          <w:sz w:val="16"/>
          <w:szCs w:val="16"/>
          <w:vertAlign w:val="baseline"/>
        </w:rPr>
        <w:t xml:space="preserve">24/2017 din </w:t>
      </w:r>
      <w:r w:rsidRPr="00E41020">
        <w:rPr>
          <w:rFonts w:asciiTheme="majorHAnsi" w:hAnsiTheme="majorHAnsi" w:cstheme="majorHAnsi"/>
          <w:bCs/>
          <w:sz w:val="16"/>
          <w:szCs w:val="16"/>
          <w:vertAlign w:val="baseline"/>
          <w:lang w:val="ro-MD"/>
        </w:rPr>
        <w:t>26.01.2017.</w:t>
      </w:r>
    </w:p>
  </w:footnote>
  <w:footnote w:id="65">
    <w:p w14:paraId="73AC55DC" w14:textId="257E588A" w:rsidR="00036D7F" w:rsidRPr="00E41020" w:rsidRDefault="00036D7F">
      <w:pPr>
        <w:pStyle w:val="FootnoteText"/>
        <w:rPr>
          <w:rFonts w:asciiTheme="majorHAnsi" w:hAnsiTheme="majorHAnsi" w:cstheme="majorHAnsi"/>
          <w:sz w:val="16"/>
          <w:szCs w:val="16"/>
          <w:vertAlign w:val="baseline"/>
          <w:lang w:val="ro-MD"/>
        </w:rPr>
      </w:pPr>
      <w:r w:rsidRPr="00E41020">
        <w:rPr>
          <w:rStyle w:val="FootnoteReference"/>
          <w:rFonts w:asciiTheme="majorHAnsi" w:hAnsiTheme="majorHAnsi" w:cstheme="majorHAnsi"/>
          <w:sz w:val="16"/>
          <w:szCs w:val="16"/>
          <w:lang w:val="ro-MD"/>
        </w:rPr>
        <w:footnoteRef/>
      </w:r>
      <w:r w:rsidRPr="00E41020">
        <w:rPr>
          <w:rFonts w:asciiTheme="majorHAnsi" w:hAnsiTheme="majorHAnsi" w:cstheme="majorHAnsi"/>
          <w:sz w:val="16"/>
          <w:szCs w:val="16"/>
          <w:lang w:val="ro-MD"/>
        </w:rPr>
        <w:t xml:space="preserve"> </w:t>
      </w:r>
      <w:r w:rsidRPr="00E41020">
        <w:rPr>
          <w:rFonts w:asciiTheme="majorHAnsi" w:hAnsiTheme="majorHAnsi" w:cstheme="majorHAnsi"/>
          <w:sz w:val="16"/>
          <w:szCs w:val="16"/>
          <w:vertAlign w:val="baseline"/>
          <w:lang w:val="ro-MD"/>
        </w:rPr>
        <w:t>SRL Chișinău</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 SRL Ialoveni</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w:t>
      </w:r>
      <w:r w:rsidRPr="00E41020">
        <w:rPr>
          <w:rFonts w:asciiTheme="majorHAnsi" w:hAnsiTheme="majorHAnsi" w:cstheme="majorHAnsi"/>
          <w:sz w:val="16"/>
          <w:szCs w:val="16"/>
          <w:lang w:val="ro-MD"/>
        </w:rPr>
        <w:t xml:space="preserve"> </w:t>
      </w:r>
      <w:r w:rsidRPr="00E41020">
        <w:rPr>
          <w:rFonts w:asciiTheme="majorHAnsi" w:hAnsiTheme="majorHAnsi" w:cstheme="majorHAnsi"/>
          <w:sz w:val="16"/>
          <w:szCs w:val="16"/>
          <w:vertAlign w:val="baseline"/>
          <w:lang w:val="ro-MD"/>
        </w:rPr>
        <w:t>SRL Florești</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 și SRL Taraclia</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w:t>
      </w:r>
    </w:p>
  </w:footnote>
  <w:footnote w:id="66">
    <w:p w14:paraId="24B53E7C" w14:textId="60CE640C" w:rsidR="00036D7F" w:rsidRPr="00E41020" w:rsidRDefault="00036D7F" w:rsidP="00E41020">
      <w:pPr>
        <w:pStyle w:val="FootnoteText"/>
        <w:jc w:val="both"/>
        <w:rPr>
          <w:rFonts w:asciiTheme="majorHAnsi" w:hAnsiTheme="majorHAnsi" w:cstheme="majorHAnsi"/>
          <w:sz w:val="16"/>
          <w:szCs w:val="16"/>
          <w:lang w:val="ro-MD"/>
        </w:rPr>
      </w:pPr>
      <w:r w:rsidRPr="00E41020">
        <w:rPr>
          <w:rStyle w:val="FootnoteReference"/>
          <w:rFonts w:asciiTheme="majorHAnsi" w:hAnsiTheme="majorHAnsi" w:cstheme="majorHAnsi"/>
          <w:sz w:val="16"/>
          <w:szCs w:val="16"/>
          <w:lang w:val="ro-MD"/>
        </w:rPr>
        <w:footnoteRef/>
      </w:r>
      <w:r w:rsidRPr="00E41020">
        <w:rPr>
          <w:rFonts w:asciiTheme="majorHAnsi" w:hAnsiTheme="majorHAnsi" w:cstheme="majorHAnsi"/>
          <w:sz w:val="16"/>
          <w:szCs w:val="16"/>
          <w:lang w:val="ro-MD"/>
        </w:rPr>
        <w:t xml:space="preserve"> </w:t>
      </w:r>
      <w:r w:rsidRPr="001F602F">
        <w:rPr>
          <w:rFonts w:asciiTheme="majorHAnsi" w:hAnsiTheme="majorHAnsi" w:cstheme="majorHAnsi"/>
          <w:sz w:val="16"/>
          <w:szCs w:val="16"/>
          <w:vertAlign w:val="baseline"/>
          <w:lang w:val="ro-MD"/>
        </w:rPr>
        <w:t xml:space="preserve">Taxa de acces (conectare) </w:t>
      </w:r>
      <w:r w:rsidRPr="00CF3AD4">
        <w:rPr>
          <w:rFonts w:asciiTheme="majorHAnsi" w:hAnsiTheme="majorHAnsi" w:cstheme="majorHAnsi"/>
          <w:sz w:val="16"/>
          <w:szCs w:val="16"/>
          <w:vertAlign w:val="baseline"/>
          <w:lang w:val="ro-MD"/>
        </w:rPr>
        <w:t>a consumatorilor</w:t>
      </w:r>
      <w:r w:rsidRPr="001F602F">
        <w:rPr>
          <w:rFonts w:asciiTheme="majorHAnsi" w:hAnsiTheme="majorHAnsi" w:cstheme="majorHAnsi"/>
          <w:sz w:val="16"/>
          <w:szCs w:val="16"/>
          <w:vertAlign w:val="baseline"/>
          <w:lang w:val="ro-MD"/>
        </w:rPr>
        <w:t xml:space="preserve"> la rețelele de </w:t>
      </w:r>
      <w:r w:rsidRPr="00CF3AD4">
        <w:rPr>
          <w:rFonts w:asciiTheme="majorHAnsi" w:hAnsiTheme="majorHAnsi" w:cstheme="majorHAnsi"/>
          <w:sz w:val="16"/>
          <w:szCs w:val="16"/>
          <w:vertAlign w:val="baseline"/>
          <w:lang w:val="ro-MD"/>
        </w:rPr>
        <w:t xml:space="preserve">distribuție </w:t>
      </w:r>
      <w:r w:rsidRPr="001F602F">
        <w:rPr>
          <w:rFonts w:asciiTheme="majorHAnsi" w:hAnsiTheme="majorHAnsi" w:cstheme="majorHAnsi"/>
          <w:sz w:val="16"/>
          <w:szCs w:val="16"/>
          <w:vertAlign w:val="baseline"/>
          <w:lang w:val="ro-MD"/>
        </w:rPr>
        <w:t>constituia 2.970 lei x 1.931</w:t>
      </w:r>
      <w:r w:rsidRPr="00E41020">
        <w:rPr>
          <w:rFonts w:asciiTheme="majorHAnsi" w:hAnsiTheme="majorHAnsi" w:cstheme="majorHAnsi"/>
          <w:sz w:val="16"/>
          <w:szCs w:val="16"/>
          <w:vertAlign w:val="baseline"/>
          <w:lang w:val="ro-MD"/>
        </w:rPr>
        <w:t xml:space="preserve"> potențiali consumatori = 5</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735</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070 lei</w:t>
      </w:r>
      <w:r>
        <w:rPr>
          <w:rFonts w:asciiTheme="majorHAnsi" w:hAnsiTheme="majorHAnsi" w:cstheme="majorHAnsi"/>
          <w:sz w:val="16"/>
          <w:szCs w:val="16"/>
          <w:vertAlign w:val="baseline"/>
          <w:lang w:val="ro-MD"/>
        </w:rPr>
        <w:t>.</w:t>
      </w:r>
    </w:p>
  </w:footnote>
  <w:footnote w:id="67">
    <w:p w14:paraId="2C70A8B6" w14:textId="77777777" w:rsidR="00036D7F" w:rsidRPr="00E41020" w:rsidRDefault="00036D7F" w:rsidP="00EA194B">
      <w:pPr>
        <w:pStyle w:val="FootnoteText"/>
        <w:jc w:val="both"/>
        <w:rPr>
          <w:rFonts w:asciiTheme="majorHAnsi" w:hAnsiTheme="majorHAnsi" w:cstheme="majorHAnsi"/>
          <w:sz w:val="16"/>
          <w:szCs w:val="16"/>
          <w:lang w:val="ro-MD"/>
        </w:rPr>
      </w:pPr>
      <w:r w:rsidRPr="00E41020">
        <w:rPr>
          <w:rStyle w:val="FootnoteReference"/>
          <w:rFonts w:asciiTheme="majorHAnsi" w:hAnsiTheme="majorHAnsi" w:cstheme="majorHAnsi"/>
          <w:sz w:val="16"/>
          <w:szCs w:val="16"/>
          <w:lang w:val="ro-MD"/>
        </w:rPr>
        <w:footnoteRef/>
      </w:r>
      <w:r w:rsidRPr="00E41020">
        <w:rPr>
          <w:rFonts w:asciiTheme="majorHAnsi" w:hAnsiTheme="majorHAnsi" w:cstheme="majorHAnsi"/>
          <w:sz w:val="16"/>
          <w:szCs w:val="16"/>
          <w:lang w:val="ro-MD"/>
        </w:rPr>
        <w:t xml:space="preserve"> </w:t>
      </w:r>
      <w:r w:rsidRPr="00E41020">
        <w:rPr>
          <w:rFonts w:asciiTheme="majorHAnsi" w:hAnsiTheme="majorHAnsi" w:cstheme="majorHAnsi"/>
          <w:sz w:val="16"/>
          <w:szCs w:val="16"/>
          <w:vertAlign w:val="baseline"/>
          <w:lang w:val="ro-MD"/>
        </w:rPr>
        <w:t>SRL Chișinău</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 – 4.045,4 mii lei, SRL Bălți</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 – 2.804,2 mii lei, SRL Ialoveni</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 – 2.944,2 mii lei, SRL Florești</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 – 861,1 mii lei, SRL Edineț-gaz – 2.012,7 mii lei</w:t>
      </w:r>
      <w:r>
        <w:rPr>
          <w:rFonts w:asciiTheme="majorHAnsi" w:hAnsiTheme="majorHAnsi" w:cstheme="majorHAnsi"/>
          <w:sz w:val="16"/>
          <w:szCs w:val="16"/>
          <w:vertAlign w:val="baseline"/>
          <w:lang w:val="ro-MD"/>
        </w:rPr>
        <w:t>, SRL Ungheni-gaz – 1.334.4 mii lei</w:t>
      </w:r>
      <w:r w:rsidRPr="00E41020">
        <w:rPr>
          <w:rFonts w:asciiTheme="majorHAnsi" w:hAnsiTheme="majorHAnsi" w:cstheme="majorHAnsi"/>
          <w:sz w:val="16"/>
          <w:szCs w:val="16"/>
          <w:vertAlign w:val="baseline"/>
          <w:lang w:val="ro-MD"/>
        </w:rPr>
        <w:t xml:space="preserve"> și SRL Gagauz</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gaz – 1.918,6 mii lei.</w:t>
      </w:r>
      <w:r w:rsidRPr="00E41020">
        <w:rPr>
          <w:rFonts w:asciiTheme="majorHAnsi" w:hAnsiTheme="majorHAnsi" w:cstheme="majorHAnsi"/>
          <w:sz w:val="16"/>
          <w:szCs w:val="16"/>
          <w:lang w:val="ro-MD"/>
        </w:rPr>
        <w:t xml:space="preserve"> </w:t>
      </w:r>
    </w:p>
  </w:footnote>
  <w:footnote w:id="68">
    <w:p w14:paraId="2EB3E49C" w14:textId="75116B6B" w:rsidR="00036D7F" w:rsidRPr="00E41020" w:rsidRDefault="00036D7F" w:rsidP="005B24F4">
      <w:pPr>
        <w:pStyle w:val="FootnoteText"/>
        <w:jc w:val="both"/>
        <w:rPr>
          <w:rFonts w:asciiTheme="majorHAnsi" w:hAnsiTheme="majorHAnsi" w:cstheme="majorHAnsi"/>
          <w:sz w:val="16"/>
          <w:szCs w:val="16"/>
          <w:lang w:val="ro-MD"/>
        </w:rPr>
      </w:pPr>
      <w:r w:rsidRPr="00E41020">
        <w:rPr>
          <w:rStyle w:val="FootnoteReference"/>
          <w:rFonts w:asciiTheme="majorHAnsi" w:hAnsiTheme="majorHAnsi" w:cstheme="majorHAnsi"/>
          <w:sz w:val="16"/>
          <w:szCs w:val="16"/>
          <w:lang w:val="ro-MD"/>
        </w:rPr>
        <w:footnoteRef/>
      </w:r>
      <w:r w:rsidRPr="00E41020">
        <w:rPr>
          <w:rFonts w:asciiTheme="majorHAnsi" w:hAnsiTheme="majorHAnsi" w:cstheme="majorHAnsi"/>
          <w:sz w:val="16"/>
          <w:szCs w:val="16"/>
          <w:lang w:val="ro-MD"/>
        </w:rPr>
        <w:t xml:space="preserve"> </w:t>
      </w:r>
      <w:r w:rsidRPr="00E41020">
        <w:rPr>
          <w:rFonts w:asciiTheme="majorHAnsi" w:hAnsiTheme="majorHAnsi" w:cstheme="majorHAnsi"/>
          <w:sz w:val="16"/>
          <w:szCs w:val="16"/>
          <w:vertAlign w:val="baseline"/>
          <w:lang w:val="ro-MD"/>
        </w:rPr>
        <w:t xml:space="preserve">Pct. 3.1  și pct. 5.1 din CP L.01.03-2012 </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Instrucțiuni cu privire la calcularea cheltuielilor de regie la determinarea valorii obiectului”.</w:t>
      </w:r>
    </w:p>
  </w:footnote>
  <w:footnote w:id="69">
    <w:p w14:paraId="7AC9FD18" w14:textId="5F9DF2A6" w:rsidR="00036D7F" w:rsidRPr="00E41020" w:rsidRDefault="00036D7F" w:rsidP="005B24F4">
      <w:pPr>
        <w:pStyle w:val="FootnoteText"/>
        <w:jc w:val="both"/>
        <w:rPr>
          <w:rFonts w:asciiTheme="majorHAnsi" w:hAnsiTheme="majorHAnsi" w:cstheme="majorHAnsi"/>
          <w:sz w:val="16"/>
          <w:szCs w:val="16"/>
          <w:lang w:val="ro-MD"/>
        </w:rPr>
      </w:pPr>
      <w:r w:rsidRPr="00E41020">
        <w:rPr>
          <w:rStyle w:val="FootnoteReference"/>
          <w:rFonts w:asciiTheme="majorHAnsi" w:hAnsiTheme="majorHAnsi" w:cstheme="majorHAnsi"/>
          <w:sz w:val="16"/>
          <w:szCs w:val="16"/>
          <w:lang w:val="ro-MD"/>
        </w:rPr>
        <w:footnoteRef/>
      </w:r>
      <w:r w:rsidRPr="00E41020">
        <w:rPr>
          <w:rFonts w:asciiTheme="majorHAnsi" w:eastAsia="Times New Roman" w:hAnsiTheme="majorHAnsi" w:cstheme="majorHAnsi"/>
          <w:sz w:val="16"/>
          <w:szCs w:val="16"/>
          <w:vertAlign w:val="baseline"/>
          <w:lang w:val="ro-MD"/>
        </w:rPr>
        <w:t xml:space="preserve"> Scrisoarea nr. 887-01-07 din 12.04.2002 a Ministerului Ecologiei, Construcțiilor și Dezvoltării Teritoriului</w:t>
      </w:r>
      <w:r>
        <w:rPr>
          <w:rFonts w:asciiTheme="majorHAnsi" w:eastAsia="Times New Roman" w:hAnsiTheme="majorHAnsi" w:cstheme="majorHAnsi"/>
          <w:sz w:val="16"/>
          <w:szCs w:val="16"/>
          <w:vertAlign w:val="baseline"/>
          <w:lang w:val="ro-MD"/>
        </w:rPr>
        <w:t>.</w:t>
      </w:r>
    </w:p>
  </w:footnote>
  <w:footnote w:id="70">
    <w:p w14:paraId="62D56985" w14:textId="3595E18B" w:rsidR="00036D7F" w:rsidRPr="00E41020" w:rsidRDefault="00036D7F" w:rsidP="001A7D60">
      <w:pPr>
        <w:pStyle w:val="FootnoteText"/>
        <w:jc w:val="both"/>
        <w:rPr>
          <w:rFonts w:asciiTheme="majorHAnsi" w:hAnsiTheme="majorHAnsi" w:cstheme="majorHAnsi"/>
          <w:sz w:val="16"/>
          <w:szCs w:val="16"/>
          <w:lang w:val="ro-MD"/>
        </w:rPr>
      </w:pPr>
      <w:r w:rsidRPr="00E41020">
        <w:rPr>
          <w:rStyle w:val="FootnoteReference"/>
          <w:rFonts w:asciiTheme="majorHAnsi" w:hAnsiTheme="majorHAnsi" w:cstheme="majorHAnsi"/>
          <w:sz w:val="16"/>
          <w:szCs w:val="16"/>
          <w:lang w:val="ro-MD"/>
        </w:rPr>
        <w:footnoteRef/>
      </w:r>
      <w:r w:rsidRPr="00E41020">
        <w:rPr>
          <w:rFonts w:asciiTheme="majorHAnsi" w:hAnsiTheme="majorHAnsi" w:cstheme="majorHAnsi"/>
          <w:sz w:val="16"/>
          <w:szCs w:val="16"/>
          <w:vertAlign w:val="baseline"/>
          <w:lang w:val="ro-MD"/>
        </w:rPr>
        <w:t xml:space="preserve"> CP L 01.01-2012 „Instrucțiuni privind întocmirea devizelor pentru lucrările de construcție</w:t>
      </w:r>
      <w:r>
        <w:rPr>
          <w:rFonts w:asciiTheme="majorHAnsi" w:hAnsiTheme="majorHAnsi" w:cstheme="majorHAnsi"/>
          <w:sz w:val="16"/>
          <w:szCs w:val="16"/>
          <w:vertAlign w:val="baseline"/>
          <w:lang w:val="ro-MD"/>
        </w:rPr>
        <w:t>-</w:t>
      </w:r>
      <w:r w:rsidRPr="00E41020">
        <w:rPr>
          <w:rFonts w:asciiTheme="majorHAnsi" w:hAnsiTheme="majorHAnsi" w:cstheme="majorHAnsi"/>
          <w:sz w:val="16"/>
          <w:szCs w:val="16"/>
          <w:vertAlign w:val="baseline"/>
          <w:lang w:val="ro-MD"/>
        </w:rPr>
        <w:t>montaj prin metoda de resurse”.</w:t>
      </w:r>
    </w:p>
  </w:footnote>
  <w:footnote w:id="71">
    <w:p w14:paraId="4750B6F7" w14:textId="6F8322BF" w:rsidR="00036D7F" w:rsidRPr="00E41020" w:rsidRDefault="00036D7F" w:rsidP="00E41020">
      <w:pPr>
        <w:pStyle w:val="cp"/>
        <w:jc w:val="both"/>
        <w:rPr>
          <w:rFonts w:asciiTheme="majorHAnsi" w:hAnsiTheme="majorHAnsi" w:cstheme="majorHAnsi"/>
          <w:b w:val="0"/>
          <w:sz w:val="16"/>
          <w:szCs w:val="16"/>
          <w:lang w:val="ro-MD"/>
        </w:rPr>
      </w:pPr>
      <w:r w:rsidRPr="00E41020">
        <w:rPr>
          <w:rStyle w:val="FootnoteReference"/>
          <w:rFonts w:asciiTheme="majorHAnsi" w:hAnsiTheme="majorHAnsi" w:cstheme="majorHAnsi"/>
          <w:b w:val="0"/>
          <w:sz w:val="16"/>
          <w:szCs w:val="16"/>
          <w:lang w:val="ro-MD"/>
        </w:rPr>
        <w:footnoteRef/>
      </w:r>
      <w:r w:rsidRPr="00E41020">
        <w:rPr>
          <w:rFonts w:asciiTheme="majorHAnsi" w:hAnsiTheme="majorHAnsi" w:cstheme="majorHAnsi"/>
          <w:b w:val="0"/>
          <w:sz w:val="16"/>
          <w:szCs w:val="16"/>
          <w:lang w:val="ro-MD"/>
        </w:rPr>
        <w:t xml:space="preserve"> Pct.6 din Standardul Național de Contabilitate „Imobilizări necorporale și corporale”, aprobat prin Ordinul ministrului Finanțelor nr.118 din 06.08.2013.</w:t>
      </w:r>
    </w:p>
  </w:footnote>
  <w:footnote w:id="72">
    <w:p w14:paraId="0F117D9B" w14:textId="77B067AA" w:rsidR="00036D7F" w:rsidRPr="00E41020" w:rsidRDefault="00036D7F" w:rsidP="00E41020">
      <w:pPr>
        <w:spacing w:after="0" w:line="240" w:lineRule="auto"/>
        <w:jc w:val="both"/>
        <w:rPr>
          <w:rFonts w:asciiTheme="majorHAnsi" w:hAnsiTheme="majorHAnsi" w:cstheme="majorHAnsi"/>
          <w:sz w:val="16"/>
          <w:szCs w:val="16"/>
          <w:lang w:val="ro-MD"/>
        </w:rPr>
      </w:pPr>
      <w:r w:rsidRPr="00E41020">
        <w:rPr>
          <w:rStyle w:val="FootnoteReference"/>
          <w:rFonts w:asciiTheme="majorHAnsi" w:hAnsiTheme="majorHAnsi" w:cstheme="majorHAnsi"/>
          <w:sz w:val="16"/>
          <w:szCs w:val="16"/>
          <w:lang w:val="ro-MD"/>
        </w:rPr>
        <w:footnoteRef/>
      </w:r>
      <w:r w:rsidRPr="00E41020">
        <w:rPr>
          <w:rFonts w:asciiTheme="majorHAnsi" w:hAnsiTheme="majorHAnsi" w:cstheme="majorHAnsi"/>
          <w:sz w:val="16"/>
          <w:szCs w:val="16"/>
          <w:lang w:val="ro-MD"/>
        </w:rPr>
        <w:t xml:space="preserve"> Proiectul </w:t>
      </w:r>
      <w:r>
        <w:rPr>
          <w:rFonts w:asciiTheme="majorHAnsi" w:hAnsiTheme="majorHAnsi" w:cstheme="majorHAnsi"/>
          <w:sz w:val="16"/>
          <w:szCs w:val="16"/>
          <w:lang w:val="ro-MD"/>
        </w:rPr>
        <w:t>„</w:t>
      </w:r>
      <w:r w:rsidRPr="00E41020">
        <w:rPr>
          <w:rFonts w:asciiTheme="majorHAnsi" w:hAnsiTheme="majorHAnsi" w:cstheme="majorHAnsi"/>
          <w:sz w:val="16"/>
          <w:szCs w:val="16"/>
          <w:lang w:val="ro-MD"/>
        </w:rPr>
        <w:t>Reconstrucția PZRG Tocuz</w:t>
      </w:r>
      <w:r>
        <w:rPr>
          <w:rFonts w:asciiTheme="majorHAnsi" w:hAnsiTheme="majorHAnsi" w:cstheme="majorHAnsi"/>
          <w:sz w:val="16"/>
          <w:szCs w:val="16"/>
          <w:lang w:val="ro-MD"/>
        </w:rPr>
        <w:t>”,</w:t>
      </w:r>
      <w:r w:rsidRPr="00E41020">
        <w:rPr>
          <w:rFonts w:asciiTheme="majorHAnsi" w:hAnsiTheme="majorHAnsi" w:cstheme="majorHAnsi"/>
          <w:sz w:val="16"/>
          <w:szCs w:val="16"/>
          <w:lang w:val="ro-MD"/>
        </w:rPr>
        <w:t xml:space="preserve"> în valoare de 1.340,1 mii lei</w:t>
      </w:r>
      <w:r>
        <w:rPr>
          <w:rFonts w:asciiTheme="majorHAnsi" w:hAnsiTheme="majorHAnsi" w:cstheme="majorHAnsi"/>
          <w:sz w:val="16"/>
          <w:szCs w:val="16"/>
          <w:lang w:val="ro-MD"/>
        </w:rPr>
        <w:t>,</w:t>
      </w:r>
      <w:r w:rsidRPr="00E41020">
        <w:rPr>
          <w:rFonts w:asciiTheme="majorHAnsi" w:hAnsiTheme="majorHAnsi" w:cstheme="majorHAnsi"/>
          <w:sz w:val="16"/>
          <w:szCs w:val="16"/>
          <w:lang w:val="ro-MD"/>
        </w:rPr>
        <w:t xml:space="preserve"> serviciile fiind executate în anul 2016; proiectul </w:t>
      </w:r>
      <w:r>
        <w:rPr>
          <w:rFonts w:asciiTheme="majorHAnsi" w:hAnsiTheme="majorHAnsi" w:cstheme="majorHAnsi"/>
          <w:sz w:val="16"/>
          <w:szCs w:val="16"/>
          <w:lang w:val="ro-MD"/>
        </w:rPr>
        <w:t>„</w:t>
      </w:r>
      <w:r w:rsidRPr="00E41020">
        <w:rPr>
          <w:rFonts w:asciiTheme="majorHAnsi" w:hAnsiTheme="majorHAnsi" w:cstheme="majorHAnsi"/>
          <w:sz w:val="16"/>
          <w:szCs w:val="16"/>
          <w:lang w:val="ro-MD"/>
        </w:rPr>
        <w:t>Reconstrucția Stației de Compresoare Drochia”</w:t>
      </w:r>
      <w:r>
        <w:rPr>
          <w:rFonts w:asciiTheme="majorHAnsi" w:hAnsiTheme="majorHAnsi" w:cstheme="majorHAnsi"/>
          <w:sz w:val="16"/>
          <w:szCs w:val="16"/>
          <w:lang w:val="ro-MD"/>
        </w:rPr>
        <w:t>,</w:t>
      </w:r>
      <w:r w:rsidRPr="00E41020">
        <w:rPr>
          <w:rFonts w:asciiTheme="majorHAnsi" w:hAnsiTheme="majorHAnsi" w:cstheme="majorHAnsi"/>
          <w:sz w:val="16"/>
          <w:szCs w:val="16"/>
          <w:lang w:val="ro-MD"/>
        </w:rPr>
        <w:t xml:space="preserve"> în valoare de 3.756,5 mii lei</w:t>
      </w:r>
      <w:r>
        <w:rPr>
          <w:rFonts w:asciiTheme="majorHAnsi" w:hAnsiTheme="majorHAnsi" w:cstheme="majorHAnsi"/>
          <w:sz w:val="16"/>
          <w:szCs w:val="16"/>
          <w:lang w:val="ro-MD"/>
        </w:rPr>
        <w:t>,</w:t>
      </w:r>
      <w:r w:rsidRPr="00E41020">
        <w:rPr>
          <w:rFonts w:asciiTheme="majorHAnsi" w:hAnsiTheme="majorHAnsi" w:cstheme="majorHAnsi"/>
          <w:sz w:val="16"/>
          <w:szCs w:val="16"/>
          <w:lang w:val="ro-MD"/>
        </w:rPr>
        <w:t xml:space="preserve"> serviciile fiind executate în anul 2015; proiectul </w:t>
      </w:r>
      <w:r>
        <w:rPr>
          <w:rFonts w:asciiTheme="majorHAnsi" w:hAnsiTheme="majorHAnsi" w:cstheme="majorHAnsi"/>
          <w:sz w:val="16"/>
          <w:szCs w:val="16"/>
          <w:lang w:val="ro-MD"/>
        </w:rPr>
        <w:t>„</w:t>
      </w:r>
      <w:r w:rsidRPr="00E41020">
        <w:rPr>
          <w:rFonts w:asciiTheme="majorHAnsi" w:hAnsiTheme="majorHAnsi" w:cstheme="majorHAnsi"/>
          <w:sz w:val="16"/>
          <w:szCs w:val="16"/>
          <w:lang w:val="ro-MD"/>
        </w:rPr>
        <w:t>Schimbarea traseului gazoductului magistral Chișinău-Râbnița din zona alunecării de teren”</w:t>
      </w:r>
      <w:r>
        <w:rPr>
          <w:rFonts w:asciiTheme="majorHAnsi" w:hAnsiTheme="majorHAnsi" w:cstheme="majorHAnsi"/>
          <w:sz w:val="16"/>
          <w:szCs w:val="16"/>
          <w:lang w:val="ro-MD"/>
        </w:rPr>
        <w:t>,</w:t>
      </w:r>
      <w:r w:rsidRPr="00E41020">
        <w:rPr>
          <w:rFonts w:asciiTheme="majorHAnsi" w:hAnsiTheme="majorHAnsi" w:cstheme="majorHAnsi"/>
          <w:sz w:val="16"/>
          <w:szCs w:val="16"/>
          <w:lang w:val="ro-MD"/>
        </w:rPr>
        <w:t xml:space="preserve"> în valoare de 2.480,9 mii lei</w:t>
      </w:r>
      <w:r>
        <w:rPr>
          <w:rFonts w:asciiTheme="majorHAnsi" w:hAnsiTheme="majorHAnsi" w:cstheme="majorHAnsi"/>
          <w:sz w:val="16"/>
          <w:szCs w:val="16"/>
          <w:lang w:val="ro-MD"/>
        </w:rPr>
        <w:t>,</w:t>
      </w:r>
      <w:r w:rsidRPr="00E41020">
        <w:rPr>
          <w:rFonts w:asciiTheme="majorHAnsi" w:hAnsiTheme="majorHAnsi" w:cstheme="majorHAnsi"/>
          <w:sz w:val="16"/>
          <w:szCs w:val="16"/>
          <w:lang w:val="ro-MD"/>
        </w:rPr>
        <w:t xml:space="preserve"> serviciile fiind executate în anii 2015-2018.</w:t>
      </w:r>
    </w:p>
  </w:footnote>
  <w:footnote w:id="73">
    <w:p w14:paraId="198550F1" w14:textId="199DB75F" w:rsidR="00036D7F" w:rsidRPr="00FB6FF5" w:rsidRDefault="00036D7F" w:rsidP="00A2327C">
      <w:pPr>
        <w:pStyle w:val="FootnoteText"/>
        <w:jc w:val="both"/>
        <w:rPr>
          <w:rFonts w:asciiTheme="majorHAnsi" w:hAnsiTheme="majorHAnsi" w:cstheme="majorHAnsi"/>
          <w:sz w:val="16"/>
          <w:szCs w:val="16"/>
          <w:lang w:val="ro-MD"/>
        </w:rPr>
      </w:pPr>
      <w:r w:rsidRPr="00FB6FF5">
        <w:rPr>
          <w:rStyle w:val="FootnoteReference"/>
          <w:rFonts w:asciiTheme="majorHAnsi" w:hAnsiTheme="majorHAnsi" w:cstheme="majorHAnsi"/>
          <w:sz w:val="16"/>
          <w:szCs w:val="16"/>
          <w:lang w:val="ro-MD"/>
        </w:rPr>
        <w:footnoteRef/>
      </w:r>
      <w:r w:rsidRPr="00FB6FF5">
        <w:rPr>
          <w:rFonts w:asciiTheme="majorHAnsi" w:hAnsiTheme="majorHAnsi" w:cstheme="majorHAnsi"/>
          <w:sz w:val="16"/>
          <w:szCs w:val="16"/>
          <w:lang w:val="ro-MD"/>
        </w:rPr>
        <w:t xml:space="preserve"> </w:t>
      </w:r>
      <w:r w:rsidRPr="00FB6FF5">
        <w:rPr>
          <w:rFonts w:asciiTheme="majorHAnsi" w:hAnsiTheme="majorHAnsi" w:cstheme="majorHAnsi"/>
          <w:sz w:val="16"/>
          <w:szCs w:val="16"/>
          <w:vertAlign w:val="baseline"/>
          <w:lang w:val="ro-MD"/>
        </w:rPr>
        <w:t xml:space="preserve">Pct.202 din </w:t>
      </w:r>
      <w:r w:rsidRPr="00FB6FF5">
        <w:rPr>
          <w:rFonts w:asciiTheme="majorHAnsi" w:hAnsiTheme="majorHAnsi" w:cstheme="majorHAnsi"/>
          <w:bCs/>
          <w:sz w:val="16"/>
          <w:szCs w:val="16"/>
          <w:vertAlign w:val="baseline"/>
          <w:lang w:val="ro-MD"/>
        </w:rPr>
        <w:t>Regulamentul aprobat prin H</w:t>
      </w:r>
      <w:r>
        <w:rPr>
          <w:rFonts w:asciiTheme="majorHAnsi" w:hAnsiTheme="majorHAnsi" w:cstheme="majorHAnsi"/>
          <w:bCs/>
          <w:sz w:val="16"/>
          <w:szCs w:val="16"/>
          <w:vertAlign w:val="baseline"/>
          <w:lang w:val="ro-MD"/>
        </w:rPr>
        <w:t>ANRE</w:t>
      </w:r>
      <w:r w:rsidRPr="00FB6FF5">
        <w:rPr>
          <w:rFonts w:asciiTheme="majorHAnsi" w:hAnsiTheme="majorHAnsi" w:cstheme="majorHAnsi"/>
          <w:bCs/>
          <w:sz w:val="16"/>
          <w:szCs w:val="16"/>
          <w:vertAlign w:val="baseline"/>
          <w:lang w:val="ro-MD"/>
        </w:rPr>
        <w:t xml:space="preserve"> nr. 24 din 26.01.2017</w:t>
      </w:r>
      <w:r>
        <w:rPr>
          <w:rFonts w:asciiTheme="majorHAnsi" w:hAnsiTheme="majorHAnsi" w:cstheme="majorHAnsi"/>
          <w:bCs/>
          <w:sz w:val="16"/>
          <w:szCs w:val="16"/>
          <w:vertAlign w:val="baseline"/>
          <w:lang w:val="ro-MD"/>
        </w:rPr>
        <w:t>.</w:t>
      </w:r>
    </w:p>
  </w:footnote>
  <w:footnote w:id="74">
    <w:p w14:paraId="0BADAAB3" w14:textId="08B4CAF5" w:rsidR="00036D7F" w:rsidRPr="004F4116" w:rsidRDefault="00036D7F" w:rsidP="00DF6667">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 xml:space="preserve">Pct.58 din Standardul Național de Contabilitate „Imobilizări corporale și necorporale”, aprobat prin </w:t>
      </w:r>
      <w:r>
        <w:rPr>
          <w:rFonts w:asciiTheme="majorHAnsi" w:hAnsiTheme="majorHAnsi" w:cstheme="majorHAnsi"/>
          <w:sz w:val="16"/>
          <w:szCs w:val="16"/>
          <w:vertAlign w:val="baseline"/>
        </w:rPr>
        <w:t>O</w:t>
      </w:r>
      <w:r w:rsidRPr="004F4116">
        <w:rPr>
          <w:rFonts w:asciiTheme="majorHAnsi" w:hAnsiTheme="majorHAnsi" w:cstheme="majorHAnsi"/>
          <w:sz w:val="16"/>
          <w:szCs w:val="16"/>
          <w:vertAlign w:val="baseline"/>
        </w:rPr>
        <w:t xml:space="preserve">rdinul ministrului </w:t>
      </w:r>
      <w:r>
        <w:rPr>
          <w:rFonts w:asciiTheme="majorHAnsi" w:hAnsiTheme="majorHAnsi" w:cstheme="majorHAnsi"/>
          <w:sz w:val="16"/>
          <w:szCs w:val="16"/>
          <w:vertAlign w:val="baseline"/>
        </w:rPr>
        <w:t>F</w:t>
      </w:r>
      <w:r w:rsidRPr="004F4116">
        <w:rPr>
          <w:rFonts w:asciiTheme="majorHAnsi" w:hAnsiTheme="majorHAnsi" w:cstheme="majorHAnsi"/>
          <w:sz w:val="16"/>
          <w:szCs w:val="16"/>
          <w:vertAlign w:val="baseline"/>
        </w:rPr>
        <w:t>inațelor nr.118 din 06.08.2013.</w:t>
      </w:r>
    </w:p>
  </w:footnote>
  <w:footnote w:id="75">
    <w:p w14:paraId="530D7D15" w14:textId="0DAF4C2F" w:rsidR="00036D7F" w:rsidRPr="004F4116" w:rsidRDefault="00036D7F" w:rsidP="00FB6FF5">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 xml:space="preserve">Contractul nr.197 TPC din 13.10.2017 în valoare de 22.901,6 mii lei privind </w:t>
      </w:r>
      <w:r>
        <w:rPr>
          <w:rFonts w:asciiTheme="majorHAnsi" w:hAnsiTheme="majorHAnsi" w:cstheme="majorHAnsi"/>
          <w:sz w:val="16"/>
          <w:szCs w:val="16"/>
          <w:vertAlign w:val="baseline"/>
        </w:rPr>
        <w:t>r</w:t>
      </w:r>
      <w:r w:rsidRPr="004F4116">
        <w:rPr>
          <w:rFonts w:asciiTheme="majorHAnsi" w:hAnsiTheme="majorHAnsi" w:cstheme="majorHAnsi"/>
          <w:sz w:val="16"/>
          <w:szCs w:val="16"/>
          <w:vertAlign w:val="baseline"/>
        </w:rPr>
        <w:t>eparația stratului izolator a</w:t>
      </w:r>
      <w:r>
        <w:rPr>
          <w:rFonts w:asciiTheme="majorHAnsi" w:hAnsiTheme="majorHAnsi" w:cstheme="majorHAnsi"/>
          <w:sz w:val="16"/>
          <w:szCs w:val="16"/>
          <w:vertAlign w:val="baseline"/>
        </w:rPr>
        <w:t>l</w:t>
      </w:r>
      <w:r w:rsidRPr="004F4116">
        <w:rPr>
          <w:rFonts w:asciiTheme="majorHAnsi" w:hAnsiTheme="majorHAnsi" w:cstheme="majorHAnsi"/>
          <w:sz w:val="16"/>
          <w:szCs w:val="16"/>
          <w:vertAlign w:val="baseline"/>
        </w:rPr>
        <w:t xml:space="preserve"> conductei magistrale de gaze </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Odessa-Chișinău, km 144,576-151,246”; Contractul nr.73-SJ din 13.10.2016 în valoare de 13.432,8 mii lei privind </w:t>
      </w:r>
      <w:r>
        <w:rPr>
          <w:rFonts w:asciiTheme="majorHAnsi" w:hAnsiTheme="majorHAnsi" w:cstheme="majorHAnsi"/>
          <w:sz w:val="16"/>
          <w:szCs w:val="16"/>
          <w:vertAlign w:val="baseline"/>
        </w:rPr>
        <w:t>r</w:t>
      </w:r>
      <w:r w:rsidRPr="004F4116">
        <w:rPr>
          <w:rFonts w:asciiTheme="majorHAnsi" w:hAnsiTheme="majorHAnsi" w:cstheme="majorHAnsi"/>
          <w:sz w:val="16"/>
          <w:szCs w:val="16"/>
          <w:vertAlign w:val="baseline"/>
        </w:rPr>
        <w:t>eparația stratului izolator a</w:t>
      </w:r>
      <w:r>
        <w:rPr>
          <w:rFonts w:asciiTheme="majorHAnsi" w:hAnsiTheme="majorHAnsi" w:cstheme="majorHAnsi"/>
          <w:sz w:val="16"/>
          <w:szCs w:val="16"/>
          <w:vertAlign w:val="baseline"/>
        </w:rPr>
        <w:t>l</w:t>
      </w:r>
      <w:r w:rsidRPr="004F4116">
        <w:rPr>
          <w:rFonts w:asciiTheme="majorHAnsi" w:hAnsiTheme="majorHAnsi" w:cstheme="majorHAnsi"/>
          <w:sz w:val="16"/>
          <w:szCs w:val="16"/>
          <w:vertAlign w:val="baseline"/>
        </w:rPr>
        <w:t xml:space="preserve"> conductei magistrale de gaze </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Chișinău-Râbnița, km 34,37-38,23 – km 45,01-46,15”.</w:t>
      </w:r>
    </w:p>
  </w:footnote>
  <w:footnote w:id="76">
    <w:p w14:paraId="347643A1" w14:textId="7935CB36" w:rsidR="00036D7F" w:rsidRPr="004F4116" w:rsidRDefault="00036D7F" w:rsidP="00DB4D5C">
      <w:pPr>
        <w:pStyle w:val="FootnoteText"/>
        <w:rPr>
          <w:rFonts w:asciiTheme="majorHAnsi" w:hAnsiTheme="majorHAnsi" w:cstheme="majorHAnsi"/>
          <w:sz w:val="16"/>
          <w:szCs w:val="16"/>
          <w:vertAlign w:val="baseline"/>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Reguli privind efectuarea lucrărilor de reparație capital</w:t>
      </w:r>
      <w:r>
        <w:rPr>
          <w:rFonts w:asciiTheme="majorHAnsi" w:hAnsiTheme="majorHAnsi" w:cstheme="majorHAnsi"/>
          <w:sz w:val="16"/>
          <w:szCs w:val="16"/>
          <w:vertAlign w:val="baseline"/>
        </w:rPr>
        <w:t>ă</w:t>
      </w:r>
      <w:r w:rsidRPr="004F4116">
        <w:rPr>
          <w:rFonts w:asciiTheme="majorHAnsi" w:hAnsiTheme="majorHAnsi" w:cstheme="majorHAnsi"/>
          <w:sz w:val="16"/>
          <w:szCs w:val="16"/>
          <w:vertAlign w:val="baseline"/>
        </w:rPr>
        <w:t xml:space="preserve"> a gazoductelor magistrale BCH 51-1-97 din 1997</w:t>
      </w:r>
      <w:r>
        <w:rPr>
          <w:rFonts w:asciiTheme="majorHAnsi" w:hAnsiTheme="majorHAnsi" w:cstheme="majorHAnsi"/>
          <w:sz w:val="16"/>
          <w:szCs w:val="16"/>
          <w:vertAlign w:val="baseline"/>
        </w:rPr>
        <w:t>.</w:t>
      </w:r>
    </w:p>
  </w:footnote>
  <w:footnote w:id="77">
    <w:p w14:paraId="2955C6C3" w14:textId="190A58C1" w:rsidR="00036D7F" w:rsidRPr="00EE17E2" w:rsidRDefault="00036D7F" w:rsidP="001B383E">
      <w:pPr>
        <w:pStyle w:val="FootnoteText"/>
        <w:jc w:val="both"/>
        <w:rPr>
          <w:rFonts w:asciiTheme="majorHAnsi" w:hAnsiTheme="majorHAnsi" w:cstheme="majorHAnsi"/>
          <w:sz w:val="16"/>
          <w:szCs w:val="16"/>
          <w:vertAlign w:val="baseline"/>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vertAlign w:val="baseline"/>
          <w:lang w:val="ro-MD"/>
        </w:rPr>
        <w:t xml:space="preserve"> </w:t>
      </w:r>
      <w:r w:rsidRPr="00EE17E2">
        <w:rPr>
          <w:rFonts w:asciiTheme="majorHAnsi" w:hAnsiTheme="majorHAnsi" w:cstheme="majorHAnsi"/>
          <w:sz w:val="16"/>
          <w:szCs w:val="16"/>
          <w:vertAlign w:val="baseline"/>
          <w:lang w:val="ro-MD"/>
        </w:rPr>
        <w:t xml:space="preserve">Regulamentul de efectuare a achizițiilor de bunuri, lucrări şi servicii în sistemul S.A. </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Moldovagaz”, aprobat prin Hotărârea Consiliului de Administrație nr.58 din 16.09.2009</w:t>
      </w:r>
      <w:r>
        <w:rPr>
          <w:rFonts w:asciiTheme="majorHAnsi" w:hAnsiTheme="majorHAnsi" w:cstheme="majorHAnsi"/>
          <w:sz w:val="16"/>
          <w:szCs w:val="16"/>
          <w:vertAlign w:val="baseline"/>
          <w:lang w:val="ro-MD"/>
        </w:rPr>
        <w:t xml:space="preserve"> (</w:t>
      </w:r>
      <w:r w:rsidRPr="00EE17E2">
        <w:rPr>
          <w:rFonts w:asciiTheme="majorHAnsi" w:hAnsiTheme="majorHAnsi" w:cstheme="majorHAnsi"/>
          <w:sz w:val="16"/>
          <w:szCs w:val="16"/>
          <w:vertAlign w:val="baseline"/>
          <w:lang w:val="ro-MD"/>
        </w:rPr>
        <w:t xml:space="preserve">în continuare </w:t>
      </w:r>
      <w:r>
        <w:rPr>
          <w:rFonts w:asciiTheme="majorHAnsi" w:hAnsiTheme="majorHAnsi" w:cstheme="majorHAnsi"/>
          <w:sz w:val="16"/>
          <w:szCs w:val="16"/>
          <w:vertAlign w:val="baseline"/>
          <w:lang w:val="ro-MD"/>
        </w:rPr>
        <w:t xml:space="preserve">– </w:t>
      </w:r>
      <w:r w:rsidRPr="00EE17E2">
        <w:rPr>
          <w:rFonts w:asciiTheme="majorHAnsi" w:hAnsiTheme="majorHAnsi" w:cstheme="majorHAnsi"/>
          <w:sz w:val="16"/>
          <w:szCs w:val="16"/>
          <w:vertAlign w:val="baseline"/>
          <w:lang w:val="ro-MD"/>
        </w:rPr>
        <w:t>Regulamentul aprobat prin Hotărârea Consiliului de Administrație a</w:t>
      </w:r>
      <w:r>
        <w:rPr>
          <w:rFonts w:asciiTheme="majorHAnsi" w:hAnsiTheme="majorHAnsi" w:cstheme="majorHAnsi"/>
          <w:sz w:val="16"/>
          <w:szCs w:val="16"/>
          <w:vertAlign w:val="baseline"/>
          <w:lang w:val="ro-MD"/>
        </w:rPr>
        <w:t>l</w:t>
      </w:r>
      <w:r w:rsidRPr="00EE17E2">
        <w:rPr>
          <w:rFonts w:asciiTheme="majorHAnsi" w:hAnsiTheme="majorHAnsi" w:cstheme="majorHAnsi"/>
          <w:sz w:val="16"/>
          <w:szCs w:val="16"/>
          <w:vertAlign w:val="baseline"/>
          <w:lang w:val="ro-MD"/>
        </w:rPr>
        <w:t xml:space="preserve"> S.A. </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Moldovagaz” nr.58 din 16.09.2009</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w:t>
      </w:r>
    </w:p>
    <w:p w14:paraId="4B16BE88" w14:textId="592EA37D" w:rsidR="00036D7F" w:rsidRPr="00EE17E2" w:rsidRDefault="00036D7F" w:rsidP="001B383E">
      <w:pPr>
        <w:pStyle w:val="FootnoteText"/>
        <w:jc w:val="both"/>
        <w:rPr>
          <w:rFonts w:asciiTheme="majorHAnsi" w:hAnsiTheme="majorHAnsi" w:cstheme="majorHAnsi"/>
          <w:sz w:val="16"/>
          <w:szCs w:val="16"/>
          <w:vertAlign w:val="baseline"/>
          <w:lang w:val="ro-MD"/>
        </w:rPr>
      </w:pPr>
      <w:r w:rsidRPr="00EE17E2">
        <w:rPr>
          <w:rFonts w:asciiTheme="majorHAnsi" w:hAnsiTheme="majorHAnsi" w:cstheme="majorHAnsi"/>
          <w:sz w:val="16"/>
          <w:szCs w:val="16"/>
          <w:vertAlign w:val="baseline"/>
          <w:lang w:val="ro-MD"/>
        </w:rPr>
        <w:t xml:space="preserve">Regulamentul a fost aplicat de S.A. </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Moldovagaz” în perioada 16.09.2009-13.10.2017 pentru contractele de achiziții de bunuri, lucrări și servicii a căror valoare estimată, fără TVA, este mai mare de 100</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0 mii lei, în perioada 14.10.2017-05.08.2021 pentru contractele de achiziții de bunuri, lucrări și servicii a căror valoare estimată, fără TVA, este mai mică de 200</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0 mii lei pentru bunuri și servicii și </w:t>
      </w:r>
      <w:r>
        <w:rPr>
          <w:rFonts w:asciiTheme="majorHAnsi" w:hAnsiTheme="majorHAnsi" w:cstheme="majorHAnsi"/>
          <w:sz w:val="16"/>
          <w:szCs w:val="16"/>
          <w:vertAlign w:val="baseline"/>
          <w:lang w:val="ro-MD"/>
        </w:rPr>
        <w:t xml:space="preserve">de </w:t>
      </w:r>
      <w:r w:rsidRPr="00EE17E2">
        <w:rPr>
          <w:rFonts w:asciiTheme="majorHAnsi" w:hAnsiTheme="majorHAnsi" w:cstheme="majorHAnsi"/>
          <w:sz w:val="16"/>
          <w:szCs w:val="16"/>
          <w:vertAlign w:val="baseline"/>
          <w:lang w:val="ro-MD"/>
        </w:rPr>
        <w:t>300</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0 mii lei pentru lucrări, cât și în perioada 06.08.2021-31.12.2021 pentru contractele de achiziții de bunuri, lucrări și servicii a căror valoare estimată fără TVA este mai mică de 800,0 mii lei </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 pentru bunuri și servicii</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 și </w:t>
      </w:r>
      <w:r>
        <w:rPr>
          <w:rFonts w:asciiTheme="majorHAnsi" w:hAnsiTheme="majorHAnsi" w:cstheme="majorHAnsi"/>
          <w:sz w:val="16"/>
          <w:szCs w:val="16"/>
          <w:vertAlign w:val="baseline"/>
          <w:lang w:val="ro-MD"/>
        </w:rPr>
        <w:t xml:space="preserve">de </w:t>
      </w:r>
      <w:r w:rsidRPr="00EE17E2">
        <w:rPr>
          <w:rFonts w:asciiTheme="majorHAnsi" w:hAnsiTheme="majorHAnsi" w:cstheme="majorHAnsi"/>
          <w:sz w:val="16"/>
          <w:szCs w:val="16"/>
          <w:vertAlign w:val="baseline"/>
          <w:lang w:val="ro-MD"/>
        </w:rPr>
        <w:t xml:space="preserve">2.000,0 mii lei </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 pentru lucrări.</w:t>
      </w:r>
    </w:p>
  </w:footnote>
  <w:footnote w:id="78">
    <w:p w14:paraId="5AB6EF25" w14:textId="30E1C478" w:rsidR="00036D7F" w:rsidRPr="00EE17E2" w:rsidRDefault="00036D7F" w:rsidP="001B383E">
      <w:pPr>
        <w:pStyle w:val="FootnoteText"/>
        <w:jc w:val="both"/>
        <w:rPr>
          <w:rFonts w:asciiTheme="majorHAnsi" w:hAnsiTheme="majorHAnsi" w:cstheme="majorHAnsi"/>
          <w:sz w:val="16"/>
          <w:szCs w:val="16"/>
          <w:vertAlign w:val="baseline"/>
          <w:lang w:val="ro-MD"/>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lang w:val="ro-MD"/>
        </w:rPr>
        <w:t xml:space="preserve"> </w:t>
      </w:r>
      <w:r w:rsidRPr="00EE17E2">
        <w:rPr>
          <w:rFonts w:asciiTheme="majorHAnsi" w:hAnsiTheme="majorHAnsi" w:cstheme="majorHAnsi"/>
          <w:sz w:val="16"/>
          <w:szCs w:val="16"/>
          <w:vertAlign w:val="baseline"/>
          <w:lang w:val="ro-MD"/>
        </w:rPr>
        <w:t>Legea nr.96 din 13.04.2007 privind achizițiile publice</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 H</w:t>
      </w:r>
      <w:r>
        <w:rPr>
          <w:rFonts w:asciiTheme="majorHAnsi" w:hAnsiTheme="majorHAnsi" w:cstheme="majorHAnsi"/>
          <w:sz w:val="16"/>
          <w:szCs w:val="16"/>
          <w:vertAlign w:val="baseline"/>
          <w:lang w:val="ro-MD"/>
        </w:rPr>
        <w:t>G</w:t>
      </w:r>
      <w:r w:rsidRPr="00EE17E2">
        <w:rPr>
          <w:rFonts w:asciiTheme="majorHAnsi" w:hAnsiTheme="majorHAnsi" w:cstheme="majorHAnsi"/>
          <w:sz w:val="16"/>
          <w:szCs w:val="16"/>
          <w:vertAlign w:val="baseline"/>
          <w:lang w:val="ro-MD"/>
        </w:rPr>
        <w:t xml:space="preserve"> nr.245 din 04.03.2008 </w:t>
      </w:r>
      <w:r>
        <w:rPr>
          <w:rFonts w:asciiTheme="majorHAnsi" w:hAnsiTheme="majorHAnsi" w:cstheme="majorHAnsi"/>
          <w:sz w:val="16"/>
          <w:szCs w:val="16"/>
          <w:vertAlign w:val="baseline"/>
          <w:lang w:val="ro-MD"/>
        </w:rPr>
        <w:t>„P</w:t>
      </w:r>
      <w:r w:rsidRPr="00EE17E2">
        <w:rPr>
          <w:rFonts w:asciiTheme="majorHAnsi" w:hAnsiTheme="majorHAnsi" w:cstheme="majorHAnsi"/>
          <w:sz w:val="16"/>
          <w:szCs w:val="16"/>
          <w:vertAlign w:val="baseline"/>
          <w:lang w:val="ro-MD"/>
        </w:rPr>
        <w:t>entru aprobarea Regulamentului cu privire la achiziția bunurilor și serviciilor prin cererea ofertelor de prețuri</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H</w:t>
      </w:r>
      <w:r>
        <w:rPr>
          <w:rFonts w:asciiTheme="majorHAnsi" w:hAnsiTheme="majorHAnsi" w:cstheme="majorHAnsi"/>
          <w:sz w:val="16"/>
          <w:szCs w:val="16"/>
          <w:vertAlign w:val="baseline"/>
          <w:lang w:val="ro-MD"/>
        </w:rPr>
        <w:t>G</w:t>
      </w:r>
      <w:r w:rsidRPr="00EE17E2">
        <w:rPr>
          <w:rFonts w:asciiTheme="majorHAnsi" w:hAnsiTheme="majorHAnsi" w:cstheme="majorHAnsi"/>
          <w:sz w:val="16"/>
          <w:szCs w:val="16"/>
          <w:vertAlign w:val="baseline"/>
          <w:lang w:val="ro-MD"/>
        </w:rPr>
        <w:t xml:space="preserve"> nr.1123 din 15.09.2003 </w:t>
      </w:r>
      <w:r>
        <w:rPr>
          <w:rFonts w:asciiTheme="majorHAnsi" w:hAnsiTheme="majorHAnsi" w:cstheme="majorHAnsi"/>
          <w:sz w:val="16"/>
          <w:szCs w:val="16"/>
          <w:vertAlign w:val="baseline"/>
          <w:lang w:val="ro-MD"/>
        </w:rPr>
        <w:t>„P</w:t>
      </w:r>
      <w:r w:rsidRPr="00EE17E2">
        <w:rPr>
          <w:rFonts w:asciiTheme="majorHAnsi" w:hAnsiTheme="majorHAnsi" w:cstheme="majorHAnsi"/>
          <w:sz w:val="16"/>
          <w:szCs w:val="16"/>
          <w:vertAlign w:val="baseline"/>
          <w:lang w:val="ro-MD"/>
        </w:rPr>
        <w:t>rivind aprobarea Regulamentului cu privire la achizițiile publice de lucrări</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 și H</w:t>
      </w:r>
      <w:r>
        <w:rPr>
          <w:rFonts w:asciiTheme="majorHAnsi" w:hAnsiTheme="majorHAnsi" w:cstheme="majorHAnsi"/>
          <w:sz w:val="16"/>
          <w:szCs w:val="16"/>
          <w:vertAlign w:val="baseline"/>
          <w:lang w:val="ro-MD"/>
        </w:rPr>
        <w:t>G</w:t>
      </w:r>
      <w:r w:rsidRPr="00EE17E2">
        <w:rPr>
          <w:rFonts w:asciiTheme="majorHAnsi" w:hAnsiTheme="majorHAnsi" w:cstheme="majorHAnsi"/>
          <w:sz w:val="16"/>
          <w:szCs w:val="16"/>
          <w:vertAlign w:val="baseline"/>
          <w:lang w:val="ro-MD"/>
        </w:rPr>
        <w:t xml:space="preserve"> nr.9 din 17.01.2008 </w:t>
      </w:r>
      <w:r>
        <w:rPr>
          <w:rFonts w:asciiTheme="majorHAnsi" w:hAnsiTheme="majorHAnsi" w:cstheme="majorHAnsi"/>
          <w:sz w:val="16"/>
          <w:szCs w:val="16"/>
          <w:vertAlign w:val="baseline"/>
          <w:lang w:val="ro-MD"/>
        </w:rPr>
        <w:t>„P</w:t>
      </w:r>
      <w:r w:rsidRPr="00EE17E2">
        <w:rPr>
          <w:rFonts w:asciiTheme="majorHAnsi" w:hAnsiTheme="majorHAnsi" w:cstheme="majorHAnsi"/>
          <w:sz w:val="16"/>
          <w:szCs w:val="16"/>
          <w:vertAlign w:val="baseline"/>
          <w:lang w:val="ro-MD"/>
        </w:rPr>
        <w:t>rivind aprobarea Regulamentului cu privire la întocmirea și păstrarea dosarului achiziției publice</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w:t>
      </w:r>
    </w:p>
  </w:footnote>
  <w:footnote w:id="79">
    <w:p w14:paraId="37014325" w14:textId="77777777" w:rsidR="00036D7F" w:rsidRPr="00EE17E2" w:rsidRDefault="00036D7F" w:rsidP="001B383E">
      <w:pPr>
        <w:pStyle w:val="FootnoteText"/>
        <w:rPr>
          <w:rFonts w:asciiTheme="majorHAnsi" w:hAnsiTheme="majorHAnsi" w:cstheme="majorHAnsi"/>
          <w:sz w:val="16"/>
          <w:szCs w:val="16"/>
          <w:vertAlign w:val="baseline"/>
          <w:lang w:val="ro-MD"/>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vertAlign w:val="baseline"/>
          <w:lang w:val="ro-MD"/>
        </w:rPr>
        <w:t xml:space="preserve"> Proceduri negociate, acord-cadru, achiziții de valoare mică.</w:t>
      </w:r>
    </w:p>
  </w:footnote>
  <w:footnote w:id="80">
    <w:p w14:paraId="4679C113" w14:textId="6BC8A78F" w:rsidR="00036D7F" w:rsidRPr="00EE17E2" w:rsidRDefault="00036D7F" w:rsidP="00B5627A">
      <w:pPr>
        <w:pStyle w:val="FootnoteText"/>
        <w:jc w:val="both"/>
        <w:rPr>
          <w:rFonts w:asciiTheme="majorHAnsi" w:hAnsiTheme="majorHAnsi" w:cstheme="majorHAnsi"/>
          <w:sz w:val="16"/>
          <w:szCs w:val="16"/>
          <w:vertAlign w:val="baseline"/>
          <w:lang w:val="ro-MD"/>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lang w:val="ro-MD"/>
        </w:rPr>
        <w:t xml:space="preserve"> </w:t>
      </w:r>
      <w:r w:rsidRPr="00EE17E2">
        <w:rPr>
          <w:rFonts w:asciiTheme="majorHAnsi" w:hAnsiTheme="majorHAnsi" w:cstheme="majorHAnsi"/>
          <w:sz w:val="16"/>
          <w:szCs w:val="16"/>
          <w:vertAlign w:val="baseline"/>
          <w:lang w:val="ro-MD"/>
        </w:rPr>
        <w:t>Legea nr.</w:t>
      </w:r>
      <w:r>
        <w:rPr>
          <w:rFonts w:asciiTheme="majorHAnsi" w:hAnsiTheme="majorHAnsi" w:cstheme="majorHAnsi"/>
          <w:sz w:val="16"/>
          <w:szCs w:val="16"/>
          <w:vertAlign w:val="baseline"/>
          <w:lang w:val="ro-MD"/>
        </w:rPr>
        <w:t>131</w:t>
      </w:r>
      <w:r w:rsidRPr="00EE17E2">
        <w:rPr>
          <w:rFonts w:asciiTheme="majorHAnsi" w:hAnsiTheme="majorHAnsi" w:cstheme="majorHAnsi"/>
          <w:sz w:val="16"/>
          <w:szCs w:val="16"/>
          <w:vertAlign w:val="baseline"/>
          <w:lang w:val="ro-MD"/>
        </w:rPr>
        <w:t xml:space="preserve"> din </w:t>
      </w:r>
      <w:r>
        <w:rPr>
          <w:rFonts w:asciiTheme="majorHAnsi" w:hAnsiTheme="majorHAnsi" w:cstheme="majorHAnsi"/>
          <w:sz w:val="16"/>
          <w:szCs w:val="16"/>
          <w:vertAlign w:val="baseline"/>
          <w:lang w:val="ro-MD"/>
        </w:rPr>
        <w:t>0</w:t>
      </w:r>
      <w:r w:rsidRPr="00EE17E2">
        <w:rPr>
          <w:rFonts w:asciiTheme="majorHAnsi" w:hAnsiTheme="majorHAnsi" w:cstheme="majorHAnsi"/>
          <w:sz w:val="16"/>
          <w:szCs w:val="16"/>
          <w:vertAlign w:val="baseline"/>
          <w:lang w:val="ro-MD"/>
        </w:rPr>
        <w:t>3.0</w:t>
      </w:r>
      <w:r>
        <w:rPr>
          <w:rFonts w:asciiTheme="majorHAnsi" w:hAnsiTheme="majorHAnsi" w:cstheme="majorHAnsi"/>
          <w:sz w:val="16"/>
          <w:szCs w:val="16"/>
          <w:vertAlign w:val="baseline"/>
          <w:lang w:val="ro-MD"/>
        </w:rPr>
        <w:t>7</w:t>
      </w:r>
      <w:r w:rsidRPr="00EE17E2">
        <w:rPr>
          <w:rFonts w:asciiTheme="majorHAnsi" w:hAnsiTheme="majorHAnsi" w:cstheme="majorHAnsi"/>
          <w:sz w:val="16"/>
          <w:szCs w:val="16"/>
          <w:vertAlign w:val="baseline"/>
          <w:lang w:val="ro-MD"/>
        </w:rPr>
        <w:t>.20</w:t>
      </w:r>
      <w:r>
        <w:rPr>
          <w:rFonts w:asciiTheme="majorHAnsi" w:hAnsiTheme="majorHAnsi" w:cstheme="majorHAnsi"/>
          <w:sz w:val="16"/>
          <w:szCs w:val="16"/>
          <w:vertAlign w:val="baseline"/>
          <w:lang w:val="ro-MD"/>
        </w:rPr>
        <w:t>15</w:t>
      </w:r>
      <w:r w:rsidRPr="00EE17E2">
        <w:rPr>
          <w:rFonts w:asciiTheme="majorHAnsi" w:hAnsiTheme="majorHAnsi" w:cstheme="majorHAnsi"/>
          <w:sz w:val="16"/>
          <w:szCs w:val="16"/>
          <w:vertAlign w:val="baseline"/>
          <w:lang w:val="ro-MD"/>
        </w:rPr>
        <w:t xml:space="preserve"> privind achizițiile publice.</w:t>
      </w:r>
    </w:p>
  </w:footnote>
  <w:footnote w:id="81">
    <w:p w14:paraId="47F0DF8D" w14:textId="0FE47E63" w:rsidR="00036D7F" w:rsidRPr="00EE17E2" w:rsidRDefault="00036D7F" w:rsidP="00B5627A">
      <w:pPr>
        <w:pStyle w:val="FootnoteText"/>
        <w:jc w:val="both"/>
        <w:rPr>
          <w:rFonts w:asciiTheme="majorHAnsi" w:hAnsiTheme="majorHAnsi" w:cstheme="majorHAnsi"/>
          <w:sz w:val="16"/>
          <w:szCs w:val="16"/>
          <w:vertAlign w:val="baseline"/>
          <w:lang w:val="ro-MD"/>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lang w:val="ro-MD"/>
        </w:rPr>
        <w:t xml:space="preserve"> </w:t>
      </w:r>
      <w:r w:rsidRPr="00EE17E2">
        <w:rPr>
          <w:rFonts w:asciiTheme="majorHAnsi" w:hAnsiTheme="majorHAnsi" w:cstheme="majorHAnsi"/>
          <w:sz w:val="16"/>
          <w:szCs w:val="16"/>
          <w:vertAlign w:val="baseline"/>
          <w:lang w:val="ro-MD"/>
        </w:rPr>
        <w:t>H</w:t>
      </w:r>
      <w:r>
        <w:rPr>
          <w:rFonts w:asciiTheme="majorHAnsi" w:hAnsiTheme="majorHAnsi" w:cstheme="majorHAnsi"/>
          <w:sz w:val="16"/>
          <w:szCs w:val="16"/>
          <w:vertAlign w:val="baseline"/>
          <w:lang w:val="ro-MD"/>
        </w:rPr>
        <w:t>G</w:t>
      </w:r>
      <w:r w:rsidRPr="00EE17E2">
        <w:rPr>
          <w:rFonts w:asciiTheme="majorHAnsi" w:hAnsiTheme="majorHAnsi" w:cstheme="majorHAnsi"/>
          <w:sz w:val="16"/>
          <w:szCs w:val="16"/>
          <w:vertAlign w:val="baseline"/>
          <w:lang w:val="ro-MD"/>
        </w:rPr>
        <w:t xml:space="preserve"> nr.666 din 27.05.2016 </w:t>
      </w:r>
      <w:r>
        <w:rPr>
          <w:rFonts w:asciiTheme="majorHAnsi" w:hAnsiTheme="majorHAnsi" w:cstheme="majorHAnsi"/>
          <w:sz w:val="16"/>
          <w:szCs w:val="16"/>
          <w:vertAlign w:val="baseline"/>
          <w:lang w:val="ro-MD"/>
        </w:rPr>
        <w:t>„P</w:t>
      </w:r>
      <w:r w:rsidRPr="00EE17E2">
        <w:rPr>
          <w:rFonts w:asciiTheme="majorHAnsi" w:hAnsiTheme="majorHAnsi" w:cstheme="majorHAnsi"/>
          <w:sz w:val="16"/>
          <w:szCs w:val="16"/>
          <w:vertAlign w:val="baseline"/>
          <w:lang w:val="ro-MD"/>
        </w:rPr>
        <w:t>entru aprobarea Regulemantului cu privire la achiziția bunurilor și serviciilor prin cererea ofertelor de prețuri</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H</w:t>
      </w:r>
      <w:r>
        <w:rPr>
          <w:rFonts w:asciiTheme="majorHAnsi" w:hAnsiTheme="majorHAnsi" w:cstheme="majorHAnsi"/>
          <w:sz w:val="16"/>
          <w:szCs w:val="16"/>
          <w:vertAlign w:val="baseline"/>
          <w:lang w:val="ro-MD"/>
        </w:rPr>
        <w:t>G</w:t>
      </w:r>
      <w:r w:rsidRPr="00EE17E2">
        <w:rPr>
          <w:rFonts w:asciiTheme="majorHAnsi" w:hAnsiTheme="majorHAnsi" w:cstheme="majorHAnsi"/>
          <w:sz w:val="16"/>
          <w:szCs w:val="16"/>
          <w:vertAlign w:val="baseline"/>
          <w:lang w:val="ro-MD"/>
        </w:rPr>
        <w:t xml:space="preserve"> nr.669 din 27.05.2016 </w:t>
      </w:r>
      <w:r>
        <w:rPr>
          <w:rFonts w:asciiTheme="majorHAnsi" w:hAnsiTheme="majorHAnsi" w:cstheme="majorHAnsi"/>
          <w:sz w:val="16"/>
          <w:szCs w:val="16"/>
          <w:vertAlign w:val="baseline"/>
          <w:lang w:val="ro-MD"/>
        </w:rPr>
        <w:t>„P</w:t>
      </w:r>
      <w:r w:rsidRPr="00EE17E2">
        <w:rPr>
          <w:rFonts w:asciiTheme="majorHAnsi" w:hAnsiTheme="majorHAnsi" w:cstheme="majorHAnsi"/>
          <w:sz w:val="16"/>
          <w:szCs w:val="16"/>
          <w:vertAlign w:val="baseline"/>
          <w:lang w:val="ro-MD"/>
        </w:rPr>
        <w:t>entru aprobarea Regulamentului privind achizițiile publice de lucrări</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 xml:space="preserve">.  </w:t>
      </w:r>
    </w:p>
  </w:footnote>
  <w:footnote w:id="82">
    <w:p w14:paraId="1359EA11" w14:textId="393A6434" w:rsidR="00036D7F" w:rsidRPr="00EE17E2" w:rsidRDefault="00036D7F" w:rsidP="00B5627A">
      <w:pPr>
        <w:pStyle w:val="FootnoteText"/>
        <w:jc w:val="both"/>
        <w:rPr>
          <w:rFonts w:asciiTheme="majorHAnsi" w:hAnsiTheme="majorHAnsi" w:cstheme="majorHAnsi"/>
          <w:sz w:val="16"/>
          <w:szCs w:val="16"/>
          <w:lang w:val="ro-MD"/>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lang w:val="ro-MD"/>
        </w:rPr>
        <w:t xml:space="preserve"> </w:t>
      </w:r>
      <w:r w:rsidRPr="00EE17E2">
        <w:rPr>
          <w:rFonts w:asciiTheme="majorHAnsi" w:hAnsiTheme="majorHAnsi" w:cstheme="majorHAnsi"/>
          <w:sz w:val="16"/>
          <w:szCs w:val="16"/>
          <w:vertAlign w:val="baseline"/>
          <w:lang w:val="ro-MD"/>
        </w:rPr>
        <w:t>Regulament</w:t>
      </w:r>
      <w:r>
        <w:rPr>
          <w:rFonts w:asciiTheme="majorHAnsi" w:hAnsiTheme="majorHAnsi" w:cstheme="majorHAnsi"/>
          <w:sz w:val="16"/>
          <w:szCs w:val="16"/>
          <w:vertAlign w:val="baseline"/>
          <w:lang w:val="ro-MD"/>
        </w:rPr>
        <w:t>ul</w:t>
      </w:r>
      <w:r w:rsidRPr="00EE17E2">
        <w:rPr>
          <w:rFonts w:asciiTheme="majorHAnsi" w:hAnsiTheme="majorHAnsi" w:cstheme="majorHAnsi"/>
          <w:sz w:val="16"/>
          <w:szCs w:val="16"/>
          <w:vertAlign w:val="baseline"/>
          <w:lang w:val="ro-MD"/>
        </w:rPr>
        <w:t xml:space="preserve"> privind procedurile de achiziție a bunurilor, lucrărilor și serviciilor utlizate în activitatea SRL </w:t>
      </w:r>
      <w:r>
        <w:rPr>
          <w:rFonts w:asciiTheme="majorHAnsi" w:hAnsiTheme="majorHAnsi" w:cstheme="majorHAnsi"/>
          <w:sz w:val="16"/>
          <w:szCs w:val="16"/>
          <w:vertAlign w:val="baseline"/>
          <w:lang w:val="ro-MD"/>
        </w:rPr>
        <w:t>„</w:t>
      </w:r>
      <w:r w:rsidRPr="00EE17E2">
        <w:rPr>
          <w:rFonts w:asciiTheme="majorHAnsi" w:hAnsiTheme="majorHAnsi" w:cstheme="majorHAnsi"/>
          <w:sz w:val="16"/>
          <w:szCs w:val="16"/>
          <w:vertAlign w:val="baseline"/>
          <w:lang w:val="ro-MD"/>
        </w:rPr>
        <w:t>Transautogaz”, aprobat prin Ordinul directorului nr.93 din 21</w:t>
      </w:r>
      <w:r>
        <w:rPr>
          <w:rFonts w:asciiTheme="majorHAnsi" w:hAnsiTheme="majorHAnsi" w:cstheme="majorHAnsi"/>
          <w:sz w:val="16"/>
          <w:szCs w:val="16"/>
          <w:vertAlign w:val="baseline"/>
          <w:lang w:val="ro-MD"/>
        </w:rPr>
        <w:t>.08.</w:t>
      </w:r>
      <w:r w:rsidRPr="00EE17E2">
        <w:rPr>
          <w:rFonts w:asciiTheme="majorHAnsi" w:hAnsiTheme="majorHAnsi" w:cstheme="majorHAnsi"/>
          <w:sz w:val="16"/>
          <w:szCs w:val="16"/>
          <w:vertAlign w:val="baseline"/>
          <w:lang w:val="ro-MD"/>
        </w:rPr>
        <w:t>2020.</w:t>
      </w:r>
    </w:p>
  </w:footnote>
  <w:footnote w:id="83">
    <w:p w14:paraId="1B9214D9" w14:textId="23D04341" w:rsidR="00036D7F" w:rsidRPr="00EE17E2" w:rsidRDefault="00036D7F" w:rsidP="00B5627A">
      <w:pPr>
        <w:pStyle w:val="ListParagraph"/>
        <w:tabs>
          <w:tab w:val="left" w:pos="567"/>
          <w:tab w:val="left" w:pos="1695"/>
        </w:tabs>
        <w:spacing w:after="0" w:line="240" w:lineRule="auto"/>
        <w:ind w:left="0"/>
        <w:jc w:val="both"/>
        <w:rPr>
          <w:rFonts w:asciiTheme="majorHAnsi" w:hAnsiTheme="majorHAnsi" w:cstheme="majorHAnsi"/>
          <w:sz w:val="16"/>
          <w:szCs w:val="16"/>
          <w:lang w:val="ro-MD" w:eastAsia="ru-RU"/>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lang w:val="ro-MD"/>
        </w:rPr>
        <w:t xml:space="preserve"> Legea nr.74 din 21.05.2020 privind achizițiile în sectoarele energeticii, apei, transporturilor și serviciilor poștale</w:t>
      </w:r>
      <w:r w:rsidRPr="00EE17E2">
        <w:rPr>
          <w:rFonts w:asciiTheme="majorHAnsi" w:hAnsiTheme="majorHAnsi" w:cstheme="majorHAnsi"/>
          <w:color w:val="333333"/>
          <w:sz w:val="16"/>
          <w:szCs w:val="16"/>
          <w:shd w:val="clear" w:color="auto" w:fill="FFFFFF"/>
          <w:lang w:val="ro-MD"/>
        </w:rPr>
        <w:t xml:space="preserve"> transpune parțial Directiva 2014/25/UE a Parlamentului European și a Consiliului din 26 februarie 2014 privind achizițiile efectuate de entitățile care își desfășoară activitatea în sectoarele apei, energiei, transporturilor și serviciilor poștale și de abrogare a Directivei 2004/17/CE, publicată în Jurnalul Oficial al Uniunii Europene L 94 din 28 martie 2014, cu modificările operate prin Regulamentul delegat (UE) 2017/2364 al Comisiei din 18 decembrie 2017 de modificare a Directivei 2014/25/UE a Parlamentului European și a Consiliului în ceea ce privește pragurile de aplicare pentru procedurile de atribuire a contractelor de achiziții publice.</w:t>
      </w:r>
    </w:p>
  </w:footnote>
  <w:footnote w:id="84">
    <w:p w14:paraId="4E3696B8" w14:textId="5A9F575F" w:rsidR="00036D7F" w:rsidRPr="00EE17E2" w:rsidRDefault="00036D7F" w:rsidP="00EE17E2">
      <w:pPr>
        <w:pStyle w:val="FootnoteText"/>
        <w:jc w:val="both"/>
        <w:rPr>
          <w:rFonts w:asciiTheme="majorHAnsi" w:hAnsiTheme="majorHAnsi" w:cstheme="majorHAnsi"/>
          <w:sz w:val="16"/>
          <w:szCs w:val="16"/>
          <w:lang w:val="ro-MD"/>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lang w:val="ro-MD"/>
        </w:rPr>
        <w:t xml:space="preserve"> </w:t>
      </w:r>
      <w:r w:rsidRPr="00EE17E2">
        <w:rPr>
          <w:rFonts w:asciiTheme="majorHAnsi" w:hAnsiTheme="majorHAnsi" w:cstheme="majorHAnsi"/>
          <w:sz w:val="16"/>
          <w:szCs w:val="16"/>
          <w:vertAlign w:val="baseline"/>
          <w:lang w:val="ro-MD"/>
        </w:rPr>
        <w:t xml:space="preserve">Art.1 alin. (1) lit. a) și </w:t>
      </w:r>
      <w:r>
        <w:rPr>
          <w:rFonts w:asciiTheme="majorHAnsi" w:hAnsiTheme="majorHAnsi" w:cstheme="majorHAnsi"/>
          <w:sz w:val="16"/>
          <w:szCs w:val="16"/>
          <w:vertAlign w:val="baseline"/>
          <w:lang w:val="ro-MD"/>
        </w:rPr>
        <w:t xml:space="preserve">lit. </w:t>
      </w:r>
      <w:r w:rsidRPr="00EE17E2">
        <w:rPr>
          <w:rFonts w:asciiTheme="majorHAnsi" w:hAnsiTheme="majorHAnsi" w:cstheme="majorHAnsi"/>
          <w:sz w:val="16"/>
          <w:szCs w:val="16"/>
          <w:vertAlign w:val="baseline"/>
          <w:lang w:val="ro-MD"/>
        </w:rPr>
        <w:t>b), art.3 din Legea nr.74 din 21.05.2020.</w:t>
      </w:r>
    </w:p>
  </w:footnote>
  <w:footnote w:id="85">
    <w:p w14:paraId="1F40DFC8" w14:textId="77777777" w:rsidR="00036D7F" w:rsidRPr="00EE17E2" w:rsidRDefault="00036D7F" w:rsidP="00EE17E2">
      <w:pPr>
        <w:pStyle w:val="FootnoteText"/>
        <w:jc w:val="both"/>
        <w:rPr>
          <w:rFonts w:asciiTheme="majorHAnsi" w:hAnsiTheme="majorHAnsi" w:cstheme="majorHAnsi"/>
          <w:sz w:val="16"/>
          <w:szCs w:val="16"/>
          <w:lang w:val="ro-MD"/>
        </w:rPr>
      </w:pPr>
      <w:r w:rsidRPr="00EE17E2">
        <w:rPr>
          <w:rStyle w:val="FootnoteReference"/>
          <w:rFonts w:asciiTheme="majorHAnsi" w:hAnsiTheme="majorHAnsi" w:cstheme="majorHAnsi"/>
          <w:sz w:val="16"/>
          <w:szCs w:val="16"/>
          <w:lang w:val="ro-MD"/>
        </w:rPr>
        <w:footnoteRef/>
      </w:r>
      <w:r w:rsidRPr="00EE17E2">
        <w:rPr>
          <w:rFonts w:asciiTheme="majorHAnsi" w:hAnsiTheme="majorHAnsi" w:cstheme="majorHAnsi"/>
          <w:sz w:val="16"/>
          <w:szCs w:val="16"/>
          <w:lang w:val="ro-MD"/>
        </w:rPr>
        <w:t xml:space="preserve"> </w:t>
      </w:r>
      <w:r w:rsidRPr="00EE17E2">
        <w:rPr>
          <w:rFonts w:asciiTheme="majorHAnsi" w:hAnsiTheme="majorHAnsi" w:cstheme="majorHAnsi"/>
          <w:sz w:val="16"/>
          <w:szCs w:val="16"/>
          <w:vertAlign w:val="baseline"/>
          <w:lang w:val="ro-MD"/>
        </w:rPr>
        <w:t>Art. 89 alin. (2) lit.c) din Legea nr.74 din 21.05.2020.</w:t>
      </w:r>
    </w:p>
  </w:footnote>
  <w:footnote w:id="86">
    <w:p w14:paraId="16D5D007" w14:textId="292050AB" w:rsidR="00036D7F" w:rsidRPr="004F4116" w:rsidRDefault="00036D7F" w:rsidP="00726A4E">
      <w:pPr>
        <w:pStyle w:val="FootnoteText"/>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A</w:t>
      </w:r>
      <w:r w:rsidRPr="004F4116">
        <w:rPr>
          <w:rFonts w:asciiTheme="majorHAnsi" w:hAnsiTheme="majorHAnsi" w:cstheme="majorHAnsi"/>
          <w:sz w:val="16"/>
          <w:szCs w:val="16"/>
          <w:vertAlign w:val="baseline"/>
          <w:lang w:eastAsia="ru-RU"/>
        </w:rPr>
        <w:t xml:space="preserve">rt.7 alin. (1) lit. p) </w:t>
      </w:r>
      <w:r>
        <w:rPr>
          <w:rFonts w:asciiTheme="majorHAnsi" w:hAnsiTheme="majorHAnsi" w:cstheme="majorHAnsi"/>
          <w:sz w:val="16"/>
          <w:szCs w:val="16"/>
          <w:vertAlign w:val="baseline"/>
          <w:lang w:eastAsia="ru-RU"/>
        </w:rPr>
        <w:t>din</w:t>
      </w:r>
      <w:r w:rsidRPr="004F4116">
        <w:rPr>
          <w:rFonts w:asciiTheme="majorHAnsi" w:hAnsiTheme="majorHAnsi" w:cstheme="majorHAnsi"/>
          <w:sz w:val="16"/>
          <w:szCs w:val="16"/>
          <w:vertAlign w:val="baseline"/>
          <w:lang w:eastAsia="ru-RU"/>
        </w:rPr>
        <w:t xml:space="preserve"> Leg</w:t>
      </w:r>
      <w:r>
        <w:rPr>
          <w:rFonts w:asciiTheme="majorHAnsi" w:hAnsiTheme="majorHAnsi" w:cstheme="majorHAnsi"/>
          <w:sz w:val="16"/>
          <w:szCs w:val="16"/>
          <w:vertAlign w:val="baseline"/>
          <w:lang w:eastAsia="ru-RU"/>
        </w:rPr>
        <w:t>ea</w:t>
      </w:r>
      <w:r w:rsidRPr="004F4116">
        <w:rPr>
          <w:rFonts w:asciiTheme="majorHAnsi" w:hAnsiTheme="majorHAnsi" w:cstheme="majorHAnsi"/>
          <w:sz w:val="16"/>
          <w:szCs w:val="16"/>
          <w:vertAlign w:val="baseline"/>
          <w:lang w:eastAsia="ru-RU"/>
        </w:rPr>
        <w:t xml:space="preserve"> nr.108 din 27.05.2016 cu privire la gazele naturale.</w:t>
      </w:r>
      <w:r w:rsidRPr="004F4116">
        <w:rPr>
          <w:rFonts w:asciiTheme="majorHAnsi" w:hAnsiTheme="majorHAnsi" w:cstheme="majorHAnsi"/>
          <w:sz w:val="16"/>
          <w:szCs w:val="16"/>
          <w:vertAlign w:val="baseline"/>
        </w:rPr>
        <w:t xml:space="preserve"> </w:t>
      </w:r>
    </w:p>
  </w:footnote>
  <w:footnote w:id="87">
    <w:p w14:paraId="239A6440" w14:textId="65027C21" w:rsidR="00036D7F" w:rsidRPr="004F4116" w:rsidRDefault="00036D7F" w:rsidP="00726A4E">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rPr>
        <w:t xml:space="preserve"> H</w:t>
      </w:r>
      <w:r>
        <w:rPr>
          <w:rFonts w:asciiTheme="majorHAnsi" w:hAnsiTheme="majorHAnsi" w:cstheme="majorHAnsi"/>
          <w:sz w:val="16"/>
          <w:szCs w:val="16"/>
          <w:vertAlign w:val="baseline"/>
        </w:rPr>
        <w:t>ANRE</w:t>
      </w:r>
      <w:r w:rsidRPr="004F4116">
        <w:rPr>
          <w:rFonts w:asciiTheme="majorHAnsi" w:hAnsiTheme="majorHAnsi" w:cstheme="majorHAnsi"/>
          <w:sz w:val="16"/>
          <w:szCs w:val="16"/>
          <w:vertAlign w:val="baseline"/>
        </w:rPr>
        <w:t xml:space="preserve"> nr.305 din 20.07.2021 privind abrogarea Hotărârii Consiliului de administrație al </w:t>
      </w:r>
      <w:r>
        <w:rPr>
          <w:rFonts w:asciiTheme="majorHAnsi" w:hAnsiTheme="majorHAnsi" w:cstheme="majorHAnsi"/>
          <w:sz w:val="16"/>
          <w:szCs w:val="16"/>
          <w:vertAlign w:val="baseline"/>
        </w:rPr>
        <w:t>ANRE</w:t>
      </w:r>
      <w:r w:rsidRPr="004F4116">
        <w:rPr>
          <w:rFonts w:asciiTheme="majorHAnsi" w:hAnsiTheme="majorHAnsi" w:cstheme="majorHAnsi"/>
          <w:sz w:val="16"/>
          <w:szCs w:val="16"/>
          <w:vertAlign w:val="baseline"/>
        </w:rPr>
        <w:t xml:space="preserve"> nr.24/2017 din 26.01.2017, publicat la 06.08.2021.</w:t>
      </w:r>
    </w:p>
  </w:footnote>
  <w:footnote w:id="88">
    <w:p w14:paraId="45799DD3" w14:textId="32B11C9A" w:rsidR="00036D7F" w:rsidRPr="004F4116" w:rsidRDefault="00036D7F" w:rsidP="000A2760">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 xml:space="preserve">Echipament și servicii software pentru infrastructura TI a construcției sediului SA Moldovagaz din str. </w:t>
      </w:r>
      <w:r>
        <w:rPr>
          <w:rFonts w:asciiTheme="majorHAnsi" w:hAnsiTheme="majorHAnsi" w:cstheme="majorHAnsi"/>
          <w:sz w:val="16"/>
          <w:szCs w:val="16"/>
          <w:vertAlign w:val="baseline"/>
        </w:rPr>
        <w:t>A.</w:t>
      </w:r>
      <w:r w:rsidRPr="004F4116">
        <w:rPr>
          <w:rFonts w:asciiTheme="majorHAnsi" w:hAnsiTheme="majorHAnsi" w:cstheme="majorHAnsi"/>
          <w:sz w:val="16"/>
          <w:szCs w:val="16"/>
          <w:vertAlign w:val="baseline"/>
        </w:rPr>
        <w:t>Pușkin 64 în valoare de 30.144,5 mii lei și a serviciilor de audit în valoare de 1.265,8 mii lei, lucrări de construcție</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finisare la obiectul de tip oficiu SA Moldovagaz de 48.424,4 mii lei și mobilier pentru </w:t>
      </w:r>
      <w:r>
        <w:rPr>
          <w:rFonts w:asciiTheme="majorHAnsi" w:hAnsiTheme="majorHAnsi" w:cstheme="majorHAnsi"/>
          <w:sz w:val="16"/>
          <w:szCs w:val="16"/>
          <w:vertAlign w:val="baseline"/>
        </w:rPr>
        <w:t>amenajarea</w:t>
      </w:r>
      <w:r w:rsidRPr="004F4116">
        <w:rPr>
          <w:rFonts w:asciiTheme="majorHAnsi" w:hAnsiTheme="majorHAnsi" w:cstheme="majorHAnsi"/>
          <w:sz w:val="16"/>
          <w:szCs w:val="16"/>
          <w:vertAlign w:val="baseline"/>
        </w:rPr>
        <w:t xml:space="preserve"> acestuia de 8.295,0 mii lei.</w:t>
      </w:r>
    </w:p>
  </w:footnote>
  <w:footnote w:id="89">
    <w:p w14:paraId="65A88BC1" w14:textId="402A82B0" w:rsidR="00036D7F" w:rsidRPr="008C13ED" w:rsidRDefault="00036D7F" w:rsidP="000A2760">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SRL „Transautogaz” a întocmit doar pentru anul 2021 planul orientativ de achiziții, fără a estima valoarea acestora.</w:t>
      </w:r>
    </w:p>
  </w:footnote>
  <w:footnote w:id="90">
    <w:p w14:paraId="2DCE1BBF" w14:textId="3E9DA22B" w:rsidR="00036D7F" w:rsidRPr="008C13ED" w:rsidRDefault="00036D7F" w:rsidP="007230C6">
      <w:pPr>
        <w:pStyle w:val="FootnoteText"/>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S</w:t>
      </w:r>
      <w:r w:rsidRPr="008C13ED">
        <w:rPr>
          <w:rFonts w:asciiTheme="majorHAnsi" w:hAnsiTheme="majorHAnsi" w:cstheme="majorHAnsi"/>
          <w:sz w:val="16"/>
          <w:szCs w:val="16"/>
          <w:vertAlign w:val="baseline"/>
          <w:lang w:val="ro-MD" w:eastAsia="ru-RU"/>
        </w:rPr>
        <w:t>ervicii de pază în sumă de 14,4 mil</w:t>
      </w:r>
      <w:r>
        <w:rPr>
          <w:rFonts w:asciiTheme="majorHAnsi" w:hAnsiTheme="majorHAnsi" w:cstheme="majorHAnsi"/>
          <w:sz w:val="16"/>
          <w:szCs w:val="16"/>
          <w:vertAlign w:val="baseline"/>
          <w:lang w:val="ro-MD" w:eastAsia="ru-RU"/>
        </w:rPr>
        <w:t>.</w:t>
      </w:r>
      <w:r w:rsidRPr="008C13ED">
        <w:rPr>
          <w:rFonts w:asciiTheme="majorHAnsi" w:hAnsiTheme="majorHAnsi" w:cstheme="majorHAnsi"/>
          <w:sz w:val="16"/>
          <w:szCs w:val="16"/>
          <w:vertAlign w:val="baseline"/>
          <w:lang w:val="ro-MD" w:eastAsia="ru-RU"/>
        </w:rPr>
        <w:t xml:space="preserve"> lei, servicii de curățenie în sumă de 2,6 mil</w:t>
      </w:r>
      <w:r>
        <w:rPr>
          <w:rFonts w:asciiTheme="majorHAnsi" w:hAnsiTheme="majorHAnsi" w:cstheme="majorHAnsi"/>
          <w:sz w:val="16"/>
          <w:szCs w:val="16"/>
          <w:vertAlign w:val="baseline"/>
          <w:lang w:val="ro-MD" w:eastAsia="ru-RU"/>
        </w:rPr>
        <w:t>.</w:t>
      </w:r>
      <w:r w:rsidRPr="008C13ED">
        <w:rPr>
          <w:rFonts w:asciiTheme="majorHAnsi" w:hAnsiTheme="majorHAnsi" w:cstheme="majorHAnsi"/>
          <w:sz w:val="16"/>
          <w:szCs w:val="16"/>
          <w:vertAlign w:val="baseline"/>
          <w:lang w:val="ro-MD" w:eastAsia="ru-RU"/>
        </w:rPr>
        <w:t xml:space="preserve"> lei, servicii de asigurare în sumă de </w:t>
      </w:r>
      <w:r>
        <w:rPr>
          <w:rFonts w:asciiTheme="majorHAnsi" w:hAnsiTheme="majorHAnsi" w:cstheme="majorHAnsi"/>
          <w:sz w:val="16"/>
          <w:szCs w:val="16"/>
          <w:vertAlign w:val="baseline"/>
          <w:lang w:val="ro-MD" w:eastAsia="ru-RU"/>
        </w:rPr>
        <w:t>16</w:t>
      </w:r>
      <w:r w:rsidRPr="008C13ED">
        <w:rPr>
          <w:rFonts w:asciiTheme="majorHAnsi" w:hAnsiTheme="majorHAnsi" w:cstheme="majorHAnsi"/>
          <w:sz w:val="16"/>
          <w:szCs w:val="16"/>
          <w:vertAlign w:val="baseline"/>
          <w:lang w:val="ro-MD" w:eastAsia="ru-RU"/>
        </w:rPr>
        <w:t>,</w:t>
      </w:r>
      <w:r>
        <w:rPr>
          <w:rFonts w:asciiTheme="majorHAnsi" w:hAnsiTheme="majorHAnsi" w:cstheme="majorHAnsi"/>
          <w:sz w:val="16"/>
          <w:szCs w:val="16"/>
          <w:vertAlign w:val="baseline"/>
          <w:lang w:val="ro-MD" w:eastAsia="ru-RU"/>
        </w:rPr>
        <w:t>6</w:t>
      </w:r>
      <w:r w:rsidRPr="008C13ED">
        <w:rPr>
          <w:rFonts w:asciiTheme="majorHAnsi" w:hAnsiTheme="majorHAnsi" w:cstheme="majorHAnsi"/>
          <w:sz w:val="16"/>
          <w:szCs w:val="16"/>
          <w:vertAlign w:val="baseline"/>
          <w:lang w:val="ro-MD" w:eastAsia="ru-RU"/>
        </w:rPr>
        <w:t xml:space="preserve"> mil</w:t>
      </w:r>
      <w:r>
        <w:rPr>
          <w:rFonts w:asciiTheme="majorHAnsi" w:hAnsiTheme="majorHAnsi" w:cstheme="majorHAnsi"/>
          <w:sz w:val="16"/>
          <w:szCs w:val="16"/>
          <w:vertAlign w:val="baseline"/>
          <w:lang w:val="ro-MD" w:eastAsia="ru-RU"/>
        </w:rPr>
        <w:t>.</w:t>
      </w:r>
      <w:r w:rsidRPr="008C13ED">
        <w:rPr>
          <w:rFonts w:asciiTheme="majorHAnsi" w:hAnsiTheme="majorHAnsi" w:cstheme="majorHAnsi"/>
          <w:sz w:val="16"/>
          <w:szCs w:val="16"/>
          <w:vertAlign w:val="baseline"/>
          <w:lang w:val="ro-MD" w:eastAsia="ru-RU"/>
        </w:rPr>
        <w:t xml:space="preserve"> lei.</w:t>
      </w:r>
    </w:p>
  </w:footnote>
  <w:footnote w:id="91">
    <w:p w14:paraId="56A76601" w14:textId="3730AB13" w:rsidR="00036D7F" w:rsidRPr="008C13ED" w:rsidRDefault="00036D7F" w:rsidP="001471C4">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 xml:space="preserve">Pct.37 din </w:t>
      </w:r>
      <w:r w:rsidRPr="008C13ED">
        <w:rPr>
          <w:rFonts w:asciiTheme="majorHAnsi" w:hAnsiTheme="majorHAnsi" w:cstheme="majorHAnsi"/>
          <w:bCs/>
          <w:sz w:val="16"/>
          <w:szCs w:val="16"/>
          <w:vertAlign w:val="baseline"/>
          <w:lang w:val="ro-MD"/>
        </w:rPr>
        <w:t>Regulamentul aprobat prin H</w:t>
      </w:r>
      <w:r>
        <w:rPr>
          <w:rFonts w:asciiTheme="majorHAnsi" w:hAnsiTheme="majorHAnsi" w:cstheme="majorHAnsi"/>
          <w:bCs/>
          <w:sz w:val="16"/>
          <w:szCs w:val="16"/>
          <w:vertAlign w:val="baseline"/>
          <w:lang w:val="ro-MD"/>
        </w:rPr>
        <w:t>ANRE</w:t>
      </w:r>
      <w:r w:rsidRPr="008C13ED">
        <w:rPr>
          <w:rFonts w:asciiTheme="majorHAnsi" w:hAnsiTheme="majorHAnsi" w:cstheme="majorHAnsi"/>
          <w:bCs/>
          <w:sz w:val="16"/>
          <w:szCs w:val="16"/>
          <w:vertAlign w:val="baseline"/>
          <w:lang w:val="ro-MD"/>
        </w:rPr>
        <w:t xml:space="preserve"> nr. 24/2017 din 26.01.2017</w:t>
      </w:r>
      <w:r>
        <w:rPr>
          <w:rFonts w:asciiTheme="majorHAnsi" w:hAnsiTheme="majorHAnsi" w:cstheme="majorHAnsi"/>
          <w:bCs/>
          <w:sz w:val="16"/>
          <w:szCs w:val="16"/>
          <w:vertAlign w:val="baseline"/>
          <w:lang w:val="ro-MD"/>
        </w:rPr>
        <w:t>.</w:t>
      </w:r>
    </w:p>
  </w:footnote>
  <w:footnote w:id="92">
    <w:p w14:paraId="67B6CEB2" w14:textId="4620C5DA" w:rsidR="00036D7F" w:rsidRPr="008C13ED" w:rsidRDefault="00036D7F" w:rsidP="00F07049">
      <w:pPr>
        <w:pStyle w:val="FootnoteText"/>
        <w:jc w:val="both"/>
        <w:rPr>
          <w:rFonts w:asciiTheme="majorHAnsi" w:hAnsiTheme="majorHAnsi" w:cstheme="majorHAnsi"/>
          <w:sz w:val="16"/>
          <w:szCs w:val="16"/>
          <w:vertAlign w:val="baseline"/>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 xml:space="preserve">Autoturisme în valoare de 12.124,4 mii lei, bilete </w:t>
      </w:r>
      <w:r>
        <w:rPr>
          <w:rFonts w:asciiTheme="majorHAnsi" w:hAnsiTheme="majorHAnsi" w:cstheme="majorHAnsi"/>
          <w:sz w:val="16"/>
          <w:szCs w:val="16"/>
          <w:vertAlign w:val="baseline"/>
          <w:lang w:val="ro-MD"/>
        </w:rPr>
        <w:t xml:space="preserve">de </w:t>
      </w:r>
      <w:r w:rsidRPr="008C13ED">
        <w:rPr>
          <w:rFonts w:asciiTheme="majorHAnsi" w:hAnsiTheme="majorHAnsi" w:cstheme="majorHAnsi"/>
          <w:sz w:val="16"/>
          <w:szCs w:val="16"/>
          <w:vertAlign w:val="baseline"/>
          <w:lang w:val="ro-MD"/>
        </w:rPr>
        <w:t>avi</w:t>
      </w:r>
      <w:r>
        <w:rPr>
          <w:rFonts w:asciiTheme="majorHAnsi" w:hAnsiTheme="majorHAnsi" w:cstheme="majorHAnsi"/>
          <w:sz w:val="16"/>
          <w:szCs w:val="16"/>
          <w:vertAlign w:val="baseline"/>
          <w:lang w:val="ro-MD"/>
        </w:rPr>
        <w:t>on</w:t>
      </w:r>
      <w:r w:rsidRPr="008C13ED">
        <w:rPr>
          <w:rFonts w:asciiTheme="majorHAnsi" w:hAnsiTheme="majorHAnsi" w:cstheme="majorHAnsi"/>
          <w:sz w:val="16"/>
          <w:szCs w:val="16"/>
          <w:vertAlign w:val="baseline"/>
          <w:lang w:val="ro-MD"/>
        </w:rPr>
        <w:t>/servicii hoteliere în valoare de 6.535,7 mii lei, produse petroliere – 627,1 mii lei</w:t>
      </w:r>
      <w:r>
        <w:rPr>
          <w:rFonts w:asciiTheme="majorHAnsi" w:hAnsiTheme="majorHAnsi" w:cstheme="majorHAnsi"/>
          <w:sz w:val="16"/>
          <w:szCs w:val="16"/>
          <w:vertAlign w:val="baseline"/>
          <w:lang w:val="ro-MD"/>
        </w:rPr>
        <w:t>,</w:t>
      </w:r>
      <w:r w:rsidRPr="008C13ED">
        <w:rPr>
          <w:rFonts w:asciiTheme="majorHAnsi" w:hAnsiTheme="majorHAnsi" w:cstheme="majorHAnsi"/>
          <w:sz w:val="16"/>
          <w:szCs w:val="16"/>
          <w:vertAlign w:val="baseline"/>
          <w:lang w:val="ro-MD"/>
        </w:rPr>
        <w:t xml:space="preserve"> și mobilă în valoare de 522,3 mii lei.</w:t>
      </w:r>
    </w:p>
  </w:footnote>
  <w:footnote w:id="93">
    <w:p w14:paraId="6B246BF0" w14:textId="5A826E7B" w:rsidR="00036D7F" w:rsidRPr="002C1A5E" w:rsidRDefault="00036D7F" w:rsidP="00F07049">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Pct</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 xml:space="preserve"> 90 din </w:t>
      </w:r>
      <w:r w:rsidRPr="002C1A5E">
        <w:rPr>
          <w:rFonts w:asciiTheme="majorHAnsi" w:hAnsiTheme="majorHAnsi" w:cstheme="majorHAnsi"/>
          <w:color w:val="333333"/>
          <w:sz w:val="16"/>
          <w:szCs w:val="16"/>
          <w:shd w:val="clear" w:color="auto" w:fill="FFFFFF"/>
          <w:vertAlign w:val="baseline"/>
          <w:lang w:val="ro-MD"/>
        </w:rPr>
        <w:t xml:space="preserve">Regulamentul </w:t>
      </w:r>
      <w:r w:rsidRPr="008C13ED">
        <w:rPr>
          <w:rFonts w:asciiTheme="majorHAnsi" w:hAnsiTheme="majorHAnsi" w:cstheme="majorHAnsi"/>
          <w:bCs/>
          <w:sz w:val="16"/>
          <w:szCs w:val="16"/>
          <w:vertAlign w:val="baseline"/>
          <w:lang w:val="ro-MD"/>
        </w:rPr>
        <w:t>aprobat prin H</w:t>
      </w:r>
      <w:r>
        <w:rPr>
          <w:rFonts w:asciiTheme="majorHAnsi" w:hAnsiTheme="majorHAnsi" w:cstheme="majorHAnsi"/>
          <w:bCs/>
          <w:sz w:val="16"/>
          <w:szCs w:val="16"/>
          <w:vertAlign w:val="baseline"/>
          <w:lang w:val="ro-MD"/>
        </w:rPr>
        <w:t>ANRE</w:t>
      </w:r>
      <w:r w:rsidRPr="008C13ED">
        <w:rPr>
          <w:rFonts w:asciiTheme="majorHAnsi" w:hAnsiTheme="majorHAnsi" w:cstheme="majorHAnsi"/>
          <w:bCs/>
          <w:sz w:val="16"/>
          <w:szCs w:val="16"/>
          <w:vertAlign w:val="baseline"/>
          <w:lang w:val="ro-MD"/>
        </w:rPr>
        <w:t xml:space="preserve"> nr. 24/2017 din 26.01.2017</w:t>
      </w:r>
      <w:r>
        <w:rPr>
          <w:rFonts w:asciiTheme="majorHAnsi" w:hAnsiTheme="majorHAnsi" w:cstheme="majorHAnsi"/>
          <w:color w:val="333333"/>
          <w:sz w:val="16"/>
          <w:szCs w:val="16"/>
          <w:shd w:val="clear" w:color="auto" w:fill="FFFFFF"/>
          <w:vertAlign w:val="baseline"/>
          <w:lang w:val="ro-MD"/>
        </w:rPr>
        <w:t>.</w:t>
      </w:r>
      <w:r w:rsidRPr="002C1A5E">
        <w:rPr>
          <w:rFonts w:asciiTheme="majorHAnsi" w:hAnsiTheme="majorHAnsi" w:cstheme="majorHAnsi"/>
          <w:sz w:val="16"/>
          <w:szCs w:val="16"/>
          <w:lang w:val="ro-MD"/>
        </w:rPr>
        <w:t xml:space="preserve"> </w:t>
      </w:r>
    </w:p>
  </w:footnote>
  <w:footnote w:id="94">
    <w:p w14:paraId="35DD6C58" w14:textId="58D55C91" w:rsidR="00036D7F" w:rsidRPr="004F4116" w:rsidRDefault="00036D7F" w:rsidP="004B074B">
      <w:pPr>
        <w:pStyle w:val="FootnoteText"/>
        <w:jc w:val="both"/>
        <w:rPr>
          <w:rFonts w:asciiTheme="majorHAnsi" w:hAnsiTheme="majorHAnsi" w:cstheme="majorHAnsi"/>
          <w:sz w:val="16"/>
          <w:szCs w:val="16"/>
          <w:vertAlign w:val="baseline"/>
        </w:rPr>
      </w:pPr>
      <w:r w:rsidRPr="001F602F">
        <w:rPr>
          <w:rStyle w:val="FootnoteReference"/>
          <w:rFonts w:asciiTheme="majorHAnsi" w:hAnsiTheme="majorHAnsi" w:cstheme="majorHAnsi"/>
          <w:sz w:val="16"/>
          <w:szCs w:val="16"/>
        </w:rPr>
        <w:footnoteRef/>
      </w:r>
      <w:r w:rsidRPr="001F602F">
        <w:rPr>
          <w:rFonts w:asciiTheme="majorHAnsi" w:hAnsiTheme="majorHAnsi" w:cstheme="majorHAnsi"/>
          <w:sz w:val="16"/>
          <w:szCs w:val="16"/>
        </w:rPr>
        <w:t xml:space="preserve"> </w:t>
      </w:r>
      <w:r w:rsidRPr="001F602F">
        <w:rPr>
          <w:rFonts w:asciiTheme="majorHAnsi" w:hAnsiTheme="majorHAnsi" w:cstheme="majorHAnsi"/>
          <w:bCs/>
          <w:sz w:val="16"/>
          <w:szCs w:val="16"/>
          <w:vertAlign w:val="baseline"/>
        </w:rPr>
        <w:t>Contoare de tip G-4T (784.0 lei per unitate)</w:t>
      </w:r>
      <w:r w:rsidRPr="001F602F">
        <w:rPr>
          <w:rFonts w:asciiTheme="majorHAnsi" w:hAnsiTheme="majorHAnsi" w:cstheme="majorHAnsi"/>
          <w:sz w:val="16"/>
          <w:szCs w:val="16"/>
          <w:vertAlign w:val="baseline"/>
        </w:rPr>
        <w:t xml:space="preserve"> – 121.629 unități în sumă totală de </w:t>
      </w:r>
      <w:r w:rsidRPr="00CF3AD4">
        <w:rPr>
          <w:rFonts w:asciiTheme="majorHAnsi" w:hAnsiTheme="majorHAnsi" w:cstheme="majorHAnsi"/>
          <w:sz w:val="16"/>
          <w:szCs w:val="16"/>
          <w:vertAlign w:val="baseline"/>
        </w:rPr>
        <w:t>95.357,14</w:t>
      </w:r>
      <w:r w:rsidRPr="001F602F">
        <w:rPr>
          <w:rFonts w:asciiTheme="majorHAnsi" w:hAnsiTheme="majorHAnsi" w:cstheme="majorHAnsi"/>
          <w:sz w:val="16"/>
          <w:szCs w:val="16"/>
          <w:vertAlign w:val="baseline"/>
        </w:rPr>
        <w:t xml:space="preserve"> mii lei; </w:t>
      </w:r>
      <w:r w:rsidRPr="001F602F">
        <w:rPr>
          <w:rFonts w:asciiTheme="majorHAnsi" w:hAnsiTheme="majorHAnsi" w:cstheme="majorHAnsi"/>
          <w:bCs/>
          <w:sz w:val="16"/>
          <w:szCs w:val="16"/>
          <w:vertAlign w:val="baseline"/>
        </w:rPr>
        <w:t>Contoare de tip G-6T (1.781,92 lei per unitate)</w:t>
      </w:r>
      <w:r w:rsidRPr="001F602F">
        <w:rPr>
          <w:rFonts w:asciiTheme="majorHAnsi" w:hAnsiTheme="majorHAnsi" w:cstheme="majorHAnsi"/>
          <w:sz w:val="16"/>
          <w:szCs w:val="16"/>
          <w:vertAlign w:val="baseline"/>
        </w:rPr>
        <w:t xml:space="preserve"> – 1.285 de unități în sumă totală de 2.289,77 mii lei (fără TVA); </w:t>
      </w:r>
      <w:r w:rsidRPr="001F602F">
        <w:rPr>
          <w:rFonts w:asciiTheme="majorHAnsi" w:hAnsiTheme="majorHAnsi" w:cstheme="majorHAnsi"/>
          <w:bCs/>
          <w:sz w:val="16"/>
          <w:szCs w:val="16"/>
          <w:vertAlign w:val="baseline"/>
        </w:rPr>
        <w:t>Contoare de tip G-10T (7.127,5 lei per unitate)</w:t>
      </w:r>
      <w:r w:rsidRPr="001F602F">
        <w:rPr>
          <w:rFonts w:asciiTheme="majorHAnsi" w:hAnsiTheme="majorHAnsi" w:cstheme="majorHAnsi"/>
          <w:sz w:val="16"/>
          <w:szCs w:val="16"/>
          <w:vertAlign w:val="baseline"/>
        </w:rPr>
        <w:t xml:space="preserve"> – 12 unități în sumă totală de </w:t>
      </w:r>
      <w:r w:rsidRPr="00CF3AD4">
        <w:rPr>
          <w:rFonts w:asciiTheme="majorHAnsi" w:hAnsiTheme="majorHAnsi" w:cstheme="majorHAnsi"/>
          <w:sz w:val="16"/>
          <w:szCs w:val="16"/>
          <w:vertAlign w:val="baseline"/>
        </w:rPr>
        <w:t>85,53</w:t>
      </w:r>
      <w:r w:rsidRPr="001F602F">
        <w:rPr>
          <w:rFonts w:asciiTheme="majorHAnsi" w:hAnsiTheme="majorHAnsi" w:cstheme="majorHAnsi"/>
          <w:sz w:val="16"/>
          <w:szCs w:val="16"/>
          <w:vertAlign w:val="baseline"/>
        </w:rPr>
        <w:t xml:space="preserve"> mii lei (fără TVA); </w:t>
      </w:r>
      <w:r w:rsidRPr="001F602F">
        <w:rPr>
          <w:rFonts w:asciiTheme="majorHAnsi" w:hAnsiTheme="majorHAnsi" w:cstheme="majorHAnsi"/>
          <w:bCs/>
          <w:sz w:val="16"/>
          <w:szCs w:val="16"/>
          <w:vertAlign w:val="baseline"/>
        </w:rPr>
        <w:t>Contoare de tip G-25T (16.225 lei per unitate)</w:t>
      </w:r>
      <w:r w:rsidRPr="001F602F">
        <w:rPr>
          <w:rFonts w:asciiTheme="majorHAnsi" w:hAnsiTheme="majorHAnsi" w:cstheme="majorHAnsi"/>
          <w:sz w:val="16"/>
          <w:szCs w:val="16"/>
          <w:vertAlign w:val="baseline"/>
        </w:rPr>
        <w:t xml:space="preserve"> – 3 unități în sumă totală de </w:t>
      </w:r>
      <w:r w:rsidRPr="00CF3AD4">
        <w:rPr>
          <w:rFonts w:asciiTheme="majorHAnsi" w:hAnsiTheme="majorHAnsi" w:cstheme="majorHAnsi"/>
          <w:sz w:val="16"/>
          <w:szCs w:val="16"/>
          <w:vertAlign w:val="baseline"/>
        </w:rPr>
        <w:t>48,68</w:t>
      </w:r>
      <w:r w:rsidRPr="001F602F">
        <w:rPr>
          <w:rFonts w:asciiTheme="majorHAnsi" w:hAnsiTheme="majorHAnsi" w:cstheme="majorHAnsi"/>
          <w:sz w:val="16"/>
          <w:szCs w:val="16"/>
          <w:vertAlign w:val="baseline"/>
        </w:rPr>
        <w:t xml:space="preserve"> mii lei (fără TVA), </w:t>
      </w:r>
      <w:r w:rsidRPr="001F602F">
        <w:rPr>
          <w:rFonts w:asciiTheme="majorHAnsi" w:hAnsiTheme="majorHAnsi" w:cstheme="majorHAnsi"/>
          <w:bCs/>
          <w:sz w:val="16"/>
          <w:szCs w:val="16"/>
          <w:vertAlign w:val="baseline"/>
        </w:rPr>
        <w:t>TVA</w:t>
      </w:r>
      <w:r w:rsidRPr="001F602F">
        <w:rPr>
          <w:rFonts w:asciiTheme="majorHAnsi" w:hAnsiTheme="majorHAnsi" w:cstheme="majorHAnsi"/>
          <w:sz w:val="16"/>
          <w:szCs w:val="16"/>
          <w:vertAlign w:val="baseline"/>
        </w:rPr>
        <w:t xml:space="preserve"> – 19.556,21 mii lei.</w:t>
      </w:r>
      <w:r w:rsidRPr="004F4116">
        <w:rPr>
          <w:rFonts w:asciiTheme="majorHAnsi" w:hAnsiTheme="majorHAnsi" w:cstheme="majorHAnsi"/>
          <w:sz w:val="16"/>
          <w:szCs w:val="16"/>
          <w:vertAlign w:val="baseline"/>
        </w:rPr>
        <w:t xml:space="preserve"> </w:t>
      </w:r>
    </w:p>
  </w:footnote>
  <w:footnote w:id="95">
    <w:p w14:paraId="2778F44A" w14:textId="0D5F8B5F" w:rsidR="00036D7F" w:rsidRPr="004F4116" w:rsidRDefault="00036D7F" w:rsidP="004F4116">
      <w:pPr>
        <w:spacing w:after="0" w:line="240" w:lineRule="auto"/>
        <w:jc w:val="both"/>
        <w:rPr>
          <w:rFonts w:asciiTheme="majorHAnsi" w:hAnsiTheme="majorHAnsi" w:cstheme="majorHAnsi"/>
          <w:sz w:val="16"/>
          <w:szCs w:val="16"/>
          <w:lang w:val="ro-RO"/>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lang w:val="ro-RO"/>
        </w:rPr>
        <w:t>Contractele nr.148 din 14.09.</w:t>
      </w:r>
      <w:r>
        <w:rPr>
          <w:rFonts w:asciiTheme="majorHAnsi" w:hAnsiTheme="majorHAnsi" w:cstheme="majorHAnsi"/>
          <w:sz w:val="16"/>
          <w:szCs w:val="16"/>
          <w:lang w:val="ro-RO"/>
        </w:rPr>
        <w:t>20</w:t>
      </w:r>
      <w:r w:rsidRPr="004F4116">
        <w:rPr>
          <w:rFonts w:asciiTheme="majorHAnsi" w:hAnsiTheme="majorHAnsi" w:cstheme="majorHAnsi"/>
          <w:sz w:val="16"/>
          <w:szCs w:val="16"/>
          <w:lang w:val="ro-RO"/>
        </w:rPr>
        <w:t>18</w:t>
      </w:r>
      <w:r>
        <w:rPr>
          <w:rFonts w:asciiTheme="majorHAnsi" w:hAnsiTheme="majorHAnsi" w:cstheme="majorHAnsi"/>
          <w:sz w:val="16"/>
          <w:szCs w:val="16"/>
          <w:lang w:val="ro-RO"/>
        </w:rPr>
        <w:t>,</w:t>
      </w:r>
      <w:r w:rsidRPr="004F4116">
        <w:rPr>
          <w:rFonts w:asciiTheme="majorHAnsi" w:hAnsiTheme="majorHAnsi" w:cstheme="majorHAnsi"/>
          <w:sz w:val="16"/>
          <w:szCs w:val="16"/>
          <w:lang w:val="ro-RO"/>
        </w:rPr>
        <w:t xml:space="preserve"> procedura de achiziție nr. CG-LD-04/18; nr. 181 din 19.11.</w:t>
      </w:r>
      <w:r>
        <w:rPr>
          <w:rFonts w:asciiTheme="majorHAnsi" w:hAnsiTheme="majorHAnsi" w:cstheme="majorHAnsi"/>
          <w:sz w:val="16"/>
          <w:szCs w:val="16"/>
          <w:lang w:val="ro-RO"/>
        </w:rPr>
        <w:t>20</w:t>
      </w:r>
      <w:r w:rsidRPr="004F4116">
        <w:rPr>
          <w:rFonts w:asciiTheme="majorHAnsi" w:hAnsiTheme="majorHAnsi" w:cstheme="majorHAnsi"/>
          <w:sz w:val="16"/>
          <w:szCs w:val="16"/>
          <w:lang w:val="ro-RO"/>
        </w:rPr>
        <w:t>18; nr. 171 din 22.10.</w:t>
      </w:r>
      <w:r>
        <w:rPr>
          <w:rFonts w:asciiTheme="majorHAnsi" w:hAnsiTheme="majorHAnsi" w:cstheme="majorHAnsi"/>
          <w:sz w:val="16"/>
          <w:szCs w:val="16"/>
          <w:lang w:val="ro-RO"/>
        </w:rPr>
        <w:t>20</w:t>
      </w:r>
      <w:r w:rsidRPr="004F4116">
        <w:rPr>
          <w:rFonts w:asciiTheme="majorHAnsi" w:hAnsiTheme="majorHAnsi" w:cstheme="majorHAnsi"/>
          <w:sz w:val="16"/>
          <w:szCs w:val="16"/>
          <w:lang w:val="ro-RO"/>
        </w:rPr>
        <w:t>18</w:t>
      </w:r>
      <w:r>
        <w:rPr>
          <w:rFonts w:asciiTheme="majorHAnsi" w:hAnsiTheme="majorHAnsi" w:cstheme="majorHAnsi"/>
          <w:sz w:val="16"/>
          <w:szCs w:val="16"/>
          <w:lang w:val="ro-RO"/>
        </w:rPr>
        <w:t>,</w:t>
      </w:r>
      <w:r w:rsidRPr="004F4116">
        <w:rPr>
          <w:rFonts w:asciiTheme="majorHAnsi" w:hAnsiTheme="majorHAnsi" w:cstheme="majorHAnsi"/>
          <w:sz w:val="16"/>
          <w:szCs w:val="16"/>
          <w:lang w:val="ro-RO"/>
        </w:rPr>
        <w:t xml:space="preserve"> procedura de achiziție nr. CG-LD-38/18; nr. 156 din 05.10.</w:t>
      </w:r>
      <w:r>
        <w:rPr>
          <w:rFonts w:asciiTheme="majorHAnsi" w:hAnsiTheme="majorHAnsi" w:cstheme="majorHAnsi"/>
          <w:sz w:val="16"/>
          <w:szCs w:val="16"/>
          <w:lang w:val="ro-RO"/>
        </w:rPr>
        <w:t>20</w:t>
      </w:r>
      <w:r w:rsidRPr="004F4116">
        <w:rPr>
          <w:rFonts w:asciiTheme="majorHAnsi" w:hAnsiTheme="majorHAnsi" w:cstheme="majorHAnsi"/>
          <w:sz w:val="16"/>
          <w:szCs w:val="16"/>
          <w:lang w:val="ro-RO"/>
        </w:rPr>
        <w:t>18; nr. 61 din 22.02.</w:t>
      </w:r>
      <w:r>
        <w:rPr>
          <w:rFonts w:asciiTheme="majorHAnsi" w:hAnsiTheme="majorHAnsi" w:cstheme="majorHAnsi"/>
          <w:sz w:val="16"/>
          <w:szCs w:val="16"/>
          <w:lang w:val="ro-RO"/>
        </w:rPr>
        <w:t>20</w:t>
      </w:r>
      <w:r w:rsidRPr="004F4116">
        <w:rPr>
          <w:rFonts w:asciiTheme="majorHAnsi" w:hAnsiTheme="majorHAnsi" w:cstheme="majorHAnsi"/>
          <w:sz w:val="16"/>
          <w:szCs w:val="16"/>
          <w:lang w:val="ro-RO"/>
        </w:rPr>
        <w:t>19</w:t>
      </w:r>
      <w:r>
        <w:rPr>
          <w:rFonts w:asciiTheme="majorHAnsi" w:hAnsiTheme="majorHAnsi" w:cstheme="majorHAnsi"/>
          <w:sz w:val="16"/>
          <w:szCs w:val="16"/>
          <w:lang w:val="ro-RO"/>
        </w:rPr>
        <w:t>,</w:t>
      </w:r>
      <w:r w:rsidRPr="004F4116">
        <w:rPr>
          <w:rFonts w:asciiTheme="majorHAnsi" w:hAnsiTheme="majorHAnsi" w:cstheme="majorHAnsi"/>
          <w:sz w:val="16"/>
          <w:szCs w:val="16"/>
          <w:lang w:val="ro-RO"/>
        </w:rPr>
        <w:t xml:space="preserve"> procedura de achiziție nr. CG-LD-05/19</w:t>
      </w:r>
      <w:r>
        <w:rPr>
          <w:rFonts w:asciiTheme="majorHAnsi" w:hAnsiTheme="majorHAnsi" w:cstheme="majorHAnsi"/>
          <w:sz w:val="16"/>
          <w:szCs w:val="16"/>
          <w:lang w:val="ro-RO"/>
        </w:rPr>
        <w:t>.</w:t>
      </w:r>
    </w:p>
  </w:footnote>
  <w:footnote w:id="96">
    <w:p w14:paraId="664079E5" w14:textId="259F340A" w:rsidR="00036D7F" w:rsidRPr="002C1A5E" w:rsidRDefault="00036D7F" w:rsidP="004B074B">
      <w:pPr>
        <w:pStyle w:val="FootnoteText"/>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vertAlign w:val="baseline"/>
          <w:lang w:val="ro-MD"/>
        </w:rPr>
        <w:t xml:space="preserve"> </w:t>
      </w:r>
      <w:r w:rsidRPr="002C1A5E">
        <w:rPr>
          <w:rFonts w:asciiTheme="majorHAnsi" w:hAnsiTheme="majorHAnsi" w:cstheme="majorHAnsi"/>
          <w:bCs/>
          <w:sz w:val="16"/>
          <w:szCs w:val="16"/>
          <w:vertAlign w:val="baseline"/>
          <w:lang w:val="ro-MD"/>
        </w:rPr>
        <w:t>HANRE nr. 445/2020 din 25.11.2020</w:t>
      </w:r>
      <w:r w:rsidRPr="002C1A5E">
        <w:rPr>
          <w:rFonts w:asciiTheme="majorHAnsi" w:hAnsiTheme="majorHAnsi" w:cstheme="majorHAnsi"/>
          <w:sz w:val="16"/>
          <w:szCs w:val="16"/>
          <w:vertAlign w:val="baseline"/>
          <w:lang w:val="ro-MD"/>
        </w:rPr>
        <w:t xml:space="preserve"> privind rezultatele controlului planificat efectuat de către titularul de licență „Chișinău-Gaz SRL.</w:t>
      </w:r>
    </w:p>
  </w:footnote>
  <w:footnote w:id="97">
    <w:p w14:paraId="7CFED60A" w14:textId="78583E2A" w:rsidR="00036D7F" w:rsidRPr="008C13ED" w:rsidRDefault="00036D7F" w:rsidP="009D58CC">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Contact</w:t>
      </w:r>
      <w:r>
        <w:rPr>
          <w:rFonts w:asciiTheme="majorHAnsi" w:hAnsiTheme="majorHAnsi" w:cstheme="majorHAnsi"/>
          <w:sz w:val="16"/>
          <w:szCs w:val="16"/>
          <w:vertAlign w:val="baseline"/>
          <w:lang w:val="ro-MD"/>
        </w:rPr>
        <w:t>ul</w:t>
      </w:r>
      <w:r w:rsidRPr="008C13ED">
        <w:rPr>
          <w:rFonts w:asciiTheme="majorHAnsi" w:hAnsiTheme="majorHAnsi" w:cstheme="majorHAnsi"/>
          <w:sz w:val="16"/>
          <w:szCs w:val="16"/>
          <w:vertAlign w:val="baseline"/>
          <w:lang w:val="ro-MD"/>
        </w:rPr>
        <w:t xml:space="preserve"> nr.155OMN/MTG din 13.10.</w:t>
      </w:r>
      <w:r>
        <w:rPr>
          <w:rFonts w:asciiTheme="majorHAnsi" w:hAnsiTheme="majorHAnsi" w:cstheme="majorHAnsi"/>
          <w:sz w:val="16"/>
          <w:szCs w:val="16"/>
          <w:vertAlign w:val="baseline"/>
          <w:lang w:val="ro-MD"/>
        </w:rPr>
        <w:t>20</w:t>
      </w:r>
      <w:r w:rsidRPr="008C13ED">
        <w:rPr>
          <w:rFonts w:asciiTheme="majorHAnsi" w:hAnsiTheme="majorHAnsi" w:cstheme="majorHAnsi"/>
          <w:sz w:val="16"/>
          <w:szCs w:val="16"/>
          <w:vertAlign w:val="baseline"/>
          <w:lang w:val="ro-MD"/>
        </w:rPr>
        <w:t>17 (8</w:t>
      </w:r>
      <w:r>
        <w:rPr>
          <w:rFonts w:asciiTheme="majorHAnsi" w:hAnsiTheme="majorHAnsi" w:cstheme="majorHAnsi"/>
          <w:sz w:val="16"/>
          <w:szCs w:val="16"/>
          <w:vertAlign w:val="baseline"/>
          <w:lang w:val="ro-MD"/>
        </w:rPr>
        <w:t>.</w:t>
      </w:r>
      <w:r w:rsidRPr="008C13ED">
        <w:rPr>
          <w:rFonts w:asciiTheme="majorHAnsi" w:hAnsiTheme="majorHAnsi" w:cstheme="majorHAnsi"/>
          <w:sz w:val="16"/>
          <w:szCs w:val="16"/>
          <w:vertAlign w:val="baseline"/>
          <w:lang w:val="ro-MD"/>
        </w:rPr>
        <w:t>743</w:t>
      </w:r>
      <w:r>
        <w:rPr>
          <w:rFonts w:asciiTheme="majorHAnsi" w:hAnsiTheme="majorHAnsi" w:cstheme="majorHAnsi"/>
          <w:sz w:val="16"/>
          <w:szCs w:val="16"/>
          <w:vertAlign w:val="baseline"/>
          <w:lang w:val="ro-MD"/>
        </w:rPr>
        <w:t>.</w:t>
      </w:r>
      <w:r w:rsidRPr="008C13ED">
        <w:rPr>
          <w:rFonts w:asciiTheme="majorHAnsi" w:hAnsiTheme="majorHAnsi" w:cstheme="majorHAnsi"/>
          <w:sz w:val="16"/>
          <w:szCs w:val="16"/>
          <w:vertAlign w:val="baseline"/>
          <w:lang w:val="ro-MD"/>
        </w:rPr>
        <w:t>125,61 lei) și contract</w:t>
      </w:r>
      <w:r>
        <w:rPr>
          <w:rFonts w:asciiTheme="majorHAnsi" w:hAnsiTheme="majorHAnsi" w:cstheme="majorHAnsi"/>
          <w:sz w:val="16"/>
          <w:szCs w:val="16"/>
          <w:vertAlign w:val="baseline"/>
          <w:lang w:val="ro-MD"/>
        </w:rPr>
        <w:t>ul</w:t>
      </w:r>
      <w:r w:rsidRPr="008C13ED">
        <w:rPr>
          <w:rFonts w:asciiTheme="majorHAnsi" w:hAnsiTheme="majorHAnsi" w:cstheme="majorHAnsi"/>
          <w:sz w:val="16"/>
          <w:szCs w:val="16"/>
          <w:vertAlign w:val="baseline"/>
          <w:lang w:val="ro-MD"/>
        </w:rPr>
        <w:t xml:space="preserve"> nr. MTG 26/20 din 22.08.2020 (5</w:t>
      </w:r>
      <w:r>
        <w:rPr>
          <w:rFonts w:asciiTheme="majorHAnsi" w:hAnsiTheme="majorHAnsi" w:cstheme="majorHAnsi"/>
          <w:sz w:val="16"/>
          <w:szCs w:val="16"/>
          <w:vertAlign w:val="baseline"/>
          <w:lang w:val="ro-MD"/>
        </w:rPr>
        <w:t>.</w:t>
      </w:r>
      <w:r w:rsidRPr="008C13ED">
        <w:rPr>
          <w:rFonts w:asciiTheme="majorHAnsi" w:hAnsiTheme="majorHAnsi" w:cstheme="majorHAnsi"/>
          <w:sz w:val="16"/>
          <w:szCs w:val="16"/>
          <w:vertAlign w:val="baseline"/>
          <w:lang w:val="ro-MD"/>
        </w:rPr>
        <w:t>192</w:t>
      </w:r>
      <w:r>
        <w:rPr>
          <w:rFonts w:asciiTheme="majorHAnsi" w:hAnsiTheme="majorHAnsi" w:cstheme="majorHAnsi"/>
          <w:sz w:val="16"/>
          <w:szCs w:val="16"/>
          <w:vertAlign w:val="baseline"/>
          <w:lang w:val="ro-MD"/>
        </w:rPr>
        <w:t>.</w:t>
      </w:r>
      <w:r w:rsidRPr="008C13ED">
        <w:rPr>
          <w:rFonts w:asciiTheme="majorHAnsi" w:hAnsiTheme="majorHAnsi" w:cstheme="majorHAnsi"/>
          <w:sz w:val="16"/>
          <w:szCs w:val="16"/>
          <w:vertAlign w:val="baseline"/>
          <w:lang w:val="ro-MD"/>
        </w:rPr>
        <w:t>700,00 lei).</w:t>
      </w:r>
    </w:p>
  </w:footnote>
  <w:footnote w:id="98">
    <w:p w14:paraId="1166AEC7" w14:textId="77777777" w:rsidR="00036D7F" w:rsidRPr="008C13ED" w:rsidRDefault="00036D7F" w:rsidP="009F7C06">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Dispoziția nr.15-D din 06.05.2014.</w:t>
      </w:r>
    </w:p>
  </w:footnote>
  <w:footnote w:id="99">
    <w:p w14:paraId="22AC501B" w14:textId="78459F0F" w:rsidR="00036D7F" w:rsidRPr="008C13ED" w:rsidRDefault="00036D7F" w:rsidP="00586AC4">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 xml:space="preserve">Pct.91 lit.b) din </w:t>
      </w:r>
      <w:r w:rsidRPr="008C13ED">
        <w:rPr>
          <w:rFonts w:asciiTheme="majorHAnsi" w:hAnsiTheme="majorHAnsi" w:cstheme="majorHAnsi"/>
          <w:color w:val="333333"/>
          <w:sz w:val="16"/>
          <w:szCs w:val="16"/>
          <w:shd w:val="clear" w:color="auto" w:fill="FFFFFF"/>
          <w:vertAlign w:val="baseline"/>
          <w:lang w:val="ro-MD"/>
        </w:rPr>
        <w:t>Regulamentul aprobat prin HANRE nr.24 din 26.01.2017.</w:t>
      </w:r>
    </w:p>
  </w:footnote>
  <w:footnote w:id="100">
    <w:p w14:paraId="4789DEF2" w14:textId="77777777" w:rsidR="00036D7F" w:rsidRPr="008C13ED" w:rsidRDefault="00036D7F" w:rsidP="00586AC4">
      <w:pPr>
        <w:pStyle w:val="FootnoteText"/>
        <w:jc w:val="both"/>
        <w:rPr>
          <w:rFonts w:asciiTheme="majorHAnsi" w:hAnsiTheme="majorHAnsi" w:cstheme="majorHAnsi"/>
          <w:sz w:val="16"/>
          <w:szCs w:val="16"/>
          <w:vertAlign w:val="baseline"/>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Contractul nr.86/12/18 din 24.09.2018 are ca obiect procurarea mobilei.</w:t>
      </w:r>
    </w:p>
  </w:footnote>
  <w:footnote w:id="101">
    <w:p w14:paraId="254A3F23" w14:textId="443361B4" w:rsidR="00036D7F" w:rsidRPr="008C13ED" w:rsidRDefault="00036D7F" w:rsidP="00AB0784">
      <w:pPr>
        <w:pStyle w:val="NormalWeb"/>
        <w:rPr>
          <w:lang w:val="ro-MD"/>
        </w:rPr>
      </w:pPr>
      <w:r w:rsidRPr="008C13ED">
        <w:rPr>
          <w:rStyle w:val="FootnoteReference"/>
          <w:lang w:val="ro-MD"/>
        </w:rPr>
        <w:footnoteRef/>
      </w:r>
      <w:r w:rsidRPr="008C13ED">
        <w:rPr>
          <w:lang w:val="ro-MD"/>
        </w:rPr>
        <w:t xml:space="preserve"> Contractul nr.68-SJ din 20.07.2015 privind achiziționarea lucrărilor de reparație capitală a conductei de</w:t>
      </w:r>
      <w:r>
        <w:rPr>
          <w:lang w:val="ro-MD"/>
        </w:rPr>
        <w:t xml:space="preserve"> </w:t>
      </w:r>
      <w:r w:rsidRPr="008C13ED">
        <w:rPr>
          <w:lang w:val="ro-MD"/>
        </w:rPr>
        <w:t xml:space="preserve">gaze magistrale. </w:t>
      </w:r>
    </w:p>
  </w:footnote>
  <w:footnote w:id="102">
    <w:p w14:paraId="09B48A2C" w14:textId="47488584" w:rsidR="00036D7F" w:rsidRPr="008C13ED" w:rsidRDefault="00036D7F" w:rsidP="008D7907">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Pct. 124, pct</w:t>
      </w:r>
      <w:r>
        <w:rPr>
          <w:rFonts w:asciiTheme="majorHAnsi" w:hAnsiTheme="majorHAnsi" w:cstheme="majorHAnsi"/>
          <w:sz w:val="16"/>
          <w:szCs w:val="16"/>
          <w:vertAlign w:val="baseline"/>
          <w:lang w:val="ro-MD"/>
        </w:rPr>
        <w:t>.</w:t>
      </w:r>
      <w:r w:rsidRPr="008C13ED">
        <w:rPr>
          <w:rFonts w:asciiTheme="majorHAnsi" w:hAnsiTheme="majorHAnsi" w:cstheme="majorHAnsi"/>
          <w:sz w:val="16"/>
          <w:szCs w:val="16"/>
          <w:vertAlign w:val="baseline"/>
          <w:lang w:val="ro-MD"/>
        </w:rPr>
        <w:t xml:space="preserve"> 125 și pct. 10 din </w:t>
      </w:r>
      <w:r w:rsidRPr="008C13ED">
        <w:rPr>
          <w:rFonts w:asciiTheme="majorHAnsi" w:hAnsiTheme="majorHAnsi" w:cstheme="majorHAnsi"/>
          <w:color w:val="333333"/>
          <w:sz w:val="16"/>
          <w:szCs w:val="16"/>
          <w:shd w:val="clear" w:color="auto" w:fill="FFFFFF"/>
          <w:vertAlign w:val="baseline"/>
          <w:lang w:val="ro-MD"/>
        </w:rPr>
        <w:t>Regulamentul aprobat prin HANRE nr.24 din 26.01.2017.</w:t>
      </w:r>
    </w:p>
  </w:footnote>
  <w:footnote w:id="103">
    <w:p w14:paraId="6E255D46" w14:textId="316FD81C" w:rsidR="00036D7F" w:rsidRPr="008C13ED" w:rsidRDefault="00036D7F" w:rsidP="008D7907">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 xml:space="preserve">Pct. 5 lit. e), pct. 7 din </w:t>
      </w:r>
      <w:r w:rsidRPr="008C13ED">
        <w:rPr>
          <w:rFonts w:asciiTheme="majorHAnsi" w:hAnsiTheme="majorHAnsi" w:cstheme="majorHAnsi"/>
          <w:color w:val="333333"/>
          <w:sz w:val="16"/>
          <w:szCs w:val="16"/>
          <w:shd w:val="clear" w:color="auto" w:fill="FFFFFF"/>
          <w:vertAlign w:val="baseline"/>
          <w:lang w:val="ro-MD"/>
        </w:rPr>
        <w:t>Regulamentul aprobat prin HANRE nr.24 din 26.01.2017.</w:t>
      </w:r>
    </w:p>
  </w:footnote>
  <w:footnote w:id="104">
    <w:p w14:paraId="23E940B5" w14:textId="77777777" w:rsidR="00036D7F" w:rsidRPr="008C13ED" w:rsidRDefault="00036D7F" w:rsidP="008D7907">
      <w:pPr>
        <w:pStyle w:val="FootnoteText"/>
        <w:jc w:val="both"/>
        <w:rPr>
          <w:rFonts w:asciiTheme="majorHAnsi" w:hAnsiTheme="majorHAnsi" w:cstheme="majorHAnsi"/>
          <w:bCs/>
          <w:color w:val="333333"/>
          <w:sz w:val="16"/>
          <w:szCs w:val="16"/>
          <w:vertAlign w:val="baseline"/>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sidRPr="008C13ED">
        <w:rPr>
          <w:rFonts w:asciiTheme="majorHAnsi" w:hAnsiTheme="majorHAnsi" w:cstheme="majorHAnsi"/>
          <w:sz w:val="16"/>
          <w:szCs w:val="16"/>
          <w:vertAlign w:val="baseline"/>
          <w:lang w:val="ro-MD"/>
        </w:rPr>
        <w:t xml:space="preserve">Art.16 din Legea </w:t>
      </w:r>
      <w:r w:rsidRPr="008C13ED">
        <w:rPr>
          <w:rFonts w:asciiTheme="majorHAnsi" w:hAnsiTheme="majorHAnsi" w:cstheme="majorHAnsi"/>
          <w:bCs/>
          <w:color w:val="333333"/>
          <w:sz w:val="16"/>
          <w:szCs w:val="16"/>
          <w:vertAlign w:val="baseline"/>
          <w:lang w:val="ro-MD"/>
        </w:rPr>
        <w:t xml:space="preserve">nr. 116 din 18.05.2012 </w:t>
      </w:r>
      <w:r w:rsidRPr="008C13ED">
        <w:rPr>
          <w:rFonts w:asciiTheme="majorHAnsi" w:hAnsiTheme="majorHAnsi" w:cstheme="majorHAnsi"/>
          <w:sz w:val="16"/>
          <w:szCs w:val="16"/>
          <w:vertAlign w:val="baseline"/>
          <w:lang w:val="ro-MD"/>
        </w:rPr>
        <w:t>privind securitatea industrială a obiectelor industriale</w:t>
      </w:r>
      <w:r w:rsidRPr="008C13ED">
        <w:rPr>
          <w:rFonts w:asciiTheme="majorHAnsi" w:hAnsiTheme="majorHAnsi" w:cstheme="majorHAnsi"/>
          <w:bCs/>
          <w:color w:val="333333"/>
          <w:sz w:val="16"/>
          <w:szCs w:val="16"/>
          <w:vertAlign w:val="baseline"/>
          <w:lang w:val="ro-MD"/>
        </w:rPr>
        <w:t xml:space="preserve"> </w:t>
      </w:r>
      <w:r w:rsidRPr="008C13ED">
        <w:rPr>
          <w:rFonts w:asciiTheme="majorHAnsi" w:hAnsiTheme="majorHAnsi" w:cstheme="majorHAnsi"/>
          <w:sz w:val="16"/>
          <w:szCs w:val="16"/>
          <w:vertAlign w:val="baseline"/>
          <w:lang w:val="ro-MD"/>
        </w:rPr>
        <w:t>periculoase.</w:t>
      </w:r>
      <w:r w:rsidRPr="008C13ED">
        <w:rPr>
          <w:rFonts w:asciiTheme="majorHAnsi" w:hAnsiTheme="majorHAnsi" w:cstheme="majorHAnsi"/>
          <w:bCs/>
          <w:color w:val="333333"/>
          <w:sz w:val="16"/>
          <w:szCs w:val="16"/>
          <w:vertAlign w:val="baseline"/>
          <w:lang w:val="ro-MD"/>
        </w:rPr>
        <w:t xml:space="preserve"> </w:t>
      </w:r>
    </w:p>
  </w:footnote>
  <w:footnote w:id="105">
    <w:p w14:paraId="46641B79" w14:textId="3BA400CE" w:rsidR="00036D7F" w:rsidRPr="008C13ED" w:rsidRDefault="00036D7F" w:rsidP="008D7907">
      <w:pPr>
        <w:pStyle w:val="NormalWeb"/>
        <w:rPr>
          <w:lang w:val="ro-MD"/>
        </w:rPr>
      </w:pPr>
      <w:r w:rsidRPr="008C13ED">
        <w:rPr>
          <w:rStyle w:val="FootnoteReference"/>
          <w:lang w:val="ro-MD"/>
        </w:rPr>
        <w:footnoteRef/>
      </w:r>
      <w:r w:rsidRPr="008C13ED">
        <w:rPr>
          <w:lang w:val="ro-MD"/>
        </w:rPr>
        <w:t xml:space="preserve"> Art.15 alin.(2) din Legea cu privire la asigurări </w:t>
      </w:r>
      <w:r>
        <w:rPr>
          <w:lang w:val="ro-MD"/>
        </w:rPr>
        <w:t>nr.</w:t>
      </w:r>
      <w:r w:rsidRPr="008C13ED">
        <w:rPr>
          <w:lang w:val="ro-MD"/>
        </w:rPr>
        <w:t xml:space="preserve"> 407 din 21.12.2006</w:t>
      </w:r>
      <w:r>
        <w:rPr>
          <w:lang w:val="ro-MD"/>
        </w:rPr>
        <w:t>.</w:t>
      </w:r>
      <w:r w:rsidRPr="008C13ED">
        <w:rPr>
          <w:lang w:val="ro-MD"/>
        </w:rPr>
        <w:t xml:space="preserve"> </w:t>
      </w:r>
    </w:p>
  </w:footnote>
  <w:footnote w:id="106">
    <w:p w14:paraId="097EC1E2" w14:textId="2AC281C4" w:rsidR="00036D7F" w:rsidRPr="008C13ED" w:rsidRDefault="00036D7F" w:rsidP="008D7907">
      <w:pPr>
        <w:pStyle w:val="FootnoteText"/>
        <w:jc w:val="both"/>
        <w:rPr>
          <w:rFonts w:asciiTheme="majorHAnsi" w:hAnsiTheme="majorHAnsi" w:cstheme="majorHAnsi"/>
          <w:sz w:val="16"/>
          <w:szCs w:val="16"/>
          <w:lang w:val="ro-MD"/>
        </w:rPr>
      </w:pPr>
      <w:r w:rsidRPr="008C13ED">
        <w:rPr>
          <w:rStyle w:val="FootnoteReference"/>
          <w:rFonts w:asciiTheme="majorHAnsi" w:hAnsiTheme="majorHAnsi" w:cstheme="majorHAnsi"/>
          <w:sz w:val="16"/>
          <w:szCs w:val="16"/>
          <w:lang w:val="ro-MD"/>
        </w:rPr>
        <w:footnoteRef/>
      </w:r>
      <w:r w:rsidRPr="008C13ED">
        <w:rPr>
          <w:rFonts w:asciiTheme="majorHAnsi" w:hAnsiTheme="majorHAnsi" w:cstheme="majorHAnsi"/>
          <w:sz w:val="16"/>
          <w:szCs w:val="16"/>
          <w:lang w:val="ro-MD"/>
        </w:rPr>
        <w:t xml:space="preserve"> </w:t>
      </w:r>
      <w:r>
        <w:rPr>
          <w:rFonts w:asciiTheme="majorHAnsi" w:hAnsiTheme="majorHAnsi" w:cstheme="majorHAnsi"/>
          <w:sz w:val="16"/>
          <w:szCs w:val="16"/>
          <w:vertAlign w:val="baseline"/>
          <w:lang w:val="ro-MD"/>
        </w:rPr>
        <w:t>P</w:t>
      </w:r>
      <w:r w:rsidRPr="008C13ED">
        <w:rPr>
          <w:rFonts w:asciiTheme="majorHAnsi" w:hAnsiTheme="majorHAnsi" w:cstheme="majorHAnsi"/>
          <w:sz w:val="16"/>
          <w:szCs w:val="16"/>
          <w:vertAlign w:val="baseline"/>
          <w:lang w:val="ro-MD"/>
        </w:rPr>
        <w:t>rocedura de achiziți</w:t>
      </w:r>
      <w:r>
        <w:rPr>
          <w:rFonts w:asciiTheme="majorHAnsi" w:hAnsiTheme="majorHAnsi" w:cstheme="majorHAnsi"/>
          <w:sz w:val="16"/>
          <w:szCs w:val="16"/>
          <w:vertAlign w:val="baseline"/>
          <w:lang w:val="ro-MD"/>
        </w:rPr>
        <w:t>e</w:t>
      </w:r>
      <w:r w:rsidRPr="008C13ED">
        <w:rPr>
          <w:rFonts w:asciiTheme="majorHAnsi" w:hAnsiTheme="majorHAnsi" w:cstheme="majorHAnsi"/>
          <w:sz w:val="16"/>
          <w:szCs w:val="16"/>
          <w:vertAlign w:val="baseline"/>
          <w:lang w:val="ro-MD"/>
        </w:rPr>
        <w:t xml:space="preserve"> a serviciilor de asigurare în anul 2016 n</w:t>
      </w:r>
      <w:r>
        <w:rPr>
          <w:rFonts w:asciiTheme="majorHAnsi" w:hAnsiTheme="majorHAnsi" w:cstheme="majorHAnsi"/>
          <w:sz w:val="16"/>
          <w:szCs w:val="16"/>
          <w:vertAlign w:val="baseline"/>
          <w:lang w:val="ro-MD"/>
        </w:rPr>
        <w:t xml:space="preserve">u </w:t>
      </w:r>
      <w:r w:rsidRPr="008C13ED">
        <w:rPr>
          <w:rFonts w:asciiTheme="majorHAnsi" w:hAnsiTheme="majorHAnsi" w:cstheme="majorHAnsi"/>
          <w:sz w:val="16"/>
          <w:szCs w:val="16"/>
          <w:vertAlign w:val="baseline"/>
          <w:lang w:val="ro-MD"/>
        </w:rPr>
        <w:t>a fost planificată, iar documentația de licitație lipește în dosarul prezentat auditului. În anunțul privind inițierea procedurii de achiziții n</w:t>
      </w:r>
      <w:r>
        <w:rPr>
          <w:rFonts w:asciiTheme="majorHAnsi" w:hAnsiTheme="majorHAnsi" w:cstheme="majorHAnsi"/>
          <w:sz w:val="16"/>
          <w:szCs w:val="16"/>
          <w:vertAlign w:val="baseline"/>
          <w:lang w:val="ro-MD"/>
        </w:rPr>
        <w:t xml:space="preserve">u </w:t>
      </w:r>
      <w:r w:rsidRPr="008C13ED">
        <w:rPr>
          <w:rFonts w:asciiTheme="majorHAnsi" w:hAnsiTheme="majorHAnsi" w:cstheme="majorHAnsi"/>
          <w:sz w:val="16"/>
          <w:szCs w:val="16"/>
          <w:vertAlign w:val="baseline"/>
          <w:lang w:val="ro-MD"/>
        </w:rPr>
        <w:t>a fost indicată suma estimativă a achiziției.</w:t>
      </w:r>
    </w:p>
  </w:footnote>
  <w:footnote w:id="107">
    <w:p w14:paraId="3194ADD9" w14:textId="0A585F15" w:rsidR="00036D7F" w:rsidRPr="002C1A5E" w:rsidRDefault="00036D7F" w:rsidP="002C1A5E">
      <w:pPr>
        <w:pStyle w:val="FootnoteText"/>
        <w:jc w:val="both"/>
        <w:rPr>
          <w:rFonts w:asciiTheme="majorHAnsi" w:hAnsiTheme="majorHAnsi" w:cstheme="majorHAnsi"/>
          <w:sz w:val="16"/>
          <w:szCs w:val="16"/>
          <w:vertAlign w:val="baseline"/>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Metodologia de calculare a stocului de gaze natural</w:t>
      </w:r>
      <w:r>
        <w:rPr>
          <w:rFonts w:asciiTheme="majorHAnsi" w:hAnsiTheme="majorHAnsi" w:cstheme="majorHAnsi"/>
          <w:sz w:val="16"/>
          <w:szCs w:val="16"/>
          <w:vertAlign w:val="baseline"/>
          <w:lang w:val="ro-MD"/>
        </w:rPr>
        <w:t>e</w:t>
      </w:r>
      <w:r w:rsidRPr="002C1A5E">
        <w:rPr>
          <w:rFonts w:asciiTheme="majorHAnsi" w:hAnsiTheme="majorHAnsi" w:cstheme="majorHAnsi"/>
          <w:sz w:val="16"/>
          <w:szCs w:val="16"/>
          <w:vertAlign w:val="baseline"/>
          <w:lang w:val="ro-MD"/>
        </w:rPr>
        <w:t xml:space="preserve"> în gazoductele magistrale ale SRL Moldovatransgaz, aprobate de Directorul SRL Moldovatransgaz la 16.12.2019.</w:t>
      </w:r>
    </w:p>
  </w:footnote>
  <w:footnote w:id="108">
    <w:p w14:paraId="12336959" w14:textId="5B853517" w:rsidR="00036D7F" w:rsidRPr="00CC692C" w:rsidRDefault="00036D7F" w:rsidP="008F58F6">
      <w:pPr>
        <w:pStyle w:val="FootnoteText"/>
        <w:jc w:val="both"/>
        <w:rPr>
          <w:rFonts w:asciiTheme="majorHAnsi" w:hAnsiTheme="majorHAnsi" w:cstheme="majorHAnsi"/>
          <w:sz w:val="16"/>
          <w:szCs w:val="16"/>
          <w:vertAlign w:val="baseline"/>
          <w:lang w:val="ro-MD"/>
        </w:rPr>
      </w:pPr>
      <w:r w:rsidRPr="00CC692C">
        <w:rPr>
          <w:rStyle w:val="FootnoteReference"/>
          <w:rFonts w:asciiTheme="majorHAnsi" w:hAnsiTheme="majorHAnsi" w:cstheme="majorHAnsi"/>
          <w:sz w:val="16"/>
          <w:szCs w:val="16"/>
          <w:lang w:val="ro-MD"/>
        </w:rPr>
        <w:footnoteRef/>
      </w:r>
      <w:r w:rsidRPr="00CC692C">
        <w:rPr>
          <w:rFonts w:asciiTheme="majorHAnsi" w:hAnsiTheme="majorHAnsi" w:cstheme="majorHAnsi"/>
          <w:sz w:val="16"/>
          <w:szCs w:val="16"/>
          <w:lang w:val="ro-MD"/>
        </w:rPr>
        <w:t xml:space="preserve"> </w:t>
      </w:r>
      <w:r w:rsidRPr="00CC692C">
        <w:rPr>
          <w:rFonts w:asciiTheme="majorHAnsi" w:hAnsiTheme="majorHAnsi" w:cstheme="majorHAnsi"/>
          <w:sz w:val="16"/>
          <w:szCs w:val="16"/>
          <w:vertAlign w:val="baseline"/>
          <w:lang w:val="ro-MD"/>
        </w:rPr>
        <w:t>Pct. 9 din Regulamentul cu privire la modul de măsurare a gazelor naturale în scopuri comerciale</w:t>
      </w:r>
      <w:r>
        <w:rPr>
          <w:rFonts w:asciiTheme="majorHAnsi" w:hAnsiTheme="majorHAnsi" w:cstheme="majorHAnsi"/>
          <w:sz w:val="16"/>
          <w:szCs w:val="16"/>
          <w:vertAlign w:val="baseline"/>
          <w:lang w:val="ro-MD"/>
        </w:rPr>
        <w:t>.</w:t>
      </w:r>
    </w:p>
  </w:footnote>
  <w:footnote w:id="109">
    <w:p w14:paraId="595D48BB" w14:textId="39A1DCF5" w:rsidR="00036D7F" w:rsidRPr="00CC692C" w:rsidRDefault="00036D7F" w:rsidP="008F58F6">
      <w:pPr>
        <w:pStyle w:val="FootnoteText"/>
        <w:jc w:val="both"/>
        <w:rPr>
          <w:rFonts w:asciiTheme="majorHAnsi" w:hAnsiTheme="majorHAnsi" w:cstheme="majorHAnsi"/>
          <w:sz w:val="16"/>
          <w:szCs w:val="16"/>
          <w:lang w:val="ro-MD"/>
        </w:rPr>
      </w:pPr>
      <w:r w:rsidRPr="00CC692C">
        <w:rPr>
          <w:rStyle w:val="FootnoteReference"/>
          <w:rFonts w:asciiTheme="majorHAnsi" w:hAnsiTheme="majorHAnsi" w:cstheme="majorHAnsi"/>
          <w:sz w:val="16"/>
          <w:szCs w:val="16"/>
          <w:lang w:val="ro-MD"/>
        </w:rPr>
        <w:footnoteRef/>
      </w:r>
      <w:r w:rsidRPr="00CC692C">
        <w:rPr>
          <w:rFonts w:asciiTheme="majorHAnsi" w:hAnsiTheme="majorHAnsi" w:cstheme="majorHAnsi"/>
          <w:sz w:val="16"/>
          <w:szCs w:val="16"/>
          <w:lang w:val="ro-MD"/>
        </w:rPr>
        <w:t xml:space="preserve"> </w:t>
      </w:r>
      <w:r w:rsidRPr="00CC692C">
        <w:rPr>
          <w:rFonts w:asciiTheme="majorHAnsi" w:hAnsiTheme="majorHAnsi" w:cstheme="majorHAnsi"/>
          <w:sz w:val="16"/>
          <w:szCs w:val="16"/>
          <w:vertAlign w:val="baseline"/>
          <w:lang w:val="ro-MD"/>
        </w:rPr>
        <w:t xml:space="preserve">HANRE nr. 398/2010 din 31.12.2010 </w:t>
      </w:r>
      <w:r w:rsidRPr="003A5B57">
        <w:rPr>
          <w:rFonts w:asciiTheme="majorHAnsi" w:hAnsiTheme="majorHAnsi" w:cstheme="majorHAnsi"/>
          <w:sz w:val="16"/>
          <w:szCs w:val="16"/>
          <w:vertAlign w:val="baseline"/>
          <w:lang w:val="ro-MD"/>
        </w:rPr>
        <w:t>„C</w:t>
      </w:r>
      <w:r w:rsidRPr="00CC692C">
        <w:rPr>
          <w:rFonts w:asciiTheme="majorHAnsi" w:hAnsiTheme="majorHAnsi" w:cstheme="majorHAnsi"/>
          <w:sz w:val="16"/>
          <w:szCs w:val="16"/>
          <w:vertAlign w:val="baseline"/>
          <w:lang w:val="ro-MD"/>
        </w:rPr>
        <w:t xml:space="preserve">u privire la aprobarea </w:t>
      </w:r>
      <w:r w:rsidRPr="00CC692C">
        <w:rPr>
          <w:rFonts w:asciiTheme="majorHAnsi" w:eastAsia="Times New Roman" w:hAnsiTheme="majorHAnsi" w:cstheme="majorHAnsi"/>
          <w:sz w:val="16"/>
          <w:szCs w:val="16"/>
          <w:vertAlign w:val="baseline"/>
          <w:lang w:val="ro-MD" w:eastAsia="ru-RU"/>
        </w:rPr>
        <w:t>Metodologiei de calcul al consumurilor tehnologice și al pierderilor tehnice de gaze naturale în rețelele de distribuție”.</w:t>
      </w:r>
    </w:p>
  </w:footnote>
  <w:footnote w:id="110">
    <w:p w14:paraId="40F1AEFC" w14:textId="6C740AB2" w:rsidR="00036D7F" w:rsidRPr="002C1A5E" w:rsidRDefault="00036D7F" w:rsidP="008F58F6">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283</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528,54 m</w:t>
      </w:r>
      <w:r w:rsidRPr="002C1A5E">
        <w:rPr>
          <w:rFonts w:asciiTheme="majorHAnsi" w:hAnsiTheme="majorHAnsi" w:cstheme="majorHAnsi"/>
          <w:sz w:val="16"/>
          <w:szCs w:val="16"/>
          <w:lang w:val="ro-MD"/>
        </w:rPr>
        <w:t>3</w:t>
      </w:r>
      <w:r w:rsidRPr="002C1A5E">
        <w:rPr>
          <w:rFonts w:asciiTheme="majorHAnsi" w:hAnsiTheme="majorHAnsi" w:cstheme="majorHAnsi"/>
          <w:sz w:val="16"/>
          <w:szCs w:val="16"/>
          <w:vertAlign w:val="baseline"/>
          <w:lang w:val="ro-MD"/>
        </w:rPr>
        <w:t>x8,7642 lei/m</w:t>
      </w:r>
      <w:r w:rsidRPr="002C1A5E">
        <w:rPr>
          <w:rFonts w:asciiTheme="majorHAnsi" w:hAnsiTheme="majorHAnsi" w:cstheme="majorHAnsi"/>
          <w:sz w:val="16"/>
          <w:szCs w:val="16"/>
          <w:lang w:val="ro-MD"/>
        </w:rPr>
        <w:t>3</w:t>
      </w:r>
      <w:r w:rsidRPr="002C1A5E">
        <w:rPr>
          <w:rFonts w:asciiTheme="majorHAnsi" w:hAnsiTheme="majorHAnsi" w:cstheme="majorHAnsi"/>
          <w:sz w:val="16"/>
          <w:szCs w:val="16"/>
          <w:vertAlign w:val="baseline"/>
          <w:lang w:val="ro-MD"/>
        </w:rPr>
        <w:t xml:space="preserve"> (prețul conform facturii nr. AAN2502500 din 31.12.2021).</w:t>
      </w:r>
    </w:p>
  </w:footnote>
  <w:footnote w:id="111">
    <w:p w14:paraId="12DC6546" w14:textId="45E6EFAF" w:rsidR="00036D7F" w:rsidRPr="002C1A5E" w:rsidRDefault="00036D7F" w:rsidP="00724695">
      <w:pPr>
        <w:spacing w:after="0" w:line="240" w:lineRule="auto"/>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Metodologia </w:t>
      </w:r>
      <w:r w:rsidRPr="002C1A5E">
        <w:rPr>
          <w:rStyle w:val="Strong"/>
          <w:rFonts w:asciiTheme="majorHAnsi" w:hAnsiTheme="majorHAnsi" w:cstheme="majorHAnsi"/>
          <w:b w:val="0"/>
          <w:color w:val="333333"/>
          <w:sz w:val="16"/>
          <w:szCs w:val="16"/>
          <w:shd w:val="clear" w:color="auto" w:fill="FFFFFF"/>
          <w:lang w:val="ro-MD"/>
        </w:rPr>
        <w:t>normării consumurilor tehnologice şi pierderilor tehnice la transportarea gazelor naturale prin conducte magistrale ale Republicii Moldova</w:t>
      </w:r>
      <w:r>
        <w:rPr>
          <w:rStyle w:val="Strong"/>
          <w:rFonts w:asciiTheme="majorHAnsi" w:hAnsiTheme="majorHAnsi" w:cstheme="majorHAnsi"/>
          <w:b w:val="0"/>
          <w:color w:val="333333"/>
          <w:sz w:val="16"/>
          <w:szCs w:val="16"/>
          <w:shd w:val="clear" w:color="auto" w:fill="FFFFFF"/>
          <w:lang w:val="ro-MD"/>
        </w:rPr>
        <w:t>,</w:t>
      </w:r>
      <w:r w:rsidRPr="002C1A5E">
        <w:rPr>
          <w:rFonts w:asciiTheme="majorHAnsi" w:hAnsiTheme="majorHAnsi" w:cstheme="majorHAnsi"/>
          <w:b/>
          <w:sz w:val="16"/>
          <w:szCs w:val="16"/>
          <w:lang w:val="ro-MD"/>
        </w:rPr>
        <w:t xml:space="preserve"> </w:t>
      </w:r>
      <w:r w:rsidRPr="002C1A5E">
        <w:rPr>
          <w:rFonts w:asciiTheme="majorHAnsi" w:hAnsiTheme="majorHAnsi" w:cstheme="majorHAnsi"/>
          <w:sz w:val="16"/>
          <w:szCs w:val="16"/>
          <w:lang w:val="ro-MD"/>
        </w:rPr>
        <w:t xml:space="preserve">adoptată prin Hotărârea Consiliului de </w:t>
      </w:r>
      <w:r>
        <w:rPr>
          <w:rFonts w:asciiTheme="majorHAnsi" w:hAnsiTheme="majorHAnsi" w:cstheme="majorHAnsi"/>
          <w:sz w:val="16"/>
          <w:szCs w:val="16"/>
          <w:lang w:val="ro-MD"/>
        </w:rPr>
        <w:t>a</w:t>
      </w:r>
      <w:r w:rsidRPr="002C1A5E">
        <w:rPr>
          <w:rFonts w:asciiTheme="majorHAnsi" w:hAnsiTheme="majorHAnsi" w:cstheme="majorHAnsi"/>
          <w:sz w:val="16"/>
          <w:szCs w:val="16"/>
          <w:lang w:val="ro-MD"/>
        </w:rPr>
        <w:t xml:space="preserve">dministrație </w:t>
      </w:r>
      <w:r>
        <w:rPr>
          <w:rFonts w:asciiTheme="majorHAnsi" w:hAnsiTheme="majorHAnsi" w:cstheme="majorHAnsi"/>
          <w:sz w:val="16"/>
          <w:szCs w:val="16"/>
          <w:lang w:val="ro-MD"/>
        </w:rPr>
        <w:t xml:space="preserve">al </w:t>
      </w:r>
      <w:r w:rsidRPr="002C1A5E">
        <w:rPr>
          <w:rFonts w:asciiTheme="majorHAnsi" w:hAnsiTheme="majorHAnsi" w:cstheme="majorHAnsi"/>
          <w:sz w:val="16"/>
          <w:szCs w:val="16"/>
          <w:lang w:val="ro-MD"/>
        </w:rPr>
        <w:t>ANRE nr.24 din 28</w:t>
      </w:r>
      <w:r>
        <w:rPr>
          <w:rFonts w:asciiTheme="majorHAnsi" w:hAnsiTheme="majorHAnsi" w:cstheme="majorHAnsi"/>
          <w:sz w:val="16"/>
          <w:szCs w:val="16"/>
          <w:lang w:val="ro-MD"/>
        </w:rPr>
        <w:t>.07.</w:t>
      </w:r>
      <w:r w:rsidRPr="002C1A5E">
        <w:rPr>
          <w:rFonts w:asciiTheme="majorHAnsi" w:hAnsiTheme="majorHAnsi" w:cstheme="majorHAnsi"/>
          <w:sz w:val="16"/>
          <w:szCs w:val="16"/>
          <w:lang w:val="ro-MD"/>
        </w:rPr>
        <w:t>2000 (MO</w:t>
      </w:r>
      <w:r>
        <w:rPr>
          <w:rFonts w:asciiTheme="majorHAnsi" w:hAnsiTheme="majorHAnsi" w:cstheme="majorHAnsi"/>
          <w:sz w:val="16"/>
          <w:szCs w:val="16"/>
          <w:lang w:val="ro-MD"/>
        </w:rPr>
        <w:t>RM</w:t>
      </w:r>
      <w:r w:rsidRPr="002C1A5E">
        <w:rPr>
          <w:rFonts w:asciiTheme="majorHAnsi" w:hAnsiTheme="majorHAnsi" w:cstheme="majorHAnsi"/>
          <w:sz w:val="16"/>
          <w:szCs w:val="16"/>
          <w:lang w:val="ro-MD"/>
        </w:rPr>
        <w:t xml:space="preserve">, 2000, nr.98-101, art. 290). </w:t>
      </w:r>
    </w:p>
  </w:footnote>
  <w:footnote w:id="112">
    <w:p w14:paraId="2C25E880" w14:textId="1B7CA016" w:rsidR="00036D7F" w:rsidRPr="002C1A5E" w:rsidRDefault="00036D7F" w:rsidP="006C61DA">
      <w:pPr>
        <w:pStyle w:val="FootnoteText"/>
        <w:jc w:val="both"/>
        <w:rPr>
          <w:rFonts w:asciiTheme="majorHAnsi" w:hAnsiTheme="majorHAnsi" w:cstheme="majorHAnsi"/>
          <w:sz w:val="16"/>
          <w:szCs w:val="16"/>
          <w:vertAlign w:val="baseline"/>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 xml:space="preserve">Pct.2.4.7. din Metodologia aprobată prin Hotărârea Consiliului de Administrație </w:t>
      </w:r>
      <w:r>
        <w:rPr>
          <w:rFonts w:asciiTheme="majorHAnsi" w:hAnsiTheme="majorHAnsi" w:cstheme="majorHAnsi"/>
          <w:sz w:val="16"/>
          <w:szCs w:val="16"/>
          <w:vertAlign w:val="baseline"/>
          <w:lang w:val="ro-MD"/>
        </w:rPr>
        <w:t xml:space="preserve">al </w:t>
      </w:r>
      <w:r w:rsidRPr="002C1A5E">
        <w:rPr>
          <w:rFonts w:asciiTheme="majorHAnsi" w:hAnsiTheme="majorHAnsi" w:cstheme="majorHAnsi"/>
          <w:sz w:val="16"/>
          <w:szCs w:val="16"/>
          <w:vertAlign w:val="baseline"/>
          <w:lang w:val="ro-MD"/>
        </w:rPr>
        <w:t>ANRE nr.24 din 28 iulie 2000.</w:t>
      </w:r>
    </w:p>
  </w:footnote>
  <w:footnote w:id="113">
    <w:p w14:paraId="10528DBA" w14:textId="7DCB7499" w:rsidR="00036D7F" w:rsidRPr="00D82755" w:rsidRDefault="00036D7F" w:rsidP="006C61DA">
      <w:pPr>
        <w:pStyle w:val="FootnoteText"/>
        <w:jc w:val="both"/>
        <w:rPr>
          <w:rFonts w:asciiTheme="majorHAnsi" w:hAnsiTheme="majorHAnsi" w:cstheme="majorHAnsi"/>
          <w:sz w:val="16"/>
          <w:szCs w:val="16"/>
          <w:lang w:val="ro-MD"/>
        </w:rPr>
      </w:pPr>
      <w:r w:rsidRPr="00D82755">
        <w:rPr>
          <w:rStyle w:val="FootnoteReference"/>
          <w:rFonts w:asciiTheme="majorHAnsi" w:hAnsiTheme="majorHAnsi" w:cstheme="majorHAnsi"/>
          <w:sz w:val="16"/>
          <w:szCs w:val="16"/>
          <w:lang w:val="ro-MD"/>
        </w:rPr>
        <w:footnoteRef/>
      </w:r>
      <w:r w:rsidRPr="00D82755">
        <w:rPr>
          <w:rFonts w:asciiTheme="majorHAnsi" w:hAnsiTheme="majorHAnsi" w:cstheme="majorHAnsi"/>
          <w:sz w:val="16"/>
          <w:szCs w:val="16"/>
          <w:lang w:val="ro-MD"/>
        </w:rPr>
        <w:t xml:space="preserve"> </w:t>
      </w:r>
      <w:r w:rsidRPr="00D82755">
        <w:rPr>
          <w:rFonts w:asciiTheme="majorHAnsi" w:hAnsiTheme="majorHAnsi" w:cstheme="majorHAnsi"/>
          <w:sz w:val="16"/>
          <w:szCs w:val="16"/>
          <w:vertAlign w:val="baseline"/>
          <w:lang w:val="ro-MD"/>
        </w:rPr>
        <w:t xml:space="preserve"> De exemplu</w:t>
      </w:r>
      <w:r>
        <w:rPr>
          <w:rFonts w:asciiTheme="majorHAnsi" w:hAnsiTheme="majorHAnsi" w:cstheme="majorHAnsi"/>
          <w:sz w:val="16"/>
          <w:szCs w:val="16"/>
          <w:vertAlign w:val="baseline"/>
          <w:lang w:val="ro-MD"/>
        </w:rPr>
        <w:t>,</w:t>
      </w:r>
      <w:r w:rsidRPr="00D82755">
        <w:rPr>
          <w:rFonts w:asciiTheme="majorHAnsi" w:hAnsiTheme="majorHAnsi" w:cstheme="majorHAnsi"/>
          <w:sz w:val="16"/>
          <w:szCs w:val="16"/>
          <w:vertAlign w:val="baseline"/>
          <w:lang w:val="ro-MD"/>
        </w:rPr>
        <w:t xml:space="preserve"> la </w:t>
      </w:r>
      <w:r w:rsidRPr="00D82755">
        <w:rPr>
          <w:rFonts w:asciiTheme="majorHAnsi" w:eastAsia="Times New Roman" w:hAnsiTheme="majorHAnsi" w:cstheme="majorHAnsi"/>
          <w:sz w:val="16"/>
          <w:szCs w:val="16"/>
          <w:vertAlign w:val="baseline"/>
          <w:lang w:val="ro-MD" w:eastAsia="ru-RU"/>
        </w:rPr>
        <w:t>SRL „Chișinău-gaz”</w:t>
      </w:r>
      <w:r>
        <w:rPr>
          <w:rFonts w:asciiTheme="majorHAnsi" w:eastAsia="Times New Roman" w:hAnsiTheme="majorHAnsi" w:cstheme="majorHAnsi"/>
          <w:sz w:val="16"/>
          <w:szCs w:val="16"/>
          <w:vertAlign w:val="baseline"/>
          <w:lang w:val="ro-MD" w:eastAsia="ru-RU"/>
        </w:rPr>
        <w:t xml:space="preserve">, </w:t>
      </w:r>
      <w:r w:rsidRPr="00D82755">
        <w:rPr>
          <w:rFonts w:asciiTheme="majorHAnsi" w:hAnsiTheme="majorHAnsi" w:cstheme="majorHAnsi"/>
          <w:sz w:val="16"/>
          <w:szCs w:val="16"/>
          <w:vertAlign w:val="baseline"/>
          <w:lang w:val="ro-MD"/>
        </w:rPr>
        <w:t xml:space="preserve">Hotărârea Consiliului de </w:t>
      </w:r>
      <w:r>
        <w:rPr>
          <w:rFonts w:asciiTheme="majorHAnsi" w:hAnsiTheme="majorHAnsi" w:cstheme="majorHAnsi"/>
          <w:sz w:val="16"/>
          <w:szCs w:val="16"/>
          <w:vertAlign w:val="baseline"/>
          <w:lang w:val="ro-MD"/>
        </w:rPr>
        <w:t>a</w:t>
      </w:r>
      <w:r w:rsidRPr="00D82755">
        <w:rPr>
          <w:rFonts w:asciiTheme="majorHAnsi" w:hAnsiTheme="majorHAnsi" w:cstheme="majorHAnsi"/>
          <w:sz w:val="16"/>
          <w:szCs w:val="16"/>
          <w:vertAlign w:val="baseline"/>
          <w:lang w:val="ro-MD"/>
        </w:rPr>
        <w:t>dministrație al ANRE nr.344/2020 din 22.09.2020.</w:t>
      </w:r>
      <w:r w:rsidRPr="00D82755">
        <w:rPr>
          <w:rFonts w:asciiTheme="majorHAnsi" w:hAnsiTheme="majorHAnsi" w:cstheme="majorHAnsi"/>
          <w:sz w:val="16"/>
          <w:szCs w:val="16"/>
          <w:lang w:val="ro-MD"/>
        </w:rPr>
        <w:t xml:space="preserve"> </w:t>
      </w:r>
    </w:p>
  </w:footnote>
  <w:footnote w:id="114">
    <w:p w14:paraId="4A13D5C9" w14:textId="4FC2B50B" w:rsidR="00036D7F" w:rsidRPr="00D82755" w:rsidRDefault="00036D7F" w:rsidP="006C61DA">
      <w:pPr>
        <w:pStyle w:val="FootnoteText"/>
        <w:jc w:val="both"/>
        <w:rPr>
          <w:rFonts w:asciiTheme="majorHAnsi" w:hAnsiTheme="majorHAnsi" w:cstheme="majorHAnsi"/>
          <w:sz w:val="16"/>
          <w:szCs w:val="16"/>
          <w:vertAlign w:val="baseline"/>
          <w:lang w:val="ro-MD"/>
        </w:rPr>
      </w:pPr>
      <w:r w:rsidRPr="00D82755">
        <w:rPr>
          <w:rStyle w:val="FootnoteReference"/>
          <w:rFonts w:asciiTheme="majorHAnsi" w:hAnsiTheme="majorHAnsi" w:cstheme="majorHAnsi"/>
          <w:sz w:val="16"/>
          <w:szCs w:val="16"/>
          <w:lang w:val="ro-MD"/>
        </w:rPr>
        <w:footnoteRef/>
      </w:r>
      <w:r w:rsidRPr="00D82755">
        <w:rPr>
          <w:rFonts w:asciiTheme="majorHAnsi" w:hAnsiTheme="majorHAnsi" w:cstheme="majorHAnsi"/>
          <w:sz w:val="16"/>
          <w:szCs w:val="16"/>
          <w:lang w:val="ro-MD"/>
        </w:rPr>
        <w:t xml:space="preserve"> </w:t>
      </w:r>
      <w:r w:rsidRPr="00D82755">
        <w:rPr>
          <w:rFonts w:asciiTheme="majorHAnsi" w:hAnsiTheme="majorHAnsi" w:cstheme="majorHAnsi"/>
          <w:sz w:val="16"/>
          <w:szCs w:val="16"/>
          <w:vertAlign w:val="baseline"/>
          <w:lang w:val="ro-MD"/>
        </w:rPr>
        <w:t>Pentru anul 2020</w:t>
      </w:r>
      <w:r>
        <w:rPr>
          <w:rFonts w:asciiTheme="majorHAnsi" w:hAnsiTheme="majorHAnsi" w:cstheme="majorHAnsi"/>
          <w:sz w:val="16"/>
          <w:szCs w:val="16"/>
          <w:vertAlign w:val="baseline"/>
          <w:lang w:val="ro-MD"/>
        </w:rPr>
        <w:t>,</w:t>
      </w:r>
      <w:r w:rsidRPr="00D82755">
        <w:rPr>
          <w:rFonts w:asciiTheme="majorHAnsi" w:hAnsiTheme="majorHAnsi" w:cstheme="majorHAnsi"/>
          <w:sz w:val="16"/>
          <w:szCs w:val="16"/>
          <w:vertAlign w:val="baseline"/>
          <w:lang w:val="ro-MD"/>
        </w:rPr>
        <w:t xml:space="preserve"> prin Hotărârea Consiliului de </w:t>
      </w:r>
      <w:r>
        <w:rPr>
          <w:rFonts w:asciiTheme="majorHAnsi" w:hAnsiTheme="majorHAnsi" w:cstheme="majorHAnsi"/>
          <w:sz w:val="16"/>
          <w:szCs w:val="16"/>
          <w:vertAlign w:val="baseline"/>
          <w:lang w:val="ro-MD"/>
        </w:rPr>
        <w:t>a</w:t>
      </w:r>
      <w:r w:rsidRPr="00D82755">
        <w:rPr>
          <w:rFonts w:asciiTheme="majorHAnsi" w:hAnsiTheme="majorHAnsi" w:cstheme="majorHAnsi"/>
          <w:sz w:val="16"/>
          <w:szCs w:val="16"/>
          <w:vertAlign w:val="baseline"/>
          <w:lang w:val="ro-MD"/>
        </w:rPr>
        <w:t xml:space="preserve">dministrație al ANRE nr.155 din 14.01.2021 și pentru anul 2021 </w:t>
      </w:r>
      <w:r>
        <w:rPr>
          <w:rFonts w:asciiTheme="majorHAnsi" w:hAnsiTheme="majorHAnsi" w:cstheme="majorHAnsi"/>
          <w:sz w:val="16"/>
          <w:szCs w:val="16"/>
          <w:vertAlign w:val="baseline"/>
          <w:lang w:val="ro-MD"/>
        </w:rPr>
        <w:t xml:space="preserve">– </w:t>
      </w:r>
      <w:r w:rsidRPr="00D82755">
        <w:rPr>
          <w:rFonts w:asciiTheme="majorHAnsi" w:hAnsiTheme="majorHAnsi" w:cstheme="majorHAnsi"/>
          <w:sz w:val="16"/>
          <w:szCs w:val="16"/>
          <w:vertAlign w:val="baseline"/>
          <w:lang w:val="ro-MD"/>
        </w:rPr>
        <w:t xml:space="preserve">prin Hotărârea Consiliului de </w:t>
      </w:r>
      <w:r>
        <w:rPr>
          <w:rFonts w:asciiTheme="majorHAnsi" w:hAnsiTheme="majorHAnsi" w:cstheme="majorHAnsi"/>
          <w:sz w:val="16"/>
          <w:szCs w:val="16"/>
          <w:vertAlign w:val="baseline"/>
          <w:lang w:val="ro-MD"/>
        </w:rPr>
        <w:t>a</w:t>
      </w:r>
      <w:r w:rsidRPr="00D82755">
        <w:rPr>
          <w:rFonts w:asciiTheme="majorHAnsi" w:hAnsiTheme="majorHAnsi" w:cstheme="majorHAnsi"/>
          <w:sz w:val="16"/>
          <w:szCs w:val="16"/>
          <w:vertAlign w:val="baseline"/>
          <w:lang w:val="ro-MD"/>
        </w:rPr>
        <w:t>dministrație al ANRE nr.179 din 07.04.2022.</w:t>
      </w:r>
    </w:p>
  </w:footnote>
  <w:footnote w:id="115">
    <w:p w14:paraId="57B2DE89" w14:textId="586462A7" w:rsidR="00036D7F" w:rsidRPr="00602B40" w:rsidRDefault="00036D7F" w:rsidP="002A1796">
      <w:pPr>
        <w:pStyle w:val="FootnoteText"/>
        <w:jc w:val="both"/>
        <w:rPr>
          <w:rFonts w:asciiTheme="majorHAnsi" w:hAnsiTheme="majorHAnsi" w:cstheme="majorHAnsi"/>
          <w:sz w:val="16"/>
          <w:szCs w:val="16"/>
          <w:lang w:val="ro-MD"/>
        </w:rPr>
      </w:pPr>
      <w:r w:rsidRPr="00602B40">
        <w:rPr>
          <w:rStyle w:val="FootnoteReference"/>
          <w:rFonts w:asciiTheme="majorHAnsi" w:hAnsiTheme="majorHAnsi" w:cstheme="majorHAnsi"/>
          <w:sz w:val="16"/>
          <w:szCs w:val="16"/>
          <w:lang w:val="ro-MD"/>
        </w:rPr>
        <w:footnoteRef/>
      </w:r>
      <w:r w:rsidRPr="00602B40">
        <w:rPr>
          <w:rFonts w:asciiTheme="majorHAnsi" w:hAnsiTheme="majorHAnsi" w:cstheme="majorHAnsi"/>
          <w:sz w:val="16"/>
          <w:szCs w:val="16"/>
          <w:lang w:val="ro-MD"/>
        </w:rPr>
        <w:t xml:space="preserve"> </w:t>
      </w:r>
      <w:r w:rsidRPr="00602B40">
        <w:rPr>
          <w:rFonts w:asciiTheme="majorHAnsi" w:hAnsiTheme="majorHAnsi" w:cstheme="majorHAnsi"/>
          <w:sz w:val="16"/>
          <w:szCs w:val="16"/>
          <w:vertAlign w:val="baseline"/>
          <w:lang w:val="ro-MD"/>
        </w:rPr>
        <w:t>Art.7</w:t>
      </w:r>
      <w:r>
        <w:rPr>
          <w:rFonts w:asciiTheme="majorHAnsi" w:hAnsiTheme="majorHAnsi" w:cstheme="majorHAnsi"/>
          <w:sz w:val="16"/>
          <w:szCs w:val="16"/>
          <w:vertAlign w:val="baseline"/>
          <w:lang w:val="ro-MD"/>
        </w:rPr>
        <w:t xml:space="preserve"> </w:t>
      </w:r>
      <w:r w:rsidRPr="00602B40">
        <w:rPr>
          <w:rFonts w:asciiTheme="majorHAnsi" w:hAnsiTheme="majorHAnsi" w:cstheme="majorHAnsi"/>
          <w:sz w:val="16"/>
          <w:szCs w:val="16"/>
          <w:vertAlign w:val="baseline"/>
          <w:lang w:val="ro-MD"/>
        </w:rPr>
        <w:t>ali</w:t>
      </w:r>
      <w:r>
        <w:rPr>
          <w:rFonts w:asciiTheme="majorHAnsi" w:hAnsiTheme="majorHAnsi" w:cstheme="majorHAnsi"/>
          <w:sz w:val="16"/>
          <w:szCs w:val="16"/>
          <w:vertAlign w:val="baseline"/>
          <w:lang w:val="ro-MD"/>
        </w:rPr>
        <w:t>n. (</w:t>
      </w:r>
      <w:r w:rsidRPr="00602B40">
        <w:rPr>
          <w:rFonts w:asciiTheme="majorHAnsi" w:hAnsiTheme="majorHAnsi" w:cstheme="majorHAnsi"/>
          <w:sz w:val="16"/>
          <w:szCs w:val="16"/>
          <w:vertAlign w:val="baseline"/>
          <w:lang w:val="ro-MD"/>
        </w:rPr>
        <w:t>2</w:t>
      </w:r>
      <w:r>
        <w:rPr>
          <w:rFonts w:asciiTheme="majorHAnsi" w:hAnsiTheme="majorHAnsi" w:cstheme="majorHAnsi"/>
          <w:sz w:val="16"/>
          <w:szCs w:val="16"/>
          <w:vertAlign w:val="baseline"/>
          <w:lang w:val="ro-MD"/>
        </w:rPr>
        <w:t>)</w:t>
      </w:r>
      <w:r w:rsidRPr="00602B40">
        <w:rPr>
          <w:rFonts w:asciiTheme="majorHAnsi" w:hAnsiTheme="majorHAnsi" w:cstheme="majorHAnsi"/>
          <w:sz w:val="16"/>
          <w:szCs w:val="16"/>
          <w:vertAlign w:val="baseline"/>
          <w:lang w:val="ro-MD"/>
        </w:rPr>
        <w:t xml:space="preserve"> lit. a) din Legea nr.108 </w:t>
      </w:r>
      <w:r>
        <w:rPr>
          <w:rFonts w:asciiTheme="majorHAnsi" w:hAnsiTheme="majorHAnsi" w:cstheme="majorHAnsi"/>
          <w:sz w:val="16"/>
          <w:szCs w:val="16"/>
          <w:vertAlign w:val="baseline"/>
          <w:lang w:val="ro-MD"/>
        </w:rPr>
        <w:t xml:space="preserve">din </w:t>
      </w:r>
      <w:r w:rsidRPr="007E446D">
        <w:rPr>
          <w:rFonts w:asciiTheme="majorHAnsi" w:hAnsiTheme="majorHAnsi" w:cstheme="majorHAnsi"/>
          <w:sz w:val="16"/>
          <w:szCs w:val="16"/>
          <w:vertAlign w:val="baseline"/>
          <w:lang w:val="ro-MD"/>
        </w:rPr>
        <w:t>27.05.2016</w:t>
      </w:r>
      <w:r>
        <w:rPr>
          <w:rFonts w:asciiTheme="majorHAnsi" w:hAnsiTheme="majorHAnsi" w:cstheme="majorHAnsi"/>
          <w:sz w:val="16"/>
          <w:szCs w:val="16"/>
          <w:vertAlign w:val="baseline"/>
          <w:lang w:val="ro-MD"/>
        </w:rPr>
        <w:t xml:space="preserve"> </w:t>
      </w:r>
      <w:r w:rsidRPr="00602B40">
        <w:rPr>
          <w:rFonts w:asciiTheme="majorHAnsi" w:hAnsiTheme="majorHAnsi" w:cstheme="majorHAnsi"/>
          <w:sz w:val="16"/>
          <w:szCs w:val="16"/>
          <w:vertAlign w:val="baseline"/>
          <w:lang w:val="ro-MD"/>
        </w:rPr>
        <w:t>cu privire la gazele naturale.</w:t>
      </w:r>
    </w:p>
  </w:footnote>
  <w:footnote w:id="116">
    <w:p w14:paraId="0E13F6EE" w14:textId="1619021A" w:rsidR="00036D7F" w:rsidRPr="00602B40" w:rsidRDefault="00036D7F" w:rsidP="00046F67">
      <w:pPr>
        <w:pStyle w:val="FootnoteText"/>
        <w:spacing w:line="276" w:lineRule="auto"/>
        <w:jc w:val="both"/>
        <w:rPr>
          <w:rFonts w:asciiTheme="majorHAnsi" w:hAnsiTheme="majorHAnsi" w:cstheme="majorHAnsi"/>
          <w:sz w:val="16"/>
          <w:szCs w:val="16"/>
          <w:vertAlign w:val="baseline"/>
          <w:lang w:val="ro-MD"/>
        </w:rPr>
      </w:pPr>
      <w:r w:rsidRPr="00602B40">
        <w:rPr>
          <w:rStyle w:val="FootnoteReference"/>
          <w:rFonts w:asciiTheme="majorHAnsi" w:hAnsiTheme="majorHAnsi" w:cstheme="majorHAnsi"/>
          <w:sz w:val="16"/>
          <w:szCs w:val="16"/>
          <w:lang w:val="ro-MD"/>
        </w:rPr>
        <w:footnoteRef/>
      </w:r>
      <w:r w:rsidRPr="00602B40">
        <w:rPr>
          <w:rFonts w:asciiTheme="majorHAnsi" w:hAnsiTheme="majorHAnsi" w:cstheme="majorHAnsi"/>
          <w:sz w:val="16"/>
          <w:szCs w:val="16"/>
          <w:vertAlign w:val="baseline"/>
          <w:lang w:val="ro-MD"/>
        </w:rPr>
        <w:t xml:space="preserve"> HANRE</w:t>
      </w:r>
      <w:r w:rsidRPr="00602B40">
        <w:rPr>
          <w:rFonts w:asciiTheme="majorHAnsi" w:eastAsia="Times New Roman" w:hAnsiTheme="majorHAnsi" w:cstheme="majorHAnsi"/>
          <w:sz w:val="16"/>
          <w:szCs w:val="16"/>
          <w:vertAlign w:val="baseline"/>
          <w:lang w:val="ro-MD"/>
        </w:rPr>
        <w:t xml:space="preserve"> nr.19/2016 din 26.01.2016 privind tarifele la gazele naturale </w:t>
      </w:r>
      <w:r>
        <w:rPr>
          <w:rFonts w:asciiTheme="majorHAnsi" w:eastAsia="Times New Roman" w:hAnsiTheme="majorHAnsi" w:cstheme="majorHAnsi"/>
          <w:sz w:val="16"/>
          <w:szCs w:val="16"/>
          <w:vertAlign w:val="baseline"/>
          <w:lang w:val="ro-MD"/>
        </w:rPr>
        <w:t>(</w:t>
      </w:r>
      <w:r w:rsidRPr="00602B40">
        <w:rPr>
          <w:rFonts w:asciiTheme="majorHAnsi" w:eastAsia="Times New Roman" w:hAnsiTheme="majorHAnsi" w:cstheme="majorHAnsi"/>
          <w:i/>
          <w:iCs/>
          <w:sz w:val="16"/>
          <w:szCs w:val="16"/>
          <w:vertAlign w:val="baseline"/>
          <w:lang w:val="ro-MD"/>
        </w:rPr>
        <w:t>abrogat</w:t>
      </w:r>
      <w:r>
        <w:rPr>
          <w:rFonts w:asciiTheme="majorHAnsi" w:eastAsia="Times New Roman" w:hAnsiTheme="majorHAnsi" w:cstheme="majorHAnsi"/>
          <w:i/>
          <w:iCs/>
          <w:sz w:val="16"/>
          <w:szCs w:val="16"/>
          <w:vertAlign w:val="baseline"/>
          <w:lang w:val="ro-MD"/>
        </w:rPr>
        <w:t>ă)</w:t>
      </w:r>
      <w:r w:rsidRPr="00602B40">
        <w:rPr>
          <w:rFonts w:asciiTheme="majorHAnsi" w:eastAsia="Times New Roman" w:hAnsiTheme="majorHAnsi" w:cstheme="majorHAnsi"/>
          <w:sz w:val="16"/>
          <w:szCs w:val="16"/>
          <w:vertAlign w:val="baseline"/>
          <w:lang w:val="ro-MD"/>
        </w:rPr>
        <w:t xml:space="preserve"> </w:t>
      </w:r>
      <w:r w:rsidRPr="00602B40">
        <w:rPr>
          <w:rFonts w:asciiTheme="majorHAnsi" w:eastAsia="Times New Roman" w:hAnsiTheme="majorHAnsi" w:cstheme="majorHAnsi"/>
          <w:iCs/>
          <w:sz w:val="16"/>
          <w:szCs w:val="16"/>
          <w:vertAlign w:val="baseline"/>
          <w:lang w:val="ro-MD"/>
        </w:rPr>
        <w:t>//MORM nr. 20-24/100, 29.01.2016.</w:t>
      </w:r>
    </w:p>
  </w:footnote>
  <w:footnote w:id="117">
    <w:p w14:paraId="5219C752" w14:textId="5872613B" w:rsidR="00036D7F" w:rsidRPr="00602B40" w:rsidRDefault="00036D7F" w:rsidP="00AB7269">
      <w:pPr>
        <w:pStyle w:val="FootnoteText"/>
        <w:rPr>
          <w:rFonts w:asciiTheme="majorHAnsi" w:hAnsiTheme="majorHAnsi" w:cstheme="majorHAnsi"/>
          <w:sz w:val="16"/>
          <w:szCs w:val="16"/>
          <w:lang w:val="ro-MD"/>
        </w:rPr>
      </w:pPr>
      <w:r w:rsidRPr="00602B40">
        <w:rPr>
          <w:rStyle w:val="FootnoteReference"/>
          <w:rFonts w:asciiTheme="majorHAnsi" w:hAnsiTheme="majorHAnsi" w:cstheme="majorHAnsi"/>
          <w:sz w:val="16"/>
          <w:szCs w:val="16"/>
          <w:lang w:val="ro-MD"/>
        </w:rPr>
        <w:footnoteRef/>
      </w:r>
      <w:r w:rsidRPr="00602B40">
        <w:rPr>
          <w:rFonts w:asciiTheme="majorHAnsi" w:hAnsiTheme="majorHAnsi" w:cstheme="majorHAnsi"/>
          <w:sz w:val="16"/>
          <w:szCs w:val="16"/>
          <w:lang w:val="ro-MD"/>
        </w:rPr>
        <w:t xml:space="preserve"> </w:t>
      </w:r>
      <w:r w:rsidRPr="00602B40">
        <w:rPr>
          <w:rFonts w:asciiTheme="majorHAnsi" w:hAnsiTheme="majorHAnsi" w:cstheme="majorHAnsi"/>
          <w:sz w:val="16"/>
          <w:szCs w:val="16"/>
          <w:vertAlign w:val="baseline"/>
          <w:lang w:val="ro-MD"/>
        </w:rPr>
        <w:t>HANRE nr.88/2018 din 16.03.2018 privind tarifele şi preţurile reglementate la gazele naturale //M</w:t>
      </w:r>
      <w:r>
        <w:rPr>
          <w:rFonts w:asciiTheme="majorHAnsi" w:hAnsiTheme="majorHAnsi" w:cstheme="majorHAnsi"/>
          <w:sz w:val="16"/>
          <w:szCs w:val="16"/>
          <w:vertAlign w:val="baseline"/>
          <w:lang w:val="ro-MD"/>
        </w:rPr>
        <w:t>ORM nr.</w:t>
      </w:r>
      <w:r w:rsidRPr="00602B40">
        <w:rPr>
          <w:rFonts w:asciiTheme="majorHAnsi" w:hAnsiTheme="majorHAnsi" w:cstheme="majorHAnsi"/>
          <w:sz w:val="16"/>
          <w:szCs w:val="16"/>
          <w:vertAlign w:val="baseline"/>
          <w:lang w:val="ro-MD"/>
        </w:rPr>
        <w:t xml:space="preserve"> 94/406, 17.03.2018</w:t>
      </w:r>
      <w:r>
        <w:rPr>
          <w:rFonts w:asciiTheme="majorHAnsi" w:hAnsiTheme="majorHAnsi" w:cstheme="majorHAnsi"/>
          <w:sz w:val="16"/>
          <w:szCs w:val="16"/>
          <w:vertAlign w:val="baseline"/>
          <w:lang w:val="ro-MD"/>
        </w:rPr>
        <w:t>.</w:t>
      </w:r>
    </w:p>
  </w:footnote>
  <w:footnote w:id="118">
    <w:p w14:paraId="506438F1" w14:textId="18D7B9B4" w:rsidR="00036D7F" w:rsidRPr="004F4116" w:rsidRDefault="00036D7F">
      <w:pPr>
        <w:pStyle w:val="FootnoteText"/>
        <w:rPr>
          <w:rFonts w:asciiTheme="majorHAnsi" w:hAnsiTheme="majorHAnsi" w:cstheme="majorHAnsi"/>
          <w:sz w:val="16"/>
          <w:szCs w:val="16"/>
          <w:vertAlign w:val="baseline"/>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An</w:t>
      </w:r>
      <w:r>
        <w:rPr>
          <w:rFonts w:asciiTheme="majorHAnsi" w:hAnsiTheme="majorHAnsi" w:cstheme="majorHAnsi"/>
          <w:sz w:val="16"/>
          <w:szCs w:val="16"/>
          <w:vertAlign w:val="baseline"/>
        </w:rPr>
        <w:t>ii</w:t>
      </w:r>
      <w:r w:rsidRPr="004F4116">
        <w:rPr>
          <w:rFonts w:asciiTheme="majorHAnsi" w:hAnsiTheme="majorHAnsi" w:cstheme="majorHAnsi"/>
          <w:sz w:val="16"/>
          <w:szCs w:val="16"/>
          <w:vertAlign w:val="baseline"/>
        </w:rPr>
        <w:t xml:space="preserve"> 2018 – 880.334,5 mii lei, 2019 – 1</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244</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616,8 mii lei, 2021 – 1</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702</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942,2 mii lei.</w:t>
      </w:r>
    </w:p>
  </w:footnote>
  <w:footnote w:id="119">
    <w:p w14:paraId="0B4B379A" w14:textId="04A78AB6" w:rsidR="00036D7F" w:rsidRPr="004F4116" w:rsidRDefault="00036D7F" w:rsidP="00FD24D8">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 xml:space="preserve">Art.93 din Codul </w:t>
      </w:r>
      <w:r>
        <w:rPr>
          <w:rFonts w:asciiTheme="majorHAnsi" w:hAnsiTheme="majorHAnsi" w:cstheme="majorHAnsi"/>
          <w:sz w:val="16"/>
          <w:szCs w:val="16"/>
          <w:vertAlign w:val="baseline"/>
        </w:rPr>
        <w:t>f</w:t>
      </w:r>
      <w:r w:rsidRPr="004F4116">
        <w:rPr>
          <w:rFonts w:asciiTheme="majorHAnsi" w:hAnsiTheme="majorHAnsi" w:cstheme="majorHAnsi"/>
          <w:sz w:val="16"/>
          <w:szCs w:val="16"/>
          <w:vertAlign w:val="baseline"/>
        </w:rPr>
        <w:t>iscal nr.1163 din 24.04.1997.</w:t>
      </w:r>
    </w:p>
  </w:footnote>
  <w:footnote w:id="120">
    <w:p w14:paraId="1DA4BBCC" w14:textId="7131812D" w:rsidR="00036D7F" w:rsidRPr="002C1A5E" w:rsidRDefault="00036D7F" w:rsidP="00D524FC">
      <w:pPr>
        <w:pStyle w:val="FootnoteText"/>
        <w:jc w:val="both"/>
        <w:rPr>
          <w:rFonts w:asciiTheme="majorHAnsi" w:hAnsiTheme="majorHAnsi" w:cstheme="majorHAnsi"/>
          <w:noProof/>
          <w:sz w:val="16"/>
          <w:szCs w:val="16"/>
          <w:vertAlign w:val="baseline"/>
          <w:lang w:val="ro-MD"/>
        </w:rPr>
      </w:pPr>
      <w:r w:rsidRPr="002C1A5E">
        <w:rPr>
          <w:rStyle w:val="FootnoteReference"/>
          <w:rFonts w:asciiTheme="majorHAnsi" w:hAnsiTheme="majorHAnsi" w:cstheme="majorHAnsi"/>
          <w:noProof/>
          <w:sz w:val="16"/>
          <w:szCs w:val="16"/>
          <w:lang w:val="ro-MD"/>
        </w:rPr>
        <w:footnoteRef/>
      </w:r>
      <w:r w:rsidRPr="002C1A5E">
        <w:rPr>
          <w:rFonts w:asciiTheme="majorHAnsi" w:hAnsiTheme="majorHAnsi" w:cstheme="majorHAnsi"/>
          <w:noProof/>
          <w:sz w:val="16"/>
          <w:szCs w:val="16"/>
          <w:vertAlign w:val="baseline"/>
          <w:lang w:val="ro-MD"/>
        </w:rPr>
        <w:t xml:space="preserve"> H</w:t>
      </w:r>
      <w:r>
        <w:rPr>
          <w:rFonts w:asciiTheme="majorHAnsi" w:hAnsiTheme="majorHAnsi" w:cstheme="majorHAnsi"/>
          <w:noProof/>
          <w:sz w:val="16"/>
          <w:szCs w:val="16"/>
          <w:vertAlign w:val="baseline"/>
          <w:lang w:val="ro-MD"/>
        </w:rPr>
        <w:t>G</w:t>
      </w:r>
      <w:r w:rsidRPr="002C1A5E">
        <w:rPr>
          <w:rFonts w:asciiTheme="majorHAnsi" w:hAnsiTheme="majorHAnsi" w:cstheme="majorHAnsi"/>
          <w:noProof/>
          <w:sz w:val="16"/>
          <w:szCs w:val="16"/>
          <w:vertAlign w:val="baseline"/>
          <w:lang w:val="ro-MD"/>
        </w:rPr>
        <w:t xml:space="preserve"> nr.743 din 11.06.2002 </w:t>
      </w:r>
      <w:r>
        <w:rPr>
          <w:rFonts w:asciiTheme="majorHAnsi" w:hAnsiTheme="majorHAnsi" w:cstheme="majorHAnsi"/>
          <w:noProof/>
          <w:sz w:val="16"/>
          <w:szCs w:val="16"/>
          <w:vertAlign w:val="baseline"/>
          <w:lang w:val="ro-MD"/>
        </w:rPr>
        <w:t>„C</w:t>
      </w:r>
      <w:r w:rsidRPr="002C1A5E">
        <w:rPr>
          <w:rFonts w:asciiTheme="majorHAnsi" w:hAnsiTheme="majorHAnsi" w:cstheme="majorHAnsi"/>
          <w:noProof/>
          <w:sz w:val="16"/>
          <w:szCs w:val="16"/>
          <w:vertAlign w:val="baseline"/>
          <w:lang w:val="ro-MD"/>
        </w:rPr>
        <w:t>u privire la salarizarea angajaţilor din unităţile cu autonomie financiară</w:t>
      </w:r>
      <w:r>
        <w:rPr>
          <w:rFonts w:asciiTheme="majorHAnsi" w:hAnsiTheme="majorHAnsi" w:cstheme="majorHAnsi"/>
          <w:noProof/>
          <w:sz w:val="16"/>
          <w:szCs w:val="16"/>
          <w:vertAlign w:val="baseline"/>
          <w:lang w:val="ro-MD"/>
        </w:rPr>
        <w:t>”.</w:t>
      </w:r>
    </w:p>
  </w:footnote>
  <w:footnote w:id="121">
    <w:p w14:paraId="53C53D93" w14:textId="06A96F7F" w:rsidR="00036D7F" w:rsidRPr="002C1A5E" w:rsidRDefault="00036D7F" w:rsidP="00D524FC">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eastAsia="Times New Roman" w:hAnsiTheme="majorHAnsi" w:cstheme="majorHAnsi"/>
          <w:noProof/>
          <w:sz w:val="16"/>
          <w:szCs w:val="16"/>
          <w:vertAlign w:val="baseline"/>
          <w:lang w:val="ro-MD" w:eastAsia="ru-RU"/>
        </w:rPr>
        <w:t xml:space="preserve"> H</w:t>
      </w:r>
      <w:r>
        <w:rPr>
          <w:rFonts w:asciiTheme="majorHAnsi" w:eastAsia="Times New Roman" w:hAnsiTheme="majorHAnsi" w:cstheme="majorHAnsi"/>
          <w:noProof/>
          <w:sz w:val="16"/>
          <w:szCs w:val="16"/>
          <w:vertAlign w:val="baseline"/>
          <w:lang w:val="ro-MD" w:eastAsia="ru-RU"/>
        </w:rPr>
        <w:t>G</w:t>
      </w:r>
      <w:r w:rsidRPr="002C1A5E">
        <w:rPr>
          <w:rFonts w:asciiTheme="majorHAnsi" w:eastAsia="Times New Roman" w:hAnsiTheme="majorHAnsi" w:cstheme="majorHAnsi"/>
          <w:noProof/>
          <w:sz w:val="16"/>
          <w:szCs w:val="16"/>
          <w:vertAlign w:val="baseline"/>
          <w:lang w:val="ro-MD" w:eastAsia="ru-RU"/>
        </w:rPr>
        <w:t xml:space="preserve"> nr. 98 din 04.02.2013</w:t>
      </w:r>
      <w:r w:rsidRPr="002C1A5E">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„C</w:t>
      </w:r>
      <w:r w:rsidRPr="002C1A5E">
        <w:rPr>
          <w:rFonts w:asciiTheme="majorHAnsi" w:hAnsiTheme="majorHAnsi" w:cstheme="majorHAnsi"/>
          <w:sz w:val="16"/>
          <w:szCs w:val="16"/>
          <w:vertAlign w:val="baseline"/>
          <w:lang w:val="ro-MD"/>
        </w:rPr>
        <w:t>u privire la aprobarea Regulamentului privind modul de organizare a normării muncii în ramurile economiei naționale</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w:t>
      </w:r>
    </w:p>
  </w:footnote>
  <w:footnote w:id="122">
    <w:p w14:paraId="75840ADC" w14:textId="02F8FCA5" w:rsidR="00036D7F" w:rsidRPr="002C1A5E" w:rsidRDefault="00036D7F" w:rsidP="00D524FC">
      <w:pPr>
        <w:pStyle w:val="FootnoteText"/>
        <w:jc w:val="both"/>
        <w:rPr>
          <w:rFonts w:asciiTheme="majorHAnsi" w:hAnsiTheme="majorHAnsi" w:cstheme="majorHAnsi"/>
          <w:noProof/>
          <w:sz w:val="16"/>
          <w:szCs w:val="16"/>
          <w:vertAlign w:val="baseline"/>
          <w:lang w:val="ro-MD"/>
        </w:rPr>
      </w:pPr>
      <w:r w:rsidRPr="002C1A5E">
        <w:rPr>
          <w:rStyle w:val="FootnoteReference"/>
          <w:rFonts w:asciiTheme="majorHAnsi" w:hAnsiTheme="majorHAnsi" w:cstheme="majorHAnsi"/>
          <w:noProof/>
          <w:sz w:val="16"/>
          <w:szCs w:val="16"/>
          <w:lang w:val="ro-MD"/>
        </w:rPr>
        <w:footnoteRef/>
      </w:r>
      <w:r w:rsidRPr="002C1A5E">
        <w:rPr>
          <w:rFonts w:asciiTheme="majorHAnsi" w:hAnsiTheme="majorHAnsi" w:cstheme="majorHAnsi"/>
          <w:noProof/>
          <w:sz w:val="16"/>
          <w:szCs w:val="16"/>
          <w:lang w:val="ro-MD"/>
        </w:rPr>
        <w:t xml:space="preserve"> </w:t>
      </w:r>
      <w:r w:rsidRPr="002C1A5E">
        <w:rPr>
          <w:rFonts w:asciiTheme="majorHAnsi" w:hAnsiTheme="majorHAnsi" w:cstheme="majorHAnsi"/>
          <w:noProof/>
          <w:sz w:val="16"/>
          <w:szCs w:val="16"/>
          <w:vertAlign w:val="baseline"/>
          <w:lang w:val="ro-MD"/>
        </w:rPr>
        <w:t>Premi</w:t>
      </w:r>
      <w:r>
        <w:rPr>
          <w:rFonts w:asciiTheme="majorHAnsi" w:hAnsiTheme="majorHAnsi" w:cstheme="majorHAnsi"/>
          <w:noProof/>
          <w:sz w:val="16"/>
          <w:szCs w:val="16"/>
          <w:vertAlign w:val="baseline"/>
          <w:lang w:val="ro-MD"/>
        </w:rPr>
        <w:t>i</w:t>
      </w:r>
      <w:r w:rsidRPr="002C1A5E">
        <w:rPr>
          <w:rFonts w:asciiTheme="majorHAnsi" w:hAnsiTheme="majorHAnsi" w:cstheme="majorHAnsi"/>
          <w:noProof/>
          <w:sz w:val="16"/>
          <w:szCs w:val="16"/>
          <w:vertAlign w:val="baseline"/>
          <w:lang w:val="ro-MD"/>
        </w:rPr>
        <w:t xml:space="preserve"> pentru realizări remarcabile și deosebite, din fondul directorului (</w:t>
      </w:r>
      <w:r w:rsidRPr="004C5A15">
        <w:rPr>
          <w:rFonts w:asciiTheme="majorHAnsi" w:hAnsiTheme="majorHAnsi" w:cstheme="majorHAnsi"/>
          <w:noProof/>
          <w:sz w:val="16"/>
          <w:szCs w:val="16"/>
          <w:vertAlign w:val="baseline"/>
          <w:lang w:val="ro-MD"/>
        </w:rPr>
        <w:t>SRL Ialoveni-</w:t>
      </w:r>
      <w:r w:rsidRPr="00CF3AD4">
        <w:rPr>
          <w:rFonts w:asciiTheme="majorHAnsi" w:hAnsiTheme="majorHAnsi" w:cstheme="majorHAnsi"/>
          <w:noProof/>
          <w:sz w:val="16"/>
          <w:szCs w:val="16"/>
          <w:vertAlign w:val="baseline"/>
          <w:lang w:val="ro-MD"/>
        </w:rPr>
        <w:t>gaz</w:t>
      </w:r>
      <w:r w:rsidRPr="004C5A15">
        <w:rPr>
          <w:rFonts w:asciiTheme="majorHAnsi" w:hAnsiTheme="majorHAnsi" w:cstheme="majorHAnsi"/>
          <w:noProof/>
          <w:sz w:val="16"/>
          <w:szCs w:val="16"/>
          <w:vertAlign w:val="baseline"/>
          <w:lang w:val="ro-MD"/>
        </w:rPr>
        <w:t>).</w:t>
      </w:r>
    </w:p>
  </w:footnote>
  <w:footnote w:id="123">
    <w:p w14:paraId="65A18B70" w14:textId="77777777" w:rsidR="00036D7F" w:rsidRPr="002C1A5E" w:rsidRDefault="00036D7F" w:rsidP="00D524FC">
      <w:pPr>
        <w:pStyle w:val="FootnoteText"/>
        <w:jc w:val="both"/>
        <w:rPr>
          <w:rFonts w:asciiTheme="majorHAnsi" w:hAnsiTheme="majorHAnsi" w:cstheme="majorHAnsi"/>
          <w:sz w:val="16"/>
          <w:szCs w:val="16"/>
          <w:vertAlign w:val="baseline"/>
          <w:lang w:val="ro-MD"/>
        </w:rPr>
      </w:pPr>
      <w:r w:rsidRPr="002C1A5E">
        <w:rPr>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Statele de personal ale SA Moldovagaz puse în aplicare începând cu 01.07.2022.</w:t>
      </w:r>
    </w:p>
  </w:footnote>
  <w:footnote w:id="124">
    <w:p w14:paraId="016F28B9" w14:textId="77777777" w:rsidR="00036D7F" w:rsidRPr="002C1A5E" w:rsidRDefault="00036D7F" w:rsidP="00D524FC">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Chișinăugaz, Găgăuz-gaz, Ialoveni-gaz, Bălți-gaz, Edineț-gaz, Unghei-gaz.</w:t>
      </w:r>
    </w:p>
  </w:footnote>
  <w:footnote w:id="125">
    <w:p w14:paraId="67009BB6" w14:textId="271C5ABB" w:rsidR="00036D7F" w:rsidRPr="00300395" w:rsidRDefault="00036D7F" w:rsidP="00FA7A2D">
      <w:pPr>
        <w:pStyle w:val="FootnoteText"/>
        <w:jc w:val="both"/>
        <w:rPr>
          <w:rFonts w:asciiTheme="majorHAnsi" w:hAnsiTheme="majorHAnsi" w:cstheme="majorHAnsi"/>
          <w:sz w:val="16"/>
          <w:szCs w:val="16"/>
          <w:vertAlign w:val="baseline"/>
          <w:lang w:val="ro-MD"/>
        </w:rPr>
      </w:pPr>
      <w:r w:rsidRPr="00300395">
        <w:rPr>
          <w:rStyle w:val="FootnoteReference"/>
          <w:rFonts w:asciiTheme="majorHAnsi" w:hAnsiTheme="majorHAnsi" w:cstheme="majorHAnsi"/>
          <w:sz w:val="16"/>
          <w:szCs w:val="16"/>
          <w:lang w:val="ro-MD"/>
        </w:rPr>
        <w:footnoteRef/>
      </w:r>
      <w:r w:rsidRPr="00300395">
        <w:rPr>
          <w:rFonts w:asciiTheme="majorHAnsi" w:hAnsiTheme="majorHAnsi" w:cstheme="majorHAnsi"/>
          <w:sz w:val="16"/>
          <w:szCs w:val="16"/>
          <w:lang w:val="ro-MD"/>
        </w:rPr>
        <w:t xml:space="preserve"> </w:t>
      </w:r>
      <w:r w:rsidRPr="00300395">
        <w:rPr>
          <w:rFonts w:asciiTheme="majorHAnsi" w:hAnsiTheme="majorHAnsi" w:cstheme="majorHAnsi"/>
          <w:sz w:val="16"/>
          <w:szCs w:val="16"/>
          <w:vertAlign w:val="baseline"/>
          <w:lang w:val="ro-MD"/>
        </w:rPr>
        <w:t>Pct.7 din Regulamentul privind modul de monitorizare a programelor de conformitate</w:t>
      </w:r>
      <w:r>
        <w:rPr>
          <w:rFonts w:asciiTheme="majorHAnsi" w:hAnsiTheme="majorHAnsi" w:cstheme="majorHAnsi"/>
          <w:sz w:val="16"/>
          <w:szCs w:val="16"/>
          <w:vertAlign w:val="baseline"/>
          <w:lang w:val="ro-MD"/>
        </w:rPr>
        <w:t>,</w:t>
      </w:r>
      <w:r w:rsidRPr="00300395">
        <w:rPr>
          <w:rFonts w:asciiTheme="majorHAnsi" w:hAnsiTheme="majorHAnsi" w:cstheme="majorHAnsi"/>
          <w:sz w:val="16"/>
          <w:szCs w:val="16"/>
          <w:vertAlign w:val="baseline"/>
          <w:lang w:val="ro-MD"/>
        </w:rPr>
        <w:t xml:space="preserve"> aprobat prin HANRE nr.482 din 13.12.2017.</w:t>
      </w:r>
    </w:p>
  </w:footnote>
  <w:footnote w:id="126">
    <w:p w14:paraId="1D627913" w14:textId="5353B04A" w:rsidR="00036D7F" w:rsidRPr="00300395" w:rsidRDefault="00036D7F" w:rsidP="00FA7A2D">
      <w:pPr>
        <w:pStyle w:val="FootnoteText"/>
        <w:jc w:val="both"/>
        <w:rPr>
          <w:rFonts w:asciiTheme="majorHAnsi" w:hAnsiTheme="majorHAnsi" w:cstheme="majorHAnsi"/>
          <w:sz w:val="16"/>
          <w:szCs w:val="16"/>
          <w:lang w:val="ro-MD"/>
        </w:rPr>
      </w:pPr>
      <w:r w:rsidRPr="00300395">
        <w:rPr>
          <w:rStyle w:val="FootnoteReference"/>
          <w:rFonts w:asciiTheme="majorHAnsi" w:hAnsiTheme="majorHAnsi" w:cstheme="majorHAnsi"/>
          <w:sz w:val="16"/>
          <w:szCs w:val="16"/>
          <w:lang w:val="ro-MD"/>
        </w:rPr>
        <w:footnoteRef/>
      </w:r>
      <w:r w:rsidRPr="00300395">
        <w:rPr>
          <w:rFonts w:asciiTheme="majorHAnsi" w:hAnsiTheme="majorHAnsi" w:cstheme="majorHAnsi"/>
          <w:sz w:val="16"/>
          <w:szCs w:val="16"/>
          <w:lang w:val="ro-MD"/>
        </w:rPr>
        <w:t xml:space="preserve"> </w:t>
      </w:r>
      <w:r>
        <w:rPr>
          <w:rFonts w:asciiTheme="majorHAnsi" w:hAnsiTheme="majorHAnsi" w:cstheme="majorHAnsi"/>
          <w:sz w:val="16"/>
          <w:szCs w:val="16"/>
          <w:vertAlign w:val="baseline"/>
          <w:lang w:val="ro-MD"/>
        </w:rPr>
        <w:t>A</w:t>
      </w:r>
      <w:r w:rsidRPr="00300395">
        <w:rPr>
          <w:rFonts w:asciiTheme="majorHAnsi" w:hAnsiTheme="majorHAnsi" w:cstheme="majorHAnsi"/>
          <w:sz w:val="16"/>
          <w:szCs w:val="16"/>
          <w:vertAlign w:val="baseline"/>
          <w:lang w:val="ro-MD"/>
        </w:rPr>
        <w:t xml:space="preserve">rt. 34-35 și art. 45 </w:t>
      </w:r>
      <w:r>
        <w:rPr>
          <w:rFonts w:asciiTheme="majorHAnsi" w:hAnsiTheme="majorHAnsi" w:cstheme="majorHAnsi"/>
          <w:sz w:val="16"/>
          <w:szCs w:val="16"/>
          <w:vertAlign w:val="baseline"/>
          <w:lang w:val="ro-MD"/>
        </w:rPr>
        <w:t xml:space="preserve">din </w:t>
      </w:r>
      <w:r w:rsidRPr="00300395">
        <w:rPr>
          <w:rFonts w:asciiTheme="majorHAnsi" w:eastAsia="Times New Roman" w:hAnsiTheme="majorHAnsi" w:cstheme="majorHAnsi"/>
          <w:sz w:val="16"/>
          <w:szCs w:val="16"/>
          <w:vertAlign w:val="baseline"/>
          <w:lang w:val="ro-MD"/>
        </w:rPr>
        <w:t>Legea nr. 108 din 27.05.2016 cu privire la gazele naturale</w:t>
      </w:r>
      <w:r>
        <w:rPr>
          <w:rFonts w:asciiTheme="majorHAnsi" w:eastAsia="Times New Roman" w:hAnsiTheme="majorHAnsi" w:cstheme="majorHAnsi"/>
          <w:sz w:val="16"/>
          <w:szCs w:val="16"/>
          <w:vertAlign w:val="baseline"/>
          <w:lang w:val="ro-MD"/>
        </w:rPr>
        <w:t>.</w:t>
      </w:r>
    </w:p>
  </w:footnote>
  <w:footnote w:id="127">
    <w:p w14:paraId="65CB8D37" w14:textId="3A2DF71C" w:rsidR="00036D7F" w:rsidRPr="00300395" w:rsidRDefault="00036D7F" w:rsidP="00FA7A2D">
      <w:pPr>
        <w:pStyle w:val="FootnoteText"/>
        <w:jc w:val="both"/>
        <w:rPr>
          <w:rFonts w:asciiTheme="majorHAnsi" w:hAnsiTheme="majorHAnsi" w:cstheme="majorHAnsi"/>
          <w:sz w:val="16"/>
          <w:szCs w:val="16"/>
          <w:lang w:val="ro-MD"/>
        </w:rPr>
      </w:pPr>
      <w:r w:rsidRPr="00300395">
        <w:rPr>
          <w:rStyle w:val="FootnoteReference"/>
          <w:rFonts w:asciiTheme="majorHAnsi" w:hAnsiTheme="majorHAnsi" w:cstheme="majorHAnsi"/>
          <w:sz w:val="16"/>
          <w:szCs w:val="16"/>
          <w:lang w:val="ro-MD"/>
        </w:rPr>
        <w:footnoteRef/>
      </w:r>
      <w:r w:rsidRPr="00300395">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A</w:t>
      </w:r>
      <w:r w:rsidRPr="00300395">
        <w:rPr>
          <w:rFonts w:asciiTheme="majorHAnsi" w:hAnsiTheme="majorHAnsi" w:cstheme="majorHAnsi"/>
          <w:sz w:val="16"/>
          <w:szCs w:val="16"/>
          <w:vertAlign w:val="baseline"/>
          <w:lang w:val="ro-MD"/>
        </w:rPr>
        <w:t xml:space="preserve">rt. 35 alin. (1) lit. d) și e) și art. 45 alin. (7) lit. d) și e) din </w:t>
      </w:r>
      <w:r w:rsidRPr="00300395">
        <w:rPr>
          <w:rFonts w:asciiTheme="majorHAnsi" w:eastAsia="Times New Roman" w:hAnsiTheme="majorHAnsi" w:cstheme="majorHAnsi"/>
          <w:sz w:val="16"/>
          <w:szCs w:val="16"/>
          <w:vertAlign w:val="baseline"/>
          <w:lang w:val="ro-MD"/>
        </w:rPr>
        <w:t>Legea nr. 108 din 27.05.2016 cu privire la gazele naturale.</w:t>
      </w:r>
    </w:p>
  </w:footnote>
  <w:footnote w:id="128">
    <w:p w14:paraId="4CF5637A" w14:textId="040BE4DF" w:rsidR="00036D7F" w:rsidRPr="00300395" w:rsidRDefault="00036D7F" w:rsidP="00FA7A2D">
      <w:pPr>
        <w:pStyle w:val="FootnoteText"/>
        <w:jc w:val="both"/>
        <w:rPr>
          <w:rFonts w:asciiTheme="majorHAnsi" w:hAnsiTheme="majorHAnsi" w:cstheme="majorHAnsi"/>
          <w:sz w:val="16"/>
          <w:szCs w:val="16"/>
          <w:lang w:val="ro-MD"/>
        </w:rPr>
      </w:pPr>
      <w:r w:rsidRPr="00300395">
        <w:rPr>
          <w:rStyle w:val="FootnoteReference"/>
          <w:rFonts w:asciiTheme="majorHAnsi" w:hAnsiTheme="majorHAnsi" w:cstheme="majorHAnsi"/>
          <w:sz w:val="16"/>
          <w:szCs w:val="16"/>
          <w:lang w:val="ro-MD"/>
        </w:rPr>
        <w:footnoteRef/>
      </w:r>
      <w:r w:rsidRPr="00300395">
        <w:rPr>
          <w:rFonts w:asciiTheme="majorHAnsi" w:hAnsiTheme="majorHAnsi" w:cstheme="majorHAnsi"/>
          <w:sz w:val="16"/>
          <w:szCs w:val="16"/>
          <w:lang w:val="ro-MD"/>
        </w:rPr>
        <w:t xml:space="preserve"> </w:t>
      </w:r>
      <w:r w:rsidRPr="00300395">
        <w:rPr>
          <w:rFonts w:asciiTheme="majorHAnsi" w:hAnsiTheme="majorHAnsi" w:cstheme="majorHAnsi"/>
          <w:sz w:val="16"/>
          <w:szCs w:val="16"/>
          <w:vertAlign w:val="baseline"/>
          <w:lang w:val="ro-MD"/>
        </w:rPr>
        <w:t>HANRE nr.445/2020 din 25.11.2020</w:t>
      </w:r>
      <w:r>
        <w:rPr>
          <w:rFonts w:asciiTheme="majorHAnsi" w:hAnsiTheme="majorHAnsi" w:cstheme="majorHAnsi"/>
          <w:sz w:val="16"/>
          <w:szCs w:val="16"/>
          <w:vertAlign w:val="baseline"/>
          <w:lang w:val="ro-MD"/>
        </w:rPr>
        <w:t>.</w:t>
      </w:r>
      <w:r w:rsidRPr="00300395">
        <w:rPr>
          <w:rFonts w:asciiTheme="majorHAnsi" w:hAnsiTheme="majorHAnsi" w:cstheme="majorHAnsi"/>
          <w:sz w:val="16"/>
          <w:szCs w:val="16"/>
          <w:lang w:val="ro-MD"/>
        </w:rPr>
        <w:t xml:space="preserve"> </w:t>
      </w:r>
    </w:p>
  </w:footnote>
  <w:footnote w:id="129">
    <w:p w14:paraId="7CF619C1" w14:textId="326B8408" w:rsidR="00036D7F" w:rsidRPr="00300395" w:rsidRDefault="00036D7F" w:rsidP="00FA7A2D">
      <w:pPr>
        <w:pStyle w:val="FootnoteText"/>
        <w:jc w:val="both"/>
        <w:rPr>
          <w:rFonts w:asciiTheme="majorHAnsi" w:hAnsiTheme="majorHAnsi" w:cstheme="majorHAnsi"/>
          <w:sz w:val="16"/>
          <w:szCs w:val="16"/>
          <w:lang w:val="ro-MD"/>
        </w:rPr>
      </w:pPr>
      <w:r w:rsidRPr="00300395">
        <w:rPr>
          <w:rStyle w:val="FootnoteReference"/>
          <w:rFonts w:asciiTheme="majorHAnsi" w:hAnsiTheme="majorHAnsi" w:cstheme="majorHAnsi"/>
          <w:sz w:val="16"/>
          <w:szCs w:val="16"/>
          <w:lang w:val="ro-MD"/>
        </w:rPr>
        <w:footnoteRef/>
      </w:r>
      <w:r w:rsidRPr="00300395">
        <w:rPr>
          <w:rFonts w:asciiTheme="majorHAnsi" w:hAnsiTheme="majorHAnsi" w:cstheme="majorHAnsi"/>
          <w:sz w:val="16"/>
          <w:szCs w:val="16"/>
          <w:lang w:val="ro-MD"/>
        </w:rPr>
        <w:t xml:space="preserve"> </w:t>
      </w:r>
      <w:r w:rsidRPr="00300395">
        <w:rPr>
          <w:rFonts w:asciiTheme="majorHAnsi" w:hAnsiTheme="majorHAnsi" w:cstheme="majorHAnsi"/>
          <w:sz w:val="16"/>
          <w:szCs w:val="16"/>
          <w:vertAlign w:val="baseline"/>
          <w:lang w:val="ro-MD"/>
        </w:rPr>
        <w:t xml:space="preserve">De exemplu, SRL „Moldovatransgaz” </w:t>
      </w:r>
      <w:r>
        <w:rPr>
          <w:rFonts w:asciiTheme="majorHAnsi" w:hAnsiTheme="majorHAnsi" w:cstheme="majorHAnsi"/>
          <w:sz w:val="16"/>
          <w:szCs w:val="16"/>
          <w:vertAlign w:val="baseline"/>
          <w:lang w:val="ro-MD"/>
        </w:rPr>
        <w:t>–</w:t>
      </w:r>
      <w:r w:rsidRPr="00300395">
        <w:rPr>
          <w:rFonts w:asciiTheme="majorHAnsi" w:hAnsiTheme="majorHAnsi" w:cstheme="majorHAnsi"/>
          <w:sz w:val="16"/>
          <w:szCs w:val="16"/>
          <w:vertAlign w:val="baseline"/>
          <w:lang w:val="ro-MD"/>
        </w:rPr>
        <w:t xml:space="preserve"> 804,58 mii lei, SRL „Chișinău-gaz” – 660,62 mii lei, SRL „Ialoveni-gaz” – 447,6 mii lei, SRL „Bălți-gaz” – 360,0 mii lei, SRL „Florești-gaz” – 266,60 mii lei, la SRL „Edineț-gaz” – 275,4 mii lei, SRL „Găgăuz-gaz” – 272,7 mii lei</w:t>
      </w:r>
      <w:r>
        <w:rPr>
          <w:rFonts w:asciiTheme="majorHAnsi" w:hAnsiTheme="majorHAnsi" w:cstheme="majorHAnsi"/>
          <w:sz w:val="16"/>
          <w:szCs w:val="16"/>
          <w:vertAlign w:val="baseline"/>
          <w:lang w:val="ro-MD"/>
        </w:rPr>
        <w:t>,</w:t>
      </w:r>
      <w:r w:rsidRPr="00300395">
        <w:rPr>
          <w:rFonts w:asciiTheme="majorHAnsi" w:hAnsiTheme="majorHAnsi" w:cstheme="majorHAnsi"/>
          <w:sz w:val="16"/>
          <w:szCs w:val="16"/>
          <w:vertAlign w:val="baseline"/>
          <w:lang w:val="ro-MD"/>
        </w:rPr>
        <w:t xml:space="preserve"> și SRL „Ungheni-gaz” – 249,60 mii lei.</w:t>
      </w:r>
    </w:p>
  </w:footnote>
  <w:footnote w:id="130">
    <w:p w14:paraId="08470A89" w14:textId="61B502D7" w:rsidR="00036D7F" w:rsidRPr="004F4116" w:rsidRDefault="00036D7F" w:rsidP="00E072EA">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Pct.7 din Regulamentul privind modul de monitorizare a programelor de conformitate</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 aprobat prin HANRE nr.482 din 13.12.2017.</w:t>
      </w:r>
    </w:p>
  </w:footnote>
  <w:footnote w:id="131">
    <w:p w14:paraId="20748814" w14:textId="2AB6C040" w:rsidR="00036D7F" w:rsidRPr="004F4116" w:rsidRDefault="00036D7F" w:rsidP="00300395">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rPr>
        <w:t xml:space="preserve"> </w:t>
      </w:r>
      <w:r w:rsidRPr="004F4116">
        <w:rPr>
          <w:rFonts w:asciiTheme="majorHAnsi" w:hAnsiTheme="majorHAnsi" w:cstheme="majorHAnsi"/>
          <w:bCs/>
          <w:noProof/>
          <w:sz w:val="16"/>
          <w:szCs w:val="16"/>
          <w:vertAlign w:val="baseline"/>
        </w:rPr>
        <w:t xml:space="preserve">AC 001440 </w:t>
      </w:r>
      <w:r>
        <w:rPr>
          <w:rFonts w:asciiTheme="majorHAnsi" w:hAnsiTheme="majorHAnsi" w:cstheme="majorHAnsi"/>
          <w:bCs/>
          <w:noProof/>
          <w:sz w:val="16"/>
          <w:szCs w:val="16"/>
          <w:vertAlign w:val="baseline"/>
        </w:rPr>
        <w:t>din</w:t>
      </w:r>
      <w:r w:rsidRPr="004F4116">
        <w:rPr>
          <w:rFonts w:asciiTheme="majorHAnsi" w:hAnsiTheme="majorHAnsi" w:cstheme="majorHAnsi"/>
          <w:bCs/>
          <w:noProof/>
          <w:sz w:val="16"/>
          <w:szCs w:val="16"/>
          <w:vertAlign w:val="baseline"/>
        </w:rPr>
        <w:t xml:space="preserve"> 11.02.2020</w:t>
      </w:r>
      <w:r>
        <w:rPr>
          <w:rFonts w:asciiTheme="majorHAnsi" w:hAnsiTheme="majorHAnsi" w:cstheme="majorHAnsi"/>
          <w:bCs/>
          <w:noProof/>
          <w:sz w:val="16"/>
          <w:szCs w:val="16"/>
          <w:vertAlign w:val="baseline"/>
        </w:rPr>
        <w:t>,</w:t>
      </w:r>
      <w:r w:rsidRPr="004F4116">
        <w:rPr>
          <w:rFonts w:asciiTheme="majorHAnsi" w:hAnsiTheme="majorHAnsi" w:cstheme="majorHAnsi"/>
          <w:bCs/>
          <w:noProof/>
          <w:sz w:val="16"/>
          <w:szCs w:val="16"/>
          <w:vertAlign w:val="baseline"/>
        </w:rPr>
        <w:t xml:space="preserve"> eliberată de ANRE.</w:t>
      </w:r>
    </w:p>
  </w:footnote>
  <w:footnote w:id="132">
    <w:p w14:paraId="7862427B" w14:textId="25010183" w:rsidR="00036D7F" w:rsidRPr="004F4116" w:rsidRDefault="00036D7F" w:rsidP="00300395">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vertAlign w:val="baseline"/>
        </w:rPr>
        <w:t xml:space="preserve"> A</w:t>
      </w:r>
      <w:r w:rsidRPr="004F4116">
        <w:rPr>
          <w:rFonts w:asciiTheme="majorHAnsi" w:hAnsiTheme="majorHAnsi" w:cstheme="majorHAnsi"/>
          <w:sz w:val="16"/>
          <w:szCs w:val="16"/>
          <w:vertAlign w:val="baseline"/>
          <w:lang w:eastAsia="ar-SA"/>
        </w:rPr>
        <w:t>rt</w:t>
      </w:r>
      <w:r>
        <w:rPr>
          <w:rFonts w:asciiTheme="majorHAnsi" w:hAnsiTheme="majorHAnsi" w:cstheme="majorHAnsi"/>
          <w:sz w:val="16"/>
          <w:szCs w:val="16"/>
          <w:vertAlign w:val="baseline"/>
          <w:lang w:eastAsia="ar-SA"/>
        </w:rPr>
        <w:t>.</w:t>
      </w:r>
      <w:r w:rsidRPr="004F4116">
        <w:rPr>
          <w:rFonts w:asciiTheme="majorHAnsi" w:hAnsiTheme="majorHAnsi" w:cstheme="majorHAnsi"/>
          <w:sz w:val="16"/>
          <w:szCs w:val="16"/>
          <w:vertAlign w:val="baseline"/>
          <w:lang w:eastAsia="ar-SA"/>
        </w:rPr>
        <w:t>15 din Legea nr.108 din 27.05.2016</w:t>
      </w:r>
      <w:r>
        <w:rPr>
          <w:rFonts w:asciiTheme="majorHAnsi" w:hAnsiTheme="majorHAnsi" w:cstheme="majorHAnsi"/>
          <w:sz w:val="16"/>
          <w:szCs w:val="16"/>
          <w:vertAlign w:val="baseline"/>
          <w:lang w:eastAsia="ar-SA"/>
        </w:rPr>
        <w:t xml:space="preserve"> privind g</w:t>
      </w:r>
      <w:r w:rsidRPr="004F4116">
        <w:rPr>
          <w:rFonts w:asciiTheme="majorHAnsi" w:hAnsiTheme="majorHAnsi" w:cstheme="majorHAnsi"/>
          <w:sz w:val="16"/>
          <w:szCs w:val="16"/>
          <w:vertAlign w:val="baseline"/>
          <w:lang w:eastAsia="ar-SA"/>
        </w:rPr>
        <w:t>azel</w:t>
      </w:r>
      <w:r>
        <w:rPr>
          <w:rFonts w:asciiTheme="majorHAnsi" w:hAnsiTheme="majorHAnsi" w:cstheme="majorHAnsi"/>
          <w:sz w:val="16"/>
          <w:szCs w:val="16"/>
          <w:vertAlign w:val="baseline"/>
          <w:lang w:eastAsia="ar-SA"/>
        </w:rPr>
        <w:t>e</w:t>
      </w:r>
      <w:r w:rsidRPr="004F4116">
        <w:rPr>
          <w:rFonts w:asciiTheme="majorHAnsi" w:hAnsiTheme="majorHAnsi" w:cstheme="majorHAnsi"/>
          <w:sz w:val="16"/>
          <w:szCs w:val="16"/>
          <w:vertAlign w:val="baseline"/>
          <w:lang w:eastAsia="ar-SA"/>
        </w:rPr>
        <w:t xml:space="preserve"> naturale.</w:t>
      </w:r>
    </w:p>
  </w:footnote>
  <w:footnote w:id="133">
    <w:p w14:paraId="6125202F" w14:textId="39523F9D" w:rsidR="00036D7F" w:rsidRPr="004F4116" w:rsidRDefault="00036D7F" w:rsidP="00E072EA">
      <w:pPr>
        <w:pStyle w:val="FootnoteText"/>
        <w:jc w:val="both"/>
        <w:rPr>
          <w:rFonts w:asciiTheme="majorHAnsi" w:hAnsiTheme="majorHAnsi" w:cstheme="majorHAnsi"/>
          <w:sz w:val="16"/>
          <w:szCs w:val="16"/>
          <w:vertAlign w:val="baseline"/>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Pct.46 și pct.21 din Regulamentul privind planificarea, aprobarea şi efectuarea investițiilor</w:t>
      </w:r>
      <w:r>
        <w:rPr>
          <w:rFonts w:asciiTheme="majorHAnsi" w:hAnsiTheme="majorHAnsi" w:cstheme="majorHAnsi"/>
          <w:sz w:val="16"/>
          <w:szCs w:val="16"/>
          <w:vertAlign w:val="baseline"/>
        </w:rPr>
        <w:t>,</w:t>
      </w:r>
      <w:r w:rsidRPr="004F4116">
        <w:rPr>
          <w:rFonts w:asciiTheme="majorHAnsi" w:hAnsiTheme="majorHAnsi" w:cstheme="majorHAnsi"/>
          <w:sz w:val="16"/>
          <w:szCs w:val="16"/>
          <w:vertAlign w:val="baseline"/>
        </w:rPr>
        <w:t xml:space="preserve"> aprobat prin HANRE nr.283/2016 din 15.11.2016.</w:t>
      </w:r>
    </w:p>
  </w:footnote>
  <w:footnote w:id="134">
    <w:p w14:paraId="6850A608" w14:textId="235F2DEC" w:rsidR="00036D7F" w:rsidRPr="00300395" w:rsidRDefault="00036D7F" w:rsidP="002A1796">
      <w:pPr>
        <w:pStyle w:val="FootnoteText"/>
        <w:jc w:val="both"/>
        <w:rPr>
          <w:rFonts w:asciiTheme="majorHAnsi" w:hAnsiTheme="majorHAnsi" w:cstheme="majorHAnsi"/>
          <w:sz w:val="16"/>
          <w:szCs w:val="16"/>
          <w:vertAlign w:val="baseline"/>
          <w:lang w:val="ro-MD"/>
        </w:rPr>
      </w:pPr>
      <w:r w:rsidRPr="00300395">
        <w:rPr>
          <w:rStyle w:val="FootnoteReference"/>
          <w:rFonts w:asciiTheme="majorHAnsi" w:hAnsiTheme="majorHAnsi" w:cstheme="majorHAnsi"/>
          <w:sz w:val="16"/>
          <w:szCs w:val="16"/>
          <w:lang w:val="ro-MD"/>
        </w:rPr>
        <w:footnoteRef/>
      </w:r>
      <w:r w:rsidRPr="00300395">
        <w:rPr>
          <w:rFonts w:asciiTheme="majorHAnsi" w:hAnsiTheme="majorHAnsi" w:cstheme="majorHAnsi"/>
          <w:sz w:val="16"/>
          <w:szCs w:val="16"/>
          <w:lang w:val="ro-MD"/>
        </w:rPr>
        <w:t xml:space="preserve"> </w:t>
      </w:r>
      <w:r w:rsidRPr="00300395">
        <w:rPr>
          <w:rFonts w:asciiTheme="majorHAnsi" w:hAnsiTheme="majorHAnsi" w:cstheme="majorHAnsi"/>
          <w:sz w:val="16"/>
          <w:szCs w:val="16"/>
          <w:vertAlign w:val="baseline"/>
          <w:lang w:val="ro-MD"/>
        </w:rPr>
        <w:t>Procesul</w:t>
      </w:r>
      <w:r>
        <w:rPr>
          <w:rFonts w:asciiTheme="majorHAnsi" w:hAnsiTheme="majorHAnsi" w:cstheme="majorHAnsi"/>
          <w:sz w:val="16"/>
          <w:szCs w:val="16"/>
          <w:vertAlign w:val="baseline"/>
          <w:lang w:val="ro-MD"/>
        </w:rPr>
        <w:t>-</w:t>
      </w:r>
      <w:r w:rsidRPr="00300395">
        <w:rPr>
          <w:rFonts w:asciiTheme="majorHAnsi" w:hAnsiTheme="majorHAnsi" w:cstheme="majorHAnsi"/>
          <w:sz w:val="16"/>
          <w:szCs w:val="16"/>
          <w:vertAlign w:val="baseline"/>
          <w:lang w:val="ro-MD"/>
        </w:rPr>
        <w:t>verbal al Consiliul</w:t>
      </w:r>
      <w:r>
        <w:rPr>
          <w:rFonts w:asciiTheme="majorHAnsi" w:hAnsiTheme="majorHAnsi" w:cstheme="majorHAnsi"/>
          <w:sz w:val="16"/>
          <w:szCs w:val="16"/>
          <w:vertAlign w:val="baseline"/>
          <w:lang w:val="ro-MD"/>
        </w:rPr>
        <w:t>ui</w:t>
      </w:r>
      <w:r w:rsidRPr="00300395">
        <w:rPr>
          <w:rFonts w:asciiTheme="majorHAnsi" w:hAnsiTheme="majorHAnsi" w:cstheme="majorHAnsi"/>
          <w:sz w:val="16"/>
          <w:szCs w:val="16"/>
          <w:vertAlign w:val="baseline"/>
          <w:lang w:val="ro-MD"/>
        </w:rPr>
        <w:t xml:space="preserve"> de observatori </w:t>
      </w:r>
      <w:r>
        <w:rPr>
          <w:rFonts w:asciiTheme="majorHAnsi" w:hAnsiTheme="majorHAnsi" w:cstheme="majorHAnsi"/>
          <w:sz w:val="16"/>
          <w:szCs w:val="16"/>
          <w:vertAlign w:val="baseline"/>
          <w:lang w:val="ro-MD"/>
        </w:rPr>
        <w:t xml:space="preserve">al </w:t>
      </w:r>
      <w:r w:rsidRPr="00300395">
        <w:rPr>
          <w:rFonts w:asciiTheme="majorHAnsi" w:hAnsiTheme="majorHAnsi" w:cstheme="majorHAnsi"/>
          <w:sz w:val="16"/>
          <w:szCs w:val="16"/>
          <w:vertAlign w:val="baseline"/>
          <w:lang w:val="ro-MD"/>
        </w:rPr>
        <w:t>SA Moldovagaz nr.6 din 21.06.2018 – întrebarea nr.10.</w:t>
      </w:r>
    </w:p>
  </w:footnote>
  <w:footnote w:id="135">
    <w:p w14:paraId="78FE5D84" w14:textId="3A8D6503" w:rsidR="00036D7F" w:rsidRPr="002C1A5E" w:rsidRDefault="00036D7F" w:rsidP="002A1796">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Procesul</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verbal al Consiliul</w:t>
      </w:r>
      <w:r>
        <w:rPr>
          <w:rFonts w:asciiTheme="majorHAnsi" w:hAnsiTheme="majorHAnsi" w:cstheme="majorHAnsi"/>
          <w:sz w:val="16"/>
          <w:szCs w:val="16"/>
          <w:vertAlign w:val="baseline"/>
          <w:lang w:val="ro-MD"/>
        </w:rPr>
        <w:t>ui</w:t>
      </w:r>
      <w:r w:rsidRPr="002C1A5E">
        <w:rPr>
          <w:rFonts w:asciiTheme="majorHAnsi" w:hAnsiTheme="majorHAnsi" w:cstheme="majorHAnsi"/>
          <w:sz w:val="16"/>
          <w:szCs w:val="16"/>
          <w:vertAlign w:val="baseline"/>
          <w:lang w:val="ro-MD"/>
        </w:rPr>
        <w:t xml:space="preserve"> de observatori </w:t>
      </w:r>
      <w:r>
        <w:rPr>
          <w:rFonts w:asciiTheme="majorHAnsi" w:hAnsiTheme="majorHAnsi" w:cstheme="majorHAnsi"/>
          <w:sz w:val="16"/>
          <w:szCs w:val="16"/>
          <w:vertAlign w:val="baseline"/>
          <w:lang w:val="ro-MD"/>
        </w:rPr>
        <w:t xml:space="preserve">al </w:t>
      </w:r>
      <w:r w:rsidRPr="002C1A5E">
        <w:rPr>
          <w:rFonts w:asciiTheme="majorHAnsi" w:hAnsiTheme="majorHAnsi" w:cstheme="majorHAnsi"/>
          <w:sz w:val="16"/>
          <w:szCs w:val="16"/>
          <w:vertAlign w:val="baseline"/>
          <w:lang w:val="ro-MD"/>
        </w:rPr>
        <w:t>SA Moldovagaz nr.7 din 03.08.2018 – întrebarea nr.3.</w:t>
      </w:r>
    </w:p>
  </w:footnote>
  <w:footnote w:id="136">
    <w:p w14:paraId="51567E46" w14:textId="522EFB10" w:rsidR="00036D7F" w:rsidRPr="002C1A5E" w:rsidRDefault="00036D7F" w:rsidP="002A1796">
      <w:pPr>
        <w:pStyle w:val="FootnoteText"/>
        <w:jc w:val="both"/>
        <w:rPr>
          <w:rFonts w:asciiTheme="majorHAnsi" w:hAnsiTheme="majorHAnsi" w:cstheme="majorHAnsi"/>
          <w:sz w:val="16"/>
          <w:szCs w:val="16"/>
          <w:vertAlign w:val="baseline"/>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Procesul</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verbal al Consiliul</w:t>
      </w:r>
      <w:r>
        <w:rPr>
          <w:rFonts w:asciiTheme="majorHAnsi" w:hAnsiTheme="majorHAnsi" w:cstheme="majorHAnsi"/>
          <w:sz w:val="16"/>
          <w:szCs w:val="16"/>
          <w:vertAlign w:val="baseline"/>
          <w:lang w:val="ro-MD"/>
        </w:rPr>
        <w:t>ui</w:t>
      </w:r>
      <w:r w:rsidRPr="002C1A5E">
        <w:rPr>
          <w:rFonts w:asciiTheme="majorHAnsi" w:hAnsiTheme="majorHAnsi" w:cstheme="majorHAnsi"/>
          <w:sz w:val="16"/>
          <w:szCs w:val="16"/>
          <w:vertAlign w:val="baseline"/>
          <w:lang w:val="ro-MD"/>
        </w:rPr>
        <w:t xml:space="preserve"> de administrație </w:t>
      </w:r>
      <w:r>
        <w:rPr>
          <w:rFonts w:asciiTheme="majorHAnsi" w:hAnsiTheme="majorHAnsi" w:cstheme="majorHAnsi"/>
          <w:sz w:val="16"/>
          <w:szCs w:val="16"/>
          <w:vertAlign w:val="baseline"/>
          <w:lang w:val="ro-MD"/>
        </w:rPr>
        <w:t xml:space="preserve">al </w:t>
      </w:r>
      <w:r w:rsidRPr="002C1A5E">
        <w:rPr>
          <w:rFonts w:asciiTheme="majorHAnsi" w:hAnsiTheme="majorHAnsi" w:cstheme="majorHAnsi"/>
          <w:sz w:val="16"/>
          <w:szCs w:val="16"/>
          <w:vertAlign w:val="baseline"/>
          <w:lang w:val="ro-MD"/>
        </w:rPr>
        <w:t>SA Moldovagaz nr.10 din 05.10.2018 – întrebarea nr.7.</w:t>
      </w:r>
    </w:p>
  </w:footnote>
  <w:footnote w:id="137">
    <w:p w14:paraId="7E371DDD" w14:textId="6F62740B" w:rsidR="00036D7F" w:rsidRPr="002C1A5E" w:rsidRDefault="00036D7F" w:rsidP="002A1796">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Procesul</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verbal al Consiliul</w:t>
      </w:r>
      <w:r>
        <w:rPr>
          <w:rFonts w:asciiTheme="majorHAnsi" w:hAnsiTheme="majorHAnsi" w:cstheme="majorHAnsi"/>
          <w:sz w:val="16"/>
          <w:szCs w:val="16"/>
          <w:vertAlign w:val="baseline"/>
          <w:lang w:val="ro-MD"/>
        </w:rPr>
        <w:t>ui</w:t>
      </w:r>
      <w:r w:rsidRPr="002C1A5E">
        <w:rPr>
          <w:rFonts w:asciiTheme="majorHAnsi" w:hAnsiTheme="majorHAnsi" w:cstheme="majorHAnsi"/>
          <w:sz w:val="16"/>
          <w:szCs w:val="16"/>
          <w:vertAlign w:val="baseline"/>
          <w:lang w:val="ro-MD"/>
        </w:rPr>
        <w:t xml:space="preserve"> de observatori </w:t>
      </w:r>
      <w:r>
        <w:rPr>
          <w:rFonts w:asciiTheme="majorHAnsi" w:hAnsiTheme="majorHAnsi" w:cstheme="majorHAnsi"/>
          <w:sz w:val="16"/>
          <w:szCs w:val="16"/>
          <w:vertAlign w:val="baseline"/>
          <w:lang w:val="ro-MD"/>
        </w:rPr>
        <w:t xml:space="preserve">al </w:t>
      </w:r>
      <w:r w:rsidRPr="002C1A5E">
        <w:rPr>
          <w:rFonts w:asciiTheme="majorHAnsi" w:hAnsiTheme="majorHAnsi" w:cstheme="majorHAnsi"/>
          <w:sz w:val="16"/>
          <w:szCs w:val="16"/>
          <w:vertAlign w:val="baseline"/>
          <w:lang w:val="ro-MD"/>
        </w:rPr>
        <w:t>SA Moldovagaz nr.7 din 03.08.2018 – întrebarea nr.3.</w:t>
      </w:r>
    </w:p>
  </w:footnote>
  <w:footnote w:id="138">
    <w:p w14:paraId="2381B0B5" w14:textId="2F0AC508" w:rsidR="00036D7F" w:rsidRPr="002C1A5E" w:rsidRDefault="00036D7F" w:rsidP="002A1796">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Procesul</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verbal al Consiliul</w:t>
      </w:r>
      <w:r>
        <w:rPr>
          <w:rFonts w:asciiTheme="majorHAnsi" w:hAnsiTheme="majorHAnsi" w:cstheme="majorHAnsi"/>
          <w:sz w:val="16"/>
          <w:szCs w:val="16"/>
          <w:vertAlign w:val="baseline"/>
          <w:lang w:val="ro-MD"/>
        </w:rPr>
        <w:t>ui</w:t>
      </w:r>
      <w:r w:rsidRPr="002C1A5E">
        <w:rPr>
          <w:rFonts w:asciiTheme="majorHAnsi" w:hAnsiTheme="majorHAnsi" w:cstheme="majorHAnsi"/>
          <w:sz w:val="16"/>
          <w:szCs w:val="16"/>
          <w:vertAlign w:val="baseline"/>
          <w:lang w:val="ro-MD"/>
        </w:rPr>
        <w:t xml:space="preserve"> de administrație </w:t>
      </w:r>
      <w:r>
        <w:rPr>
          <w:rFonts w:asciiTheme="majorHAnsi" w:hAnsiTheme="majorHAnsi" w:cstheme="majorHAnsi"/>
          <w:sz w:val="16"/>
          <w:szCs w:val="16"/>
          <w:vertAlign w:val="baseline"/>
          <w:lang w:val="ro-MD"/>
        </w:rPr>
        <w:t xml:space="preserve">al </w:t>
      </w:r>
      <w:r w:rsidRPr="002C1A5E">
        <w:rPr>
          <w:rFonts w:asciiTheme="majorHAnsi" w:hAnsiTheme="majorHAnsi" w:cstheme="majorHAnsi"/>
          <w:sz w:val="16"/>
          <w:szCs w:val="16"/>
          <w:vertAlign w:val="baseline"/>
          <w:lang w:val="ro-MD"/>
        </w:rPr>
        <w:t>SA Moldovagaz nr.10 din 05.10.2018 – întrebarea nr.7.</w:t>
      </w:r>
    </w:p>
  </w:footnote>
  <w:footnote w:id="139">
    <w:p w14:paraId="4164C853" w14:textId="4B358146" w:rsidR="00036D7F" w:rsidRPr="002C1A5E" w:rsidRDefault="00036D7F" w:rsidP="002A1796">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Procesul</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verbal al Consiliul</w:t>
      </w:r>
      <w:r>
        <w:rPr>
          <w:rFonts w:asciiTheme="majorHAnsi" w:hAnsiTheme="majorHAnsi" w:cstheme="majorHAnsi"/>
          <w:sz w:val="16"/>
          <w:szCs w:val="16"/>
          <w:vertAlign w:val="baseline"/>
          <w:lang w:val="ro-MD"/>
        </w:rPr>
        <w:t>ui</w:t>
      </w:r>
      <w:r w:rsidRPr="002C1A5E">
        <w:rPr>
          <w:rFonts w:asciiTheme="majorHAnsi" w:hAnsiTheme="majorHAnsi" w:cstheme="majorHAnsi"/>
          <w:sz w:val="16"/>
          <w:szCs w:val="16"/>
          <w:vertAlign w:val="baseline"/>
          <w:lang w:val="ro-MD"/>
        </w:rPr>
        <w:t xml:space="preserve"> de administrație </w:t>
      </w:r>
      <w:r>
        <w:rPr>
          <w:rFonts w:asciiTheme="majorHAnsi" w:hAnsiTheme="majorHAnsi" w:cstheme="majorHAnsi"/>
          <w:sz w:val="16"/>
          <w:szCs w:val="16"/>
          <w:vertAlign w:val="baseline"/>
          <w:lang w:val="ro-MD"/>
        </w:rPr>
        <w:t xml:space="preserve">al </w:t>
      </w:r>
      <w:r w:rsidRPr="002C1A5E">
        <w:rPr>
          <w:rFonts w:asciiTheme="majorHAnsi" w:hAnsiTheme="majorHAnsi" w:cstheme="majorHAnsi"/>
          <w:sz w:val="16"/>
          <w:szCs w:val="16"/>
          <w:vertAlign w:val="baseline"/>
          <w:lang w:val="ro-MD"/>
        </w:rPr>
        <w:t>SA Moldovagaz nr.12 din 30.10.2018 – întrebarea nr.3 și</w:t>
      </w:r>
      <w:r>
        <w:rPr>
          <w:rFonts w:asciiTheme="majorHAnsi" w:hAnsiTheme="majorHAnsi" w:cstheme="majorHAnsi"/>
          <w:sz w:val="16"/>
          <w:szCs w:val="16"/>
          <w:vertAlign w:val="baseline"/>
          <w:lang w:val="ro-MD"/>
        </w:rPr>
        <w:t xml:space="preserve"> nr.</w:t>
      </w:r>
      <w:r w:rsidRPr="002C1A5E">
        <w:rPr>
          <w:rFonts w:asciiTheme="majorHAnsi" w:hAnsiTheme="majorHAnsi" w:cstheme="majorHAnsi"/>
          <w:sz w:val="16"/>
          <w:szCs w:val="16"/>
          <w:vertAlign w:val="baseline"/>
          <w:lang w:val="ro-MD"/>
        </w:rPr>
        <w:t>4.</w:t>
      </w:r>
    </w:p>
  </w:footnote>
  <w:footnote w:id="140">
    <w:p w14:paraId="2CCD85C4" w14:textId="705A1B2F" w:rsidR="00036D7F" w:rsidRPr="002C1A5E" w:rsidRDefault="00036D7F" w:rsidP="002A1796">
      <w:pPr>
        <w:pStyle w:val="FootnoteText"/>
        <w:jc w:val="both"/>
        <w:rPr>
          <w:rFonts w:asciiTheme="majorHAnsi" w:hAnsiTheme="majorHAnsi" w:cstheme="majorHAnsi"/>
          <w:sz w:val="16"/>
          <w:szCs w:val="16"/>
          <w:vertAlign w:val="baseline"/>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Contractul de vânzare</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cumpărare nr.12187 din 17.12.2018 cu privire la vânzarea clădirii de tip oficii (nr. cadastral 0100419.091.01, cu suprafața totală de 13.459,3 m</w:t>
      </w:r>
      <w:r w:rsidRPr="002C1A5E">
        <w:rPr>
          <w:rFonts w:asciiTheme="majorHAnsi" w:hAnsiTheme="majorHAnsi" w:cstheme="majorHAnsi"/>
          <w:sz w:val="16"/>
          <w:szCs w:val="16"/>
          <w:lang w:val="ro-MD"/>
        </w:rPr>
        <w:t>2</w:t>
      </w:r>
      <w:r w:rsidRPr="002C1A5E">
        <w:rPr>
          <w:rFonts w:asciiTheme="majorHAnsi" w:hAnsiTheme="majorHAnsi" w:cstheme="majorHAnsi"/>
          <w:sz w:val="16"/>
          <w:szCs w:val="16"/>
          <w:vertAlign w:val="baseline"/>
          <w:lang w:val="ro-MD"/>
        </w:rPr>
        <w:t xml:space="preserve"> situată în mun. Chișinău, str. Pușkin 64) cu achitarea acesteia, în rate, într-un termen de 35 ani, la prețul de 544.917.920,0 lei.</w:t>
      </w:r>
    </w:p>
  </w:footnote>
  <w:footnote w:id="141">
    <w:p w14:paraId="6391718A" w14:textId="4BD1DC73" w:rsidR="00036D7F" w:rsidRPr="002C1A5E" w:rsidRDefault="00036D7F" w:rsidP="002A1796">
      <w:pPr>
        <w:spacing w:after="0"/>
        <w:jc w:val="both"/>
        <w:rPr>
          <w:rFonts w:asciiTheme="majorHAnsi" w:hAnsiTheme="majorHAnsi" w:cstheme="majorHAnsi"/>
          <w:color w:val="FF0000"/>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Contractul de ipotecă nr.12188 din 17.12.2018 </w:t>
      </w:r>
      <w:r>
        <w:rPr>
          <w:rFonts w:asciiTheme="majorHAnsi" w:hAnsiTheme="majorHAnsi" w:cstheme="majorHAnsi"/>
          <w:sz w:val="16"/>
          <w:szCs w:val="16"/>
          <w:lang w:val="ro-MD"/>
        </w:rPr>
        <w:t>a</w:t>
      </w:r>
      <w:r w:rsidRPr="002C1A5E">
        <w:rPr>
          <w:rFonts w:asciiTheme="majorHAnsi" w:hAnsiTheme="majorHAnsi" w:cstheme="majorHAnsi"/>
          <w:sz w:val="16"/>
          <w:szCs w:val="16"/>
          <w:lang w:val="ro-MD"/>
        </w:rPr>
        <w:t xml:space="preserve"> clădir</w:t>
      </w:r>
      <w:r>
        <w:rPr>
          <w:rFonts w:asciiTheme="majorHAnsi" w:hAnsiTheme="majorHAnsi" w:cstheme="majorHAnsi"/>
          <w:sz w:val="16"/>
          <w:szCs w:val="16"/>
          <w:lang w:val="ro-MD"/>
        </w:rPr>
        <w:t>ii</w:t>
      </w:r>
      <w:r w:rsidRPr="002C1A5E">
        <w:rPr>
          <w:rFonts w:asciiTheme="majorHAnsi" w:hAnsiTheme="majorHAnsi" w:cstheme="majorHAnsi"/>
          <w:sz w:val="16"/>
          <w:szCs w:val="16"/>
          <w:lang w:val="ro-MD"/>
        </w:rPr>
        <w:t xml:space="preserve"> pentru oficii din mun. Chișinău, str. Pușkin 64 </w:t>
      </w:r>
      <w:r>
        <w:rPr>
          <w:rFonts w:asciiTheme="majorHAnsi" w:hAnsiTheme="majorHAnsi" w:cstheme="majorHAnsi"/>
          <w:sz w:val="16"/>
          <w:szCs w:val="16"/>
          <w:lang w:val="ro-MD"/>
        </w:rPr>
        <w:t xml:space="preserve">în sumă </w:t>
      </w:r>
      <w:r w:rsidRPr="002C1A5E">
        <w:rPr>
          <w:rFonts w:asciiTheme="majorHAnsi" w:hAnsiTheme="majorHAnsi" w:cstheme="majorHAnsi"/>
          <w:sz w:val="16"/>
          <w:szCs w:val="16"/>
          <w:lang w:val="ro-MD"/>
        </w:rPr>
        <w:t>de 544.917.920,0 lei.</w:t>
      </w:r>
    </w:p>
  </w:footnote>
  <w:footnote w:id="142">
    <w:p w14:paraId="19D0B601" w14:textId="77777777" w:rsidR="00036D7F" w:rsidRPr="002C1A5E" w:rsidRDefault="00036D7F" w:rsidP="004B1622">
      <w:pPr>
        <w:pStyle w:val="FootnoteText"/>
        <w:jc w:val="both"/>
        <w:rPr>
          <w:rFonts w:asciiTheme="majorHAnsi" w:hAnsiTheme="majorHAnsi" w:cstheme="majorHAnsi"/>
          <w:sz w:val="16"/>
          <w:szCs w:val="16"/>
          <w:vertAlign w:val="baseline"/>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Contractul de locațiune nr.134 din 17.12.2018 cu privire la închirierea a 8</w:t>
      </w:r>
      <w:r>
        <w:rPr>
          <w:rFonts w:asciiTheme="majorHAnsi" w:hAnsiTheme="majorHAnsi" w:cstheme="majorHAnsi"/>
          <w:sz w:val="16"/>
          <w:szCs w:val="16"/>
          <w:vertAlign w:val="baseline"/>
          <w:lang w:val="ro-MD"/>
        </w:rPr>
        <w:t>.</w:t>
      </w:r>
      <w:r w:rsidRPr="002C1A5E">
        <w:rPr>
          <w:rFonts w:asciiTheme="majorHAnsi" w:hAnsiTheme="majorHAnsi" w:cstheme="majorHAnsi"/>
          <w:sz w:val="16"/>
          <w:szCs w:val="16"/>
          <w:vertAlign w:val="baseline"/>
          <w:lang w:val="ro-MD"/>
        </w:rPr>
        <w:t>559,4 m</w:t>
      </w:r>
      <w:r w:rsidRPr="002C1A5E">
        <w:rPr>
          <w:rFonts w:asciiTheme="majorHAnsi" w:hAnsiTheme="majorHAnsi" w:cstheme="majorHAnsi"/>
          <w:sz w:val="16"/>
          <w:szCs w:val="16"/>
          <w:lang w:val="ro-MD"/>
        </w:rPr>
        <w:t>2</w:t>
      </w:r>
      <w:r w:rsidRPr="002C1A5E">
        <w:rPr>
          <w:rFonts w:asciiTheme="majorHAnsi" w:hAnsiTheme="majorHAnsi" w:cstheme="majorHAnsi"/>
          <w:sz w:val="16"/>
          <w:szCs w:val="16"/>
          <w:vertAlign w:val="baseline"/>
          <w:lang w:val="ro-MD"/>
        </w:rPr>
        <w:t xml:space="preserve"> în clădirea pentru oficii din mun. Chișinău, str. Pușkin 64.</w:t>
      </w:r>
    </w:p>
  </w:footnote>
  <w:footnote w:id="143">
    <w:p w14:paraId="5DBDA3F5" w14:textId="52C07282" w:rsidR="00036D7F" w:rsidRPr="002C1A5E" w:rsidRDefault="00036D7F" w:rsidP="002A1796">
      <w:pPr>
        <w:pStyle w:val="FootnoteText"/>
        <w:jc w:val="both"/>
        <w:rPr>
          <w:rFonts w:asciiTheme="majorHAnsi" w:hAnsiTheme="majorHAnsi" w:cstheme="majorHAnsi"/>
          <w:sz w:val="16"/>
          <w:szCs w:val="16"/>
          <w:lang w:val="ro-MD"/>
        </w:rPr>
      </w:pPr>
      <w:r w:rsidRPr="002C1A5E">
        <w:rPr>
          <w:rStyle w:val="FootnoteReference"/>
          <w:rFonts w:asciiTheme="majorHAnsi" w:hAnsiTheme="majorHAnsi" w:cstheme="majorHAnsi"/>
          <w:sz w:val="16"/>
          <w:szCs w:val="16"/>
          <w:lang w:val="ro-MD"/>
        </w:rPr>
        <w:footnoteRef/>
      </w:r>
      <w:r w:rsidRPr="002C1A5E">
        <w:rPr>
          <w:rFonts w:asciiTheme="majorHAnsi" w:hAnsiTheme="majorHAnsi" w:cstheme="majorHAnsi"/>
          <w:sz w:val="16"/>
          <w:szCs w:val="16"/>
          <w:lang w:val="ro-MD"/>
        </w:rPr>
        <w:t xml:space="preserve"> </w:t>
      </w:r>
      <w:r w:rsidRPr="002C1A5E">
        <w:rPr>
          <w:rFonts w:asciiTheme="majorHAnsi" w:hAnsiTheme="majorHAnsi" w:cstheme="majorHAnsi"/>
          <w:sz w:val="16"/>
          <w:szCs w:val="16"/>
          <w:vertAlign w:val="baseline"/>
          <w:lang w:val="ro-MD"/>
        </w:rPr>
        <w:t xml:space="preserve">Soldul creanței pe termen lung a SRL Flacăra </w:t>
      </w:r>
      <w:r>
        <w:rPr>
          <w:rFonts w:asciiTheme="majorHAnsi" w:hAnsiTheme="majorHAnsi" w:cstheme="majorHAnsi"/>
          <w:sz w:val="16"/>
          <w:szCs w:val="16"/>
          <w:vertAlign w:val="baseline"/>
          <w:lang w:val="ro-MD"/>
        </w:rPr>
        <w:t>A</w:t>
      </w:r>
      <w:r w:rsidRPr="002C1A5E">
        <w:rPr>
          <w:rFonts w:asciiTheme="majorHAnsi" w:hAnsiTheme="majorHAnsi" w:cstheme="majorHAnsi"/>
          <w:sz w:val="16"/>
          <w:szCs w:val="16"/>
          <w:vertAlign w:val="baseline"/>
          <w:lang w:val="ro-MD"/>
        </w:rPr>
        <w:t>lbastră la sfârșitul anului 2021 a constituit 482.641,6 mii lei.</w:t>
      </w:r>
    </w:p>
  </w:footnote>
  <w:footnote w:id="144">
    <w:p w14:paraId="4A8E8800" w14:textId="77777777" w:rsidR="00036D7F" w:rsidRPr="002B0FA0" w:rsidRDefault="00036D7F" w:rsidP="003F4BE1">
      <w:pPr>
        <w:pStyle w:val="FootnoteText"/>
        <w:rPr>
          <w:rFonts w:asciiTheme="majorHAnsi" w:hAnsiTheme="majorHAnsi" w:cstheme="majorHAnsi"/>
          <w:sz w:val="16"/>
          <w:szCs w:val="16"/>
          <w:vertAlign w:val="baseline"/>
        </w:rPr>
      </w:pPr>
      <w:r w:rsidRPr="002B0FA0">
        <w:rPr>
          <w:rStyle w:val="FootnoteReference"/>
          <w:rFonts w:asciiTheme="majorHAnsi" w:hAnsiTheme="majorHAnsi" w:cstheme="majorHAnsi"/>
          <w:sz w:val="16"/>
          <w:szCs w:val="16"/>
        </w:rPr>
        <w:footnoteRef/>
      </w:r>
      <w:r w:rsidRPr="002B0FA0">
        <w:rPr>
          <w:rFonts w:asciiTheme="majorHAnsi" w:hAnsiTheme="majorHAnsi" w:cstheme="majorHAnsi"/>
          <w:sz w:val="16"/>
          <w:szCs w:val="16"/>
          <w:vertAlign w:val="baseline"/>
        </w:rPr>
        <w:t xml:space="preserve"> 2019 – 2,5 mii lei, 2020 – 52,9 mii lei, și 2021 – 192,2 mii lei</w:t>
      </w:r>
    </w:p>
  </w:footnote>
  <w:footnote w:id="145">
    <w:p w14:paraId="7CF3FA47" w14:textId="4F462414" w:rsidR="00036D7F" w:rsidRPr="007054F5" w:rsidRDefault="00036D7F" w:rsidP="009A6D85">
      <w:pPr>
        <w:pStyle w:val="FootnoteText"/>
        <w:jc w:val="both"/>
        <w:rPr>
          <w:rFonts w:asciiTheme="majorHAnsi" w:hAnsiTheme="majorHAnsi" w:cstheme="majorHAnsi"/>
          <w:sz w:val="16"/>
          <w:szCs w:val="16"/>
          <w:lang w:val="ro-MD"/>
        </w:rPr>
      </w:pPr>
      <w:r w:rsidRPr="007054F5">
        <w:rPr>
          <w:rStyle w:val="FootnoteReference"/>
          <w:rFonts w:asciiTheme="majorHAnsi" w:hAnsiTheme="majorHAnsi" w:cstheme="majorHAnsi"/>
          <w:sz w:val="16"/>
          <w:szCs w:val="16"/>
          <w:lang w:val="ro-MD"/>
        </w:rPr>
        <w:footnoteRef/>
      </w:r>
      <w:r w:rsidRPr="007054F5">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N</w:t>
      </w:r>
      <w:r w:rsidRPr="007054F5">
        <w:rPr>
          <w:rFonts w:asciiTheme="majorHAnsi" w:hAnsiTheme="majorHAnsi" w:cstheme="majorHAnsi"/>
          <w:sz w:val="16"/>
          <w:szCs w:val="16"/>
          <w:vertAlign w:val="baseline"/>
          <w:lang w:val="ro-MD"/>
        </w:rPr>
        <w:t>ormel</w:t>
      </w:r>
      <w:r>
        <w:rPr>
          <w:rFonts w:asciiTheme="majorHAnsi" w:hAnsiTheme="majorHAnsi" w:cstheme="majorHAnsi"/>
          <w:sz w:val="16"/>
          <w:szCs w:val="16"/>
          <w:vertAlign w:val="baseline"/>
          <w:lang w:val="ro-MD"/>
        </w:rPr>
        <w:t>e</w:t>
      </w:r>
      <w:r w:rsidRPr="007054F5">
        <w:rPr>
          <w:rFonts w:asciiTheme="majorHAnsi" w:hAnsiTheme="majorHAnsi" w:cstheme="majorHAnsi"/>
          <w:sz w:val="16"/>
          <w:szCs w:val="16"/>
          <w:vertAlign w:val="baseline"/>
          <w:lang w:val="ro-MD"/>
        </w:rPr>
        <w:t xml:space="preserve"> stabilite în Informația ANRE nr.04-01/33/69/64 din 07.10.2022 și H</w:t>
      </w:r>
      <w:r>
        <w:rPr>
          <w:rFonts w:asciiTheme="majorHAnsi" w:hAnsiTheme="majorHAnsi" w:cstheme="majorHAnsi"/>
          <w:sz w:val="16"/>
          <w:szCs w:val="16"/>
          <w:vertAlign w:val="baseline"/>
          <w:lang w:val="ro-MD"/>
        </w:rPr>
        <w:t>G</w:t>
      </w:r>
      <w:r w:rsidRPr="007054F5">
        <w:rPr>
          <w:rFonts w:asciiTheme="majorHAnsi" w:hAnsiTheme="majorHAnsi" w:cstheme="majorHAnsi"/>
          <w:sz w:val="16"/>
          <w:szCs w:val="16"/>
          <w:vertAlign w:val="baseline"/>
          <w:lang w:val="ro-MD"/>
        </w:rPr>
        <w:t xml:space="preserve"> nr.819 din 01.07.2016 </w:t>
      </w:r>
      <w:r>
        <w:rPr>
          <w:rFonts w:asciiTheme="majorHAnsi" w:hAnsiTheme="majorHAnsi" w:cstheme="majorHAnsi"/>
          <w:sz w:val="16"/>
          <w:szCs w:val="16"/>
          <w:vertAlign w:val="baseline"/>
          <w:lang w:val="ro-MD"/>
        </w:rPr>
        <w:t>„C</w:t>
      </w:r>
      <w:r w:rsidRPr="007054F5">
        <w:rPr>
          <w:rFonts w:asciiTheme="majorHAnsi" w:hAnsiTheme="majorHAnsi" w:cstheme="majorHAnsi"/>
          <w:sz w:val="16"/>
          <w:szCs w:val="16"/>
          <w:vertAlign w:val="baseline"/>
          <w:lang w:val="ro-MD"/>
        </w:rPr>
        <w:t>u privire la cerințele minime de securitate și sănătate în muncă pentru lucrul la monitor</w:t>
      </w:r>
      <w:r>
        <w:rPr>
          <w:rFonts w:asciiTheme="majorHAnsi" w:hAnsiTheme="majorHAnsi" w:cstheme="majorHAnsi"/>
          <w:sz w:val="16"/>
          <w:szCs w:val="16"/>
          <w:vertAlign w:val="baseline"/>
          <w:lang w:val="ro-MD"/>
        </w:rPr>
        <w:t>”</w:t>
      </w:r>
      <w:r w:rsidRPr="007054F5">
        <w:rPr>
          <w:rFonts w:asciiTheme="majorHAnsi" w:hAnsiTheme="majorHAnsi" w:cstheme="majorHAnsi"/>
          <w:sz w:val="16"/>
          <w:szCs w:val="16"/>
          <w:vertAlign w:val="baseline"/>
          <w:lang w:val="ro-MD"/>
        </w:rPr>
        <w:t xml:space="preserve"> – 6</w:t>
      </w:r>
      <w:r>
        <w:rPr>
          <w:rFonts w:asciiTheme="majorHAnsi" w:hAnsiTheme="majorHAnsi" w:cstheme="majorHAnsi"/>
          <w:sz w:val="16"/>
          <w:szCs w:val="16"/>
          <w:vertAlign w:val="baseline"/>
          <w:lang w:val="ro-MD"/>
        </w:rPr>
        <w:t xml:space="preserve"> </w:t>
      </w:r>
      <w:r w:rsidRPr="007054F5">
        <w:rPr>
          <w:rFonts w:asciiTheme="majorHAnsi" w:hAnsiTheme="majorHAnsi" w:cstheme="majorHAnsi"/>
          <w:sz w:val="16"/>
          <w:szCs w:val="16"/>
          <w:vertAlign w:val="baseline"/>
          <w:lang w:val="ro-MD"/>
        </w:rPr>
        <w:t>m</w:t>
      </w:r>
      <w:r w:rsidRPr="007054F5">
        <w:rPr>
          <w:rFonts w:asciiTheme="majorHAnsi" w:hAnsiTheme="majorHAnsi" w:cstheme="majorHAnsi"/>
          <w:sz w:val="16"/>
          <w:szCs w:val="16"/>
          <w:lang w:val="ro-MD"/>
        </w:rPr>
        <w:t>2</w:t>
      </w:r>
      <w:r w:rsidRPr="007054F5">
        <w:rPr>
          <w:rFonts w:asciiTheme="majorHAnsi" w:hAnsiTheme="majorHAnsi" w:cstheme="majorHAnsi"/>
          <w:sz w:val="16"/>
          <w:szCs w:val="16"/>
          <w:vertAlign w:val="baseline"/>
          <w:lang w:val="ro-MD"/>
        </w:rPr>
        <w:t xml:space="preserve"> per angajat + 20% spații comune.</w:t>
      </w:r>
    </w:p>
  </w:footnote>
  <w:footnote w:id="146">
    <w:p w14:paraId="5D7994B5" w14:textId="62403514" w:rsidR="00036D7F" w:rsidRPr="002B0FA0" w:rsidRDefault="00036D7F" w:rsidP="0058764C">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Pr>
          <w:rFonts w:asciiTheme="majorHAnsi" w:eastAsia="Times New Roman" w:hAnsiTheme="majorHAnsi" w:cstheme="majorHAnsi"/>
          <w:spacing w:val="-6"/>
          <w:sz w:val="16"/>
          <w:szCs w:val="16"/>
          <w:vertAlign w:val="baseline"/>
          <w:lang w:val="ro-MD" w:eastAsia="ro-RO"/>
        </w:rPr>
        <w:t>S</w:t>
      </w:r>
      <w:r w:rsidRPr="002B0FA0">
        <w:rPr>
          <w:rFonts w:asciiTheme="majorHAnsi" w:eastAsia="Times New Roman" w:hAnsiTheme="majorHAnsi" w:cstheme="majorHAnsi"/>
          <w:spacing w:val="-6"/>
          <w:sz w:val="16"/>
          <w:szCs w:val="16"/>
          <w:vertAlign w:val="baseline"/>
          <w:lang w:val="ro-MD" w:eastAsia="ro-RO"/>
        </w:rPr>
        <w:t xml:space="preserve">istemul de încălzire </w:t>
      </w:r>
      <w:r>
        <w:rPr>
          <w:rFonts w:asciiTheme="majorHAnsi" w:eastAsia="Times New Roman" w:hAnsiTheme="majorHAnsi" w:cstheme="majorHAnsi"/>
          <w:spacing w:val="-6"/>
          <w:sz w:val="16"/>
          <w:szCs w:val="16"/>
          <w:vertAlign w:val="baseline"/>
          <w:lang w:val="ro-MD" w:eastAsia="ro-RO"/>
        </w:rPr>
        <w:t>–</w:t>
      </w:r>
      <w:r w:rsidRPr="002B0FA0">
        <w:rPr>
          <w:rFonts w:asciiTheme="majorHAnsi" w:eastAsia="Times New Roman" w:hAnsiTheme="majorHAnsi" w:cstheme="majorHAnsi"/>
          <w:spacing w:val="-6"/>
          <w:sz w:val="16"/>
          <w:szCs w:val="16"/>
          <w:vertAlign w:val="baseline"/>
          <w:lang w:val="ro-MD" w:eastAsia="ro-RO"/>
        </w:rPr>
        <w:t xml:space="preserve"> 153,25 mii lei; lucrări de gazificare a cazangeriei, contor de gaz </w:t>
      </w:r>
      <w:r>
        <w:rPr>
          <w:rFonts w:asciiTheme="majorHAnsi" w:eastAsia="Times New Roman" w:hAnsiTheme="majorHAnsi" w:cstheme="majorHAnsi"/>
          <w:spacing w:val="-6"/>
          <w:sz w:val="16"/>
          <w:szCs w:val="16"/>
          <w:vertAlign w:val="baseline"/>
          <w:lang w:val="ro-MD" w:eastAsia="ro-RO"/>
        </w:rPr>
        <w:t>–</w:t>
      </w:r>
      <w:r w:rsidRPr="002B0FA0">
        <w:rPr>
          <w:rFonts w:asciiTheme="majorHAnsi" w:eastAsia="Times New Roman" w:hAnsiTheme="majorHAnsi" w:cstheme="majorHAnsi"/>
          <w:spacing w:val="-6"/>
          <w:sz w:val="16"/>
          <w:szCs w:val="16"/>
          <w:vertAlign w:val="baseline"/>
          <w:lang w:val="ro-MD" w:eastAsia="ro-RO"/>
        </w:rPr>
        <w:t xml:space="preserve"> 80,51 mii lei, dulapuri din metal pentru vestiar </w:t>
      </w:r>
      <w:r>
        <w:rPr>
          <w:rFonts w:asciiTheme="majorHAnsi" w:eastAsia="Times New Roman" w:hAnsiTheme="majorHAnsi" w:cstheme="majorHAnsi"/>
          <w:spacing w:val="-6"/>
          <w:sz w:val="16"/>
          <w:szCs w:val="16"/>
          <w:vertAlign w:val="baseline"/>
          <w:lang w:val="ro-MD" w:eastAsia="ro-RO"/>
        </w:rPr>
        <w:t>–</w:t>
      </w:r>
      <w:r w:rsidRPr="002B0FA0">
        <w:rPr>
          <w:rFonts w:asciiTheme="majorHAnsi" w:eastAsia="Times New Roman" w:hAnsiTheme="majorHAnsi" w:cstheme="majorHAnsi"/>
          <w:spacing w:val="-6"/>
          <w:sz w:val="16"/>
          <w:szCs w:val="16"/>
          <w:vertAlign w:val="baseline"/>
          <w:lang w:val="ro-MD" w:eastAsia="ro-RO"/>
        </w:rPr>
        <w:t xml:space="preserve"> 236,29 mii lei.</w:t>
      </w:r>
    </w:p>
  </w:footnote>
  <w:footnote w:id="147">
    <w:p w14:paraId="1C4AD739" w14:textId="544130BB" w:rsidR="00036D7F" w:rsidRPr="002B0FA0" w:rsidRDefault="00036D7F" w:rsidP="0058764C">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Contract</w:t>
      </w:r>
      <w:r>
        <w:rPr>
          <w:rFonts w:asciiTheme="majorHAnsi" w:hAnsiTheme="majorHAnsi" w:cstheme="majorHAnsi"/>
          <w:sz w:val="16"/>
          <w:szCs w:val="16"/>
          <w:vertAlign w:val="baseline"/>
          <w:lang w:val="ro-MD"/>
        </w:rPr>
        <w:t>ul</w:t>
      </w:r>
      <w:r w:rsidRPr="002B0FA0">
        <w:rPr>
          <w:rFonts w:asciiTheme="majorHAnsi" w:hAnsiTheme="majorHAnsi" w:cstheme="majorHAnsi"/>
          <w:sz w:val="16"/>
          <w:szCs w:val="16"/>
          <w:vertAlign w:val="baseline"/>
          <w:lang w:val="ro-MD"/>
        </w:rPr>
        <w:t xml:space="preserve"> de sublocațiune nr. 240 din 10.12.2020.</w:t>
      </w:r>
    </w:p>
  </w:footnote>
  <w:footnote w:id="148">
    <w:p w14:paraId="683BA7EE" w14:textId="77777777" w:rsidR="00036D7F" w:rsidRPr="002B0FA0" w:rsidRDefault="00036D7F" w:rsidP="00FF1720">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vertAlign w:val="baseline"/>
          <w:lang w:val="ro-MD"/>
        </w:rPr>
        <w:t xml:space="preserve"> Acord</w:t>
      </w:r>
      <w:r>
        <w:rPr>
          <w:rFonts w:asciiTheme="majorHAnsi" w:hAnsiTheme="majorHAnsi" w:cstheme="majorHAnsi"/>
          <w:sz w:val="16"/>
          <w:szCs w:val="16"/>
          <w:vertAlign w:val="baseline"/>
          <w:lang w:val="ro-MD"/>
        </w:rPr>
        <w:t>ul</w:t>
      </w:r>
      <w:r w:rsidRPr="002B0FA0">
        <w:rPr>
          <w:rFonts w:asciiTheme="majorHAnsi" w:hAnsiTheme="majorHAnsi" w:cstheme="majorHAnsi"/>
          <w:sz w:val="16"/>
          <w:szCs w:val="16"/>
          <w:vertAlign w:val="baseline"/>
          <w:lang w:val="ro-MD"/>
        </w:rPr>
        <w:t xml:space="preserve"> adițional </w:t>
      </w:r>
      <w:r w:rsidRPr="002B0FA0">
        <w:rPr>
          <w:rStyle w:val="20"/>
          <w:rFonts w:asciiTheme="majorHAnsi" w:hAnsiTheme="majorHAnsi" w:cstheme="majorHAnsi"/>
          <w:color w:val="000000"/>
          <w:sz w:val="16"/>
          <w:szCs w:val="16"/>
          <w:vertAlign w:val="baseline"/>
          <w:lang w:val="ro-MD" w:eastAsia="ro-RO"/>
        </w:rPr>
        <w:t xml:space="preserve">nr. 1 din 20.04.2021 la contractul de sublocațiune nr. 240 din 10.12.2020.  </w:t>
      </w:r>
    </w:p>
  </w:footnote>
  <w:footnote w:id="149">
    <w:p w14:paraId="78F617D2" w14:textId="01B2BF35" w:rsidR="00036D7F" w:rsidRPr="002B0FA0" w:rsidRDefault="00036D7F" w:rsidP="0058764C">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Contract</w:t>
      </w:r>
      <w:r>
        <w:rPr>
          <w:rFonts w:asciiTheme="majorHAnsi" w:hAnsiTheme="majorHAnsi" w:cstheme="majorHAnsi"/>
          <w:sz w:val="16"/>
          <w:szCs w:val="16"/>
          <w:vertAlign w:val="baseline"/>
          <w:lang w:val="ro-MD"/>
        </w:rPr>
        <w:t>ul</w:t>
      </w:r>
      <w:r w:rsidRPr="002B0FA0">
        <w:rPr>
          <w:rFonts w:asciiTheme="majorHAnsi" w:hAnsiTheme="majorHAnsi" w:cstheme="majorHAnsi"/>
          <w:sz w:val="16"/>
          <w:szCs w:val="16"/>
          <w:vertAlign w:val="baseline"/>
          <w:lang w:val="ro-MD"/>
        </w:rPr>
        <w:t xml:space="preserve"> de locațiune nr. 11/2020 din 03.11.2020 și acordul adițional nr. 2 din 03.01.2022.</w:t>
      </w:r>
    </w:p>
  </w:footnote>
  <w:footnote w:id="150">
    <w:p w14:paraId="4FD30D47" w14:textId="3592C001" w:rsidR="00036D7F" w:rsidRPr="002B0FA0" w:rsidRDefault="00036D7F" w:rsidP="002A1796">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Contract</w:t>
      </w:r>
      <w:r>
        <w:rPr>
          <w:rFonts w:asciiTheme="majorHAnsi" w:hAnsiTheme="majorHAnsi" w:cstheme="majorHAnsi"/>
          <w:sz w:val="16"/>
          <w:szCs w:val="16"/>
          <w:vertAlign w:val="baseline"/>
          <w:lang w:val="ro-MD"/>
        </w:rPr>
        <w:t>ul</w:t>
      </w:r>
      <w:r w:rsidRPr="002B0FA0">
        <w:rPr>
          <w:rFonts w:asciiTheme="majorHAnsi" w:hAnsiTheme="majorHAnsi" w:cstheme="majorHAnsi"/>
          <w:sz w:val="16"/>
          <w:szCs w:val="16"/>
          <w:vertAlign w:val="baseline"/>
          <w:lang w:val="ro-MD"/>
        </w:rPr>
        <w:t xml:space="preserve"> de tipar al bonurilor de plată nr.I-MG-2016 din 01.05.2016, Contract</w:t>
      </w:r>
      <w:r>
        <w:rPr>
          <w:rFonts w:asciiTheme="majorHAnsi" w:hAnsiTheme="majorHAnsi" w:cstheme="majorHAnsi"/>
          <w:sz w:val="16"/>
          <w:szCs w:val="16"/>
          <w:vertAlign w:val="baseline"/>
          <w:lang w:val="ro-MD"/>
        </w:rPr>
        <w:t>ul</w:t>
      </w:r>
      <w:r w:rsidRPr="002B0FA0">
        <w:rPr>
          <w:rFonts w:asciiTheme="majorHAnsi" w:hAnsiTheme="majorHAnsi" w:cstheme="majorHAnsi"/>
          <w:sz w:val="16"/>
          <w:szCs w:val="16"/>
          <w:vertAlign w:val="baseline"/>
          <w:lang w:val="ro-MD"/>
        </w:rPr>
        <w:t xml:space="preserve"> de prestare </w:t>
      </w:r>
      <w:r>
        <w:rPr>
          <w:rFonts w:asciiTheme="majorHAnsi" w:hAnsiTheme="majorHAnsi" w:cstheme="majorHAnsi"/>
          <w:sz w:val="16"/>
          <w:szCs w:val="16"/>
          <w:vertAlign w:val="baseline"/>
          <w:lang w:val="ro-MD"/>
        </w:rPr>
        <w:t xml:space="preserve">a </w:t>
      </w:r>
      <w:r w:rsidRPr="002B0FA0">
        <w:rPr>
          <w:rFonts w:asciiTheme="majorHAnsi" w:hAnsiTheme="majorHAnsi" w:cstheme="majorHAnsi"/>
          <w:sz w:val="16"/>
          <w:szCs w:val="16"/>
          <w:vertAlign w:val="baseline"/>
          <w:lang w:val="ro-MD"/>
        </w:rPr>
        <w:t>servicii</w:t>
      </w:r>
      <w:r>
        <w:rPr>
          <w:rFonts w:asciiTheme="majorHAnsi" w:hAnsiTheme="majorHAnsi" w:cstheme="majorHAnsi"/>
          <w:sz w:val="16"/>
          <w:szCs w:val="16"/>
          <w:vertAlign w:val="baseline"/>
          <w:lang w:val="ro-MD"/>
        </w:rPr>
        <w:t>lor</w:t>
      </w:r>
      <w:r w:rsidRPr="002B0FA0">
        <w:rPr>
          <w:rFonts w:asciiTheme="majorHAnsi" w:hAnsiTheme="majorHAnsi" w:cstheme="majorHAnsi"/>
          <w:sz w:val="16"/>
          <w:szCs w:val="16"/>
          <w:vertAlign w:val="baseline"/>
          <w:lang w:val="ro-MD"/>
        </w:rPr>
        <w:t xml:space="preserve"> de tipar al bonurilor de plată nr.23/01/4/19 din 04.03.2019 și Contract</w:t>
      </w:r>
      <w:r>
        <w:rPr>
          <w:rFonts w:asciiTheme="majorHAnsi" w:hAnsiTheme="majorHAnsi" w:cstheme="majorHAnsi"/>
          <w:sz w:val="16"/>
          <w:szCs w:val="16"/>
          <w:vertAlign w:val="baseline"/>
          <w:lang w:val="ro-MD"/>
        </w:rPr>
        <w:t>ul</w:t>
      </w:r>
      <w:r w:rsidRPr="002B0FA0">
        <w:rPr>
          <w:rFonts w:asciiTheme="majorHAnsi" w:hAnsiTheme="majorHAnsi" w:cstheme="majorHAnsi"/>
          <w:sz w:val="16"/>
          <w:szCs w:val="16"/>
          <w:vertAlign w:val="baseline"/>
          <w:lang w:val="ro-MD"/>
        </w:rPr>
        <w:t xml:space="preserve"> de prestare </w:t>
      </w:r>
      <w:r>
        <w:rPr>
          <w:rFonts w:asciiTheme="majorHAnsi" w:hAnsiTheme="majorHAnsi" w:cstheme="majorHAnsi"/>
          <w:sz w:val="16"/>
          <w:szCs w:val="16"/>
          <w:vertAlign w:val="baseline"/>
          <w:lang w:val="ro-MD"/>
        </w:rPr>
        <w:t xml:space="preserve">a </w:t>
      </w:r>
      <w:r w:rsidRPr="002B0FA0">
        <w:rPr>
          <w:rFonts w:asciiTheme="majorHAnsi" w:hAnsiTheme="majorHAnsi" w:cstheme="majorHAnsi"/>
          <w:sz w:val="16"/>
          <w:szCs w:val="16"/>
          <w:vertAlign w:val="baseline"/>
          <w:lang w:val="ro-MD"/>
        </w:rPr>
        <w:t>servicii</w:t>
      </w:r>
      <w:r>
        <w:rPr>
          <w:rFonts w:asciiTheme="majorHAnsi" w:hAnsiTheme="majorHAnsi" w:cstheme="majorHAnsi"/>
          <w:sz w:val="16"/>
          <w:szCs w:val="16"/>
          <w:vertAlign w:val="baseline"/>
          <w:lang w:val="ro-MD"/>
        </w:rPr>
        <w:t>lor</w:t>
      </w:r>
      <w:r w:rsidRPr="002B0FA0">
        <w:rPr>
          <w:rFonts w:asciiTheme="majorHAnsi" w:hAnsiTheme="majorHAnsi" w:cstheme="majorHAnsi"/>
          <w:sz w:val="16"/>
          <w:szCs w:val="16"/>
          <w:vertAlign w:val="baseline"/>
          <w:lang w:val="ro-MD"/>
        </w:rPr>
        <w:t xml:space="preserve"> de tipar al bonurilor de plată nr.43/01/4/2020 din 02.07.2020.</w:t>
      </w:r>
    </w:p>
  </w:footnote>
  <w:footnote w:id="151">
    <w:p w14:paraId="6EB13ECC" w14:textId="77777777" w:rsidR="00036D7F" w:rsidRPr="002B0FA0" w:rsidRDefault="00036D7F" w:rsidP="002A1796">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Pct.2.1 din anunțurile de achiziție a serviciilor de tipărire a facturilor pentru gazele consumate.</w:t>
      </w:r>
    </w:p>
  </w:footnote>
  <w:footnote w:id="152">
    <w:p w14:paraId="08A68C0A" w14:textId="77777777" w:rsidR="00036D7F" w:rsidRPr="002B0FA0" w:rsidRDefault="00036D7F" w:rsidP="007C52F0">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Genu</w:t>
      </w:r>
      <w:r>
        <w:rPr>
          <w:rFonts w:asciiTheme="majorHAnsi" w:hAnsiTheme="majorHAnsi" w:cstheme="majorHAnsi"/>
          <w:sz w:val="16"/>
          <w:szCs w:val="16"/>
          <w:vertAlign w:val="baseline"/>
          <w:lang w:val="ro-MD"/>
        </w:rPr>
        <w:t>ri</w:t>
      </w:r>
      <w:r w:rsidRPr="002B0FA0">
        <w:rPr>
          <w:rFonts w:asciiTheme="majorHAnsi" w:hAnsiTheme="majorHAnsi" w:cstheme="majorHAnsi"/>
          <w:sz w:val="16"/>
          <w:szCs w:val="16"/>
          <w:vertAlign w:val="baseline"/>
          <w:lang w:val="ro-MD"/>
        </w:rPr>
        <w:t>l</w:t>
      </w:r>
      <w:r>
        <w:rPr>
          <w:rFonts w:asciiTheme="majorHAnsi" w:hAnsiTheme="majorHAnsi" w:cstheme="majorHAnsi"/>
          <w:sz w:val="16"/>
          <w:szCs w:val="16"/>
          <w:vertAlign w:val="baseline"/>
          <w:lang w:val="ro-MD"/>
        </w:rPr>
        <w:t>e</w:t>
      </w:r>
      <w:r w:rsidRPr="002B0FA0">
        <w:rPr>
          <w:rFonts w:asciiTheme="majorHAnsi" w:hAnsiTheme="majorHAnsi" w:cstheme="majorHAnsi"/>
          <w:sz w:val="16"/>
          <w:szCs w:val="16"/>
          <w:vertAlign w:val="baseline"/>
          <w:lang w:val="ro-MD"/>
        </w:rPr>
        <w:t xml:space="preserve"> de activitate practicate de ofertanți conform Registrului de stat al unităților de drept.</w:t>
      </w:r>
    </w:p>
  </w:footnote>
  <w:footnote w:id="153">
    <w:p w14:paraId="785E879D" w14:textId="1BB35769" w:rsidR="00036D7F" w:rsidRPr="004F4116" w:rsidRDefault="00036D7F" w:rsidP="001A0B01">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Hotărârea ANRE nr. 293 din 08.07.2008 cu privire la instalarea echipamentului de măsurare a gazelor natural.</w:t>
      </w:r>
    </w:p>
  </w:footnote>
  <w:footnote w:id="154">
    <w:p w14:paraId="1BA7FA95" w14:textId="77777777" w:rsidR="00036D7F" w:rsidRPr="004F4116" w:rsidRDefault="00036D7F" w:rsidP="002A179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Art.32 din Legea contabilității și raportării financiare nr.287 din 15.12.2017.</w:t>
      </w:r>
    </w:p>
  </w:footnote>
  <w:footnote w:id="155">
    <w:p w14:paraId="5A9B6848" w14:textId="50E300E3" w:rsidR="00036D7F" w:rsidRPr="004F4116" w:rsidRDefault="00036D7F" w:rsidP="0073300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Fond calculat de audit conform următoarei metodei analitice – 15.193,63 lei, salariul mediu al juriștilor * 44 juriști conform statelor de personal * 5 ani auditați = 40.111.183,2 lei.</w:t>
      </w:r>
    </w:p>
  </w:footnote>
  <w:footnote w:id="156">
    <w:p w14:paraId="5DB7C495" w14:textId="63DE4F56" w:rsidR="00036D7F" w:rsidRPr="004F4116" w:rsidRDefault="00036D7F" w:rsidP="00936790">
      <w:pPr>
        <w:pStyle w:val="FootnoteText"/>
        <w:jc w:val="both"/>
        <w:rPr>
          <w:rFonts w:asciiTheme="majorHAnsi" w:hAnsiTheme="majorHAnsi" w:cstheme="majorHAnsi"/>
          <w:sz w:val="16"/>
          <w:szCs w:val="16"/>
          <w:vertAlign w:val="baseline"/>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 xml:space="preserve">Pentru serviciile caselor de avocatură, în vederea reprezentării acesteia în cadrul unui dosar pendinte la Curea de Apel New York - Dosarul Gater Assets Limited versus SA Gazsnabtranzit, SA Moldovagaz și Republica Moldova. </w:t>
      </w:r>
      <w:r w:rsidRPr="004F4116">
        <w:rPr>
          <w:rFonts w:asciiTheme="majorHAnsi" w:hAnsiTheme="majorHAnsi" w:cstheme="majorHAnsi"/>
          <w:noProof/>
          <w:sz w:val="16"/>
          <w:szCs w:val="16"/>
          <w:vertAlign w:val="baseline"/>
        </w:rPr>
        <w:t>Contract de asistență juridică nr.125/04 din 2019 (120 euro/oră); Contract cu privire la prestarea serviciului de avocat cu ,,Bukh Low Firm PLLC” din 2017 (50 mii dolari); Contract cu compania ,,MoloLamken” (max. 450 mii dolari); Contract cu Pincus Law LLC (avans de 3750 dolari).</w:t>
      </w:r>
    </w:p>
  </w:footnote>
  <w:footnote w:id="157">
    <w:p w14:paraId="16FC8AB9" w14:textId="77777777" w:rsidR="00036D7F" w:rsidRPr="004F4116" w:rsidRDefault="00036D7F" w:rsidP="0073300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Art.15, alin,(7) din Legea cu privire la gazele naturale nr.108 din 27.05.2016.</w:t>
      </w:r>
    </w:p>
  </w:footnote>
  <w:footnote w:id="158">
    <w:p w14:paraId="71628949" w14:textId="77777777" w:rsidR="00036D7F" w:rsidRPr="004F4116" w:rsidRDefault="00036D7F" w:rsidP="0073300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Contractele de asistență juridică încheiate de grupul SA Moldovagaz cu Biroul Asociat de Avocați „MGS Legal Consulting”.</w:t>
      </w:r>
    </w:p>
  </w:footnote>
  <w:footnote w:id="159">
    <w:p w14:paraId="6C39AA8E" w14:textId="77777777" w:rsidR="00036D7F" w:rsidRPr="004F4116" w:rsidRDefault="00036D7F" w:rsidP="0073300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Capitolul 3 din Regulamentul privind procedurile de control intern al SA Moldovagaz aprobate prin Dispoziția Președintelui Consiliului de administrație nr.23D din 01.03.2011.</w:t>
      </w:r>
    </w:p>
  </w:footnote>
  <w:footnote w:id="160">
    <w:p w14:paraId="7B50FF4C" w14:textId="77777777" w:rsidR="00036D7F" w:rsidRPr="004F4116" w:rsidRDefault="00036D7F" w:rsidP="0073300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Tranzacția de împăcare nr.20/02/17 din 05.05.2017 și Încheierea Judecătoriei Chișinău sediul Râșcani din 09.06.2017, dosar nr.2c-26/17.</w:t>
      </w:r>
    </w:p>
  </w:footnote>
  <w:footnote w:id="161">
    <w:p w14:paraId="0A091C31" w14:textId="77777777" w:rsidR="00036D7F" w:rsidRPr="002B0FA0" w:rsidRDefault="00036D7F" w:rsidP="00F32027">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Dosarul Gater Assets Limited versus SA Gazsnabtranzit, SA Moldovagaz și Republica Moldova.</w:t>
      </w:r>
    </w:p>
  </w:footnote>
  <w:footnote w:id="162">
    <w:p w14:paraId="478F7618" w14:textId="77777777" w:rsidR="00036D7F" w:rsidRPr="002B0FA0" w:rsidRDefault="00036D7F" w:rsidP="00C933A0">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Instrucțiuni privind completarea și prelucrarea foii de parcurs pentru autoturisme, aprobate prin Ordinul Departamentului Analize Statistice și Sociologice al Republicii Moldova nr.108 din 17.12.1998.</w:t>
      </w:r>
    </w:p>
  </w:footnote>
  <w:footnote w:id="163">
    <w:p w14:paraId="3F2A3BC6" w14:textId="3EF7D644" w:rsidR="00036D7F" w:rsidRPr="002B0FA0" w:rsidRDefault="00036D7F" w:rsidP="00437284">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vertAlign w:val="baseline"/>
          <w:lang w:val="ro-MD"/>
        </w:rPr>
        <w:t xml:space="preserve"> Lada Largus GQQ 566</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în itinerarul automobilului (anexă la foaia de parcurs), </w:t>
      </w:r>
      <w:r>
        <w:rPr>
          <w:rFonts w:asciiTheme="majorHAnsi" w:hAnsiTheme="majorHAnsi" w:cstheme="majorHAnsi"/>
          <w:sz w:val="16"/>
          <w:szCs w:val="16"/>
          <w:vertAlign w:val="baseline"/>
          <w:lang w:val="ro-MD"/>
        </w:rPr>
        <w:t>au fost</w:t>
      </w:r>
      <w:r w:rsidRPr="002B0FA0">
        <w:rPr>
          <w:rFonts w:asciiTheme="majorHAnsi" w:hAnsiTheme="majorHAnsi" w:cstheme="majorHAnsi"/>
          <w:sz w:val="16"/>
          <w:szCs w:val="16"/>
          <w:vertAlign w:val="baseline"/>
          <w:lang w:val="ro-MD"/>
        </w:rPr>
        <w:t xml:space="preserve"> indic</w:t>
      </w:r>
      <w:r>
        <w:rPr>
          <w:rFonts w:asciiTheme="majorHAnsi" w:hAnsiTheme="majorHAnsi" w:cstheme="majorHAnsi"/>
          <w:sz w:val="16"/>
          <w:szCs w:val="16"/>
          <w:vertAlign w:val="baseline"/>
          <w:lang w:val="ro-MD"/>
        </w:rPr>
        <w:t>ate</w:t>
      </w:r>
      <w:r w:rsidRPr="002B0FA0">
        <w:rPr>
          <w:rFonts w:asciiTheme="majorHAnsi" w:hAnsiTheme="majorHAnsi" w:cstheme="majorHAnsi"/>
          <w:sz w:val="16"/>
          <w:szCs w:val="16"/>
          <w:vertAlign w:val="baseline"/>
          <w:lang w:val="ro-MD"/>
        </w:rPr>
        <w:t xml:space="preserve"> date neveridice, de exemplu s-a indicat </w:t>
      </w:r>
      <w:r>
        <w:rPr>
          <w:rFonts w:asciiTheme="majorHAnsi" w:hAnsiTheme="majorHAnsi" w:cstheme="majorHAnsi"/>
          <w:sz w:val="16"/>
          <w:szCs w:val="16"/>
          <w:vertAlign w:val="baseline"/>
          <w:lang w:val="ro-MD"/>
        </w:rPr>
        <w:t xml:space="preserve">un </w:t>
      </w:r>
      <w:r w:rsidRPr="002B0FA0">
        <w:rPr>
          <w:rFonts w:asciiTheme="majorHAnsi" w:hAnsiTheme="majorHAnsi" w:cstheme="majorHAnsi"/>
          <w:sz w:val="16"/>
          <w:szCs w:val="16"/>
          <w:vertAlign w:val="baseline"/>
          <w:lang w:val="ro-MD"/>
        </w:rPr>
        <w:t xml:space="preserve">parcurs </w:t>
      </w:r>
      <w:r>
        <w:rPr>
          <w:rFonts w:asciiTheme="majorHAnsi" w:hAnsiTheme="majorHAnsi" w:cstheme="majorHAnsi"/>
          <w:sz w:val="16"/>
          <w:szCs w:val="16"/>
          <w:vertAlign w:val="baseline"/>
          <w:lang w:val="ro-MD"/>
        </w:rPr>
        <w:t xml:space="preserve">de </w:t>
      </w:r>
      <w:r w:rsidRPr="002B0FA0">
        <w:rPr>
          <w:rFonts w:asciiTheme="majorHAnsi" w:hAnsiTheme="majorHAnsi" w:cstheme="majorHAnsi"/>
          <w:sz w:val="16"/>
          <w:szCs w:val="16"/>
          <w:vertAlign w:val="baseline"/>
          <w:lang w:val="ro-MD"/>
        </w:rPr>
        <w:t xml:space="preserve">15 km de la str. Alexandru cel </w:t>
      </w:r>
      <w:r>
        <w:rPr>
          <w:rFonts w:asciiTheme="majorHAnsi" w:hAnsiTheme="majorHAnsi" w:cstheme="majorHAnsi"/>
          <w:sz w:val="16"/>
          <w:szCs w:val="16"/>
          <w:vertAlign w:val="baseline"/>
          <w:lang w:val="ro-MD"/>
        </w:rPr>
        <w:t>B</w:t>
      </w:r>
      <w:r w:rsidRPr="002B0FA0">
        <w:rPr>
          <w:rFonts w:asciiTheme="majorHAnsi" w:hAnsiTheme="majorHAnsi" w:cstheme="majorHAnsi"/>
          <w:sz w:val="16"/>
          <w:szCs w:val="16"/>
          <w:vertAlign w:val="baseline"/>
          <w:lang w:val="ro-MD"/>
        </w:rPr>
        <w:t xml:space="preserve">un </w:t>
      </w:r>
      <w:r>
        <w:rPr>
          <w:rFonts w:asciiTheme="majorHAnsi" w:hAnsiTheme="majorHAnsi" w:cstheme="majorHAnsi"/>
          <w:sz w:val="16"/>
          <w:szCs w:val="16"/>
          <w:vertAlign w:val="baseline"/>
          <w:lang w:val="ro-MD"/>
        </w:rPr>
        <w:t>nr.</w:t>
      </w:r>
      <w:r w:rsidRPr="002B0FA0">
        <w:rPr>
          <w:rFonts w:asciiTheme="majorHAnsi" w:hAnsiTheme="majorHAnsi" w:cstheme="majorHAnsi"/>
          <w:sz w:val="16"/>
          <w:szCs w:val="16"/>
          <w:vertAlign w:val="baseline"/>
          <w:lang w:val="ro-MD"/>
        </w:rPr>
        <w:t xml:space="preserve">93 până la str. Iazului </w:t>
      </w:r>
      <w:r>
        <w:rPr>
          <w:rFonts w:asciiTheme="majorHAnsi" w:hAnsiTheme="majorHAnsi" w:cstheme="majorHAnsi"/>
          <w:sz w:val="16"/>
          <w:szCs w:val="16"/>
          <w:vertAlign w:val="baseline"/>
          <w:lang w:val="ro-MD"/>
        </w:rPr>
        <w:t>nr.</w:t>
      </w:r>
      <w:r w:rsidRPr="002B0FA0">
        <w:rPr>
          <w:rFonts w:asciiTheme="majorHAnsi" w:hAnsiTheme="majorHAnsi" w:cstheme="majorHAnsi"/>
          <w:sz w:val="16"/>
          <w:szCs w:val="16"/>
          <w:vertAlign w:val="baseline"/>
          <w:lang w:val="ro-MD"/>
        </w:rPr>
        <w:t xml:space="preserve">19, ceea ce nu </w:t>
      </w:r>
      <w:r>
        <w:rPr>
          <w:rFonts w:asciiTheme="majorHAnsi" w:hAnsiTheme="majorHAnsi" w:cstheme="majorHAnsi"/>
          <w:sz w:val="16"/>
          <w:szCs w:val="16"/>
          <w:vertAlign w:val="baseline"/>
          <w:lang w:val="ro-MD"/>
        </w:rPr>
        <w:t>corespunde</w:t>
      </w:r>
      <w:r w:rsidRPr="002B0FA0">
        <w:rPr>
          <w:rFonts w:asciiTheme="majorHAnsi" w:hAnsiTheme="majorHAnsi" w:cstheme="majorHAnsi"/>
          <w:sz w:val="16"/>
          <w:szCs w:val="16"/>
          <w:vertAlign w:val="baseline"/>
          <w:lang w:val="ro-MD"/>
        </w:rPr>
        <w:t xml:space="preserve"> datel</w:t>
      </w:r>
      <w:r>
        <w:rPr>
          <w:rFonts w:asciiTheme="majorHAnsi" w:hAnsiTheme="majorHAnsi" w:cstheme="majorHAnsi"/>
          <w:sz w:val="16"/>
          <w:szCs w:val="16"/>
          <w:vertAlign w:val="baseline"/>
          <w:lang w:val="ro-MD"/>
        </w:rPr>
        <w:t>or</w:t>
      </w:r>
      <w:r w:rsidRPr="002B0FA0">
        <w:rPr>
          <w:rFonts w:asciiTheme="majorHAnsi" w:hAnsiTheme="majorHAnsi" w:cstheme="majorHAnsi"/>
          <w:sz w:val="16"/>
          <w:szCs w:val="16"/>
          <w:vertAlign w:val="baseline"/>
          <w:lang w:val="ro-MD"/>
        </w:rPr>
        <w:t xml:space="preserve"> reale.</w:t>
      </w:r>
    </w:p>
  </w:footnote>
  <w:footnote w:id="164">
    <w:p w14:paraId="5243EFD3" w14:textId="12B9BC58" w:rsidR="00036D7F" w:rsidRPr="002B0FA0" w:rsidRDefault="00036D7F" w:rsidP="005C713E">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4 automobile –</w:t>
      </w:r>
      <w:r>
        <w:rPr>
          <w:rFonts w:asciiTheme="majorHAnsi" w:hAnsiTheme="majorHAnsi" w:cstheme="majorHAnsi"/>
          <w:sz w:val="16"/>
          <w:szCs w:val="16"/>
          <w:vertAlign w:val="baseline"/>
          <w:lang w:val="ro-MD"/>
        </w:rPr>
        <w:t xml:space="preserve"> </w:t>
      </w:r>
      <w:r w:rsidRPr="002B0FA0">
        <w:rPr>
          <w:rFonts w:asciiTheme="majorHAnsi" w:hAnsiTheme="majorHAnsi" w:cstheme="majorHAnsi"/>
          <w:sz w:val="16"/>
          <w:szCs w:val="16"/>
          <w:vertAlign w:val="baseline"/>
          <w:lang w:val="ro-MD"/>
        </w:rPr>
        <w:t>în anul 2017, 3 automobile –</w:t>
      </w:r>
      <w:r>
        <w:rPr>
          <w:rFonts w:asciiTheme="majorHAnsi" w:hAnsiTheme="majorHAnsi" w:cstheme="majorHAnsi"/>
          <w:sz w:val="16"/>
          <w:szCs w:val="16"/>
          <w:vertAlign w:val="baseline"/>
          <w:lang w:val="ro-MD"/>
        </w:rPr>
        <w:t xml:space="preserve"> </w:t>
      </w:r>
      <w:r w:rsidRPr="002B0FA0">
        <w:rPr>
          <w:rFonts w:asciiTheme="majorHAnsi" w:hAnsiTheme="majorHAnsi" w:cstheme="majorHAnsi"/>
          <w:sz w:val="16"/>
          <w:szCs w:val="16"/>
          <w:vertAlign w:val="baseline"/>
          <w:lang w:val="ro-MD"/>
        </w:rPr>
        <w:t>în anul 2018, 1 automobil –</w:t>
      </w:r>
      <w:r>
        <w:rPr>
          <w:rFonts w:asciiTheme="majorHAnsi" w:hAnsiTheme="majorHAnsi" w:cstheme="majorHAnsi"/>
          <w:sz w:val="16"/>
          <w:szCs w:val="16"/>
          <w:vertAlign w:val="baseline"/>
          <w:lang w:val="ro-MD"/>
        </w:rPr>
        <w:t xml:space="preserve"> </w:t>
      </w:r>
      <w:r w:rsidRPr="002B0FA0">
        <w:rPr>
          <w:rFonts w:asciiTheme="majorHAnsi" w:hAnsiTheme="majorHAnsi" w:cstheme="majorHAnsi"/>
          <w:sz w:val="16"/>
          <w:szCs w:val="16"/>
          <w:vertAlign w:val="baseline"/>
          <w:lang w:val="ro-MD"/>
        </w:rPr>
        <w:t>în anul 2019, 2 automobile –</w:t>
      </w:r>
      <w:r>
        <w:rPr>
          <w:rFonts w:asciiTheme="majorHAnsi" w:hAnsiTheme="majorHAnsi" w:cstheme="majorHAnsi"/>
          <w:sz w:val="16"/>
          <w:szCs w:val="16"/>
          <w:vertAlign w:val="baseline"/>
          <w:lang w:val="ro-MD"/>
        </w:rPr>
        <w:t xml:space="preserve"> </w:t>
      </w:r>
      <w:r w:rsidRPr="002B0FA0">
        <w:rPr>
          <w:rFonts w:asciiTheme="majorHAnsi" w:hAnsiTheme="majorHAnsi" w:cstheme="majorHAnsi"/>
          <w:sz w:val="16"/>
          <w:szCs w:val="16"/>
          <w:vertAlign w:val="baseline"/>
          <w:lang w:val="ro-MD"/>
        </w:rPr>
        <w:t>în anul 2020</w:t>
      </w:r>
      <w:r>
        <w:rPr>
          <w:rFonts w:asciiTheme="majorHAnsi" w:hAnsiTheme="majorHAnsi" w:cstheme="majorHAnsi"/>
          <w:sz w:val="16"/>
          <w:szCs w:val="16"/>
          <w:vertAlign w:val="baseline"/>
          <w:lang w:val="ro-MD"/>
        </w:rPr>
        <w:t xml:space="preserve"> </w:t>
      </w:r>
      <w:r w:rsidRPr="002B0FA0">
        <w:rPr>
          <w:rFonts w:asciiTheme="majorHAnsi" w:hAnsiTheme="majorHAnsi" w:cstheme="majorHAnsi"/>
          <w:sz w:val="16"/>
          <w:szCs w:val="16"/>
          <w:vertAlign w:val="baseline"/>
          <w:lang w:val="ro-MD"/>
        </w:rPr>
        <w:t xml:space="preserve"> și 3 automobile –</w:t>
      </w:r>
      <w:r>
        <w:rPr>
          <w:rFonts w:asciiTheme="majorHAnsi" w:hAnsiTheme="majorHAnsi" w:cstheme="majorHAnsi"/>
          <w:sz w:val="16"/>
          <w:szCs w:val="16"/>
          <w:vertAlign w:val="baseline"/>
          <w:lang w:val="ro-MD"/>
        </w:rPr>
        <w:t xml:space="preserve"> </w:t>
      </w:r>
      <w:r w:rsidRPr="002B0FA0">
        <w:rPr>
          <w:rFonts w:asciiTheme="majorHAnsi" w:hAnsiTheme="majorHAnsi" w:cstheme="majorHAnsi"/>
          <w:sz w:val="16"/>
          <w:szCs w:val="16"/>
          <w:vertAlign w:val="baseline"/>
          <w:lang w:val="ro-MD"/>
        </w:rPr>
        <w:t>în anul 2021.</w:t>
      </w:r>
    </w:p>
  </w:footnote>
  <w:footnote w:id="165">
    <w:p w14:paraId="7939F699" w14:textId="47F7B16F" w:rsidR="00036D7F" w:rsidRPr="00995A3B" w:rsidRDefault="00036D7F" w:rsidP="00C0688B">
      <w:pPr>
        <w:pStyle w:val="FootnoteText"/>
        <w:jc w:val="both"/>
        <w:rPr>
          <w:rFonts w:asciiTheme="majorHAnsi" w:hAnsiTheme="majorHAnsi" w:cstheme="majorHAnsi"/>
          <w:sz w:val="16"/>
          <w:szCs w:val="16"/>
          <w:lang w:val="ro-MD"/>
        </w:rPr>
      </w:pPr>
      <w:r w:rsidRPr="00995A3B">
        <w:rPr>
          <w:rStyle w:val="FootnoteReference"/>
          <w:rFonts w:asciiTheme="majorHAnsi" w:hAnsiTheme="majorHAnsi" w:cstheme="majorHAnsi"/>
          <w:sz w:val="16"/>
          <w:szCs w:val="16"/>
          <w:lang w:val="ro-MD"/>
        </w:rPr>
        <w:footnoteRef/>
      </w:r>
      <w:r w:rsidRPr="00995A3B">
        <w:rPr>
          <w:rFonts w:asciiTheme="majorHAnsi" w:hAnsiTheme="majorHAnsi" w:cstheme="majorHAnsi"/>
          <w:sz w:val="16"/>
          <w:szCs w:val="16"/>
          <w:lang w:val="ro-MD"/>
        </w:rPr>
        <w:t xml:space="preserve"> </w:t>
      </w:r>
      <w:r w:rsidRPr="00995A3B">
        <w:rPr>
          <w:rFonts w:asciiTheme="majorHAnsi" w:hAnsiTheme="majorHAnsi" w:cstheme="majorHAnsi"/>
          <w:sz w:val="16"/>
          <w:szCs w:val="16"/>
          <w:vertAlign w:val="baseline"/>
          <w:lang w:val="ro-MD"/>
        </w:rPr>
        <w:t>HG nr.683 din 18.06.2004  „</w:t>
      </w:r>
      <w:r>
        <w:rPr>
          <w:rFonts w:asciiTheme="majorHAnsi" w:hAnsiTheme="majorHAnsi" w:cstheme="majorHAnsi"/>
          <w:sz w:val="16"/>
          <w:szCs w:val="16"/>
          <w:vertAlign w:val="baseline"/>
          <w:lang w:val="ro-MD"/>
        </w:rPr>
        <w:t>P</w:t>
      </w:r>
      <w:r w:rsidRPr="00995A3B">
        <w:rPr>
          <w:rFonts w:asciiTheme="majorHAnsi" w:hAnsiTheme="majorHAnsi" w:cstheme="majorHAnsi"/>
          <w:sz w:val="16"/>
          <w:szCs w:val="16"/>
          <w:vertAlign w:val="baseline"/>
          <w:lang w:val="ro-MD"/>
        </w:rPr>
        <w:t>rivind aprobarea Regulamentul</w:t>
      </w:r>
      <w:r>
        <w:rPr>
          <w:rFonts w:asciiTheme="majorHAnsi" w:hAnsiTheme="majorHAnsi" w:cstheme="majorHAnsi"/>
          <w:sz w:val="16"/>
          <w:szCs w:val="16"/>
          <w:vertAlign w:val="baseline"/>
          <w:lang w:val="ro-MD"/>
        </w:rPr>
        <w:t>ui</w:t>
      </w:r>
      <w:r w:rsidRPr="00995A3B">
        <w:rPr>
          <w:rFonts w:asciiTheme="majorHAnsi" w:hAnsiTheme="majorHAnsi" w:cstheme="majorHAnsi"/>
          <w:sz w:val="16"/>
          <w:szCs w:val="16"/>
          <w:vertAlign w:val="baseline"/>
          <w:lang w:val="ro-MD"/>
        </w:rPr>
        <w:t xml:space="preserve"> privind modul de transmitere a rețelelor de gaze întreprinderilor de gaze ale SA „Moldovagaz” la deservire tehnică”</w:t>
      </w:r>
      <w:r>
        <w:rPr>
          <w:rFonts w:asciiTheme="majorHAnsi" w:hAnsiTheme="majorHAnsi" w:cstheme="majorHAnsi"/>
          <w:sz w:val="16"/>
          <w:szCs w:val="16"/>
          <w:vertAlign w:val="baseline"/>
          <w:lang w:val="ro-MD"/>
        </w:rPr>
        <w:t xml:space="preserve"> (în continuare - </w:t>
      </w:r>
      <w:r w:rsidRPr="00995A3B">
        <w:rPr>
          <w:rFonts w:asciiTheme="majorHAnsi" w:hAnsiTheme="majorHAnsi" w:cstheme="majorHAnsi"/>
          <w:sz w:val="16"/>
          <w:szCs w:val="16"/>
          <w:vertAlign w:val="baseline"/>
          <w:lang w:val="ro-MD"/>
        </w:rPr>
        <w:t>Regulamentul aprobat prin HG nr. 683 din 18.06.2004</w:t>
      </w:r>
      <w:r>
        <w:rPr>
          <w:rFonts w:asciiTheme="majorHAnsi" w:hAnsiTheme="majorHAnsi" w:cstheme="majorHAnsi"/>
          <w:sz w:val="16"/>
          <w:szCs w:val="16"/>
          <w:vertAlign w:val="baseline"/>
          <w:lang w:val="ro-MD"/>
        </w:rPr>
        <w:t>)</w:t>
      </w:r>
      <w:r w:rsidRPr="00995A3B">
        <w:rPr>
          <w:rFonts w:asciiTheme="majorHAnsi" w:hAnsiTheme="majorHAnsi" w:cstheme="majorHAnsi"/>
          <w:sz w:val="16"/>
          <w:szCs w:val="16"/>
          <w:vertAlign w:val="baseline"/>
          <w:lang w:val="ro-MD"/>
        </w:rPr>
        <w:t>.</w:t>
      </w:r>
    </w:p>
  </w:footnote>
  <w:footnote w:id="166">
    <w:p w14:paraId="3FB6444B" w14:textId="2FA5D457" w:rsidR="00036D7F" w:rsidRPr="00995A3B" w:rsidRDefault="00036D7F" w:rsidP="00C0688B">
      <w:pPr>
        <w:pStyle w:val="FootnoteText"/>
        <w:jc w:val="both"/>
        <w:rPr>
          <w:rFonts w:asciiTheme="majorHAnsi" w:hAnsiTheme="majorHAnsi" w:cstheme="majorHAnsi"/>
          <w:sz w:val="16"/>
          <w:szCs w:val="16"/>
          <w:lang w:val="ro-MD"/>
        </w:rPr>
      </w:pPr>
      <w:r w:rsidRPr="00995A3B">
        <w:rPr>
          <w:rStyle w:val="FootnoteReference"/>
          <w:rFonts w:asciiTheme="majorHAnsi" w:hAnsiTheme="majorHAnsi" w:cstheme="majorHAnsi"/>
          <w:sz w:val="16"/>
          <w:szCs w:val="16"/>
          <w:lang w:val="ro-MD"/>
        </w:rPr>
        <w:footnoteRef/>
      </w:r>
      <w:r w:rsidRPr="00995A3B">
        <w:rPr>
          <w:rFonts w:asciiTheme="majorHAnsi" w:hAnsiTheme="majorHAnsi" w:cstheme="majorHAnsi"/>
          <w:sz w:val="16"/>
          <w:szCs w:val="16"/>
          <w:lang w:val="ro-MD"/>
        </w:rPr>
        <w:t xml:space="preserve"> </w:t>
      </w:r>
      <w:r w:rsidRPr="00995A3B">
        <w:rPr>
          <w:rFonts w:asciiTheme="majorHAnsi" w:hAnsiTheme="majorHAnsi" w:cstheme="majorHAnsi"/>
          <w:bCs/>
          <w:sz w:val="16"/>
          <w:szCs w:val="16"/>
          <w:vertAlign w:val="baseline"/>
          <w:lang w:val="ro-MD"/>
        </w:rPr>
        <w:t xml:space="preserve">Metodologia </w:t>
      </w:r>
      <w:r w:rsidRPr="00995A3B">
        <w:rPr>
          <w:rFonts w:asciiTheme="majorHAnsi" w:hAnsiTheme="majorHAnsi" w:cstheme="majorHAnsi"/>
          <w:sz w:val="16"/>
          <w:szCs w:val="16"/>
          <w:vertAlign w:val="baseline"/>
          <w:lang w:val="ro-MD"/>
        </w:rPr>
        <w:t>de calculare, de aprobare și de aplicare a tarifelor reglementate pentru serviciul de distribuție a gazelor naturale</w:t>
      </w:r>
      <w:r>
        <w:rPr>
          <w:rFonts w:asciiTheme="majorHAnsi" w:hAnsiTheme="majorHAnsi" w:cstheme="majorHAnsi"/>
          <w:sz w:val="16"/>
          <w:szCs w:val="16"/>
          <w:vertAlign w:val="baseline"/>
          <w:lang w:val="ro-MD"/>
        </w:rPr>
        <w:t>,</w:t>
      </w:r>
      <w:r w:rsidRPr="00995A3B">
        <w:rPr>
          <w:rFonts w:asciiTheme="majorHAnsi" w:hAnsiTheme="majorHAnsi" w:cstheme="majorHAnsi"/>
          <w:sz w:val="16"/>
          <w:szCs w:val="16"/>
          <w:vertAlign w:val="baseline"/>
          <w:lang w:val="ro-MD"/>
        </w:rPr>
        <w:t xml:space="preserve"> aprobată prin HANRE nr. 443/2020 din 24.11.2020.</w:t>
      </w:r>
    </w:p>
  </w:footnote>
  <w:footnote w:id="167">
    <w:p w14:paraId="4E66BCB3" w14:textId="559FF7A1" w:rsidR="00036D7F" w:rsidRPr="002B0FA0" w:rsidRDefault="00036D7F" w:rsidP="00C0688B">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De exemplu, la SRL „</w:t>
      </w:r>
      <w:r>
        <w:rPr>
          <w:rFonts w:asciiTheme="majorHAnsi" w:hAnsiTheme="majorHAnsi" w:cstheme="majorHAnsi"/>
          <w:sz w:val="16"/>
          <w:szCs w:val="16"/>
          <w:vertAlign w:val="baseline"/>
          <w:lang w:val="ro-MD"/>
        </w:rPr>
        <w:t>Ungh</w:t>
      </w:r>
      <w:r w:rsidRPr="002B0FA0">
        <w:rPr>
          <w:rFonts w:asciiTheme="majorHAnsi" w:hAnsiTheme="majorHAnsi" w:cstheme="majorHAnsi"/>
          <w:sz w:val="16"/>
          <w:szCs w:val="16"/>
          <w:vertAlign w:val="baseline"/>
          <w:lang w:val="ro-MD"/>
        </w:rPr>
        <w:t xml:space="preserve">eni-gaz”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0,5</w:t>
      </w:r>
      <w:r>
        <w:rPr>
          <w:rFonts w:asciiTheme="majorHAnsi" w:hAnsiTheme="majorHAnsi" w:cstheme="majorHAnsi"/>
          <w:sz w:val="16"/>
          <w:szCs w:val="16"/>
          <w:vertAlign w:val="baseline"/>
          <w:lang w:val="ro-MD"/>
        </w:rPr>
        <w:t>2</w:t>
      </w:r>
      <w:r w:rsidRPr="002B0FA0">
        <w:rPr>
          <w:rFonts w:asciiTheme="majorHAnsi" w:hAnsiTheme="majorHAnsi" w:cstheme="majorHAnsi"/>
          <w:sz w:val="16"/>
          <w:szCs w:val="16"/>
          <w:vertAlign w:val="baseline"/>
          <w:lang w:val="ro-MD"/>
        </w:rPr>
        <w:t xml:space="preserve"> mii lei/km, SRL „Ialoveni-gaz”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0,56 mii lei/km, la SRL „Chișinău-gaz”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0,72 mii lei/km, la SRL „Florești-gaz”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0,61 mii lei/km, la SRL „Edineț-gaz”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0,84 mii lei/km</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și la SRL „Bălți-gaz” – 1,37 mii lei/km.</w:t>
      </w:r>
    </w:p>
  </w:footnote>
  <w:footnote w:id="168">
    <w:p w14:paraId="5661F57E" w14:textId="77777777" w:rsidR="00036D7F" w:rsidRPr="002B0FA0" w:rsidRDefault="00036D7F" w:rsidP="00C0688B">
      <w:pPr>
        <w:pStyle w:val="FootnoteText"/>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Hotărârea ANRE nr.112 din 19.04.2019.</w:t>
      </w:r>
    </w:p>
  </w:footnote>
  <w:footnote w:id="169">
    <w:p w14:paraId="0713D425" w14:textId="77A139E0" w:rsidR="00036D7F" w:rsidRPr="002B0FA0" w:rsidRDefault="00036D7F" w:rsidP="00A1426D">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Pct.17 din Regulamentul privind modul de transmitere a rețelelor de gaze întreprinderilor de gaze ale SA „Moldovagaz” la deservire tehnică</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aprobat prin HG nr. 683 din 18.06.2004.</w:t>
      </w:r>
    </w:p>
  </w:footnote>
  <w:footnote w:id="170">
    <w:p w14:paraId="03146ED1" w14:textId="72AE78DC" w:rsidR="00036D7F" w:rsidRPr="002B0FA0" w:rsidRDefault="00036D7F" w:rsidP="00A1426D">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Pr>
          <w:rFonts w:asciiTheme="majorHAnsi" w:eastAsia="Times New Roman" w:hAnsiTheme="majorHAnsi" w:cstheme="majorHAnsi"/>
          <w:sz w:val="16"/>
          <w:szCs w:val="16"/>
          <w:vertAlign w:val="baseline"/>
          <w:lang w:val="ro-MD" w:eastAsia="ru-RU"/>
        </w:rPr>
        <w:t>A</w:t>
      </w:r>
      <w:r w:rsidRPr="00506843">
        <w:rPr>
          <w:rFonts w:asciiTheme="majorHAnsi" w:eastAsia="Times New Roman" w:hAnsiTheme="majorHAnsi" w:cstheme="majorHAnsi"/>
          <w:sz w:val="16"/>
          <w:szCs w:val="16"/>
          <w:vertAlign w:val="baseline"/>
          <w:lang w:val="ro-MD" w:eastAsia="ru-RU"/>
        </w:rPr>
        <w:t>rt.14</w:t>
      </w:r>
      <w:r>
        <w:rPr>
          <w:rFonts w:asciiTheme="majorHAnsi" w:eastAsia="Times New Roman" w:hAnsiTheme="majorHAnsi" w:cstheme="majorHAnsi"/>
          <w:sz w:val="16"/>
          <w:szCs w:val="16"/>
          <w:vertAlign w:val="baseline"/>
          <w:lang w:val="ro-MD" w:eastAsia="ru-RU"/>
        </w:rPr>
        <w:t xml:space="preserve"> și</w:t>
      </w:r>
      <w:r w:rsidRPr="00506843">
        <w:rPr>
          <w:rFonts w:asciiTheme="majorHAnsi" w:eastAsia="Times New Roman" w:hAnsiTheme="majorHAnsi" w:cstheme="majorHAnsi"/>
          <w:sz w:val="16"/>
          <w:szCs w:val="16"/>
          <w:vertAlign w:val="baseline"/>
          <w:lang w:val="ro-MD" w:eastAsia="ru-RU"/>
        </w:rPr>
        <w:t xml:space="preserve"> art.43</w:t>
      </w:r>
      <w:r>
        <w:rPr>
          <w:rFonts w:asciiTheme="majorHAnsi" w:eastAsia="Times New Roman" w:hAnsiTheme="majorHAnsi" w:cstheme="majorHAnsi"/>
          <w:sz w:val="16"/>
          <w:szCs w:val="16"/>
          <w:vertAlign w:val="baseline"/>
          <w:lang w:val="ro-MD" w:eastAsia="ru-RU"/>
        </w:rPr>
        <w:t xml:space="preserve"> din </w:t>
      </w:r>
      <w:r w:rsidRPr="001C18FC">
        <w:rPr>
          <w:rFonts w:asciiTheme="majorHAnsi" w:eastAsia="Times New Roman" w:hAnsiTheme="majorHAnsi" w:cstheme="majorHAnsi"/>
          <w:sz w:val="16"/>
          <w:szCs w:val="16"/>
          <w:vertAlign w:val="baseline"/>
          <w:lang w:eastAsia="ru-RU"/>
        </w:rPr>
        <w:t>Lege</w:t>
      </w:r>
      <w:r w:rsidRPr="002B0FA0">
        <w:rPr>
          <w:rFonts w:asciiTheme="majorHAnsi" w:eastAsia="Times New Roman" w:hAnsiTheme="majorHAnsi" w:cstheme="majorHAnsi"/>
          <w:sz w:val="16"/>
          <w:szCs w:val="16"/>
          <w:vertAlign w:val="baseline"/>
          <w:lang w:val="ro-MD" w:eastAsia="ru-RU"/>
        </w:rPr>
        <w:t>a nr.436-XVI din 28.12.2006</w:t>
      </w:r>
      <w:r>
        <w:rPr>
          <w:rFonts w:asciiTheme="majorHAnsi" w:eastAsia="Times New Roman" w:hAnsiTheme="majorHAnsi" w:cstheme="majorHAnsi"/>
          <w:sz w:val="16"/>
          <w:szCs w:val="16"/>
          <w:vertAlign w:val="baseline"/>
          <w:lang w:val="ro-MD" w:eastAsia="ru-RU"/>
        </w:rPr>
        <w:t xml:space="preserve"> </w:t>
      </w:r>
      <w:r w:rsidRPr="00506843">
        <w:rPr>
          <w:rFonts w:asciiTheme="majorHAnsi" w:eastAsia="Times New Roman" w:hAnsiTheme="majorHAnsi" w:cstheme="majorHAnsi"/>
          <w:sz w:val="16"/>
          <w:szCs w:val="16"/>
          <w:vertAlign w:val="baseline"/>
          <w:lang w:val="ro-MD" w:eastAsia="ru-RU"/>
        </w:rPr>
        <w:t>privind administrația publică locală</w:t>
      </w:r>
      <w:r w:rsidRPr="002B0FA0">
        <w:rPr>
          <w:rFonts w:asciiTheme="majorHAnsi" w:eastAsia="Times New Roman" w:hAnsiTheme="majorHAnsi" w:cstheme="majorHAnsi"/>
          <w:sz w:val="16"/>
          <w:szCs w:val="16"/>
          <w:vertAlign w:val="baseline"/>
          <w:lang w:val="ro-MD" w:eastAsia="ru-RU"/>
        </w:rPr>
        <w:t>.</w:t>
      </w:r>
    </w:p>
  </w:footnote>
  <w:footnote w:id="171">
    <w:p w14:paraId="41EBF256" w14:textId="0546CE16" w:rsidR="00036D7F" w:rsidRPr="002B0FA0" w:rsidRDefault="00036D7F" w:rsidP="00C0688B">
      <w:pPr>
        <w:pStyle w:val="FootnoteText"/>
        <w:jc w:val="both"/>
        <w:rPr>
          <w:rFonts w:asciiTheme="majorHAnsi" w:hAnsiTheme="majorHAnsi" w:cstheme="majorHAnsi"/>
          <w:sz w:val="16"/>
          <w:szCs w:val="16"/>
          <w:lang w:val="ro-MD"/>
        </w:rPr>
      </w:pPr>
      <w:r w:rsidRPr="004F4116">
        <w:rPr>
          <w:rStyle w:val="FootnoteReference"/>
          <w:rFonts w:asciiTheme="majorHAnsi" w:hAnsiTheme="majorHAnsi" w:cstheme="majorHAnsi"/>
          <w:sz w:val="16"/>
          <w:szCs w:val="16"/>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SRL „Chișinău-gaz”</w:t>
      </w:r>
      <w:r>
        <w:rPr>
          <w:rFonts w:asciiTheme="majorHAnsi" w:hAnsiTheme="majorHAnsi" w:cstheme="majorHAnsi"/>
          <w:sz w:val="16"/>
          <w:szCs w:val="16"/>
          <w:vertAlign w:val="baseline"/>
          <w:lang w:val="ro-MD"/>
        </w:rPr>
        <w:t xml:space="preserve">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30</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560,99 mii lei, SRL „Ialoveni-gaz”</w:t>
      </w:r>
      <w:r>
        <w:rPr>
          <w:rFonts w:asciiTheme="majorHAnsi" w:hAnsiTheme="majorHAnsi" w:cstheme="majorHAnsi"/>
          <w:sz w:val="16"/>
          <w:szCs w:val="16"/>
          <w:vertAlign w:val="baseline"/>
          <w:lang w:val="ro-MD"/>
        </w:rPr>
        <w:t xml:space="preserve">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4</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435,87 mii lei</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și SRL „Edineț-gaz”</w:t>
      </w:r>
      <w:r>
        <w:rPr>
          <w:rFonts w:asciiTheme="majorHAnsi" w:hAnsiTheme="majorHAnsi" w:cstheme="majorHAnsi"/>
          <w:sz w:val="16"/>
          <w:szCs w:val="16"/>
          <w:vertAlign w:val="baseline"/>
          <w:lang w:val="ro-MD"/>
        </w:rPr>
        <w:t xml:space="preserve"> </w:t>
      </w:r>
      <w:r w:rsidRPr="00506843">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4</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425,5 mii lei.</w:t>
      </w:r>
    </w:p>
  </w:footnote>
  <w:footnote w:id="172">
    <w:p w14:paraId="13BC9FBE" w14:textId="085CCE34" w:rsidR="00036D7F" w:rsidRPr="004F4116" w:rsidRDefault="00036D7F" w:rsidP="00C0688B">
      <w:pPr>
        <w:spacing w:after="0"/>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Ordinul </w:t>
      </w:r>
      <w:r w:rsidRPr="004F4116">
        <w:rPr>
          <w:rFonts w:asciiTheme="majorHAnsi" w:hAnsiTheme="majorHAnsi" w:cstheme="majorHAnsi"/>
          <w:color w:val="000000"/>
          <w:sz w:val="16"/>
          <w:szCs w:val="16"/>
        </w:rPr>
        <w:t xml:space="preserve">nr. 466 din 23.09.2019 și </w:t>
      </w:r>
      <w:r>
        <w:rPr>
          <w:rFonts w:asciiTheme="majorHAnsi" w:hAnsiTheme="majorHAnsi" w:cstheme="majorHAnsi"/>
          <w:color w:val="000000"/>
          <w:sz w:val="16"/>
          <w:szCs w:val="16"/>
        </w:rPr>
        <w:t>O</w:t>
      </w:r>
      <w:r w:rsidRPr="004F4116">
        <w:rPr>
          <w:rFonts w:asciiTheme="majorHAnsi" w:hAnsiTheme="majorHAnsi" w:cstheme="majorHAnsi"/>
          <w:color w:val="000000"/>
          <w:sz w:val="16"/>
          <w:szCs w:val="16"/>
        </w:rPr>
        <w:t>rdinul nr. 473 din 30.09.2019</w:t>
      </w:r>
      <w:r>
        <w:rPr>
          <w:rFonts w:asciiTheme="majorHAnsi" w:hAnsiTheme="majorHAnsi" w:cstheme="majorHAnsi"/>
          <w:color w:val="000000"/>
          <w:sz w:val="16"/>
          <w:szCs w:val="16"/>
        </w:rPr>
        <w:t>.</w:t>
      </w:r>
    </w:p>
  </w:footnote>
  <w:footnote w:id="173">
    <w:p w14:paraId="464905FA" w14:textId="6B5F5ACF" w:rsidR="00036D7F" w:rsidRPr="004F4116" w:rsidRDefault="00036D7F" w:rsidP="00C0688B">
      <w:pPr>
        <w:pStyle w:val="FootnoteText"/>
        <w:jc w:val="both"/>
        <w:rPr>
          <w:rFonts w:asciiTheme="majorHAnsi" w:hAnsiTheme="majorHAnsi" w:cstheme="majorHAnsi"/>
          <w:sz w:val="16"/>
          <w:szCs w:val="16"/>
          <w:vertAlign w:val="baseline"/>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Contractul de prestare a serviciilor de evaluare nr. 172 din 29.10.2018.</w:t>
      </w:r>
    </w:p>
  </w:footnote>
  <w:footnote w:id="174">
    <w:p w14:paraId="7A772C5F" w14:textId="442BA0B3" w:rsidR="00036D7F" w:rsidRPr="004F4116" w:rsidRDefault="00036D7F" w:rsidP="00C0688B">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Hotărârea nr.2-1200/15 din 08 decembrie 2015, Hotărârea nr.2-147/16 din 18 ianuarie 2016, Hotărârea nr.2-1201/16 din 22 ianuarie 2016, Hotărârea nr.2c-17/16 din 06 martie 2018, Hotărârea nr.2c-40/17 din 19 decembrie 2018</w:t>
      </w:r>
      <w:r>
        <w:rPr>
          <w:rFonts w:asciiTheme="majorHAnsi" w:hAnsiTheme="majorHAnsi" w:cstheme="majorHAnsi"/>
          <w:sz w:val="16"/>
          <w:szCs w:val="16"/>
          <w:vertAlign w:val="baseline"/>
        </w:rPr>
        <w:t xml:space="preserve"> și</w:t>
      </w:r>
      <w:r w:rsidRPr="004F4116">
        <w:rPr>
          <w:rFonts w:asciiTheme="majorHAnsi" w:hAnsiTheme="majorHAnsi" w:cstheme="majorHAnsi"/>
          <w:sz w:val="16"/>
          <w:szCs w:val="16"/>
          <w:vertAlign w:val="baseline"/>
        </w:rPr>
        <w:t xml:space="preserve"> Hotărârea nr.2-806/17 din 22 septembrie 2017.</w:t>
      </w:r>
    </w:p>
  </w:footnote>
  <w:footnote w:id="175">
    <w:p w14:paraId="48EE2F93" w14:textId="58C0C346" w:rsidR="00036D7F" w:rsidRPr="004F4116" w:rsidRDefault="00036D7F" w:rsidP="00C0688B">
      <w:pPr>
        <w:pStyle w:val="FootnoteText"/>
        <w:jc w:val="both"/>
        <w:rPr>
          <w:rFonts w:asciiTheme="majorHAnsi" w:hAnsiTheme="majorHAnsi" w:cstheme="majorHAnsi"/>
          <w:sz w:val="16"/>
          <w:szCs w:val="16"/>
          <w:vertAlign w:val="baseline"/>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Ordinul nr. 699 din 15.12.2017, Ordinul nr. 142 din 07.06.2017 și Ordinului nr. 866 din 31.12.2019.</w:t>
      </w:r>
    </w:p>
  </w:footnote>
  <w:footnote w:id="176">
    <w:p w14:paraId="74A3E601" w14:textId="761042DF" w:rsidR="00036D7F" w:rsidRPr="004F4116" w:rsidRDefault="00036D7F" w:rsidP="00C0688B">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Primării</w:t>
      </w:r>
      <w:r>
        <w:rPr>
          <w:rFonts w:asciiTheme="majorHAnsi" w:hAnsiTheme="majorHAnsi" w:cstheme="majorHAnsi"/>
          <w:sz w:val="16"/>
          <w:szCs w:val="16"/>
          <w:vertAlign w:val="baseline"/>
        </w:rPr>
        <w:t>le</w:t>
      </w:r>
      <w:r w:rsidRPr="004F4116">
        <w:rPr>
          <w:rFonts w:asciiTheme="majorHAnsi" w:hAnsiTheme="majorHAnsi" w:cstheme="majorHAnsi"/>
          <w:sz w:val="16"/>
          <w:szCs w:val="16"/>
          <w:vertAlign w:val="baseline"/>
        </w:rPr>
        <w:t>: com. Berlinți, s. Beleavinți, s. Larga, s. Grimăncăuți din raionul Briceni; primării</w:t>
      </w:r>
      <w:r>
        <w:rPr>
          <w:rFonts w:asciiTheme="majorHAnsi" w:hAnsiTheme="majorHAnsi" w:cstheme="majorHAnsi"/>
          <w:sz w:val="16"/>
          <w:szCs w:val="16"/>
          <w:vertAlign w:val="baseline"/>
        </w:rPr>
        <w:t>le</w:t>
      </w:r>
      <w:r w:rsidRPr="004F4116">
        <w:rPr>
          <w:rFonts w:asciiTheme="majorHAnsi" w:hAnsiTheme="majorHAnsi" w:cstheme="majorHAnsi"/>
          <w:sz w:val="16"/>
          <w:szCs w:val="16"/>
          <w:vertAlign w:val="baseline"/>
        </w:rPr>
        <w:t xml:space="preserve"> com. Lenc</w:t>
      </w:r>
      <w:r>
        <w:rPr>
          <w:rFonts w:asciiTheme="majorHAnsi" w:hAnsiTheme="majorHAnsi" w:cstheme="majorHAnsi"/>
          <w:sz w:val="16"/>
          <w:szCs w:val="16"/>
          <w:vertAlign w:val="baseline"/>
        </w:rPr>
        <w:t>ă</w:t>
      </w:r>
      <w:r w:rsidRPr="004F4116">
        <w:rPr>
          <w:rFonts w:asciiTheme="majorHAnsi" w:hAnsiTheme="majorHAnsi" w:cstheme="majorHAnsi"/>
          <w:sz w:val="16"/>
          <w:szCs w:val="16"/>
          <w:vertAlign w:val="baseline"/>
        </w:rPr>
        <w:t>uți, s. Gîrbova din raionul Ocnița.</w:t>
      </w:r>
    </w:p>
  </w:footnote>
  <w:footnote w:id="177">
    <w:p w14:paraId="413C33C5" w14:textId="514045DD" w:rsidR="00036D7F" w:rsidRPr="002B0FA0" w:rsidRDefault="00036D7F" w:rsidP="00F71B75">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H</w:t>
      </w:r>
      <w:r>
        <w:rPr>
          <w:rFonts w:asciiTheme="majorHAnsi" w:hAnsiTheme="majorHAnsi" w:cstheme="majorHAnsi"/>
          <w:sz w:val="16"/>
          <w:szCs w:val="16"/>
          <w:vertAlign w:val="baseline"/>
          <w:lang w:val="ro-MD"/>
        </w:rPr>
        <w:t>P nr.</w:t>
      </w:r>
      <w:r w:rsidRPr="002B0FA0">
        <w:rPr>
          <w:rFonts w:asciiTheme="majorHAnsi" w:hAnsiTheme="majorHAnsi" w:cstheme="majorHAnsi"/>
          <w:sz w:val="16"/>
          <w:szCs w:val="16"/>
          <w:vertAlign w:val="baseline"/>
          <w:lang w:val="ro-MD"/>
        </w:rPr>
        <w:t xml:space="preserve"> 1556/26.02.98 cu privire la reorganizarea şi privatizarea complexului de gaze din Republica Moldova</w:t>
      </w:r>
      <w:r>
        <w:rPr>
          <w:rFonts w:asciiTheme="majorHAnsi" w:hAnsiTheme="majorHAnsi" w:cstheme="majorHAnsi"/>
          <w:sz w:val="16"/>
          <w:szCs w:val="16"/>
          <w:vertAlign w:val="baseline"/>
          <w:lang w:val="ro-MD"/>
        </w:rPr>
        <w:t>.</w:t>
      </w:r>
    </w:p>
  </w:footnote>
  <w:footnote w:id="178">
    <w:p w14:paraId="514329C2" w14:textId="16948558" w:rsidR="00036D7F" w:rsidRPr="002B0FA0" w:rsidRDefault="00036D7F" w:rsidP="00AE15AB">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Ar.101 alin.(1) din Legea nr.108 din 27.05.2016 cu privire la gazele natural</w:t>
      </w:r>
      <w:r>
        <w:rPr>
          <w:rFonts w:asciiTheme="majorHAnsi" w:hAnsiTheme="majorHAnsi" w:cstheme="majorHAnsi"/>
          <w:sz w:val="16"/>
          <w:szCs w:val="16"/>
          <w:vertAlign w:val="baseline"/>
          <w:lang w:val="ro-MD"/>
        </w:rPr>
        <w:t>e</w:t>
      </w:r>
      <w:r w:rsidRPr="002B0FA0">
        <w:rPr>
          <w:rFonts w:asciiTheme="majorHAnsi" w:hAnsiTheme="majorHAnsi" w:cstheme="majorHAnsi"/>
          <w:sz w:val="16"/>
          <w:szCs w:val="16"/>
          <w:vertAlign w:val="baseline"/>
          <w:lang w:val="ro-MD"/>
        </w:rPr>
        <w:t>.</w:t>
      </w:r>
    </w:p>
  </w:footnote>
  <w:footnote w:id="179">
    <w:p w14:paraId="0F0103A7" w14:textId="077C071C" w:rsidR="00036D7F" w:rsidRPr="002B0FA0" w:rsidRDefault="00036D7F" w:rsidP="00AE15AB">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 xml:space="preserve">Pct.46 din Metodologia </w:t>
      </w:r>
      <w:r w:rsidRPr="002B0FA0">
        <w:rPr>
          <w:rFonts w:asciiTheme="majorHAnsi" w:hAnsiTheme="majorHAnsi" w:cstheme="majorHAnsi"/>
          <w:bCs/>
          <w:iCs/>
          <w:noProof/>
          <w:sz w:val="16"/>
          <w:szCs w:val="16"/>
          <w:shd w:val="clear" w:color="auto" w:fill="FFFFFF"/>
          <w:vertAlign w:val="baseline"/>
          <w:lang w:val="ro-MD"/>
        </w:rPr>
        <w:t>de calculare, aprobare și aplicare a tarifelor și prețurilor reglementate la gazele naturale, aprobată prin HANRE nr.</w:t>
      </w:r>
      <w:r w:rsidRPr="002B0FA0">
        <w:rPr>
          <w:rFonts w:asciiTheme="majorHAnsi" w:hAnsiTheme="majorHAnsi" w:cstheme="majorHAnsi"/>
          <w:bCs/>
          <w:sz w:val="16"/>
          <w:szCs w:val="16"/>
          <w:vertAlign w:val="baseline"/>
          <w:lang w:val="ro-MD"/>
        </w:rPr>
        <w:t xml:space="preserve"> 678 din 22.08.2014.</w:t>
      </w:r>
    </w:p>
  </w:footnote>
  <w:footnote w:id="180">
    <w:p w14:paraId="38FADAF8" w14:textId="43A055D8" w:rsidR="00036D7F" w:rsidRPr="002B0FA0" w:rsidRDefault="00036D7F" w:rsidP="00FF59ED">
      <w:pPr>
        <w:spacing w:after="0" w:line="257" w:lineRule="auto"/>
        <w:jc w:val="both"/>
        <w:rPr>
          <w:rFonts w:asciiTheme="majorHAnsi" w:eastAsia="Times New Roman" w:hAnsiTheme="majorHAnsi" w:cstheme="majorHAnsi"/>
          <w:color w:val="000000"/>
          <w:sz w:val="16"/>
          <w:szCs w:val="16"/>
          <w:lang w:val="ro-MD"/>
        </w:rPr>
      </w:pPr>
      <w:r w:rsidRPr="002B0FA0">
        <w:rPr>
          <w:rFonts w:asciiTheme="majorHAnsi" w:eastAsia="Times New Roman" w:hAnsiTheme="majorHAnsi" w:cstheme="majorHAnsi"/>
          <w:color w:val="000000"/>
          <w:sz w:val="16"/>
          <w:szCs w:val="16"/>
          <w:vertAlign w:val="superscript"/>
          <w:lang w:val="ro-MD"/>
        </w:rPr>
        <w:footnoteRef/>
      </w:r>
      <w:r w:rsidRPr="002B0FA0">
        <w:rPr>
          <w:rFonts w:asciiTheme="majorHAnsi" w:eastAsia="Times New Roman" w:hAnsiTheme="majorHAnsi" w:cstheme="majorHAnsi"/>
          <w:color w:val="000000"/>
          <w:sz w:val="16"/>
          <w:szCs w:val="16"/>
          <w:lang w:val="ro-MD"/>
        </w:rPr>
        <w:t xml:space="preserve"> </w:t>
      </w:r>
      <w:r>
        <w:rPr>
          <w:rFonts w:asciiTheme="majorHAnsi" w:eastAsia="Times New Roman" w:hAnsiTheme="majorHAnsi" w:cstheme="majorHAnsi"/>
          <w:color w:val="000000"/>
          <w:sz w:val="16"/>
          <w:szCs w:val="16"/>
          <w:lang w:val="ro-MD"/>
        </w:rPr>
        <w:t>A</w:t>
      </w:r>
      <w:r w:rsidRPr="002B0FA0">
        <w:rPr>
          <w:rFonts w:asciiTheme="majorHAnsi" w:eastAsia="Times New Roman" w:hAnsiTheme="majorHAnsi" w:cstheme="majorHAnsi"/>
          <w:color w:val="000000"/>
          <w:sz w:val="16"/>
          <w:szCs w:val="16"/>
          <w:lang w:val="ro-MD"/>
        </w:rPr>
        <w:t xml:space="preserve">rt.98 </w:t>
      </w:r>
      <w:r>
        <w:rPr>
          <w:rFonts w:asciiTheme="majorHAnsi" w:eastAsia="Times New Roman" w:hAnsiTheme="majorHAnsi" w:cstheme="majorHAnsi"/>
          <w:color w:val="000000"/>
          <w:sz w:val="16"/>
          <w:szCs w:val="16"/>
          <w:lang w:val="ro-MD"/>
        </w:rPr>
        <w:t xml:space="preserve">alin. </w:t>
      </w:r>
      <w:r w:rsidRPr="002B0FA0">
        <w:rPr>
          <w:rFonts w:asciiTheme="majorHAnsi" w:eastAsia="Times New Roman" w:hAnsiTheme="majorHAnsi" w:cstheme="majorHAnsi"/>
          <w:color w:val="000000"/>
          <w:sz w:val="16"/>
          <w:szCs w:val="16"/>
          <w:lang w:val="ro-MD"/>
        </w:rPr>
        <w:t>(4) pr</w:t>
      </w:r>
      <w:r>
        <w:rPr>
          <w:rFonts w:asciiTheme="majorHAnsi" w:eastAsia="Times New Roman" w:hAnsiTheme="majorHAnsi" w:cstheme="majorHAnsi"/>
          <w:color w:val="000000"/>
          <w:sz w:val="16"/>
          <w:szCs w:val="16"/>
          <w:lang w:val="ro-MD"/>
        </w:rPr>
        <w:t>e</w:t>
      </w:r>
      <w:r w:rsidRPr="002B0FA0">
        <w:rPr>
          <w:rFonts w:asciiTheme="majorHAnsi" w:eastAsia="Times New Roman" w:hAnsiTheme="majorHAnsi" w:cstheme="majorHAnsi"/>
          <w:color w:val="000000"/>
          <w:sz w:val="16"/>
          <w:szCs w:val="16"/>
          <w:lang w:val="ro-MD"/>
        </w:rPr>
        <w:t xml:space="preserve">vede: </w:t>
      </w:r>
      <w:r>
        <w:rPr>
          <w:rFonts w:asciiTheme="majorHAnsi" w:eastAsia="Times New Roman" w:hAnsiTheme="majorHAnsi" w:cstheme="majorHAnsi"/>
          <w:color w:val="000000"/>
          <w:sz w:val="16"/>
          <w:szCs w:val="16"/>
          <w:lang w:val="ro-MD"/>
        </w:rPr>
        <w:t>„</w:t>
      </w:r>
      <w:r w:rsidRPr="002B0FA0">
        <w:rPr>
          <w:rFonts w:asciiTheme="majorHAnsi" w:eastAsia="Times New Roman" w:hAnsiTheme="majorHAnsi" w:cstheme="majorHAnsi"/>
          <w:color w:val="000000"/>
          <w:sz w:val="16"/>
          <w:szCs w:val="16"/>
          <w:lang w:val="ro-MD"/>
        </w:rPr>
        <w:t>la calcularea tarifelor reglementate pentru serviciul de transport al gazelor naturale se iau în considerare volumele, veniturile și cheltuielile aferente fluxurilor transfrontaliere</w:t>
      </w:r>
      <w:r>
        <w:rPr>
          <w:rFonts w:asciiTheme="majorHAnsi" w:eastAsia="Times New Roman" w:hAnsiTheme="majorHAnsi" w:cstheme="majorHAnsi"/>
          <w:color w:val="000000"/>
          <w:sz w:val="16"/>
          <w:szCs w:val="16"/>
          <w:lang w:val="ro-MD"/>
        </w:rPr>
        <w:t>”</w:t>
      </w:r>
      <w:r w:rsidRPr="002B0FA0">
        <w:rPr>
          <w:rFonts w:asciiTheme="majorHAnsi" w:eastAsia="Times New Roman" w:hAnsiTheme="majorHAnsi" w:cstheme="majorHAnsi"/>
          <w:color w:val="000000"/>
          <w:sz w:val="16"/>
          <w:szCs w:val="16"/>
          <w:lang w:val="ro-MD"/>
        </w:rPr>
        <w:t>.</w:t>
      </w:r>
    </w:p>
  </w:footnote>
  <w:footnote w:id="181">
    <w:p w14:paraId="0AAF3B1B" w14:textId="6F9BB55D" w:rsidR="00036D7F" w:rsidRPr="002B0FA0" w:rsidRDefault="00036D7F" w:rsidP="00FF59ED">
      <w:pPr>
        <w:spacing w:after="0" w:line="257" w:lineRule="auto"/>
        <w:jc w:val="both"/>
        <w:rPr>
          <w:lang w:val="ro-MD"/>
        </w:rPr>
      </w:pPr>
      <w:r w:rsidRPr="002B0FA0">
        <w:rPr>
          <w:rFonts w:asciiTheme="majorHAnsi" w:eastAsia="Times New Roman" w:hAnsiTheme="majorHAnsi" w:cstheme="majorHAnsi"/>
          <w:color w:val="000000"/>
          <w:sz w:val="16"/>
          <w:szCs w:val="16"/>
          <w:vertAlign w:val="superscript"/>
          <w:lang w:val="ro-MD"/>
        </w:rPr>
        <w:footnoteRef/>
      </w:r>
      <w:r w:rsidRPr="002B0FA0">
        <w:rPr>
          <w:rFonts w:asciiTheme="majorHAnsi" w:eastAsia="Times New Roman" w:hAnsiTheme="majorHAnsi" w:cstheme="majorHAnsi"/>
          <w:color w:val="000000"/>
          <w:sz w:val="16"/>
          <w:szCs w:val="16"/>
          <w:lang w:val="ro-MD"/>
        </w:rPr>
        <w:t xml:space="preserve"> </w:t>
      </w:r>
      <w:r>
        <w:rPr>
          <w:rFonts w:asciiTheme="majorHAnsi" w:eastAsia="Times New Roman" w:hAnsiTheme="majorHAnsi" w:cstheme="majorHAnsi"/>
          <w:color w:val="000000"/>
          <w:sz w:val="16"/>
          <w:szCs w:val="16"/>
          <w:lang w:val="ro-MD"/>
        </w:rPr>
        <w:t>A</w:t>
      </w:r>
      <w:r w:rsidRPr="002B0FA0">
        <w:rPr>
          <w:rFonts w:asciiTheme="majorHAnsi" w:eastAsia="Times New Roman" w:hAnsiTheme="majorHAnsi" w:cstheme="majorHAnsi"/>
          <w:color w:val="000000"/>
          <w:sz w:val="16"/>
          <w:szCs w:val="16"/>
          <w:lang w:val="ro-MD"/>
        </w:rPr>
        <w:t xml:space="preserve">rt. 7 pct.2  </w:t>
      </w:r>
      <w:r>
        <w:rPr>
          <w:rFonts w:asciiTheme="majorHAnsi" w:eastAsia="Times New Roman" w:hAnsiTheme="majorHAnsi" w:cstheme="majorHAnsi"/>
          <w:color w:val="000000"/>
          <w:sz w:val="16"/>
          <w:szCs w:val="16"/>
          <w:lang w:val="ro-MD"/>
        </w:rPr>
        <w:t xml:space="preserve">lit. </w:t>
      </w:r>
      <w:r w:rsidRPr="002B0FA0">
        <w:rPr>
          <w:rFonts w:asciiTheme="majorHAnsi" w:eastAsia="Times New Roman" w:hAnsiTheme="majorHAnsi" w:cstheme="majorHAnsi"/>
          <w:color w:val="000000"/>
          <w:sz w:val="16"/>
          <w:szCs w:val="16"/>
          <w:lang w:val="ro-MD"/>
        </w:rPr>
        <w:t xml:space="preserve">(h) prevede că: </w:t>
      </w:r>
      <w:r>
        <w:rPr>
          <w:rFonts w:asciiTheme="majorHAnsi" w:eastAsia="Times New Roman" w:hAnsiTheme="majorHAnsi" w:cstheme="majorHAnsi"/>
          <w:color w:val="000000"/>
          <w:sz w:val="16"/>
          <w:szCs w:val="16"/>
          <w:lang w:val="ro-MD"/>
        </w:rPr>
        <w:t>„</w:t>
      </w:r>
      <w:r w:rsidRPr="002B0FA0">
        <w:rPr>
          <w:rFonts w:asciiTheme="majorHAnsi" w:eastAsia="Times New Roman" w:hAnsiTheme="majorHAnsi" w:cstheme="majorHAnsi"/>
          <w:color w:val="000000"/>
          <w:sz w:val="16"/>
          <w:szCs w:val="16"/>
          <w:lang w:val="ro-MD"/>
        </w:rPr>
        <w:t>Agenția stabilește, în condițiile prezentei legi, în vederea evitării discriminărilor, a subvențiilor încrucișate și a denaturării concurenței, cerințe privind separarea contabilității pe tipuri de activități desfășurate de întreprinderile de gaze naturale, reglementate prin aprobarea de preturi sau tarife și pe categorii de consumatori</w:t>
      </w:r>
      <w:r>
        <w:rPr>
          <w:rFonts w:asciiTheme="majorHAnsi" w:eastAsia="Times New Roman" w:hAnsiTheme="majorHAnsi" w:cstheme="majorHAnsi"/>
          <w:color w:val="000000"/>
          <w:sz w:val="16"/>
          <w:szCs w:val="16"/>
          <w:lang w:val="ro-MD"/>
        </w:rPr>
        <w:t>”.</w:t>
      </w:r>
    </w:p>
  </w:footnote>
  <w:footnote w:id="182">
    <w:p w14:paraId="62BFD266" w14:textId="153221D5" w:rsidR="00036D7F" w:rsidRPr="002B0FA0" w:rsidRDefault="00036D7F" w:rsidP="00AE15AB">
      <w:pPr>
        <w:jc w:val="both"/>
        <w:rPr>
          <w:rFonts w:asciiTheme="majorHAnsi" w:eastAsia="Times New Roman" w:hAnsiTheme="majorHAnsi" w:cstheme="majorHAnsi"/>
          <w:color w:val="000000"/>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eastAsia="Times New Roman" w:hAnsiTheme="majorHAnsi" w:cstheme="majorHAnsi"/>
          <w:color w:val="000000"/>
          <w:sz w:val="16"/>
          <w:szCs w:val="16"/>
          <w:lang w:val="ro-MD"/>
        </w:rPr>
        <w:t xml:space="preserve">HANRE nr.398 din 31.12.2010 cu privire la aprobarea Metodologiei de calcul al consumurilor tehnologice şi al pierderilor tehnice de gaze naturale în reţelele de distribuţie </w:t>
      </w:r>
      <w:r w:rsidRPr="002B0FA0">
        <w:rPr>
          <w:rStyle w:val="Emphasis"/>
          <w:rFonts w:asciiTheme="majorHAnsi" w:eastAsia="Times New Roman" w:hAnsiTheme="majorHAnsi" w:cstheme="majorHAnsi"/>
          <w:i w:val="0"/>
          <w:color w:val="000000"/>
          <w:sz w:val="16"/>
          <w:szCs w:val="16"/>
          <w:lang w:val="ro-MD"/>
        </w:rPr>
        <w:t>//M</w:t>
      </w:r>
      <w:r>
        <w:rPr>
          <w:rStyle w:val="Emphasis"/>
          <w:rFonts w:asciiTheme="majorHAnsi" w:eastAsia="Times New Roman" w:hAnsiTheme="majorHAnsi" w:cstheme="majorHAnsi"/>
          <w:i w:val="0"/>
          <w:color w:val="000000"/>
          <w:sz w:val="16"/>
          <w:szCs w:val="16"/>
          <w:lang w:val="ro-MD"/>
        </w:rPr>
        <w:t>ORM nr.</w:t>
      </w:r>
      <w:r w:rsidRPr="002B0FA0">
        <w:rPr>
          <w:rStyle w:val="Emphasis"/>
          <w:rFonts w:asciiTheme="majorHAnsi" w:eastAsia="Times New Roman" w:hAnsiTheme="majorHAnsi" w:cstheme="majorHAnsi"/>
          <w:i w:val="0"/>
          <w:color w:val="000000"/>
          <w:sz w:val="16"/>
          <w:szCs w:val="16"/>
          <w:lang w:val="ro-MD"/>
        </w:rPr>
        <w:t xml:space="preserve"> 16-17/72, </w:t>
      </w:r>
      <w:r>
        <w:rPr>
          <w:rStyle w:val="Emphasis"/>
          <w:rFonts w:asciiTheme="majorHAnsi" w:eastAsia="Times New Roman" w:hAnsiTheme="majorHAnsi" w:cstheme="majorHAnsi"/>
          <w:i w:val="0"/>
          <w:color w:val="000000"/>
          <w:sz w:val="16"/>
          <w:szCs w:val="16"/>
          <w:lang w:val="ro-MD"/>
        </w:rPr>
        <w:t xml:space="preserve">din </w:t>
      </w:r>
      <w:r w:rsidRPr="002B0FA0">
        <w:rPr>
          <w:rStyle w:val="Emphasis"/>
          <w:rFonts w:asciiTheme="majorHAnsi" w:eastAsia="Times New Roman" w:hAnsiTheme="majorHAnsi" w:cstheme="majorHAnsi"/>
          <w:i w:val="0"/>
          <w:color w:val="000000"/>
          <w:sz w:val="16"/>
          <w:szCs w:val="16"/>
          <w:lang w:val="ro-MD"/>
        </w:rPr>
        <w:t>21.01.2011</w:t>
      </w:r>
      <w:r w:rsidRPr="002B0FA0">
        <w:rPr>
          <w:rFonts w:asciiTheme="majorHAnsi" w:eastAsia="Times New Roman" w:hAnsiTheme="majorHAnsi" w:cstheme="majorHAnsi"/>
          <w:color w:val="000000"/>
          <w:sz w:val="16"/>
          <w:szCs w:val="16"/>
          <w:lang w:val="ro-MD"/>
        </w:rPr>
        <w:t>​.</w:t>
      </w:r>
    </w:p>
  </w:footnote>
  <w:footnote w:id="183">
    <w:p w14:paraId="02C925F5" w14:textId="77777777" w:rsidR="00036D7F" w:rsidRPr="004F4116" w:rsidRDefault="00036D7F" w:rsidP="00FF50EF">
      <w:pPr>
        <w:pStyle w:val="FootnoteText"/>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Hotărârea Curții de apel economice nr. 2е-8/2009 din 24.02.2009.</w:t>
      </w:r>
    </w:p>
  </w:footnote>
  <w:footnote w:id="184">
    <w:p w14:paraId="79C1DBDA" w14:textId="77777777" w:rsidR="00036D7F" w:rsidRPr="004F4116" w:rsidRDefault="00036D7F" w:rsidP="00FF50EF">
      <w:pPr>
        <w:pStyle w:val="FootnoteText"/>
        <w:rPr>
          <w:rFonts w:asciiTheme="majorHAnsi" w:hAnsiTheme="majorHAnsi" w:cstheme="majorHAnsi"/>
          <w:sz w:val="16"/>
          <w:szCs w:val="16"/>
          <w:vertAlign w:val="baseline"/>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Decizia Agenției Servicii Publice nr. №10036001548 din 13.06.2022.</w:t>
      </w:r>
    </w:p>
  </w:footnote>
  <w:footnote w:id="185">
    <w:p w14:paraId="1D1C2EB7" w14:textId="5E8DB0B9" w:rsidR="00036D7F" w:rsidRPr="002B0FA0" w:rsidRDefault="00036D7F" w:rsidP="002B0FA0">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Art.25 alin.(4) din Legea insolvabilității nr.149 din 29.06.2012.</w:t>
      </w:r>
    </w:p>
  </w:footnote>
  <w:footnote w:id="186">
    <w:p w14:paraId="5D38D7E7" w14:textId="2B7EBEF9" w:rsidR="00036D7F" w:rsidRPr="002B0FA0" w:rsidRDefault="00036D7F" w:rsidP="002B0FA0">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 xml:space="preserve">Încheierea Curții de </w:t>
      </w:r>
      <w:r>
        <w:rPr>
          <w:rFonts w:asciiTheme="majorHAnsi" w:hAnsiTheme="majorHAnsi" w:cstheme="majorHAnsi"/>
          <w:sz w:val="16"/>
          <w:szCs w:val="16"/>
          <w:vertAlign w:val="baseline"/>
          <w:lang w:val="ro-MD"/>
        </w:rPr>
        <w:t>A</w:t>
      </w:r>
      <w:r w:rsidRPr="002B0FA0">
        <w:rPr>
          <w:rFonts w:asciiTheme="majorHAnsi" w:hAnsiTheme="majorHAnsi" w:cstheme="majorHAnsi"/>
          <w:sz w:val="16"/>
          <w:szCs w:val="16"/>
          <w:vertAlign w:val="baseline"/>
          <w:lang w:val="ro-MD"/>
        </w:rPr>
        <w:t xml:space="preserve">pel </w:t>
      </w:r>
      <w:r>
        <w:rPr>
          <w:rFonts w:asciiTheme="majorHAnsi" w:hAnsiTheme="majorHAnsi" w:cstheme="majorHAnsi"/>
          <w:sz w:val="16"/>
          <w:szCs w:val="16"/>
          <w:vertAlign w:val="baseline"/>
          <w:lang w:val="ro-MD"/>
        </w:rPr>
        <w:t>E</w:t>
      </w:r>
      <w:r w:rsidRPr="002B0FA0">
        <w:rPr>
          <w:rFonts w:asciiTheme="majorHAnsi" w:hAnsiTheme="majorHAnsi" w:cstheme="majorHAnsi"/>
          <w:sz w:val="16"/>
          <w:szCs w:val="16"/>
          <w:vertAlign w:val="baseline"/>
          <w:lang w:val="ro-MD"/>
        </w:rPr>
        <w:t>conomice, dosar nr.2e-11/2012 din 01.03.2012.</w:t>
      </w:r>
    </w:p>
  </w:footnote>
  <w:footnote w:id="187">
    <w:p w14:paraId="68BFA650" w14:textId="77777777" w:rsidR="00036D7F" w:rsidRPr="002B0FA0" w:rsidRDefault="00036D7F" w:rsidP="002B0FA0">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vertAlign w:val="baseline"/>
          <w:lang w:val="ro-MD"/>
        </w:rPr>
        <w:t xml:space="preserve"> Scrisoarea Centrului Național Anticorupție nr.03/20-4592 din 11.10.2022.</w:t>
      </w:r>
    </w:p>
  </w:footnote>
  <w:footnote w:id="188">
    <w:p w14:paraId="1C23A1AE" w14:textId="39E46ADD" w:rsidR="00036D7F" w:rsidRPr="002B0FA0" w:rsidRDefault="00036D7F" w:rsidP="00E9204F">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Pct.37</w:t>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 xml:space="preserve">din </w:t>
      </w:r>
      <w:r w:rsidRPr="002B0FA0">
        <w:rPr>
          <w:rFonts w:asciiTheme="majorHAnsi" w:eastAsia="Times New Roman" w:hAnsiTheme="majorHAnsi" w:cstheme="majorHAnsi"/>
          <w:bCs/>
          <w:sz w:val="16"/>
          <w:szCs w:val="16"/>
          <w:vertAlign w:val="baseline"/>
          <w:lang w:val="ro-MD"/>
        </w:rPr>
        <w:t>Standardul</w:t>
      </w:r>
      <w:r w:rsidRPr="002B0FA0">
        <w:rPr>
          <w:rFonts w:asciiTheme="majorHAnsi" w:hAnsiTheme="majorHAnsi" w:cstheme="majorHAnsi"/>
          <w:sz w:val="16"/>
          <w:szCs w:val="16"/>
          <w:vertAlign w:val="baseline"/>
          <w:lang w:val="ro-MD"/>
        </w:rPr>
        <w:t xml:space="preserve"> Național de Contabilitate „</w:t>
      </w:r>
      <w:r w:rsidRPr="002B0FA0">
        <w:rPr>
          <w:rFonts w:asciiTheme="majorHAnsi" w:eastAsia="Times New Roman" w:hAnsiTheme="majorHAnsi" w:cstheme="majorHAnsi"/>
          <w:bCs/>
          <w:sz w:val="16"/>
          <w:szCs w:val="16"/>
          <w:vertAlign w:val="baseline"/>
          <w:lang w:val="ro-MD"/>
        </w:rPr>
        <w:t>Capital propriu și datorii”, aprobat prin Ordinul ministrului Finanțelor nr.118 din 06.08.2013.</w:t>
      </w:r>
    </w:p>
  </w:footnote>
  <w:footnote w:id="189">
    <w:p w14:paraId="1DFE5945" w14:textId="65A44D50" w:rsidR="00036D7F" w:rsidRPr="00002D17" w:rsidRDefault="00036D7F" w:rsidP="00E9204F">
      <w:pPr>
        <w:pStyle w:val="FootnoteText"/>
        <w:jc w:val="both"/>
        <w:rPr>
          <w:rFonts w:asciiTheme="majorHAnsi" w:hAnsiTheme="majorHAnsi" w:cstheme="majorHAnsi"/>
          <w:sz w:val="16"/>
          <w:szCs w:val="16"/>
          <w:lang w:val="ro-MD"/>
        </w:rPr>
      </w:pPr>
      <w:r w:rsidRPr="00002D17">
        <w:rPr>
          <w:rStyle w:val="FootnoteReference"/>
          <w:rFonts w:asciiTheme="majorHAnsi" w:hAnsiTheme="majorHAnsi" w:cstheme="majorHAnsi"/>
          <w:sz w:val="16"/>
          <w:szCs w:val="16"/>
          <w:lang w:val="ro-MD"/>
        </w:rPr>
        <w:footnoteRef/>
      </w:r>
      <w:r w:rsidRPr="00002D17">
        <w:rPr>
          <w:rFonts w:asciiTheme="majorHAnsi" w:hAnsiTheme="majorHAnsi" w:cstheme="majorHAnsi"/>
          <w:sz w:val="16"/>
          <w:szCs w:val="16"/>
          <w:lang w:val="ro-MD"/>
        </w:rPr>
        <w:t xml:space="preserve"> </w:t>
      </w:r>
      <w:r w:rsidRPr="00002D17">
        <w:rPr>
          <w:rFonts w:asciiTheme="majorHAnsi" w:hAnsiTheme="majorHAnsi" w:cstheme="majorHAnsi"/>
          <w:sz w:val="16"/>
          <w:szCs w:val="16"/>
          <w:vertAlign w:val="baseline"/>
          <w:lang w:val="ro-MD"/>
        </w:rPr>
        <w:t xml:space="preserve">Standardul național de contabilitate </w:t>
      </w:r>
      <w:r>
        <w:rPr>
          <w:rFonts w:asciiTheme="majorHAnsi" w:hAnsiTheme="majorHAnsi" w:cstheme="majorHAnsi"/>
          <w:sz w:val="16"/>
          <w:szCs w:val="16"/>
          <w:vertAlign w:val="baseline"/>
          <w:lang w:val="ro-MD"/>
        </w:rPr>
        <w:t>„</w:t>
      </w:r>
      <w:r w:rsidRPr="00002D17">
        <w:rPr>
          <w:rFonts w:asciiTheme="majorHAnsi" w:hAnsiTheme="majorHAnsi" w:cstheme="majorHAnsi"/>
          <w:sz w:val="16"/>
          <w:szCs w:val="16"/>
          <w:vertAlign w:val="baseline"/>
          <w:lang w:val="ro-MD"/>
        </w:rPr>
        <w:t>Creanțe și investiții”</w:t>
      </w:r>
      <w:r>
        <w:rPr>
          <w:rFonts w:asciiTheme="majorHAnsi" w:hAnsiTheme="majorHAnsi" w:cstheme="majorHAnsi"/>
          <w:sz w:val="16"/>
          <w:szCs w:val="16"/>
          <w:vertAlign w:val="baseline"/>
          <w:lang w:val="ro-MD"/>
        </w:rPr>
        <w:t>.</w:t>
      </w:r>
    </w:p>
  </w:footnote>
  <w:footnote w:id="190">
    <w:p w14:paraId="502E18F2" w14:textId="6B36E4CE" w:rsidR="00036D7F" w:rsidRPr="00002D17" w:rsidRDefault="00036D7F" w:rsidP="00E9204F">
      <w:pPr>
        <w:pStyle w:val="FootnoteText"/>
        <w:jc w:val="both"/>
        <w:rPr>
          <w:rFonts w:asciiTheme="majorHAnsi" w:hAnsiTheme="majorHAnsi" w:cstheme="majorHAnsi"/>
          <w:sz w:val="16"/>
          <w:szCs w:val="16"/>
          <w:lang w:val="ro-MD"/>
        </w:rPr>
      </w:pPr>
      <w:r w:rsidRPr="00002D17">
        <w:rPr>
          <w:rStyle w:val="FootnoteReference"/>
          <w:rFonts w:asciiTheme="majorHAnsi" w:hAnsiTheme="majorHAnsi" w:cstheme="majorHAnsi"/>
          <w:sz w:val="16"/>
          <w:szCs w:val="16"/>
          <w:lang w:val="ro-MD"/>
        </w:rPr>
        <w:footnoteRef/>
      </w:r>
      <w:r w:rsidRPr="00002D17">
        <w:rPr>
          <w:rFonts w:asciiTheme="majorHAnsi" w:hAnsiTheme="majorHAnsi" w:cstheme="majorHAnsi"/>
          <w:sz w:val="16"/>
          <w:szCs w:val="16"/>
          <w:lang w:val="ro-MD"/>
        </w:rPr>
        <w:t xml:space="preserve"> </w:t>
      </w:r>
      <w:r w:rsidRPr="00002D17">
        <w:rPr>
          <w:rFonts w:asciiTheme="majorHAnsi" w:hAnsiTheme="majorHAnsi" w:cstheme="majorHAnsi"/>
          <w:sz w:val="16"/>
          <w:szCs w:val="16"/>
          <w:vertAlign w:val="baseline"/>
          <w:lang w:val="ro-MD"/>
        </w:rPr>
        <w:t xml:space="preserve">Regulamentul privind Politica controlului intern din cadrul SA Moldovagaz, aprobat prin decizia </w:t>
      </w:r>
      <w:r>
        <w:rPr>
          <w:rFonts w:asciiTheme="majorHAnsi" w:hAnsiTheme="majorHAnsi" w:cstheme="majorHAnsi"/>
          <w:sz w:val="16"/>
          <w:szCs w:val="16"/>
          <w:vertAlign w:val="baseline"/>
          <w:lang w:val="ro-MD"/>
        </w:rPr>
        <w:t>C</w:t>
      </w:r>
      <w:r w:rsidRPr="00002D17">
        <w:rPr>
          <w:rFonts w:asciiTheme="majorHAnsi" w:hAnsiTheme="majorHAnsi" w:cstheme="majorHAnsi"/>
          <w:sz w:val="16"/>
          <w:szCs w:val="16"/>
          <w:vertAlign w:val="baseline"/>
          <w:lang w:val="ro-MD"/>
        </w:rPr>
        <w:t>onsiliului de administrație nr. 64 din 22.07.2010</w:t>
      </w:r>
      <w:r>
        <w:rPr>
          <w:rFonts w:asciiTheme="majorHAnsi" w:hAnsiTheme="majorHAnsi" w:cstheme="majorHAnsi"/>
          <w:sz w:val="16"/>
          <w:szCs w:val="16"/>
          <w:vertAlign w:val="baseline"/>
          <w:lang w:val="ro-MD"/>
        </w:rPr>
        <w:t>.</w:t>
      </w:r>
      <w:r w:rsidRPr="00002D17">
        <w:rPr>
          <w:rFonts w:asciiTheme="majorHAnsi" w:hAnsiTheme="majorHAnsi" w:cstheme="majorHAnsi"/>
          <w:sz w:val="16"/>
          <w:szCs w:val="16"/>
          <w:lang w:val="ro-MD"/>
        </w:rPr>
        <w:t xml:space="preserve"> </w:t>
      </w:r>
    </w:p>
  </w:footnote>
  <w:footnote w:id="191">
    <w:p w14:paraId="137FE57E" w14:textId="11998C8B" w:rsidR="00036D7F" w:rsidRPr="002B0FA0" w:rsidRDefault="00036D7F" w:rsidP="00183A6B">
      <w:pPr>
        <w:pStyle w:val="FootnoteText"/>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Art.7 alin.(2) lit. d), art. 98 din Legea nr.108 din 27.05.2016 cu privire la gazele naturale.</w:t>
      </w:r>
    </w:p>
  </w:footnote>
  <w:footnote w:id="192">
    <w:p w14:paraId="73F78432" w14:textId="07158791" w:rsidR="00036D7F" w:rsidRPr="002B0FA0" w:rsidRDefault="00036D7F" w:rsidP="00472979">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Contract</w:t>
      </w:r>
      <w:r>
        <w:rPr>
          <w:rFonts w:asciiTheme="majorHAnsi" w:hAnsiTheme="majorHAnsi" w:cstheme="majorHAnsi"/>
          <w:sz w:val="16"/>
          <w:szCs w:val="16"/>
          <w:vertAlign w:val="baseline"/>
          <w:lang w:val="ro-MD"/>
        </w:rPr>
        <w:t>ul</w:t>
      </w:r>
      <w:r w:rsidRPr="002B0FA0">
        <w:rPr>
          <w:rFonts w:asciiTheme="majorHAnsi" w:hAnsiTheme="majorHAnsi" w:cstheme="majorHAnsi"/>
          <w:sz w:val="16"/>
          <w:szCs w:val="16"/>
          <w:vertAlign w:val="baseline"/>
          <w:lang w:val="ro-MD"/>
        </w:rPr>
        <w:t xml:space="preserve"> nr.OOO FBK „24-1/19-k” din 01.04.2019</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în sumă de 130,2 mii dolari SUA.</w:t>
      </w:r>
    </w:p>
  </w:footnote>
  <w:footnote w:id="193">
    <w:p w14:paraId="1D6F9706" w14:textId="77777777" w:rsidR="00036D7F" w:rsidRPr="002B0FA0" w:rsidRDefault="00036D7F" w:rsidP="006D0F6F">
      <w:pPr>
        <w:pStyle w:val="FootnoteText"/>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Art. 24 alin. (8) din Codul fiscal.</w:t>
      </w:r>
    </w:p>
  </w:footnote>
  <w:footnote w:id="194">
    <w:p w14:paraId="5D018763" w14:textId="7E818B03" w:rsidR="00036D7F" w:rsidRPr="002B0FA0" w:rsidRDefault="00036D7F" w:rsidP="002B0FA0">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bCs/>
          <w:sz w:val="16"/>
          <w:szCs w:val="16"/>
          <w:vertAlign w:val="baseline"/>
          <w:lang w:val="ro-MD"/>
        </w:rPr>
        <w:t>Metodologia de calculare și aplicare a tarifelor reglementate la gazele naturale</w:t>
      </w:r>
      <w:r>
        <w:rPr>
          <w:rFonts w:asciiTheme="majorHAnsi" w:hAnsiTheme="majorHAnsi" w:cstheme="majorHAnsi"/>
          <w:bCs/>
          <w:sz w:val="16"/>
          <w:szCs w:val="16"/>
          <w:vertAlign w:val="baseline"/>
          <w:lang w:val="ro-MD"/>
        </w:rPr>
        <w:t>,</w:t>
      </w:r>
      <w:r w:rsidRPr="002B0FA0">
        <w:rPr>
          <w:rFonts w:asciiTheme="majorHAnsi" w:hAnsiTheme="majorHAnsi" w:cstheme="majorHAnsi"/>
          <w:bCs/>
          <w:sz w:val="16"/>
          <w:szCs w:val="16"/>
          <w:vertAlign w:val="baseline"/>
          <w:lang w:val="ro-MD"/>
        </w:rPr>
        <w:t xml:space="preserve"> aprobată prin </w:t>
      </w:r>
      <w:r w:rsidRPr="002B0FA0">
        <w:rPr>
          <w:rFonts w:asciiTheme="majorHAnsi" w:hAnsiTheme="majorHAnsi" w:cstheme="majorHAnsi"/>
          <w:sz w:val="16"/>
          <w:szCs w:val="16"/>
          <w:vertAlign w:val="baseline"/>
          <w:lang w:val="ro-MD"/>
        </w:rPr>
        <w:t>HANRE nr. 678/2014 din 22.08.2014.</w:t>
      </w:r>
    </w:p>
  </w:footnote>
  <w:footnote w:id="195">
    <w:p w14:paraId="1EB3C260" w14:textId="4ABEE2EE" w:rsidR="00036D7F" w:rsidRPr="002B0FA0" w:rsidRDefault="00036D7F" w:rsidP="002B0FA0">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bCs/>
          <w:sz w:val="16"/>
          <w:szCs w:val="16"/>
          <w:vertAlign w:val="baseline"/>
          <w:lang w:val="ro-MD"/>
        </w:rPr>
        <w:t xml:space="preserve">Metodologia </w:t>
      </w:r>
      <w:r w:rsidRPr="002B0FA0">
        <w:rPr>
          <w:rFonts w:asciiTheme="majorHAnsi" w:hAnsiTheme="majorHAnsi" w:cstheme="majorHAnsi"/>
          <w:sz w:val="16"/>
          <w:szCs w:val="16"/>
          <w:vertAlign w:val="baseline"/>
          <w:lang w:val="ro-MD"/>
        </w:rPr>
        <w:t xml:space="preserve"> de calculare, de aprobare și de aplicare a tarifelor reglementate pentru serviciul de distribuție a gazelor naturale</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aprobată prin HANRE nr. 443/2020 din 24.11.2020.</w:t>
      </w:r>
    </w:p>
  </w:footnote>
  <w:footnote w:id="196">
    <w:p w14:paraId="71349571" w14:textId="129F9744" w:rsidR="00036D7F" w:rsidRPr="002B0FA0" w:rsidRDefault="00036D7F" w:rsidP="002B0FA0">
      <w:pPr>
        <w:pStyle w:val="FootnoteText"/>
        <w:jc w:val="both"/>
        <w:rPr>
          <w:rFonts w:asciiTheme="majorHAnsi" w:hAnsiTheme="majorHAnsi" w:cstheme="majorHAnsi"/>
          <w:sz w:val="16"/>
          <w:szCs w:val="16"/>
          <w:vertAlign w:val="baseline"/>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Cod 03025 (12</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060,31 mii lei) + cod 03037 (2</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122,60 mii lei) + cod 03038 (3</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140,33 mii lei).</w:t>
      </w:r>
    </w:p>
  </w:footnote>
  <w:footnote w:id="197">
    <w:p w14:paraId="034C8629" w14:textId="77777777" w:rsidR="00912236" w:rsidRPr="00B936F7" w:rsidRDefault="00912236" w:rsidP="00912236">
      <w:pPr>
        <w:pStyle w:val="FootnoteText"/>
        <w:jc w:val="both"/>
        <w:rPr>
          <w:rFonts w:asciiTheme="majorHAnsi" w:hAnsiTheme="majorHAnsi" w:cstheme="majorHAnsi"/>
          <w:sz w:val="16"/>
          <w:szCs w:val="16"/>
          <w:vertAlign w:val="baseline"/>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w:t>
      </w:r>
      <w:r w:rsidRPr="00B936F7">
        <w:rPr>
          <w:rFonts w:asciiTheme="majorHAnsi" w:hAnsiTheme="majorHAnsi" w:cstheme="majorHAnsi"/>
          <w:sz w:val="16"/>
          <w:szCs w:val="16"/>
          <w:vertAlign w:val="baseline"/>
          <w:lang w:val="ro-MD"/>
        </w:rPr>
        <w:t>Ordinea de zi, agende, înscrisuri în procesele</w:t>
      </w:r>
      <w:r>
        <w:rPr>
          <w:rFonts w:asciiTheme="majorHAnsi" w:hAnsiTheme="majorHAnsi" w:cstheme="majorHAnsi"/>
          <w:sz w:val="16"/>
          <w:szCs w:val="16"/>
          <w:vertAlign w:val="baseline"/>
          <w:lang w:val="ro-MD"/>
        </w:rPr>
        <w:t>-</w:t>
      </w:r>
      <w:r w:rsidRPr="00B936F7">
        <w:rPr>
          <w:rFonts w:asciiTheme="majorHAnsi" w:hAnsiTheme="majorHAnsi" w:cstheme="majorHAnsi"/>
          <w:sz w:val="16"/>
          <w:szCs w:val="16"/>
          <w:vertAlign w:val="baseline"/>
          <w:lang w:val="ro-MD"/>
        </w:rPr>
        <w:t>verbale, poziții separate atașate la procese</w:t>
      </w:r>
      <w:r>
        <w:rPr>
          <w:rFonts w:asciiTheme="majorHAnsi" w:hAnsiTheme="majorHAnsi" w:cstheme="majorHAnsi"/>
          <w:sz w:val="16"/>
          <w:szCs w:val="16"/>
          <w:vertAlign w:val="baseline"/>
          <w:lang w:val="ro-MD"/>
        </w:rPr>
        <w:t>le-</w:t>
      </w:r>
      <w:r w:rsidRPr="00B936F7">
        <w:rPr>
          <w:rFonts w:asciiTheme="majorHAnsi" w:hAnsiTheme="majorHAnsi" w:cstheme="majorHAnsi"/>
          <w:sz w:val="16"/>
          <w:szCs w:val="16"/>
          <w:vertAlign w:val="baseline"/>
          <w:lang w:val="ro-MD"/>
        </w:rPr>
        <w:t>verbale etc. pentru perioada 2017-2021.</w:t>
      </w:r>
    </w:p>
  </w:footnote>
  <w:footnote w:id="198">
    <w:p w14:paraId="0BEBA619" w14:textId="60F35D2D" w:rsidR="00036D7F" w:rsidRPr="004F4116" w:rsidRDefault="00036D7F" w:rsidP="008F1B84">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 xml:space="preserve">Art.70 și </w:t>
      </w:r>
      <w:r>
        <w:rPr>
          <w:rFonts w:asciiTheme="majorHAnsi" w:hAnsiTheme="majorHAnsi" w:cstheme="majorHAnsi"/>
          <w:sz w:val="16"/>
          <w:szCs w:val="16"/>
          <w:vertAlign w:val="baseline"/>
        </w:rPr>
        <w:t>art.</w:t>
      </w:r>
      <w:r w:rsidRPr="004F4116">
        <w:rPr>
          <w:rFonts w:asciiTheme="majorHAnsi" w:hAnsiTheme="majorHAnsi" w:cstheme="majorHAnsi"/>
          <w:sz w:val="16"/>
          <w:szCs w:val="16"/>
          <w:vertAlign w:val="baseline"/>
        </w:rPr>
        <w:t>71 din Legea cu privire la societățile pe acțiuni nr.1134 din 02.04.1997, cu modificările și completările ulterioare.</w:t>
      </w:r>
    </w:p>
  </w:footnote>
  <w:footnote w:id="199">
    <w:p w14:paraId="1C089650" w14:textId="77777777" w:rsidR="00036D7F" w:rsidRPr="004F4116" w:rsidRDefault="00036D7F" w:rsidP="002A179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Hotărârea Consiliului de administrație nr.31 din 15.03.2011 cu privire la realizarea activităților de furnizare a gazelor prin intermediul stațiilor de alimentare cu gaze comprimate, precum și Hotărârea Consiliului de administrație nr.53 din 16.05.2011 cu privire la crearea SRL Transautogaz.</w:t>
      </w:r>
    </w:p>
  </w:footnote>
  <w:footnote w:id="200">
    <w:p w14:paraId="107B3A4E" w14:textId="77777777" w:rsidR="00036D7F" w:rsidRPr="004F4116" w:rsidRDefault="00036D7F" w:rsidP="002A1796">
      <w:pPr>
        <w:pStyle w:val="FootnoteText"/>
        <w:jc w:val="both"/>
        <w:rPr>
          <w:rFonts w:asciiTheme="majorHAnsi" w:hAnsiTheme="majorHAnsi" w:cstheme="majorHAnsi"/>
          <w:sz w:val="16"/>
          <w:szCs w:val="16"/>
        </w:rPr>
      </w:pPr>
      <w:r w:rsidRPr="004F4116">
        <w:rPr>
          <w:rStyle w:val="FootnoteReference"/>
          <w:rFonts w:asciiTheme="majorHAnsi" w:hAnsiTheme="majorHAnsi" w:cstheme="majorHAnsi"/>
          <w:sz w:val="16"/>
          <w:szCs w:val="16"/>
        </w:rPr>
        <w:footnoteRef/>
      </w:r>
      <w:r w:rsidRPr="004F4116">
        <w:rPr>
          <w:rFonts w:asciiTheme="majorHAnsi" w:hAnsiTheme="majorHAnsi" w:cstheme="majorHAnsi"/>
          <w:sz w:val="16"/>
          <w:szCs w:val="16"/>
        </w:rPr>
        <w:t xml:space="preserve"> </w:t>
      </w:r>
      <w:r w:rsidRPr="004F4116">
        <w:rPr>
          <w:rFonts w:asciiTheme="majorHAnsi" w:hAnsiTheme="majorHAnsi" w:cstheme="majorHAnsi"/>
          <w:sz w:val="16"/>
          <w:szCs w:val="16"/>
          <w:vertAlign w:val="baseline"/>
        </w:rPr>
        <w:t>Capitolul VIII, pct.6, 7 și 8 din Statutul SA Moldovagaz cu modificările și completările ulterioare, înregistrat la Camera Înregistrării de Stat, la data de 25.05.1999, cu nr.177018624.</w:t>
      </w:r>
    </w:p>
  </w:footnote>
  <w:footnote w:id="201">
    <w:p w14:paraId="4A29B0FC" w14:textId="77777777" w:rsidR="00036D7F" w:rsidRPr="002B0FA0" w:rsidRDefault="00036D7F" w:rsidP="002A1796">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Hotărârea Consiliului de observatori nr.69 din 25.12.2014 cu privire la reorganizarea structurii complexului de gaze al SA Moldovagaz.</w:t>
      </w:r>
    </w:p>
  </w:footnote>
  <w:footnote w:id="202">
    <w:p w14:paraId="3C778C90" w14:textId="77777777" w:rsidR="00036D7F" w:rsidRPr="00B936F7" w:rsidRDefault="00036D7F" w:rsidP="002A1796">
      <w:pPr>
        <w:pStyle w:val="FootnoteText"/>
        <w:jc w:val="both"/>
        <w:rPr>
          <w:rFonts w:asciiTheme="majorHAnsi" w:hAnsiTheme="majorHAnsi" w:cstheme="majorHAnsi"/>
          <w:sz w:val="16"/>
          <w:szCs w:val="16"/>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w:t>
      </w:r>
      <w:r w:rsidRPr="00B936F7">
        <w:rPr>
          <w:rFonts w:asciiTheme="majorHAnsi" w:hAnsiTheme="majorHAnsi" w:cstheme="majorHAnsi"/>
          <w:sz w:val="16"/>
          <w:szCs w:val="16"/>
          <w:vertAlign w:val="baseline"/>
          <w:lang w:val="ro-MD"/>
        </w:rPr>
        <w:t>Art.22 - art.25 din Legea nr.108 din 27.05.2016 cu privire la gazele naturale.</w:t>
      </w:r>
    </w:p>
  </w:footnote>
  <w:footnote w:id="203">
    <w:p w14:paraId="5158420F" w14:textId="7C78655B" w:rsidR="00036D7F" w:rsidRPr="00B936F7" w:rsidRDefault="00036D7F" w:rsidP="002A1796">
      <w:pPr>
        <w:pStyle w:val="FootnoteText"/>
        <w:jc w:val="both"/>
        <w:rPr>
          <w:rFonts w:asciiTheme="majorHAnsi" w:hAnsiTheme="majorHAnsi" w:cstheme="majorHAnsi"/>
          <w:sz w:val="16"/>
          <w:szCs w:val="16"/>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w:t>
      </w:r>
      <w:r w:rsidRPr="00B936F7">
        <w:rPr>
          <w:rFonts w:asciiTheme="majorHAnsi" w:hAnsiTheme="majorHAnsi" w:cstheme="majorHAnsi"/>
          <w:sz w:val="16"/>
          <w:szCs w:val="16"/>
          <w:vertAlign w:val="baseline"/>
          <w:lang w:val="ro-MD"/>
        </w:rPr>
        <w:t>Cheltuieli de reformă suportate doar în perioada auditată 2017</w:t>
      </w:r>
      <w:r>
        <w:rPr>
          <w:rFonts w:asciiTheme="majorHAnsi" w:hAnsiTheme="majorHAnsi" w:cstheme="majorHAnsi"/>
          <w:sz w:val="16"/>
          <w:szCs w:val="16"/>
          <w:vertAlign w:val="baseline"/>
          <w:lang w:val="ro-MD"/>
        </w:rPr>
        <w:t>-</w:t>
      </w:r>
      <w:r w:rsidRPr="00B936F7">
        <w:rPr>
          <w:rFonts w:asciiTheme="majorHAnsi" w:hAnsiTheme="majorHAnsi" w:cstheme="majorHAnsi"/>
          <w:sz w:val="16"/>
          <w:szCs w:val="16"/>
          <w:vertAlign w:val="baseline"/>
          <w:lang w:val="ro-MD"/>
        </w:rPr>
        <w:t>2021.</w:t>
      </w:r>
    </w:p>
  </w:footnote>
  <w:footnote w:id="204">
    <w:p w14:paraId="7D0564F8" w14:textId="60649C35" w:rsidR="00036D7F" w:rsidRPr="00B936F7" w:rsidRDefault="00036D7F" w:rsidP="002A1796">
      <w:pPr>
        <w:pStyle w:val="FootnoteText"/>
        <w:jc w:val="both"/>
        <w:rPr>
          <w:rFonts w:asciiTheme="majorHAnsi" w:hAnsiTheme="majorHAnsi" w:cstheme="majorHAnsi"/>
          <w:sz w:val="16"/>
          <w:szCs w:val="16"/>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w:t>
      </w:r>
      <w:r w:rsidRPr="00B936F7">
        <w:rPr>
          <w:rFonts w:asciiTheme="majorHAnsi" w:hAnsiTheme="majorHAnsi" w:cstheme="majorHAnsi"/>
          <w:sz w:val="16"/>
          <w:szCs w:val="16"/>
          <w:vertAlign w:val="baseline"/>
          <w:lang w:val="ro-MD"/>
        </w:rPr>
        <w:t>Art.114 din Legea cu privire la gazele natural</w:t>
      </w:r>
      <w:r>
        <w:rPr>
          <w:rFonts w:asciiTheme="majorHAnsi" w:hAnsiTheme="majorHAnsi" w:cstheme="majorHAnsi"/>
          <w:sz w:val="16"/>
          <w:szCs w:val="16"/>
          <w:vertAlign w:val="baseline"/>
          <w:lang w:val="ro-MD"/>
        </w:rPr>
        <w:t>e</w:t>
      </w:r>
      <w:r w:rsidRPr="00B936F7">
        <w:rPr>
          <w:rFonts w:asciiTheme="majorHAnsi" w:hAnsiTheme="majorHAnsi" w:cstheme="majorHAnsi"/>
          <w:sz w:val="16"/>
          <w:szCs w:val="16"/>
          <w:vertAlign w:val="baseline"/>
          <w:lang w:val="ro-MD"/>
        </w:rPr>
        <w:t xml:space="preserve"> nr.108 din 27.05.2016, ,, </w:t>
      </w:r>
      <w:r w:rsidRPr="00B936F7">
        <w:rPr>
          <w:rFonts w:asciiTheme="majorHAnsi" w:hAnsiTheme="majorHAnsi" w:cstheme="majorHAnsi"/>
          <w:i/>
          <w:sz w:val="16"/>
          <w:szCs w:val="16"/>
          <w:vertAlign w:val="baseline"/>
          <w:lang w:val="ro-MD"/>
        </w:rPr>
        <w:t>(6) Implementarea prevederilor prezentei legi cu privire la separarea operatorilor sistemelor de transport se efectuează în termen de până la 1 ianuarie 2020, cu aplicarea unuia dintre modelele stabilite la art. 23 alin. (2). Operatorii sistemelor de transport s</w:t>
      </w:r>
      <w:r>
        <w:rPr>
          <w:rFonts w:asciiTheme="majorHAnsi" w:hAnsiTheme="majorHAnsi" w:cstheme="majorHAnsi"/>
          <w:i/>
          <w:sz w:val="16"/>
          <w:szCs w:val="16"/>
          <w:vertAlign w:val="baseline"/>
          <w:lang w:val="ro-MD"/>
        </w:rPr>
        <w:t>u</w:t>
      </w:r>
      <w:r w:rsidRPr="00B936F7">
        <w:rPr>
          <w:rFonts w:asciiTheme="majorHAnsi" w:hAnsiTheme="majorHAnsi" w:cstheme="majorHAnsi"/>
          <w:i/>
          <w:sz w:val="16"/>
          <w:szCs w:val="16"/>
          <w:vertAlign w:val="baseline"/>
          <w:lang w:val="ro-MD"/>
        </w:rPr>
        <w:t>nt obligați să prezinte spre aprobare Agenției, în prealabil, până la 1 ianuarie 2019, planul de implementare a unuia dintre modelele de separare și documentele aferente. Agenția este obligată să aprobe planul de implementare a unuia dintre modelele de separare în termen de 6 luni de la prezentarea de către operatorii sistemelor de transport a tuturor documentelor necesare”.</w:t>
      </w:r>
    </w:p>
  </w:footnote>
  <w:footnote w:id="205">
    <w:p w14:paraId="6CEBD8D8" w14:textId="07CFD936" w:rsidR="00036D7F" w:rsidRPr="0020185E" w:rsidRDefault="00036D7F">
      <w:pPr>
        <w:pStyle w:val="FootnoteText"/>
        <w:rPr>
          <w:rFonts w:asciiTheme="majorHAnsi" w:hAnsiTheme="majorHAnsi" w:cstheme="majorHAnsi"/>
          <w:sz w:val="16"/>
          <w:szCs w:val="16"/>
          <w:vertAlign w:val="baseline"/>
        </w:rPr>
      </w:pPr>
      <w:r w:rsidRPr="0020185E">
        <w:rPr>
          <w:rStyle w:val="FootnoteReference"/>
          <w:rFonts w:asciiTheme="majorHAnsi" w:hAnsiTheme="majorHAnsi" w:cstheme="majorHAnsi"/>
          <w:sz w:val="16"/>
          <w:szCs w:val="16"/>
        </w:rPr>
        <w:footnoteRef/>
      </w:r>
      <w:r w:rsidRPr="0020185E">
        <w:rPr>
          <w:rFonts w:asciiTheme="majorHAnsi" w:hAnsiTheme="majorHAnsi" w:cstheme="majorHAnsi"/>
          <w:sz w:val="16"/>
          <w:szCs w:val="16"/>
          <w:vertAlign w:val="baseline"/>
        </w:rPr>
        <w:t xml:space="preserve"> Contractul nr.19 încheiat cu </w:t>
      </w:r>
      <w:r>
        <w:rPr>
          <w:rFonts w:asciiTheme="majorHAnsi" w:hAnsiTheme="majorHAnsi" w:cstheme="majorHAnsi"/>
          <w:sz w:val="16"/>
          <w:szCs w:val="16"/>
          <w:vertAlign w:val="baseline"/>
        </w:rPr>
        <w:t>SRL</w:t>
      </w:r>
      <w:r w:rsidRPr="0020185E">
        <w:rPr>
          <w:rFonts w:asciiTheme="majorHAnsi" w:hAnsiTheme="majorHAnsi" w:cstheme="majorHAnsi"/>
          <w:sz w:val="16"/>
          <w:szCs w:val="16"/>
          <w:vertAlign w:val="baseline"/>
        </w:rPr>
        <w:t xml:space="preserve"> „Victoria Leasing &amp;Finance”.</w:t>
      </w:r>
    </w:p>
  </w:footnote>
  <w:footnote w:id="206">
    <w:p w14:paraId="650533B2" w14:textId="4BCCAAA8" w:rsidR="00036D7F" w:rsidRPr="00B936F7" w:rsidRDefault="00036D7F" w:rsidP="00E50792">
      <w:pPr>
        <w:spacing w:after="0" w:line="240" w:lineRule="auto"/>
        <w:jc w:val="both"/>
        <w:rPr>
          <w:rFonts w:asciiTheme="majorHAnsi" w:hAnsiTheme="majorHAnsi" w:cstheme="majorHAnsi"/>
          <w:sz w:val="16"/>
          <w:szCs w:val="16"/>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Regulamentul </w:t>
      </w:r>
      <w:r w:rsidRPr="005970AD">
        <w:rPr>
          <w:rFonts w:asciiTheme="majorHAnsi" w:hAnsiTheme="majorHAnsi" w:cstheme="majorHAnsi"/>
          <w:sz w:val="16"/>
          <w:szCs w:val="16"/>
          <w:lang w:val="ro-MD"/>
        </w:rPr>
        <w:t xml:space="preserve">privind </w:t>
      </w:r>
      <w:r w:rsidRPr="00CF3AD4">
        <w:rPr>
          <w:rFonts w:asciiTheme="majorHAnsi" w:hAnsiTheme="majorHAnsi" w:cstheme="majorHAnsi"/>
          <w:sz w:val="16"/>
          <w:szCs w:val="16"/>
          <w:lang w:val="ro-MD"/>
        </w:rPr>
        <w:t xml:space="preserve">procedura de încheiere a contractelor în cadrul </w:t>
      </w:r>
      <w:r w:rsidRPr="005970AD">
        <w:rPr>
          <w:rFonts w:asciiTheme="majorHAnsi" w:hAnsiTheme="majorHAnsi" w:cstheme="majorHAnsi"/>
          <w:sz w:val="16"/>
          <w:szCs w:val="16"/>
          <w:lang w:val="ro-MD"/>
        </w:rPr>
        <w:t>SRL Moldovatransgaz</w:t>
      </w:r>
      <w:r w:rsidRPr="00CF3AD4">
        <w:rPr>
          <w:rFonts w:asciiTheme="majorHAnsi" w:hAnsiTheme="majorHAnsi" w:cstheme="majorHAnsi"/>
          <w:sz w:val="16"/>
          <w:szCs w:val="16"/>
          <w:lang w:val="ro-MD"/>
        </w:rPr>
        <w:t>,</w:t>
      </w:r>
      <w:r w:rsidRPr="005970AD">
        <w:rPr>
          <w:rFonts w:asciiTheme="majorHAnsi" w:hAnsiTheme="majorHAnsi" w:cstheme="majorHAnsi"/>
          <w:sz w:val="16"/>
          <w:szCs w:val="16"/>
          <w:lang w:val="ro-MD"/>
        </w:rPr>
        <w:t xml:space="preserve"> aprobat prin ordinul directorului SRL Moldovatransgaz nr.155 din 23.05.2012.</w:t>
      </w:r>
    </w:p>
  </w:footnote>
  <w:footnote w:id="207">
    <w:p w14:paraId="139D1F0A" w14:textId="05BBD829" w:rsidR="00036D7F" w:rsidRPr="00B936F7" w:rsidRDefault="00036D7F" w:rsidP="00B936F7">
      <w:pPr>
        <w:pStyle w:val="FootnoteText"/>
        <w:jc w:val="both"/>
        <w:rPr>
          <w:rFonts w:asciiTheme="majorHAnsi" w:hAnsiTheme="majorHAnsi" w:cstheme="majorHAnsi"/>
          <w:sz w:val="16"/>
          <w:szCs w:val="16"/>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w:t>
      </w:r>
      <w:r w:rsidRPr="00B936F7">
        <w:rPr>
          <w:rFonts w:asciiTheme="majorHAnsi" w:hAnsiTheme="majorHAnsi" w:cstheme="majorHAnsi"/>
          <w:sz w:val="16"/>
          <w:szCs w:val="16"/>
          <w:vertAlign w:val="baseline"/>
          <w:lang w:val="ro-MD"/>
        </w:rPr>
        <w:t>Scrisoarea SA Moldovagaz privind procedura de coordonare prealabilă obligatorie a plăților efectuate de către societățile afiliate nr.01/1-1586 din 20.04.2016 cu prelungirea acțiunii prin scrisoarea nr</w:t>
      </w:r>
      <w:r>
        <w:rPr>
          <w:rFonts w:asciiTheme="majorHAnsi" w:hAnsiTheme="majorHAnsi" w:cstheme="majorHAnsi"/>
          <w:sz w:val="16"/>
          <w:szCs w:val="16"/>
          <w:vertAlign w:val="baseline"/>
          <w:lang w:val="ro-MD"/>
        </w:rPr>
        <w:t>.</w:t>
      </w:r>
      <w:r w:rsidRPr="00B936F7">
        <w:rPr>
          <w:rFonts w:asciiTheme="majorHAnsi" w:hAnsiTheme="majorHAnsi" w:cstheme="majorHAnsi"/>
          <w:sz w:val="16"/>
          <w:szCs w:val="16"/>
          <w:vertAlign w:val="baseline"/>
          <w:lang w:val="ro-MD"/>
        </w:rPr>
        <w:t xml:space="preserve"> 01/1-320 din 01.02.2019.</w:t>
      </w:r>
    </w:p>
  </w:footnote>
  <w:footnote w:id="208">
    <w:p w14:paraId="0DBC8147" w14:textId="6E2C76E1" w:rsidR="00036D7F" w:rsidRPr="00B936F7" w:rsidRDefault="00036D7F" w:rsidP="00B936F7">
      <w:pPr>
        <w:pStyle w:val="FootnoteText"/>
        <w:jc w:val="both"/>
        <w:rPr>
          <w:rFonts w:asciiTheme="majorHAnsi" w:hAnsiTheme="majorHAnsi" w:cstheme="majorHAnsi"/>
          <w:sz w:val="16"/>
          <w:szCs w:val="16"/>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w:t>
      </w:r>
      <w:r w:rsidRPr="00B936F7">
        <w:rPr>
          <w:rFonts w:asciiTheme="majorHAnsi" w:hAnsiTheme="majorHAnsi" w:cstheme="majorHAnsi"/>
          <w:sz w:val="16"/>
          <w:szCs w:val="16"/>
          <w:vertAlign w:val="baseline"/>
          <w:lang w:val="ro-MD"/>
        </w:rPr>
        <w:t>Ordinul de plată a</w:t>
      </w:r>
      <w:r>
        <w:rPr>
          <w:rFonts w:asciiTheme="majorHAnsi" w:hAnsiTheme="majorHAnsi" w:cstheme="majorHAnsi"/>
          <w:sz w:val="16"/>
          <w:szCs w:val="16"/>
          <w:vertAlign w:val="baseline"/>
          <w:lang w:val="ro-MD"/>
        </w:rPr>
        <w:t>l</w:t>
      </w:r>
      <w:r w:rsidRPr="00B936F7">
        <w:rPr>
          <w:rFonts w:asciiTheme="majorHAnsi" w:hAnsiTheme="majorHAnsi" w:cstheme="majorHAnsi"/>
          <w:sz w:val="16"/>
          <w:szCs w:val="16"/>
          <w:vertAlign w:val="baseline"/>
          <w:lang w:val="ro-MD"/>
        </w:rPr>
        <w:t xml:space="preserve"> SRL</w:t>
      </w:r>
      <w:r>
        <w:rPr>
          <w:rFonts w:asciiTheme="majorHAnsi" w:hAnsiTheme="majorHAnsi" w:cstheme="majorHAnsi"/>
          <w:sz w:val="16"/>
          <w:szCs w:val="16"/>
          <w:vertAlign w:val="baseline"/>
          <w:lang w:val="ro-MD"/>
        </w:rPr>
        <w:t xml:space="preserve"> </w:t>
      </w:r>
      <w:r w:rsidRPr="00B936F7">
        <w:rPr>
          <w:rFonts w:asciiTheme="majorHAnsi" w:hAnsiTheme="majorHAnsi" w:cstheme="majorHAnsi"/>
          <w:sz w:val="16"/>
          <w:szCs w:val="16"/>
          <w:vertAlign w:val="baseline"/>
          <w:lang w:val="ro-MD"/>
        </w:rPr>
        <w:t xml:space="preserve">Moldovatransgaz </w:t>
      </w:r>
      <w:r>
        <w:rPr>
          <w:rFonts w:asciiTheme="majorHAnsi" w:hAnsiTheme="majorHAnsi" w:cstheme="majorHAnsi"/>
          <w:sz w:val="16"/>
          <w:szCs w:val="16"/>
          <w:vertAlign w:val="baseline"/>
          <w:lang w:val="ro-MD"/>
        </w:rPr>
        <w:t>nr.</w:t>
      </w:r>
      <w:r w:rsidRPr="00B936F7">
        <w:rPr>
          <w:rFonts w:asciiTheme="majorHAnsi" w:hAnsiTheme="majorHAnsi" w:cstheme="majorHAnsi"/>
          <w:sz w:val="16"/>
          <w:szCs w:val="16"/>
          <w:vertAlign w:val="baseline"/>
          <w:lang w:val="ro-MD"/>
        </w:rPr>
        <w:t xml:space="preserve">8270 din 15.04.2019.  </w:t>
      </w:r>
    </w:p>
  </w:footnote>
  <w:footnote w:id="209">
    <w:p w14:paraId="76069576" w14:textId="0FB8836A" w:rsidR="00036D7F" w:rsidRPr="00B936F7" w:rsidRDefault="00036D7F" w:rsidP="00D74B4C">
      <w:pPr>
        <w:spacing w:after="0" w:line="276" w:lineRule="auto"/>
        <w:jc w:val="both"/>
        <w:rPr>
          <w:rFonts w:asciiTheme="majorHAnsi" w:hAnsiTheme="majorHAnsi" w:cstheme="majorHAnsi"/>
          <w:sz w:val="16"/>
          <w:szCs w:val="16"/>
          <w:lang w:val="ro-MD"/>
        </w:rPr>
      </w:pPr>
      <w:r w:rsidRPr="00B936F7">
        <w:rPr>
          <w:rStyle w:val="FootnoteReference"/>
          <w:rFonts w:asciiTheme="majorHAnsi" w:hAnsiTheme="majorHAnsi" w:cstheme="majorHAnsi"/>
          <w:sz w:val="16"/>
          <w:szCs w:val="16"/>
          <w:lang w:val="ro-MD"/>
        </w:rPr>
        <w:footnoteRef/>
      </w:r>
      <w:r w:rsidRPr="00B936F7">
        <w:rPr>
          <w:rFonts w:asciiTheme="majorHAnsi" w:hAnsiTheme="majorHAnsi" w:cstheme="majorHAnsi"/>
          <w:sz w:val="16"/>
          <w:szCs w:val="16"/>
          <w:lang w:val="ro-MD"/>
        </w:rPr>
        <w:t xml:space="preserve"> </w:t>
      </w:r>
      <w:r w:rsidRPr="00B936F7">
        <w:rPr>
          <w:rFonts w:asciiTheme="majorHAnsi" w:hAnsiTheme="majorHAnsi" w:cstheme="majorHAnsi"/>
          <w:color w:val="000000"/>
          <w:sz w:val="16"/>
          <w:szCs w:val="16"/>
          <w:shd w:val="clear" w:color="auto" w:fill="FFFFFF"/>
          <w:lang w:val="ro-MD"/>
        </w:rPr>
        <w:t>Standardele Internaționale pentru Practica Profesională a Auditului Intern, elaborate de Institutul Auditorilor Interni, emise în octombrie 2016, revizuite în ianuarie 2017 (în continuare – Standarde de audit).</w:t>
      </w:r>
      <w:r w:rsidRPr="00B936F7">
        <w:rPr>
          <w:rFonts w:asciiTheme="majorHAnsi" w:hAnsiTheme="majorHAnsi" w:cstheme="majorHAnsi"/>
          <w:sz w:val="16"/>
          <w:szCs w:val="16"/>
          <w:lang w:val="ro-MD"/>
        </w:rPr>
        <w:t xml:space="preserve"> Scopul Standardelor este: (1) </w:t>
      </w:r>
      <w:r>
        <w:rPr>
          <w:rFonts w:asciiTheme="majorHAnsi" w:hAnsiTheme="majorHAnsi" w:cstheme="majorHAnsi"/>
          <w:sz w:val="16"/>
          <w:szCs w:val="16"/>
          <w:lang w:val="ro-MD"/>
        </w:rPr>
        <w:t>s</w:t>
      </w:r>
      <w:r w:rsidRPr="00B936F7">
        <w:rPr>
          <w:rFonts w:asciiTheme="majorHAnsi" w:hAnsiTheme="majorHAnsi" w:cstheme="majorHAnsi"/>
          <w:sz w:val="16"/>
          <w:szCs w:val="16"/>
          <w:lang w:val="ro-MD"/>
        </w:rPr>
        <w:t xml:space="preserve">ă orienteze către ralierea la normele obligatorii din Cadrul Internațional de Practici Profesionale; (2) </w:t>
      </w:r>
      <w:r>
        <w:rPr>
          <w:rFonts w:asciiTheme="majorHAnsi" w:hAnsiTheme="majorHAnsi" w:cstheme="majorHAnsi"/>
          <w:sz w:val="16"/>
          <w:szCs w:val="16"/>
          <w:lang w:val="ro-MD"/>
        </w:rPr>
        <w:t>s</w:t>
      </w:r>
      <w:r w:rsidRPr="00B936F7">
        <w:rPr>
          <w:rFonts w:asciiTheme="majorHAnsi" w:hAnsiTheme="majorHAnsi" w:cstheme="majorHAnsi"/>
          <w:sz w:val="16"/>
          <w:szCs w:val="16"/>
          <w:lang w:val="ro-MD"/>
        </w:rPr>
        <w:t xml:space="preserve">ă furnizeze un cadru general pentru desfăşurarea şi promovarea unei game largi de servicii de audit intern care să genereze valoare adăugată; (3) </w:t>
      </w:r>
      <w:r>
        <w:rPr>
          <w:rFonts w:asciiTheme="majorHAnsi" w:hAnsiTheme="majorHAnsi" w:cstheme="majorHAnsi"/>
          <w:sz w:val="16"/>
          <w:szCs w:val="16"/>
          <w:lang w:val="ro-MD"/>
        </w:rPr>
        <w:t>s</w:t>
      </w:r>
      <w:r w:rsidRPr="00B936F7">
        <w:rPr>
          <w:rFonts w:asciiTheme="majorHAnsi" w:hAnsiTheme="majorHAnsi" w:cstheme="majorHAnsi"/>
          <w:sz w:val="16"/>
          <w:szCs w:val="16"/>
          <w:lang w:val="ro-MD"/>
        </w:rPr>
        <w:t xml:space="preserve">ă stabilească cadrul de referinţă pentru evaluarea rezultatelor auditului intern; (4) </w:t>
      </w:r>
      <w:r>
        <w:rPr>
          <w:rFonts w:asciiTheme="majorHAnsi" w:hAnsiTheme="majorHAnsi" w:cstheme="majorHAnsi"/>
          <w:sz w:val="16"/>
          <w:szCs w:val="16"/>
          <w:lang w:val="ro-MD"/>
        </w:rPr>
        <w:t>s</w:t>
      </w:r>
      <w:r w:rsidRPr="00B936F7">
        <w:rPr>
          <w:rFonts w:asciiTheme="majorHAnsi" w:hAnsiTheme="majorHAnsi" w:cstheme="majorHAnsi"/>
          <w:sz w:val="16"/>
          <w:szCs w:val="16"/>
          <w:lang w:val="ro-MD"/>
        </w:rPr>
        <w:t>ă stimuleze optimizarea proceselor şi operaţiunilor organizaţiei.</w:t>
      </w:r>
    </w:p>
  </w:footnote>
  <w:footnote w:id="210">
    <w:p w14:paraId="75A0C6DA" w14:textId="12604A4E" w:rsidR="00036D7F" w:rsidRPr="002B0FA0" w:rsidRDefault="00036D7F" w:rsidP="00D74B4C">
      <w:pPr>
        <w:spacing w:after="0" w:line="276" w:lineRule="auto"/>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color w:val="000000"/>
          <w:sz w:val="16"/>
          <w:szCs w:val="16"/>
          <w:shd w:val="clear" w:color="auto" w:fill="FFFFFF"/>
          <w:lang w:val="ro-MD"/>
        </w:rPr>
        <w:t>Regulament</w:t>
      </w:r>
      <w:r>
        <w:rPr>
          <w:rFonts w:asciiTheme="majorHAnsi" w:hAnsiTheme="majorHAnsi" w:cstheme="majorHAnsi"/>
          <w:color w:val="000000"/>
          <w:sz w:val="16"/>
          <w:szCs w:val="16"/>
          <w:shd w:val="clear" w:color="auto" w:fill="FFFFFF"/>
          <w:lang w:val="ro-MD"/>
        </w:rPr>
        <w:t>ul</w:t>
      </w:r>
      <w:r w:rsidRPr="002B0FA0">
        <w:rPr>
          <w:rFonts w:asciiTheme="majorHAnsi" w:hAnsiTheme="majorHAnsi" w:cstheme="majorHAnsi"/>
          <w:color w:val="000000"/>
          <w:sz w:val="16"/>
          <w:szCs w:val="16"/>
          <w:shd w:val="clear" w:color="auto" w:fill="FFFFFF"/>
          <w:lang w:val="ro-MD"/>
        </w:rPr>
        <w:t xml:space="preserve"> privind </w:t>
      </w:r>
      <w:r>
        <w:rPr>
          <w:rFonts w:asciiTheme="majorHAnsi" w:hAnsiTheme="majorHAnsi" w:cstheme="majorHAnsi"/>
          <w:color w:val="000000"/>
          <w:sz w:val="16"/>
          <w:szCs w:val="16"/>
          <w:shd w:val="clear" w:color="auto" w:fill="FFFFFF"/>
          <w:lang w:val="ro-MD"/>
        </w:rPr>
        <w:t>S</w:t>
      </w:r>
      <w:r w:rsidRPr="002B0FA0">
        <w:rPr>
          <w:rFonts w:asciiTheme="majorHAnsi" w:hAnsiTheme="majorHAnsi" w:cstheme="majorHAnsi"/>
          <w:color w:val="000000"/>
          <w:sz w:val="16"/>
          <w:szCs w:val="16"/>
          <w:shd w:val="clear" w:color="auto" w:fill="FFFFFF"/>
          <w:lang w:val="ro-MD"/>
        </w:rPr>
        <w:t xml:space="preserve">ecția audit intern și control, aprobat de președintele Consiliului de </w:t>
      </w:r>
      <w:r>
        <w:rPr>
          <w:rFonts w:asciiTheme="majorHAnsi" w:hAnsiTheme="majorHAnsi" w:cstheme="majorHAnsi"/>
          <w:color w:val="000000"/>
          <w:sz w:val="16"/>
          <w:szCs w:val="16"/>
          <w:shd w:val="clear" w:color="auto" w:fill="FFFFFF"/>
          <w:lang w:val="ro-MD"/>
        </w:rPr>
        <w:t>a</w:t>
      </w:r>
      <w:r w:rsidRPr="002B0FA0">
        <w:rPr>
          <w:rFonts w:asciiTheme="majorHAnsi" w:hAnsiTheme="majorHAnsi" w:cstheme="majorHAnsi"/>
          <w:color w:val="000000"/>
          <w:sz w:val="16"/>
          <w:szCs w:val="16"/>
          <w:shd w:val="clear" w:color="auto" w:fill="FFFFFF"/>
          <w:lang w:val="ro-MD"/>
        </w:rPr>
        <w:t xml:space="preserve">dministrație </w:t>
      </w:r>
      <w:r>
        <w:rPr>
          <w:rFonts w:asciiTheme="majorHAnsi" w:hAnsiTheme="majorHAnsi" w:cstheme="majorHAnsi"/>
          <w:color w:val="000000"/>
          <w:sz w:val="16"/>
          <w:szCs w:val="16"/>
          <w:shd w:val="clear" w:color="auto" w:fill="FFFFFF"/>
          <w:lang w:val="ro-MD"/>
        </w:rPr>
        <w:t xml:space="preserve">al </w:t>
      </w:r>
      <w:r w:rsidRPr="002B0FA0">
        <w:rPr>
          <w:rFonts w:asciiTheme="majorHAnsi" w:hAnsiTheme="majorHAnsi" w:cstheme="majorHAnsi"/>
          <w:color w:val="000000"/>
          <w:sz w:val="16"/>
          <w:szCs w:val="16"/>
          <w:shd w:val="clear" w:color="auto" w:fill="FFFFFF"/>
          <w:lang w:val="ro-MD"/>
        </w:rPr>
        <w:t>SA Moldovagaz la 20.03.2009.</w:t>
      </w:r>
    </w:p>
  </w:footnote>
  <w:footnote w:id="211">
    <w:p w14:paraId="09C3ACB4" w14:textId="7200737C" w:rsidR="00036D7F" w:rsidRPr="002B0FA0" w:rsidRDefault="00036D7F" w:rsidP="00D74B4C">
      <w:pPr>
        <w:spacing w:after="120" w:line="276" w:lineRule="auto"/>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Potrivit </w:t>
      </w:r>
      <w:r w:rsidRPr="002B0FA0">
        <w:rPr>
          <w:rFonts w:asciiTheme="majorHAnsi" w:hAnsiTheme="majorHAnsi" w:cstheme="majorHAnsi"/>
          <w:color w:val="000000"/>
          <w:sz w:val="16"/>
          <w:szCs w:val="16"/>
          <w:shd w:val="clear" w:color="auto" w:fill="FFFFFF"/>
          <w:lang w:val="ro-MD"/>
        </w:rPr>
        <w:t>Standardelor Internaționale pentru Practica Profesională a Auditului Intern, m</w:t>
      </w:r>
      <w:r w:rsidRPr="002B0FA0">
        <w:rPr>
          <w:rFonts w:asciiTheme="majorHAnsi" w:hAnsiTheme="majorHAnsi" w:cstheme="majorHAnsi"/>
          <w:sz w:val="16"/>
          <w:szCs w:val="16"/>
          <w:lang w:val="ro-MD"/>
        </w:rPr>
        <w:t>isiunile de asigurare implică evaluarea obiectivă a probelor de către auditorul intern</w:t>
      </w:r>
      <w:r>
        <w:rPr>
          <w:rFonts w:asciiTheme="majorHAnsi" w:hAnsiTheme="majorHAnsi" w:cstheme="majorHAnsi"/>
          <w:sz w:val="16"/>
          <w:szCs w:val="16"/>
          <w:lang w:val="ro-MD"/>
        </w:rPr>
        <w:t>,</w:t>
      </w:r>
      <w:r w:rsidRPr="002B0FA0">
        <w:rPr>
          <w:rFonts w:asciiTheme="majorHAnsi" w:hAnsiTheme="majorHAnsi" w:cstheme="majorHAnsi"/>
          <w:sz w:val="16"/>
          <w:szCs w:val="16"/>
          <w:lang w:val="ro-MD"/>
        </w:rPr>
        <w:t xml:space="preserve"> pentru a formula opinii sau concluzii privind o entitate, o operaţiune, o funcţie, un proces, un sistem sau alte aspecte.</w:t>
      </w:r>
    </w:p>
  </w:footnote>
  <w:footnote w:id="212">
    <w:p w14:paraId="452C2EE1" w14:textId="77777777" w:rsidR="00036D7F" w:rsidRPr="002B0FA0" w:rsidRDefault="00036D7F" w:rsidP="002A1796">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Acționarii companiei sunt: SA Gazprom – care deține 50 % din capitalul social; Agenția Proprietății Publice a Republicii Moldova – 35.33 %; Comitetul de administrare a proprietății Transnistriei – 13.44 %; alte persoane fizice și juridice – 1,23 %.</w:t>
      </w:r>
    </w:p>
  </w:footnote>
  <w:footnote w:id="213">
    <w:p w14:paraId="4B0F3FA2" w14:textId="3DED8C36" w:rsidR="00036D7F" w:rsidRPr="002B0FA0" w:rsidRDefault="00036D7F" w:rsidP="002A1796">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 xml:space="preserve">Membrii Consiliului de </w:t>
      </w:r>
      <w:r>
        <w:rPr>
          <w:rFonts w:asciiTheme="majorHAnsi" w:hAnsiTheme="majorHAnsi" w:cstheme="majorHAnsi"/>
          <w:sz w:val="16"/>
          <w:szCs w:val="16"/>
          <w:vertAlign w:val="baseline"/>
          <w:lang w:val="ro-MD"/>
        </w:rPr>
        <w:t>o</w:t>
      </w:r>
      <w:r w:rsidRPr="002B0FA0">
        <w:rPr>
          <w:rFonts w:asciiTheme="majorHAnsi" w:hAnsiTheme="majorHAnsi" w:cstheme="majorHAnsi"/>
          <w:sz w:val="16"/>
          <w:szCs w:val="16"/>
          <w:vertAlign w:val="baseline"/>
          <w:lang w:val="ro-MD"/>
        </w:rPr>
        <w:t xml:space="preserve">bservatori sunt aleși prin vot cumulativ de către Adunarea </w:t>
      </w:r>
      <w:r>
        <w:rPr>
          <w:rFonts w:asciiTheme="majorHAnsi" w:hAnsiTheme="majorHAnsi" w:cstheme="majorHAnsi"/>
          <w:sz w:val="16"/>
          <w:szCs w:val="16"/>
          <w:vertAlign w:val="baseline"/>
          <w:lang w:val="ro-MD"/>
        </w:rPr>
        <w:t>g</w:t>
      </w:r>
      <w:r w:rsidRPr="002B0FA0">
        <w:rPr>
          <w:rFonts w:asciiTheme="majorHAnsi" w:hAnsiTheme="majorHAnsi" w:cstheme="majorHAnsi"/>
          <w:sz w:val="16"/>
          <w:szCs w:val="16"/>
          <w:vertAlign w:val="baseline"/>
          <w:lang w:val="ro-MD"/>
        </w:rPr>
        <w:t xml:space="preserve">enerală a </w:t>
      </w:r>
      <w:r>
        <w:rPr>
          <w:rFonts w:asciiTheme="majorHAnsi" w:hAnsiTheme="majorHAnsi" w:cstheme="majorHAnsi"/>
          <w:sz w:val="16"/>
          <w:szCs w:val="16"/>
          <w:vertAlign w:val="baseline"/>
          <w:lang w:val="ro-MD"/>
        </w:rPr>
        <w:t>a</w:t>
      </w:r>
      <w:r w:rsidRPr="002B0FA0">
        <w:rPr>
          <w:rFonts w:asciiTheme="majorHAnsi" w:hAnsiTheme="majorHAnsi" w:cstheme="majorHAnsi"/>
          <w:sz w:val="16"/>
          <w:szCs w:val="16"/>
          <w:vertAlign w:val="baseline"/>
          <w:lang w:val="ro-MD"/>
        </w:rPr>
        <w:t xml:space="preserve">cționarilor pe un termen de un an și pot fi realeși un număr nelimitat de ori. Consiliul de </w:t>
      </w:r>
      <w:r>
        <w:rPr>
          <w:rFonts w:asciiTheme="majorHAnsi" w:hAnsiTheme="majorHAnsi" w:cstheme="majorHAnsi"/>
          <w:sz w:val="16"/>
          <w:szCs w:val="16"/>
          <w:vertAlign w:val="baseline"/>
          <w:lang w:val="ro-MD"/>
        </w:rPr>
        <w:t>o</w:t>
      </w:r>
      <w:r w:rsidRPr="002B0FA0">
        <w:rPr>
          <w:rFonts w:asciiTheme="majorHAnsi" w:hAnsiTheme="majorHAnsi" w:cstheme="majorHAnsi"/>
          <w:sz w:val="16"/>
          <w:szCs w:val="16"/>
          <w:vertAlign w:val="baseline"/>
          <w:lang w:val="ro-MD"/>
        </w:rPr>
        <w:t>bservatori constă din 6 persoane: 3 reprezentanți ai SA Gazprom, 2 reprezentanți ai Ministerului de ramură al Republicii Moldova, 1 reprezentant al Organului de administrare a proprietății Transnistriei.</w:t>
      </w:r>
      <w:r w:rsidRPr="002B0FA0">
        <w:rPr>
          <w:rFonts w:asciiTheme="majorHAnsi" w:hAnsiTheme="majorHAnsi" w:cstheme="majorHAnsi"/>
          <w:sz w:val="16"/>
          <w:szCs w:val="16"/>
          <w:lang w:val="ro-MD"/>
        </w:rPr>
        <w:t xml:space="preserve"> </w:t>
      </w:r>
    </w:p>
  </w:footnote>
  <w:footnote w:id="214">
    <w:p w14:paraId="23091826" w14:textId="5D5054DF" w:rsidR="00036D7F" w:rsidRPr="002B0FA0" w:rsidRDefault="00036D7F" w:rsidP="002A1796">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 xml:space="preserve">Membrii Consiliului de </w:t>
      </w:r>
      <w:r>
        <w:rPr>
          <w:rFonts w:asciiTheme="majorHAnsi" w:hAnsiTheme="majorHAnsi" w:cstheme="majorHAnsi"/>
          <w:sz w:val="16"/>
          <w:szCs w:val="16"/>
          <w:vertAlign w:val="baseline"/>
          <w:lang w:val="ro-MD"/>
        </w:rPr>
        <w:t>a</w:t>
      </w:r>
      <w:r w:rsidRPr="002B0FA0">
        <w:rPr>
          <w:rFonts w:asciiTheme="majorHAnsi" w:hAnsiTheme="majorHAnsi" w:cstheme="majorHAnsi"/>
          <w:sz w:val="16"/>
          <w:szCs w:val="16"/>
          <w:vertAlign w:val="baseline"/>
          <w:lang w:val="ro-MD"/>
        </w:rPr>
        <w:t xml:space="preserve">dministrație sunt numiți de către Consiliul de </w:t>
      </w:r>
      <w:r>
        <w:rPr>
          <w:rFonts w:asciiTheme="majorHAnsi" w:hAnsiTheme="majorHAnsi" w:cstheme="majorHAnsi"/>
          <w:sz w:val="16"/>
          <w:szCs w:val="16"/>
          <w:vertAlign w:val="baseline"/>
          <w:lang w:val="ro-MD"/>
        </w:rPr>
        <w:t>o</w:t>
      </w:r>
      <w:r w:rsidRPr="002B0FA0">
        <w:rPr>
          <w:rFonts w:asciiTheme="majorHAnsi" w:hAnsiTheme="majorHAnsi" w:cstheme="majorHAnsi"/>
          <w:sz w:val="16"/>
          <w:szCs w:val="16"/>
          <w:vertAlign w:val="baseline"/>
          <w:lang w:val="ro-MD"/>
        </w:rPr>
        <w:t xml:space="preserve">bservatori, pe un termen de 3 ani, într-o componență de 9 persoane: 4 reprezentanți ai Ministerului de ramură al Republicii Moldova (inclusiv Președintele Consiliului de </w:t>
      </w:r>
      <w:r>
        <w:rPr>
          <w:rFonts w:asciiTheme="majorHAnsi" w:hAnsiTheme="majorHAnsi" w:cstheme="majorHAnsi"/>
          <w:sz w:val="16"/>
          <w:szCs w:val="16"/>
          <w:vertAlign w:val="baseline"/>
          <w:lang w:val="ro-MD"/>
        </w:rPr>
        <w:t>a</w:t>
      </w:r>
      <w:r w:rsidRPr="002B0FA0">
        <w:rPr>
          <w:rFonts w:asciiTheme="majorHAnsi" w:hAnsiTheme="majorHAnsi" w:cstheme="majorHAnsi"/>
          <w:sz w:val="16"/>
          <w:szCs w:val="16"/>
          <w:vertAlign w:val="baseline"/>
          <w:lang w:val="ro-MD"/>
        </w:rPr>
        <w:t xml:space="preserve">dministrație), 2 reprezentanți ai Organului de administrare a proprietăţii </w:t>
      </w:r>
      <w:r>
        <w:rPr>
          <w:rFonts w:asciiTheme="majorHAnsi" w:hAnsiTheme="majorHAnsi" w:cstheme="majorHAnsi"/>
          <w:sz w:val="16"/>
          <w:szCs w:val="16"/>
          <w:vertAlign w:val="baseline"/>
          <w:lang w:val="ro-MD"/>
        </w:rPr>
        <w:t xml:space="preserve">al </w:t>
      </w:r>
      <w:r w:rsidRPr="002B0FA0">
        <w:rPr>
          <w:rFonts w:asciiTheme="majorHAnsi" w:hAnsiTheme="majorHAnsi" w:cstheme="majorHAnsi"/>
          <w:sz w:val="16"/>
          <w:szCs w:val="16"/>
          <w:vertAlign w:val="baseline"/>
          <w:lang w:val="ro-MD"/>
        </w:rPr>
        <w:t>Transnistriei, 3 reprezentanți ai SA Gazprom.</w:t>
      </w:r>
    </w:p>
  </w:footnote>
  <w:footnote w:id="215">
    <w:p w14:paraId="2EF02BAB" w14:textId="3C574289" w:rsidR="00036D7F" w:rsidRPr="002B0FA0" w:rsidRDefault="00036D7F" w:rsidP="002A1796">
      <w:pPr>
        <w:pStyle w:val="FootnoteText"/>
        <w:jc w:val="both"/>
        <w:rPr>
          <w:rFonts w:asciiTheme="majorHAnsi" w:hAnsiTheme="majorHAnsi" w:cstheme="majorHAnsi"/>
          <w:sz w:val="16"/>
          <w:szCs w:val="16"/>
          <w:lang w:val="ro-MD"/>
        </w:rPr>
      </w:pPr>
      <w:r w:rsidRPr="002B0FA0">
        <w:rPr>
          <w:rStyle w:val="FootnoteReference"/>
          <w:rFonts w:asciiTheme="majorHAnsi" w:hAnsiTheme="majorHAnsi" w:cstheme="majorHAnsi"/>
          <w:sz w:val="16"/>
          <w:szCs w:val="16"/>
          <w:lang w:val="ro-MD"/>
        </w:rPr>
        <w:footnoteRef/>
      </w:r>
      <w:r w:rsidRPr="002B0FA0">
        <w:rPr>
          <w:rFonts w:asciiTheme="majorHAnsi" w:hAnsiTheme="majorHAnsi" w:cstheme="majorHAnsi"/>
          <w:sz w:val="16"/>
          <w:szCs w:val="16"/>
          <w:lang w:val="ro-MD"/>
        </w:rPr>
        <w:t xml:space="preserve"> </w:t>
      </w:r>
      <w:r w:rsidRPr="002B0FA0">
        <w:rPr>
          <w:rFonts w:asciiTheme="majorHAnsi" w:hAnsiTheme="majorHAnsi" w:cstheme="majorHAnsi"/>
          <w:sz w:val="16"/>
          <w:szCs w:val="16"/>
          <w:vertAlign w:val="baseline"/>
          <w:lang w:val="ro-MD"/>
        </w:rPr>
        <w:t xml:space="preserve">Membrii Comisiei de cenzori sunt numiți de Adunarea </w:t>
      </w:r>
      <w:r>
        <w:rPr>
          <w:rFonts w:asciiTheme="majorHAnsi" w:hAnsiTheme="majorHAnsi" w:cstheme="majorHAnsi"/>
          <w:sz w:val="16"/>
          <w:szCs w:val="16"/>
          <w:vertAlign w:val="baseline"/>
          <w:lang w:val="ro-MD"/>
        </w:rPr>
        <w:t>g</w:t>
      </w:r>
      <w:r w:rsidRPr="002B0FA0">
        <w:rPr>
          <w:rFonts w:asciiTheme="majorHAnsi" w:hAnsiTheme="majorHAnsi" w:cstheme="majorHAnsi"/>
          <w:sz w:val="16"/>
          <w:szCs w:val="16"/>
          <w:vertAlign w:val="baseline"/>
          <w:lang w:val="ro-MD"/>
        </w:rPr>
        <w:t xml:space="preserve">enerală a </w:t>
      </w:r>
      <w:r>
        <w:rPr>
          <w:rFonts w:asciiTheme="majorHAnsi" w:hAnsiTheme="majorHAnsi" w:cstheme="majorHAnsi"/>
          <w:sz w:val="16"/>
          <w:szCs w:val="16"/>
          <w:vertAlign w:val="baseline"/>
          <w:lang w:val="ro-MD"/>
        </w:rPr>
        <w:t>a</w:t>
      </w:r>
      <w:r w:rsidRPr="002B0FA0">
        <w:rPr>
          <w:rFonts w:asciiTheme="majorHAnsi" w:hAnsiTheme="majorHAnsi" w:cstheme="majorHAnsi"/>
          <w:sz w:val="16"/>
          <w:szCs w:val="16"/>
          <w:vertAlign w:val="baseline"/>
          <w:lang w:val="ro-MD"/>
        </w:rPr>
        <w:t>cționarilor pe un termen de 3 ani, în număr de 3 persoane: câte 1 reprezentant al SA Gazprom, Ministerului de ramură al Republicii Moldova și</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respectiv</w:t>
      </w:r>
      <w:r>
        <w:rPr>
          <w:rFonts w:asciiTheme="majorHAnsi" w:hAnsiTheme="majorHAnsi" w:cstheme="majorHAnsi"/>
          <w:sz w:val="16"/>
          <w:szCs w:val="16"/>
          <w:vertAlign w:val="baseline"/>
          <w:lang w:val="ro-MD"/>
        </w:rPr>
        <w:t>,</w:t>
      </w:r>
      <w:r w:rsidRPr="002B0FA0">
        <w:rPr>
          <w:rFonts w:asciiTheme="majorHAnsi" w:hAnsiTheme="majorHAnsi" w:cstheme="majorHAnsi"/>
          <w:sz w:val="16"/>
          <w:szCs w:val="16"/>
          <w:vertAlign w:val="baseline"/>
          <w:lang w:val="ro-MD"/>
        </w:rPr>
        <w:t xml:space="preserve"> Organului de administrare a proprietăţii </w:t>
      </w:r>
      <w:r>
        <w:rPr>
          <w:rFonts w:asciiTheme="majorHAnsi" w:hAnsiTheme="majorHAnsi" w:cstheme="majorHAnsi"/>
          <w:sz w:val="16"/>
          <w:szCs w:val="16"/>
          <w:vertAlign w:val="baseline"/>
          <w:lang w:val="ro-MD"/>
        </w:rPr>
        <w:t xml:space="preserve">al </w:t>
      </w:r>
      <w:r w:rsidRPr="002B0FA0">
        <w:rPr>
          <w:rFonts w:asciiTheme="majorHAnsi" w:hAnsiTheme="majorHAnsi" w:cstheme="majorHAnsi"/>
          <w:sz w:val="16"/>
          <w:szCs w:val="16"/>
          <w:vertAlign w:val="baseline"/>
          <w:lang w:val="ro-MD"/>
        </w:rPr>
        <w:t>Transnistriei.</w:t>
      </w:r>
      <w:r w:rsidRPr="002B0FA0">
        <w:rPr>
          <w:rFonts w:asciiTheme="majorHAnsi" w:hAnsiTheme="majorHAnsi" w:cstheme="majorHAnsi"/>
          <w:sz w:val="16"/>
          <w:szCs w:val="16"/>
          <w:lang w:val="ro-M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color w:val="000000"/>
        <w:sz w:val="28"/>
        <w:szCs w:val="28"/>
        <w:lang w:val="ro-RO"/>
      </w:rPr>
    </w:lvl>
  </w:abstractNum>
  <w:abstractNum w:abstractNumId="2" w15:restartNumberingAfterBreak="0">
    <w:nsid w:val="004B58E1"/>
    <w:multiLevelType w:val="hybridMultilevel"/>
    <w:tmpl w:val="DE32DB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20F1852"/>
    <w:multiLevelType w:val="hybridMultilevel"/>
    <w:tmpl w:val="7B32BADC"/>
    <w:lvl w:ilvl="0" w:tplc="3E7C6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AB5"/>
    <w:multiLevelType w:val="hybridMultilevel"/>
    <w:tmpl w:val="CB224A5C"/>
    <w:lvl w:ilvl="0" w:tplc="91FCE57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238AF"/>
    <w:multiLevelType w:val="hybridMultilevel"/>
    <w:tmpl w:val="4BC40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211AB"/>
    <w:multiLevelType w:val="multilevel"/>
    <w:tmpl w:val="251041E6"/>
    <w:lvl w:ilvl="0">
      <w:start w:val="4"/>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17308"/>
    <w:multiLevelType w:val="multilevel"/>
    <w:tmpl w:val="6DBEB34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6D7281"/>
    <w:multiLevelType w:val="hybridMultilevel"/>
    <w:tmpl w:val="A46064F8"/>
    <w:lvl w:ilvl="0" w:tplc="8E5603A2">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14067F"/>
    <w:multiLevelType w:val="hybridMultilevel"/>
    <w:tmpl w:val="D5860B46"/>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A29096B"/>
    <w:multiLevelType w:val="hybridMultilevel"/>
    <w:tmpl w:val="DEC6DF6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CF96C02"/>
    <w:multiLevelType w:val="hybridMultilevel"/>
    <w:tmpl w:val="996C694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96717C"/>
    <w:multiLevelType w:val="hybridMultilevel"/>
    <w:tmpl w:val="EAEE2F2E"/>
    <w:lvl w:ilvl="0" w:tplc="0409000D">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3" w15:restartNumberingAfterBreak="0">
    <w:nsid w:val="10A52FF0"/>
    <w:multiLevelType w:val="hybridMultilevel"/>
    <w:tmpl w:val="94A6418C"/>
    <w:lvl w:ilvl="0" w:tplc="3E7C691A">
      <w:start w:val="1"/>
      <w:numFmt w:val="lowerRoman"/>
      <w:lvlText w:val="%1)"/>
      <w:lvlJc w:val="left"/>
      <w:pPr>
        <w:ind w:left="1429" w:hanging="360"/>
      </w:pPr>
      <w:rPr>
        <w:rFonts w:hint="default"/>
      </w:rPr>
    </w:lvl>
    <w:lvl w:ilvl="1" w:tplc="E4D0AE44">
      <w:start w:val="1"/>
      <w:numFmt w:val="lowerRoman"/>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36E0C7E"/>
    <w:multiLevelType w:val="hybridMultilevel"/>
    <w:tmpl w:val="E0466F1E"/>
    <w:lvl w:ilvl="0" w:tplc="BC023F5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sz w:val="22"/>
      </w:rPr>
    </w:lvl>
    <w:lvl w:ilvl="1">
      <w:start w:val="1"/>
      <w:numFmt w:val="decimal"/>
      <w:lvlText w:val="%1.%2."/>
      <w:lvlJc w:val="left"/>
      <w:pPr>
        <w:ind w:left="1440" w:hanging="720"/>
      </w:pPr>
      <w:rPr>
        <w:rFonts w:eastAsiaTheme="minorHAnsi" w:cstheme="minorBidi"/>
        <w:sz w:val="22"/>
      </w:rPr>
    </w:lvl>
    <w:lvl w:ilvl="2">
      <w:start w:val="1"/>
      <w:numFmt w:val="decimal"/>
      <w:lvlText w:val="%1.%2.%3."/>
      <w:lvlJc w:val="left"/>
      <w:pPr>
        <w:ind w:left="2160" w:hanging="720"/>
      </w:pPr>
      <w:rPr>
        <w:rFonts w:eastAsiaTheme="minorHAnsi" w:cstheme="minorBidi"/>
        <w:b/>
        <w:sz w:val="22"/>
      </w:rPr>
    </w:lvl>
    <w:lvl w:ilvl="3">
      <w:start w:val="1"/>
      <w:numFmt w:val="decimal"/>
      <w:lvlText w:val="%1.%2.%3.%4."/>
      <w:lvlJc w:val="left"/>
      <w:pPr>
        <w:ind w:left="3240" w:hanging="1080"/>
      </w:pPr>
      <w:rPr>
        <w:rFonts w:eastAsiaTheme="minorHAnsi" w:cstheme="minorBidi"/>
        <w:sz w:val="22"/>
      </w:rPr>
    </w:lvl>
    <w:lvl w:ilvl="4">
      <w:start w:val="1"/>
      <w:numFmt w:val="decimal"/>
      <w:lvlText w:val="%1.%2.%3.%4.%5."/>
      <w:lvlJc w:val="left"/>
      <w:pPr>
        <w:ind w:left="3960" w:hanging="1080"/>
      </w:pPr>
      <w:rPr>
        <w:rFonts w:eastAsiaTheme="minorHAnsi" w:cstheme="minorBidi"/>
        <w:sz w:val="22"/>
      </w:rPr>
    </w:lvl>
    <w:lvl w:ilvl="5">
      <w:start w:val="1"/>
      <w:numFmt w:val="decimal"/>
      <w:lvlText w:val="%1.%2.%3.%4.%5.%6."/>
      <w:lvlJc w:val="left"/>
      <w:pPr>
        <w:ind w:left="5040" w:hanging="1440"/>
      </w:pPr>
      <w:rPr>
        <w:rFonts w:eastAsiaTheme="minorHAnsi" w:cstheme="minorBidi"/>
        <w:sz w:val="22"/>
      </w:rPr>
    </w:lvl>
    <w:lvl w:ilvl="6">
      <w:start w:val="1"/>
      <w:numFmt w:val="decimal"/>
      <w:lvlText w:val="%1.%2.%3.%4.%5.%6.%7."/>
      <w:lvlJc w:val="left"/>
      <w:pPr>
        <w:ind w:left="5760" w:hanging="1440"/>
      </w:pPr>
      <w:rPr>
        <w:rFonts w:eastAsiaTheme="minorHAnsi" w:cstheme="minorBidi"/>
        <w:sz w:val="22"/>
      </w:rPr>
    </w:lvl>
    <w:lvl w:ilvl="7">
      <w:start w:val="1"/>
      <w:numFmt w:val="decimal"/>
      <w:lvlText w:val="%1.%2.%3.%4.%5.%6.%7.%8."/>
      <w:lvlJc w:val="left"/>
      <w:pPr>
        <w:ind w:left="6840" w:hanging="1800"/>
      </w:pPr>
      <w:rPr>
        <w:rFonts w:eastAsiaTheme="minorHAnsi" w:cstheme="minorBidi"/>
        <w:sz w:val="22"/>
      </w:rPr>
    </w:lvl>
    <w:lvl w:ilvl="8">
      <w:start w:val="1"/>
      <w:numFmt w:val="decimal"/>
      <w:lvlText w:val="%1.%2.%3.%4.%5.%6.%7.%8.%9."/>
      <w:lvlJc w:val="left"/>
      <w:pPr>
        <w:ind w:left="7920" w:hanging="2160"/>
      </w:pPr>
      <w:rPr>
        <w:rFonts w:eastAsiaTheme="minorHAnsi" w:cstheme="minorBidi"/>
        <w:sz w:val="22"/>
      </w:rPr>
    </w:lvl>
  </w:abstractNum>
  <w:abstractNum w:abstractNumId="16" w15:restartNumberingAfterBreak="0">
    <w:nsid w:val="15A50966"/>
    <w:multiLevelType w:val="hybridMultilevel"/>
    <w:tmpl w:val="2722952C"/>
    <w:lvl w:ilvl="0" w:tplc="564C1BB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4868D3"/>
    <w:multiLevelType w:val="hybridMultilevel"/>
    <w:tmpl w:val="8682AD24"/>
    <w:lvl w:ilvl="0" w:tplc="0409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1B012CF1"/>
    <w:multiLevelType w:val="hybridMultilevel"/>
    <w:tmpl w:val="7410F800"/>
    <w:lvl w:ilvl="0" w:tplc="B7ACF9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17252"/>
    <w:multiLevelType w:val="hybridMultilevel"/>
    <w:tmpl w:val="70C241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591FDB"/>
    <w:multiLevelType w:val="hybridMultilevel"/>
    <w:tmpl w:val="92E25E20"/>
    <w:lvl w:ilvl="0" w:tplc="BC023F58">
      <w:start w:val="6"/>
      <w:numFmt w:val="bullet"/>
      <w:lvlText w:val="-"/>
      <w:lvlJc w:val="left"/>
      <w:pPr>
        <w:ind w:left="216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864B09"/>
    <w:multiLevelType w:val="hybridMultilevel"/>
    <w:tmpl w:val="3266C304"/>
    <w:lvl w:ilvl="0" w:tplc="C848F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4549D5"/>
    <w:multiLevelType w:val="hybridMultilevel"/>
    <w:tmpl w:val="4D645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6046FA"/>
    <w:multiLevelType w:val="hybridMultilevel"/>
    <w:tmpl w:val="DB1C7C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90DE1"/>
    <w:multiLevelType w:val="hybridMultilevel"/>
    <w:tmpl w:val="2BE09658"/>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2CDE0C24"/>
    <w:multiLevelType w:val="hybridMultilevel"/>
    <w:tmpl w:val="474EF526"/>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324C4024"/>
    <w:multiLevelType w:val="hybridMultilevel"/>
    <w:tmpl w:val="747411E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5A80416A">
      <w:start w:val="1"/>
      <w:numFmt w:val="lowerLetter"/>
      <w:lvlText w:val="%3)"/>
      <w:lvlJc w:val="right"/>
      <w:pPr>
        <w:ind w:left="2880" w:hanging="180"/>
      </w:pPr>
      <w:rPr>
        <w:rFonts w:asciiTheme="majorHAnsi" w:eastAsiaTheme="minorHAnsi" w:hAnsiTheme="majorHAnsi" w:cstheme="majorHAns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8C27FE"/>
    <w:multiLevelType w:val="hybridMultilevel"/>
    <w:tmpl w:val="242E4ACA"/>
    <w:lvl w:ilvl="0" w:tplc="0700DD44">
      <w:start w:val="1"/>
      <w:numFmt w:val="decimal"/>
      <w:pStyle w:val="cris"/>
      <w:lvlText w:val="%1."/>
      <w:lvlJc w:val="left"/>
      <w:pPr>
        <w:ind w:left="-284" w:firstLine="568"/>
      </w:pPr>
      <w:rPr>
        <w:rFonts w:ascii="Times New Roman" w:hAnsi="Times New Roman" w:cs="Times New Roman" w:hint="default"/>
        <w:b/>
        <w:bCs/>
        <w:i w:val="0"/>
        <w:strike w:val="0"/>
        <w:sz w:val="24"/>
        <w:szCs w:val="24"/>
      </w:rPr>
    </w:lvl>
    <w:lvl w:ilvl="1" w:tplc="04180019" w:tentative="1">
      <w:start w:val="1"/>
      <w:numFmt w:val="lowerLetter"/>
      <w:lvlText w:val="%2."/>
      <w:lvlJc w:val="left"/>
      <w:pPr>
        <w:ind w:left="939" w:hanging="360"/>
      </w:pPr>
    </w:lvl>
    <w:lvl w:ilvl="2" w:tplc="0418001B" w:tentative="1">
      <w:start w:val="1"/>
      <w:numFmt w:val="lowerRoman"/>
      <w:lvlText w:val="%3."/>
      <w:lvlJc w:val="right"/>
      <w:pPr>
        <w:ind w:left="1659" w:hanging="180"/>
      </w:pPr>
    </w:lvl>
    <w:lvl w:ilvl="3" w:tplc="0418000F" w:tentative="1">
      <w:start w:val="1"/>
      <w:numFmt w:val="decimal"/>
      <w:lvlText w:val="%4."/>
      <w:lvlJc w:val="left"/>
      <w:pPr>
        <w:ind w:left="2379" w:hanging="360"/>
      </w:pPr>
    </w:lvl>
    <w:lvl w:ilvl="4" w:tplc="04180019" w:tentative="1">
      <w:start w:val="1"/>
      <w:numFmt w:val="lowerLetter"/>
      <w:lvlText w:val="%5."/>
      <w:lvlJc w:val="left"/>
      <w:pPr>
        <w:ind w:left="3099" w:hanging="360"/>
      </w:pPr>
    </w:lvl>
    <w:lvl w:ilvl="5" w:tplc="0418001B" w:tentative="1">
      <w:start w:val="1"/>
      <w:numFmt w:val="lowerRoman"/>
      <w:lvlText w:val="%6."/>
      <w:lvlJc w:val="right"/>
      <w:pPr>
        <w:ind w:left="3819" w:hanging="180"/>
      </w:pPr>
    </w:lvl>
    <w:lvl w:ilvl="6" w:tplc="0418000F" w:tentative="1">
      <w:start w:val="1"/>
      <w:numFmt w:val="decimal"/>
      <w:lvlText w:val="%7."/>
      <w:lvlJc w:val="left"/>
      <w:pPr>
        <w:ind w:left="4539" w:hanging="360"/>
      </w:pPr>
    </w:lvl>
    <w:lvl w:ilvl="7" w:tplc="04180019" w:tentative="1">
      <w:start w:val="1"/>
      <w:numFmt w:val="lowerLetter"/>
      <w:lvlText w:val="%8."/>
      <w:lvlJc w:val="left"/>
      <w:pPr>
        <w:ind w:left="5259" w:hanging="360"/>
      </w:pPr>
    </w:lvl>
    <w:lvl w:ilvl="8" w:tplc="0418001B" w:tentative="1">
      <w:start w:val="1"/>
      <w:numFmt w:val="lowerRoman"/>
      <w:lvlText w:val="%9."/>
      <w:lvlJc w:val="right"/>
      <w:pPr>
        <w:ind w:left="5979" w:hanging="180"/>
      </w:pPr>
    </w:lvl>
  </w:abstractNum>
  <w:abstractNum w:abstractNumId="28" w15:restartNumberingAfterBreak="0">
    <w:nsid w:val="38141570"/>
    <w:multiLevelType w:val="hybridMultilevel"/>
    <w:tmpl w:val="31C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13180"/>
    <w:multiLevelType w:val="hybridMultilevel"/>
    <w:tmpl w:val="10780C7E"/>
    <w:lvl w:ilvl="0" w:tplc="D438E0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810CC6"/>
    <w:multiLevelType w:val="hybridMultilevel"/>
    <w:tmpl w:val="50B82D0A"/>
    <w:lvl w:ilvl="0" w:tplc="B9D8370E">
      <w:numFmt w:val="bullet"/>
      <w:lvlText w:val="-"/>
      <w:lvlJc w:val="left"/>
      <w:pPr>
        <w:ind w:left="1429" w:hanging="360"/>
      </w:pPr>
      <w:rPr>
        <w:rFonts w:ascii="Calibri Light" w:eastAsiaTheme="minorHAnsi" w:hAnsi="Calibri Light" w:cs="Calibri Light" w:hint="default"/>
        <w:b w:val="0"/>
        <w:u w:val="none"/>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1192055"/>
    <w:multiLevelType w:val="hybridMultilevel"/>
    <w:tmpl w:val="F8C657C4"/>
    <w:lvl w:ilvl="0" w:tplc="0409000D">
      <w:start w:val="1"/>
      <w:numFmt w:val="bullet"/>
      <w:lvlText w:val=""/>
      <w:lvlJc w:val="left"/>
      <w:pPr>
        <w:ind w:left="720" w:hanging="360"/>
      </w:pPr>
      <w:rPr>
        <w:rFonts w:ascii="Wingdings" w:hAnsi="Wingdings"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B341E"/>
    <w:multiLevelType w:val="hybridMultilevel"/>
    <w:tmpl w:val="6294445C"/>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4635223"/>
    <w:multiLevelType w:val="hybridMultilevel"/>
    <w:tmpl w:val="835A86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449850A8"/>
    <w:multiLevelType w:val="multilevel"/>
    <w:tmpl w:val="4EB26496"/>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0C3677"/>
    <w:multiLevelType w:val="hybridMultilevel"/>
    <w:tmpl w:val="73E22E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48E20C7"/>
    <w:multiLevelType w:val="hybridMultilevel"/>
    <w:tmpl w:val="76DEAB34"/>
    <w:lvl w:ilvl="0" w:tplc="7B1A0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87048"/>
    <w:multiLevelType w:val="hybridMultilevel"/>
    <w:tmpl w:val="7D0EF604"/>
    <w:lvl w:ilvl="0" w:tplc="0409000F">
      <w:start w:val="1"/>
      <w:numFmt w:val="decimal"/>
      <w:lvlText w:val="%1."/>
      <w:lvlJc w:val="left"/>
      <w:pPr>
        <w:ind w:left="67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F2F04"/>
    <w:multiLevelType w:val="hybridMultilevel"/>
    <w:tmpl w:val="DE26ED00"/>
    <w:lvl w:ilvl="0" w:tplc="D77A0AFC">
      <w:start w:val="6"/>
      <w:numFmt w:val="bullet"/>
      <w:lvlText w:val="-"/>
      <w:lvlJc w:val="left"/>
      <w:pPr>
        <w:ind w:left="1440" w:hanging="360"/>
      </w:pPr>
      <w:rPr>
        <w:rFonts w:ascii="Times New Roman" w:eastAsia="Times New Roman" w:hAnsi="Times New Roman" w:cs="Times New Roman" w:hint="default"/>
        <w:color w:val="auto"/>
      </w:rPr>
    </w:lvl>
    <w:lvl w:ilvl="1" w:tplc="3B36DB2A">
      <w:numFmt w:val="bullet"/>
      <w:lvlText w:val="·"/>
      <w:lvlJc w:val="left"/>
      <w:pPr>
        <w:ind w:left="2160" w:hanging="360"/>
      </w:pPr>
      <w:rPr>
        <w:rFonts w:ascii="Calibri Light" w:eastAsiaTheme="minorHAnsi"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9F0D04"/>
    <w:multiLevelType w:val="hybridMultilevel"/>
    <w:tmpl w:val="1414A6FE"/>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0" w15:restartNumberingAfterBreak="0">
    <w:nsid w:val="5ED012B7"/>
    <w:multiLevelType w:val="hybridMultilevel"/>
    <w:tmpl w:val="4C88728A"/>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664410D3"/>
    <w:multiLevelType w:val="hybridMultilevel"/>
    <w:tmpl w:val="892E44F2"/>
    <w:lvl w:ilvl="0" w:tplc="04090017">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BD6472A"/>
    <w:multiLevelType w:val="hybridMultilevel"/>
    <w:tmpl w:val="A2BA5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B23BB"/>
    <w:multiLevelType w:val="hybridMultilevel"/>
    <w:tmpl w:val="A93CD316"/>
    <w:lvl w:ilvl="0" w:tplc="04090001">
      <w:start w:val="1"/>
      <w:numFmt w:val="bullet"/>
      <w:lvlText w:val=""/>
      <w:lvlJc w:val="left"/>
      <w:pPr>
        <w:ind w:left="1429" w:hanging="360"/>
      </w:pPr>
      <w:rPr>
        <w:rFonts w:ascii="Symbol" w:hAnsi="Symbol"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6F2520A4"/>
    <w:multiLevelType w:val="hybridMultilevel"/>
    <w:tmpl w:val="C24EA200"/>
    <w:lvl w:ilvl="0" w:tplc="1110E55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C61A23"/>
    <w:multiLevelType w:val="hybridMultilevel"/>
    <w:tmpl w:val="C2907F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F6206A"/>
    <w:multiLevelType w:val="hybridMultilevel"/>
    <w:tmpl w:val="57469A22"/>
    <w:lvl w:ilvl="0" w:tplc="89B67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41DB8"/>
    <w:multiLevelType w:val="multilevel"/>
    <w:tmpl w:val="6DBEB34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C95362D"/>
    <w:multiLevelType w:val="hybridMultilevel"/>
    <w:tmpl w:val="EFF88B18"/>
    <w:lvl w:ilvl="0" w:tplc="B9D8370E">
      <w:numFmt w:val="bullet"/>
      <w:lvlText w:val="-"/>
      <w:lvlJc w:val="left"/>
      <w:pPr>
        <w:ind w:left="1353" w:hanging="360"/>
      </w:pPr>
      <w:rPr>
        <w:rFonts w:ascii="Calibri Light" w:eastAsiaTheme="minorHAnsi" w:hAnsi="Calibri Light" w:cs="Calibri Light" w:hint="default"/>
        <w:b w:val="0"/>
        <w:u w:val="none"/>
      </w:rPr>
    </w:lvl>
    <w:lvl w:ilvl="1" w:tplc="E4D0AE44">
      <w:start w:val="1"/>
      <w:numFmt w:val="lowerRoman"/>
      <w:lvlText w:val="%2)"/>
      <w:lvlJc w:val="left"/>
      <w:pPr>
        <w:ind w:left="2520" w:hanging="720"/>
      </w:pPr>
      <w:rPr>
        <w:rFonts w:hint="default"/>
      </w:rPr>
    </w:lvl>
    <w:lvl w:ilvl="2" w:tplc="89B6784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4"/>
  </w:num>
  <w:num w:numId="3">
    <w:abstractNumId w:val="19"/>
  </w:num>
  <w:num w:numId="4">
    <w:abstractNumId w:val="11"/>
  </w:num>
  <w:num w:numId="5">
    <w:abstractNumId w:val="48"/>
  </w:num>
  <w:num w:numId="6">
    <w:abstractNumId w:val="23"/>
  </w:num>
  <w:num w:numId="7">
    <w:abstractNumId w:val="3"/>
  </w:num>
  <w:num w:numId="8">
    <w:abstractNumId w:val="31"/>
  </w:num>
  <w:num w:numId="9">
    <w:abstractNumId w:val="28"/>
  </w:num>
  <w:num w:numId="10">
    <w:abstractNumId w:val="42"/>
  </w:num>
  <w:num w:numId="11">
    <w:abstractNumId w:val="14"/>
  </w:num>
  <w:num w:numId="12">
    <w:abstractNumId w:val="38"/>
  </w:num>
  <w:num w:numId="13">
    <w:abstractNumId w:val="7"/>
  </w:num>
  <w:num w:numId="14">
    <w:abstractNumId w:val="17"/>
  </w:num>
  <w:num w:numId="15">
    <w:abstractNumId w:val="41"/>
  </w:num>
  <w:num w:numId="16">
    <w:abstractNumId w:val="30"/>
  </w:num>
  <w:num w:numId="17">
    <w:abstractNumId w:val="9"/>
  </w:num>
  <w:num w:numId="18">
    <w:abstractNumId w:val="4"/>
  </w:num>
  <w:num w:numId="19">
    <w:abstractNumId w:val="27"/>
  </w:num>
  <w:num w:numId="20">
    <w:abstractNumId w:val="40"/>
  </w:num>
  <w:num w:numId="21">
    <w:abstractNumId w:val="43"/>
  </w:num>
  <w:num w:numId="22">
    <w:abstractNumId w:val="47"/>
  </w:num>
  <w:num w:numId="23">
    <w:abstractNumId w:val="20"/>
  </w:num>
  <w:num w:numId="24">
    <w:abstractNumId w:val="45"/>
  </w:num>
  <w:num w:numId="25">
    <w:abstractNumId w:val="16"/>
  </w:num>
  <w:num w:numId="26">
    <w:abstractNumId w:val="35"/>
  </w:num>
  <w:num w:numId="27">
    <w:abstractNumId w:val="33"/>
  </w:num>
  <w:num w:numId="28">
    <w:abstractNumId w:val="32"/>
  </w:num>
  <w:num w:numId="29">
    <w:abstractNumId w:val="13"/>
  </w:num>
  <w:num w:numId="30">
    <w:abstractNumId w:val="10"/>
  </w:num>
  <w:num w:numId="31">
    <w:abstractNumId w:val="24"/>
  </w:num>
  <w:num w:numId="32">
    <w:abstractNumId w:val="39"/>
  </w:num>
  <w:num w:numId="33">
    <w:abstractNumId w:val="2"/>
  </w:num>
  <w:num w:numId="34">
    <w:abstractNumId w:val="46"/>
  </w:num>
  <w:num w:numId="35">
    <w:abstractNumId w:val="26"/>
  </w:num>
  <w:num w:numId="36">
    <w:abstractNumId w:val="12"/>
  </w:num>
  <w:num w:numId="37">
    <w:abstractNumId w:val="29"/>
  </w:num>
  <w:num w:numId="38">
    <w:abstractNumId w:val="37"/>
  </w:num>
  <w:num w:numId="39">
    <w:abstractNumId w:val="8"/>
  </w:num>
  <w:num w:numId="40">
    <w:abstractNumId w:val="25"/>
  </w:num>
  <w:num w:numId="41">
    <w:abstractNumId w:val="18"/>
  </w:num>
  <w:num w:numId="42">
    <w:abstractNumId w:val="21"/>
  </w:num>
  <w:num w:numId="43">
    <w:abstractNumId w:val="5"/>
  </w:num>
  <w:num w:numId="44">
    <w:abstractNumId w:val="44"/>
  </w:num>
  <w:num w:numId="45">
    <w:abstractNumId w:val="6"/>
  </w:num>
  <w:num w:numId="46">
    <w:abstractNumId w:val="22"/>
  </w:num>
  <w:num w:numId="47">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A6"/>
    <w:rsid w:val="000007EF"/>
    <w:rsid w:val="00000A2A"/>
    <w:rsid w:val="00000E39"/>
    <w:rsid w:val="00000F30"/>
    <w:rsid w:val="00000F3B"/>
    <w:rsid w:val="00001175"/>
    <w:rsid w:val="00001384"/>
    <w:rsid w:val="00001602"/>
    <w:rsid w:val="0000164A"/>
    <w:rsid w:val="000016AF"/>
    <w:rsid w:val="00001A95"/>
    <w:rsid w:val="00001FA8"/>
    <w:rsid w:val="000020ED"/>
    <w:rsid w:val="00002486"/>
    <w:rsid w:val="000029C7"/>
    <w:rsid w:val="00002CB4"/>
    <w:rsid w:val="00002D17"/>
    <w:rsid w:val="00002D80"/>
    <w:rsid w:val="00002EC1"/>
    <w:rsid w:val="00002F7A"/>
    <w:rsid w:val="00003523"/>
    <w:rsid w:val="00003A72"/>
    <w:rsid w:val="00003C53"/>
    <w:rsid w:val="00003D61"/>
    <w:rsid w:val="00004461"/>
    <w:rsid w:val="0000449B"/>
    <w:rsid w:val="00004737"/>
    <w:rsid w:val="0000474E"/>
    <w:rsid w:val="0000479F"/>
    <w:rsid w:val="00004822"/>
    <w:rsid w:val="000049F1"/>
    <w:rsid w:val="00004A53"/>
    <w:rsid w:val="00004B4A"/>
    <w:rsid w:val="00004B81"/>
    <w:rsid w:val="00004B82"/>
    <w:rsid w:val="00004BFD"/>
    <w:rsid w:val="000050E3"/>
    <w:rsid w:val="0000535C"/>
    <w:rsid w:val="000054B7"/>
    <w:rsid w:val="000055FF"/>
    <w:rsid w:val="00005695"/>
    <w:rsid w:val="00005C91"/>
    <w:rsid w:val="00005CE9"/>
    <w:rsid w:val="00005D4E"/>
    <w:rsid w:val="00005E85"/>
    <w:rsid w:val="00006375"/>
    <w:rsid w:val="000063CF"/>
    <w:rsid w:val="00006564"/>
    <w:rsid w:val="00006C18"/>
    <w:rsid w:val="00006E10"/>
    <w:rsid w:val="00006F06"/>
    <w:rsid w:val="00006F39"/>
    <w:rsid w:val="00007105"/>
    <w:rsid w:val="00007107"/>
    <w:rsid w:val="000072D2"/>
    <w:rsid w:val="00007329"/>
    <w:rsid w:val="0000785A"/>
    <w:rsid w:val="000078A3"/>
    <w:rsid w:val="00007B0E"/>
    <w:rsid w:val="00010550"/>
    <w:rsid w:val="0001062C"/>
    <w:rsid w:val="00010C1B"/>
    <w:rsid w:val="00010EFC"/>
    <w:rsid w:val="0001146C"/>
    <w:rsid w:val="00011AEE"/>
    <w:rsid w:val="00011BB8"/>
    <w:rsid w:val="00011BE9"/>
    <w:rsid w:val="00011FBF"/>
    <w:rsid w:val="00011FDB"/>
    <w:rsid w:val="00012364"/>
    <w:rsid w:val="00012B23"/>
    <w:rsid w:val="00012C11"/>
    <w:rsid w:val="00012E56"/>
    <w:rsid w:val="000136AA"/>
    <w:rsid w:val="00013822"/>
    <w:rsid w:val="00013871"/>
    <w:rsid w:val="0001388F"/>
    <w:rsid w:val="00013DB8"/>
    <w:rsid w:val="000142CA"/>
    <w:rsid w:val="00014445"/>
    <w:rsid w:val="00014891"/>
    <w:rsid w:val="000149BD"/>
    <w:rsid w:val="00014B34"/>
    <w:rsid w:val="00014EA8"/>
    <w:rsid w:val="0001500B"/>
    <w:rsid w:val="00015138"/>
    <w:rsid w:val="00015264"/>
    <w:rsid w:val="0001537E"/>
    <w:rsid w:val="0001554A"/>
    <w:rsid w:val="00015805"/>
    <w:rsid w:val="00015811"/>
    <w:rsid w:val="00015942"/>
    <w:rsid w:val="00015961"/>
    <w:rsid w:val="00015B33"/>
    <w:rsid w:val="00015CBC"/>
    <w:rsid w:val="00015D92"/>
    <w:rsid w:val="00015FB8"/>
    <w:rsid w:val="00016510"/>
    <w:rsid w:val="00016604"/>
    <w:rsid w:val="00016723"/>
    <w:rsid w:val="00016838"/>
    <w:rsid w:val="0001686A"/>
    <w:rsid w:val="00016C4A"/>
    <w:rsid w:val="00016DFF"/>
    <w:rsid w:val="00016F26"/>
    <w:rsid w:val="00017149"/>
    <w:rsid w:val="000173CC"/>
    <w:rsid w:val="00017566"/>
    <w:rsid w:val="00017872"/>
    <w:rsid w:val="00020051"/>
    <w:rsid w:val="000201EB"/>
    <w:rsid w:val="000207C4"/>
    <w:rsid w:val="00020ACF"/>
    <w:rsid w:val="00020CFA"/>
    <w:rsid w:val="00020F96"/>
    <w:rsid w:val="000212AC"/>
    <w:rsid w:val="0002143B"/>
    <w:rsid w:val="000214D8"/>
    <w:rsid w:val="00021502"/>
    <w:rsid w:val="00021597"/>
    <w:rsid w:val="0002182C"/>
    <w:rsid w:val="00021A66"/>
    <w:rsid w:val="00021AE7"/>
    <w:rsid w:val="00021C58"/>
    <w:rsid w:val="00021D60"/>
    <w:rsid w:val="00021E14"/>
    <w:rsid w:val="0002206B"/>
    <w:rsid w:val="000220C7"/>
    <w:rsid w:val="000221E7"/>
    <w:rsid w:val="000222D7"/>
    <w:rsid w:val="00022313"/>
    <w:rsid w:val="000224A0"/>
    <w:rsid w:val="0002266F"/>
    <w:rsid w:val="00022A24"/>
    <w:rsid w:val="00022BBB"/>
    <w:rsid w:val="00022CE8"/>
    <w:rsid w:val="00023169"/>
    <w:rsid w:val="000231BA"/>
    <w:rsid w:val="000232A1"/>
    <w:rsid w:val="000232E8"/>
    <w:rsid w:val="000236F6"/>
    <w:rsid w:val="00023A67"/>
    <w:rsid w:val="00023DAE"/>
    <w:rsid w:val="00023E59"/>
    <w:rsid w:val="00023F2A"/>
    <w:rsid w:val="00023F5E"/>
    <w:rsid w:val="00023FE5"/>
    <w:rsid w:val="0002408B"/>
    <w:rsid w:val="0002412F"/>
    <w:rsid w:val="000244A9"/>
    <w:rsid w:val="000245E9"/>
    <w:rsid w:val="00024872"/>
    <w:rsid w:val="000248C3"/>
    <w:rsid w:val="000249D0"/>
    <w:rsid w:val="000249D3"/>
    <w:rsid w:val="00024A5B"/>
    <w:rsid w:val="00024F1D"/>
    <w:rsid w:val="00024FEE"/>
    <w:rsid w:val="00025356"/>
    <w:rsid w:val="00025AB3"/>
    <w:rsid w:val="00025C45"/>
    <w:rsid w:val="00025F40"/>
    <w:rsid w:val="00026166"/>
    <w:rsid w:val="00026175"/>
    <w:rsid w:val="00026246"/>
    <w:rsid w:val="000263C5"/>
    <w:rsid w:val="00026634"/>
    <w:rsid w:val="00026659"/>
    <w:rsid w:val="000267EB"/>
    <w:rsid w:val="00026AA7"/>
    <w:rsid w:val="00026E31"/>
    <w:rsid w:val="00026EC0"/>
    <w:rsid w:val="00026F56"/>
    <w:rsid w:val="00027B81"/>
    <w:rsid w:val="00027B9C"/>
    <w:rsid w:val="00027D27"/>
    <w:rsid w:val="00030B19"/>
    <w:rsid w:val="00030BCF"/>
    <w:rsid w:val="00030CB7"/>
    <w:rsid w:val="00030FC8"/>
    <w:rsid w:val="00030FC9"/>
    <w:rsid w:val="000310B7"/>
    <w:rsid w:val="00031244"/>
    <w:rsid w:val="000312EA"/>
    <w:rsid w:val="000313D0"/>
    <w:rsid w:val="000313F2"/>
    <w:rsid w:val="00031514"/>
    <w:rsid w:val="00031959"/>
    <w:rsid w:val="00031A52"/>
    <w:rsid w:val="00031AC4"/>
    <w:rsid w:val="00031B01"/>
    <w:rsid w:val="00031FE6"/>
    <w:rsid w:val="0003215E"/>
    <w:rsid w:val="000326C5"/>
    <w:rsid w:val="0003294D"/>
    <w:rsid w:val="00032CE3"/>
    <w:rsid w:val="0003314F"/>
    <w:rsid w:val="000331DD"/>
    <w:rsid w:val="000339F3"/>
    <w:rsid w:val="00033A6F"/>
    <w:rsid w:val="00033C46"/>
    <w:rsid w:val="00033E12"/>
    <w:rsid w:val="000341EE"/>
    <w:rsid w:val="000342DF"/>
    <w:rsid w:val="00034487"/>
    <w:rsid w:val="0003454C"/>
    <w:rsid w:val="000345AB"/>
    <w:rsid w:val="000346C4"/>
    <w:rsid w:val="0003487E"/>
    <w:rsid w:val="000348CA"/>
    <w:rsid w:val="00034E53"/>
    <w:rsid w:val="00034FD5"/>
    <w:rsid w:val="00035078"/>
    <w:rsid w:val="00035107"/>
    <w:rsid w:val="00035184"/>
    <w:rsid w:val="00035231"/>
    <w:rsid w:val="000352DF"/>
    <w:rsid w:val="00035373"/>
    <w:rsid w:val="00035750"/>
    <w:rsid w:val="0003588E"/>
    <w:rsid w:val="00035959"/>
    <w:rsid w:val="00035998"/>
    <w:rsid w:val="00035C46"/>
    <w:rsid w:val="000360DA"/>
    <w:rsid w:val="00036301"/>
    <w:rsid w:val="00036390"/>
    <w:rsid w:val="0003646F"/>
    <w:rsid w:val="00036732"/>
    <w:rsid w:val="0003690F"/>
    <w:rsid w:val="00036A91"/>
    <w:rsid w:val="00036D7F"/>
    <w:rsid w:val="000370EB"/>
    <w:rsid w:val="000376FF"/>
    <w:rsid w:val="000405CB"/>
    <w:rsid w:val="00040626"/>
    <w:rsid w:val="000406B8"/>
    <w:rsid w:val="00040ABF"/>
    <w:rsid w:val="00040CFB"/>
    <w:rsid w:val="00040D78"/>
    <w:rsid w:val="00040DFC"/>
    <w:rsid w:val="00041649"/>
    <w:rsid w:val="00041656"/>
    <w:rsid w:val="000416B8"/>
    <w:rsid w:val="00041AC6"/>
    <w:rsid w:val="00041BB1"/>
    <w:rsid w:val="00042248"/>
    <w:rsid w:val="000431F6"/>
    <w:rsid w:val="000433F3"/>
    <w:rsid w:val="00043ADD"/>
    <w:rsid w:val="00043C04"/>
    <w:rsid w:val="00044254"/>
    <w:rsid w:val="000444EA"/>
    <w:rsid w:val="00044859"/>
    <w:rsid w:val="00044FA1"/>
    <w:rsid w:val="00045055"/>
    <w:rsid w:val="00045824"/>
    <w:rsid w:val="00045D65"/>
    <w:rsid w:val="0004620E"/>
    <w:rsid w:val="0004639A"/>
    <w:rsid w:val="00046451"/>
    <w:rsid w:val="0004654C"/>
    <w:rsid w:val="000466C6"/>
    <w:rsid w:val="00046783"/>
    <w:rsid w:val="000467BF"/>
    <w:rsid w:val="000469D6"/>
    <w:rsid w:val="00046BF2"/>
    <w:rsid w:val="00046F67"/>
    <w:rsid w:val="00047064"/>
    <w:rsid w:val="00047331"/>
    <w:rsid w:val="000474D8"/>
    <w:rsid w:val="000476CB"/>
    <w:rsid w:val="00047853"/>
    <w:rsid w:val="000478F8"/>
    <w:rsid w:val="00047B42"/>
    <w:rsid w:val="00047B5C"/>
    <w:rsid w:val="00047F52"/>
    <w:rsid w:val="00050022"/>
    <w:rsid w:val="00050108"/>
    <w:rsid w:val="00050395"/>
    <w:rsid w:val="000503C7"/>
    <w:rsid w:val="000505F4"/>
    <w:rsid w:val="00050816"/>
    <w:rsid w:val="00050904"/>
    <w:rsid w:val="00050A06"/>
    <w:rsid w:val="00050F09"/>
    <w:rsid w:val="00050FEA"/>
    <w:rsid w:val="000513D8"/>
    <w:rsid w:val="00051650"/>
    <w:rsid w:val="00051AAF"/>
    <w:rsid w:val="00052197"/>
    <w:rsid w:val="0005278D"/>
    <w:rsid w:val="00052847"/>
    <w:rsid w:val="00052857"/>
    <w:rsid w:val="000529BE"/>
    <w:rsid w:val="00052CF8"/>
    <w:rsid w:val="00052FB7"/>
    <w:rsid w:val="00053474"/>
    <w:rsid w:val="000536F6"/>
    <w:rsid w:val="00053777"/>
    <w:rsid w:val="000537DA"/>
    <w:rsid w:val="00053888"/>
    <w:rsid w:val="000538E5"/>
    <w:rsid w:val="00053D89"/>
    <w:rsid w:val="00053F3E"/>
    <w:rsid w:val="000540E7"/>
    <w:rsid w:val="0005431D"/>
    <w:rsid w:val="0005437F"/>
    <w:rsid w:val="000543D7"/>
    <w:rsid w:val="00054494"/>
    <w:rsid w:val="00054510"/>
    <w:rsid w:val="0005477D"/>
    <w:rsid w:val="00054780"/>
    <w:rsid w:val="00054D0C"/>
    <w:rsid w:val="00054E8A"/>
    <w:rsid w:val="00055199"/>
    <w:rsid w:val="0005549E"/>
    <w:rsid w:val="0005567E"/>
    <w:rsid w:val="0005569B"/>
    <w:rsid w:val="0005594A"/>
    <w:rsid w:val="00055CE6"/>
    <w:rsid w:val="000562AF"/>
    <w:rsid w:val="00056348"/>
    <w:rsid w:val="00056B17"/>
    <w:rsid w:val="00056C4F"/>
    <w:rsid w:val="00056C95"/>
    <w:rsid w:val="00056C9F"/>
    <w:rsid w:val="000571E7"/>
    <w:rsid w:val="000571F7"/>
    <w:rsid w:val="000574B6"/>
    <w:rsid w:val="000577C4"/>
    <w:rsid w:val="000577D0"/>
    <w:rsid w:val="00057AC8"/>
    <w:rsid w:val="00057E45"/>
    <w:rsid w:val="000601C3"/>
    <w:rsid w:val="00060249"/>
    <w:rsid w:val="000602B2"/>
    <w:rsid w:val="00060317"/>
    <w:rsid w:val="0006051E"/>
    <w:rsid w:val="000606D1"/>
    <w:rsid w:val="00060748"/>
    <w:rsid w:val="00060A4B"/>
    <w:rsid w:val="00060BC8"/>
    <w:rsid w:val="00060C0F"/>
    <w:rsid w:val="000612D2"/>
    <w:rsid w:val="00061C54"/>
    <w:rsid w:val="00061D95"/>
    <w:rsid w:val="00061F3E"/>
    <w:rsid w:val="0006202A"/>
    <w:rsid w:val="000623DC"/>
    <w:rsid w:val="00062793"/>
    <w:rsid w:val="0006292D"/>
    <w:rsid w:val="00063056"/>
    <w:rsid w:val="00063380"/>
    <w:rsid w:val="00063CB4"/>
    <w:rsid w:val="00063CF1"/>
    <w:rsid w:val="000641F8"/>
    <w:rsid w:val="00064336"/>
    <w:rsid w:val="00064618"/>
    <w:rsid w:val="000648FF"/>
    <w:rsid w:val="00064986"/>
    <w:rsid w:val="000649B8"/>
    <w:rsid w:val="00064C85"/>
    <w:rsid w:val="00064F81"/>
    <w:rsid w:val="000654DF"/>
    <w:rsid w:val="00065606"/>
    <w:rsid w:val="00065943"/>
    <w:rsid w:val="000659DB"/>
    <w:rsid w:val="00065A43"/>
    <w:rsid w:val="00065C4A"/>
    <w:rsid w:val="00065C52"/>
    <w:rsid w:val="00065DB9"/>
    <w:rsid w:val="00065F42"/>
    <w:rsid w:val="0006640E"/>
    <w:rsid w:val="0006686E"/>
    <w:rsid w:val="000668A2"/>
    <w:rsid w:val="00066C83"/>
    <w:rsid w:val="000677A7"/>
    <w:rsid w:val="000702D2"/>
    <w:rsid w:val="000702EC"/>
    <w:rsid w:val="0007041A"/>
    <w:rsid w:val="00070650"/>
    <w:rsid w:val="0007110C"/>
    <w:rsid w:val="000712DA"/>
    <w:rsid w:val="000715E4"/>
    <w:rsid w:val="0007162E"/>
    <w:rsid w:val="00071A7D"/>
    <w:rsid w:val="00071B42"/>
    <w:rsid w:val="00071CF2"/>
    <w:rsid w:val="00071CF3"/>
    <w:rsid w:val="00071EF7"/>
    <w:rsid w:val="00071F2B"/>
    <w:rsid w:val="0007293B"/>
    <w:rsid w:val="000729CA"/>
    <w:rsid w:val="000729E0"/>
    <w:rsid w:val="00072C9A"/>
    <w:rsid w:val="00072CA3"/>
    <w:rsid w:val="00072DE0"/>
    <w:rsid w:val="00073092"/>
    <w:rsid w:val="000731D7"/>
    <w:rsid w:val="0007345B"/>
    <w:rsid w:val="0007388E"/>
    <w:rsid w:val="000739F1"/>
    <w:rsid w:val="00073A27"/>
    <w:rsid w:val="00073E82"/>
    <w:rsid w:val="00074390"/>
    <w:rsid w:val="00074480"/>
    <w:rsid w:val="000744CD"/>
    <w:rsid w:val="000745CF"/>
    <w:rsid w:val="00074894"/>
    <w:rsid w:val="000749EE"/>
    <w:rsid w:val="00074B8F"/>
    <w:rsid w:val="00074E51"/>
    <w:rsid w:val="00074EA5"/>
    <w:rsid w:val="00075168"/>
    <w:rsid w:val="000753A5"/>
    <w:rsid w:val="000753C9"/>
    <w:rsid w:val="000756F8"/>
    <w:rsid w:val="000757F1"/>
    <w:rsid w:val="00075D55"/>
    <w:rsid w:val="00075E75"/>
    <w:rsid w:val="0007602B"/>
    <w:rsid w:val="0007629E"/>
    <w:rsid w:val="000762EA"/>
    <w:rsid w:val="0007654D"/>
    <w:rsid w:val="0007678D"/>
    <w:rsid w:val="000767F5"/>
    <w:rsid w:val="0007689A"/>
    <w:rsid w:val="00076B8E"/>
    <w:rsid w:val="00076CCA"/>
    <w:rsid w:val="00076E03"/>
    <w:rsid w:val="00076F10"/>
    <w:rsid w:val="000772FC"/>
    <w:rsid w:val="0007744A"/>
    <w:rsid w:val="0007765A"/>
    <w:rsid w:val="000778D5"/>
    <w:rsid w:val="00077955"/>
    <w:rsid w:val="00077958"/>
    <w:rsid w:val="00077962"/>
    <w:rsid w:val="00077F1A"/>
    <w:rsid w:val="00080051"/>
    <w:rsid w:val="0008018A"/>
    <w:rsid w:val="00080239"/>
    <w:rsid w:val="00080514"/>
    <w:rsid w:val="00080994"/>
    <w:rsid w:val="00080A43"/>
    <w:rsid w:val="00080C0A"/>
    <w:rsid w:val="00081191"/>
    <w:rsid w:val="00081996"/>
    <w:rsid w:val="00081D2F"/>
    <w:rsid w:val="00081F38"/>
    <w:rsid w:val="000821EF"/>
    <w:rsid w:val="00082357"/>
    <w:rsid w:val="00082AB3"/>
    <w:rsid w:val="00082D27"/>
    <w:rsid w:val="00083061"/>
    <w:rsid w:val="000831F6"/>
    <w:rsid w:val="00083B5E"/>
    <w:rsid w:val="00083F9E"/>
    <w:rsid w:val="0008405F"/>
    <w:rsid w:val="00084583"/>
    <w:rsid w:val="00084637"/>
    <w:rsid w:val="000849CA"/>
    <w:rsid w:val="00084D3F"/>
    <w:rsid w:val="00084DC8"/>
    <w:rsid w:val="00084E8B"/>
    <w:rsid w:val="00085496"/>
    <w:rsid w:val="0008552F"/>
    <w:rsid w:val="00085A85"/>
    <w:rsid w:val="00085D3D"/>
    <w:rsid w:val="00085FE0"/>
    <w:rsid w:val="00086129"/>
    <w:rsid w:val="00086382"/>
    <w:rsid w:val="000864F8"/>
    <w:rsid w:val="00086679"/>
    <w:rsid w:val="000867E5"/>
    <w:rsid w:val="00086B00"/>
    <w:rsid w:val="00086B92"/>
    <w:rsid w:val="00086FA7"/>
    <w:rsid w:val="00087420"/>
    <w:rsid w:val="0008784A"/>
    <w:rsid w:val="00087A54"/>
    <w:rsid w:val="00087CF9"/>
    <w:rsid w:val="00087D70"/>
    <w:rsid w:val="00090135"/>
    <w:rsid w:val="0009015B"/>
    <w:rsid w:val="000901D1"/>
    <w:rsid w:val="000904FF"/>
    <w:rsid w:val="000908A1"/>
    <w:rsid w:val="000909A5"/>
    <w:rsid w:val="00090B34"/>
    <w:rsid w:val="0009147B"/>
    <w:rsid w:val="00091695"/>
    <w:rsid w:val="00091707"/>
    <w:rsid w:val="00091A13"/>
    <w:rsid w:val="00091B24"/>
    <w:rsid w:val="00091B8C"/>
    <w:rsid w:val="00091BBC"/>
    <w:rsid w:val="00091D8E"/>
    <w:rsid w:val="00091EBA"/>
    <w:rsid w:val="00091FD2"/>
    <w:rsid w:val="0009213F"/>
    <w:rsid w:val="00092449"/>
    <w:rsid w:val="00092AD0"/>
    <w:rsid w:val="00092B56"/>
    <w:rsid w:val="00092DF2"/>
    <w:rsid w:val="000931B1"/>
    <w:rsid w:val="00093659"/>
    <w:rsid w:val="000938AA"/>
    <w:rsid w:val="000939F5"/>
    <w:rsid w:val="00093F2F"/>
    <w:rsid w:val="00093FD8"/>
    <w:rsid w:val="00094173"/>
    <w:rsid w:val="000942D4"/>
    <w:rsid w:val="00094349"/>
    <w:rsid w:val="00094432"/>
    <w:rsid w:val="0009445C"/>
    <w:rsid w:val="0009449B"/>
    <w:rsid w:val="00094A75"/>
    <w:rsid w:val="00094B1E"/>
    <w:rsid w:val="00094B45"/>
    <w:rsid w:val="00094D50"/>
    <w:rsid w:val="00094E39"/>
    <w:rsid w:val="00094FB6"/>
    <w:rsid w:val="000950D5"/>
    <w:rsid w:val="00095657"/>
    <w:rsid w:val="0009572A"/>
    <w:rsid w:val="00095AE7"/>
    <w:rsid w:val="00095D02"/>
    <w:rsid w:val="000960D8"/>
    <w:rsid w:val="00096BF7"/>
    <w:rsid w:val="00096C28"/>
    <w:rsid w:val="00096E94"/>
    <w:rsid w:val="00097081"/>
    <w:rsid w:val="00097369"/>
    <w:rsid w:val="0009796D"/>
    <w:rsid w:val="00097C12"/>
    <w:rsid w:val="00097F71"/>
    <w:rsid w:val="000A0648"/>
    <w:rsid w:val="000A0942"/>
    <w:rsid w:val="000A096C"/>
    <w:rsid w:val="000A0C24"/>
    <w:rsid w:val="000A0C6F"/>
    <w:rsid w:val="000A0CC4"/>
    <w:rsid w:val="000A0DA9"/>
    <w:rsid w:val="000A0E28"/>
    <w:rsid w:val="000A0E87"/>
    <w:rsid w:val="000A0F3D"/>
    <w:rsid w:val="000A1123"/>
    <w:rsid w:val="000A1434"/>
    <w:rsid w:val="000A1D70"/>
    <w:rsid w:val="000A20FB"/>
    <w:rsid w:val="000A2162"/>
    <w:rsid w:val="000A22AE"/>
    <w:rsid w:val="000A2349"/>
    <w:rsid w:val="000A25A1"/>
    <w:rsid w:val="000A2760"/>
    <w:rsid w:val="000A277F"/>
    <w:rsid w:val="000A2888"/>
    <w:rsid w:val="000A299F"/>
    <w:rsid w:val="000A2DF0"/>
    <w:rsid w:val="000A2E3D"/>
    <w:rsid w:val="000A365D"/>
    <w:rsid w:val="000A38D6"/>
    <w:rsid w:val="000A3A8C"/>
    <w:rsid w:val="000A3BF9"/>
    <w:rsid w:val="000A3F61"/>
    <w:rsid w:val="000A3FF6"/>
    <w:rsid w:val="000A4322"/>
    <w:rsid w:val="000A44D0"/>
    <w:rsid w:val="000A4D52"/>
    <w:rsid w:val="000A4DB3"/>
    <w:rsid w:val="000A5040"/>
    <w:rsid w:val="000A564A"/>
    <w:rsid w:val="000A58F5"/>
    <w:rsid w:val="000A5A1C"/>
    <w:rsid w:val="000A5A35"/>
    <w:rsid w:val="000A5C7C"/>
    <w:rsid w:val="000A5D7D"/>
    <w:rsid w:val="000A6060"/>
    <w:rsid w:val="000A60DD"/>
    <w:rsid w:val="000A626B"/>
    <w:rsid w:val="000A63FA"/>
    <w:rsid w:val="000A6477"/>
    <w:rsid w:val="000A648E"/>
    <w:rsid w:val="000A6992"/>
    <w:rsid w:val="000A6A0D"/>
    <w:rsid w:val="000A6A75"/>
    <w:rsid w:val="000A6ACB"/>
    <w:rsid w:val="000A6CB2"/>
    <w:rsid w:val="000A6F49"/>
    <w:rsid w:val="000A7485"/>
    <w:rsid w:val="000A78D1"/>
    <w:rsid w:val="000A7F17"/>
    <w:rsid w:val="000B04CE"/>
    <w:rsid w:val="000B0A7E"/>
    <w:rsid w:val="000B0C68"/>
    <w:rsid w:val="000B0D39"/>
    <w:rsid w:val="000B11C3"/>
    <w:rsid w:val="000B16FF"/>
    <w:rsid w:val="000B1762"/>
    <w:rsid w:val="000B1940"/>
    <w:rsid w:val="000B1AF6"/>
    <w:rsid w:val="000B1B4D"/>
    <w:rsid w:val="000B1E8C"/>
    <w:rsid w:val="000B202B"/>
    <w:rsid w:val="000B26B8"/>
    <w:rsid w:val="000B2E72"/>
    <w:rsid w:val="000B31AD"/>
    <w:rsid w:val="000B35F3"/>
    <w:rsid w:val="000B36C3"/>
    <w:rsid w:val="000B3EA4"/>
    <w:rsid w:val="000B4195"/>
    <w:rsid w:val="000B4222"/>
    <w:rsid w:val="000B4299"/>
    <w:rsid w:val="000B4A0C"/>
    <w:rsid w:val="000B4CB7"/>
    <w:rsid w:val="000B4F62"/>
    <w:rsid w:val="000B4FAE"/>
    <w:rsid w:val="000B4FEA"/>
    <w:rsid w:val="000B5C94"/>
    <w:rsid w:val="000B5E2B"/>
    <w:rsid w:val="000B5F48"/>
    <w:rsid w:val="000B608D"/>
    <w:rsid w:val="000B659F"/>
    <w:rsid w:val="000B6770"/>
    <w:rsid w:val="000B6899"/>
    <w:rsid w:val="000B68C8"/>
    <w:rsid w:val="000B69F6"/>
    <w:rsid w:val="000B6F06"/>
    <w:rsid w:val="000B73E0"/>
    <w:rsid w:val="000B755F"/>
    <w:rsid w:val="000B7635"/>
    <w:rsid w:val="000B7796"/>
    <w:rsid w:val="000B7966"/>
    <w:rsid w:val="000B7D07"/>
    <w:rsid w:val="000B7F0D"/>
    <w:rsid w:val="000C0109"/>
    <w:rsid w:val="000C0116"/>
    <w:rsid w:val="000C0374"/>
    <w:rsid w:val="000C059D"/>
    <w:rsid w:val="000C0855"/>
    <w:rsid w:val="000C08F1"/>
    <w:rsid w:val="000C0A85"/>
    <w:rsid w:val="000C0B3D"/>
    <w:rsid w:val="000C11CA"/>
    <w:rsid w:val="000C11D0"/>
    <w:rsid w:val="000C12B2"/>
    <w:rsid w:val="000C13CA"/>
    <w:rsid w:val="000C15D2"/>
    <w:rsid w:val="000C1AC6"/>
    <w:rsid w:val="000C1B7B"/>
    <w:rsid w:val="000C2223"/>
    <w:rsid w:val="000C234A"/>
    <w:rsid w:val="000C23FE"/>
    <w:rsid w:val="000C2428"/>
    <w:rsid w:val="000C27FB"/>
    <w:rsid w:val="000C2AE7"/>
    <w:rsid w:val="000C2B78"/>
    <w:rsid w:val="000C2D55"/>
    <w:rsid w:val="000C3077"/>
    <w:rsid w:val="000C3283"/>
    <w:rsid w:val="000C357A"/>
    <w:rsid w:val="000C3650"/>
    <w:rsid w:val="000C3A31"/>
    <w:rsid w:val="000C3B8B"/>
    <w:rsid w:val="000C3D3E"/>
    <w:rsid w:val="000C3FBD"/>
    <w:rsid w:val="000C400E"/>
    <w:rsid w:val="000C4958"/>
    <w:rsid w:val="000C4A29"/>
    <w:rsid w:val="000C4C40"/>
    <w:rsid w:val="000C52CF"/>
    <w:rsid w:val="000C5338"/>
    <w:rsid w:val="000C560E"/>
    <w:rsid w:val="000C5D97"/>
    <w:rsid w:val="000C619B"/>
    <w:rsid w:val="000C630F"/>
    <w:rsid w:val="000C68B3"/>
    <w:rsid w:val="000C6C85"/>
    <w:rsid w:val="000C6D9D"/>
    <w:rsid w:val="000C704A"/>
    <w:rsid w:val="000C7496"/>
    <w:rsid w:val="000C75C6"/>
    <w:rsid w:val="000C7DF0"/>
    <w:rsid w:val="000D04B5"/>
    <w:rsid w:val="000D0569"/>
    <w:rsid w:val="000D0AE9"/>
    <w:rsid w:val="000D0BAC"/>
    <w:rsid w:val="000D0DAC"/>
    <w:rsid w:val="000D0DAE"/>
    <w:rsid w:val="000D12FC"/>
    <w:rsid w:val="000D1306"/>
    <w:rsid w:val="000D13B9"/>
    <w:rsid w:val="000D1454"/>
    <w:rsid w:val="000D157C"/>
    <w:rsid w:val="000D1610"/>
    <w:rsid w:val="000D1BC3"/>
    <w:rsid w:val="000D1DA5"/>
    <w:rsid w:val="000D20B4"/>
    <w:rsid w:val="000D2178"/>
    <w:rsid w:val="000D2323"/>
    <w:rsid w:val="000D263E"/>
    <w:rsid w:val="000D27B4"/>
    <w:rsid w:val="000D2946"/>
    <w:rsid w:val="000D2CA5"/>
    <w:rsid w:val="000D3341"/>
    <w:rsid w:val="000D34B7"/>
    <w:rsid w:val="000D3535"/>
    <w:rsid w:val="000D393E"/>
    <w:rsid w:val="000D3BA6"/>
    <w:rsid w:val="000D3BBD"/>
    <w:rsid w:val="000D3EF8"/>
    <w:rsid w:val="000D402D"/>
    <w:rsid w:val="000D40A2"/>
    <w:rsid w:val="000D410F"/>
    <w:rsid w:val="000D41D2"/>
    <w:rsid w:val="000D437C"/>
    <w:rsid w:val="000D43B9"/>
    <w:rsid w:val="000D4532"/>
    <w:rsid w:val="000D47E6"/>
    <w:rsid w:val="000D49F3"/>
    <w:rsid w:val="000D4ABF"/>
    <w:rsid w:val="000D4ACF"/>
    <w:rsid w:val="000D4BA2"/>
    <w:rsid w:val="000D4F1B"/>
    <w:rsid w:val="000D4FD1"/>
    <w:rsid w:val="000D50A0"/>
    <w:rsid w:val="000D534B"/>
    <w:rsid w:val="000D57D4"/>
    <w:rsid w:val="000D58F0"/>
    <w:rsid w:val="000D5A4B"/>
    <w:rsid w:val="000D5AF5"/>
    <w:rsid w:val="000D5B36"/>
    <w:rsid w:val="000D5C41"/>
    <w:rsid w:val="000D5EEF"/>
    <w:rsid w:val="000D61C1"/>
    <w:rsid w:val="000D67A4"/>
    <w:rsid w:val="000D6854"/>
    <w:rsid w:val="000D698C"/>
    <w:rsid w:val="000D6BA5"/>
    <w:rsid w:val="000D6F44"/>
    <w:rsid w:val="000D6FB5"/>
    <w:rsid w:val="000D6FD6"/>
    <w:rsid w:val="000D7152"/>
    <w:rsid w:val="000D7A91"/>
    <w:rsid w:val="000D7BC7"/>
    <w:rsid w:val="000D7BDB"/>
    <w:rsid w:val="000D7D07"/>
    <w:rsid w:val="000D7D83"/>
    <w:rsid w:val="000E0047"/>
    <w:rsid w:val="000E0153"/>
    <w:rsid w:val="000E039E"/>
    <w:rsid w:val="000E0435"/>
    <w:rsid w:val="000E0757"/>
    <w:rsid w:val="000E079B"/>
    <w:rsid w:val="000E0A62"/>
    <w:rsid w:val="000E0D03"/>
    <w:rsid w:val="000E0EDB"/>
    <w:rsid w:val="000E1069"/>
    <w:rsid w:val="000E1086"/>
    <w:rsid w:val="000E14F3"/>
    <w:rsid w:val="000E1689"/>
    <w:rsid w:val="000E1815"/>
    <w:rsid w:val="000E1979"/>
    <w:rsid w:val="000E1DD3"/>
    <w:rsid w:val="000E21D4"/>
    <w:rsid w:val="000E25FD"/>
    <w:rsid w:val="000E28EF"/>
    <w:rsid w:val="000E29E8"/>
    <w:rsid w:val="000E2B83"/>
    <w:rsid w:val="000E2EE1"/>
    <w:rsid w:val="000E378B"/>
    <w:rsid w:val="000E38B6"/>
    <w:rsid w:val="000E3954"/>
    <w:rsid w:val="000E3CB6"/>
    <w:rsid w:val="000E3E01"/>
    <w:rsid w:val="000E3E2F"/>
    <w:rsid w:val="000E4059"/>
    <w:rsid w:val="000E420B"/>
    <w:rsid w:val="000E4402"/>
    <w:rsid w:val="000E444B"/>
    <w:rsid w:val="000E4A68"/>
    <w:rsid w:val="000E4CE1"/>
    <w:rsid w:val="000E4DD0"/>
    <w:rsid w:val="000E50A0"/>
    <w:rsid w:val="000E50BB"/>
    <w:rsid w:val="000E531E"/>
    <w:rsid w:val="000E53C7"/>
    <w:rsid w:val="000E545E"/>
    <w:rsid w:val="000E5536"/>
    <w:rsid w:val="000E5885"/>
    <w:rsid w:val="000E5894"/>
    <w:rsid w:val="000E5BAE"/>
    <w:rsid w:val="000E5C1A"/>
    <w:rsid w:val="000E5EEB"/>
    <w:rsid w:val="000E6180"/>
    <w:rsid w:val="000E62C3"/>
    <w:rsid w:val="000E6405"/>
    <w:rsid w:val="000E64B7"/>
    <w:rsid w:val="000E6660"/>
    <w:rsid w:val="000E66B1"/>
    <w:rsid w:val="000E6BC0"/>
    <w:rsid w:val="000E6F27"/>
    <w:rsid w:val="000E70C6"/>
    <w:rsid w:val="000E72B9"/>
    <w:rsid w:val="000E74AC"/>
    <w:rsid w:val="000E75B8"/>
    <w:rsid w:val="000E7B1F"/>
    <w:rsid w:val="000E7EED"/>
    <w:rsid w:val="000E7F42"/>
    <w:rsid w:val="000E7FA1"/>
    <w:rsid w:val="000F01B4"/>
    <w:rsid w:val="000F05A0"/>
    <w:rsid w:val="000F066F"/>
    <w:rsid w:val="000F081D"/>
    <w:rsid w:val="000F0907"/>
    <w:rsid w:val="000F0911"/>
    <w:rsid w:val="000F0AA8"/>
    <w:rsid w:val="000F0B70"/>
    <w:rsid w:val="000F0D30"/>
    <w:rsid w:val="000F1A14"/>
    <w:rsid w:val="000F25B5"/>
    <w:rsid w:val="000F2777"/>
    <w:rsid w:val="000F27F0"/>
    <w:rsid w:val="000F289D"/>
    <w:rsid w:val="000F2A4A"/>
    <w:rsid w:val="000F2D56"/>
    <w:rsid w:val="000F3216"/>
    <w:rsid w:val="000F37FC"/>
    <w:rsid w:val="000F3E1D"/>
    <w:rsid w:val="000F3E42"/>
    <w:rsid w:val="000F3F0F"/>
    <w:rsid w:val="000F4295"/>
    <w:rsid w:val="000F42B3"/>
    <w:rsid w:val="000F480C"/>
    <w:rsid w:val="000F4A29"/>
    <w:rsid w:val="000F4CE1"/>
    <w:rsid w:val="000F527A"/>
    <w:rsid w:val="000F5326"/>
    <w:rsid w:val="000F5581"/>
    <w:rsid w:val="000F559F"/>
    <w:rsid w:val="000F566F"/>
    <w:rsid w:val="000F57B1"/>
    <w:rsid w:val="000F58C7"/>
    <w:rsid w:val="000F5CAC"/>
    <w:rsid w:val="000F5D12"/>
    <w:rsid w:val="000F5D92"/>
    <w:rsid w:val="000F5FE2"/>
    <w:rsid w:val="000F608A"/>
    <w:rsid w:val="000F62E4"/>
    <w:rsid w:val="000F7016"/>
    <w:rsid w:val="000F75E3"/>
    <w:rsid w:val="000F78A2"/>
    <w:rsid w:val="000F7A96"/>
    <w:rsid w:val="000F7AF6"/>
    <w:rsid w:val="000F7B1F"/>
    <w:rsid w:val="000F7E62"/>
    <w:rsid w:val="000F7EFF"/>
    <w:rsid w:val="0010011A"/>
    <w:rsid w:val="001003F1"/>
    <w:rsid w:val="0010058A"/>
    <w:rsid w:val="00100B88"/>
    <w:rsid w:val="00100DB0"/>
    <w:rsid w:val="00100F64"/>
    <w:rsid w:val="001010A6"/>
    <w:rsid w:val="0010126E"/>
    <w:rsid w:val="001015AB"/>
    <w:rsid w:val="00101762"/>
    <w:rsid w:val="00101976"/>
    <w:rsid w:val="00101DF0"/>
    <w:rsid w:val="00102065"/>
    <w:rsid w:val="001020E3"/>
    <w:rsid w:val="00102174"/>
    <w:rsid w:val="00102773"/>
    <w:rsid w:val="001027AE"/>
    <w:rsid w:val="00103054"/>
    <w:rsid w:val="00103198"/>
    <w:rsid w:val="0010355F"/>
    <w:rsid w:val="001035E0"/>
    <w:rsid w:val="001036DA"/>
    <w:rsid w:val="0010370F"/>
    <w:rsid w:val="00103747"/>
    <w:rsid w:val="001038C7"/>
    <w:rsid w:val="001038E9"/>
    <w:rsid w:val="00103B3C"/>
    <w:rsid w:val="00103D8A"/>
    <w:rsid w:val="00104756"/>
    <w:rsid w:val="001047B4"/>
    <w:rsid w:val="001048E2"/>
    <w:rsid w:val="00104A83"/>
    <w:rsid w:val="00104B6A"/>
    <w:rsid w:val="00104B7D"/>
    <w:rsid w:val="00104B9D"/>
    <w:rsid w:val="00104D86"/>
    <w:rsid w:val="0010513D"/>
    <w:rsid w:val="001055D2"/>
    <w:rsid w:val="00105603"/>
    <w:rsid w:val="00105666"/>
    <w:rsid w:val="00105798"/>
    <w:rsid w:val="00105992"/>
    <w:rsid w:val="00105A3B"/>
    <w:rsid w:val="00105BD5"/>
    <w:rsid w:val="00105BDA"/>
    <w:rsid w:val="00105D35"/>
    <w:rsid w:val="001062F9"/>
    <w:rsid w:val="001063A6"/>
    <w:rsid w:val="0010649F"/>
    <w:rsid w:val="001067AC"/>
    <w:rsid w:val="00106A5E"/>
    <w:rsid w:val="00106B87"/>
    <w:rsid w:val="00106C98"/>
    <w:rsid w:val="00106CEC"/>
    <w:rsid w:val="0010712A"/>
    <w:rsid w:val="001073BD"/>
    <w:rsid w:val="00107645"/>
    <w:rsid w:val="001079B5"/>
    <w:rsid w:val="00107A96"/>
    <w:rsid w:val="00107BE0"/>
    <w:rsid w:val="00107CAC"/>
    <w:rsid w:val="001100A0"/>
    <w:rsid w:val="0011088A"/>
    <w:rsid w:val="0011099F"/>
    <w:rsid w:val="00110D46"/>
    <w:rsid w:val="00110E22"/>
    <w:rsid w:val="00110EA9"/>
    <w:rsid w:val="001114C1"/>
    <w:rsid w:val="0011179A"/>
    <w:rsid w:val="001118A1"/>
    <w:rsid w:val="00111AAC"/>
    <w:rsid w:val="0011223C"/>
    <w:rsid w:val="001125A9"/>
    <w:rsid w:val="00112937"/>
    <w:rsid w:val="00112E82"/>
    <w:rsid w:val="00112FF2"/>
    <w:rsid w:val="001132C5"/>
    <w:rsid w:val="001132C8"/>
    <w:rsid w:val="0011335F"/>
    <w:rsid w:val="001136D6"/>
    <w:rsid w:val="001136EA"/>
    <w:rsid w:val="001139FE"/>
    <w:rsid w:val="00114084"/>
    <w:rsid w:val="0011421C"/>
    <w:rsid w:val="00114412"/>
    <w:rsid w:val="0011469D"/>
    <w:rsid w:val="00114782"/>
    <w:rsid w:val="00114943"/>
    <w:rsid w:val="00114E48"/>
    <w:rsid w:val="00115487"/>
    <w:rsid w:val="001154E2"/>
    <w:rsid w:val="001157AA"/>
    <w:rsid w:val="001157F5"/>
    <w:rsid w:val="00115A3E"/>
    <w:rsid w:val="00115C7F"/>
    <w:rsid w:val="00115F71"/>
    <w:rsid w:val="00115FAC"/>
    <w:rsid w:val="00116387"/>
    <w:rsid w:val="0011684A"/>
    <w:rsid w:val="001168B2"/>
    <w:rsid w:val="001174A1"/>
    <w:rsid w:val="0011762C"/>
    <w:rsid w:val="0011768C"/>
    <w:rsid w:val="00117746"/>
    <w:rsid w:val="00117883"/>
    <w:rsid w:val="00120029"/>
    <w:rsid w:val="00120058"/>
    <w:rsid w:val="0012057D"/>
    <w:rsid w:val="001205C5"/>
    <w:rsid w:val="0012076C"/>
    <w:rsid w:val="0012084A"/>
    <w:rsid w:val="001208D1"/>
    <w:rsid w:val="001211F7"/>
    <w:rsid w:val="00121541"/>
    <w:rsid w:val="001217F4"/>
    <w:rsid w:val="00121948"/>
    <w:rsid w:val="00121B71"/>
    <w:rsid w:val="00121CFD"/>
    <w:rsid w:val="00121EB2"/>
    <w:rsid w:val="0012204C"/>
    <w:rsid w:val="00122218"/>
    <w:rsid w:val="00122348"/>
    <w:rsid w:val="001227B6"/>
    <w:rsid w:val="001228DF"/>
    <w:rsid w:val="001239EA"/>
    <w:rsid w:val="00123DF2"/>
    <w:rsid w:val="001241D6"/>
    <w:rsid w:val="001242FA"/>
    <w:rsid w:val="001244AC"/>
    <w:rsid w:val="001244B4"/>
    <w:rsid w:val="0012460B"/>
    <w:rsid w:val="00124962"/>
    <w:rsid w:val="00124967"/>
    <w:rsid w:val="00124A6F"/>
    <w:rsid w:val="00124D69"/>
    <w:rsid w:val="00125011"/>
    <w:rsid w:val="0012512C"/>
    <w:rsid w:val="00125298"/>
    <w:rsid w:val="001257AE"/>
    <w:rsid w:val="00125A4F"/>
    <w:rsid w:val="00125AC6"/>
    <w:rsid w:val="00125B08"/>
    <w:rsid w:val="00125BB3"/>
    <w:rsid w:val="00125E20"/>
    <w:rsid w:val="00125EC0"/>
    <w:rsid w:val="001261A7"/>
    <w:rsid w:val="001261EF"/>
    <w:rsid w:val="001262F3"/>
    <w:rsid w:val="001263D1"/>
    <w:rsid w:val="0012645E"/>
    <w:rsid w:val="001264E8"/>
    <w:rsid w:val="00126999"/>
    <w:rsid w:val="00126C96"/>
    <w:rsid w:val="00127456"/>
    <w:rsid w:val="001278E7"/>
    <w:rsid w:val="00127B62"/>
    <w:rsid w:val="00127C6A"/>
    <w:rsid w:val="00127FFA"/>
    <w:rsid w:val="001301AA"/>
    <w:rsid w:val="0013033C"/>
    <w:rsid w:val="00130413"/>
    <w:rsid w:val="001305F8"/>
    <w:rsid w:val="00130B97"/>
    <w:rsid w:val="00130E52"/>
    <w:rsid w:val="0013118A"/>
    <w:rsid w:val="00131255"/>
    <w:rsid w:val="001312E0"/>
    <w:rsid w:val="001315F9"/>
    <w:rsid w:val="001319B0"/>
    <w:rsid w:val="00131B5C"/>
    <w:rsid w:val="00131D5C"/>
    <w:rsid w:val="00132314"/>
    <w:rsid w:val="00132BC6"/>
    <w:rsid w:val="00132BE6"/>
    <w:rsid w:val="00132F62"/>
    <w:rsid w:val="001330C1"/>
    <w:rsid w:val="0013311D"/>
    <w:rsid w:val="001331A4"/>
    <w:rsid w:val="0013331E"/>
    <w:rsid w:val="001335F2"/>
    <w:rsid w:val="00133626"/>
    <w:rsid w:val="001336A8"/>
    <w:rsid w:val="001337D5"/>
    <w:rsid w:val="00133DA3"/>
    <w:rsid w:val="00133F67"/>
    <w:rsid w:val="00133F88"/>
    <w:rsid w:val="0013408D"/>
    <w:rsid w:val="001340BE"/>
    <w:rsid w:val="0013455B"/>
    <w:rsid w:val="00134D1A"/>
    <w:rsid w:val="00134E05"/>
    <w:rsid w:val="00134F5F"/>
    <w:rsid w:val="00134FAC"/>
    <w:rsid w:val="00135051"/>
    <w:rsid w:val="001351DA"/>
    <w:rsid w:val="001356F1"/>
    <w:rsid w:val="001358AF"/>
    <w:rsid w:val="00135994"/>
    <w:rsid w:val="00135A9A"/>
    <w:rsid w:val="00135B56"/>
    <w:rsid w:val="00135E26"/>
    <w:rsid w:val="00135FC9"/>
    <w:rsid w:val="001364B3"/>
    <w:rsid w:val="0013663E"/>
    <w:rsid w:val="00136A46"/>
    <w:rsid w:val="00136B51"/>
    <w:rsid w:val="00136D71"/>
    <w:rsid w:val="00136F23"/>
    <w:rsid w:val="001375DB"/>
    <w:rsid w:val="001376F6"/>
    <w:rsid w:val="001376FF"/>
    <w:rsid w:val="00137791"/>
    <w:rsid w:val="00137A8B"/>
    <w:rsid w:val="001400B2"/>
    <w:rsid w:val="00140149"/>
    <w:rsid w:val="001402AC"/>
    <w:rsid w:val="00140CC5"/>
    <w:rsid w:val="0014159F"/>
    <w:rsid w:val="001417C0"/>
    <w:rsid w:val="00141B20"/>
    <w:rsid w:val="00141ECD"/>
    <w:rsid w:val="00141F18"/>
    <w:rsid w:val="00142687"/>
    <w:rsid w:val="001426C5"/>
    <w:rsid w:val="00142785"/>
    <w:rsid w:val="00142814"/>
    <w:rsid w:val="00142995"/>
    <w:rsid w:val="00142C07"/>
    <w:rsid w:val="00142C2F"/>
    <w:rsid w:val="00142E6D"/>
    <w:rsid w:val="00142F96"/>
    <w:rsid w:val="001431BC"/>
    <w:rsid w:val="001438B9"/>
    <w:rsid w:val="00144359"/>
    <w:rsid w:val="00144680"/>
    <w:rsid w:val="00144760"/>
    <w:rsid w:val="00144772"/>
    <w:rsid w:val="00144BDA"/>
    <w:rsid w:val="00144C55"/>
    <w:rsid w:val="00144FB0"/>
    <w:rsid w:val="001450F3"/>
    <w:rsid w:val="00145D2C"/>
    <w:rsid w:val="00145ED4"/>
    <w:rsid w:val="00145F05"/>
    <w:rsid w:val="0014623E"/>
    <w:rsid w:val="00146309"/>
    <w:rsid w:val="0014630F"/>
    <w:rsid w:val="001467ED"/>
    <w:rsid w:val="00146A46"/>
    <w:rsid w:val="00147014"/>
    <w:rsid w:val="001471C4"/>
    <w:rsid w:val="00147404"/>
    <w:rsid w:val="00147BB9"/>
    <w:rsid w:val="00147D4C"/>
    <w:rsid w:val="00147EED"/>
    <w:rsid w:val="00150090"/>
    <w:rsid w:val="00150371"/>
    <w:rsid w:val="00150527"/>
    <w:rsid w:val="0015092F"/>
    <w:rsid w:val="00150CED"/>
    <w:rsid w:val="00150DEC"/>
    <w:rsid w:val="001511D8"/>
    <w:rsid w:val="001517E4"/>
    <w:rsid w:val="00151C5C"/>
    <w:rsid w:val="00152221"/>
    <w:rsid w:val="00152447"/>
    <w:rsid w:val="001525E3"/>
    <w:rsid w:val="001526EF"/>
    <w:rsid w:val="00152CEE"/>
    <w:rsid w:val="00152DB2"/>
    <w:rsid w:val="00152F89"/>
    <w:rsid w:val="001530B5"/>
    <w:rsid w:val="00153235"/>
    <w:rsid w:val="001535BF"/>
    <w:rsid w:val="0015365D"/>
    <w:rsid w:val="0015374E"/>
    <w:rsid w:val="0015377D"/>
    <w:rsid w:val="001537B0"/>
    <w:rsid w:val="00153B25"/>
    <w:rsid w:val="0015425F"/>
    <w:rsid w:val="0015440C"/>
    <w:rsid w:val="00154578"/>
    <w:rsid w:val="00154686"/>
    <w:rsid w:val="0015468B"/>
    <w:rsid w:val="00154C9B"/>
    <w:rsid w:val="00154F36"/>
    <w:rsid w:val="001550E1"/>
    <w:rsid w:val="001551DD"/>
    <w:rsid w:val="001557A2"/>
    <w:rsid w:val="00155D24"/>
    <w:rsid w:val="001560BD"/>
    <w:rsid w:val="00156187"/>
    <w:rsid w:val="001565A6"/>
    <w:rsid w:val="00156669"/>
    <w:rsid w:val="00156842"/>
    <w:rsid w:val="00156A41"/>
    <w:rsid w:val="00156C55"/>
    <w:rsid w:val="00156CB5"/>
    <w:rsid w:val="00156D2E"/>
    <w:rsid w:val="0015713B"/>
    <w:rsid w:val="001571DE"/>
    <w:rsid w:val="0015721A"/>
    <w:rsid w:val="0015761E"/>
    <w:rsid w:val="001576F0"/>
    <w:rsid w:val="00157DE8"/>
    <w:rsid w:val="00160296"/>
    <w:rsid w:val="0016035F"/>
    <w:rsid w:val="0016047B"/>
    <w:rsid w:val="001605E0"/>
    <w:rsid w:val="0016060C"/>
    <w:rsid w:val="00160BD2"/>
    <w:rsid w:val="00160C27"/>
    <w:rsid w:val="00161261"/>
    <w:rsid w:val="001615D4"/>
    <w:rsid w:val="0016243B"/>
    <w:rsid w:val="001625A1"/>
    <w:rsid w:val="0016289A"/>
    <w:rsid w:val="0016293F"/>
    <w:rsid w:val="00162CE4"/>
    <w:rsid w:val="001631A0"/>
    <w:rsid w:val="00163598"/>
    <w:rsid w:val="001636E0"/>
    <w:rsid w:val="001645C9"/>
    <w:rsid w:val="001645EF"/>
    <w:rsid w:val="00164B64"/>
    <w:rsid w:val="00164E81"/>
    <w:rsid w:val="00165072"/>
    <w:rsid w:val="001650BD"/>
    <w:rsid w:val="001650DB"/>
    <w:rsid w:val="00165D54"/>
    <w:rsid w:val="00165D65"/>
    <w:rsid w:val="00165D93"/>
    <w:rsid w:val="00165E42"/>
    <w:rsid w:val="00165F91"/>
    <w:rsid w:val="00166209"/>
    <w:rsid w:val="0016625B"/>
    <w:rsid w:val="00166A11"/>
    <w:rsid w:val="00166CE6"/>
    <w:rsid w:val="00166E15"/>
    <w:rsid w:val="001675F4"/>
    <w:rsid w:val="00167862"/>
    <w:rsid w:val="00167FBC"/>
    <w:rsid w:val="00170036"/>
    <w:rsid w:val="0017004D"/>
    <w:rsid w:val="001708FD"/>
    <w:rsid w:val="00170A1A"/>
    <w:rsid w:val="00170D92"/>
    <w:rsid w:val="00170E67"/>
    <w:rsid w:val="001711AE"/>
    <w:rsid w:val="001712AC"/>
    <w:rsid w:val="001717C1"/>
    <w:rsid w:val="001719B0"/>
    <w:rsid w:val="00171AE6"/>
    <w:rsid w:val="00171D74"/>
    <w:rsid w:val="001721D4"/>
    <w:rsid w:val="00172445"/>
    <w:rsid w:val="001724A8"/>
    <w:rsid w:val="00172769"/>
    <w:rsid w:val="0017279A"/>
    <w:rsid w:val="001728C7"/>
    <w:rsid w:val="00172BB7"/>
    <w:rsid w:val="00172BC3"/>
    <w:rsid w:val="00172CAB"/>
    <w:rsid w:val="00173034"/>
    <w:rsid w:val="00173066"/>
    <w:rsid w:val="00173137"/>
    <w:rsid w:val="0017335B"/>
    <w:rsid w:val="00173A61"/>
    <w:rsid w:val="00173EB3"/>
    <w:rsid w:val="00173FEA"/>
    <w:rsid w:val="001741FA"/>
    <w:rsid w:val="00174305"/>
    <w:rsid w:val="00174887"/>
    <w:rsid w:val="00174B19"/>
    <w:rsid w:val="00174B63"/>
    <w:rsid w:val="00175041"/>
    <w:rsid w:val="001751F6"/>
    <w:rsid w:val="00175200"/>
    <w:rsid w:val="00175306"/>
    <w:rsid w:val="001756D0"/>
    <w:rsid w:val="001759D8"/>
    <w:rsid w:val="00175A3F"/>
    <w:rsid w:val="00175E40"/>
    <w:rsid w:val="001761EB"/>
    <w:rsid w:val="0017637A"/>
    <w:rsid w:val="00176562"/>
    <w:rsid w:val="00176820"/>
    <w:rsid w:val="0017692C"/>
    <w:rsid w:val="001769A3"/>
    <w:rsid w:val="00176A7B"/>
    <w:rsid w:val="00176C3C"/>
    <w:rsid w:val="00176D5C"/>
    <w:rsid w:val="00176D7F"/>
    <w:rsid w:val="001770D0"/>
    <w:rsid w:val="001775B8"/>
    <w:rsid w:val="00177945"/>
    <w:rsid w:val="00177A41"/>
    <w:rsid w:val="00177B2E"/>
    <w:rsid w:val="00177C74"/>
    <w:rsid w:val="00177E4B"/>
    <w:rsid w:val="00177F61"/>
    <w:rsid w:val="00180187"/>
    <w:rsid w:val="00180382"/>
    <w:rsid w:val="0018044C"/>
    <w:rsid w:val="00180923"/>
    <w:rsid w:val="00180968"/>
    <w:rsid w:val="00180A54"/>
    <w:rsid w:val="00180EB4"/>
    <w:rsid w:val="0018199A"/>
    <w:rsid w:val="00181C0E"/>
    <w:rsid w:val="00181F3A"/>
    <w:rsid w:val="0018215F"/>
    <w:rsid w:val="00182357"/>
    <w:rsid w:val="00182473"/>
    <w:rsid w:val="001826B2"/>
    <w:rsid w:val="00182771"/>
    <w:rsid w:val="00182A20"/>
    <w:rsid w:val="00182CF3"/>
    <w:rsid w:val="00182D62"/>
    <w:rsid w:val="00183063"/>
    <w:rsid w:val="001831BE"/>
    <w:rsid w:val="001831C3"/>
    <w:rsid w:val="00183288"/>
    <w:rsid w:val="00183353"/>
    <w:rsid w:val="001833C3"/>
    <w:rsid w:val="00183499"/>
    <w:rsid w:val="001836C0"/>
    <w:rsid w:val="001837AA"/>
    <w:rsid w:val="00183A2E"/>
    <w:rsid w:val="00183A6B"/>
    <w:rsid w:val="00183C4D"/>
    <w:rsid w:val="00183C90"/>
    <w:rsid w:val="00183E0F"/>
    <w:rsid w:val="00183FE6"/>
    <w:rsid w:val="0018406E"/>
    <w:rsid w:val="0018413C"/>
    <w:rsid w:val="00184491"/>
    <w:rsid w:val="001849C0"/>
    <w:rsid w:val="00184DFE"/>
    <w:rsid w:val="00185336"/>
    <w:rsid w:val="00185B6C"/>
    <w:rsid w:val="00186272"/>
    <w:rsid w:val="00186496"/>
    <w:rsid w:val="0018654E"/>
    <w:rsid w:val="001865AD"/>
    <w:rsid w:val="00186B31"/>
    <w:rsid w:val="00186D34"/>
    <w:rsid w:val="0018701A"/>
    <w:rsid w:val="00187114"/>
    <w:rsid w:val="00187324"/>
    <w:rsid w:val="00187580"/>
    <w:rsid w:val="00187865"/>
    <w:rsid w:val="0018791D"/>
    <w:rsid w:val="00187920"/>
    <w:rsid w:val="00187A6C"/>
    <w:rsid w:val="00187AF9"/>
    <w:rsid w:val="001904E3"/>
    <w:rsid w:val="001909A3"/>
    <w:rsid w:val="00190E33"/>
    <w:rsid w:val="0019120F"/>
    <w:rsid w:val="001913D3"/>
    <w:rsid w:val="001914BB"/>
    <w:rsid w:val="001916E5"/>
    <w:rsid w:val="0019173F"/>
    <w:rsid w:val="00191781"/>
    <w:rsid w:val="001917A0"/>
    <w:rsid w:val="0019186D"/>
    <w:rsid w:val="00191F09"/>
    <w:rsid w:val="0019222B"/>
    <w:rsid w:val="00192318"/>
    <w:rsid w:val="001926D9"/>
    <w:rsid w:val="00192782"/>
    <w:rsid w:val="00192947"/>
    <w:rsid w:val="00192D69"/>
    <w:rsid w:val="00192E54"/>
    <w:rsid w:val="001932ED"/>
    <w:rsid w:val="001934D9"/>
    <w:rsid w:val="00193522"/>
    <w:rsid w:val="00193733"/>
    <w:rsid w:val="001937AA"/>
    <w:rsid w:val="00193A2F"/>
    <w:rsid w:val="00193BA0"/>
    <w:rsid w:val="00193D28"/>
    <w:rsid w:val="00193DDC"/>
    <w:rsid w:val="00193E90"/>
    <w:rsid w:val="00193F54"/>
    <w:rsid w:val="001941A1"/>
    <w:rsid w:val="001941D5"/>
    <w:rsid w:val="001943DC"/>
    <w:rsid w:val="00194CB7"/>
    <w:rsid w:val="00194DA2"/>
    <w:rsid w:val="00195348"/>
    <w:rsid w:val="001953D0"/>
    <w:rsid w:val="00195748"/>
    <w:rsid w:val="001958FE"/>
    <w:rsid w:val="0019594E"/>
    <w:rsid w:val="001959DB"/>
    <w:rsid w:val="00195D24"/>
    <w:rsid w:val="001962D7"/>
    <w:rsid w:val="0019680C"/>
    <w:rsid w:val="00196811"/>
    <w:rsid w:val="00196A4B"/>
    <w:rsid w:val="00196D9D"/>
    <w:rsid w:val="001970A6"/>
    <w:rsid w:val="001975F0"/>
    <w:rsid w:val="0019760D"/>
    <w:rsid w:val="0019776B"/>
    <w:rsid w:val="0019779D"/>
    <w:rsid w:val="00197886"/>
    <w:rsid w:val="00197AB3"/>
    <w:rsid w:val="001A02E9"/>
    <w:rsid w:val="001A049B"/>
    <w:rsid w:val="001A0B01"/>
    <w:rsid w:val="001A0C4B"/>
    <w:rsid w:val="001A0F97"/>
    <w:rsid w:val="001A1346"/>
    <w:rsid w:val="001A13BF"/>
    <w:rsid w:val="001A168E"/>
    <w:rsid w:val="001A1A64"/>
    <w:rsid w:val="001A2099"/>
    <w:rsid w:val="001A212A"/>
    <w:rsid w:val="001A229A"/>
    <w:rsid w:val="001A22A2"/>
    <w:rsid w:val="001A24DA"/>
    <w:rsid w:val="001A27D2"/>
    <w:rsid w:val="001A2CAF"/>
    <w:rsid w:val="001A33A1"/>
    <w:rsid w:val="001A33AB"/>
    <w:rsid w:val="001A33B7"/>
    <w:rsid w:val="001A36FD"/>
    <w:rsid w:val="001A3FF7"/>
    <w:rsid w:val="001A402D"/>
    <w:rsid w:val="001A40E7"/>
    <w:rsid w:val="001A4318"/>
    <w:rsid w:val="001A44F9"/>
    <w:rsid w:val="001A4534"/>
    <w:rsid w:val="001A492D"/>
    <w:rsid w:val="001A4FE2"/>
    <w:rsid w:val="001A5016"/>
    <w:rsid w:val="001A50E3"/>
    <w:rsid w:val="001A50F5"/>
    <w:rsid w:val="001A543D"/>
    <w:rsid w:val="001A5630"/>
    <w:rsid w:val="001A586C"/>
    <w:rsid w:val="001A5C2C"/>
    <w:rsid w:val="001A5F8A"/>
    <w:rsid w:val="001A605E"/>
    <w:rsid w:val="001A6071"/>
    <w:rsid w:val="001A6359"/>
    <w:rsid w:val="001A6379"/>
    <w:rsid w:val="001A696E"/>
    <w:rsid w:val="001A69F4"/>
    <w:rsid w:val="001A6B12"/>
    <w:rsid w:val="001A6CE2"/>
    <w:rsid w:val="001A6E3D"/>
    <w:rsid w:val="001A6FDD"/>
    <w:rsid w:val="001A7164"/>
    <w:rsid w:val="001A72DB"/>
    <w:rsid w:val="001A755B"/>
    <w:rsid w:val="001A7D60"/>
    <w:rsid w:val="001A7E91"/>
    <w:rsid w:val="001B0044"/>
    <w:rsid w:val="001B01F3"/>
    <w:rsid w:val="001B07B4"/>
    <w:rsid w:val="001B07D4"/>
    <w:rsid w:val="001B0D21"/>
    <w:rsid w:val="001B0EF1"/>
    <w:rsid w:val="001B13CF"/>
    <w:rsid w:val="001B157F"/>
    <w:rsid w:val="001B1E2F"/>
    <w:rsid w:val="001B1F74"/>
    <w:rsid w:val="001B1F8C"/>
    <w:rsid w:val="001B2075"/>
    <w:rsid w:val="001B22C6"/>
    <w:rsid w:val="001B2380"/>
    <w:rsid w:val="001B242C"/>
    <w:rsid w:val="001B2580"/>
    <w:rsid w:val="001B25D8"/>
    <w:rsid w:val="001B2873"/>
    <w:rsid w:val="001B287C"/>
    <w:rsid w:val="001B2B21"/>
    <w:rsid w:val="001B2BE4"/>
    <w:rsid w:val="001B2C46"/>
    <w:rsid w:val="001B2D6C"/>
    <w:rsid w:val="001B2D99"/>
    <w:rsid w:val="001B3266"/>
    <w:rsid w:val="001B33C7"/>
    <w:rsid w:val="001B35D4"/>
    <w:rsid w:val="001B383E"/>
    <w:rsid w:val="001B3942"/>
    <w:rsid w:val="001B3BD8"/>
    <w:rsid w:val="001B3CC9"/>
    <w:rsid w:val="001B3CF0"/>
    <w:rsid w:val="001B3E69"/>
    <w:rsid w:val="001B4045"/>
    <w:rsid w:val="001B48A2"/>
    <w:rsid w:val="001B4C30"/>
    <w:rsid w:val="001B4C5D"/>
    <w:rsid w:val="001B4FF9"/>
    <w:rsid w:val="001B515F"/>
    <w:rsid w:val="001B52D5"/>
    <w:rsid w:val="001B577A"/>
    <w:rsid w:val="001B590C"/>
    <w:rsid w:val="001B5AC5"/>
    <w:rsid w:val="001B5AD5"/>
    <w:rsid w:val="001B5BFE"/>
    <w:rsid w:val="001B5CF8"/>
    <w:rsid w:val="001B5D92"/>
    <w:rsid w:val="001B5F80"/>
    <w:rsid w:val="001B5FD3"/>
    <w:rsid w:val="001B679C"/>
    <w:rsid w:val="001B6AE5"/>
    <w:rsid w:val="001B6B54"/>
    <w:rsid w:val="001B6BB3"/>
    <w:rsid w:val="001B6C65"/>
    <w:rsid w:val="001B6CE4"/>
    <w:rsid w:val="001B6DDF"/>
    <w:rsid w:val="001B7373"/>
    <w:rsid w:val="001B749D"/>
    <w:rsid w:val="001B7647"/>
    <w:rsid w:val="001B786A"/>
    <w:rsid w:val="001B786C"/>
    <w:rsid w:val="001B7886"/>
    <w:rsid w:val="001B78BE"/>
    <w:rsid w:val="001B797D"/>
    <w:rsid w:val="001B7A11"/>
    <w:rsid w:val="001C0268"/>
    <w:rsid w:val="001C041A"/>
    <w:rsid w:val="001C06D6"/>
    <w:rsid w:val="001C0DAD"/>
    <w:rsid w:val="001C0FFC"/>
    <w:rsid w:val="001C100A"/>
    <w:rsid w:val="001C103B"/>
    <w:rsid w:val="001C111D"/>
    <w:rsid w:val="001C15B0"/>
    <w:rsid w:val="001C18FC"/>
    <w:rsid w:val="001C2013"/>
    <w:rsid w:val="001C26F9"/>
    <w:rsid w:val="001C2C8E"/>
    <w:rsid w:val="001C2D1D"/>
    <w:rsid w:val="001C3286"/>
    <w:rsid w:val="001C3492"/>
    <w:rsid w:val="001C3698"/>
    <w:rsid w:val="001C39F6"/>
    <w:rsid w:val="001C3A3B"/>
    <w:rsid w:val="001C3BD7"/>
    <w:rsid w:val="001C3C59"/>
    <w:rsid w:val="001C408D"/>
    <w:rsid w:val="001C40BE"/>
    <w:rsid w:val="001C4191"/>
    <w:rsid w:val="001C4292"/>
    <w:rsid w:val="001C42B5"/>
    <w:rsid w:val="001C47DD"/>
    <w:rsid w:val="001C4988"/>
    <w:rsid w:val="001C49B0"/>
    <w:rsid w:val="001C4A48"/>
    <w:rsid w:val="001C4A68"/>
    <w:rsid w:val="001C4E0F"/>
    <w:rsid w:val="001C50BB"/>
    <w:rsid w:val="001C5248"/>
    <w:rsid w:val="001C57B8"/>
    <w:rsid w:val="001C5ACC"/>
    <w:rsid w:val="001C5C61"/>
    <w:rsid w:val="001C5EC9"/>
    <w:rsid w:val="001C6028"/>
    <w:rsid w:val="001C6472"/>
    <w:rsid w:val="001C6875"/>
    <w:rsid w:val="001C6965"/>
    <w:rsid w:val="001C6ACE"/>
    <w:rsid w:val="001C76B6"/>
    <w:rsid w:val="001C7888"/>
    <w:rsid w:val="001C79E1"/>
    <w:rsid w:val="001C7C42"/>
    <w:rsid w:val="001C7C9E"/>
    <w:rsid w:val="001C7EAC"/>
    <w:rsid w:val="001D0013"/>
    <w:rsid w:val="001D0245"/>
    <w:rsid w:val="001D044D"/>
    <w:rsid w:val="001D04F1"/>
    <w:rsid w:val="001D0597"/>
    <w:rsid w:val="001D07CF"/>
    <w:rsid w:val="001D0B67"/>
    <w:rsid w:val="001D0BF7"/>
    <w:rsid w:val="001D10B5"/>
    <w:rsid w:val="001D10E5"/>
    <w:rsid w:val="001D114F"/>
    <w:rsid w:val="001D11C8"/>
    <w:rsid w:val="001D1862"/>
    <w:rsid w:val="001D194C"/>
    <w:rsid w:val="001D19A7"/>
    <w:rsid w:val="001D19D6"/>
    <w:rsid w:val="001D1B8A"/>
    <w:rsid w:val="001D1F37"/>
    <w:rsid w:val="001D2011"/>
    <w:rsid w:val="001D2160"/>
    <w:rsid w:val="001D22B7"/>
    <w:rsid w:val="001D260C"/>
    <w:rsid w:val="001D2622"/>
    <w:rsid w:val="001D2720"/>
    <w:rsid w:val="001D27FE"/>
    <w:rsid w:val="001D2847"/>
    <w:rsid w:val="001D2BE8"/>
    <w:rsid w:val="001D2D20"/>
    <w:rsid w:val="001D30D8"/>
    <w:rsid w:val="001D39EC"/>
    <w:rsid w:val="001D3B2F"/>
    <w:rsid w:val="001D3EF4"/>
    <w:rsid w:val="001D3F7F"/>
    <w:rsid w:val="001D459A"/>
    <w:rsid w:val="001D4760"/>
    <w:rsid w:val="001D476A"/>
    <w:rsid w:val="001D488D"/>
    <w:rsid w:val="001D4978"/>
    <w:rsid w:val="001D49CA"/>
    <w:rsid w:val="001D4A31"/>
    <w:rsid w:val="001D4A6E"/>
    <w:rsid w:val="001D4B5B"/>
    <w:rsid w:val="001D4CFE"/>
    <w:rsid w:val="001D4D9E"/>
    <w:rsid w:val="001D4E47"/>
    <w:rsid w:val="001D52F7"/>
    <w:rsid w:val="001D5382"/>
    <w:rsid w:val="001D572D"/>
    <w:rsid w:val="001D5D1B"/>
    <w:rsid w:val="001D5D3B"/>
    <w:rsid w:val="001D5F28"/>
    <w:rsid w:val="001D5F55"/>
    <w:rsid w:val="001D5F9C"/>
    <w:rsid w:val="001D63BD"/>
    <w:rsid w:val="001D6B12"/>
    <w:rsid w:val="001D6CBD"/>
    <w:rsid w:val="001D6DF4"/>
    <w:rsid w:val="001D6E72"/>
    <w:rsid w:val="001D6E78"/>
    <w:rsid w:val="001D781F"/>
    <w:rsid w:val="001D7B8C"/>
    <w:rsid w:val="001D7C97"/>
    <w:rsid w:val="001D7CC1"/>
    <w:rsid w:val="001E00F2"/>
    <w:rsid w:val="001E033C"/>
    <w:rsid w:val="001E0347"/>
    <w:rsid w:val="001E04A0"/>
    <w:rsid w:val="001E04B8"/>
    <w:rsid w:val="001E068A"/>
    <w:rsid w:val="001E08F2"/>
    <w:rsid w:val="001E097A"/>
    <w:rsid w:val="001E0A36"/>
    <w:rsid w:val="001E0C32"/>
    <w:rsid w:val="001E0DB2"/>
    <w:rsid w:val="001E0E87"/>
    <w:rsid w:val="001E1362"/>
    <w:rsid w:val="001E162B"/>
    <w:rsid w:val="001E16E6"/>
    <w:rsid w:val="001E1820"/>
    <w:rsid w:val="001E236C"/>
    <w:rsid w:val="001E23E7"/>
    <w:rsid w:val="001E29C7"/>
    <w:rsid w:val="001E2AC3"/>
    <w:rsid w:val="001E2C0C"/>
    <w:rsid w:val="001E2FC6"/>
    <w:rsid w:val="001E31C6"/>
    <w:rsid w:val="001E3246"/>
    <w:rsid w:val="001E35D8"/>
    <w:rsid w:val="001E36C8"/>
    <w:rsid w:val="001E3884"/>
    <w:rsid w:val="001E3A2F"/>
    <w:rsid w:val="001E3C5B"/>
    <w:rsid w:val="001E40EA"/>
    <w:rsid w:val="001E4192"/>
    <w:rsid w:val="001E472A"/>
    <w:rsid w:val="001E4E20"/>
    <w:rsid w:val="001E509B"/>
    <w:rsid w:val="001E50ED"/>
    <w:rsid w:val="001E5656"/>
    <w:rsid w:val="001E5A55"/>
    <w:rsid w:val="001E5A87"/>
    <w:rsid w:val="001E6707"/>
    <w:rsid w:val="001E6B5B"/>
    <w:rsid w:val="001E6D14"/>
    <w:rsid w:val="001E6E28"/>
    <w:rsid w:val="001E6E8C"/>
    <w:rsid w:val="001E7125"/>
    <w:rsid w:val="001E7237"/>
    <w:rsid w:val="001E733D"/>
    <w:rsid w:val="001E7423"/>
    <w:rsid w:val="001E7789"/>
    <w:rsid w:val="001E79A4"/>
    <w:rsid w:val="001E7BDE"/>
    <w:rsid w:val="001E7C6A"/>
    <w:rsid w:val="001E7CF3"/>
    <w:rsid w:val="001F046C"/>
    <w:rsid w:val="001F0511"/>
    <w:rsid w:val="001F0A05"/>
    <w:rsid w:val="001F0F46"/>
    <w:rsid w:val="001F1041"/>
    <w:rsid w:val="001F1057"/>
    <w:rsid w:val="001F13AD"/>
    <w:rsid w:val="001F1405"/>
    <w:rsid w:val="001F1752"/>
    <w:rsid w:val="001F1C23"/>
    <w:rsid w:val="001F1D9C"/>
    <w:rsid w:val="001F28BB"/>
    <w:rsid w:val="001F29EA"/>
    <w:rsid w:val="001F2A6B"/>
    <w:rsid w:val="001F3023"/>
    <w:rsid w:val="001F31F4"/>
    <w:rsid w:val="001F31F7"/>
    <w:rsid w:val="001F3424"/>
    <w:rsid w:val="001F3711"/>
    <w:rsid w:val="001F3792"/>
    <w:rsid w:val="001F3CC1"/>
    <w:rsid w:val="001F3CF4"/>
    <w:rsid w:val="001F3D44"/>
    <w:rsid w:val="001F402F"/>
    <w:rsid w:val="001F4567"/>
    <w:rsid w:val="001F4737"/>
    <w:rsid w:val="001F4D64"/>
    <w:rsid w:val="001F5213"/>
    <w:rsid w:val="001F522E"/>
    <w:rsid w:val="001F5572"/>
    <w:rsid w:val="001F5637"/>
    <w:rsid w:val="001F57DF"/>
    <w:rsid w:val="001F5823"/>
    <w:rsid w:val="001F5A8D"/>
    <w:rsid w:val="001F5E9A"/>
    <w:rsid w:val="001F602F"/>
    <w:rsid w:val="001F654D"/>
    <w:rsid w:val="001F66A3"/>
    <w:rsid w:val="001F6791"/>
    <w:rsid w:val="001F68FD"/>
    <w:rsid w:val="001F6B5D"/>
    <w:rsid w:val="001F6C8C"/>
    <w:rsid w:val="001F6D33"/>
    <w:rsid w:val="001F6DDC"/>
    <w:rsid w:val="001F6EF9"/>
    <w:rsid w:val="001F713F"/>
    <w:rsid w:val="001F7686"/>
    <w:rsid w:val="001F7D72"/>
    <w:rsid w:val="001F7DE3"/>
    <w:rsid w:val="00200028"/>
    <w:rsid w:val="0020020C"/>
    <w:rsid w:val="00200234"/>
    <w:rsid w:val="002003E3"/>
    <w:rsid w:val="00200747"/>
    <w:rsid w:val="00200947"/>
    <w:rsid w:val="00200AB1"/>
    <w:rsid w:val="00200B84"/>
    <w:rsid w:val="00200C5E"/>
    <w:rsid w:val="002010D4"/>
    <w:rsid w:val="0020151C"/>
    <w:rsid w:val="00201524"/>
    <w:rsid w:val="0020185E"/>
    <w:rsid w:val="002019A2"/>
    <w:rsid w:val="00201B83"/>
    <w:rsid w:val="00201E6F"/>
    <w:rsid w:val="00201FED"/>
    <w:rsid w:val="00201FF9"/>
    <w:rsid w:val="0020211A"/>
    <w:rsid w:val="002023F3"/>
    <w:rsid w:val="0020251C"/>
    <w:rsid w:val="002026EE"/>
    <w:rsid w:val="002028E5"/>
    <w:rsid w:val="00202A4A"/>
    <w:rsid w:val="00202D10"/>
    <w:rsid w:val="0020335A"/>
    <w:rsid w:val="002034A3"/>
    <w:rsid w:val="002034D3"/>
    <w:rsid w:val="00203503"/>
    <w:rsid w:val="00203718"/>
    <w:rsid w:val="002038B3"/>
    <w:rsid w:val="00203917"/>
    <w:rsid w:val="00203A18"/>
    <w:rsid w:val="00203A30"/>
    <w:rsid w:val="00203B42"/>
    <w:rsid w:val="0020416E"/>
    <w:rsid w:val="00204451"/>
    <w:rsid w:val="00204633"/>
    <w:rsid w:val="00204683"/>
    <w:rsid w:val="002046BA"/>
    <w:rsid w:val="00204749"/>
    <w:rsid w:val="002047FD"/>
    <w:rsid w:val="00204A2D"/>
    <w:rsid w:val="00205098"/>
    <w:rsid w:val="002051D5"/>
    <w:rsid w:val="0020523C"/>
    <w:rsid w:val="002054AF"/>
    <w:rsid w:val="00205534"/>
    <w:rsid w:val="00205AD1"/>
    <w:rsid w:val="00206230"/>
    <w:rsid w:val="002062C9"/>
    <w:rsid w:val="00206756"/>
    <w:rsid w:val="00206B9C"/>
    <w:rsid w:val="00206C10"/>
    <w:rsid w:val="00206C1D"/>
    <w:rsid w:val="00207160"/>
    <w:rsid w:val="0020760C"/>
    <w:rsid w:val="0020776C"/>
    <w:rsid w:val="0021085E"/>
    <w:rsid w:val="0021093F"/>
    <w:rsid w:val="00210A6A"/>
    <w:rsid w:val="00210F71"/>
    <w:rsid w:val="00210FDB"/>
    <w:rsid w:val="00211143"/>
    <w:rsid w:val="002111C7"/>
    <w:rsid w:val="00211760"/>
    <w:rsid w:val="00211965"/>
    <w:rsid w:val="00211AC0"/>
    <w:rsid w:val="00211CD4"/>
    <w:rsid w:val="002122D6"/>
    <w:rsid w:val="00212563"/>
    <w:rsid w:val="002126AC"/>
    <w:rsid w:val="00212D39"/>
    <w:rsid w:val="00213055"/>
    <w:rsid w:val="00213AB5"/>
    <w:rsid w:val="00213CF9"/>
    <w:rsid w:val="00214290"/>
    <w:rsid w:val="00214E63"/>
    <w:rsid w:val="00215070"/>
    <w:rsid w:val="00215652"/>
    <w:rsid w:val="00215997"/>
    <w:rsid w:val="00215B28"/>
    <w:rsid w:val="00216634"/>
    <w:rsid w:val="002168F8"/>
    <w:rsid w:val="00216BC9"/>
    <w:rsid w:val="00217768"/>
    <w:rsid w:val="002178FB"/>
    <w:rsid w:val="00217912"/>
    <w:rsid w:val="0021795B"/>
    <w:rsid w:val="00217A00"/>
    <w:rsid w:val="00217BFA"/>
    <w:rsid w:val="00217DED"/>
    <w:rsid w:val="00217DF7"/>
    <w:rsid w:val="00217FFA"/>
    <w:rsid w:val="002200C0"/>
    <w:rsid w:val="00220451"/>
    <w:rsid w:val="0022061D"/>
    <w:rsid w:val="002206AE"/>
    <w:rsid w:val="00220A88"/>
    <w:rsid w:val="002212BC"/>
    <w:rsid w:val="00221902"/>
    <w:rsid w:val="00221DC8"/>
    <w:rsid w:val="0022252E"/>
    <w:rsid w:val="00222556"/>
    <w:rsid w:val="00222A1E"/>
    <w:rsid w:val="00222B90"/>
    <w:rsid w:val="00222F95"/>
    <w:rsid w:val="002230D5"/>
    <w:rsid w:val="002234E1"/>
    <w:rsid w:val="002238CA"/>
    <w:rsid w:val="00223980"/>
    <w:rsid w:val="00223A69"/>
    <w:rsid w:val="00223F1F"/>
    <w:rsid w:val="0022421F"/>
    <w:rsid w:val="00224231"/>
    <w:rsid w:val="002242B6"/>
    <w:rsid w:val="002244A0"/>
    <w:rsid w:val="00224A4F"/>
    <w:rsid w:val="00224E06"/>
    <w:rsid w:val="00224FBC"/>
    <w:rsid w:val="0022572C"/>
    <w:rsid w:val="00225A02"/>
    <w:rsid w:val="00226093"/>
    <w:rsid w:val="002265AF"/>
    <w:rsid w:val="0022662C"/>
    <w:rsid w:val="00226868"/>
    <w:rsid w:val="002269BB"/>
    <w:rsid w:val="00226A8B"/>
    <w:rsid w:val="00226D75"/>
    <w:rsid w:val="00226E7F"/>
    <w:rsid w:val="002273BF"/>
    <w:rsid w:val="00227566"/>
    <w:rsid w:val="00227932"/>
    <w:rsid w:val="00227BC1"/>
    <w:rsid w:val="00227C44"/>
    <w:rsid w:val="00230535"/>
    <w:rsid w:val="0023095B"/>
    <w:rsid w:val="00230A6E"/>
    <w:rsid w:val="00230BB5"/>
    <w:rsid w:val="00230EC3"/>
    <w:rsid w:val="0023115E"/>
    <w:rsid w:val="00231194"/>
    <w:rsid w:val="00231222"/>
    <w:rsid w:val="00231272"/>
    <w:rsid w:val="00231311"/>
    <w:rsid w:val="0023159D"/>
    <w:rsid w:val="00231981"/>
    <w:rsid w:val="00231E41"/>
    <w:rsid w:val="00231E6C"/>
    <w:rsid w:val="0023239E"/>
    <w:rsid w:val="0023258F"/>
    <w:rsid w:val="00232688"/>
    <w:rsid w:val="002326AF"/>
    <w:rsid w:val="002326C4"/>
    <w:rsid w:val="002326FC"/>
    <w:rsid w:val="002327B1"/>
    <w:rsid w:val="00232A09"/>
    <w:rsid w:val="00232B3F"/>
    <w:rsid w:val="0023319E"/>
    <w:rsid w:val="00233264"/>
    <w:rsid w:val="002332C1"/>
    <w:rsid w:val="00233950"/>
    <w:rsid w:val="00233DF1"/>
    <w:rsid w:val="00234631"/>
    <w:rsid w:val="00234893"/>
    <w:rsid w:val="00234985"/>
    <w:rsid w:val="00234A44"/>
    <w:rsid w:val="00234DAA"/>
    <w:rsid w:val="00234EB7"/>
    <w:rsid w:val="00234FB4"/>
    <w:rsid w:val="002353B7"/>
    <w:rsid w:val="00235462"/>
    <w:rsid w:val="002354D1"/>
    <w:rsid w:val="002358B4"/>
    <w:rsid w:val="00235D2E"/>
    <w:rsid w:val="00235E52"/>
    <w:rsid w:val="00235EA6"/>
    <w:rsid w:val="00236186"/>
    <w:rsid w:val="002367C5"/>
    <w:rsid w:val="002368AE"/>
    <w:rsid w:val="0023693F"/>
    <w:rsid w:val="002369CC"/>
    <w:rsid w:val="00236BB4"/>
    <w:rsid w:val="00236DF4"/>
    <w:rsid w:val="00236E21"/>
    <w:rsid w:val="0023716E"/>
    <w:rsid w:val="002371A9"/>
    <w:rsid w:val="00237244"/>
    <w:rsid w:val="0023740E"/>
    <w:rsid w:val="00237595"/>
    <w:rsid w:val="00237999"/>
    <w:rsid w:val="00237A43"/>
    <w:rsid w:val="00237A60"/>
    <w:rsid w:val="00237A76"/>
    <w:rsid w:val="00237FF5"/>
    <w:rsid w:val="00240370"/>
    <w:rsid w:val="0024039A"/>
    <w:rsid w:val="002405B1"/>
    <w:rsid w:val="00240637"/>
    <w:rsid w:val="002408DE"/>
    <w:rsid w:val="00240B87"/>
    <w:rsid w:val="00240D4B"/>
    <w:rsid w:val="002410C1"/>
    <w:rsid w:val="0024122C"/>
    <w:rsid w:val="002415F5"/>
    <w:rsid w:val="00241EAB"/>
    <w:rsid w:val="0024236C"/>
    <w:rsid w:val="002428A6"/>
    <w:rsid w:val="002429A1"/>
    <w:rsid w:val="00242A05"/>
    <w:rsid w:val="00242F38"/>
    <w:rsid w:val="00243C28"/>
    <w:rsid w:val="00243F9E"/>
    <w:rsid w:val="00244124"/>
    <w:rsid w:val="002447E9"/>
    <w:rsid w:val="00244958"/>
    <w:rsid w:val="002449BC"/>
    <w:rsid w:val="00244CBE"/>
    <w:rsid w:val="0024567B"/>
    <w:rsid w:val="0024595C"/>
    <w:rsid w:val="0024595F"/>
    <w:rsid w:val="00245C72"/>
    <w:rsid w:val="00245F02"/>
    <w:rsid w:val="0024610E"/>
    <w:rsid w:val="00246246"/>
    <w:rsid w:val="0024660C"/>
    <w:rsid w:val="002467AB"/>
    <w:rsid w:val="0024689D"/>
    <w:rsid w:val="002469CC"/>
    <w:rsid w:val="0024700C"/>
    <w:rsid w:val="00247032"/>
    <w:rsid w:val="00247135"/>
    <w:rsid w:val="0024723B"/>
    <w:rsid w:val="0024740F"/>
    <w:rsid w:val="0024760A"/>
    <w:rsid w:val="002476BB"/>
    <w:rsid w:val="00247C2C"/>
    <w:rsid w:val="00247E51"/>
    <w:rsid w:val="00247EF3"/>
    <w:rsid w:val="00250035"/>
    <w:rsid w:val="00250167"/>
    <w:rsid w:val="00250176"/>
    <w:rsid w:val="002502B2"/>
    <w:rsid w:val="002503B8"/>
    <w:rsid w:val="0025067D"/>
    <w:rsid w:val="00250BFD"/>
    <w:rsid w:val="00250D36"/>
    <w:rsid w:val="00250F46"/>
    <w:rsid w:val="00250F5B"/>
    <w:rsid w:val="002510EE"/>
    <w:rsid w:val="0025110E"/>
    <w:rsid w:val="002512ED"/>
    <w:rsid w:val="00251C89"/>
    <w:rsid w:val="00251D72"/>
    <w:rsid w:val="00251D75"/>
    <w:rsid w:val="00251FE6"/>
    <w:rsid w:val="002525CA"/>
    <w:rsid w:val="00252628"/>
    <w:rsid w:val="0025272A"/>
    <w:rsid w:val="002527A7"/>
    <w:rsid w:val="0025289E"/>
    <w:rsid w:val="00252A63"/>
    <w:rsid w:val="00252B17"/>
    <w:rsid w:val="00252D8E"/>
    <w:rsid w:val="00254074"/>
    <w:rsid w:val="00254B30"/>
    <w:rsid w:val="00254D3B"/>
    <w:rsid w:val="00254F42"/>
    <w:rsid w:val="00254F9B"/>
    <w:rsid w:val="00255365"/>
    <w:rsid w:val="0025558A"/>
    <w:rsid w:val="0025578D"/>
    <w:rsid w:val="002559C6"/>
    <w:rsid w:val="00255ABC"/>
    <w:rsid w:val="00255EA7"/>
    <w:rsid w:val="0025631B"/>
    <w:rsid w:val="00256A31"/>
    <w:rsid w:val="00256E50"/>
    <w:rsid w:val="00257013"/>
    <w:rsid w:val="002570A6"/>
    <w:rsid w:val="00257558"/>
    <w:rsid w:val="00257583"/>
    <w:rsid w:val="002576A1"/>
    <w:rsid w:val="00257792"/>
    <w:rsid w:val="002578D2"/>
    <w:rsid w:val="00257987"/>
    <w:rsid w:val="00257C49"/>
    <w:rsid w:val="00257C72"/>
    <w:rsid w:val="00257CE0"/>
    <w:rsid w:val="00257DEB"/>
    <w:rsid w:val="00260160"/>
    <w:rsid w:val="00260940"/>
    <w:rsid w:val="002609E8"/>
    <w:rsid w:val="00260D43"/>
    <w:rsid w:val="00260F68"/>
    <w:rsid w:val="00261328"/>
    <w:rsid w:val="00261814"/>
    <w:rsid w:val="002618DB"/>
    <w:rsid w:val="00261999"/>
    <w:rsid w:val="00261A2D"/>
    <w:rsid w:val="00261A41"/>
    <w:rsid w:val="00261C8C"/>
    <w:rsid w:val="00262278"/>
    <w:rsid w:val="0026295D"/>
    <w:rsid w:val="00262C08"/>
    <w:rsid w:val="00262C47"/>
    <w:rsid w:val="00262C93"/>
    <w:rsid w:val="00262DC7"/>
    <w:rsid w:val="00262E39"/>
    <w:rsid w:val="00262EB5"/>
    <w:rsid w:val="00263380"/>
    <w:rsid w:val="002633D8"/>
    <w:rsid w:val="0026341D"/>
    <w:rsid w:val="00263648"/>
    <w:rsid w:val="00263757"/>
    <w:rsid w:val="002638D1"/>
    <w:rsid w:val="00263940"/>
    <w:rsid w:val="00263F72"/>
    <w:rsid w:val="0026406A"/>
    <w:rsid w:val="002640A1"/>
    <w:rsid w:val="0026451D"/>
    <w:rsid w:val="00264567"/>
    <w:rsid w:val="0026487F"/>
    <w:rsid w:val="0026489F"/>
    <w:rsid w:val="002649DF"/>
    <w:rsid w:val="00265604"/>
    <w:rsid w:val="00265842"/>
    <w:rsid w:val="00265C15"/>
    <w:rsid w:val="00265E8B"/>
    <w:rsid w:val="0026614F"/>
    <w:rsid w:val="002662FD"/>
    <w:rsid w:val="00266788"/>
    <w:rsid w:val="00266837"/>
    <w:rsid w:val="0026703A"/>
    <w:rsid w:val="002671CD"/>
    <w:rsid w:val="0026770D"/>
    <w:rsid w:val="00270440"/>
    <w:rsid w:val="00270450"/>
    <w:rsid w:val="002704C8"/>
    <w:rsid w:val="00270619"/>
    <w:rsid w:val="00270B69"/>
    <w:rsid w:val="00270C17"/>
    <w:rsid w:val="00270C97"/>
    <w:rsid w:val="00270D58"/>
    <w:rsid w:val="00270D79"/>
    <w:rsid w:val="00270F08"/>
    <w:rsid w:val="0027100F"/>
    <w:rsid w:val="00271241"/>
    <w:rsid w:val="00271497"/>
    <w:rsid w:val="00271566"/>
    <w:rsid w:val="00271790"/>
    <w:rsid w:val="00271795"/>
    <w:rsid w:val="00271860"/>
    <w:rsid w:val="00271A73"/>
    <w:rsid w:val="00271BD0"/>
    <w:rsid w:val="00271C4E"/>
    <w:rsid w:val="00271EB5"/>
    <w:rsid w:val="00271EE3"/>
    <w:rsid w:val="00272452"/>
    <w:rsid w:val="00272900"/>
    <w:rsid w:val="002729AC"/>
    <w:rsid w:val="00272FFA"/>
    <w:rsid w:val="00273101"/>
    <w:rsid w:val="002731E6"/>
    <w:rsid w:val="00273416"/>
    <w:rsid w:val="00273430"/>
    <w:rsid w:val="002734F2"/>
    <w:rsid w:val="002735F9"/>
    <w:rsid w:val="002736CD"/>
    <w:rsid w:val="002739E3"/>
    <w:rsid w:val="00273A92"/>
    <w:rsid w:val="0027408C"/>
    <w:rsid w:val="002741DF"/>
    <w:rsid w:val="00274444"/>
    <w:rsid w:val="00274515"/>
    <w:rsid w:val="002745AD"/>
    <w:rsid w:val="0027467B"/>
    <w:rsid w:val="002748F6"/>
    <w:rsid w:val="0027491B"/>
    <w:rsid w:val="0027493A"/>
    <w:rsid w:val="00275120"/>
    <w:rsid w:val="00275475"/>
    <w:rsid w:val="002754F6"/>
    <w:rsid w:val="00275622"/>
    <w:rsid w:val="002759C5"/>
    <w:rsid w:val="00275C9B"/>
    <w:rsid w:val="00275D63"/>
    <w:rsid w:val="00275F33"/>
    <w:rsid w:val="00275F84"/>
    <w:rsid w:val="00275FED"/>
    <w:rsid w:val="0027688A"/>
    <w:rsid w:val="00276E16"/>
    <w:rsid w:val="002770D4"/>
    <w:rsid w:val="002771FB"/>
    <w:rsid w:val="00277317"/>
    <w:rsid w:val="00277510"/>
    <w:rsid w:val="00277814"/>
    <w:rsid w:val="00277E0A"/>
    <w:rsid w:val="00277FF1"/>
    <w:rsid w:val="00280193"/>
    <w:rsid w:val="002801D5"/>
    <w:rsid w:val="0028023F"/>
    <w:rsid w:val="0028079C"/>
    <w:rsid w:val="00280EF8"/>
    <w:rsid w:val="0028125F"/>
    <w:rsid w:val="002814AB"/>
    <w:rsid w:val="00281553"/>
    <w:rsid w:val="00281B37"/>
    <w:rsid w:val="00281EAE"/>
    <w:rsid w:val="00282150"/>
    <w:rsid w:val="0028217B"/>
    <w:rsid w:val="0028217E"/>
    <w:rsid w:val="00282545"/>
    <w:rsid w:val="00282935"/>
    <w:rsid w:val="002829B4"/>
    <w:rsid w:val="002829B7"/>
    <w:rsid w:val="00282A31"/>
    <w:rsid w:val="00282A86"/>
    <w:rsid w:val="00282BEB"/>
    <w:rsid w:val="00282C40"/>
    <w:rsid w:val="00282EA7"/>
    <w:rsid w:val="00282F00"/>
    <w:rsid w:val="00282F73"/>
    <w:rsid w:val="00283325"/>
    <w:rsid w:val="002833DC"/>
    <w:rsid w:val="0028350E"/>
    <w:rsid w:val="00283744"/>
    <w:rsid w:val="00283781"/>
    <w:rsid w:val="0028388F"/>
    <w:rsid w:val="00283A52"/>
    <w:rsid w:val="00283EF2"/>
    <w:rsid w:val="00284199"/>
    <w:rsid w:val="002842E7"/>
    <w:rsid w:val="002843EF"/>
    <w:rsid w:val="002843F0"/>
    <w:rsid w:val="002843F4"/>
    <w:rsid w:val="00284404"/>
    <w:rsid w:val="00284406"/>
    <w:rsid w:val="0028454C"/>
    <w:rsid w:val="00284554"/>
    <w:rsid w:val="0028463A"/>
    <w:rsid w:val="0028493C"/>
    <w:rsid w:val="002850E7"/>
    <w:rsid w:val="00285362"/>
    <w:rsid w:val="002853BD"/>
    <w:rsid w:val="00285804"/>
    <w:rsid w:val="00285898"/>
    <w:rsid w:val="00285B88"/>
    <w:rsid w:val="00285C76"/>
    <w:rsid w:val="00285C7B"/>
    <w:rsid w:val="00285CCA"/>
    <w:rsid w:val="00285F01"/>
    <w:rsid w:val="002861C2"/>
    <w:rsid w:val="0028679C"/>
    <w:rsid w:val="00287026"/>
    <w:rsid w:val="0028703B"/>
    <w:rsid w:val="00287760"/>
    <w:rsid w:val="00287A9F"/>
    <w:rsid w:val="00287AA2"/>
    <w:rsid w:val="00287B05"/>
    <w:rsid w:val="00287D1C"/>
    <w:rsid w:val="00287DD7"/>
    <w:rsid w:val="00287F7F"/>
    <w:rsid w:val="00290391"/>
    <w:rsid w:val="0029042B"/>
    <w:rsid w:val="002908AB"/>
    <w:rsid w:val="002908E3"/>
    <w:rsid w:val="00290958"/>
    <w:rsid w:val="002909EF"/>
    <w:rsid w:val="0029129C"/>
    <w:rsid w:val="00291323"/>
    <w:rsid w:val="00291D1B"/>
    <w:rsid w:val="00291E83"/>
    <w:rsid w:val="00291F72"/>
    <w:rsid w:val="00291FCB"/>
    <w:rsid w:val="0029249B"/>
    <w:rsid w:val="00292635"/>
    <w:rsid w:val="00292D02"/>
    <w:rsid w:val="00292FE9"/>
    <w:rsid w:val="0029318B"/>
    <w:rsid w:val="002931B7"/>
    <w:rsid w:val="00293249"/>
    <w:rsid w:val="0029336A"/>
    <w:rsid w:val="0029369D"/>
    <w:rsid w:val="002939AC"/>
    <w:rsid w:val="00293B93"/>
    <w:rsid w:val="00293C49"/>
    <w:rsid w:val="0029440D"/>
    <w:rsid w:val="0029478D"/>
    <w:rsid w:val="002948F1"/>
    <w:rsid w:val="00294A27"/>
    <w:rsid w:val="00294BD1"/>
    <w:rsid w:val="00294CD9"/>
    <w:rsid w:val="00294D31"/>
    <w:rsid w:val="00294DEA"/>
    <w:rsid w:val="002951EA"/>
    <w:rsid w:val="00295599"/>
    <w:rsid w:val="00295820"/>
    <w:rsid w:val="0029587D"/>
    <w:rsid w:val="0029589E"/>
    <w:rsid w:val="00295D15"/>
    <w:rsid w:val="002961B6"/>
    <w:rsid w:val="00296934"/>
    <w:rsid w:val="00296A68"/>
    <w:rsid w:val="00296DCB"/>
    <w:rsid w:val="002970F4"/>
    <w:rsid w:val="00297384"/>
    <w:rsid w:val="002973CD"/>
    <w:rsid w:val="002A00DA"/>
    <w:rsid w:val="002A07AF"/>
    <w:rsid w:val="002A091C"/>
    <w:rsid w:val="002A0A53"/>
    <w:rsid w:val="002A0C55"/>
    <w:rsid w:val="002A0C88"/>
    <w:rsid w:val="002A0F12"/>
    <w:rsid w:val="002A1299"/>
    <w:rsid w:val="002A1796"/>
    <w:rsid w:val="002A1B42"/>
    <w:rsid w:val="002A21E8"/>
    <w:rsid w:val="002A22A6"/>
    <w:rsid w:val="002A22BC"/>
    <w:rsid w:val="002A246D"/>
    <w:rsid w:val="002A2618"/>
    <w:rsid w:val="002A265E"/>
    <w:rsid w:val="002A2A16"/>
    <w:rsid w:val="002A2CEB"/>
    <w:rsid w:val="002A2ED4"/>
    <w:rsid w:val="002A2F8B"/>
    <w:rsid w:val="002A33A8"/>
    <w:rsid w:val="002A38F8"/>
    <w:rsid w:val="002A39E8"/>
    <w:rsid w:val="002A3A9F"/>
    <w:rsid w:val="002A3B11"/>
    <w:rsid w:val="002A3CE2"/>
    <w:rsid w:val="002A4053"/>
    <w:rsid w:val="002A429A"/>
    <w:rsid w:val="002A4320"/>
    <w:rsid w:val="002A435E"/>
    <w:rsid w:val="002A46EF"/>
    <w:rsid w:val="002A4AC0"/>
    <w:rsid w:val="002A4C1A"/>
    <w:rsid w:val="002A4D00"/>
    <w:rsid w:val="002A4D2B"/>
    <w:rsid w:val="002A4DEC"/>
    <w:rsid w:val="002A4FDD"/>
    <w:rsid w:val="002A5326"/>
    <w:rsid w:val="002A5975"/>
    <w:rsid w:val="002A5B42"/>
    <w:rsid w:val="002A5D8F"/>
    <w:rsid w:val="002A5E23"/>
    <w:rsid w:val="002A5E6B"/>
    <w:rsid w:val="002A638F"/>
    <w:rsid w:val="002A6560"/>
    <w:rsid w:val="002A6C8D"/>
    <w:rsid w:val="002A6EE6"/>
    <w:rsid w:val="002A73EE"/>
    <w:rsid w:val="002A7598"/>
    <w:rsid w:val="002A7809"/>
    <w:rsid w:val="002A78EE"/>
    <w:rsid w:val="002B025C"/>
    <w:rsid w:val="002B03A8"/>
    <w:rsid w:val="002B041D"/>
    <w:rsid w:val="002B0586"/>
    <w:rsid w:val="002B0593"/>
    <w:rsid w:val="002B09F8"/>
    <w:rsid w:val="002B0FA0"/>
    <w:rsid w:val="002B1174"/>
    <w:rsid w:val="002B11ED"/>
    <w:rsid w:val="002B1835"/>
    <w:rsid w:val="002B18A3"/>
    <w:rsid w:val="002B1E22"/>
    <w:rsid w:val="002B1E75"/>
    <w:rsid w:val="002B20A1"/>
    <w:rsid w:val="002B2247"/>
    <w:rsid w:val="002B2835"/>
    <w:rsid w:val="002B2972"/>
    <w:rsid w:val="002B2AA0"/>
    <w:rsid w:val="002B2C13"/>
    <w:rsid w:val="002B2DD5"/>
    <w:rsid w:val="002B2E65"/>
    <w:rsid w:val="002B2E84"/>
    <w:rsid w:val="002B30FE"/>
    <w:rsid w:val="002B32CD"/>
    <w:rsid w:val="002B32F4"/>
    <w:rsid w:val="002B3531"/>
    <w:rsid w:val="002B358D"/>
    <w:rsid w:val="002B367C"/>
    <w:rsid w:val="002B380B"/>
    <w:rsid w:val="002B3885"/>
    <w:rsid w:val="002B38F1"/>
    <w:rsid w:val="002B39D0"/>
    <w:rsid w:val="002B3C3C"/>
    <w:rsid w:val="002B3CFA"/>
    <w:rsid w:val="002B3D9D"/>
    <w:rsid w:val="002B4027"/>
    <w:rsid w:val="002B4127"/>
    <w:rsid w:val="002B4132"/>
    <w:rsid w:val="002B41A9"/>
    <w:rsid w:val="002B42B6"/>
    <w:rsid w:val="002B4568"/>
    <w:rsid w:val="002B4654"/>
    <w:rsid w:val="002B481A"/>
    <w:rsid w:val="002B4AB6"/>
    <w:rsid w:val="002B4D9C"/>
    <w:rsid w:val="002B50EB"/>
    <w:rsid w:val="002B5BF9"/>
    <w:rsid w:val="002B605A"/>
    <w:rsid w:val="002B60A9"/>
    <w:rsid w:val="002B61E2"/>
    <w:rsid w:val="002B646E"/>
    <w:rsid w:val="002B6883"/>
    <w:rsid w:val="002B6A75"/>
    <w:rsid w:val="002B6BB8"/>
    <w:rsid w:val="002B6CB8"/>
    <w:rsid w:val="002B6D39"/>
    <w:rsid w:val="002B6E56"/>
    <w:rsid w:val="002B6F37"/>
    <w:rsid w:val="002B7252"/>
    <w:rsid w:val="002B7265"/>
    <w:rsid w:val="002B7281"/>
    <w:rsid w:val="002B7929"/>
    <w:rsid w:val="002B7FD5"/>
    <w:rsid w:val="002C022C"/>
    <w:rsid w:val="002C041E"/>
    <w:rsid w:val="002C0886"/>
    <w:rsid w:val="002C0C1B"/>
    <w:rsid w:val="002C0D00"/>
    <w:rsid w:val="002C0D01"/>
    <w:rsid w:val="002C123F"/>
    <w:rsid w:val="002C12D0"/>
    <w:rsid w:val="002C187D"/>
    <w:rsid w:val="002C193F"/>
    <w:rsid w:val="002C19AC"/>
    <w:rsid w:val="002C1A5E"/>
    <w:rsid w:val="002C1D0C"/>
    <w:rsid w:val="002C22C4"/>
    <w:rsid w:val="002C23A6"/>
    <w:rsid w:val="002C254A"/>
    <w:rsid w:val="002C272F"/>
    <w:rsid w:val="002C2946"/>
    <w:rsid w:val="002C2C63"/>
    <w:rsid w:val="002C2E2C"/>
    <w:rsid w:val="002C2E3B"/>
    <w:rsid w:val="002C2EA8"/>
    <w:rsid w:val="002C322B"/>
    <w:rsid w:val="002C32EC"/>
    <w:rsid w:val="002C35F8"/>
    <w:rsid w:val="002C386E"/>
    <w:rsid w:val="002C4172"/>
    <w:rsid w:val="002C4A4E"/>
    <w:rsid w:val="002C4A66"/>
    <w:rsid w:val="002C4B11"/>
    <w:rsid w:val="002C4DC1"/>
    <w:rsid w:val="002C51F0"/>
    <w:rsid w:val="002C615E"/>
    <w:rsid w:val="002C6563"/>
    <w:rsid w:val="002C661D"/>
    <w:rsid w:val="002C6F1A"/>
    <w:rsid w:val="002C711A"/>
    <w:rsid w:val="002C74FF"/>
    <w:rsid w:val="002C7D94"/>
    <w:rsid w:val="002D043F"/>
    <w:rsid w:val="002D06A0"/>
    <w:rsid w:val="002D0781"/>
    <w:rsid w:val="002D0951"/>
    <w:rsid w:val="002D09ED"/>
    <w:rsid w:val="002D0B1B"/>
    <w:rsid w:val="002D0CCB"/>
    <w:rsid w:val="002D0D80"/>
    <w:rsid w:val="002D10B5"/>
    <w:rsid w:val="002D12A7"/>
    <w:rsid w:val="002D1398"/>
    <w:rsid w:val="002D144E"/>
    <w:rsid w:val="002D152A"/>
    <w:rsid w:val="002D165B"/>
    <w:rsid w:val="002D1676"/>
    <w:rsid w:val="002D16C6"/>
    <w:rsid w:val="002D18CF"/>
    <w:rsid w:val="002D1903"/>
    <w:rsid w:val="002D1ABD"/>
    <w:rsid w:val="002D1DAB"/>
    <w:rsid w:val="002D1FBD"/>
    <w:rsid w:val="002D1FE0"/>
    <w:rsid w:val="002D2065"/>
    <w:rsid w:val="002D215E"/>
    <w:rsid w:val="002D234F"/>
    <w:rsid w:val="002D2366"/>
    <w:rsid w:val="002D2370"/>
    <w:rsid w:val="002D2498"/>
    <w:rsid w:val="002D2C59"/>
    <w:rsid w:val="002D2F64"/>
    <w:rsid w:val="002D34F9"/>
    <w:rsid w:val="002D35E4"/>
    <w:rsid w:val="002D36AE"/>
    <w:rsid w:val="002D3E03"/>
    <w:rsid w:val="002D3F8C"/>
    <w:rsid w:val="002D4883"/>
    <w:rsid w:val="002D490A"/>
    <w:rsid w:val="002D4ADA"/>
    <w:rsid w:val="002D4C3A"/>
    <w:rsid w:val="002D4C6F"/>
    <w:rsid w:val="002D50AC"/>
    <w:rsid w:val="002D5499"/>
    <w:rsid w:val="002D54A1"/>
    <w:rsid w:val="002D5666"/>
    <w:rsid w:val="002D575A"/>
    <w:rsid w:val="002D5825"/>
    <w:rsid w:val="002D586C"/>
    <w:rsid w:val="002D5990"/>
    <w:rsid w:val="002D5E37"/>
    <w:rsid w:val="002D61F3"/>
    <w:rsid w:val="002D6412"/>
    <w:rsid w:val="002D6A0E"/>
    <w:rsid w:val="002D6AA1"/>
    <w:rsid w:val="002D6AE2"/>
    <w:rsid w:val="002D6ED6"/>
    <w:rsid w:val="002D72D2"/>
    <w:rsid w:val="002D73D9"/>
    <w:rsid w:val="002D7883"/>
    <w:rsid w:val="002D795E"/>
    <w:rsid w:val="002E0443"/>
    <w:rsid w:val="002E0631"/>
    <w:rsid w:val="002E0720"/>
    <w:rsid w:val="002E1011"/>
    <w:rsid w:val="002E191D"/>
    <w:rsid w:val="002E1AFE"/>
    <w:rsid w:val="002E1C47"/>
    <w:rsid w:val="002E1CEA"/>
    <w:rsid w:val="002E2256"/>
    <w:rsid w:val="002E2529"/>
    <w:rsid w:val="002E25D6"/>
    <w:rsid w:val="002E25D7"/>
    <w:rsid w:val="002E269B"/>
    <w:rsid w:val="002E28E1"/>
    <w:rsid w:val="002E2F4A"/>
    <w:rsid w:val="002E3263"/>
    <w:rsid w:val="002E373F"/>
    <w:rsid w:val="002E39C3"/>
    <w:rsid w:val="002E3A84"/>
    <w:rsid w:val="002E3D18"/>
    <w:rsid w:val="002E3E5E"/>
    <w:rsid w:val="002E4077"/>
    <w:rsid w:val="002E41D3"/>
    <w:rsid w:val="002E4215"/>
    <w:rsid w:val="002E4390"/>
    <w:rsid w:val="002E4444"/>
    <w:rsid w:val="002E482C"/>
    <w:rsid w:val="002E4A1F"/>
    <w:rsid w:val="002E4AFD"/>
    <w:rsid w:val="002E4B50"/>
    <w:rsid w:val="002E50B3"/>
    <w:rsid w:val="002E544F"/>
    <w:rsid w:val="002E56C5"/>
    <w:rsid w:val="002E572B"/>
    <w:rsid w:val="002E5887"/>
    <w:rsid w:val="002E5C71"/>
    <w:rsid w:val="002E5DEE"/>
    <w:rsid w:val="002E6328"/>
    <w:rsid w:val="002E6346"/>
    <w:rsid w:val="002E63B2"/>
    <w:rsid w:val="002E684A"/>
    <w:rsid w:val="002E6AF0"/>
    <w:rsid w:val="002E6DCD"/>
    <w:rsid w:val="002E715E"/>
    <w:rsid w:val="002E7190"/>
    <w:rsid w:val="002E74CF"/>
    <w:rsid w:val="002E77C5"/>
    <w:rsid w:val="002E7CDD"/>
    <w:rsid w:val="002F0107"/>
    <w:rsid w:val="002F014A"/>
    <w:rsid w:val="002F05F1"/>
    <w:rsid w:val="002F071A"/>
    <w:rsid w:val="002F0AF5"/>
    <w:rsid w:val="002F0CBB"/>
    <w:rsid w:val="002F0E7E"/>
    <w:rsid w:val="002F0F5D"/>
    <w:rsid w:val="002F0F7A"/>
    <w:rsid w:val="002F0FD2"/>
    <w:rsid w:val="002F1151"/>
    <w:rsid w:val="002F1264"/>
    <w:rsid w:val="002F136F"/>
    <w:rsid w:val="002F13D7"/>
    <w:rsid w:val="002F13FC"/>
    <w:rsid w:val="002F1527"/>
    <w:rsid w:val="002F156F"/>
    <w:rsid w:val="002F17D7"/>
    <w:rsid w:val="002F187C"/>
    <w:rsid w:val="002F1AB3"/>
    <w:rsid w:val="002F1C78"/>
    <w:rsid w:val="002F20B2"/>
    <w:rsid w:val="002F20B4"/>
    <w:rsid w:val="002F2293"/>
    <w:rsid w:val="002F25F4"/>
    <w:rsid w:val="002F2609"/>
    <w:rsid w:val="002F2E27"/>
    <w:rsid w:val="002F319F"/>
    <w:rsid w:val="002F31E1"/>
    <w:rsid w:val="002F3267"/>
    <w:rsid w:val="002F3372"/>
    <w:rsid w:val="002F3396"/>
    <w:rsid w:val="002F35BB"/>
    <w:rsid w:val="002F39A1"/>
    <w:rsid w:val="002F3B4D"/>
    <w:rsid w:val="002F3B61"/>
    <w:rsid w:val="002F3C7E"/>
    <w:rsid w:val="002F3D64"/>
    <w:rsid w:val="002F3F62"/>
    <w:rsid w:val="002F48FD"/>
    <w:rsid w:val="002F495E"/>
    <w:rsid w:val="002F4993"/>
    <w:rsid w:val="002F4D86"/>
    <w:rsid w:val="002F4DFF"/>
    <w:rsid w:val="002F521C"/>
    <w:rsid w:val="002F5539"/>
    <w:rsid w:val="002F5555"/>
    <w:rsid w:val="002F58C4"/>
    <w:rsid w:val="002F5A21"/>
    <w:rsid w:val="002F5C13"/>
    <w:rsid w:val="002F60E0"/>
    <w:rsid w:val="002F6364"/>
    <w:rsid w:val="002F64F6"/>
    <w:rsid w:val="002F652D"/>
    <w:rsid w:val="002F65AC"/>
    <w:rsid w:val="002F67B8"/>
    <w:rsid w:val="002F6849"/>
    <w:rsid w:val="002F6AA9"/>
    <w:rsid w:val="002F6FFE"/>
    <w:rsid w:val="002F7278"/>
    <w:rsid w:val="002F7435"/>
    <w:rsid w:val="002F792B"/>
    <w:rsid w:val="002F7967"/>
    <w:rsid w:val="002F7A5E"/>
    <w:rsid w:val="002F7BFF"/>
    <w:rsid w:val="002F7FC4"/>
    <w:rsid w:val="0030022E"/>
    <w:rsid w:val="0030035C"/>
    <w:rsid w:val="00300395"/>
    <w:rsid w:val="003004E2"/>
    <w:rsid w:val="0030080F"/>
    <w:rsid w:val="00300930"/>
    <w:rsid w:val="00300DA4"/>
    <w:rsid w:val="00300E5D"/>
    <w:rsid w:val="00300F6B"/>
    <w:rsid w:val="00300FFE"/>
    <w:rsid w:val="00301001"/>
    <w:rsid w:val="003012C1"/>
    <w:rsid w:val="0030130A"/>
    <w:rsid w:val="00301522"/>
    <w:rsid w:val="00301544"/>
    <w:rsid w:val="00301857"/>
    <w:rsid w:val="00301990"/>
    <w:rsid w:val="00301F7E"/>
    <w:rsid w:val="003020F9"/>
    <w:rsid w:val="003028FE"/>
    <w:rsid w:val="00302AD3"/>
    <w:rsid w:val="00302C9C"/>
    <w:rsid w:val="00302DCE"/>
    <w:rsid w:val="00302DFD"/>
    <w:rsid w:val="00302F02"/>
    <w:rsid w:val="00302FC0"/>
    <w:rsid w:val="00302FEC"/>
    <w:rsid w:val="003034F9"/>
    <w:rsid w:val="00304043"/>
    <w:rsid w:val="0030455A"/>
    <w:rsid w:val="003046D3"/>
    <w:rsid w:val="00304723"/>
    <w:rsid w:val="00304826"/>
    <w:rsid w:val="003048EC"/>
    <w:rsid w:val="00304C8F"/>
    <w:rsid w:val="003053D3"/>
    <w:rsid w:val="003054C9"/>
    <w:rsid w:val="00305581"/>
    <w:rsid w:val="0030571E"/>
    <w:rsid w:val="00305FA6"/>
    <w:rsid w:val="003062CA"/>
    <w:rsid w:val="0030672A"/>
    <w:rsid w:val="00306993"/>
    <w:rsid w:val="00306B8B"/>
    <w:rsid w:val="00306C16"/>
    <w:rsid w:val="00306CFA"/>
    <w:rsid w:val="00306E69"/>
    <w:rsid w:val="00306EFB"/>
    <w:rsid w:val="0030739A"/>
    <w:rsid w:val="0030768A"/>
    <w:rsid w:val="00307A79"/>
    <w:rsid w:val="00307B41"/>
    <w:rsid w:val="00307FA9"/>
    <w:rsid w:val="003104AC"/>
    <w:rsid w:val="003106F4"/>
    <w:rsid w:val="003107CE"/>
    <w:rsid w:val="00310C0F"/>
    <w:rsid w:val="00310C83"/>
    <w:rsid w:val="0031124E"/>
    <w:rsid w:val="003117B4"/>
    <w:rsid w:val="00312050"/>
    <w:rsid w:val="00312061"/>
    <w:rsid w:val="0031216C"/>
    <w:rsid w:val="003121B8"/>
    <w:rsid w:val="00312257"/>
    <w:rsid w:val="00312342"/>
    <w:rsid w:val="0031256B"/>
    <w:rsid w:val="0031298D"/>
    <w:rsid w:val="00312A4B"/>
    <w:rsid w:val="00312F25"/>
    <w:rsid w:val="0031302D"/>
    <w:rsid w:val="00313315"/>
    <w:rsid w:val="003134B4"/>
    <w:rsid w:val="00313535"/>
    <w:rsid w:val="0031359D"/>
    <w:rsid w:val="003135D6"/>
    <w:rsid w:val="00313684"/>
    <w:rsid w:val="00313982"/>
    <w:rsid w:val="00313A93"/>
    <w:rsid w:val="00313B29"/>
    <w:rsid w:val="00313C2A"/>
    <w:rsid w:val="00313C74"/>
    <w:rsid w:val="00313F0F"/>
    <w:rsid w:val="003146AA"/>
    <w:rsid w:val="0031487D"/>
    <w:rsid w:val="00314AF7"/>
    <w:rsid w:val="00314B1A"/>
    <w:rsid w:val="00314D61"/>
    <w:rsid w:val="00314FE6"/>
    <w:rsid w:val="003153D5"/>
    <w:rsid w:val="003158A7"/>
    <w:rsid w:val="00315A6E"/>
    <w:rsid w:val="00315E05"/>
    <w:rsid w:val="00315FFE"/>
    <w:rsid w:val="00316157"/>
    <w:rsid w:val="00316358"/>
    <w:rsid w:val="003167EE"/>
    <w:rsid w:val="003168BE"/>
    <w:rsid w:val="00316A59"/>
    <w:rsid w:val="00316B33"/>
    <w:rsid w:val="00316FAF"/>
    <w:rsid w:val="00316FF1"/>
    <w:rsid w:val="003174AD"/>
    <w:rsid w:val="003174C0"/>
    <w:rsid w:val="00317649"/>
    <w:rsid w:val="00317775"/>
    <w:rsid w:val="003177C9"/>
    <w:rsid w:val="003178B0"/>
    <w:rsid w:val="003200BF"/>
    <w:rsid w:val="00320498"/>
    <w:rsid w:val="003205BB"/>
    <w:rsid w:val="003206E5"/>
    <w:rsid w:val="003206F2"/>
    <w:rsid w:val="00320C8E"/>
    <w:rsid w:val="00321468"/>
    <w:rsid w:val="00321657"/>
    <w:rsid w:val="00321753"/>
    <w:rsid w:val="0032181B"/>
    <w:rsid w:val="0032194C"/>
    <w:rsid w:val="003219A0"/>
    <w:rsid w:val="003219FD"/>
    <w:rsid w:val="00321A5E"/>
    <w:rsid w:val="00321B20"/>
    <w:rsid w:val="00321DE3"/>
    <w:rsid w:val="00322123"/>
    <w:rsid w:val="00322505"/>
    <w:rsid w:val="003227A6"/>
    <w:rsid w:val="003227FC"/>
    <w:rsid w:val="00322D97"/>
    <w:rsid w:val="00323032"/>
    <w:rsid w:val="00323049"/>
    <w:rsid w:val="003230A7"/>
    <w:rsid w:val="00323245"/>
    <w:rsid w:val="00323255"/>
    <w:rsid w:val="003232F1"/>
    <w:rsid w:val="003232F9"/>
    <w:rsid w:val="0032331E"/>
    <w:rsid w:val="00323962"/>
    <w:rsid w:val="00323B38"/>
    <w:rsid w:val="00324018"/>
    <w:rsid w:val="00324151"/>
    <w:rsid w:val="00324278"/>
    <w:rsid w:val="00324414"/>
    <w:rsid w:val="0032441F"/>
    <w:rsid w:val="00324658"/>
    <w:rsid w:val="00324A42"/>
    <w:rsid w:val="00324AFA"/>
    <w:rsid w:val="00324C23"/>
    <w:rsid w:val="00324CDD"/>
    <w:rsid w:val="00324F30"/>
    <w:rsid w:val="003251C5"/>
    <w:rsid w:val="00325719"/>
    <w:rsid w:val="003258E1"/>
    <w:rsid w:val="00325971"/>
    <w:rsid w:val="00325B7D"/>
    <w:rsid w:val="00325DC3"/>
    <w:rsid w:val="0032626D"/>
    <w:rsid w:val="00326425"/>
    <w:rsid w:val="003264DC"/>
    <w:rsid w:val="00326AA5"/>
    <w:rsid w:val="00326D13"/>
    <w:rsid w:val="00326E59"/>
    <w:rsid w:val="00326EDB"/>
    <w:rsid w:val="00326F03"/>
    <w:rsid w:val="00326F21"/>
    <w:rsid w:val="003271A9"/>
    <w:rsid w:val="00327375"/>
    <w:rsid w:val="00327411"/>
    <w:rsid w:val="003275D6"/>
    <w:rsid w:val="0032779E"/>
    <w:rsid w:val="00327B65"/>
    <w:rsid w:val="00327D63"/>
    <w:rsid w:val="00327F41"/>
    <w:rsid w:val="00327FB0"/>
    <w:rsid w:val="003303D8"/>
    <w:rsid w:val="00330938"/>
    <w:rsid w:val="0033095B"/>
    <w:rsid w:val="00331080"/>
    <w:rsid w:val="00331592"/>
    <w:rsid w:val="003315E7"/>
    <w:rsid w:val="00331812"/>
    <w:rsid w:val="00331945"/>
    <w:rsid w:val="0033200B"/>
    <w:rsid w:val="0033210C"/>
    <w:rsid w:val="00332224"/>
    <w:rsid w:val="00332435"/>
    <w:rsid w:val="00332690"/>
    <w:rsid w:val="003326CC"/>
    <w:rsid w:val="00332AB9"/>
    <w:rsid w:val="00332B5E"/>
    <w:rsid w:val="00332F04"/>
    <w:rsid w:val="00332F2D"/>
    <w:rsid w:val="00333416"/>
    <w:rsid w:val="003334AD"/>
    <w:rsid w:val="003334B9"/>
    <w:rsid w:val="00333834"/>
    <w:rsid w:val="00333CDC"/>
    <w:rsid w:val="00333D92"/>
    <w:rsid w:val="00333DA0"/>
    <w:rsid w:val="00334020"/>
    <w:rsid w:val="003340C7"/>
    <w:rsid w:val="003342B7"/>
    <w:rsid w:val="0033456C"/>
    <w:rsid w:val="00334E9A"/>
    <w:rsid w:val="00334F19"/>
    <w:rsid w:val="00334FA4"/>
    <w:rsid w:val="00335346"/>
    <w:rsid w:val="0033540D"/>
    <w:rsid w:val="0033551B"/>
    <w:rsid w:val="00335743"/>
    <w:rsid w:val="003357F9"/>
    <w:rsid w:val="00335926"/>
    <w:rsid w:val="00335B38"/>
    <w:rsid w:val="00335B82"/>
    <w:rsid w:val="00336177"/>
    <w:rsid w:val="00336269"/>
    <w:rsid w:val="00336832"/>
    <w:rsid w:val="00336A8F"/>
    <w:rsid w:val="00336C72"/>
    <w:rsid w:val="00337119"/>
    <w:rsid w:val="0033783C"/>
    <w:rsid w:val="00337AF5"/>
    <w:rsid w:val="00337B8C"/>
    <w:rsid w:val="00337CF4"/>
    <w:rsid w:val="00337EC8"/>
    <w:rsid w:val="00340055"/>
    <w:rsid w:val="003411B0"/>
    <w:rsid w:val="0034145A"/>
    <w:rsid w:val="0034147F"/>
    <w:rsid w:val="0034167C"/>
    <w:rsid w:val="0034194B"/>
    <w:rsid w:val="00341C5D"/>
    <w:rsid w:val="003420C2"/>
    <w:rsid w:val="003426BE"/>
    <w:rsid w:val="003428E6"/>
    <w:rsid w:val="00342A93"/>
    <w:rsid w:val="00342CF1"/>
    <w:rsid w:val="00342FC6"/>
    <w:rsid w:val="00343722"/>
    <w:rsid w:val="0034376B"/>
    <w:rsid w:val="0034377E"/>
    <w:rsid w:val="00343960"/>
    <w:rsid w:val="00343A02"/>
    <w:rsid w:val="00343D2E"/>
    <w:rsid w:val="00344066"/>
    <w:rsid w:val="0034409C"/>
    <w:rsid w:val="00344161"/>
    <w:rsid w:val="00344190"/>
    <w:rsid w:val="003444A2"/>
    <w:rsid w:val="00344901"/>
    <w:rsid w:val="00344AF7"/>
    <w:rsid w:val="00344DD1"/>
    <w:rsid w:val="00345179"/>
    <w:rsid w:val="003453B9"/>
    <w:rsid w:val="003455B8"/>
    <w:rsid w:val="003455D2"/>
    <w:rsid w:val="003456B1"/>
    <w:rsid w:val="00345AC9"/>
    <w:rsid w:val="00345C97"/>
    <w:rsid w:val="00345EFE"/>
    <w:rsid w:val="0034666F"/>
    <w:rsid w:val="00346B40"/>
    <w:rsid w:val="00346F54"/>
    <w:rsid w:val="0034711A"/>
    <w:rsid w:val="00347677"/>
    <w:rsid w:val="00347754"/>
    <w:rsid w:val="0034792B"/>
    <w:rsid w:val="00347B92"/>
    <w:rsid w:val="00347D63"/>
    <w:rsid w:val="00347FAF"/>
    <w:rsid w:val="003501B2"/>
    <w:rsid w:val="003505CE"/>
    <w:rsid w:val="003506E3"/>
    <w:rsid w:val="00350A3F"/>
    <w:rsid w:val="00350A9C"/>
    <w:rsid w:val="00350F3C"/>
    <w:rsid w:val="00351066"/>
    <w:rsid w:val="00351327"/>
    <w:rsid w:val="00351646"/>
    <w:rsid w:val="003517F1"/>
    <w:rsid w:val="00351890"/>
    <w:rsid w:val="00351C07"/>
    <w:rsid w:val="00351D1F"/>
    <w:rsid w:val="00351FB8"/>
    <w:rsid w:val="00351FDE"/>
    <w:rsid w:val="003522BD"/>
    <w:rsid w:val="0035255E"/>
    <w:rsid w:val="00352725"/>
    <w:rsid w:val="00352A8B"/>
    <w:rsid w:val="00352BED"/>
    <w:rsid w:val="00352C0D"/>
    <w:rsid w:val="00352C29"/>
    <w:rsid w:val="00352CBF"/>
    <w:rsid w:val="00352E9D"/>
    <w:rsid w:val="00352ED2"/>
    <w:rsid w:val="00352FE7"/>
    <w:rsid w:val="0035304E"/>
    <w:rsid w:val="0035313B"/>
    <w:rsid w:val="003537AB"/>
    <w:rsid w:val="0035393F"/>
    <w:rsid w:val="003539AE"/>
    <w:rsid w:val="00353AB1"/>
    <w:rsid w:val="003542D0"/>
    <w:rsid w:val="00354506"/>
    <w:rsid w:val="0035470A"/>
    <w:rsid w:val="00354FB7"/>
    <w:rsid w:val="0035516B"/>
    <w:rsid w:val="00355356"/>
    <w:rsid w:val="003557BD"/>
    <w:rsid w:val="00355B1C"/>
    <w:rsid w:val="00355E0F"/>
    <w:rsid w:val="0035668D"/>
    <w:rsid w:val="0035674E"/>
    <w:rsid w:val="00356975"/>
    <w:rsid w:val="00356A81"/>
    <w:rsid w:val="00357330"/>
    <w:rsid w:val="0035753F"/>
    <w:rsid w:val="003575B7"/>
    <w:rsid w:val="003579B6"/>
    <w:rsid w:val="00357B92"/>
    <w:rsid w:val="00357BBD"/>
    <w:rsid w:val="00357C50"/>
    <w:rsid w:val="00357CBC"/>
    <w:rsid w:val="00357CFB"/>
    <w:rsid w:val="00357E6D"/>
    <w:rsid w:val="00357F55"/>
    <w:rsid w:val="003607B6"/>
    <w:rsid w:val="00360B68"/>
    <w:rsid w:val="00360D94"/>
    <w:rsid w:val="00360E85"/>
    <w:rsid w:val="003610D5"/>
    <w:rsid w:val="003611C8"/>
    <w:rsid w:val="0036138E"/>
    <w:rsid w:val="0036144C"/>
    <w:rsid w:val="003614A5"/>
    <w:rsid w:val="003614E3"/>
    <w:rsid w:val="003615AA"/>
    <w:rsid w:val="00361944"/>
    <w:rsid w:val="00361AC0"/>
    <w:rsid w:val="003622A5"/>
    <w:rsid w:val="00362446"/>
    <w:rsid w:val="00362507"/>
    <w:rsid w:val="00362587"/>
    <w:rsid w:val="003626E6"/>
    <w:rsid w:val="00362755"/>
    <w:rsid w:val="00362916"/>
    <w:rsid w:val="00362BCA"/>
    <w:rsid w:val="003630EB"/>
    <w:rsid w:val="003634B4"/>
    <w:rsid w:val="003634E3"/>
    <w:rsid w:val="003636E4"/>
    <w:rsid w:val="00363767"/>
    <w:rsid w:val="00363772"/>
    <w:rsid w:val="00363B8A"/>
    <w:rsid w:val="00363C4C"/>
    <w:rsid w:val="00363EE8"/>
    <w:rsid w:val="003640CC"/>
    <w:rsid w:val="00364143"/>
    <w:rsid w:val="003641A8"/>
    <w:rsid w:val="00364467"/>
    <w:rsid w:val="003645CF"/>
    <w:rsid w:val="00364C88"/>
    <w:rsid w:val="00364D74"/>
    <w:rsid w:val="00364DC1"/>
    <w:rsid w:val="00364E64"/>
    <w:rsid w:val="00364F33"/>
    <w:rsid w:val="00365305"/>
    <w:rsid w:val="00365C85"/>
    <w:rsid w:val="00365CEA"/>
    <w:rsid w:val="00365DD3"/>
    <w:rsid w:val="00365FFC"/>
    <w:rsid w:val="00366436"/>
    <w:rsid w:val="00366BC1"/>
    <w:rsid w:val="00366EA1"/>
    <w:rsid w:val="003671CB"/>
    <w:rsid w:val="00367247"/>
    <w:rsid w:val="00367669"/>
    <w:rsid w:val="00367AF0"/>
    <w:rsid w:val="00367C22"/>
    <w:rsid w:val="00367C27"/>
    <w:rsid w:val="00367FDD"/>
    <w:rsid w:val="00370121"/>
    <w:rsid w:val="0037047A"/>
    <w:rsid w:val="003709D6"/>
    <w:rsid w:val="00370CD0"/>
    <w:rsid w:val="003712FE"/>
    <w:rsid w:val="00371437"/>
    <w:rsid w:val="00371708"/>
    <w:rsid w:val="00371753"/>
    <w:rsid w:val="0037235A"/>
    <w:rsid w:val="00372529"/>
    <w:rsid w:val="003725B6"/>
    <w:rsid w:val="0037281F"/>
    <w:rsid w:val="00372987"/>
    <w:rsid w:val="00372AFE"/>
    <w:rsid w:val="00372BD1"/>
    <w:rsid w:val="00372C9F"/>
    <w:rsid w:val="00373037"/>
    <w:rsid w:val="00373146"/>
    <w:rsid w:val="00373434"/>
    <w:rsid w:val="003735AB"/>
    <w:rsid w:val="00373F43"/>
    <w:rsid w:val="0037409C"/>
    <w:rsid w:val="0037427D"/>
    <w:rsid w:val="0037458E"/>
    <w:rsid w:val="00374BFC"/>
    <w:rsid w:val="00374CB6"/>
    <w:rsid w:val="00374F51"/>
    <w:rsid w:val="00374FD0"/>
    <w:rsid w:val="0037501E"/>
    <w:rsid w:val="003759FC"/>
    <w:rsid w:val="00375B38"/>
    <w:rsid w:val="00375DC7"/>
    <w:rsid w:val="00375DED"/>
    <w:rsid w:val="0037609A"/>
    <w:rsid w:val="003763DA"/>
    <w:rsid w:val="00376500"/>
    <w:rsid w:val="00376576"/>
    <w:rsid w:val="0037677D"/>
    <w:rsid w:val="0037682E"/>
    <w:rsid w:val="00376993"/>
    <w:rsid w:val="00376DD5"/>
    <w:rsid w:val="003771B9"/>
    <w:rsid w:val="003773EA"/>
    <w:rsid w:val="0037743B"/>
    <w:rsid w:val="00377538"/>
    <w:rsid w:val="003775B8"/>
    <w:rsid w:val="0037766A"/>
    <w:rsid w:val="0037793F"/>
    <w:rsid w:val="00377C7D"/>
    <w:rsid w:val="00377F38"/>
    <w:rsid w:val="00380961"/>
    <w:rsid w:val="00381170"/>
    <w:rsid w:val="003813E1"/>
    <w:rsid w:val="00381626"/>
    <w:rsid w:val="003819F6"/>
    <w:rsid w:val="00381B82"/>
    <w:rsid w:val="003823A8"/>
    <w:rsid w:val="00382791"/>
    <w:rsid w:val="003828B0"/>
    <w:rsid w:val="00382956"/>
    <w:rsid w:val="003830B4"/>
    <w:rsid w:val="00383C3F"/>
    <w:rsid w:val="00383C45"/>
    <w:rsid w:val="00383E13"/>
    <w:rsid w:val="00383EB8"/>
    <w:rsid w:val="00383FF2"/>
    <w:rsid w:val="003846A2"/>
    <w:rsid w:val="003849FF"/>
    <w:rsid w:val="00384A1B"/>
    <w:rsid w:val="0038523C"/>
    <w:rsid w:val="0038527F"/>
    <w:rsid w:val="0038558C"/>
    <w:rsid w:val="00385750"/>
    <w:rsid w:val="00385A4A"/>
    <w:rsid w:val="00385D0B"/>
    <w:rsid w:val="00386000"/>
    <w:rsid w:val="00386114"/>
    <w:rsid w:val="00386216"/>
    <w:rsid w:val="00386325"/>
    <w:rsid w:val="003863FF"/>
    <w:rsid w:val="00386A81"/>
    <w:rsid w:val="00386A9D"/>
    <w:rsid w:val="00386B22"/>
    <w:rsid w:val="00386D48"/>
    <w:rsid w:val="00386EB5"/>
    <w:rsid w:val="00386F3B"/>
    <w:rsid w:val="00387092"/>
    <w:rsid w:val="003870B7"/>
    <w:rsid w:val="003873DF"/>
    <w:rsid w:val="00387723"/>
    <w:rsid w:val="00387DFF"/>
    <w:rsid w:val="00390460"/>
    <w:rsid w:val="003904B8"/>
    <w:rsid w:val="003904C5"/>
    <w:rsid w:val="003909FB"/>
    <w:rsid w:val="00391158"/>
    <w:rsid w:val="00391265"/>
    <w:rsid w:val="003914F3"/>
    <w:rsid w:val="0039155E"/>
    <w:rsid w:val="00391924"/>
    <w:rsid w:val="003921CD"/>
    <w:rsid w:val="00392366"/>
    <w:rsid w:val="003923B9"/>
    <w:rsid w:val="0039264A"/>
    <w:rsid w:val="003926BB"/>
    <w:rsid w:val="003929DC"/>
    <w:rsid w:val="00392E85"/>
    <w:rsid w:val="00393658"/>
    <w:rsid w:val="00393667"/>
    <w:rsid w:val="00393C3B"/>
    <w:rsid w:val="00393DAC"/>
    <w:rsid w:val="00393DDA"/>
    <w:rsid w:val="00393E45"/>
    <w:rsid w:val="00393E71"/>
    <w:rsid w:val="00393F25"/>
    <w:rsid w:val="00393F61"/>
    <w:rsid w:val="00394034"/>
    <w:rsid w:val="0039457E"/>
    <w:rsid w:val="0039477B"/>
    <w:rsid w:val="0039491F"/>
    <w:rsid w:val="00394DA5"/>
    <w:rsid w:val="00394E72"/>
    <w:rsid w:val="00395559"/>
    <w:rsid w:val="00395B53"/>
    <w:rsid w:val="00395BF7"/>
    <w:rsid w:val="00395D32"/>
    <w:rsid w:val="00395E7F"/>
    <w:rsid w:val="003961C6"/>
    <w:rsid w:val="00396451"/>
    <w:rsid w:val="0039670F"/>
    <w:rsid w:val="003969BD"/>
    <w:rsid w:val="00396ADE"/>
    <w:rsid w:val="00396B21"/>
    <w:rsid w:val="0039709D"/>
    <w:rsid w:val="003972EA"/>
    <w:rsid w:val="00397305"/>
    <w:rsid w:val="0039749C"/>
    <w:rsid w:val="003975C3"/>
    <w:rsid w:val="00397B30"/>
    <w:rsid w:val="00397C2B"/>
    <w:rsid w:val="00397C4B"/>
    <w:rsid w:val="00397D71"/>
    <w:rsid w:val="00397E9B"/>
    <w:rsid w:val="003A01B8"/>
    <w:rsid w:val="003A0201"/>
    <w:rsid w:val="003A021C"/>
    <w:rsid w:val="003A0622"/>
    <w:rsid w:val="003A0631"/>
    <w:rsid w:val="003A0B38"/>
    <w:rsid w:val="003A0BAA"/>
    <w:rsid w:val="003A0BC6"/>
    <w:rsid w:val="003A0D9A"/>
    <w:rsid w:val="003A10A0"/>
    <w:rsid w:val="003A1C7F"/>
    <w:rsid w:val="003A1D68"/>
    <w:rsid w:val="003A2118"/>
    <w:rsid w:val="003A2189"/>
    <w:rsid w:val="003A2738"/>
    <w:rsid w:val="003A27E5"/>
    <w:rsid w:val="003A2D04"/>
    <w:rsid w:val="003A3126"/>
    <w:rsid w:val="003A3143"/>
    <w:rsid w:val="003A33D0"/>
    <w:rsid w:val="003A3549"/>
    <w:rsid w:val="003A3628"/>
    <w:rsid w:val="003A3C91"/>
    <w:rsid w:val="003A3D2E"/>
    <w:rsid w:val="003A40C8"/>
    <w:rsid w:val="003A4491"/>
    <w:rsid w:val="003A460E"/>
    <w:rsid w:val="003A4719"/>
    <w:rsid w:val="003A47F5"/>
    <w:rsid w:val="003A4A21"/>
    <w:rsid w:val="003A5002"/>
    <w:rsid w:val="003A5067"/>
    <w:rsid w:val="003A5195"/>
    <w:rsid w:val="003A5579"/>
    <w:rsid w:val="003A5655"/>
    <w:rsid w:val="003A5B57"/>
    <w:rsid w:val="003A5FEE"/>
    <w:rsid w:val="003A6491"/>
    <w:rsid w:val="003A64B4"/>
    <w:rsid w:val="003A64D6"/>
    <w:rsid w:val="003A691E"/>
    <w:rsid w:val="003A6C90"/>
    <w:rsid w:val="003A6E66"/>
    <w:rsid w:val="003A6E96"/>
    <w:rsid w:val="003A6F3A"/>
    <w:rsid w:val="003A770D"/>
    <w:rsid w:val="003A7764"/>
    <w:rsid w:val="003A7765"/>
    <w:rsid w:val="003A7C50"/>
    <w:rsid w:val="003B0081"/>
    <w:rsid w:val="003B0623"/>
    <w:rsid w:val="003B11D6"/>
    <w:rsid w:val="003B129C"/>
    <w:rsid w:val="003B1457"/>
    <w:rsid w:val="003B16A2"/>
    <w:rsid w:val="003B19E9"/>
    <w:rsid w:val="003B1D41"/>
    <w:rsid w:val="003B21BB"/>
    <w:rsid w:val="003B2262"/>
    <w:rsid w:val="003B22CF"/>
    <w:rsid w:val="003B2328"/>
    <w:rsid w:val="003B23D2"/>
    <w:rsid w:val="003B26EA"/>
    <w:rsid w:val="003B29EF"/>
    <w:rsid w:val="003B2E34"/>
    <w:rsid w:val="003B30EE"/>
    <w:rsid w:val="003B331C"/>
    <w:rsid w:val="003B3678"/>
    <w:rsid w:val="003B3ABE"/>
    <w:rsid w:val="003B3C8A"/>
    <w:rsid w:val="003B3CE8"/>
    <w:rsid w:val="003B3F66"/>
    <w:rsid w:val="003B42D7"/>
    <w:rsid w:val="003B472B"/>
    <w:rsid w:val="003B49C5"/>
    <w:rsid w:val="003B4CF3"/>
    <w:rsid w:val="003B4EE0"/>
    <w:rsid w:val="003B4FD3"/>
    <w:rsid w:val="003B5220"/>
    <w:rsid w:val="003B57F7"/>
    <w:rsid w:val="003B589D"/>
    <w:rsid w:val="003B62B9"/>
    <w:rsid w:val="003B6422"/>
    <w:rsid w:val="003B6A53"/>
    <w:rsid w:val="003B6BE0"/>
    <w:rsid w:val="003B6E2C"/>
    <w:rsid w:val="003B6FCE"/>
    <w:rsid w:val="003B72B9"/>
    <w:rsid w:val="003B737B"/>
    <w:rsid w:val="003B7932"/>
    <w:rsid w:val="003B7AB7"/>
    <w:rsid w:val="003B7D37"/>
    <w:rsid w:val="003C0108"/>
    <w:rsid w:val="003C0358"/>
    <w:rsid w:val="003C038E"/>
    <w:rsid w:val="003C07D4"/>
    <w:rsid w:val="003C08C3"/>
    <w:rsid w:val="003C08DE"/>
    <w:rsid w:val="003C08E8"/>
    <w:rsid w:val="003C0AB5"/>
    <w:rsid w:val="003C0ECC"/>
    <w:rsid w:val="003C1576"/>
    <w:rsid w:val="003C175D"/>
    <w:rsid w:val="003C1B28"/>
    <w:rsid w:val="003C1BB8"/>
    <w:rsid w:val="003C1E4D"/>
    <w:rsid w:val="003C1F69"/>
    <w:rsid w:val="003C24F0"/>
    <w:rsid w:val="003C27AA"/>
    <w:rsid w:val="003C2C1B"/>
    <w:rsid w:val="003C2ED0"/>
    <w:rsid w:val="003C30B7"/>
    <w:rsid w:val="003C31BC"/>
    <w:rsid w:val="003C3304"/>
    <w:rsid w:val="003C33F5"/>
    <w:rsid w:val="003C34BE"/>
    <w:rsid w:val="003C488F"/>
    <w:rsid w:val="003C4B9D"/>
    <w:rsid w:val="003C5531"/>
    <w:rsid w:val="003C570F"/>
    <w:rsid w:val="003C5A27"/>
    <w:rsid w:val="003C5A66"/>
    <w:rsid w:val="003C5E82"/>
    <w:rsid w:val="003C607F"/>
    <w:rsid w:val="003C61CA"/>
    <w:rsid w:val="003C627A"/>
    <w:rsid w:val="003C6A54"/>
    <w:rsid w:val="003C6AE8"/>
    <w:rsid w:val="003C6AF3"/>
    <w:rsid w:val="003C6E41"/>
    <w:rsid w:val="003C6FE8"/>
    <w:rsid w:val="003C7368"/>
    <w:rsid w:val="003C736C"/>
    <w:rsid w:val="003C7746"/>
    <w:rsid w:val="003C781D"/>
    <w:rsid w:val="003C7AF3"/>
    <w:rsid w:val="003D0022"/>
    <w:rsid w:val="003D007E"/>
    <w:rsid w:val="003D0404"/>
    <w:rsid w:val="003D05AC"/>
    <w:rsid w:val="003D063D"/>
    <w:rsid w:val="003D12BF"/>
    <w:rsid w:val="003D1984"/>
    <w:rsid w:val="003D1F63"/>
    <w:rsid w:val="003D246B"/>
    <w:rsid w:val="003D249F"/>
    <w:rsid w:val="003D28F8"/>
    <w:rsid w:val="003D29DE"/>
    <w:rsid w:val="003D2C07"/>
    <w:rsid w:val="003D2C5C"/>
    <w:rsid w:val="003D2E54"/>
    <w:rsid w:val="003D2EDA"/>
    <w:rsid w:val="003D3083"/>
    <w:rsid w:val="003D3179"/>
    <w:rsid w:val="003D329A"/>
    <w:rsid w:val="003D353F"/>
    <w:rsid w:val="003D37F3"/>
    <w:rsid w:val="003D3868"/>
    <w:rsid w:val="003D38BD"/>
    <w:rsid w:val="003D38DF"/>
    <w:rsid w:val="003D3C67"/>
    <w:rsid w:val="003D417B"/>
    <w:rsid w:val="003D4236"/>
    <w:rsid w:val="003D42D4"/>
    <w:rsid w:val="003D45C2"/>
    <w:rsid w:val="003D468F"/>
    <w:rsid w:val="003D4862"/>
    <w:rsid w:val="003D4BE5"/>
    <w:rsid w:val="003D4DC6"/>
    <w:rsid w:val="003D523F"/>
    <w:rsid w:val="003D573C"/>
    <w:rsid w:val="003D5D25"/>
    <w:rsid w:val="003D6051"/>
    <w:rsid w:val="003D65C9"/>
    <w:rsid w:val="003D69E4"/>
    <w:rsid w:val="003D6A78"/>
    <w:rsid w:val="003D6D04"/>
    <w:rsid w:val="003D7099"/>
    <w:rsid w:val="003D738B"/>
    <w:rsid w:val="003D7451"/>
    <w:rsid w:val="003D7951"/>
    <w:rsid w:val="003D7993"/>
    <w:rsid w:val="003D7CB6"/>
    <w:rsid w:val="003D7F33"/>
    <w:rsid w:val="003E024F"/>
    <w:rsid w:val="003E0459"/>
    <w:rsid w:val="003E0781"/>
    <w:rsid w:val="003E0A04"/>
    <w:rsid w:val="003E0C58"/>
    <w:rsid w:val="003E0DA8"/>
    <w:rsid w:val="003E123B"/>
    <w:rsid w:val="003E1638"/>
    <w:rsid w:val="003E16F6"/>
    <w:rsid w:val="003E19D0"/>
    <w:rsid w:val="003E1A09"/>
    <w:rsid w:val="003E1B52"/>
    <w:rsid w:val="003E1F8B"/>
    <w:rsid w:val="003E2323"/>
    <w:rsid w:val="003E25A9"/>
    <w:rsid w:val="003E2622"/>
    <w:rsid w:val="003E2CF3"/>
    <w:rsid w:val="003E3266"/>
    <w:rsid w:val="003E33BB"/>
    <w:rsid w:val="003E342F"/>
    <w:rsid w:val="003E35AB"/>
    <w:rsid w:val="003E392B"/>
    <w:rsid w:val="003E39BF"/>
    <w:rsid w:val="003E39F4"/>
    <w:rsid w:val="003E3A84"/>
    <w:rsid w:val="003E3ADA"/>
    <w:rsid w:val="003E3CB9"/>
    <w:rsid w:val="003E3E06"/>
    <w:rsid w:val="003E3EEE"/>
    <w:rsid w:val="003E40E7"/>
    <w:rsid w:val="003E415F"/>
    <w:rsid w:val="003E424E"/>
    <w:rsid w:val="003E4B33"/>
    <w:rsid w:val="003E4BBA"/>
    <w:rsid w:val="003E4CAE"/>
    <w:rsid w:val="003E4D75"/>
    <w:rsid w:val="003E53A1"/>
    <w:rsid w:val="003E54E2"/>
    <w:rsid w:val="003E5BA9"/>
    <w:rsid w:val="003E5BF9"/>
    <w:rsid w:val="003E5C44"/>
    <w:rsid w:val="003E5CB7"/>
    <w:rsid w:val="003E5F92"/>
    <w:rsid w:val="003E61B4"/>
    <w:rsid w:val="003E6564"/>
    <w:rsid w:val="003E684E"/>
    <w:rsid w:val="003E6BDD"/>
    <w:rsid w:val="003E6C77"/>
    <w:rsid w:val="003E6FCF"/>
    <w:rsid w:val="003E722A"/>
    <w:rsid w:val="003E73E0"/>
    <w:rsid w:val="003E7442"/>
    <w:rsid w:val="003E7552"/>
    <w:rsid w:val="003E7717"/>
    <w:rsid w:val="003E79C2"/>
    <w:rsid w:val="003E7BE8"/>
    <w:rsid w:val="003E7C6C"/>
    <w:rsid w:val="003F0535"/>
    <w:rsid w:val="003F054A"/>
    <w:rsid w:val="003F0AF0"/>
    <w:rsid w:val="003F0C2F"/>
    <w:rsid w:val="003F1031"/>
    <w:rsid w:val="003F13C6"/>
    <w:rsid w:val="003F18B0"/>
    <w:rsid w:val="003F1A21"/>
    <w:rsid w:val="003F238F"/>
    <w:rsid w:val="003F239F"/>
    <w:rsid w:val="003F2595"/>
    <w:rsid w:val="003F2612"/>
    <w:rsid w:val="003F26B8"/>
    <w:rsid w:val="003F2821"/>
    <w:rsid w:val="003F301D"/>
    <w:rsid w:val="003F33CD"/>
    <w:rsid w:val="003F38D2"/>
    <w:rsid w:val="003F39FE"/>
    <w:rsid w:val="003F3B71"/>
    <w:rsid w:val="003F4101"/>
    <w:rsid w:val="003F42D1"/>
    <w:rsid w:val="003F4759"/>
    <w:rsid w:val="003F4783"/>
    <w:rsid w:val="003F47B3"/>
    <w:rsid w:val="003F4BE1"/>
    <w:rsid w:val="003F4CBA"/>
    <w:rsid w:val="003F4DB6"/>
    <w:rsid w:val="003F4DB9"/>
    <w:rsid w:val="003F5477"/>
    <w:rsid w:val="003F5486"/>
    <w:rsid w:val="003F5652"/>
    <w:rsid w:val="003F5731"/>
    <w:rsid w:val="003F5858"/>
    <w:rsid w:val="003F5CF0"/>
    <w:rsid w:val="003F5E3E"/>
    <w:rsid w:val="003F5FCF"/>
    <w:rsid w:val="003F6469"/>
    <w:rsid w:val="003F6B95"/>
    <w:rsid w:val="003F6DE8"/>
    <w:rsid w:val="003F6E40"/>
    <w:rsid w:val="003F6E48"/>
    <w:rsid w:val="003F6E9E"/>
    <w:rsid w:val="003F6FBE"/>
    <w:rsid w:val="003F6FC1"/>
    <w:rsid w:val="003F7612"/>
    <w:rsid w:val="003F7A5E"/>
    <w:rsid w:val="003F7B5B"/>
    <w:rsid w:val="003F7FE6"/>
    <w:rsid w:val="003F7FF5"/>
    <w:rsid w:val="004001DC"/>
    <w:rsid w:val="00400228"/>
    <w:rsid w:val="0040057A"/>
    <w:rsid w:val="004008AF"/>
    <w:rsid w:val="004008D3"/>
    <w:rsid w:val="00400E18"/>
    <w:rsid w:val="00401054"/>
    <w:rsid w:val="004012D7"/>
    <w:rsid w:val="00401314"/>
    <w:rsid w:val="004013D8"/>
    <w:rsid w:val="00401727"/>
    <w:rsid w:val="00401749"/>
    <w:rsid w:val="00401AFA"/>
    <w:rsid w:val="00401B8C"/>
    <w:rsid w:val="00401BA8"/>
    <w:rsid w:val="00401BB2"/>
    <w:rsid w:val="00401FE0"/>
    <w:rsid w:val="00402233"/>
    <w:rsid w:val="00402284"/>
    <w:rsid w:val="0040231B"/>
    <w:rsid w:val="004023C6"/>
    <w:rsid w:val="004023CD"/>
    <w:rsid w:val="00402A65"/>
    <w:rsid w:val="004030E2"/>
    <w:rsid w:val="00403508"/>
    <w:rsid w:val="00403807"/>
    <w:rsid w:val="0040384C"/>
    <w:rsid w:val="00403A09"/>
    <w:rsid w:val="00403D22"/>
    <w:rsid w:val="00403E17"/>
    <w:rsid w:val="004042B6"/>
    <w:rsid w:val="0040445C"/>
    <w:rsid w:val="0040464A"/>
    <w:rsid w:val="00404739"/>
    <w:rsid w:val="00404742"/>
    <w:rsid w:val="004047DA"/>
    <w:rsid w:val="00404FD9"/>
    <w:rsid w:val="00405016"/>
    <w:rsid w:val="00405134"/>
    <w:rsid w:val="0040514E"/>
    <w:rsid w:val="00405326"/>
    <w:rsid w:val="004053B3"/>
    <w:rsid w:val="004053BE"/>
    <w:rsid w:val="00405500"/>
    <w:rsid w:val="00405A12"/>
    <w:rsid w:val="00405BFE"/>
    <w:rsid w:val="00405E02"/>
    <w:rsid w:val="00406298"/>
    <w:rsid w:val="00406BDA"/>
    <w:rsid w:val="00406C3F"/>
    <w:rsid w:val="00407379"/>
    <w:rsid w:val="00407504"/>
    <w:rsid w:val="0040769B"/>
    <w:rsid w:val="00407790"/>
    <w:rsid w:val="004077FE"/>
    <w:rsid w:val="004078D5"/>
    <w:rsid w:val="00407E0F"/>
    <w:rsid w:val="00407F6B"/>
    <w:rsid w:val="00410250"/>
    <w:rsid w:val="004102DF"/>
    <w:rsid w:val="0041033C"/>
    <w:rsid w:val="0041040C"/>
    <w:rsid w:val="0041055C"/>
    <w:rsid w:val="004107E4"/>
    <w:rsid w:val="00410B7E"/>
    <w:rsid w:val="00410BFA"/>
    <w:rsid w:val="00410DD6"/>
    <w:rsid w:val="00411252"/>
    <w:rsid w:val="0041133D"/>
    <w:rsid w:val="0041143B"/>
    <w:rsid w:val="004115A9"/>
    <w:rsid w:val="004115CC"/>
    <w:rsid w:val="00411655"/>
    <w:rsid w:val="00411BF3"/>
    <w:rsid w:val="00411C9D"/>
    <w:rsid w:val="00411FF8"/>
    <w:rsid w:val="00412230"/>
    <w:rsid w:val="0041240E"/>
    <w:rsid w:val="004125ED"/>
    <w:rsid w:val="00412C5D"/>
    <w:rsid w:val="0041302D"/>
    <w:rsid w:val="004130F5"/>
    <w:rsid w:val="004136FD"/>
    <w:rsid w:val="004138B8"/>
    <w:rsid w:val="00413918"/>
    <w:rsid w:val="0041396C"/>
    <w:rsid w:val="0041425D"/>
    <w:rsid w:val="00414575"/>
    <w:rsid w:val="00414958"/>
    <w:rsid w:val="00414DAB"/>
    <w:rsid w:val="00414E46"/>
    <w:rsid w:val="00414ECD"/>
    <w:rsid w:val="00414F39"/>
    <w:rsid w:val="00414F90"/>
    <w:rsid w:val="00414FF4"/>
    <w:rsid w:val="0041518A"/>
    <w:rsid w:val="00415417"/>
    <w:rsid w:val="004155AB"/>
    <w:rsid w:val="00415864"/>
    <w:rsid w:val="00415FA6"/>
    <w:rsid w:val="0041617E"/>
    <w:rsid w:val="00416202"/>
    <w:rsid w:val="00416681"/>
    <w:rsid w:val="00416708"/>
    <w:rsid w:val="004168D2"/>
    <w:rsid w:val="00416A8C"/>
    <w:rsid w:val="00416BB0"/>
    <w:rsid w:val="00416CFD"/>
    <w:rsid w:val="00417280"/>
    <w:rsid w:val="00417619"/>
    <w:rsid w:val="00417875"/>
    <w:rsid w:val="0041796A"/>
    <w:rsid w:val="00417AFE"/>
    <w:rsid w:val="00417C30"/>
    <w:rsid w:val="00417D38"/>
    <w:rsid w:val="00420090"/>
    <w:rsid w:val="00420395"/>
    <w:rsid w:val="004204F6"/>
    <w:rsid w:val="00420536"/>
    <w:rsid w:val="004205F2"/>
    <w:rsid w:val="00420B3B"/>
    <w:rsid w:val="00420BAB"/>
    <w:rsid w:val="00420D19"/>
    <w:rsid w:val="00420D88"/>
    <w:rsid w:val="00420EDA"/>
    <w:rsid w:val="00421200"/>
    <w:rsid w:val="0042145B"/>
    <w:rsid w:val="004214D2"/>
    <w:rsid w:val="00421528"/>
    <w:rsid w:val="004216E5"/>
    <w:rsid w:val="00421715"/>
    <w:rsid w:val="00421F5A"/>
    <w:rsid w:val="00422108"/>
    <w:rsid w:val="0042217A"/>
    <w:rsid w:val="0042222A"/>
    <w:rsid w:val="00422423"/>
    <w:rsid w:val="00422575"/>
    <w:rsid w:val="00422BEB"/>
    <w:rsid w:val="00423033"/>
    <w:rsid w:val="00423416"/>
    <w:rsid w:val="0042350F"/>
    <w:rsid w:val="0042352D"/>
    <w:rsid w:val="00423680"/>
    <w:rsid w:val="004236FF"/>
    <w:rsid w:val="0042374C"/>
    <w:rsid w:val="00423DAD"/>
    <w:rsid w:val="00423E78"/>
    <w:rsid w:val="00423F82"/>
    <w:rsid w:val="004240A5"/>
    <w:rsid w:val="0042417F"/>
    <w:rsid w:val="004246DA"/>
    <w:rsid w:val="00424912"/>
    <w:rsid w:val="004251D4"/>
    <w:rsid w:val="0042550B"/>
    <w:rsid w:val="0042564D"/>
    <w:rsid w:val="00425693"/>
    <w:rsid w:val="00425886"/>
    <w:rsid w:val="004258D3"/>
    <w:rsid w:val="00425A6A"/>
    <w:rsid w:val="00425A91"/>
    <w:rsid w:val="00425AB5"/>
    <w:rsid w:val="00425B09"/>
    <w:rsid w:val="00425BFF"/>
    <w:rsid w:val="00425E9A"/>
    <w:rsid w:val="00425FF0"/>
    <w:rsid w:val="00426125"/>
    <w:rsid w:val="0042650E"/>
    <w:rsid w:val="004266F9"/>
    <w:rsid w:val="004268D7"/>
    <w:rsid w:val="00426FCF"/>
    <w:rsid w:val="004271FB"/>
    <w:rsid w:val="004272E2"/>
    <w:rsid w:val="0042730F"/>
    <w:rsid w:val="004274B0"/>
    <w:rsid w:val="00427614"/>
    <w:rsid w:val="00427B7B"/>
    <w:rsid w:val="00427C31"/>
    <w:rsid w:val="00427CD9"/>
    <w:rsid w:val="00427D30"/>
    <w:rsid w:val="00427EE3"/>
    <w:rsid w:val="00427EF9"/>
    <w:rsid w:val="00427FAB"/>
    <w:rsid w:val="00430072"/>
    <w:rsid w:val="0043056A"/>
    <w:rsid w:val="004307BF"/>
    <w:rsid w:val="00430931"/>
    <w:rsid w:val="00430933"/>
    <w:rsid w:val="00430A5B"/>
    <w:rsid w:val="00430B09"/>
    <w:rsid w:val="00430C75"/>
    <w:rsid w:val="00430D8F"/>
    <w:rsid w:val="00430DBE"/>
    <w:rsid w:val="0043134B"/>
    <w:rsid w:val="00431940"/>
    <w:rsid w:val="0043224B"/>
    <w:rsid w:val="00432283"/>
    <w:rsid w:val="00432290"/>
    <w:rsid w:val="00432F1E"/>
    <w:rsid w:val="00433487"/>
    <w:rsid w:val="00433567"/>
    <w:rsid w:val="004336D5"/>
    <w:rsid w:val="00433713"/>
    <w:rsid w:val="0043382D"/>
    <w:rsid w:val="00433A08"/>
    <w:rsid w:val="00433BD7"/>
    <w:rsid w:val="0043422C"/>
    <w:rsid w:val="004345DA"/>
    <w:rsid w:val="00434832"/>
    <w:rsid w:val="00434A5B"/>
    <w:rsid w:val="00434DD0"/>
    <w:rsid w:val="0043523E"/>
    <w:rsid w:val="0043528E"/>
    <w:rsid w:val="00435596"/>
    <w:rsid w:val="0043577D"/>
    <w:rsid w:val="00435801"/>
    <w:rsid w:val="00435A2A"/>
    <w:rsid w:val="00435B66"/>
    <w:rsid w:val="00435D2A"/>
    <w:rsid w:val="00435E40"/>
    <w:rsid w:val="004360C4"/>
    <w:rsid w:val="00436324"/>
    <w:rsid w:val="004366AE"/>
    <w:rsid w:val="004366C4"/>
    <w:rsid w:val="004368C5"/>
    <w:rsid w:val="00437284"/>
    <w:rsid w:val="00437622"/>
    <w:rsid w:val="004376DD"/>
    <w:rsid w:val="004400CE"/>
    <w:rsid w:val="0044049C"/>
    <w:rsid w:val="00440715"/>
    <w:rsid w:val="0044081D"/>
    <w:rsid w:val="004409A5"/>
    <w:rsid w:val="004411C0"/>
    <w:rsid w:val="00441668"/>
    <w:rsid w:val="0044170C"/>
    <w:rsid w:val="0044182B"/>
    <w:rsid w:val="0044182C"/>
    <w:rsid w:val="00441B81"/>
    <w:rsid w:val="00441C60"/>
    <w:rsid w:val="004422A6"/>
    <w:rsid w:val="004425C6"/>
    <w:rsid w:val="004425D2"/>
    <w:rsid w:val="00442726"/>
    <w:rsid w:val="00442BC0"/>
    <w:rsid w:val="00442D4A"/>
    <w:rsid w:val="00442FE1"/>
    <w:rsid w:val="004435BB"/>
    <w:rsid w:val="00443729"/>
    <w:rsid w:val="004439DA"/>
    <w:rsid w:val="00443AE0"/>
    <w:rsid w:val="00443D10"/>
    <w:rsid w:val="00444043"/>
    <w:rsid w:val="004441CA"/>
    <w:rsid w:val="004448B9"/>
    <w:rsid w:val="004448CC"/>
    <w:rsid w:val="00444C90"/>
    <w:rsid w:val="00444D13"/>
    <w:rsid w:val="00444E2E"/>
    <w:rsid w:val="004452E8"/>
    <w:rsid w:val="0044575D"/>
    <w:rsid w:val="00445959"/>
    <w:rsid w:val="00445C3F"/>
    <w:rsid w:val="00445C65"/>
    <w:rsid w:val="004461D2"/>
    <w:rsid w:val="00446217"/>
    <w:rsid w:val="00446494"/>
    <w:rsid w:val="004465E7"/>
    <w:rsid w:val="00446E11"/>
    <w:rsid w:val="00447255"/>
    <w:rsid w:val="00447423"/>
    <w:rsid w:val="0044764D"/>
    <w:rsid w:val="004500BB"/>
    <w:rsid w:val="00450439"/>
    <w:rsid w:val="0045065F"/>
    <w:rsid w:val="004506F2"/>
    <w:rsid w:val="0045097C"/>
    <w:rsid w:val="00450B50"/>
    <w:rsid w:val="00450BB9"/>
    <w:rsid w:val="00450CD6"/>
    <w:rsid w:val="004512E0"/>
    <w:rsid w:val="0045141A"/>
    <w:rsid w:val="004516BF"/>
    <w:rsid w:val="0045186E"/>
    <w:rsid w:val="0045197A"/>
    <w:rsid w:val="00451A6C"/>
    <w:rsid w:val="00451DB3"/>
    <w:rsid w:val="00451FEE"/>
    <w:rsid w:val="0045226B"/>
    <w:rsid w:val="0045228A"/>
    <w:rsid w:val="0045230A"/>
    <w:rsid w:val="0045243C"/>
    <w:rsid w:val="00452707"/>
    <w:rsid w:val="004528EE"/>
    <w:rsid w:val="004529D8"/>
    <w:rsid w:val="00452B2E"/>
    <w:rsid w:val="00452F3D"/>
    <w:rsid w:val="00452F68"/>
    <w:rsid w:val="00452FB1"/>
    <w:rsid w:val="0045346C"/>
    <w:rsid w:val="00453472"/>
    <w:rsid w:val="00453584"/>
    <w:rsid w:val="004538C2"/>
    <w:rsid w:val="004538D5"/>
    <w:rsid w:val="00453A6C"/>
    <w:rsid w:val="004540AA"/>
    <w:rsid w:val="00454188"/>
    <w:rsid w:val="00454351"/>
    <w:rsid w:val="004544FB"/>
    <w:rsid w:val="00454727"/>
    <w:rsid w:val="0045481B"/>
    <w:rsid w:val="00454891"/>
    <w:rsid w:val="00454BF7"/>
    <w:rsid w:val="004550F4"/>
    <w:rsid w:val="0045518C"/>
    <w:rsid w:val="00455421"/>
    <w:rsid w:val="00455C52"/>
    <w:rsid w:val="00455CD2"/>
    <w:rsid w:val="00455D08"/>
    <w:rsid w:val="00455F17"/>
    <w:rsid w:val="00455F84"/>
    <w:rsid w:val="00456294"/>
    <w:rsid w:val="00456634"/>
    <w:rsid w:val="00456879"/>
    <w:rsid w:val="00456ECA"/>
    <w:rsid w:val="0045725A"/>
    <w:rsid w:val="0045746D"/>
    <w:rsid w:val="00457762"/>
    <w:rsid w:val="00457A4E"/>
    <w:rsid w:val="00457BBB"/>
    <w:rsid w:val="00457CE0"/>
    <w:rsid w:val="00457DA5"/>
    <w:rsid w:val="00457E07"/>
    <w:rsid w:val="00457EBE"/>
    <w:rsid w:val="00460064"/>
    <w:rsid w:val="00460B42"/>
    <w:rsid w:val="00460CD1"/>
    <w:rsid w:val="00460DE0"/>
    <w:rsid w:val="00461200"/>
    <w:rsid w:val="004612D1"/>
    <w:rsid w:val="004613F0"/>
    <w:rsid w:val="00461471"/>
    <w:rsid w:val="00461E88"/>
    <w:rsid w:val="00461FFA"/>
    <w:rsid w:val="00462196"/>
    <w:rsid w:val="00462265"/>
    <w:rsid w:val="00462DF0"/>
    <w:rsid w:val="00463056"/>
    <w:rsid w:val="0046340E"/>
    <w:rsid w:val="00463537"/>
    <w:rsid w:val="004635A1"/>
    <w:rsid w:val="004637F5"/>
    <w:rsid w:val="004639A5"/>
    <w:rsid w:val="00463AB0"/>
    <w:rsid w:val="00463D70"/>
    <w:rsid w:val="00463EFC"/>
    <w:rsid w:val="004643CB"/>
    <w:rsid w:val="004644A9"/>
    <w:rsid w:val="00464749"/>
    <w:rsid w:val="004647AA"/>
    <w:rsid w:val="00464B58"/>
    <w:rsid w:val="0046503E"/>
    <w:rsid w:val="00465532"/>
    <w:rsid w:val="00465560"/>
    <w:rsid w:val="00465690"/>
    <w:rsid w:val="004656F4"/>
    <w:rsid w:val="00465B04"/>
    <w:rsid w:val="00465CF1"/>
    <w:rsid w:val="00466008"/>
    <w:rsid w:val="0046650E"/>
    <w:rsid w:val="004667E0"/>
    <w:rsid w:val="004667F2"/>
    <w:rsid w:val="00466B1A"/>
    <w:rsid w:val="00466BFF"/>
    <w:rsid w:val="00466C11"/>
    <w:rsid w:val="00466C76"/>
    <w:rsid w:val="00466D79"/>
    <w:rsid w:val="00466E98"/>
    <w:rsid w:val="00466E9F"/>
    <w:rsid w:val="00466EC3"/>
    <w:rsid w:val="00466ED2"/>
    <w:rsid w:val="00466F76"/>
    <w:rsid w:val="00466FF8"/>
    <w:rsid w:val="0046746C"/>
    <w:rsid w:val="00467728"/>
    <w:rsid w:val="00467D50"/>
    <w:rsid w:val="00467D66"/>
    <w:rsid w:val="00467D9A"/>
    <w:rsid w:val="00467EC7"/>
    <w:rsid w:val="00467EEE"/>
    <w:rsid w:val="004700E0"/>
    <w:rsid w:val="004703DF"/>
    <w:rsid w:val="0047057D"/>
    <w:rsid w:val="00470B27"/>
    <w:rsid w:val="00470C22"/>
    <w:rsid w:val="00470C25"/>
    <w:rsid w:val="00470D76"/>
    <w:rsid w:val="00470F51"/>
    <w:rsid w:val="00470F7C"/>
    <w:rsid w:val="00470FEA"/>
    <w:rsid w:val="0047102D"/>
    <w:rsid w:val="004711BB"/>
    <w:rsid w:val="004711C1"/>
    <w:rsid w:val="0047123B"/>
    <w:rsid w:val="0047191C"/>
    <w:rsid w:val="00471BCA"/>
    <w:rsid w:val="00471C29"/>
    <w:rsid w:val="00472034"/>
    <w:rsid w:val="004724F7"/>
    <w:rsid w:val="00472500"/>
    <w:rsid w:val="0047265A"/>
    <w:rsid w:val="004726E5"/>
    <w:rsid w:val="00472702"/>
    <w:rsid w:val="004727BF"/>
    <w:rsid w:val="0047281F"/>
    <w:rsid w:val="00472919"/>
    <w:rsid w:val="00472979"/>
    <w:rsid w:val="00472AB2"/>
    <w:rsid w:val="00472AB3"/>
    <w:rsid w:val="00472B8A"/>
    <w:rsid w:val="00472E83"/>
    <w:rsid w:val="00472F60"/>
    <w:rsid w:val="004732B2"/>
    <w:rsid w:val="004732BD"/>
    <w:rsid w:val="0047395A"/>
    <w:rsid w:val="00473AA5"/>
    <w:rsid w:val="00473DA7"/>
    <w:rsid w:val="00473E3F"/>
    <w:rsid w:val="00473EC2"/>
    <w:rsid w:val="00474513"/>
    <w:rsid w:val="00474610"/>
    <w:rsid w:val="00474B1A"/>
    <w:rsid w:val="00474E44"/>
    <w:rsid w:val="00474EDD"/>
    <w:rsid w:val="00474FC8"/>
    <w:rsid w:val="00474FEB"/>
    <w:rsid w:val="0047540E"/>
    <w:rsid w:val="0047556D"/>
    <w:rsid w:val="0047560F"/>
    <w:rsid w:val="00475700"/>
    <w:rsid w:val="0047577E"/>
    <w:rsid w:val="004758FB"/>
    <w:rsid w:val="00475DAF"/>
    <w:rsid w:val="00475EA4"/>
    <w:rsid w:val="004760BA"/>
    <w:rsid w:val="004766C5"/>
    <w:rsid w:val="0047689E"/>
    <w:rsid w:val="00476E55"/>
    <w:rsid w:val="00476FD8"/>
    <w:rsid w:val="00477561"/>
    <w:rsid w:val="0047768B"/>
    <w:rsid w:val="00477756"/>
    <w:rsid w:val="004777AF"/>
    <w:rsid w:val="004777FB"/>
    <w:rsid w:val="004778A0"/>
    <w:rsid w:val="00477C74"/>
    <w:rsid w:val="00477DD6"/>
    <w:rsid w:val="00480322"/>
    <w:rsid w:val="0048064B"/>
    <w:rsid w:val="00480787"/>
    <w:rsid w:val="00480CF1"/>
    <w:rsid w:val="00480E0B"/>
    <w:rsid w:val="00480E1C"/>
    <w:rsid w:val="004811FD"/>
    <w:rsid w:val="004818FA"/>
    <w:rsid w:val="00481CAF"/>
    <w:rsid w:val="00481FFB"/>
    <w:rsid w:val="0048207D"/>
    <w:rsid w:val="00482141"/>
    <w:rsid w:val="0048263A"/>
    <w:rsid w:val="004826C4"/>
    <w:rsid w:val="004829BC"/>
    <w:rsid w:val="00482FFA"/>
    <w:rsid w:val="00483007"/>
    <w:rsid w:val="00483430"/>
    <w:rsid w:val="00483737"/>
    <w:rsid w:val="00483A50"/>
    <w:rsid w:val="00483B0B"/>
    <w:rsid w:val="004842A7"/>
    <w:rsid w:val="00484576"/>
    <w:rsid w:val="0048457C"/>
    <w:rsid w:val="0048476D"/>
    <w:rsid w:val="00484B3F"/>
    <w:rsid w:val="00484C85"/>
    <w:rsid w:val="00484D04"/>
    <w:rsid w:val="00484D4A"/>
    <w:rsid w:val="00484E26"/>
    <w:rsid w:val="00484F51"/>
    <w:rsid w:val="00485066"/>
    <w:rsid w:val="004853C1"/>
    <w:rsid w:val="004860C9"/>
    <w:rsid w:val="00486619"/>
    <w:rsid w:val="00486655"/>
    <w:rsid w:val="0048673F"/>
    <w:rsid w:val="004868F9"/>
    <w:rsid w:val="00486BBA"/>
    <w:rsid w:val="004872B6"/>
    <w:rsid w:val="00487AC7"/>
    <w:rsid w:val="00490287"/>
    <w:rsid w:val="0049052A"/>
    <w:rsid w:val="004905AE"/>
    <w:rsid w:val="00490777"/>
    <w:rsid w:val="00490A75"/>
    <w:rsid w:val="00490BD1"/>
    <w:rsid w:val="00490D67"/>
    <w:rsid w:val="00490F13"/>
    <w:rsid w:val="004910B4"/>
    <w:rsid w:val="004910C8"/>
    <w:rsid w:val="004917CF"/>
    <w:rsid w:val="00491E1B"/>
    <w:rsid w:val="00491E51"/>
    <w:rsid w:val="00491EAF"/>
    <w:rsid w:val="00491F29"/>
    <w:rsid w:val="00491F54"/>
    <w:rsid w:val="0049258D"/>
    <w:rsid w:val="0049279B"/>
    <w:rsid w:val="00492DAE"/>
    <w:rsid w:val="0049332B"/>
    <w:rsid w:val="00493473"/>
    <w:rsid w:val="00493521"/>
    <w:rsid w:val="004935E0"/>
    <w:rsid w:val="004937E4"/>
    <w:rsid w:val="00493A5A"/>
    <w:rsid w:val="00493C3C"/>
    <w:rsid w:val="00494065"/>
    <w:rsid w:val="004940C2"/>
    <w:rsid w:val="004944F3"/>
    <w:rsid w:val="004945DB"/>
    <w:rsid w:val="004945F6"/>
    <w:rsid w:val="0049460B"/>
    <w:rsid w:val="0049464D"/>
    <w:rsid w:val="0049466A"/>
    <w:rsid w:val="00494BAD"/>
    <w:rsid w:val="00494BB8"/>
    <w:rsid w:val="00494EC2"/>
    <w:rsid w:val="00495302"/>
    <w:rsid w:val="004954B6"/>
    <w:rsid w:val="004955CE"/>
    <w:rsid w:val="0049574D"/>
    <w:rsid w:val="00495E0D"/>
    <w:rsid w:val="00496274"/>
    <w:rsid w:val="00496308"/>
    <w:rsid w:val="004963C2"/>
    <w:rsid w:val="004965AA"/>
    <w:rsid w:val="004967D5"/>
    <w:rsid w:val="00496B4D"/>
    <w:rsid w:val="00496D99"/>
    <w:rsid w:val="004973A3"/>
    <w:rsid w:val="00497574"/>
    <w:rsid w:val="004975C3"/>
    <w:rsid w:val="004977A7"/>
    <w:rsid w:val="00497939"/>
    <w:rsid w:val="00497B62"/>
    <w:rsid w:val="00497D8C"/>
    <w:rsid w:val="004A0144"/>
    <w:rsid w:val="004A021E"/>
    <w:rsid w:val="004A069E"/>
    <w:rsid w:val="004A0A0E"/>
    <w:rsid w:val="004A0F25"/>
    <w:rsid w:val="004A0F4B"/>
    <w:rsid w:val="004A1173"/>
    <w:rsid w:val="004A11CC"/>
    <w:rsid w:val="004A1641"/>
    <w:rsid w:val="004A164F"/>
    <w:rsid w:val="004A1D6C"/>
    <w:rsid w:val="004A1DCF"/>
    <w:rsid w:val="004A1E58"/>
    <w:rsid w:val="004A1FDC"/>
    <w:rsid w:val="004A2450"/>
    <w:rsid w:val="004A2537"/>
    <w:rsid w:val="004A2629"/>
    <w:rsid w:val="004A28E4"/>
    <w:rsid w:val="004A2B6E"/>
    <w:rsid w:val="004A2D70"/>
    <w:rsid w:val="004A383F"/>
    <w:rsid w:val="004A3866"/>
    <w:rsid w:val="004A40FA"/>
    <w:rsid w:val="004A43A4"/>
    <w:rsid w:val="004A47DD"/>
    <w:rsid w:val="004A4857"/>
    <w:rsid w:val="004A4A78"/>
    <w:rsid w:val="004A4D46"/>
    <w:rsid w:val="004A4F0B"/>
    <w:rsid w:val="004A5171"/>
    <w:rsid w:val="004A525B"/>
    <w:rsid w:val="004A5333"/>
    <w:rsid w:val="004A55DA"/>
    <w:rsid w:val="004A567E"/>
    <w:rsid w:val="004A56A0"/>
    <w:rsid w:val="004A57B7"/>
    <w:rsid w:val="004A5819"/>
    <w:rsid w:val="004A583E"/>
    <w:rsid w:val="004A5AAB"/>
    <w:rsid w:val="004A5E56"/>
    <w:rsid w:val="004A5F60"/>
    <w:rsid w:val="004A6084"/>
    <w:rsid w:val="004A6384"/>
    <w:rsid w:val="004A638A"/>
    <w:rsid w:val="004A6675"/>
    <w:rsid w:val="004A688C"/>
    <w:rsid w:val="004A69F6"/>
    <w:rsid w:val="004A6E4E"/>
    <w:rsid w:val="004A6ECA"/>
    <w:rsid w:val="004A7390"/>
    <w:rsid w:val="004A739A"/>
    <w:rsid w:val="004A74D3"/>
    <w:rsid w:val="004A76DB"/>
    <w:rsid w:val="004A76E4"/>
    <w:rsid w:val="004A79F9"/>
    <w:rsid w:val="004A7CC6"/>
    <w:rsid w:val="004A7CFB"/>
    <w:rsid w:val="004A7EDC"/>
    <w:rsid w:val="004B04AD"/>
    <w:rsid w:val="004B06AD"/>
    <w:rsid w:val="004B074B"/>
    <w:rsid w:val="004B0800"/>
    <w:rsid w:val="004B0CA1"/>
    <w:rsid w:val="004B103B"/>
    <w:rsid w:val="004B10A6"/>
    <w:rsid w:val="004B12B6"/>
    <w:rsid w:val="004B1463"/>
    <w:rsid w:val="004B1622"/>
    <w:rsid w:val="004B17F9"/>
    <w:rsid w:val="004B1906"/>
    <w:rsid w:val="004B1A39"/>
    <w:rsid w:val="004B1A72"/>
    <w:rsid w:val="004B1C23"/>
    <w:rsid w:val="004B1DD6"/>
    <w:rsid w:val="004B205D"/>
    <w:rsid w:val="004B2186"/>
    <w:rsid w:val="004B2A44"/>
    <w:rsid w:val="004B2A84"/>
    <w:rsid w:val="004B2CBC"/>
    <w:rsid w:val="004B2D63"/>
    <w:rsid w:val="004B2EB9"/>
    <w:rsid w:val="004B2F1F"/>
    <w:rsid w:val="004B34CA"/>
    <w:rsid w:val="004B3520"/>
    <w:rsid w:val="004B3747"/>
    <w:rsid w:val="004B38D9"/>
    <w:rsid w:val="004B3E25"/>
    <w:rsid w:val="004B4010"/>
    <w:rsid w:val="004B42F9"/>
    <w:rsid w:val="004B44B5"/>
    <w:rsid w:val="004B496A"/>
    <w:rsid w:val="004B4A34"/>
    <w:rsid w:val="004B4B46"/>
    <w:rsid w:val="004B4E63"/>
    <w:rsid w:val="004B4FC6"/>
    <w:rsid w:val="004B536D"/>
    <w:rsid w:val="004B5709"/>
    <w:rsid w:val="004B5D44"/>
    <w:rsid w:val="004B5FBF"/>
    <w:rsid w:val="004B63FA"/>
    <w:rsid w:val="004B6432"/>
    <w:rsid w:val="004B6506"/>
    <w:rsid w:val="004B66E5"/>
    <w:rsid w:val="004B69C5"/>
    <w:rsid w:val="004B6A47"/>
    <w:rsid w:val="004B6BD9"/>
    <w:rsid w:val="004B6DE9"/>
    <w:rsid w:val="004B7255"/>
    <w:rsid w:val="004B74C3"/>
    <w:rsid w:val="004B75F5"/>
    <w:rsid w:val="004B7834"/>
    <w:rsid w:val="004B7C18"/>
    <w:rsid w:val="004B7E7B"/>
    <w:rsid w:val="004C06B1"/>
    <w:rsid w:val="004C0F8F"/>
    <w:rsid w:val="004C1383"/>
    <w:rsid w:val="004C1548"/>
    <w:rsid w:val="004C17DA"/>
    <w:rsid w:val="004C185D"/>
    <w:rsid w:val="004C1929"/>
    <w:rsid w:val="004C19A7"/>
    <w:rsid w:val="004C1A0B"/>
    <w:rsid w:val="004C1F8D"/>
    <w:rsid w:val="004C2063"/>
    <w:rsid w:val="004C25CC"/>
    <w:rsid w:val="004C2CF4"/>
    <w:rsid w:val="004C2DD4"/>
    <w:rsid w:val="004C322B"/>
    <w:rsid w:val="004C3957"/>
    <w:rsid w:val="004C39AD"/>
    <w:rsid w:val="004C3E1A"/>
    <w:rsid w:val="004C4237"/>
    <w:rsid w:val="004C4249"/>
    <w:rsid w:val="004C4499"/>
    <w:rsid w:val="004C4D1D"/>
    <w:rsid w:val="004C4E24"/>
    <w:rsid w:val="004C4E2F"/>
    <w:rsid w:val="004C5A15"/>
    <w:rsid w:val="004C5B13"/>
    <w:rsid w:val="004C5E17"/>
    <w:rsid w:val="004C5EF7"/>
    <w:rsid w:val="004C6019"/>
    <w:rsid w:val="004C626B"/>
    <w:rsid w:val="004C63DB"/>
    <w:rsid w:val="004C6A7D"/>
    <w:rsid w:val="004C6D2F"/>
    <w:rsid w:val="004C6D37"/>
    <w:rsid w:val="004C6F95"/>
    <w:rsid w:val="004C718E"/>
    <w:rsid w:val="004C7203"/>
    <w:rsid w:val="004C7394"/>
    <w:rsid w:val="004C74D0"/>
    <w:rsid w:val="004C75F8"/>
    <w:rsid w:val="004C780F"/>
    <w:rsid w:val="004C7817"/>
    <w:rsid w:val="004C7BC9"/>
    <w:rsid w:val="004C7EB1"/>
    <w:rsid w:val="004D0475"/>
    <w:rsid w:val="004D04CC"/>
    <w:rsid w:val="004D07B1"/>
    <w:rsid w:val="004D0841"/>
    <w:rsid w:val="004D0942"/>
    <w:rsid w:val="004D0C0E"/>
    <w:rsid w:val="004D0EAE"/>
    <w:rsid w:val="004D0EBB"/>
    <w:rsid w:val="004D113E"/>
    <w:rsid w:val="004D1425"/>
    <w:rsid w:val="004D1AD3"/>
    <w:rsid w:val="004D1B75"/>
    <w:rsid w:val="004D1DB9"/>
    <w:rsid w:val="004D1DEA"/>
    <w:rsid w:val="004D1FC2"/>
    <w:rsid w:val="004D201D"/>
    <w:rsid w:val="004D234B"/>
    <w:rsid w:val="004D2531"/>
    <w:rsid w:val="004D27C6"/>
    <w:rsid w:val="004D2B1D"/>
    <w:rsid w:val="004D2CAC"/>
    <w:rsid w:val="004D2CE1"/>
    <w:rsid w:val="004D2D0B"/>
    <w:rsid w:val="004D2EA2"/>
    <w:rsid w:val="004D2F76"/>
    <w:rsid w:val="004D3270"/>
    <w:rsid w:val="004D3602"/>
    <w:rsid w:val="004D3BA8"/>
    <w:rsid w:val="004D3C7B"/>
    <w:rsid w:val="004D3FB2"/>
    <w:rsid w:val="004D4053"/>
    <w:rsid w:val="004D4112"/>
    <w:rsid w:val="004D4315"/>
    <w:rsid w:val="004D4497"/>
    <w:rsid w:val="004D4C82"/>
    <w:rsid w:val="004D4D96"/>
    <w:rsid w:val="004D53F6"/>
    <w:rsid w:val="004D5402"/>
    <w:rsid w:val="004D5763"/>
    <w:rsid w:val="004D5AD3"/>
    <w:rsid w:val="004D5CD9"/>
    <w:rsid w:val="004D5DFC"/>
    <w:rsid w:val="004D5F28"/>
    <w:rsid w:val="004D5FCF"/>
    <w:rsid w:val="004D6D01"/>
    <w:rsid w:val="004D6DC2"/>
    <w:rsid w:val="004D6DE8"/>
    <w:rsid w:val="004D7071"/>
    <w:rsid w:val="004D7233"/>
    <w:rsid w:val="004D741E"/>
    <w:rsid w:val="004D74A1"/>
    <w:rsid w:val="004D771B"/>
    <w:rsid w:val="004D7A2E"/>
    <w:rsid w:val="004D7BCA"/>
    <w:rsid w:val="004D7DBD"/>
    <w:rsid w:val="004D7E13"/>
    <w:rsid w:val="004E072C"/>
    <w:rsid w:val="004E094B"/>
    <w:rsid w:val="004E09A7"/>
    <w:rsid w:val="004E09B8"/>
    <w:rsid w:val="004E0CCF"/>
    <w:rsid w:val="004E0E96"/>
    <w:rsid w:val="004E10E0"/>
    <w:rsid w:val="004E11F5"/>
    <w:rsid w:val="004E181D"/>
    <w:rsid w:val="004E210C"/>
    <w:rsid w:val="004E285E"/>
    <w:rsid w:val="004E28AA"/>
    <w:rsid w:val="004E2C90"/>
    <w:rsid w:val="004E2DBB"/>
    <w:rsid w:val="004E2E76"/>
    <w:rsid w:val="004E32D9"/>
    <w:rsid w:val="004E332E"/>
    <w:rsid w:val="004E34D9"/>
    <w:rsid w:val="004E3613"/>
    <w:rsid w:val="004E3954"/>
    <w:rsid w:val="004E3DD0"/>
    <w:rsid w:val="004E417A"/>
    <w:rsid w:val="004E4195"/>
    <w:rsid w:val="004E47DB"/>
    <w:rsid w:val="004E4FD1"/>
    <w:rsid w:val="004E5704"/>
    <w:rsid w:val="004E5825"/>
    <w:rsid w:val="004E5886"/>
    <w:rsid w:val="004E5A10"/>
    <w:rsid w:val="004E5C54"/>
    <w:rsid w:val="004E64D2"/>
    <w:rsid w:val="004E6542"/>
    <w:rsid w:val="004E65EC"/>
    <w:rsid w:val="004E6689"/>
    <w:rsid w:val="004E6A6F"/>
    <w:rsid w:val="004E6C91"/>
    <w:rsid w:val="004E7108"/>
    <w:rsid w:val="004E727E"/>
    <w:rsid w:val="004E72B0"/>
    <w:rsid w:val="004E7ADA"/>
    <w:rsid w:val="004E7C6A"/>
    <w:rsid w:val="004F00C9"/>
    <w:rsid w:val="004F01CB"/>
    <w:rsid w:val="004F04E1"/>
    <w:rsid w:val="004F05B3"/>
    <w:rsid w:val="004F07E7"/>
    <w:rsid w:val="004F09CD"/>
    <w:rsid w:val="004F1242"/>
    <w:rsid w:val="004F13B7"/>
    <w:rsid w:val="004F16CD"/>
    <w:rsid w:val="004F1708"/>
    <w:rsid w:val="004F19B2"/>
    <w:rsid w:val="004F1B98"/>
    <w:rsid w:val="004F1C95"/>
    <w:rsid w:val="004F24ED"/>
    <w:rsid w:val="004F2645"/>
    <w:rsid w:val="004F287C"/>
    <w:rsid w:val="004F2B75"/>
    <w:rsid w:val="004F2B8A"/>
    <w:rsid w:val="004F2C18"/>
    <w:rsid w:val="004F306D"/>
    <w:rsid w:val="004F30AC"/>
    <w:rsid w:val="004F31B1"/>
    <w:rsid w:val="004F324B"/>
    <w:rsid w:val="004F32EA"/>
    <w:rsid w:val="004F3425"/>
    <w:rsid w:val="004F35F6"/>
    <w:rsid w:val="004F377A"/>
    <w:rsid w:val="004F397F"/>
    <w:rsid w:val="004F39CF"/>
    <w:rsid w:val="004F3D66"/>
    <w:rsid w:val="004F3D71"/>
    <w:rsid w:val="004F4116"/>
    <w:rsid w:val="004F4586"/>
    <w:rsid w:val="004F4761"/>
    <w:rsid w:val="004F4B67"/>
    <w:rsid w:val="004F4BD4"/>
    <w:rsid w:val="004F4D21"/>
    <w:rsid w:val="004F4DD2"/>
    <w:rsid w:val="004F4EEF"/>
    <w:rsid w:val="004F5049"/>
    <w:rsid w:val="004F51B6"/>
    <w:rsid w:val="004F51DF"/>
    <w:rsid w:val="004F59D7"/>
    <w:rsid w:val="004F5E99"/>
    <w:rsid w:val="004F5EFC"/>
    <w:rsid w:val="004F6084"/>
    <w:rsid w:val="004F618C"/>
    <w:rsid w:val="004F6289"/>
    <w:rsid w:val="004F67C2"/>
    <w:rsid w:val="004F6B2F"/>
    <w:rsid w:val="004F7022"/>
    <w:rsid w:val="004F70CE"/>
    <w:rsid w:val="004F71E8"/>
    <w:rsid w:val="004F7454"/>
    <w:rsid w:val="004F755E"/>
    <w:rsid w:val="004F774C"/>
    <w:rsid w:val="004F793C"/>
    <w:rsid w:val="004F7955"/>
    <w:rsid w:val="004F7AEE"/>
    <w:rsid w:val="004F7B15"/>
    <w:rsid w:val="00500068"/>
    <w:rsid w:val="005000B4"/>
    <w:rsid w:val="005003BE"/>
    <w:rsid w:val="005003CE"/>
    <w:rsid w:val="0050070A"/>
    <w:rsid w:val="0050072C"/>
    <w:rsid w:val="005008A5"/>
    <w:rsid w:val="00500954"/>
    <w:rsid w:val="00500AC2"/>
    <w:rsid w:val="00500C70"/>
    <w:rsid w:val="00501C69"/>
    <w:rsid w:val="00501E55"/>
    <w:rsid w:val="00501F06"/>
    <w:rsid w:val="00501F5E"/>
    <w:rsid w:val="00502255"/>
    <w:rsid w:val="0050229A"/>
    <w:rsid w:val="00502358"/>
    <w:rsid w:val="00502673"/>
    <w:rsid w:val="005026DE"/>
    <w:rsid w:val="0050273C"/>
    <w:rsid w:val="0050277A"/>
    <w:rsid w:val="00502795"/>
    <w:rsid w:val="00502882"/>
    <w:rsid w:val="0050295F"/>
    <w:rsid w:val="00502D42"/>
    <w:rsid w:val="00503096"/>
    <w:rsid w:val="005030F4"/>
    <w:rsid w:val="00503639"/>
    <w:rsid w:val="0050368B"/>
    <w:rsid w:val="00503924"/>
    <w:rsid w:val="00503B49"/>
    <w:rsid w:val="00503BE7"/>
    <w:rsid w:val="00503D69"/>
    <w:rsid w:val="005041A7"/>
    <w:rsid w:val="0050481F"/>
    <w:rsid w:val="00504836"/>
    <w:rsid w:val="005049B7"/>
    <w:rsid w:val="00504D7A"/>
    <w:rsid w:val="00505036"/>
    <w:rsid w:val="0050526B"/>
    <w:rsid w:val="00505334"/>
    <w:rsid w:val="005054E3"/>
    <w:rsid w:val="0050552A"/>
    <w:rsid w:val="00505809"/>
    <w:rsid w:val="005058A1"/>
    <w:rsid w:val="00505ABA"/>
    <w:rsid w:val="00505B85"/>
    <w:rsid w:val="00505D30"/>
    <w:rsid w:val="00505F60"/>
    <w:rsid w:val="0050640D"/>
    <w:rsid w:val="00506869"/>
    <w:rsid w:val="00506B3F"/>
    <w:rsid w:val="005070C8"/>
    <w:rsid w:val="0050779D"/>
    <w:rsid w:val="00507936"/>
    <w:rsid w:val="00507B33"/>
    <w:rsid w:val="00507BD3"/>
    <w:rsid w:val="005101A0"/>
    <w:rsid w:val="0051024F"/>
    <w:rsid w:val="005102DC"/>
    <w:rsid w:val="00510407"/>
    <w:rsid w:val="00510679"/>
    <w:rsid w:val="00510E28"/>
    <w:rsid w:val="00510F99"/>
    <w:rsid w:val="00511564"/>
    <w:rsid w:val="0051157A"/>
    <w:rsid w:val="005115B9"/>
    <w:rsid w:val="005116A4"/>
    <w:rsid w:val="005116E3"/>
    <w:rsid w:val="005119BB"/>
    <w:rsid w:val="00511C0C"/>
    <w:rsid w:val="00511FD8"/>
    <w:rsid w:val="005120A8"/>
    <w:rsid w:val="0051223A"/>
    <w:rsid w:val="005126EC"/>
    <w:rsid w:val="00512867"/>
    <w:rsid w:val="00512BF9"/>
    <w:rsid w:val="00512CBB"/>
    <w:rsid w:val="00512D78"/>
    <w:rsid w:val="00512DEA"/>
    <w:rsid w:val="005130E0"/>
    <w:rsid w:val="005130ED"/>
    <w:rsid w:val="005131E6"/>
    <w:rsid w:val="00513512"/>
    <w:rsid w:val="0051375C"/>
    <w:rsid w:val="0051375D"/>
    <w:rsid w:val="005138C5"/>
    <w:rsid w:val="0051394E"/>
    <w:rsid w:val="00513BA0"/>
    <w:rsid w:val="00513BCC"/>
    <w:rsid w:val="00513BD1"/>
    <w:rsid w:val="00513C27"/>
    <w:rsid w:val="00513EDC"/>
    <w:rsid w:val="00513F98"/>
    <w:rsid w:val="005140FD"/>
    <w:rsid w:val="00514152"/>
    <w:rsid w:val="0051421F"/>
    <w:rsid w:val="00514238"/>
    <w:rsid w:val="005142F3"/>
    <w:rsid w:val="0051459C"/>
    <w:rsid w:val="005145F1"/>
    <w:rsid w:val="00514990"/>
    <w:rsid w:val="00514A3B"/>
    <w:rsid w:val="00514B3A"/>
    <w:rsid w:val="00514CC9"/>
    <w:rsid w:val="00514D99"/>
    <w:rsid w:val="00514ED2"/>
    <w:rsid w:val="00514F15"/>
    <w:rsid w:val="00514F9B"/>
    <w:rsid w:val="005150E4"/>
    <w:rsid w:val="005151A8"/>
    <w:rsid w:val="00515453"/>
    <w:rsid w:val="00515AC8"/>
    <w:rsid w:val="005160DF"/>
    <w:rsid w:val="0051612E"/>
    <w:rsid w:val="00516233"/>
    <w:rsid w:val="005162E9"/>
    <w:rsid w:val="00516549"/>
    <w:rsid w:val="00517007"/>
    <w:rsid w:val="00517066"/>
    <w:rsid w:val="0051743E"/>
    <w:rsid w:val="0051744F"/>
    <w:rsid w:val="005176E6"/>
    <w:rsid w:val="00517708"/>
    <w:rsid w:val="00517BF7"/>
    <w:rsid w:val="00517E85"/>
    <w:rsid w:val="00520393"/>
    <w:rsid w:val="00520534"/>
    <w:rsid w:val="005207A7"/>
    <w:rsid w:val="00520D20"/>
    <w:rsid w:val="00520DC8"/>
    <w:rsid w:val="00520DD5"/>
    <w:rsid w:val="00520E00"/>
    <w:rsid w:val="00520F03"/>
    <w:rsid w:val="00521090"/>
    <w:rsid w:val="005211D7"/>
    <w:rsid w:val="005218C7"/>
    <w:rsid w:val="00521F95"/>
    <w:rsid w:val="005220AE"/>
    <w:rsid w:val="005220CE"/>
    <w:rsid w:val="005222F3"/>
    <w:rsid w:val="00522377"/>
    <w:rsid w:val="005225A5"/>
    <w:rsid w:val="0052287C"/>
    <w:rsid w:val="00522D16"/>
    <w:rsid w:val="00523001"/>
    <w:rsid w:val="005231D2"/>
    <w:rsid w:val="005232AA"/>
    <w:rsid w:val="00523583"/>
    <w:rsid w:val="00523C50"/>
    <w:rsid w:val="00523D4B"/>
    <w:rsid w:val="00523E48"/>
    <w:rsid w:val="005242A0"/>
    <w:rsid w:val="0052473E"/>
    <w:rsid w:val="00524B04"/>
    <w:rsid w:val="00525138"/>
    <w:rsid w:val="00525607"/>
    <w:rsid w:val="005259AA"/>
    <w:rsid w:val="00525E49"/>
    <w:rsid w:val="00525FB1"/>
    <w:rsid w:val="00525FC7"/>
    <w:rsid w:val="0052679E"/>
    <w:rsid w:val="00526CBB"/>
    <w:rsid w:val="00527342"/>
    <w:rsid w:val="005278CF"/>
    <w:rsid w:val="00527BBA"/>
    <w:rsid w:val="00530698"/>
    <w:rsid w:val="005315EE"/>
    <w:rsid w:val="00531649"/>
    <w:rsid w:val="0053182F"/>
    <w:rsid w:val="00531D49"/>
    <w:rsid w:val="00531E42"/>
    <w:rsid w:val="00532830"/>
    <w:rsid w:val="00532C60"/>
    <w:rsid w:val="00532CEE"/>
    <w:rsid w:val="00532D02"/>
    <w:rsid w:val="00532F72"/>
    <w:rsid w:val="00532FE0"/>
    <w:rsid w:val="005334C7"/>
    <w:rsid w:val="005334EF"/>
    <w:rsid w:val="005336BF"/>
    <w:rsid w:val="005336D3"/>
    <w:rsid w:val="005337EC"/>
    <w:rsid w:val="00533B7C"/>
    <w:rsid w:val="00533C5D"/>
    <w:rsid w:val="00533E93"/>
    <w:rsid w:val="0053429B"/>
    <w:rsid w:val="0053435A"/>
    <w:rsid w:val="0053507B"/>
    <w:rsid w:val="005351C2"/>
    <w:rsid w:val="00535251"/>
    <w:rsid w:val="00535252"/>
    <w:rsid w:val="00535B08"/>
    <w:rsid w:val="00535B38"/>
    <w:rsid w:val="00535F2F"/>
    <w:rsid w:val="0053603D"/>
    <w:rsid w:val="00536733"/>
    <w:rsid w:val="00536737"/>
    <w:rsid w:val="00536B65"/>
    <w:rsid w:val="00537609"/>
    <w:rsid w:val="005377B6"/>
    <w:rsid w:val="005378B6"/>
    <w:rsid w:val="00537B6D"/>
    <w:rsid w:val="00537CE8"/>
    <w:rsid w:val="00540090"/>
    <w:rsid w:val="00540512"/>
    <w:rsid w:val="00540746"/>
    <w:rsid w:val="00540D34"/>
    <w:rsid w:val="00540E2C"/>
    <w:rsid w:val="0054102A"/>
    <w:rsid w:val="00541316"/>
    <w:rsid w:val="005414B9"/>
    <w:rsid w:val="0054171B"/>
    <w:rsid w:val="00541E45"/>
    <w:rsid w:val="005420ED"/>
    <w:rsid w:val="005425BF"/>
    <w:rsid w:val="00542839"/>
    <w:rsid w:val="005428AA"/>
    <w:rsid w:val="00542CD1"/>
    <w:rsid w:val="00542D37"/>
    <w:rsid w:val="005431A0"/>
    <w:rsid w:val="00543428"/>
    <w:rsid w:val="00543626"/>
    <w:rsid w:val="005439D9"/>
    <w:rsid w:val="00543DCE"/>
    <w:rsid w:val="005441D8"/>
    <w:rsid w:val="00544649"/>
    <w:rsid w:val="00544835"/>
    <w:rsid w:val="0054490A"/>
    <w:rsid w:val="005449CC"/>
    <w:rsid w:val="00544CB4"/>
    <w:rsid w:val="00544F70"/>
    <w:rsid w:val="005453BA"/>
    <w:rsid w:val="0054582D"/>
    <w:rsid w:val="0054597F"/>
    <w:rsid w:val="00545D2F"/>
    <w:rsid w:val="005460C3"/>
    <w:rsid w:val="005466F9"/>
    <w:rsid w:val="00546ACC"/>
    <w:rsid w:val="00546C29"/>
    <w:rsid w:val="00546E6A"/>
    <w:rsid w:val="005471E7"/>
    <w:rsid w:val="00547443"/>
    <w:rsid w:val="005475B0"/>
    <w:rsid w:val="00547693"/>
    <w:rsid w:val="00547C8A"/>
    <w:rsid w:val="00547CB2"/>
    <w:rsid w:val="00547CD9"/>
    <w:rsid w:val="00550093"/>
    <w:rsid w:val="005505D7"/>
    <w:rsid w:val="005507B1"/>
    <w:rsid w:val="00550856"/>
    <w:rsid w:val="00550D3C"/>
    <w:rsid w:val="00551282"/>
    <w:rsid w:val="0055128C"/>
    <w:rsid w:val="0055152C"/>
    <w:rsid w:val="00551AA8"/>
    <w:rsid w:val="0055227E"/>
    <w:rsid w:val="005522BC"/>
    <w:rsid w:val="0055244D"/>
    <w:rsid w:val="00552486"/>
    <w:rsid w:val="005524C8"/>
    <w:rsid w:val="005525F2"/>
    <w:rsid w:val="005525F7"/>
    <w:rsid w:val="005526C1"/>
    <w:rsid w:val="00552BCC"/>
    <w:rsid w:val="00552CC8"/>
    <w:rsid w:val="00552FC0"/>
    <w:rsid w:val="00553106"/>
    <w:rsid w:val="005531F8"/>
    <w:rsid w:val="00553285"/>
    <w:rsid w:val="005533C5"/>
    <w:rsid w:val="005535C1"/>
    <w:rsid w:val="00553769"/>
    <w:rsid w:val="00553AF4"/>
    <w:rsid w:val="00553B20"/>
    <w:rsid w:val="00553E31"/>
    <w:rsid w:val="00554122"/>
    <w:rsid w:val="005542FA"/>
    <w:rsid w:val="00554433"/>
    <w:rsid w:val="005545EF"/>
    <w:rsid w:val="005546FA"/>
    <w:rsid w:val="0055489A"/>
    <w:rsid w:val="00554C00"/>
    <w:rsid w:val="00554E1D"/>
    <w:rsid w:val="00554E22"/>
    <w:rsid w:val="005550A7"/>
    <w:rsid w:val="00555252"/>
    <w:rsid w:val="00555370"/>
    <w:rsid w:val="00555502"/>
    <w:rsid w:val="00555747"/>
    <w:rsid w:val="00555BDC"/>
    <w:rsid w:val="00555C11"/>
    <w:rsid w:val="00555C29"/>
    <w:rsid w:val="00555F78"/>
    <w:rsid w:val="005560AF"/>
    <w:rsid w:val="0055610C"/>
    <w:rsid w:val="00556383"/>
    <w:rsid w:val="00556A27"/>
    <w:rsid w:val="00556ADA"/>
    <w:rsid w:val="00556E6A"/>
    <w:rsid w:val="0055718F"/>
    <w:rsid w:val="005571A0"/>
    <w:rsid w:val="00557237"/>
    <w:rsid w:val="005573E6"/>
    <w:rsid w:val="00557417"/>
    <w:rsid w:val="005574AD"/>
    <w:rsid w:val="0055789D"/>
    <w:rsid w:val="005579D6"/>
    <w:rsid w:val="00557A6E"/>
    <w:rsid w:val="00557D39"/>
    <w:rsid w:val="0056027C"/>
    <w:rsid w:val="005604B5"/>
    <w:rsid w:val="00560659"/>
    <w:rsid w:val="00560980"/>
    <w:rsid w:val="00560A2D"/>
    <w:rsid w:val="00560D6F"/>
    <w:rsid w:val="00560F87"/>
    <w:rsid w:val="005610D5"/>
    <w:rsid w:val="005611AA"/>
    <w:rsid w:val="00561401"/>
    <w:rsid w:val="0056148C"/>
    <w:rsid w:val="00561CC2"/>
    <w:rsid w:val="00561DFC"/>
    <w:rsid w:val="00562283"/>
    <w:rsid w:val="005622B3"/>
    <w:rsid w:val="00562319"/>
    <w:rsid w:val="005625D8"/>
    <w:rsid w:val="00562642"/>
    <w:rsid w:val="005628F4"/>
    <w:rsid w:val="00562DC1"/>
    <w:rsid w:val="00563617"/>
    <w:rsid w:val="00563729"/>
    <w:rsid w:val="00563865"/>
    <w:rsid w:val="00563958"/>
    <w:rsid w:val="00563A06"/>
    <w:rsid w:val="00563AA5"/>
    <w:rsid w:val="0056404D"/>
    <w:rsid w:val="00564539"/>
    <w:rsid w:val="005647D5"/>
    <w:rsid w:val="0056490C"/>
    <w:rsid w:val="00564BA1"/>
    <w:rsid w:val="00564EC7"/>
    <w:rsid w:val="00564EF4"/>
    <w:rsid w:val="00565003"/>
    <w:rsid w:val="00565685"/>
    <w:rsid w:val="005657EC"/>
    <w:rsid w:val="00565C7B"/>
    <w:rsid w:val="00565EA6"/>
    <w:rsid w:val="00565F12"/>
    <w:rsid w:val="00565F7B"/>
    <w:rsid w:val="005663E6"/>
    <w:rsid w:val="00566485"/>
    <w:rsid w:val="00566490"/>
    <w:rsid w:val="0056681C"/>
    <w:rsid w:val="0056695A"/>
    <w:rsid w:val="00566FBE"/>
    <w:rsid w:val="00567160"/>
    <w:rsid w:val="005672B4"/>
    <w:rsid w:val="00567619"/>
    <w:rsid w:val="0056769B"/>
    <w:rsid w:val="005678D5"/>
    <w:rsid w:val="00567D13"/>
    <w:rsid w:val="00567DBC"/>
    <w:rsid w:val="00567ECE"/>
    <w:rsid w:val="00567FEE"/>
    <w:rsid w:val="005702C4"/>
    <w:rsid w:val="005702F3"/>
    <w:rsid w:val="00570427"/>
    <w:rsid w:val="00570600"/>
    <w:rsid w:val="00570837"/>
    <w:rsid w:val="0057093F"/>
    <w:rsid w:val="00570994"/>
    <w:rsid w:val="00570B06"/>
    <w:rsid w:val="00570CDC"/>
    <w:rsid w:val="0057104E"/>
    <w:rsid w:val="005713FC"/>
    <w:rsid w:val="00571502"/>
    <w:rsid w:val="00571CB6"/>
    <w:rsid w:val="00572143"/>
    <w:rsid w:val="005721F8"/>
    <w:rsid w:val="005723EF"/>
    <w:rsid w:val="00572439"/>
    <w:rsid w:val="00572661"/>
    <w:rsid w:val="0057266E"/>
    <w:rsid w:val="0057297F"/>
    <w:rsid w:val="00572B51"/>
    <w:rsid w:val="00573289"/>
    <w:rsid w:val="005733C0"/>
    <w:rsid w:val="005735DB"/>
    <w:rsid w:val="00573A28"/>
    <w:rsid w:val="00573B84"/>
    <w:rsid w:val="00573FE5"/>
    <w:rsid w:val="00574042"/>
    <w:rsid w:val="00574050"/>
    <w:rsid w:val="005740C3"/>
    <w:rsid w:val="00574812"/>
    <w:rsid w:val="00574898"/>
    <w:rsid w:val="00574AD8"/>
    <w:rsid w:val="00574DD7"/>
    <w:rsid w:val="00574E68"/>
    <w:rsid w:val="00575052"/>
    <w:rsid w:val="005754C3"/>
    <w:rsid w:val="00575509"/>
    <w:rsid w:val="0057615E"/>
    <w:rsid w:val="005761A6"/>
    <w:rsid w:val="005763AF"/>
    <w:rsid w:val="00576551"/>
    <w:rsid w:val="005767EA"/>
    <w:rsid w:val="00577065"/>
    <w:rsid w:val="00577579"/>
    <w:rsid w:val="005775DA"/>
    <w:rsid w:val="005779C0"/>
    <w:rsid w:val="005800B6"/>
    <w:rsid w:val="005801B6"/>
    <w:rsid w:val="00580277"/>
    <w:rsid w:val="005803FD"/>
    <w:rsid w:val="005806BF"/>
    <w:rsid w:val="00580F78"/>
    <w:rsid w:val="005813FE"/>
    <w:rsid w:val="00581707"/>
    <w:rsid w:val="0058173F"/>
    <w:rsid w:val="00581995"/>
    <w:rsid w:val="00581AE7"/>
    <w:rsid w:val="00581CF8"/>
    <w:rsid w:val="00581FBC"/>
    <w:rsid w:val="0058221A"/>
    <w:rsid w:val="0058236E"/>
    <w:rsid w:val="005823B3"/>
    <w:rsid w:val="005826F9"/>
    <w:rsid w:val="00582859"/>
    <w:rsid w:val="00582895"/>
    <w:rsid w:val="00582EF6"/>
    <w:rsid w:val="0058303F"/>
    <w:rsid w:val="0058324B"/>
    <w:rsid w:val="00583339"/>
    <w:rsid w:val="00583639"/>
    <w:rsid w:val="0058370C"/>
    <w:rsid w:val="005837B2"/>
    <w:rsid w:val="005837F8"/>
    <w:rsid w:val="00583F37"/>
    <w:rsid w:val="00583FD1"/>
    <w:rsid w:val="005840D5"/>
    <w:rsid w:val="00584269"/>
    <w:rsid w:val="005846BB"/>
    <w:rsid w:val="00584948"/>
    <w:rsid w:val="00584A34"/>
    <w:rsid w:val="00584BBF"/>
    <w:rsid w:val="00584BE8"/>
    <w:rsid w:val="00584C3A"/>
    <w:rsid w:val="00584C7C"/>
    <w:rsid w:val="00584CB9"/>
    <w:rsid w:val="00584EF8"/>
    <w:rsid w:val="00585057"/>
    <w:rsid w:val="00585185"/>
    <w:rsid w:val="005851D6"/>
    <w:rsid w:val="0058533E"/>
    <w:rsid w:val="00585760"/>
    <w:rsid w:val="005858CB"/>
    <w:rsid w:val="00585CAE"/>
    <w:rsid w:val="00585E4B"/>
    <w:rsid w:val="00586016"/>
    <w:rsid w:val="00586062"/>
    <w:rsid w:val="005860DC"/>
    <w:rsid w:val="005865D1"/>
    <w:rsid w:val="0058679F"/>
    <w:rsid w:val="005867EE"/>
    <w:rsid w:val="005868DA"/>
    <w:rsid w:val="00586AA5"/>
    <w:rsid w:val="00586AC4"/>
    <w:rsid w:val="00586BBC"/>
    <w:rsid w:val="0058764C"/>
    <w:rsid w:val="00587974"/>
    <w:rsid w:val="00587B65"/>
    <w:rsid w:val="00587C75"/>
    <w:rsid w:val="00587C83"/>
    <w:rsid w:val="00587E76"/>
    <w:rsid w:val="00590011"/>
    <w:rsid w:val="005900E9"/>
    <w:rsid w:val="005901C4"/>
    <w:rsid w:val="00590370"/>
    <w:rsid w:val="00590496"/>
    <w:rsid w:val="005906E0"/>
    <w:rsid w:val="00590816"/>
    <w:rsid w:val="005914CE"/>
    <w:rsid w:val="005919A4"/>
    <w:rsid w:val="005921DD"/>
    <w:rsid w:val="00592235"/>
    <w:rsid w:val="005922D8"/>
    <w:rsid w:val="00592400"/>
    <w:rsid w:val="00592518"/>
    <w:rsid w:val="00592760"/>
    <w:rsid w:val="00592BEF"/>
    <w:rsid w:val="00593129"/>
    <w:rsid w:val="00593330"/>
    <w:rsid w:val="00593848"/>
    <w:rsid w:val="00593870"/>
    <w:rsid w:val="005938F9"/>
    <w:rsid w:val="00593C59"/>
    <w:rsid w:val="00594126"/>
    <w:rsid w:val="005941B5"/>
    <w:rsid w:val="0059451D"/>
    <w:rsid w:val="00594553"/>
    <w:rsid w:val="0059466A"/>
    <w:rsid w:val="00594AEA"/>
    <w:rsid w:val="00594E61"/>
    <w:rsid w:val="00595073"/>
    <w:rsid w:val="00595125"/>
    <w:rsid w:val="0059537C"/>
    <w:rsid w:val="00595429"/>
    <w:rsid w:val="0059596A"/>
    <w:rsid w:val="00595A37"/>
    <w:rsid w:val="00596040"/>
    <w:rsid w:val="00596359"/>
    <w:rsid w:val="00596472"/>
    <w:rsid w:val="00596A76"/>
    <w:rsid w:val="00596C1C"/>
    <w:rsid w:val="00596C39"/>
    <w:rsid w:val="00596D64"/>
    <w:rsid w:val="00596F55"/>
    <w:rsid w:val="00596FC9"/>
    <w:rsid w:val="00597083"/>
    <w:rsid w:val="005970AD"/>
    <w:rsid w:val="0059752E"/>
    <w:rsid w:val="005975D6"/>
    <w:rsid w:val="005979D8"/>
    <w:rsid w:val="005A0265"/>
    <w:rsid w:val="005A044F"/>
    <w:rsid w:val="005A049A"/>
    <w:rsid w:val="005A0617"/>
    <w:rsid w:val="005A06B3"/>
    <w:rsid w:val="005A0B6C"/>
    <w:rsid w:val="005A0D22"/>
    <w:rsid w:val="005A1195"/>
    <w:rsid w:val="005A11C6"/>
    <w:rsid w:val="005A128A"/>
    <w:rsid w:val="005A1313"/>
    <w:rsid w:val="005A15E3"/>
    <w:rsid w:val="005A1729"/>
    <w:rsid w:val="005A1B00"/>
    <w:rsid w:val="005A1BAC"/>
    <w:rsid w:val="005A1D96"/>
    <w:rsid w:val="005A1F18"/>
    <w:rsid w:val="005A260E"/>
    <w:rsid w:val="005A26C1"/>
    <w:rsid w:val="005A28CD"/>
    <w:rsid w:val="005A2AF4"/>
    <w:rsid w:val="005A2C21"/>
    <w:rsid w:val="005A2F5F"/>
    <w:rsid w:val="005A2F7F"/>
    <w:rsid w:val="005A30C4"/>
    <w:rsid w:val="005A357B"/>
    <w:rsid w:val="005A38A4"/>
    <w:rsid w:val="005A3BD3"/>
    <w:rsid w:val="005A3D4C"/>
    <w:rsid w:val="005A3E2E"/>
    <w:rsid w:val="005A4004"/>
    <w:rsid w:val="005A4545"/>
    <w:rsid w:val="005A45C8"/>
    <w:rsid w:val="005A4C87"/>
    <w:rsid w:val="005A4D6E"/>
    <w:rsid w:val="005A4D91"/>
    <w:rsid w:val="005A4F91"/>
    <w:rsid w:val="005A50B1"/>
    <w:rsid w:val="005A51C5"/>
    <w:rsid w:val="005A5393"/>
    <w:rsid w:val="005A577A"/>
    <w:rsid w:val="005A5A5F"/>
    <w:rsid w:val="005A5AB6"/>
    <w:rsid w:val="005A5FEF"/>
    <w:rsid w:val="005A6114"/>
    <w:rsid w:val="005A6736"/>
    <w:rsid w:val="005A678A"/>
    <w:rsid w:val="005A6881"/>
    <w:rsid w:val="005A6A96"/>
    <w:rsid w:val="005A6D95"/>
    <w:rsid w:val="005A6F0B"/>
    <w:rsid w:val="005A76A4"/>
    <w:rsid w:val="005A784A"/>
    <w:rsid w:val="005A7B92"/>
    <w:rsid w:val="005A7FDD"/>
    <w:rsid w:val="005A7FE0"/>
    <w:rsid w:val="005B0051"/>
    <w:rsid w:val="005B0124"/>
    <w:rsid w:val="005B057D"/>
    <w:rsid w:val="005B070A"/>
    <w:rsid w:val="005B076C"/>
    <w:rsid w:val="005B0990"/>
    <w:rsid w:val="005B0A00"/>
    <w:rsid w:val="005B1906"/>
    <w:rsid w:val="005B1A17"/>
    <w:rsid w:val="005B1B34"/>
    <w:rsid w:val="005B1B59"/>
    <w:rsid w:val="005B1D60"/>
    <w:rsid w:val="005B1DAB"/>
    <w:rsid w:val="005B1F4A"/>
    <w:rsid w:val="005B243E"/>
    <w:rsid w:val="005B24F4"/>
    <w:rsid w:val="005B276E"/>
    <w:rsid w:val="005B2776"/>
    <w:rsid w:val="005B2B27"/>
    <w:rsid w:val="005B2B5F"/>
    <w:rsid w:val="005B2C47"/>
    <w:rsid w:val="005B2C4B"/>
    <w:rsid w:val="005B2D7F"/>
    <w:rsid w:val="005B37D0"/>
    <w:rsid w:val="005B3CAB"/>
    <w:rsid w:val="005B43C9"/>
    <w:rsid w:val="005B447C"/>
    <w:rsid w:val="005B4568"/>
    <w:rsid w:val="005B47A4"/>
    <w:rsid w:val="005B4810"/>
    <w:rsid w:val="005B49B8"/>
    <w:rsid w:val="005B4B64"/>
    <w:rsid w:val="005B4E46"/>
    <w:rsid w:val="005B506D"/>
    <w:rsid w:val="005B5105"/>
    <w:rsid w:val="005B511E"/>
    <w:rsid w:val="005B57E6"/>
    <w:rsid w:val="005B5842"/>
    <w:rsid w:val="005B592A"/>
    <w:rsid w:val="005B5A23"/>
    <w:rsid w:val="005B5D21"/>
    <w:rsid w:val="005B5E76"/>
    <w:rsid w:val="005B69AC"/>
    <w:rsid w:val="005B6A94"/>
    <w:rsid w:val="005B6C27"/>
    <w:rsid w:val="005B6C31"/>
    <w:rsid w:val="005B6E32"/>
    <w:rsid w:val="005B6E3F"/>
    <w:rsid w:val="005B6EBB"/>
    <w:rsid w:val="005B70A3"/>
    <w:rsid w:val="005B70CA"/>
    <w:rsid w:val="005B7146"/>
    <w:rsid w:val="005B735F"/>
    <w:rsid w:val="005B736B"/>
    <w:rsid w:val="005B759B"/>
    <w:rsid w:val="005B7605"/>
    <w:rsid w:val="005B76E2"/>
    <w:rsid w:val="005B77BE"/>
    <w:rsid w:val="005B77DA"/>
    <w:rsid w:val="005B7B28"/>
    <w:rsid w:val="005B7D71"/>
    <w:rsid w:val="005B7DC7"/>
    <w:rsid w:val="005B7ED4"/>
    <w:rsid w:val="005C021D"/>
    <w:rsid w:val="005C034C"/>
    <w:rsid w:val="005C065E"/>
    <w:rsid w:val="005C10ED"/>
    <w:rsid w:val="005C1221"/>
    <w:rsid w:val="005C1246"/>
    <w:rsid w:val="005C147C"/>
    <w:rsid w:val="005C19B7"/>
    <w:rsid w:val="005C1B73"/>
    <w:rsid w:val="005C1D6B"/>
    <w:rsid w:val="005C2539"/>
    <w:rsid w:val="005C2AAC"/>
    <w:rsid w:val="005C2CD4"/>
    <w:rsid w:val="005C2EB5"/>
    <w:rsid w:val="005C33B4"/>
    <w:rsid w:val="005C355C"/>
    <w:rsid w:val="005C36E2"/>
    <w:rsid w:val="005C3780"/>
    <w:rsid w:val="005C384E"/>
    <w:rsid w:val="005C3873"/>
    <w:rsid w:val="005C3A58"/>
    <w:rsid w:val="005C3B29"/>
    <w:rsid w:val="005C3CB0"/>
    <w:rsid w:val="005C3CB3"/>
    <w:rsid w:val="005C3E56"/>
    <w:rsid w:val="005C41F1"/>
    <w:rsid w:val="005C46AE"/>
    <w:rsid w:val="005C4882"/>
    <w:rsid w:val="005C48D8"/>
    <w:rsid w:val="005C4CC3"/>
    <w:rsid w:val="005C4FB5"/>
    <w:rsid w:val="005C530B"/>
    <w:rsid w:val="005C56D5"/>
    <w:rsid w:val="005C5D8D"/>
    <w:rsid w:val="005C5E7A"/>
    <w:rsid w:val="005C606A"/>
    <w:rsid w:val="005C61B1"/>
    <w:rsid w:val="005C6298"/>
    <w:rsid w:val="005C661E"/>
    <w:rsid w:val="005C6974"/>
    <w:rsid w:val="005C699D"/>
    <w:rsid w:val="005C6B30"/>
    <w:rsid w:val="005C6CD9"/>
    <w:rsid w:val="005C6F8A"/>
    <w:rsid w:val="005C713E"/>
    <w:rsid w:val="005C7144"/>
    <w:rsid w:val="005C7637"/>
    <w:rsid w:val="005C766B"/>
    <w:rsid w:val="005C7E0C"/>
    <w:rsid w:val="005D01F3"/>
    <w:rsid w:val="005D02D3"/>
    <w:rsid w:val="005D0514"/>
    <w:rsid w:val="005D0C2E"/>
    <w:rsid w:val="005D0C3B"/>
    <w:rsid w:val="005D1026"/>
    <w:rsid w:val="005D1237"/>
    <w:rsid w:val="005D1596"/>
    <w:rsid w:val="005D16B1"/>
    <w:rsid w:val="005D18FD"/>
    <w:rsid w:val="005D1980"/>
    <w:rsid w:val="005D1B9B"/>
    <w:rsid w:val="005D22B2"/>
    <w:rsid w:val="005D2480"/>
    <w:rsid w:val="005D24EA"/>
    <w:rsid w:val="005D27C1"/>
    <w:rsid w:val="005D285A"/>
    <w:rsid w:val="005D31B3"/>
    <w:rsid w:val="005D3822"/>
    <w:rsid w:val="005D3C62"/>
    <w:rsid w:val="005D4295"/>
    <w:rsid w:val="005D46F7"/>
    <w:rsid w:val="005D49CF"/>
    <w:rsid w:val="005D4E11"/>
    <w:rsid w:val="005D4EF1"/>
    <w:rsid w:val="005D4FD4"/>
    <w:rsid w:val="005D4FE4"/>
    <w:rsid w:val="005D5091"/>
    <w:rsid w:val="005D50A7"/>
    <w:rsid w:val="005D52EC"/>
    <w:rsid w:val="005D5590"/>
    <w:rsid w:val="005D5684"/>
    <w:rsid w:val="005D596C"/>
    <w:rsid w:val="005D59D2"/>
    <w:rsid w:val="005D5BF2"/>
    <w:rsid w:val="005D5D16"/>
    <w:rsid w:val="005D5D35"/>
    <w:rsid w:val="005D5D68"/>
    <w:rsid w:val="005D5D6A"/>
    <w:rsid w:val="005D5FDE"/>
    <w:rsid w:val="005D62F2"/>
    <w:rsid w:val="005D64E7"/>
    <w:rsid w:val="005D6592"/>
    <w:rsid w:val="005D669E"/>
    <w:rsid w:val="005D6847"/>
    <w:rsid w:val="005D6BEF"/>
    <w:rsid w:val="005D6EC5"/>
    <w:rsid w:val="005D6F4C"/>
    <w:rsid w:val="005D7311"/>
    <w:rsid w:val="005D753A"/>
    <w:rsid w:val="005D769B"/>
    <w:rsid w:val="005D76E9"/>
    <w:rsid w:val="005D792A"/>
    <w:rsid w:val="005D7BB8"/>
    <w:rsid w:val="005D7CB3"/>
    <w:rsid w:val="005D7FFE"/>
    <w:rsid w:val="005E0564"/>
    <w:rsid w:val="005E0649"/>
    <w:rsid w:val="005E0801"/>
    <w:rsid w:val="005E1187"/>
    <w:rsid w:val="005E1272"/>
    <w:rsid w:val="005E141D"/>
    <w:rsid w:val="005E179F"/>
    <w:rsid w:val="005E17EE"/>
    <w:rsid w:val="005E19B5"/>
    <w:rsid w:val="005E19D9"/>
    <w:rsid w:val="005E2058"/>
    <w:rsid w:val="005E217C"/>
    <w:rsid w:val="005E2402"/>
    <w:rsid w:val="005E2597"/>
    <w:rsid w:val="005E25A0"/>
    <w:rsid w:val="005E2909"/>
    <w:rsid w:val="005E2B69"/>
    <w:rsid w:val="005E2ECA"/>
    <w:rsid w:val="005E2F59"/>
    <w:rsid w:val="005E33B2"/>
    <w:rsid w:val="005E33F6"/>
    <w:rsid w:val="005E396B"/>
    <w:rsid w:val="005E3C8F"/>
    <w:rsid w:val="005E3C91"/>
    <w:rsid w:val="005E426C"/>
    <w:rsid w:val="005E42CA"/>
    <w:rsid w:val="005E48BE"/>
    <w:rsid w:val="005E4F3C"/>
    <w:rsid w:val="005E5205"/>
    <w:rsid w:val="005E535C"/>
    <w:rsid w:val="005E591A"/>
    <w:rsid w:val="005E5DB1"/>
    <w:rsid w:val="005E600D"/>
    <w:rsid w:val="005E6EB5"/>
    <w:rsid w:val="005E7000"/>
    <w:rsid w:val="005E7348"/>
    <w:rsid w:val="005E7524"/>
    <w:rsid w:val="005E7563"/>
    <w:rsid w:val="005E75BF"/>
    <w:rsid w:val="005E7989"/>
    <w:rsid w:val="005E79C6"/>
    <w:rsid w:val="005E7B07"/>
    <w:rsid w:val="005F02FA"/>
    <w:rsid w:val="005F0516"/>
    <w:rsid w:val="005F091D"/>
    <w:rsid w:val="005F095C"/>
    <w:rsid w:val="005F0AC2"/>
    <w:rsid w:val="005F0D5B"/>
    <w:rsid w:val="005F0EFF"/>
    <w:rsid w:val="005F0F3A"/>
    <w:rsid w:val="005F154B"/>
    <w:rsid w:val="005F170F"/>
    <w:rsid w:val="005F193D"/>
    <w:rsid w:val="005F1BE7"/>
    <w:rsid w:val="005F1E8D"/>
    <w:rsid w:val="005F2034"/>
    <w:rsid w:val="005F22BE"/>
    <w:rsid w:val="005F24DD"/>
    <w:rsid w:val="005F2741"/>
    <w:rsid w:val="005F2774"/>
    <w:rsid w:val="005F2948"/>
    <w:rsid w:val="005F2F53"/>
    <w:rsid w:val="005F315C"/>
    <w:rsid w:val="005F3183"/>
    <w:rsid w:val="005F330B"/>
    <w:rsid w:val="005F35C2"/>
    <w:rsid w:val="005F3A55"/>
    <w:rsid w:val="005F409A"/>
    <w:rsid w:val="005F411D"/>
    <w:rsid w:val="005F4931"/>
    <w:rsid w:val="005F4A40"/>
    <w:rsid w:val="005F4F1D"/>
    <w:rsid w:val="005F4F88"/>
    <w:rsid w:val="005F50FE"/>
    <w:rsid w:val="005F5247"/>
    <w:rsid w:val="005F52AD"/>
    <w:rsid w:val="005F552A"/>
    <w:rsid w:val="005F556F"/>
    <w:rsid w:val="005F585E"/>
    <w:rsid w:val="005F58A1"/>
    <w:rsid w:val="005F5990"/>
    <w:rsid w:val="005F5EC1"/>
    <w:rsid w:val="005F6088"/>
    <w:rsid w:val="005F6298"/>
    <w:rsid w:val="005F635B"/>
    <w:rsid w:val="005F6378"/>
    <w:rsid w:val="005F649F"/>
    <w:rsid w:val="005F6AA6"/>
    <w:rsid w:val="005F6AB6"/>
    <w:rsid w:val="005F6F94"/>
    <w:rsid w:val="005F70B3"/>
    <w:rsid w:val="005F717D"/>
    <w:rsid w:val="005F7612"/>
    <w:rsid w:val="005F7D5B"/>
    <w:rsid w:val="005F7EC7"/>
    <w:rsid w:val="006007E7"/>
    <w:rsid w:val="006009B9"/>
    <w:rsid w:val="00600A82"/>
    <w:rsid w:val="00600D52"/>
    <w:rsid w:val="00600FFD"/>
    <w:rsid w:val="0060144B"/>
    <w:rsid w:val="00601557"/>
    <w:rsid w:val="00601755"/>
    <w:rsid w:val="00601792"/>
    <w:rsid w:val="006017E8"/>
    <w:rsid w:val="0060232C"/>
    <w:rsid w:val="00602B40"/>
    <w:rsid w:val="00602C04"/>
    <w:rsid w:val="00602C1F"/>
    <w:rsid w:val="00602D91"/>
    <w:rsid w:val="00602DAA"/>
    <w:rsid w:val="00602DC2"/>
    <w:rsid w:val="00603035"/>
    <w:rsid w:val="00603058"/>
    <w:rsid w:val="006030C1"/>
    <w:rsid w:val="006030D2"/>
    <w:rsid w:val="00603397"/>
    <w:rsid w:val="00603451"/>
    <w:rsid w:val="00603647"/>
    <w:rsid w:val="006036D8"/>
    <w:rsid w:val="00603BCC"/>
    <w:rsid w:val="00603C96"/>
    <w:rsid w:val="00603D41"/>
    <w:rsid w:val="0060408D"/>
    <w:rsid w:val="00604219"/>
    <w:rsid w:val="00604411"/>
    <w:rsid w:val="0060469C"/>
    <w:rsid w:val="00604700"/>
    <w:rsid w:val="00604C1B"/>
    <w:rsid w:val="00604FD1"/>
    <w:rsid w:val="00605695"/>
    <w:rsid w:val="006056E4"/>
    <w:rsid w:val="006059E1"/>
    <w:rsid w:val="00605AA0"/>
    <w:rsid w:val="00605B02"/>
    <w:rsid w:val="0060640A"/>
    <w:rsid w:val="00606D26"/>
    <w:rsid w:val="00606EEA"/>
    <w:rsid w:val="006074FB"/>
    <w:rsid w:val="00607C44"/>
    <w:rsid w:val="00607C91"/>
    <w:rsid w:val="006102F0"/>
    <w:rsid w:val="006103FD"/>
    <w:rsid w:val="006108B0"/>
    <w:rsid w:val="00610BCE"/>
    <w:rsid w:val="00610C92"/>
    <w:rsid w:val="00611432"/>
    <w:rsid w:val="006115BA"/>
    <w:rsid w:val="006115DB"/>
    <w:rsid w:val="0061170E"/>
    <w:rsid w:val="00611733"/>
    <w:rsid w:val="0061196B"/>
    <w:rsid w:val="00611E79"/>
    <w:rsid w:val="00611EDF"/>
    <w:rsid w:val="006122FC"/>
    <w:rsid w:val="00612778"/>
    <w:rsid w:val="0061292E"/>
    <w:rsid w:val="00612997"/>
    <w:rsid w:val="00612BA5"/>
    <w:rsid w:val="006137D0"/>
    <w:rsid w:val="00613829"/>
    <w:rsid w:val="00613D5D"/>
    <w:rsid w:val="00613DFB"/>
    <w:rsid w:val="00614024"/>
    <w:rsid w:val="0061436F"/>
    <w:rsid w:val="00614954"/>
    <w:rsid w:val="00614B56"/>
    <w:rsid w:val="00614C2A"/>
    <w:rsid w:val="00614C62"/>
    <w:rsid w:val="00614E53"/>
    <w:rsid w:val="00614FEA"/>
    <w:rsid w:val="006153A4"/>
    <w:rsid w:val="006157F7"/>
    <w:rsid w:val="00616468"/>
    <w:rsid w:val="006165B0"/>
    <w:rsid w:val="006166EB"/>
    <w:rsid w:val="00616928"/>
    <w:rsid w:val="00616AC9"/>
    <w:rsid w:val="00616C48"/>
    <w:rsid w:val="00616DA6"/>
    <w:rsid w:val="00616DF9"/>
    <w:rsid w:val="00616F60"/>
    <w:rsid w:val="00617395"/>
    <w:rsid w:val="0061741D"/>
    <w:rsid w:val="00617556"/>
    <w:rsid w:val="00617A55"/>
    <w:rsid w:val="00617C54"/>
    <w:rsid w:val="00617D59"/>
    <w:rsid w:val="00617EB5"/>
    <w:rsid w:val="00617EC9"/>
    <w:rsid w:val="006200B4"/>
    <w:rsid w:val="006205BD"/>
    <w:rsid w:val="00620918"/>
    <w:rsid w:val="0062091F"/>
    <w:rsid w:val="0062106B"/>
    <w:rsid w:val="00621127"/>
    <w:rsid w:val="0062124C"/>
    <w:rsid w:val="0062139B"/>
    <w:rsid w:val="0062140A"/>
    <w:rsid w:val="00621748"/>
    <w:rsid w:val="00621AAE"/>
    <w:rsid w:val="00621E53"/>
    <w:rsid w:val="00622037"/>
    <w:rsid w:val="006223C4"/>
    <w:rsid w:val="006224A0"/>
    <w:rsid w:val="006228E0"/>
    <w:rsid w:val="00622AF7"/>
    <w:rsid w:val="00622B36"/>
    <w:rsid w:val="00622C58"/>
    <w:rsid w:val="00622FEA"/>
    <w:rsid w:val="00623039"/>
    <w:rsid w:val="0062355A"/>
    <w:rsid w:val="00623CA8"/>
    <w:rsid w:val="00624058"/>
    <w:rsid w:val="006241EB"/>
    <w:rsid w:val="00624398"/>
    <w:rsid w:val="0062456B"/>
    <w:rsid w:val="0062487D"/>
    <w:rsid w:val="006249EA"/>
    <w:rsid w:val="00624E62"/>
    <w:rsid w:val="00624E67"/>
    <w:rsid w:val="00625364"/>
    <w:rsid w:val="006253A9"/>
    <w:rsid w:val="00625464"/>
    <w:rsid w:val="00625528"/>
    <w:rsid w:val="00625635"/>
    <w:rsid w:val="00625B7E"/>
    <w:rsid w:val="00625DB5"/>
    <w:rsid w:val="00625EEE"/>
    <w:rsid w:val="00626670"/>
    <w:rsid w:val="006266EC"/>
    <w:rsid w:val="00626774"/>
    <w:rsid w:val="006267BE"/>
    <w:rsid w:val="00626AD5"/>
    <w:rsid w:val="00626C01"/>
    <w:rsid w:val="006270D0"/>
    <w:rsid w:val="00627157"/>
    <w:rsid w:val="0062720F"/>
    <w:rsid w:val="006277B0"/>
    <w:rsid w:val="0062789F"/>
    <w:rsid w:val="00627CE2"/>
    <w:rsid w:val="00627CED"/>
    <w:rsid w:val="00627E1C"/>
    <w:rsid w:val="00630459"/>
    <w:rsid w:val="00630543"/>
    <w:rsid w:val="006307B6"/>
    <w:rsid w:val="00630962"/>
    <w:rsid w:val="00630ACE"/>
    <w:rsid w:val="00630BC4"/>
    <w:rsid w:val="00630BDA"/>
    <w:rsid w:val="00630D6E"/>
    <w:rsid w:val="00630E8C"/>
    <w:rsid w:val="00630EB4"/>
    <w:rsid w:val="0063170C"/>
    <w:rsid w:val="0063171B"/>
    <w:rsid w:val="006317A1"/>
    <w:rsid w:val="00631B49"/>
    <w:rsid w:val="00631C20"/>
    <w:rsid w:val="00631F0F"/>
    <w:rsid w:val="006322A6"/>
    <w:rsid w:val="00632444"/>
    <w:rsid w:val="00632830"/>
    <w:rsid w:val="00632AF2"/>
    <w:rsid w:val="00632D6D"/>
    <w:rsid w:val="0063300C"/>
    <w:rsid w:val="00633434"/>
    <w:rsid w:val="006339BD"/>
    <w:rsid w:val="006339C7"/>
    <w:rsid w:val="00633BC5"/>
    <w:rsid w:val="00633E2B"/>
    <w:rsid w:val="00633F91"/>
    <w:rsid w:val="006340BF"/>
    <w:rsid w:val="006343C7"/>
    <w:rsid w:val="00634D9F"/>
    <w:rsid w:val="00635626"/>
    <w:rsid w:val="00635687"/>
    <w:rsid w:val="00635737"/>
    <w:rsid w:val="00635C11"/>
    <w:rsid w:val="00635D3A"/>
    <w:rsid w:val="0063610D"/>
    <w:rsid w:val="00636221"/>
    <w:rsid w:val="006365B7"/>
    <w:rsid w:val="00636769"/>
    <w:rsid w:val="00636B79"/>
    <w:rsid w:val="00636BFE"/>
    <w:rsid w:val="00636DC6"/>
    <w:rsid w:val="00636DF1"/>
    <w:rsid w:val="00637544"/>
    <w:rsid w:val="00637599"/>
    <w:rsid w:val="0063775A"/>
    <w:rsid w:val="00637A76"/>
    <w:rsid w:val="00637A86"/>
    <w:rsid w:val="00637B73"/>
    <w:rsid w:val="00637D7D"/>
    <w:rsid w:val="00637EBC"/>
    <w:rsid w:val="00637F48"/>
    <w:rsid w:val="0064003C"/>
    <w:rsid w:val="00640316"/>
    <w:rsid w:val="00640880"/>
    <w:rsid w:val="00640CB7"/>
    <w:rsid w:val="006415DC"/>
    <w:rsid w:val="00641B1D"/>
    <w:rsid w:val="00642095"/>
    <w:rsid w:val="0064232A"/>
    <w:rsid w:val="00642591"/>
    <w:rsid w:val="006425D0"/>
    <w:rsid w:val="006425EE"/>
    <w:rsid w:val="00642DAF"/>
    <w:rsid w:val="0064311C"/>
    <w:rsid w:val="0064311E"/>
    <w:rsid w:val="00643A39"/>
    <w:rsid w:val="00643BF7"/>
    <w:rsid w:val="00643D91"/>
    <w:rsid w:val="006447C4"/>
    <w:rsid w:val="0064493F"/>
    <w:rsid w:val="00644F81"/>
    <w:rsid w:val="00645155"/>
    <w:rsid w:val="006454A2"/>
    <w:rsid w:val="0064589B"/>
    <w:rsid w:val="00645AA6"/>
    <w:rsid w:val="00645FEE"/>
    <w:rsid w:val="00646E57"/>
    <w:rsid w:val="00647023"/>
    <w:rsid w:val="006474A3"/>
    <w:rsid w:val="0064764A"/>
    <w:rsid w:val="006478B7"/>
    <w:rsid w:val="00647ADA"/>
    <w:rsid w:val="00647C2A"/>
    <w:rsid w:val="00647E9E"/>
    <w:rsid w:val="00647EE3"/>
    <w:rsid w:val="00650111"/>
    <w:rsid w:val="0065019A"/>
    <w:rsid w:val="006505B1"/>
    <w:rsid w:val="006506F4"/>
    <w:rsid w:val="00650741"/>
    <w:rsid w:val="00650859"/>
    <w:rsid w:val="00650E06"/>
    <w:rsid w:val="00650F39"/>
    <w:rsid w:val="006510EE"/>
    <w:rsid w:val="0065125E"/>
    <w:rsid w:val="006514A8"/>
    <w:rsid w:val="006514BE"/>
    <w:rsid w:val="00651773"/>
    <w:rsid w:val="00651944"/>
    <w:rsid w:val="00651AAE"/>
    <w:rsid w:val="006520F5"/>
    <w:rsid w:val="00652191"/>
    <w:rsid w:val="00652404"/>
    <w:rsid w:val="00652557"/>
    <w:rsid w:val="00652571"/>
    <w:rsid w:val="00652BDF"/>
    <w:rsid w:val="00652BE5"/>
    <w:rsid w:val="00652C21"/>
    <w:rsid w:val="00652F04"/>
    <w:rsid w:val="00652F82"/>
    <w:rsid w:val="00652FCB"/>
    <w:rsid w:val="0065308B"/>
    <w:rsid w:val="0065351F"/>
    <w:rsid w:val="006536D1"/>
    <w:rsid w:val="00653BE1"/>
    <w:rsid w:val="00653CB9"/>
    <w:rsid w:val="00653DDE"/>
    <w:rsid w:val="006545CF"/>
    <w:rsid w:val="00654BEF"/>
    <w:rsid w:val="00654D16"/>
    <w:rsid w:val="006550E9"/>
    <w:rsid w:val="0065521C"/>
    <w:rsid w:val="006554B3"/>
    <w:rsid w:val="00655534"/>
    <w:rsid w:val="006558C9"/>
    <w:rsid w:val="00655BB8"/>
    <w:rsid w:val="00655CC4"/>
    <w:rsid w:val="00655E86"/>
    <w:rsid w:val="00655FD7"/>
    <w:rsid w:val="006567DE"/>
    <w:rsid w:val="00656AD8"/>
    <w:rsid w:val="00656C35"/>
    <w:rsid w:val="00656D2A"/>
    <w:rsid w:val="00656EA7"/>
    <w:rsid w:val="0065761A"/>
    <w:rsid w:val="00657775"/>
    <w:rsid w:val="006578C0"/>
    <w:rsid w:val="00657A31"/>
    <w:rsid w:val="00657FCE"/>
    <w:rsid w:val="006605ED"/>
    <w:rsid w:val="00660B00"/>
    <w:rsid w:val="00660B06"/>
    <w:rsid w:val="00660DE7"/>
    <w:rsid w:val="0066178A"/>
    <w:rsid w:val="00661C7B"/>
    <w:rsid w:val="00661D04"/>
    <w:rsid w:val="00661D3A"/>
    <w:rsid w:val="00661FE8"/>
    <w:rsid w:val="006624B4"/>
    <w:rsid w:val="00662A87"/>
    <w:rsid w:val="00662D90"/>
    <w:rsid w:val="00662FEB"/>
    <w:rsid w:val="006634E1"/>
    <w:rsid w:val="006635F0"/>
    <w:rsid w:val="00663988"/>
    <w:rsid w:val="00663997"/>
    <w:rsid w:val="0066465D"/>
    <w:rsid w:val="00664863"/>
    <w:rsid w:val="00664951"/>
    <w:rsid w:val="00664A34"/>
    <w:rsid w:val="00664B56"/>
    <w:rsid w:val="00664CB9"/>
    <w:rsid w:val="00664D07"/>
    <w:rsid w:val="006652ED"/>
    <w:rsid w:val="006659A6"/>
    <w:rsid w:val="006659BE"/>
    <w:rsid w:val="00665E8D"/>
    <w:rsid w:val="00666481"/>
    <w:rsid w:val="006665A9"/>
    <w:rsid w:val="006665EB"/>
    <w:rsid w:val="0066666B"/>
    <w:rsid w:val="00666AD4"/>
    <w:rsid w:val="00666F06"/>
    <w:rsid w:val="006674E0"/>
    <w:rsid w:val="00667BBB"/>
    <w:rsid w:val="00670088"/>
    <w:rsid w:val="0067016A"/>
    <w:rsid w:val="006702C3"/>
    <w:rsid w:val="00670475"/>
    <w:rsid w:val="00670510"/>
    <w:rsid w:val="00670543"/>
    <w:rsid w:val="0067056F"/>
    <w:rsid w:val="006706DA"/>
    <w:rsid w:val="00670824"/>
    <w:rsid w:val="00670B16"/>
    <w:rsid w:val="00671052"/>
    <w:rsid w:val="00671153"/>
    <w:rsid w:val="00671200"/>
    <w:rsid w:val="00671276"/>
    <w:rsid w:val="0067133D"/>
    <w:rsid w:val="00671464"/>
    <w:rsid w:val="00671644"/>
    <w:rsid w:val="00671649"/>
    <w:rsid w:val="00671795"/>
    <w:rsid w:val="00671957"/>
    <w:rsid w:val="0067196C"/>
    <w:rsid w:val="00671ACC"/>
    <w:rsid w:val="00672515"/>
    <w:rsid w:val="00672589"/>
    <w:rsid w:val="006725E9"/>
    <w:rsid w:val="00672926"/>
    <w:rsid w:val="00672FB8"/>
    <w:rsid w:val="006733EB"/>
    <w:rsid w:val="00673845"/>
    <w:rsid w:val="006738D1"/>
    <w:rsid w:val="00673958"/>
    <w:rsid w:val="00673DF0"/>
    <w:rsid w:val="00673F5C"/>
    <w:rsid w:val="006742B0"/>
    <w:rsid w:val="00674562"/>
    <w:rsid w:val="00674834"/>
    <w:rsid w:val="00674D32"/>
    <w:rsid w:val="00674D38"/>
    <w:rsid w:val="006755D9"/>
    <w:rsid w:val="006757D1"/>
    <w:rsid w:val="0067583C"/>
    <w:rsid w:val="00675942"/>
    <w:rsid w:val="00675945"/>
    <w:rsid w:val="006759CF"/>
    <w:rsid w:val="00675A38"/>
    <w:rsid w:val="00675D26"/>
    <w:rsid w:val="00675EEB"/>
    <w:rsid w:val="006765F2"/>
    <w:rsid w:val="00676A7C"/>
    <w:rsid w:val="00676AFC"/>
    <w:rsid w:val="00676DEA"/>
    <w:rsid w:val="00676EC8"/>
    <w:rsid w:val="00677021"/>
    <w:rsid w:val="006770D9"/>
    <w:rsid w:val="0067745E"/>
    <w:rsid w:val="00677582"/>
    <w:rsid w:val="0067782F"/>
    <w:rsid w:val="00677F65"/>
    <w:rsid w:val="006804FB"/>
    <w:rsid w:val="00680A3C"/>
    <w:rsid w:val="00680B76"/>
    <w:rsid w:val="00680D1A"/>
    <w:rsid w:val="00680D37"/>
    <w:rsid w:val="00680FB6"/>
    <w:rsid w:val="00681AE5"/>
    <w:rsid w:val="00681AEF"/>
    <w:rsid w:val="00681F63"/>
    <w:rsid w:val="00682060"/>
    <w:rsid w:val="006822B3"/>
    <w:rsid w:val="00682620"/>
    <w:rsid w:val="006826FD"/>
    <w:rsid w:val="00682A88"/>
    <w:rsid w:val="00682CFF"/>
    <w:rsid w:val="00682F02"/>
    <w:rsid w:val="00683250"/>
    <w:rsid w:val="006834BE"/>
    <w:rsid w:val="006835D0"/>
    <w:rsid w:val="006839E4"/>
    <w:rsid w:val="00683A9F"/>
    <w:rsid w:val="00683C06"/>
    <w:rsid w:val="00683DC7"/>
    <w:rsid w:val="00683FF5"/>
    <w:rsid w:val="0068415C"/>
    <w:rsid w:val="006842A5"/>
    <w:rsid w:val="006849D3"/>
    <w:rsid w:val="00685114"/>
    <w:rsid w:val="00685152"/>
    <w:rsid w:val="0068537D"/>
    <w:rsid w:val="006856CD"/>
    <w:rsid w:val="0068579F"/>
    <w:rsid w:val="006858AA"/>
    <w:rsid w:val="00685D41"/>
    <w:rsid w:val="0068612D"/>
    <w:rsid w:val="00686329"/>
    <w:rsid w:val="00686475"/>
    <w:rsid w:val="0068656E"/>
    <w:rsid w:val="0068660C"/>
    <w:rsid w:val="00686621"/>
    <w:rsid w:val="00686834"/>
    <w:rsid w:val="00686851"/>
    <w:rsid w:val="00686893"/>
    <w:rsid w:val="00686A74"/>
    <w:rsid w:val="00686CCE"/>
    <w:rsid w:val="00686CDD"/>
    <w:rsid w:val="00686D54"/>
    <w:rsid w:val="00686E22"/>
    <w:rsid w:val="00687021"/>
    <w:rsid w:val="00687114"/>
    <w:rsid w:val="006874A2"/>
    <w:rsid w:val="00687C6D"/>
    <w:rsid w:val="00687DC0"/>
    <w:rsid w:val="00687FED"/>
    <w:rsid w:val="00690346"/>
    <w:rsid w:val="006906BE"/>
    <w:rsid w:val="006906C4"/>
    <w:rsid w:val="006907B4"/>
    <w:rsid w:val="006908FE"/>
    <w:rsid w:val="00690983"/>
    <w:rsid w:val="00690B3D"/>
    <w:rsid w:val="00690D15"/>
    <w:rsid w:val="00690FAD"/>
    <w:rsid w:val="006912F2"/>
    <w:rsid w:val="006913CE"/>
    <w:rsid w:val="006914CB"/>
    <w:rsid w:val="00691B6E"/>
    <w:rsid w:val="00691BE1"/>
    <w:rsid w:val="00692031"/>
    <w:rsid w:val="0069215B"/>
    <w:rsid w:val="00692441"/>
    <w:rsid w:val="0069294A"/>
    <w:rsid w:val="00692D7C"/>
    <w:rsid w:val="006930AB"/>
    <w:rsid w:val="006930E1"/>
    <w:rsid w:val="00693568"/>
    <w:rsid w:val="0069359C"/>
    <w:rsid w:val="00693601"/>
    <w:rsid w:val="00693641"/>
    <w:rsid w:val="0069374A"/>
    <w:rsid w:val="006938D3"/>
    <w:rsid w:val="00693A27"/>
    <w:rsid w:val="00693A92"/>
    <w:rsid w:val="00693AB5"/>
    <w:rsid w:val="00693CAE"/>
    <w:rsid w:val="00693D26"/>
    <w:rsid w:val="00693D2D"/>
    <w:rsid w:val="006940F1"/>
    <w:rsid w:val="00694390"/>
    <w:rsid w:val="0069453E"/>
    <w:rsid w:val="00694724"/>
    <w:rsid w:val="00694924"/>
    <w:rsid w:val="00694B1B"/>
    <w:rsid w:val="00695552"/>
    <w:rsid w:val="0069559B"/>
    <w:rsid w:val="00695605"/>
    <w:rsid w:val="00695617"/>
    <w:rsid w:val="00695842"/>
    <w:rsid w:val="00695E80"/>
    <w:rsid w:val="00695E9D"/>
    <w:rsid w:val="00695EB3"/>
    <w:rsid w:val="006960C2"/>
    <w:rsid w:val="00696138"/>
    <w:rsid w:val="006961F3"/>
    <w:rsid w:val="006965C3"/>
    <w:rsid w:val="00696646"/>
    <w:rsid w:val="00696835"/>
    <w:rsid w:val="00696BF6"/>
    <w:rsid w:val="00696CF7"/>
    <w:rsid w:val="00696E11"/>
    <w:rsid w:val="00696E35"/>
    <w:rsid w:val="00696E81"/>
    <w:rsid w:val="0069728A"/>
    <w:rsid w:val="00697583"/>
    <w:rsid w:val="006976A1"/>
    <w:rsid w:val="006976DE"/>
    <w:rsid w:val="0069787A"/>
    <w:rsid w:val="00697A05"/>
    <w:rsid w:val="00697BC5"/>
    <w:rsid w:val="00697F43"/>
    <w:rsid w:val="006A0085"/>
    <w:rsid w:val="006A0155"/>
    <w:rsid w:val="006A0942"/>
    <w:rsid w:val="006A0BD8"/>
    <w:rsid w:val="006A0EF0"/>
    <w:rsid w:val="006A11B2"/>
    <w:rsid w:val="006A15FC"/>
    <w:rsid w:val="006A1674"/>
    <w:rsid w:val="006A1B64"/>
    <w:rsid w:val="006A20BA"/>
    <w:rsid w:val="006A221C"/>
    <w:rsid w:val="006A27D4"/>
    <w:rsid w:val="006A29E5"/>
    <w:rsid w:val="006A2FC5"/>
    <w:rsid w:val="006A32B2"/>
    <w:rsid w:val="006A32FF"/>
    <w:rsid w:val="006A338C"/>
    <w:rsid w:val="006A3416"/>
    <w:rsid w:val="006A341E"/>
    <w:rsid w:val="006A366A"/>
    <w:rsid w:val="006A3714"/>
    <w:rsid w:val="006A3789"/>
    <w:rsid w:val="006A37A8"/>
    <w:rsid w:val="006A3897"/>
    <w:rsid w:val="006A39D5"/>
    <w:rsid w:val="006A3A09"/>
    <w:rsid w:val="006A3B83"/>
    <w:rsid w:val="006A3C04"/>
    <w:rsid w:val="006A3C2D"/>
    <w:rsid w:val="006A4707"/>
    <w:rsid w:val="006A4DDE"/>
    <w:rsid w:val="006A4FF7"/>
    <w:rsid w:val="006A5434"/>
    <w:rsid w:val="006A54D5"/>
    <w:rsid w:val="006A59AB"/>
    <w:rsid w:val="006A5AB8"/>
    <w:rsid w:val="006A5B87"/>
    <w:rsid w:val="006A5D7F"/>
    <w:rsid w:val="006A5D83"/>
    <w:rsid w:val="006A6157"/>
    <w:rsid w:val="006A6187"/>
    <w:rsid w:val="006A6418"/>
    <w:rsid w:val="006A68DB"/>
    <w:rsid w:val="006A6A35"/>
    <w:rsid w:val="006A6B92"/>
    <w:rsid w:val="006A6D68"/>
    <w:rsid w:val="006A6E1C"/>
    <w:rsid w:val="006A7001"/>
    <w:rsid w:val="006A70C1"/>
    <w:rsid w:val="006A713A"/>
    <w:rsid w:val="006A7338"/>
    <w:rsid w:val="006A73D1"/>
    <w:rsid w:val="006A74E0"/>
    <w:rsid w:val="006A7528"/>
    <w:rsid w:val="006A76A2"/>
    <w:rsid w:val="006A7B24"/>
    <w:rsid w:val="006A7E6D"/>
    <w:rsid w:val="006B0090"/>
    <w:rsid w:val="006B014F"/>
    <w:rsid w:val="006B0512"/>
    <w:rsid w:val="006B07DC"/>
    <w:rsid w:val="006B0CFB"/>
    <w:rsid w:val="006B0E09"/>
    <w:rsid w:val="006B1171"/>
    <w:rsid w:val="006B124F"/>
    <w:rsid w:val="006B1349"/>
    <w:rsid w:val="006B1DE9"/>
    <w:rsid w:val="006B235E"/>
    <w:rsid w:val="006B2435"/>
    <w:rsid w:val="006B2746"/>
    <w:rsid w:val="006B2814"/>
    <w:rsid w:val="006B2E23"/>
    <w:rsid w:val="006B2FE3"/>
    <w:rsid w:val="006B30F9"/>
    <w:rsid w:val="006B3132"/>
    <w:rsid w:val="006B33C6"/>
    <w:rsid w:val="006B37BD"/>
    <w:rsid w:val="006B3A0B"/>
    <w:rsid w:val="006B3ADE"/>
    <w:rsid w:val="006B3BB2"/>
    <w:rsid w:val="006B429B"/>
    <w:rsid w:val="006B4868"/>
    <w:rsid w:val="006B4AE3"/>
    <w:rsid w:val="006B4C4D"/>
    <w:rsid w:val="006B4D38"/>
    <w:rsid w:val="006B4DB5"/>
    <w:rsid w:val="006B4E72"/>
    <w:rsid w:val="006B4F80"/>
    <w:rsid w:val="006B516A"/>
    <w:rsid w:val="006B5477"/>
    <w:rsid w:val="006B54DD"/>
    <w:rsid w:val="006B5ADC"/>
    <w:rsid w:val="006B5F4A"/>
    <w:rsid w:val="006B5FB2"/>
    <w:rsid w:val="006B5FF8"/>
    <w:rsid w:val="006B60A7"/>
    <w:rsid w:val="006B68AA"/>
    <w:rsid w:val="006B6ACE"/>
    <w:rsid w:val="006B6B95"/>
    <w:rsid w:val="006B6F0A"/>
    <w:rsid w:val="006B7039"/>
    <w:rsid w:val="006B706C"/>
    <w:rsid w:val="006B7436"/>
    <w:rsid w:val="006B7587"/>
    <w:rsid w:val="006B76A2"/>
    <w:rsid w:val="006B7782"/>
    <w:rsid w:val="006B7894"/>
    <w:rsid w:val="006B79DD"/>
    <w:rsid w:val="006C0084"/>
    <w:rsid w:val="006C02C7"/>
    <w:rsid w:val="006C034F"/>
    <w:rsid w:val="006C0557"/>
    <w:rsid w:val="006C0BB4"/>
    <w:rsid w:val="006C0D11"/>
    <w:rsid w:val="006C0F32"/>
    <w:rsid w:val="006C132D"/>
    <w:rsid w:val="006C16CE"/>
    <w:rsid w:val="006C1AAD"/>
    <w:rsid w:val="006C1DCF"/>
    <w:rsid w:val="006C1F38"/>
    <w:rsid w:val="006C27C1"/>
    <w:rsid w:val="006C2E09"/>
    <w:rsid w:val="006C31F1"/>
    <w:rsid w:val="006C3227"/>
    <w:rsid w:val="006C3351"/>
    <w:rsid w:val="006C35EF"/>
    <w:rsid w:val="006C379A"/>
    <w:rsid w:val="006C3C01"/>
    <w:rsid w:val="006C3C1C"/>
    <w:rsid w:val="006C3D02"/>
    <w:rsid w:val="006C3E61"/>
    <w:rsid w:val="006C44B4"/>
    <w:rsid w:val="006C4B89"/>
    <w:rsid w:val="006C4C01"/>
    <w:rsid w:val="006C4CAB"/>
    <w:rsid w:val="006C536F"/>
    <w:rsid w:val="006C5B7A"/>
    <w:rsid w:val="006C5FDD"/>
    <w:rsid w:val="006C61DA"/>
    <w:rsid w:val="006C62AD"/>
    <w:rsid w:val="006C67D9"/>
    <w:rsid w:val="006C68F7"/>
    <w:rsid w:val="006C6966"/>
    <w:rsid w:val="006C6A06"/>
    <w:rsid w:val="006C6EFB"/>
    <w:rsid w:val="006C709A"/>
    <w:rsid w:val="006C72A7"/>
    <w:rsid w:val="006C7325"/>
    <w:rsid w:val="006C7912"/>
    <w:rsid w:val="006C79D4"/>
    <w:rsid w:val="006D082E"/>
    <w:rsid w:val="006D0AB8"/>
    <w:rsid w:val="006D0B47"/>
    <w:rsid w:val="006D0BA7"/>
    <w:rsid w:val="006D0C3D"/>
    <w:rsid w:val="006D0D3C"/>
    <w:rsid w:val="006D0EA3"/>
    <w:rsid w:val="006D0F6F"/>
    <w:rsid w:val="006D10F8"/>
    <w:rsid w:val="006D1159"/>
    <w:rsid w:val="006D17ED"/>
    <w:rsid w:val="006D18E1"/>
    <w:rsid w:val="006D1BA0"/>
    <w:rsid w:val="006D1EFE"/>
    <w:rsid w:val="006D23EE"/>
    <w:rsid w:val="006D261F"/>
    <w:rsid w:val="006D2A32"/>
    <w:rsid w:val="006D2AA9"/>
    <w:rsid w:val="006D2E5C"/>
    <w:rsid w:val="006D3364"/>
    <w:rsid w:val="006D34D6"/>
    <w:rsid w:val="006D3C52"/>
    <w:rsid w:val="006D444A"/>
    <w:rsid w:val="006D46C0"/>
    <w:rsid w:val="006D487E"/>
    <w:rsid w:val="006D4DA2"/>
    <w:rsid w:val="006D5031"/>
    <w:rsid w:val="006D50A5"/>
    <w:rsid w:val="006D5704"/>
    <w:rsid w:val="006D5803"/>
    <w:rsid w:val="006D5830"/>
    <w:rsid w:val="006D5845"/>
    <w:rsid w:val="006D60D0"/>
    <w:rsid w:val="006D6274"/>
    <w:rsid w:val="006D634C"/>
    <w:rsid w:val="006D6667"/>
    <w:rsid w:val="006D66D0"/>
    <w:rsid w:val="006D67C6"/>
    <w:rsid w:val="006D690C"/>
    <w:rsid w:val="006D6AC8"/>
    <w:rsid w:val="006D6D25"/>
    <w:rsid w:val="006D7367"/>
    <w:rsid w:val="006D74E3"/>
    <w:rsid w:val="006D7506"/>
    <w:rsid w:val="006D756A"/>
    <w:rsid w:val="006D76E8"/>
    <w:rsid w:val="006D7993"/>
    <w:rsid w:val="006E045A"/>
    <w:rsid w:val="006E0BD5"/>
    <w:rsid w:val="006E0C40"/>
    <w:rsid w:val="006E0E61"/>
    <w:rsid w:val="006E0F34"/>
    <w:rsid w:val="006E0F7E"/>
    <w:rsid w:val="006E152D"/>
    <w:rsid w:val="006E1E29"/>
    <w:rsid w:val="006E205A"/>
    <w:rsid w:val="006E20EB"/>
    <w:rsid w:val="006E2233"/>
    <w:rsid w:val="006E22B9"/>
    <w:rsid w:val="006E2429"/>
    <w:rsid w:val="006E26D8"/>
    <w:rsid w:val="006E27E5"/>
    <w:rsid w:val="006E290E"/>
    <w:rsid w:val="006E2AA9"/>
    <w:rsid w:val="006E2D8B"/>
    <w:rsid w:val="006E31C0"/>
    <w:rsid w:val="006E3AAB"/>
    <w:rsid w:val="006E3D9C"/>
    <w:rsid w:val="006E4451"/>
    <w:rsid w:val="006E4984"/>
    <w:rsid w:val="006E4B4C"/>
    <w:rsid w:val="006E4BBB"/>
    <w:rsid w:val="006E4EE2"/>
    <w:rsid w:val="006E51BD"/>
    <w:rsid w:val="006E527A"/>
    <w:rsid w:val="006E5290"/>
    <w:rsid w:val="006E5493"/>
    <w:rsid w:val="006E5622"/>
    <w:rsid w:val="006E5F87"/>
    <w:rsid w:val="006E6219"/>
    <w:rsid w:val="006E62BF"/>
    <w:rsid w:val="006E6467"/>
    <w:rsid w:val="006E6486"/>
    <w:rsid w:val="006E6669"/>
    <w:rsid w:val="006E6690"/>
    <w:rsid w:val="006E6796"/>
    <w:rsid w:val="006E68CE"/>
    <w:rsid w:val="006E6B04"/>
    <w:rsid w:val="006E7534"/>
    <w:rsid w:val="006E75EE"/>
    <w:rsid w:val="006E7623"/>
    <w:rsid w:val="006E7675"/>
    <w:rsid w:val="006E7710"/>
    <w:rsid w:val="006E7BDC"/>
    <w:rsid w:val="006E7C99"/>
    <w:rsid w:val="006F0116"/>
    <w:rsid w:val="006F031E"/>
    <w:rsid w:val="006F035D"/>
    <w:rsid w:val="006F0456"/>
    <w:rsid w:val="006F0514"/>
    <w:rsid w:val="006F0660"/>
    <w:rsid w:val="006F07F7"/>
    <w:rsid w:val="006F088F"/>
    <w:rsid w:val="006F0990"/>
    <w:rsid w:val="006F0A0D"/>
    <w:rsid w:val="006F0ADC"/>
    <w:rsid w:val="006F0DB8"/>
    <w:rsid w:val="006F10A7"/>
    <w:rsid w:val="006F133F"/>
    <w:rsid w:val="006F1588"/>
    <w:rsid w:val="006F1761"/>
    <w:rsid w:val="006F19EF"/>
    <w:rsid w:val="006F1A3C"/>
    <w:rsid w:val="006F1C58"/>
    <w:rsid w:val="006F1D24"/>
    <w:rsid w:val="006F2310"/>
    <w:rsid w:val="006F23B0"/>
    <w:rsid w:val="006F274C"/>
    <w:rsid w:val="006F2811"/>
    <w:rsid w:val="006F30BB"/>
    <w:rsid w:val="006F33B0"/>
    <w:rsid w:val="006F341D"/>
    <w:rsid w:val="006F3462"/>
    <w:rsid w:val="006F34C5"/>
    <w:rsid w:val="006F3871"/>
    <w:rsid w:val="006F3AE9"/>
    <w:rsid w:val="006F3B81"/>
    <w:rsid w:val="006F3D94"/>
    <w:rsid w:val="006F3E6B"/>
    <w:rsid w:val="006F3EE5"/>
    <w:rsid w:val="006F4269"/>
    <w:rsid w:val="006F4759"/>
    <w:rsid w:val="006F4D62"/>
    <w:rsid w:val="006F5061"/>
    <w:rsid w:val="006F5326"/>
    <w:rsid w:val="006F57E6"/>
    <w:rsid w:val="006F59A3"/>
    <w:rsid w:val="006F5A5A"/>
    <w:rsid w:val="006F5CC5"/>
    <w:rsid w:val="006F5D8C"/>
    <w:rsid w:val="006F64E2"/>
    <w:rsid w:val="006F6674"/>
    <w:rsid w:val="006F669D"/>
    <w:rsid w:val="006F68D9"/>
    <w:rsid w:val="006F6CA3"/>
    <w:rsid w:val="006F6D30"/>
    <w:rsid w:val="006F6FE0"/>
    <w:rsid w:val="006F74DA"/>
    <w:rsid w:val="006F760D"/>
    <w:rsid w:val="006F77FD"/>
    <w:rsid w:val="006F7818"/>
    <w:rsid w:val="006F79C9"/>
    <w:rsid w:val="006F79FA"/>
    <w:rsid w:val="006F7AC2"/>
    <w:rsid w:val="006F7C74"/>
    <w:rsid w:val="006F7F71"/>
    <w:rsid w:val="007002C6"/>
    <w:rsid w:val="00700AC9"/>
    <w:rsid w:val="00700D79"/>
    <w:rsid w:val="007014CE"/>
    <w:rsid w:val="007016C5"/>
    <w:rsid w:val="00701803"/>
    <w:rsid w:val="00701CAA"/>
    <w:rsid w:val="0070222F"/>
    <w:rsid w:val="00702652"/>
    <w:rsid w:val="007028D7"/>
    <w:rsid w:val="00702DDE"/>
    <w:rsid w:val="00702EC1"/>
    <w:rsid w:val="00703072"/>
    <w:rsid w:val="00703D17"/>
    <w:rsid w:val="00703FAC"/>
    <w:rsid w:val="0070450C"/>
    <w:rsid w:val="007048D5"/>
    <w:rsid w:val="00704924"/>
    <w:rsid w:val="00704D2C"/>
    <w:rsid w:val="00705061"/>
    <w:rsid w:val="007054F5"/>
    <w:rsid w:val="00705DF7"/>
    <w:rsid w:val="00705FCA"/>
    <w:rsid w:val="00706095"/>
    <w:rsid w:val="0070612E"/>
    <w:rsid w:val="007061D5"/>
    <w:rsid w:val="00706645"/>
    <w:rsid w:val="00706AD2"/>
    <w:rsid w:val="00706D1D"/>
    <w:rsid w:val="00706DC8"/>
    <w:rsid w:val="00706F12"/>
    <w:rsid w:val="00706FAF"/>
    <w:rsid w:val="0070707F"/>
    <w:rsid w:val="007071EC"/>
    <w:rsid w:val="007079D8"/>
    <w:rsid w:val="00707A40"/>
    <w:rsid w:val="0071029F"/>
    <w:rsid w:val="007103EB"/>
    <w:rsid w:val="0071050E"/>
    <w:rsid w:val="00710547"/>
    <w:rsid w:val="007105B1"/>
    <w:rsid w:val="00710A16"/>
    <w:rsid w:val="00710DAD"/>
    <w:rsid w:val="00710DCC"/>
    <w:rsid w:val="00710E02"/>
    <w:rsid w:val="00711171"/>
    <w:rsid w:val="0071126A"/>
    <w:rsid w:val="007114A8"/>
    <w:rsid w:val="00711BFC"/>
    <w:rsid w:val="00711C6A"/>
    <w:rsid w:val="00711C97"/>
    <w:rsid w:val="00711D09"/>
    <w:rsid w:val="00711E73"/>
    <w:rsid w:val="00711FF5"/>
    <w:rsid w:val="00712150"/>
    <w:rsid w:val="0071219D"/>
    <w:rsid w:val="007121D7"/>
    <w:rsid w:val="00712987"/>
    <w:rsid w:val="00712C20"/>
    <w:rsid w:val="00712D8A"/>
    <w:rsid w:val="007131C8"/>
    <w:rsid w:val="007135CE"/>
    <w:rsid w:val="007136E8"/>
    <w:rsid w:val="00713ADC"/>
    <w:rsid w:val="0071412C"/>
    <w:rsid w:val="00714194"/>
    <w:rsid w:val="00714374"/>
    <w:rsid w:val="007149FC"/>
    <w:rsid w:val="00714E99"/>
    <w:rsid w:val="00714EDB"/>
    <w:rsid w:val="00714F52"/>
    <w:rsid w:val="00715128"/>
    <w:rsid w:val="007151A2"/>
    <w:rsid w:val="007153C5"/>
    <w:rsid w:val="00715944"/>
    <w:rsid w:val="00716076"/>
    <w:rsid w:val="007160D2"/>
    <w:rsid w:val="00716271"/>
    <w:rsid w:val="00716534"/>
    <w:rsid w:val="00716818"/>
    <w:rsid w:val="00716960"/>
    <w:rsid w:val="00716A46"/>
    <w:rsid w:val="00716DC7"/>
    <w:rsid w:val="00716EE8"/>
    <w:rsid w:val="00717575"/>
    <w:rsid w:val="0071767A"/>
    <w:rsid w:val="00717A00"/>
    <w:rsid w:val="00717C20"/>
    <w:rsid w:val="00717C27"/>
    <w:rsid w:val="0072027C"/>
    <w:rsid w:val="007204E5"/>
    <w:rsid w:val="007205D2"/>
    <w:rsid w:val="00720659"/>
    <w:rsid w:val="00720B25"/>
    <w:rsid w:val="00720CA5"/>
    <w:rsid w:val="00720F20"/>
    <w:rsid w:val="007214BE"/>
    <w:rsid w:val="007216D3"/>
    <w:rsid w:val="0072178F"/>
    <w:rsid w:val="0072186C"/>
    <w:rsid w:val="007219DA"/>
    <w:rsid w:val="00721A1D"/>
    <w:rsid w:val="00722357"/>
    <w:rsid w:val="007223A1"/>
    <w:rsid w:val="0072289E"/>
    <w:rsid w:val="007228F3"/>
    <w:rsid w:val="00722AB6"/>
    <w:rsid w:val="00722BA6"/>
    <w:rsid w:val="00722BE7"/>
    <w:rsid w:val="00722F04"/>
    <w:rsid w:val="007230C6"/>
    <w:rsid w:val="00723131"/>
    <w:rsid w:val="007238DD"/>
    <w:rsid w:val="00723957"/>
    <w:rsid w:val="00723DE9"/>
    <w:rsid w:val="00723EAD"/>
    <w:rsid w:val="0072443D"/>
    <w:rsid w:val="0072451E"/>
    <w:rsid w:val="007245BF"/>
    <w:rsid w:val="00724642"/>
    <w:rsid w:val="00724695"/>
    <w:rsid w:val="00724FFF"/>
    <w:rsid w:val="007251B6"/>
    <w:rsid w:val="007253DE"/>
    <w:rsid w:val="00725AA7"/>
    <w:rsid w:val="00725C0A"/>
    <w:rsid w:val="00725DEB"/>
    <w:rsid w:val="0072617A"/>
    <w:rsid w:val="00726425"/>
    <w:rsid w:val="0072676F"/>
    <w:rsid w:val="0072683B"/>
    <w:rsid w:val="00726884"/>
    <w:rsid w:val="00726A4E"/>
    <w:rsid w:val="00726AEC"/>
    <w:rsid w:val="00726BC5"/>
    <w:rsid w:val="00726D1E"/>
    <w:rsid w:val="00727523"/>
    <w:rsid w:val="007277CC"/>
    <w:rsid w:val="00727988"/>
    <w:rsid w:val="00727C03"/>
    <w:rsid w:val="00727DE0"/>
    <w:rsid w:val="00727F9E"/>
    <w:rsid w:val="007300A3"/>
    <w:rsid w:val="00730538"/>
    <w:rsid w:val="0073063B"/>
    <w:rsid w:val="00730660"/>
    <w:rsid w:val="007307F4"/>
    <w:rsid w:val="00730891"/>
    <w:rsid w:val="00730965"/>
    <w:rsid w:val="00730CB3"/>
    <w:rsid w:val="00730EAB"/>
    <w:rsid w:val="007312DE"/>
    <w:rsid w:val="007316AE"/>
    <w:rsid w:val="00731B3F"/>
    <w:rsid w:val="00731D69"/>
    <w:rsid w:val="00731E1C"/>
    <w:rsid w:val="00732214"/>
    <w:rsid w:val="007323BA"/>
    <w:rsid w:val="007324B8"/>
    <w:rsid w:val="007328B1"/>
    <w:rsid w:val="00732A73"/>
    <w:rsid w:val="00732B25"/>
    <w:rsid w:val="00732B92"/>
    <w:rsid w:val="00732DE2"/>
    <w:rsid w:val="00732EBD"/>
    <w:rsid w:val="00733006"/>
    <w:rsid w:val="007331B0"/>
    <w:rsid w:val="0073357F"/>
    <w:rsid w:val="007335B7"/>
    <w:rsid w:val="00733AC8"/>
    <w:rsid w:val="00733C51"/>
    <w:rsid w:val="00733C74"/>
    <w:rsid w:val="00733FFE"/>
    <w:rsid w:val="007341AD"/>
    <w:rsid w:val="007341D2"/>
    <w:rsid w:val="007342D6"/>
    <w:rsid w:val="007342EE"/>
    <w:rsid w:val="00734D1A"/>
    <w:rsid w:val="00734DE2"/>
    <w:rsid w:val="00734F7B"/>
    <w:rsid w:val="00734FD9"/>
    <w:rsid w:val="00735044"/>
    <w:rsid w:val="0073545F"/>
    <w:rsid w:val="00735683"/>
    <w:rsid w:val="0073621E"/>
    <w:rsid w:val="0073655D"/>
    <w:rsid w:val="00736A2B"/>
    <w:rsid w:val="00736BC8"/>
    <w:rsid w:val="00736CE2"/>
    <w:rsid w:val="00736D5A"/>
    <w:rsid w:val="00737691"/>
    <w:rsid w:val="00737834"/>
    <w:rsid w:val="00737BFF"/>
    <w:rsid w:val="00737CE3"/>
    <w:rsid w:val="00737ED0"/>
    <w:rsid w:val="00737F35"/>
    <w:rsid w:val="007404A6"/>
    <w:rsid w:val="007408AC"/>
    <w:rsid w:val="00740AD1"/>
    <w:rsid w:val="00740C27"/>
    <w:rsid w:val="00740C30"/>
    <w:rsid w:val="00740C3A"/>
    <w:rsid w:val="00740DD8"/>
    <w:rsid w:val="0074102E"/>
    <w:rsid w:val="0074112E"/>
    <w:rsid w:val="007415F7"/>
    <w:rsid w:val="007416AC"/>
    <w:rsid w:val="00741A35"/>
    <w:rsid w:val="0074220A"/>
    <w:rsid w:val="0074277C"/>
    <w:rsid w:val="007427ED"/>
    <w:rsid w:val="007428F1"/>
    <w:rsid w:val="00742C74"/>
    <w:rsid w:val="00742D16"/>
    <w:rsid w:val="00742D20"/>
    <w:rsid w:val="00742F63"/>
    <w:rsid w:val="007430B1"/>
    <w:rsid w:val="00743677"/>
    <w:rsid w:val="007437C7"/>
    <w:rsid w:val="00743984"/>
    <w:rsid w:val="007439F6"/>
    <w:rsid w:val="00743DE1"/>
    <w:rsid w:val="00743FD7"/>
    <w:rsid w:val="0074420E"/>
    <w:rsid w:val="00744381"/>
    <w:rsid w:val="00744826"/>
    <w:rsid w:val="00744865"/>
    <w:rsid w:val="00744E51"/>
    <w:rsid w:val="007454EB"/>
    <w:rsid w:val="00745768"/>
    <w:rsid w:val="007458C9"/>
    <w:rsid w:val="00745D97"/>
    <w:rsid w:val="00745E09"/>
    <w:rsid w:val="007460CD"/>
    <w:rsid w:val="007464CF"/>
    <w:rsid w:val="007468D5"/>
    <w:rsid w:val="00746D03"/>
    <w:rsid w:val="00746EC4"/>
    <w:rsid w:val="007470D7"/>
    <w:rsid w:val="007474E7"/>
    <w:rsid w:val="00747510"/>
    <w:rsid w:val="00747926"/>
    <w:rsid w:val="00747E2C"/>
    <w:rsid w:val="00747F9E"/>
    <w:rsid w:val="007500E2"/>
    <w:rsid w:val="0075014E"/>
    <w:rsid w:val="007502FD"/>
    <w:rsid w:val="0075071B"/>
    <w:rsid w:val="00750A25"/>
    <w:rsid w:val="0075131F"/>
    <w:rsid w:val="00751788"/>
    <w:rsid w:val="00751A3C"/>
    <w:rsid w:val="00751C5F"/>
    <w:rsid w:val="00751FCC"/>
    <w:rsid w:val="0075206E"/>
    <w:rsid w:val="007520E4"/>
    <w:rsid w:val="0075270E"/>
    <w:rsid w:val="007528D9"/>
    <w:rsid w:val="00752958"/>
    <w:rsid w:val="00752BAD"/>
    <w:rsid w:val="00752C4E"/>
    <w:rsid w:val="00752CE9"/>
    <w:rsid w:val="00752D2A"/>
    <w:rsid w:val="00752EE7"/>
    <w:rsid w:val="00752F84"/>
    <w:rsid w:val="00753000"/>
    <w:rsid w:val="007530A2"/>
    <w:rsid w:val="007531E5"/>
    <w:rsid w:val="0075331C"/>
    <w:rsid w:val="007533CC"/>
    <w:rsid w:val="007535A1"/>
    <w:rsid w:val="007538AD"/>
    <w:rsid w:val="00753CAF"/>
    <w:rsid w:val="00753E42"/>
    <w:rsid w:val="00753E4B"/>
    <w:rsid w:val="007540B6"/>
    <w:rsid w:val="007540C1"/>
    <w:rsid w:val="007542AA"/>
    <w:rsid w:val="00754311"/>
    <w:rsid w:val="00754456"/>
    <w:rsid w:val="00754BD8"/>
    <w:rsid w:val="00754C29"/>
    <w:rsid w:val="00755170"/>
    <w:rsid w:val="00755275"/>
    <w:rsid w:val="00755557"/>
    <w:rsid w:val="0075577F"/>
    <w:rsid w:val="007558B9"/>
    <w:rsid w:val="00755B76"/>
    <w:rsid w:val="007562A6"/>
    <w:rsid w:val="00756D97"/>
    <w:rsid w:val="00756E1F"/>
    <w:rsid w:val="00757059"/>
    <w:rsid w:val="007571D8"/>
    <w:rsid w:val="007576D9"/>
    <w:rsid w:val="007576F8"/>
    <w:rsid w:val="007577FA"/>
    <w:rsid w:val="00757963"/>
    <w:rsid w:val="00757BBB"/>
    <w:rsid w:val="007600D1"/>
    <w:rsid w:val="0076014D"/>
    <w:rsid w:val="00760183"/>
    <w:rsid w:val="007601E2"/>
    <w:rsid w:val="00760449"/>
    <w:rsid w:val="00760A07"/>
    <w:rsid w:val="00760C6A"/>
    <w:rsid w:val="00760D12"/>
    <w:rsid w:val="00760F82"/>
    <w:rsid w:val="007610AD"/>
    <w:rsid w:val="00761147"/>
    <w:rsid w:val="00761627"/>
    <w:rsid w:val="007617D8"/>
    <w:rsid w:val="00761809"/>
    <w:rsid w:val="00761915"/>
    <w:rsid w:val="00761A18"/>
    <w:rsid w:val="00761BE0"/>
    <w:rsid w:val="007625BC"/>
    <w:rsid w:val="007627C9"/>
    <w:rsid w:val="0076283F"/>
    <w:rsid w:val="007629FE"/>
    <w:rsid w:val="00762BB0"/>
    <w:rsid w:val="00762DA2"/>
    <w:rsid w:val="00762EA8"/>
    <w:rsid w:val="0076319A"/>
    <w:rsid w:val="007633F3"/>
    <w:rsid w:val="0076343C"/>
    <w:rsid w:val="007636F8"/>
    <w:rsid w:val="00763942"/>
    <w:rsid w:val="00763A60"/>
    <w:rsid w:val="00763CBA"/>
    <w:rsid w:val="00764486"/>
    <w:rsid w:val="00764CCA"/>
    <w:rsid w:val="00764EC6"/>
    <w:rsid w:val="007651E1"/>
    <w:rsid w:val="00765452"/>
    <w:rsid w:val="00765580"/>
    <w:rsid w:val="007656C6"/>
    <w:rsid w:val="007657B8"/>
    <w:rsid w:val="00765ECD"/>
    <w:rsid w:val="00766027"/>
    <w:rsid w:val="00766069"/>
    <w:rsid w:val="00766884"/>
    <w:rsid w:val="00766BD8"/>
    <w:rsid w:val="00767280"/>
    <w:rsid w:val="0076762A"/>
    <w:rsid w:val="007677B7"/>
    <w:rsid w:val="00767A3A"/>
    <w:rsid w:val="00767C47"/>
    <w:rsid w:val="0077014F"/>
    <w:rsid w:val="007701F8"/>
    <w:rsid w:val="0077020A"/>
    <w:rsid w:val="00770DE4"/>
    <w:rsid w:val="00770F73"/>
    <w:rsid w:val="00771065"/>
    <w:rsid w:val="00771426"/>
    <w:rsid w:val="007714A6"/>
    <w:rsid w:val="00771510"/>
    <w:rsid w:val="007716B8"/>
    <w:rsid w:val="00771915"/>
    <w:rsid w:val="00771DDA"/>
    <w:rsid w:val="0077289F"/>
    <w:rsid w:val="00772AC8"/>
    <w:rsid w:val="0077311B"/>
    <w:rsid w:val="007737BD"/>
    <w:rsid w:val="007738B9"/>
    <w:rsid w:val="00773E76"/>
    <w:rsid w:val="00773EFB"/>
    <w:rsid w:val="00773F6D"/>
    <w:rsid w:val="00773F77"/>
    <w:rsid w:val="007740ED"/>
    <w:rsid w:val="0077421C"/>
    <w:rsid w:val="0077429A"/>
    <w:rsid w:val="0077432E"/>
    <w:rsid w:val="007744C0"/>
    <w:rsid w:val="00774521"/>
    <w:rsid w:val="007746A9"/>
    <w:rsid w:val="007746BC"/>
    <w:rsid w:val="007749F8"/>
    <w:rsid w:val="00774B11"/>
    <w:rsid w:val="00774D3D"/>
    <w:rsid w:val="0077518D"/>
    <w:rsid w:val="007751AF"/>
    <w:rsid w:val="00775713"/>
    <w:rsid w:val="0077580A"/>
    <w:rsid w:val="00775975"/>
    <w:rsid w:val="00775E41"/>
    <w:rsid w:val="007764E4"/>
    <w:rsid w:val="00776DCA"/>
    <w:rsid w:val="007770B8"/>
    <w:rsid w:val="007776B7"/>
    <w:rsid w:val="0077789C"/>
    <w:rsid w:val="0077797E"/>
    <w:rsid w:val="00777B15"/>
    <w:rsid w:val="00777BEB"/>
    <w:rsid w:val="00777CF4"/>
    <w:rsid w:val="00777D50"/>
    <w:rsid w:val="00777E2D"/>
    <w:rsid w:val="00777F48"/>
    <w:rsid w:val="00780ADD"/>
    <w:rsid w:val="00780B1B"/>
    <w:rsid w:val="00780DF4"/>
    <w:rsid w:val="00780FAF"/>
    <w:rsid w:val="007810CD"/>
    <w:rsid w:val="007817F3"/>
    <w:rsid w:val="00781BFC"/>
    <w:rsid w:val="00781CA9"/>
    <w:rsid w:val="00781CDB"/>
    <w:rsid w:val="00781E0F"/>
    <w:rsid w:val="0078203C"/>
    <w:rsid w:val="00782216"/>
    <w:rsid w:val="007822C9"/>
    <w:rsid w:val="0078290E"/>
    <w:rsid w:val="00782E52"/>
    <w:rsid w:val="007832BA"/>
    <w:rsid w:val="007833A5"/>
    <w:rsid w:val="007834CA"/>
    <w:rsid w:val="007835A6"/>
    <w:rsid w:val="007835AD"/>
    <w:rsid w:val="007835F2"/>
    <w:rsid w:val="00783678"/>
    <w:rsid w:val="00783775"/>
    <w:rsid w:val="007838BB"/>
    <w:rsid w:val="00783F39"/>
    <w:rsid w:val="00784042"/>
    <w:rsid w:val="007842A1"/>
    <w:rsid w:val="007844C1"/>
    <w:rsid w:val="00784903"/>
    <w:rsid w:val="007849A4"/>
    <w:rsid w:val="00784B69"/>
    <w:rsid w:val="00784EA8"/>
    <w:rsid w:val="00784F53"/>
    <w:rsid w:val="00785A63"/>
    <w:rsid w:val="0078622E"/>
    <w:rsid w:val="00786292"/>
    <w:rsid w:val="0078670D"/>
    <w:rsid w:val="007867DB"/>
    <w:rsid w:val="00786D5F"/>
    <w:rsid w:val="00786E33"/>
    <w:rsid w:val="00786EE0"/>
    <w:rsid w:val="00787077"/>
    <w:rsid w:val="007878E0"/>
    <w:rsid w:val="00787934"/>
    <w:rsid w:val="00787E89"/>
    <w:rsid w:val="007900BD"/>
    <w:rsid w:val="00790179"/>
    <w:rsid w:val="0079027F"/>
    <w:rsid w:val="0079045A"/>
    <w:rsid w:val="007907D9"/>
    <w:rsid w:val="00790B9C"/>
    <w:rsid w:val="00790FA2"/>
    <w:rsid w:val="00791817"/>
    <w:rsid w:val="00791845"/>
    <w:rsid w:val="00791942"/>
    <w:rsid w:val="00791CC1"/>
    <w:rsid w:val="00791E64"/>
    <w:rsid w:val="00791E9E"/>
    <w:rsid w:val="00792033"/>
    <w:rsid w:val="00792229"/>
    <w:rsid w:val="00792360"/>
    <w:rsid w:val="00792502"/>
    <w:rsid w:val="00792626"/>
    <w:rsid w:val="007926E9"/>
    <w:rsid w:val="007928FB"/>
    <w:rsid w:val="00792A64"/>
    <w:rsid w:val="00792AB3"/>
    <w:rsid w:val="00792E90"/>
    <w:rsid w:val="007930BD"/>
    <w:rsid w:val="007930FA"/>
    <w:rsid w:val="0079311F"/>
    <w:rsid w:val="00793B7E"/>
    <w:rsid w:val="007942B7"/>
    <w:rsid w:val="00794300"/>
    <w:rsid w:val="007944B8"/>
    <w:rsid w:val="00794648"/>
    <w:rsid w:val="00794AFE"/>
    <w:rsid w:val="00794DD0"/>
    <w:rsid w:val="007950EC"/>
    <w:rsid w:val="0079537A"/>
    <w:rsid w:val="00795460"/>
    <w:rsid w:val="0079549E"/>
    <w:rsid w:val="007954D6"/>
    <w:rsid w:val="0079574D"/>
    <w:rsid w:val="00795837"/>
    <w:rsid w:val="007959A9"/>
    <w:rsid w:val="00795A33"/>
    <w:rsid w:val="00795A64"/>
    <w:rsid w:val="00795CA8"/>
    <w:rsid w:val="00795E89"/>
    <w:rsid w:val="00795EDD"/>
    <w:rsid w:val="00795F7D"/>
    <w:rsid w:val="00795FB3"/>
    <w:rsid w:val="00796118"/>
    <w:rsid w:val="007961B9"/>
    <w:rsid w:val="007964D4"/>
    <w:rsid w:val="007969AE"/>
    <w:rsid w:val="00796A8D"/>
    <w:rsid w:val="00796E24"/>
    <w:rsid w:val="00796E4F"/>
    <w:rsid w:val="00796EAF"/>
    <w:rsid w:val="007974F7"/>
    <w:rsid w:val="0079781B"/>
    <w:rsid w:val="0079795D"/>
    <w:rsid w:val="00797989"/>
    <w:rsid w:val="00797ABB"/>
    <w:rsid w:val="00797F15"/>
    <w:rsid w:val="007A0081"/>
    <w:rsid w:val="007A0287"/>
    <w:rsid w:val="007A0375"/>
    <w:rsid w:val="007A03B4"/>
    <w:rsid w:val="007A091E"/>
    <w:rsid w:val="007A0C6E"/>
    <w:rsid w:val="007A0CDD"/>
    <w:rsid w:val="007A1572"/>
    <w:rsid w:val="007A159F"/>
    <w:rsid w:val="007A1E72"/>
    <w:rsid w:val="007A20E7"/>
    <w:rsid w:val="007A2151"/>
    <w:rsid w:val="007A21A8"/>
    <w:rsid w:val="007A2235"/>
    <w:rsid w:val="007A234A"/>
    <w:rsid w:val="007A23F2"/>
    <w:rsid w:val="007A2516"/>
    <w:rsid w:val="007A2924"/>
    <w:rsid w:val="007A29C0"/>
    <w:rsid w:val="007A29C3"/>
    <w:rsid w:val="007A2AD4"/>
    <w:rsid w:val="007A2AF4"/>
    <w:rsid w:val="007A2B36"/>
    <w:rsid w:val="007A2FCE"/>
    <w:rsid w:val="007A30FC"/>
    <w:rsid w:val="007A3430"/>
    <w:rsid w:val="007A3484"/>
    <w:rsid w:val="007A3660"/>
    <w:rsid w:val="007A3729"/>
    <w:rsid w:val="007A3AE6"/>
    <w:rsid w:val="007A3BA9"/>
    <w:rsid w:val="007A4251"/>
    <w:rsid w:val="007A4357"/>
    <w:rsid w:val="007A4373"/>
    <w:rsid w:val="007A4962"/>
    <w:rsid w:val="007A59B7"/>
    <w:rsid w:val="007A5A78"/>
    <w:rsid w:val="007A5E26"/>
    <w:rsid w:val="007A606D"/>
    <w:rsid w:val="007A64ED"/>
    <w:rsid w:val="007A653F"/>
    <w:rsid w:val="007A659E"/>
    <w:rsid w:val="007A65DD"/>
    <w:rsid w:val="007A697A"/>
    <w:rsid w:val="007A6BE2"/>
    <w:rsid w:val="007A7921"/>
    <w:rsid w:val="007A7C26"/>
    <w:rsid w:val="007A7CC6"/>
    <w:rsid w:val="007A7E7D"/>
    <w:rsid w:val="007A7F30"/>
    <w:rsid w:val="007B01F3"/>
    <w:rsid w:val="007B04BB"/>
    <w:rsid w:val="007B0673"/>
    <w:rsid w:val="007B0776"/>
    <w:rsid w:val="007B08AD"/>
    <w:rsid w:val="007B0A59"/>
    <w:rsid w:val="007B0E2E"/>
    <w:rsid w:val="007B1245"/>
    <w:rsid w:val="007B13E3"/>
    <w:rsid w:val="007B1422"/>
    <w:rsid w:val="007B1485"/>
    <w:rsid w:val="007B1596"/>
    <w:rsid w:val="007B159D"/>
    <w:rsid w:val="007B1CD7"/>
    <w:rsid w:val="007B1D74"/>
    <w:rsid w:val="007B1E85"/>
    <w:rsid w:val="007B2035"/>
    <w:rsid w:val="007B2255"/>
    <w:rsid w:val="007B22F5"/>
    <w:rsid w:val="007B2454"/>
    <w:rsid w:val="007B24CF"/>
    <w:rsid w:val="007B2805"/>
    <w:rsid w:val="007B28AE"/>
    <w:rsid w:val="007B2C98"/>
    <w:rsid w:val="007B2D8E"/>
    <w:rsid w:val="007B3098"/>
    <w:rsid w:val="007B331E"/>
    <w:rsid w:val="007B3598"/>
    <w:rsid w:val="007B3606"/>
    <w:rsid w:val="007B3BFF"/>
    <w:rsid w:val="007B3CC0"/>
    <w:rsid w:val="007B3EA5"/>
    <w:rsid w:val="007B3F8D"/>
    <w:rsid w:val="007B4269"/>
    <w:rsid w:val="007B44B3"/>
    <w:rsid w:val="007B459B"/>
    <w:rsid w:val="007B45A2"/>
    <w:rsid w:val="007B4A51"/>
    <w:rsid w:val="007B4BDD"/>
    <w:rsid w:val="007B50C3"/>
    <w:rsid w:val="007B52FE"/>
    <w:rsid w:val="007B5497"/>
    <w:rsid w:val="007B58F8"/>
    <w:rsid w:val="007B5DE1"/>
    <w:rsid w:val="007B5E56"/>
    <w:rsid w:val="007B606D"/>
    <w:rsid w:val="007B6293"/>
    <w:rsid w:val="007B6308"/>
    <w:rsid w:val="007B6517"/>
    <w:rsid w:val="007B6547"/>
    <w:rsid w:val="007B656B"/>
    <w:rsid w:val="007B6923"/>
    <w:rsid w:val="007B6B19"/>
    <w:rsid w:val="007B6D03"/>
    <w:rsid w:val="007B6D08"/>
    <w:rsid w:val="007B6E6A"/>
    <w:rsid w:val="007B760A"/>
    <w:rsid w:val="007B79A7"/>
    <w:rsid w:val="007C0362"/>
    <w:rsid w:val="007C052D"/>
    <w:rsid w:val="007C0C80"/>
    <w:rsid w:val="007C0E8F"/>
    <w:rsid w:val="007C0F1B"/>
    <w:rsid w:val="007C105E"/>
    <w:rsid w:val="007C11DE"/>
    <w:rsid w:val="007C12AF"/>
    <w:rsid w:val="007C132D"/>
    <w:rsid w:val="007C1B42"/>
    <w:rsid w:val="007C1E27"/>
    <w:rsid w:val="007C1E82"/>
    <w:rsid w:val="007C1EE1"/>
    <w:rsid w:val="007C1F01"/>
    <w:rsid w:val="007C1F81"/>
    <w:rsid w:val="007C271C"/>
    <w:rsid w:val="007C2CFA"/>
    <w:rsid w:val="007C2D21"/>
    <w:rsid w:val="007C31CA"/>
    <w:rsid w:val="007C375E"/>
    <w:rsid w:val="007C3A13"/>
    <w:rsid w:val="007C3AC0"/>
    <w:rsid w:val="007C3F85"/>
    <w:rsid w:val="007C4495"/>
    <w:rsid w:val="007C4615"/>
    <w:rsid w:val="007C476A"/>
    <w:rsid w:val="007C4858"/>
    <w:rsid w:val="007C4D76"/>
    <w:rsid w:val="007C4E72"/>
    <w:rsid w:val="007C52F0"/>
    <w:rsid w:val="007C55E1"/>
    <w:rsid w:val="007C56B6"/>
    <w:rsid w:val="007C5728"/>
    <w:rsid w:val="007C5809"/>
    <w:rsid w:val="007C58D9"/>
    <w:rsid w:val="007C5F54"/>
    <w:rsid w:val="007C68E8"/>
    <w:rsid w:val="007C6D1B"/>
    <w:rsid w:val="007C72C4"/>
    <w:rsid w:val="007C7522"/>
    <w:rsid w:val="007C76F8"/>
    <w:rsid w:val="007C7814"/>
    <w:rsid w:val="007C788C"/>
    <w:rsid w:val="007C7B5A"/>
    <w:rsid w:val="007C7BDE"/>
    <w:rsid w:val="007C7DB4"/>
    <w:rsid w:val="007C7FBB"/>
    <w:rsid w:val="007D03B8"/>
    <w:rsid w:val="007D0641"/>
    <w:rsid w:val="007D0EF6"/>
    <w:rsid w:val="007D144B"/>
    <w:rsid w:val="007D15AF"/>
    <w:rsid w:val="007D1709"/>
    <w:rsid w:val="007D1BF9"/>
    <w:rsid w:val="007D20F4"/>
    <w:rsid w:val="007D219A"/>
    <w:rsid w:val="007D234C"/>
    <w:rsid w:val="007D2A28"/>
    <w:rsid w:val="007D2C5C"/>
    <w:rsid w:val="007D2DB7"/>
    <w:rsid w:val="007D2E77"/>
    <w:rsid w:val="007D3069"/>
    <w:rsid w:val="007D30B3"/>
    <w:rsid w:val="007D3470"/>
    <w:rsid w:val="007D37C4"/>
    <w:rsid w:val="007D37CE"/>
    <w:rsid w:val="007D3914"/>
    <w:rsid w:val="007D3950"/>
    <w:rsid w:val="007D3BBF"/>
    <w:rsid w:val="007D42FF"/>
    <w:rsid w:val="007D43E5"/>
    <w:rsid w:val="007D4505"/>
    <w:rsid w:val="007D466D"/>
    <w:rsid w:val="007D47B2"/>
    <w:rsid w:val="007D4B80"/>
    <w:rsid w:val="007D52BC"/>
    <w:rsid w:val="007D54F5"/>
    <w:rsid w:val="007D5605"/>
    <w:rsid w:val="007D5739"/>
    <w:rsid w:val="007D5D25"/>
    <w:rsid w:val="007D5DA5"/>
    <w:rsid w:val="007D63FE"/>
    <w:rsid w:val="007D6997"/>
    <w:rsid w:val="007D719E"/>
    <w:rsid w:val="007D7459"/>
    <w:rsid w:val="007D775C"/>
    <w:rsid w:val="007D7A76"/>
    <w:rsid w:val="007D7B33"/>
    <w:rsid w:val="007D7FFE"/>
    <w:rsid w:val="007E0275"/>
    <w:rsid w:val="007E048C"/>
    <w:rsid w:val="007E0614"/>
    <w:rsid w:val="007E097F"/>
    <w:rsid w:val="007E0A4D"/>
    <w:rsid w:val="007E0A8B"/>
    <w:rsid w:val="007E0C89"/>
    <w:rsid w:val="007E0DBA"/>
    <w:rsid w:val="007E19DE"/>
    <w:rsid w:val="007E1A25"/>
    <w:rsid w:val="007E2265"/>
    <w:rsid w:val="007E2405"/>
    <w:rsid w:val="007E2744"/>
    <w:rsid w:val="007E2778"/>
    <w:rsid w:val="007E27DC"/>
    <w:rsid w:val="007E28C6"/>
    <w:rsid w:val="007E2956"/>
    <w:rsid w:val="007E2E92"/>
    <w:rsid w:val="007E2FDC"/>
    <w:rsid w:val="007E3452"/>
    <w:rsid w:val="007E34FC"/>
    <w:rsid w:val="007E3ADF"/>
    <w:rsid w:val="007E3C2C"/>
    <w:rsid w:val="007E3EC9"/>
    <w:rsid w:val="007E42CB"/>
    <w:rsid w:val="007E475A"/>
    <w:rsid w:val="007E498D"/>
    <w:rsid w:val="007E4DB2"/>
    <w:rsid w:val="007E572C"/>
    <w:rsid w:val="007E582D"/>
    <w:rsid w:val="007E5854"/>
    <w:rsid w:val="007E58C6"/>
    <w:rsid w:val="007E5A06"/>
    <w:rsid w:val="007E5D30"/>
    <w:rsid w:val="007E5E14"/>
    <w:rsid w:val="007E5F85"/>
    <w:rsid w:val="007E6218"/>
    <w:rsid w:val="007E63DF"/>
    <w:rsid w:val="007E6525"/>
    <w:rsid w:val="007E6808"/>
    <w:rsid w:val="007E6B90"/>
    <w:rsid w:val="007E73DC"/>
    <w:rsid w:val="007E74BD"/>
    <w:rsid w:val="007E7551"/>
    <w:rsid w:val="007E779E"/>
    <w:rsid w:val="007E7A58"/>
    <w:rsid w:val="007E7A75"/>
    <w:rsid w:val="007E7BC5"/>
    <w:rsid w:val="007E7FF3"/>
    <w:rsid w:val="007F0358"/>
    <w:rsid w:val="007F0622"/>
    <w:rsid w:val="007F0649"/>
    <w:rsid w:val="007F09F6"/>
    <w:rsid w:val="007F0C63"/>
    <w:rsid w:val="007F0CC5"/>
    <w:rsid w:val="007F0E90"/>
    <w:rsid w:val="007F1056"/>
    <w:rsid w:val="007F11DF"/>
    <w:rsid w:val="007F129C"/>
    <w:rsid w:val="007F12E0"/>
    <w:rsid w:val="007F13BC"/>
    <w:rsid w:val="007F147E"/>
    <w:rsid w:val="007F14AA"/>
    <w:rsid w:val="007F172A"/>
    <w:rsid w:val="007F191F"/>
    <w:rsid w:val="007F1BE8"/>
    <w:rsid w:val="007F1C8C"/>
    <w:rsid w:val="007F1F6F"/>
    <w:rsid w:val="007F2056"/>
    <w:rsid w:val="007F25C4"/>
    <w:rsid w:val="007F2E29"/>
    <w:rsid w:val="007F3470"/>
    <w:rsid w:val="007F36FA"/>
    <w:rsid w:val="007F3911"/>
    <w:rsid w:val="007F3B00"/>
    <w:rsid w:val="007F3C90"/>
    <w:rsid w:val="007F400C"/>
    <w:rsid w:val="007F420C"/>
    <w:rsid w:val="007F42DB"/>
    <w:rsid w:val="007F44DB"/>
    <w:rsid w:val="007F4576"/>
    <w:rsid w:val="007F47BB"/>
    <w:rsid w:val="007F493C"/>
    <w:rsid w:val="007F4CB8"/>
    <w:rsid w:val="007F5069"/>
    <w:rsid w:val="007F53A7"/>
    <w:rsid w:val="007F5605"/>
    <w:rsid w:val="007F589D"/>
    <w:rsid w:val="007F5A2A"/>
    <w:rsid w:val="007F5B50"/>
    <w:rsid w:val="007F5E2D"/>
    <w:rsid w:val="007F5F6A"/>
    <w:rsid w:val="007F6116"/>
    <w:rsid w:val="007F6C75"/>
    <w:rsid w:val="007F6E19"/>
    <w:rsid w:val="007F6F58"/>
    <w:rsid w:val="007F7671"/>
    <w:rsid w:val="007F778D"/>
    <w:rsid w:val="007F7C59"/>
    <w:rsid w:val="008000D7"/>
    <w:rsid w:val="0080013B"/>
    <w:rsid w:val="00800350"/>
    <w:rsid w:val="008004E9"/>
    <w:rsid w:val="0080061F"/>
    <w:rsid w:val="00800859"/>
    <w:rsid w:val="00800C71"/>
    <w:rsid w:val="00800EB6"/>
    <w:rsid w:val="0080132B"/>
    <w:rsid w:val="00801CEB"/>
    <w:rsid w:val="00801E74"/>
    <w:rsid w:val="00801FA6"/>
    <w:rsid w:val="008020BB"/>
    <w:rsid w:val="008024C3"/>
    <w:rsid w:val="00802703"/>
    <w:rsid w:val="00802A1D"/>
    <w:rsid w:val="00802D08"/>
    <w:rsid w:val="00803032"/>
    <w:rsid w:val="00803294"/>
    <w:rsid w:val="008032FD"/>
    <w:rsid w:val="00803363"/>
    <w:rsid w:val="00803981"/>
    <w:rsid w:val="0080407A"/>
    <w:rsid w:val="00804220"/>
    <w:rsid w:val="00804710"/>
    <w:rsid w:val="00804989"/>
    <w:rsid w:val="00804A1A"/>
    <w:rsid w:val="00804B15"/>
    <w:rsid w:val="00804CE8"/>
    <w:rsid w:val="00804D2E"/>
    <w:rsid w:val="00804E49"/>
    <w:rsid w:val="008050C6"/>
    <w:rsid w:val="0080551B"/>
    <w:rsid w:val="008057E4"/>
    <w:rsid w:val="00805AAC"/>
    <w:rsid w:val="00805BDD"/>
    <w:rsid w:val="00806275"/>
    <w:rsid w:val="00806356"/>
    <w:rsid w:val="008064A7"/>
    <w:rsid w:val="0080655F"/>
    <w:rsid w:val="008065C2"/>
    <w:rsid w:val="00806A33"/>
    <w:rsid w:val="00806DEE"/>
    <w:rsid w:val="00807292"/>
    <w:rsid w:val="00807419"/>
    <w:rsid w:val="00807602"/>
    <w:rsid w:val="008076D2"/>
    <w:rsid w:val="00807746"/>
    <w:rsid w:val="0080778A"/>
    <w:rsid w:val="008079F5"/>
    <w:rsid w:val="00807BA5"/>
    <w:rsid w:val="00807CD4"/>
    <w:rsid w:val="00807D28"/>
    <w:rsid w:val="00807D6B"/>
    <w:rsid w:val="00807FF5"/>
    <w:rsid w:val="0081000D"/>
    <w:rsid w:val="0081057B"/>
    <w:rsid w:val="00810716"/>
    <w:rsid w:val="0081092A"/>
    <w:rsid w:val="0081119A"/>
    <w:rsid w:val="00811256"/>
    <w:rsid w:val="008115EB"/>
    <w:rsid w:val="00811816"/>
    <w:rsid w:val="00811AF4"/>
    <w:rsid w:val="00811DFA"/>
    <w:rsid w:val="00812508"/>
    <w:rsid w:val="00812A20"/>
    <w:rsid w:val="00812D9D"/>
    <w:rsid w:val="00812E13"/>
    <w:rsid w:val="00812F75"/>
    <w:rsid w:val="008131B7"/>
    <w:rsid w:val="00813307"/>
    <w:rsid w:val="0081364B"/>
    <w:rsid w:val="0081386D"/>
    <w:rsid w:val="00813B11"/>
    <w:rsid w:val="00813B23"/>
    <w:rsid w:val="00813E25"/>
    <w:rsid w:val="00814602"/>
    <w:rsid w:val="00814913"/>
    <w:rsid w:val="008149F4"/>
    <w:rsid w:val="00814AA1"/>
    <w:rsid w:val="00814B23"/>
    <w:rsid w:val="00814CC6"/>
    <w:rsid w:val="00814CF1"/>
    <w:rsid w:val="00814EF3"/>
    <w:rsid w:val="00815070"/>
    <w:rsid w:val="008151D7"/>
    <w:rsid w:val="008157A5"/>
    <w:rsid w:val="008161CF"/>
    <w:rsid w:val="00816B1F"/>
    <w:rsid w:val="00816BB7"/>
    <w:rsid w:val="00816C49"/>
    <w:rsid w:val="00816D31"/>
    <w:rsid w:val="00816F8C"/>
    <w:rsid w:val="00816FDC"/>
    <w:rsid w:val="0081763E"/>
    <w:rsid w:val="00817A7C"/>
    <w:rsid w:val="00817AF4"/>
    <w:rsid w:val="00817D93"/>
    <w:rsid w:val="00817E57"/>
    <w:rsid w:val="00820600"/>
    <w:rsid w:val="00820633"/>
    <w:rsid w:val="00820BC9"/>
    <w:rsid w:val="008214F8"/>
    <w:rsid w:val="0082151A"/>
    <w:rsid w:val="0082151E"/>
    <w:rsid w:val="0082169B"/>
    <w:rsid w:val="008216D8"/>
    <w:rsid w:val="00821784"/>
    <w:rsid w:val="00821D25"/>
    <w:rsid w:val="00821D34"/>
    <w:rsid w:val="0082271F"/>
    <w:rsid w:val="00822853"/>
    <w:rsid w:val="00822A2A"/>
    <w:rsid w:val="00823577"/>
    <w:rsid w:val="00823C38"/>
    <w:rsid w:val="00823FBB"/>
    <w:rsid w:val="008241CC"/>
    <w:rsid w:val="0082479B"/>
    <w:rsid w:val="00824A5F"/>
    <w:rsid w:val="00824B0A"/>
    <w:rsid w:val="00824ED0"/>
    <w:rsid w:val="00824FA6"/>
    <w:rsid w:val="008251C2"/>
    <w:rsid w:val="00825389"/>
    <w:rsid w:val="00825531"/>
    <w:rsid w:val="0082568F"/>
    <w:rsid w:val="008256F1"/>
    <w:rsid w:val="00825830"/>
    <w:rsid w:val="00825DFC"/>
    <w:rsid w:val="008261B5"/>
    <w:rsid w:val="0082630A"/>
    <w:rsid w:val="00826566"/>
    <w:rsid w:val="00826970"/>
    <w:rsid w:val="00826C97"/>
    <w:rsid w:val="00826E8A"/>
    <w:rsid w:val="008270A6"/>
    <w:rsid w:val="008270D5"/>
    <w:rsid w:val="008271A0"/>
    <w:rsid w:val="0082754D"/>
    <w:rsid w:val="008277CF"/>
    <w:rsid w:val="008279EB"/>
    <w:rsid w:val="00827A6A"/>
    <w:rsid w:val="00827BFA"/>
    <w:rsid w:val="00827F70"/>
    <w:rsid w:val="00830173"/>
    <w:rsid w:val="00830304"/>
    <w:rsid w:val="008306D0"/>
    <w:rsid w:val="008307E8"/>
    <w:rsid w:val="0083085D"/>
    <w:rsid w:val="00830F39"/>
    <w:rsid w:val="0083152B"/>
    <w:rsid w:val="008316F6"/>
    <w:rsid w:val="008318CD"/>
    <w:rsid w:val="00831AAF"/>
    <w:rsid w:val="00831B4C"/>
    <w:rsid w:val="00831D4B"/>
    <w:rsid w:val="00831E8A"/>
    <w:rsid w:val="00832663"/>
    <w:rsid w:val="00832857"/>
    <w:rsid w:val="0083287A"/>
    <w:rsid w:val="00832961"/>
    <w:rsid w:val="008332BC"/>
    <w:rsid w:val="008335AA"/>
    <w:rsid w:val="00833FF2"/>
    <w:rsid w:val="0083402D"/>
    <w:rsid w:val="00834073"/>
    <w:rsid w:val="008342AE"/>
    <w:rsid w:val="008342BB"/>
    <w:rsid w:val="00834E20"/>
    <w:rsid w:val="00835003"/>
    <w:rsid w:val="008351DE"/>
    <w:rsid w:val="0083528C"/>
    <w:rsid w:val="008354F8"/>
    <w:rsid w:val="0083554C"/>
    <w:rsid w:val="00835571"/>
    <w:rsid w:val="00835E47"/>
    <w:rsid w:val="00835ECD"/>
    <w:rsid w:val="00835EFF"/>
    <w:rsid w:val="0083614C"/>
    <w:rsid w:val="00836186"/>
    <w:rsid w:val="008365B8"/>
    <w:rsid w:val="008365D2"/>
    <w:rsid w:val="008367CA"/>
    <w:rsid w:val="008367FC"/>
    <w:rsid w:val="00836B12"/>
    <w:rsid w:val="00836B4D"/>
    <w:rsid w:val="00836DF1"/>
    <w:rsid w:val="00836E25"/>
    <w:rsid w:val="008372B6"/>
    <w:rsid w:val="0083742C"/>
    <w:rsid w:val="00837605"/>
    <w:rsid w:val="00837788"/>
    <w:rsid w:val="00837D07"/>
    <w:rsid w:val="00837DA2"/>
    <w:rsid w:val="00837E02"/>
    <w:rsid w:val="00837FD0"/>
    <w:rsid w:val="00840168"/>
    <w:rsid w:val="00840178"/>
    <w:rsid w:val="00840340"/>
    <w:rsid w:val="00840E12"/>
    <w:rsid w:val="00840E35"/>
    <w:rsid w:val="008412AF"/>
    <w:rsid w:val="00841496"/>
    <w:rsid w:val="00841839"/>
    <w:rsid w:val="008418DB"/>
    <w:rsid w:val="00841ED5"/>
    <w:rsid w:val="00841EE6"/>
    <w:rsid w:val="008426F3"/>
    <w:rsid w:val="008428B0"/>
    <w:rsid w:val="00842AFF"/>
    <w:rsid w:val="00842B4C"/>
    <w:rsid w:val="00842D46"/>
    <w:rsid w:val="00842E0B"/>
    <w:rsid w:val="00843061"/>
    <w:rsid w:val="0084361D"/>
    <w:rsid w:val="008436AC"/>
    <w:rsid w:val="0084396B"/>
    <w:rsid w:val="00843A0C"/>
    <w:rsid w:val="00843B61"/>
    <w:rsid w:val="00843DE5"/>
    <w:rsid w:val="008440C2"/>
    <w:rsid w:val="008440C3"/>
    <w:rsid w:val="008441F6"/>
    <w:rsid w:val="008443D8"/>
    <w:rsid w:val="00844461"/>
    <w:rsid w:val="0084450E"/>
    <w:rsid w:val="00844644"/>
    <w:rsid w:val="008447AA"/>
    <w:rsid w:val="008448B5"/>
    <w:rsid w:val="00844949"/>
    <w:rsid w:val="00844DBD"/>
    <w:rsid w:val="00844EE2"/>
    <w:rsid w:val="008451D5"/>
    <w:rsid w:val="008451FC"/>
    <w:rsid w:val="008453A4"/>
    <w:rsid w:val="00845497"/>
    <w:rsid w:val="008454C9"/>
    <w:rsid w:val="0084556E"/>
    <w:rsid w:val="00845716"/>
    <w:rsid w:val="00845942"/>
    <w:rsid w:val="0084599A"/>
    <w:rsid w:val="00845ECB"/>
    <w:rsid w:val="00845F2F"/>
    <w:rsid w:val="00846006"/>
    <w:rsid w:val="00846259"/>
    <w:rsid w:val="00846429"/>
    <w:rsid w:val="0084647E"/>
    <w:rsid w:val="008464B4"/>
    <w:rsid w:val="0084695B"/>
    <w:rsid w:val="00846ACD"/>
    <w:rsid w:val="00846C0A"/>
    <w:rsid w:val="00846D53"/>
    <w:rsid w:val="00846F53"/>
    <w:rsid w:val="0084705C"/>
    <w:rsid w:val="008470C2"/>
    <w:rsid w:val="008470F1"/>
    <w:rsid w:val="00847271"/>
    <w:rsid w:val="0084751D"/>
    <w:rsid w:val="008479F0"/>
    <w:rsid w:val="00847B24"/>
    <w:rsid w:val="00847DE4"/>
    <w:rsid w:val="00847E3B"/>
    <w:rsid w:val="00847F62"/>
    <w:rsid w:val="00850301"/>
    <w:rsid w:val="00850A86"/>
    <w:rsid w:val="00850BB7"/>
    <w:rsid w:val="00850CF5"/>
    <w:rsid w:val="00851542"/>
    <w:rsid w:val="00851D35"/>
    <w:rsid w:val="00851D4B"/>
    <w:rsid w:val="00851D5D"/>
    <w:rsid w:val="00851F61"/>
    <w:rsid w:val="00851F71"/>
    <w:rsid w:val="00852473"/>
    <w:rsid w:val="008524B1"/>
    <w:rsid w:val="008526EB"/>
    <w:rsid w:val="008527F8"/>
    <w:rsid w:val="00852AA6"/>
    <w:rsid w:val="00853341"/>
    <w:rsid w:val="008535D6"/>
    <w:rsid w:val="0085382D"/>
    <w:rsid w:val="00853997"/>
    <w:rsid w:val="00853AD9"/>
    <w:rsid w:val="00853C28"/>
    <w:rsid w:val="00853C6A"/>
    <w:rsid w:val="00853C9D"/>
    <w:rsid w:val="00853FDC"/>
    <w:rsid w:val="00854081"/>
    <w:rsid w:val="008540AA"/>
    <w:rsid w:val="00854468"/>
    <w:rsid w:val="0085456F"/>
    <w:rsid w:val="0085477D"/>
    <w:rsid w:val="008547C9"/>
    <w:rsid w:val="00854B41"/>
    <w:rsid w:val="00854BF7"/>
    <w:rsid w:val="008551BB"/>
    <w:rsid w:val="0085539D"/>
    <w:rsid w:val="00855851"/>
    <w:rsid w:val="00855889"/>
    <w:rsid w:val="00855E5E"/>
    <w:rsid w:val="008560DF"/>
    <w:rsid w:val="0085615A"/>
    <w:rsid w:val="008561DD"/>
    <w:rsid w:val="00856489"/>
    <w:rsid w:val="008566E9"/>
    <w:rsid w:val="0085678C"/>
    <w:rsid w:val="008567EB"/>
    <w:rsid w:val="00856959"/>
    <w:rsid w:val="00856A51"/>
    <w:rsid w:val="00856CEC"/>
    <w:rsid w:val="00857088"/>
    <w:rsid w:val="008570A5"/>
    <w:rsid w:val="008571F5"/>
    <w:rsid w:val="0085721E"/>
    <w:rsid w:val="00857971"/>
    <w:rsid w:val="00857AF4"/>
    <w:rsid w:val="00857E71"/>
    <w:rsid w:val="00857F3A"/>
    <w:rsid w:val="00860046"/>
    <w:rsid w:val="0086012A"/>
    <w:rsid w:val="0086050B"/>
    <w:rsid w:val="008606A0"/>
    <w:rsid w:val="00860814"/>
    <w:rsid w:val="00860919"/>
    <w:rsid w:val="00860A35"/>
    <w:rsid w:val="00860C2C"/>
    <w:rsid w:val="00860D3C"/>
    <w:rsid w:val="00860D50"/>
    <w:rsid w:val="00860EF7"/>
    <w:rsid w:val="00861152"/>
    <w:rsid w:val="008611FF"/>
    <w:rsid w:val="0086132B"/>
    <w:rsid w:val="008613D1"/>
    <w:rsid w:val="008618EB"/>
    <w:rsid w:val="00861A24"/>
    <w:rsid w:val="00861B73"/>
    <w:rsid w:val="00862070"/>
    <w:rsid w:val="008622A0"/>
    <w:rsid w:val="00862546"/>
    <w:rsid w:val="00862E8D"/>
    <w:rsid w:val="00862F1B"/>
    <w:rsid w:val="00862F31"/>
    <w:rsid w:val="00863213"/>
    <w:rsid w:val="0086371B"/>
    <w:rsid w:val="0086380F"/>
    <w:rsid w:val="0086395C"/>
    <w:rsid w:val="00863B50"/>
    <w:rsid w:val="00863ED5"/>
    <w:rsid w:val="00863FC6"/>
    <w:rsid w:val="008641AC"/>
    <w:rsid w:val="008642EC"/>
    <w:rsid w:val="00864660"/>
    <w:rsid w:val="00864938"/>
    <w:rsid w:val="00864D7C"/>
    <w:rsid w:val="00865028"/>
    <w:rsid w:val="00865210"/>
    <w:rsid w:val="0086521F"/>
    <w:rsid w:val="008656AF"/>
    <w:rsid w:val="008656BA"/>
    <w:rsid w:val="00865888"/>
    <w:rsid w:val="00865CBD"/>
    <w:rsid w:val="00865D0B"/>
    <w:rsid w:val="00866388"/>
    <w:rsid w:val="0086652C"/>
    <w:rsid w:val="00866AF4"/>
    <w:rsid w:val="00866BDF"/>
    <w:rsid w:val="00866CE1"/>
    <w:rsid w:val="00866F01"/>
    <w:rsid w:val="00867020"/>
    <w:rsid w:val="00867265"/>
    <w:rsid w:val="00867324"/>
    <w:rsid w:val="00867389"/>
    <w:rsid w:val="00867530"/>
    <w:rsid w:val="00867763"/>
    <w:rsid w:val="00867849"/>
    <w:rsid w:val="008679DD"/>
    <w:rsid w:val="00867A3E"/>
    <w:rsid w:val="00867C7C"/>
    <w:rsid w:val="00867D8A"/>
    <w:rsid w:val="0087002A"/>
    <w:rsid w:val="008700FD"/>
    <w:rsid w:val="0087028E"/>
    <w:rsid w:val="00870B6A"/>
    <w:rsid w:val="00870C88"/>
    <w:rsid w:val="00870CB8"/>
    <w:rsid w:val="00870CE1"/>
    <w:rsid w:val="0087155B"/>
    <w:rsid w:val="008716E3"/>
    <w:rsid w:val="00871835"/>
    <w:rsid w:val="0087189C"/>
    <w:rsid w:val="00871A66"/>
    <w:rsid w:val="00871EB9"/>
    <w:rsid w:val="00871FF7"/>
    <w:rsid w:val="00872689"/>
    <w:rsid w:val="00872A50"/>
    <w:rsid w:val="00872CF8"/>
    <w:rsid w:val="00872DFB"/>
    <w:rsid w:val="00872FDC"/>
    <w:rsid w:val="00872FE9"/>
    <w:rsid w:val="00872FFE"/>
    <w:rsid w:val="008735B9"/>
    <w:rsid w:val="00873987"/>
    <w:rsid w:val="00874269"/>
    <w:rsid w:val="0087431A"/>
    <w:rsid w:val="008745B1"/>
    <w:rsid w:val="00874B15"/>
    <w:rsid w:val="008751C3"/>
    <w:rsid w:val="008754CA"/>
    <w:rsid w:val="008756CC"/>
    <w:rsid w:val="00875AB1"/>
    <w:rsid w:val="00875F75"/>
    <w:rsid w:val="008760F7"/>
    <w:rsid w:val="008761CF"/>
    <w:rsid w:val="00876435"/>
    <w:rsid w:val="008765B2"/>
    <w:rsid w:val="00876732"/>
    <w:rsid w:val="00876774"/>
    <w:rsid w:val="008768A0"/>
    <w:rsid w:val="00876F37"/>
    <w:rsid w:val="008771B7"/>
    <w:rsid w:val="008772FE"/>
    <w:rsid w:val="0087749C"/>
    <w:rsid w:val="008778E2"/>
    <w:rsid w:val="008778EB"/>
    <w:rsid w:val="0087791F"/>
    <w:rsid w:val="00877D90"/>
    <w:rsid w:val="0088038C"/>
    <w:rsid w:val="008803DC"/>
    <w:rsid w:val="00880B46"/>
    <w:rsid w:val="00880B5E"/>
    <w:rsid w:val="008813C6"/>
    <w:rsid w:val="00881891"/>
    <w:rsid w:val="008819D0"/>
    <w:rsid w:val="00881C3E"/>
    <w:rsid w:val="00881C9C"/>
    <w:rsid w:val="00881CBF"/>
    <w:rsid w:val="00881E7A"/>
    <w:rsid w:val="0088207D"/>
    <w:rsid w:val="00882764"/>
    <w:rsid w:val="00882A45"/>
    <w:rsid w:val="00882DD5"/>
    <w:rsid w:val="00883110"/>
    <w:rsid w:val="0088326F"/>
    <w:rsid w:val="008832BE"/>
    <w:rsid w:val="00883478"/>
    <w:rsid w:val="008835D8"/>
    <w:rsid w:val="008836A8"/>
    <w:rsid w:val="00883864"/>
    <w:rsid w:val="0088387D"/>
    <w:rsid w:val="008838B1"/>
    <w:rsid w:val="00883A8B"/>
    <w:rsid w:val="00883BFA"/>
    <w:rsid w:val="00883E39"/>
    <w:rsid w:val="008844B8"/>
    <w:rsid w:val="008846C6"/>
    <w:rsid w:val="0088499D"/>
    <w:rsid w:val="00884FA7"/>
    <w:rsid w:val="008854B1"/>
    <w:rsid w:val="00885515"/>
    <w:rsid w:val="00885607"/>
    <w:rsid w:val="008856E0"/>
    <w:rsid w:val="00885788"/>
    <w:rsid w:val="00885825"/>
    <w:rsid w:val="008859A1"/>
    <w:rsid w:val="00886838"/>
    <w:rsid w:val="0088688F"/>
    <w:rsid w:val="008872BE"/>
    <w:rsid w:val="0088744B"/>
    <w:rsid w:val="008874E7"/>
    <w:rsid w:val="008876B4"/>
    <w:rsid w:val="008876BA"/>
    <w:rsid w:val="00887A18"/>
    <w:rsid w:val="00887D31"/>
    <w:rsid w:val="00887FB2"/>
    <w:rsid w:val="008904CF"/>
    <w:rsid w:val="0089063A"/>
    <w:rsid w:val="00890658"/>
    <w:rsid w:val="008906C4"/>
    <w:rsid w:val="0089076A"/>
    <w:rsid w:val="00890885"/>
    <w:rsid w:val="00890C6B"/>
    <w:rsid w:val="00890E96"/>
    <w:rsid w:val="00891134"/>
    <w:rsid w:val="008911C3"/>
    <w:rsid w:val="0089172D"/>
    <w:rsid w:val="00891846"/>
    <w:rsid w:val="00891935"/>
    <w:rsid w:val="00891CCC"/>
    <w:rsid w:val="00891E4B"/>
    <w:rsid w:val="00892251"/>
    <w:rsid w:val="008923CC"/>
    <w:rsid w:val="0089246E"/>
    <w:rsid w:val="008928EB"/>
    <w:rsid w:val="008929BF"/>
    <w:rsid w:val="008929F6"/>
    <w:rsid w:val="00892B32"/>
    <w:rsid w:val="00892F05"/>
    <w:rsid w:val="0089335B"/>
    <w:rsid w:val="00893432"/>
    <w:rsid w:val="0089355A"/>
    <w:rsid w:val="008937DB"/>
    <w:rsid w:val="00893813"/>
    <w:rsid w:val="00893970"/>
    <w:rsid w:val="00893CFB"/>
    <w:rsid w:val="00893E1D"/>
    <w:rsid w:val="00893FBD"/>
    <w:rsid w:val="00893FFD"/>
    <w:rsid w:val="008940D1"/>
    <w:rsid w:val="008940E1"/>
    <w:rsid w:val="00894438"/>
    <w:rsid w:val="008945E1"/>
    <w:rsid w:val="008947C1"/>
    <w:rsid w:val="00894883"/>
    <w:rsid w:val="00894BCC"/>
    <w:rsid w:val="00894E90"/>
    <w:rsid w:val="008954E0"/>
    <w:rsid w:val="008955AE"/>
    <w:rsid w:val="00895738"/>
    <w:rsid w:val="008957D4"/>
    <w:rsid w:val="00895A41"/>
    <w:rsid w:val="00895BA5"/>
    <w:rsid w:val="00895F24"/>
    <w:rsid w:val="008960BD"/>
    <w:rsid w:val="008963DD"/>
    <w:rsid w:val="008963F7"/>
    <w:rsid w:val="0089685C"/>
    <w:rsid w:val="00896B27"/>
    <w:rsid w:val="00896B43"/>
    <w:rsid w:val="008971CB"/>
    <w:rsid w:val="00897220"/>
    <w:rsid w:val="008972DA"/>
    <w:rsid w:val="0089744D"/>
    <w:rsid w:val="0089749F"/>
    <w:rsid w:val="00897887"/>
    <w:rsid w:val="00897AB1"/>
    <w:rsid w:val="00897DF7"/>
    <w:rsid w:val="008A0155"/>
    <w:rsid w:val="008A016E"/>
    <w:rsid w:val="008A0276"/>
    <w:rsid w:val="008A0771"/>
    <w:rsid w:val="008A0854"/>
    <w:rsid w:val="008A110B"/>
    <w:rsid w:val="008A1728"/>
    <w:rsid w:val="008A1852"/>
    <w:rsid w:val="008A1A10"/>
    <w:rsid w:val="008A1A49"/>
    <w:rsid w:val="008A2060"/>
    <w:rsid w:val="008A2545"/>
    <w:rsid w:val="008A2692"/>
    <w:rsid w:val="008A2961"/>
    <w:rsid w:val="008A2CC9"/>
    <w:rsid w:val="008A2E77"/>
    <w:rsid w:val="008A31A4"/>
    <w:rsid w:val="008A31A8"/>
    <w:rsid w:val="008A325A"/>
    <w:rsid w:val="008A3438"/>
    <w:rsid w:val="008A3838"/>
    <w:rsid w:val="008A3AC4"/>
    <w:rsid w:val="008A3B56"/>
    <w:rsid w:val="008A3D87"/>
    <w:rsid w:val="008A4178"/>
    <w:rsid w:val="008A4333"/>
    <w:rsid w:val="008A4576"/>
    <w:rsid w:val="008A4816"/>
    <w:rsid w:val="008A4871"/>
    <w:rsid w:val="008A48EA"/>
    <w:rsid w:val="008A4A52"/>
    <w:rsid w:val="008A5340"/>
    <w:rsid w:val="008A552D"/>
    <w:rsid w:val="008A609B"/>
    <w:rsid w:val="008A6391"/>
    <w:rsid w:val="008A653C"/>
    <w:rsid w:val="008A6783"/>
    <w:rsid w:val="008A692E"/>
    <w:rsid w:val="008A69FF"/>
    <w:rsid w:val="008A6B6A"/>
    <w:rsid w:val="008A6D96"/>
    <w:rsid w:val="008A6E85"/>
    <w:rsid w:val="008A70C4"/>
    <w:rsid w:val="008A7122"/>
    <w:rsid w:val="008A7130"/>
    <w:rsid w:val="008A71B7"/>
    <w:rsid w:val="008A72BF"/>
    <w:rsid w:val="008A7373"/>
    <w:rsid w:val="008A7D4D"/>
    <w:rsid w:val="008A7E79"/>
    <w:rsid w:val="008A7E96"/>
    <w:rsid w:val="008A7FFC"/>
    <w:rsid w:val="008B02D1"/>
    <w:rsid w:val="008B0AAB"/>
    <w:rsid w:val="008B0B42"/>
    <w:rsid w:val="008B0B93"/>
    <w:rsid w:val="008B0D8E"/>
    <w:rsid w:val="008B1846"/>
    <w:rsid w:val="008B1927"/>
    <w:rsid w:val="008B196B"/>
    <w:rsid w:val="008B1C95"/>
    <w:rsid w:val="008B2547"/>
    <w:rsid w:val="008B27D6"/>
    <w:rsid w:val="008B2AB4"/>
    <w:rsid w:val="008B3168"/>
    <w:rsid w:val="008B3259"/>
    <w:rsid w:val="008B3324"/>
    <w:rsid w:val="008B3441"/>
    <w:rsid w:val="008B375D"/>
    <w:rsid w:val="008B37C3"/>
    <w:rsid w:val="008B3975"/>
    <w:rsid w:val="008B3A0D"/>
    <w:rsid w:val="008B3A49"/>
    <w:rsid w:val="008B3ADE"/>
    <w:rsid w:val="008B3E00"/>
    <w:rsid w:val="008B4184"/>
    <w:rsid w:val="008B449B"/>
    <w:rsid w:val="008B4848"/>
    <w:rsid w:val="008B48DB"/>
    <w:rsid w:val="008B4A08"/>
    <w:rsid w:val="008B4D2B"/>
    <w:rsid w:val="008B4EEE"/>
    <w:rsid w:val="008B4FC1"/>
    <w:rsid w:val="008B539D"/>
    <w:rsid w:val="008B5735"/>
    <w:rsid w:val="008B5766"/>
    <w:rsid w:val="008B582A"/>
    <w:rsid w:val="008B5992"/>
    <w:rsid w:val="008B5A1C"/>
    <w:rsid w:val="008B5B08"/>
    <w:rsid w:val="008B5D85"/>
    <w:rsid w:val="008B6A03"/>
    <w:rsid w:val="008B6C17"/>
    <w:rsid w:val="008B6F83"/>
    <w:rsid w:val="008B731C"/>
    <w:rsid w:val="008B73E6"/>
    <w:rsid w:val="008B741E"/>
    <w:rsid w:val="008B791E"/>
    <w:rsid w:val="008B7DA7"/>
    <w:rsid w:val="008C0055"/>
    <w:rsid w:val="008C0133"/>
    <w:rsid w:val="008C09D7"/>
    <w:rsid w:val="008C0B2A"/>
    <w:rsid w:val="008C13ED"/>
    <w:rsid w:val="008C15C6"/>
    <w:rsid w:val="008C15F8"/>
    <w:rsid w:val="008C1792"/>
    <w:rsid w:val="008C1B0C"/>
    <w:rsid w:val="008C1B72"/>
    <w:rsid w:val="008C1C93"/>
    <w:rsid w:val="008C1E00"/>
    <w:rsid w:val="008C1E43"/>
    <w:rsid w:val="008C20CF"/>
    <w:rsid w:val="008C2156"/>
    <w:rsid w:val="008C219A"/>
    <w:rsid w:val="008C245D"/>
    <w:rsid w:val="008C2702"/>
    <w:rsid w:val="008C270C"/>
    <w:rsid w:val="008C2885"/>
    <w:rsid w:val="008C2A7D"/>
    <w:rsid w:val="008C2F14"/>
    <w:rsid w:val="008C3008"/>
    <w:rsid w:val="008C3094"/>
    <w:rsid w:val="008C3124"/>
    <w:rsid w:val="008C31F6"/>
    <w:rsid w:val="008C328E"/>
    <w:rsid w:val="008C32B2"/>
    <w:rsid w:val="008C3505"/>
    <w:rsid w:val="008C3581"/>
    <w:rsid w:val="008C3A52"/>
    <w:rsid w:val="008C3EC6"/>
    <w:rsid w:val="008C46C4"/>
    <w:rsid w:val="008C4BF2"/>
    <w:rsid w:val="008C4C03"/>
    <w:rsid w:val="008C4D61"/>
    <w:rsid w:val="008C4FE4"/>
    <w:rsid w:val="008C5094"/>
    <w:rsid w:val="008C55D8"/>
    <w:rsid w:val="008C55F5"/>
    <w:rsid w:val="008C56E9"/>
    <w:rsid w:val="008C5710"/>
    <w:rsid w:val="008C5AFE"/>
    <w:rsid w:val="008C5C7D"/>
    <w:rsid w:val="008C5ED0"/>
    <w:rsid w:val="008C6559"/>
    <w:rsid w:val="008C671E"/>
    <w:rsid w:val="008C6738"/>
    <w:rsid w:val="008C67D7"/>
    <w:rsid w:val="008C6861"/>
    <w:rsid w:val="008C69B1"/>
    <w:rsid w:val="008C761A"/>
    <w:rsid w:val="008C7658"/>
    <w:rsid w:val="008C7845"/>
    <w:rsid w:val="008C7B9F"/>
    <w:rsid w:val="008C7EB0"/>
    <w:rsid w:val="008D07EA"/>
    <w:rsid w:val="008D0858"/>
    <w:rsid w:val="008D0CCC"/>
    <w:rsid w:val="008D0DDA"/>
    <w:rsid w:val="008D11B9"/>
    <w:rsid w:val="008D1368"/>
    <w:rsid w:val="008D1606"/>
    <w:rsid w:val="008D1962"/>
    <w:rsid w:val="008D197C"/>
    <w:rsid w:val="008D20AE"/>
    <w:rsid w:val="008D244D"/>
    <w:rsid w:val="008D263D"/>
    <w:rsid w:val="008D268B"/>
    <w:rsid w:val="008D26C2"/>
    <w:rsid w:val="008D273E"/>
    <w:rsid w:val="008D2808"/>
    <w:rsid w:val="008D288B"/>
    <w:rsid w:val="008D2A69"/>
    <w:rsid w:val="008D2C82"/>
    <w:rsid w:val="008D386D"/>
    <w:rsid w:val="008D38D5"/>
    <w:rsid w:val="008D3D58"/>
    <w:rsid w:val="008D3E6F"/>
    <w:rsid w:val="008D3FBE"/>
    <w:rsid w:val="008D4317"/>
    <w:rsid w:val="008D47AC"/>
    <w:rsid w:val="008D48F6"/>
    <w:rsid w:val="008D4A26"/>
    <w:rsid w:val="008D4C09"/>
    <w:rsid w:val="008D4C0E"/>
    <w:rsid w:val="008D50D2"/>
    <w:rsid w:val="008D512D"/>
    <w:rsid w:val="008D5438"/>
    <w:rsid w:val="008D5D6E"/>
    <w:rsid w:val="008D60B1"/>
    <w:rsid w:val="008D613E"/>
    <w:rsid w:val="008D61B2"/>
    <w:rsid w:val="008D62E8"/>
    <w:rsid w:val="008D63C7"/>
    <w:rsid w:val="008D64A7"/>
    <w:rsid w:val="008D6691"/>
    <w:rsid w:val="008D670A"/>
    <w:rsid w:val="008D692A"/>
    <w:rsid w:val="008D699E"/>
    <w:rsid w:val="008D6DE6"/>
    <w:rsid w:val="008D74A6"/>
    <w:rsid w:val="008D752E"/>
    <w:rsid w:val="008D7691"/>
    <w:rsid w:val="008D76D1"/>
    <w:rsid w:val="008D770C"/>
    <w:rsid w:val="008D7762"/>
    <w:rsid w:val="008D7907"/>
    <w:rsid w:val="008D7B79"/>
    <w:rsid w:val="008D7E9A"/>
    <w:rsid w:val="008D7F51"/>
    <w:rsid w:val="008E017A"/>
    <w:rsid w:val="008E0A23"/>
    <w:rsid w:val="008E0C9A"/>
    <w:rsid w:val="008E0D95"/>
    <w:rsid w:val="008E1054"/>
    <w:rsid w:val="008E1348"/>
    <w:rsid w:val="008E1632"/>
    <w:rsid w:val="008E1865"/>
    <w:rsid w:val="008E1914"/>
    <w:rsid w:val="008E2034"/>
    <w:rsid w:val="008E23BB"/>
    <w:rsid w:val="008E247C"/>
    <w:rsid w:val="008E24A1"/>
    <w:rsid w:val="008E25BF"/>
    <w:rsid w:val="008E2C6B"/>
    <w:rsid w:val="008E3093"/>
    <w:rsid w:val="008E33D5"/>
    <w:rsid w:val="008E380E"/>
    <w:rsid w:val="008E388F"/>
    <w:rsid w:val="008E38E1"/>
    <w:rsid w:val="008E3D9B"/>
    <w:rsid w:val="008E3E1E"/>
    <w:rsid w:val="008E404E"/>
    <w:rsid w:val="008E40F3"/>
    <w:rsid w:val="008E40F9"/>
    <w:rsid w:val="008E424C"/>
    <w:rsid w:val="008E4282"/>
    <w:rsid w:val="008E4329"/>
    <w:rsid w:val="008E44A1"/>
    <w:rsid w:val="008E4566"/>
    <w:rsid w:val="008E4AD8"/>
    <w:rsid w:val="008E4B5E"/>
    <w:rsid w:val="008E4BE3"/>
    <w:rsid w:val="008E4DFF"/>
    <w:rsid w:val="008E4F61"/>
    <w:rsid w:val="008E501B"/>
    <w:rsid w:val="008E5388"/>
    <w:rsid w:val="008E556E"/>
    <w:rsid w:val="008E5A8D"/>
    <w:rsid w:val="008E5A92"/>
    <w:rsid w:val="008E5ADA"/>
    <w:rsid w:val="008E62B1"/>
    <w:rsid w:val="008E62C3"/>
    <w:rsid w:val="008E6316"/>
    <w:rsid w:val="008E643C"/>
    <w:rsid w:val="008E645D"/>
    <w:rsid w:val="008E64F1"/>
    <w:rsid w:val="008E6581"/>
    <w:rsid w:val="008E6606"/>
    <w:rsid w:val="008E67FB"/>
    <w:rsid w:val="008E6CF6"/>
    <w:rsid w:val="008E715F"/>
    <w:rsid w:val="008E71F1"/>
    <w:rsid w:val="008E73B8"/>
    <w:rsid w:val="008E78AC"/>
    <w:rsid w:val="008E79B4"/>
    <w:rsid w:val="008E7CA8"/>
    <w:rsid w:val="008E7F60"/>
    <w:rsid w:val="008F0097"/>
    <w:rsid w:val="008F0363"/>
    <w:rsid w:val="008F03F3"/>
    <w:rsid w:val="008F05F0"/>
    <w:rsid w:val="008F1483"/>
    <w:rsid w:val="008F16B5"/>
    <w:rsid w:val="008F18A2"/>
    <w:rsid w:val="008F1B3F"/>
    <w:rsid w:val="008F1B84"/>
    <w:rsid w:val="008F1C0C"/>
    <w:rsid w:val="008F2069"/>
    <w:rsid w:val="008F2383"/>
    <w:rsid w:val="008F23FC"/>
    <w:rsid w:val="008F25E0"/>
    <w:rsid w:val="008F29BF"/>
    <w:rsid w:val="008F2BB4"/>
    <w:rsid w:val="008F2E9A"/>
    <w:rsid w:val="008F2FA1"/>
    <w:rsid w:val="008F31C6"/>
    <w:rsid w:val="008F3233"/>
    <w:rsid w:val="008F3423"/>
    <w:rsid w:val="008F3C30"/>
    <w:rsid w:val="008F3D51"/>
    <w:rsid w:val="008F3D74"/>
    <w:rsid w:val="008F42C2"/>
    <w:rsid w:val="008F4585"/>
    <w:rsid w:val="008F4F94"/>
    <w:rsid w:val="008F55A6"/>
    <w:rsid w:val="008F58F6"/>
    <w:rsid w:val="008F61D5"/>
    <w:rsid w:val="008F661E"/>
    <w:rsid w:val="008F6789"/>
    <w:rsid w:val="008F68EE"/>
    <w:rsid w:val="008F6C00"/>
    <w:rsid w:val="008F6DF3"/>
    <w:rsid w:val="008F6E02"/>
    <w:rsid w:val="008F6FCB"/>
    <w:rsid w:val="008F720B"/>
    <w:rsid w:val="008F727E"/>
    <w:rsid w:val="008F75E6"/>
    <w:rsid w:val="008F7951"/>
    <w:rsid w:val="008F7C6E"/>
    <w:rsid w:val="00900160"/>
    <w:rsid w:val="00900310"/>
    <w:rsid w:val="0090052E"/>
    <w:rsid w:val="009006DF"/>
    <w:rsid w:val="0090096C"/>
    <w:rsid w:val="00900C4E"/>
    <w:rsid w:val="009011DC"/>
    <w:rsid w:val="00901415"/>
    <w:rsid w:val="00901AD2"/>
    <w:rsid w:val="00901B4B"/>
    <w:rsid w:val="00901C85"/>
    <w:rsid w:val="00901C93"/>
    <w:rsid w:val="0090237E"/>
    <w:rsid w:val="009023E4"/>
    <w:rsid w:val="00902429"/>
    <w:rsid w:val="00902648"/>
    <w:rsid w:val="0090275E"/>
    <w:rsid w:val="00902964"/>
    <w:rsid w:val="00902BF2"/>
    <w:rsid w:val="00902DBA"/>
    <w:rsid w:val="00903334"/>
    <w:rsid w:val="009033B5"/>
    <w:rsid w:val="0090351C"/>
    <w:rsid w:val="00903553"/>
    <w:rsid w:val="00903803"/>
    <w:rsid w:val="00903B7F"/>
    <w:rsid w:val="00903BF2"/>
    <w:rsid w:val="00903CC3"/>
    <w:rsid w:val="00904001"/>
    <w:rsid w:val="0090483B"/>
    <w:rsid w:val="00904AE4"/>
    <w:rsid w:val="00904BC5"/>
    <w:rsid w:val="00904C7A"/>
    <w:rsid w:val="00904D71"/>
    <w:rsid w:val="00904DD4"/>
    <w:rsid w:val="00904EFF"/>
    <w:rsid w:val="0090527A"/>
    <w:rsid w:val="00905ADE"/>
    <w:rsid w:val="00905B83"/>
    <w:rsid w:val="00905E0C"/>
    <w:rsid w:val="00906427"/>
    <w:rsid w:val="0090657A"/>
    <w:rsid w:val="009068A7"/>
    <w:rsid w:val="00906BDE"/>
    <w:rsid w:val="00906C52"/>
    <w:rsid w:val="00906D6C"/>
    <w:rsid w:val="009072AB"/>
    <w:rsid w:val="0090734A"/>
    <w:rsid w:val="00907749"/>
    <w:rsid w:val="009077C8"/>
    <w:rsid w:val="00907B17"/>
    <w:rsid w:val="00907CF0"/>
    <w:rsid w:val="0091085B"/>
    <w:rsid w:val="009108F5"/>
    <w:rsid w:val="00910A30"/>
    <w:rsid w:val="00910AFA"/>
    <w:rsid w:val="00910B60"/>
    <w:rsid w:val="00910FEA"/>
    <w:rsid w:val="00911802"/>
    <w:rsid w:val="00911B0A"/>
    <w:rsid w:val="00911D4C"/>
    <w:rsid w:val="00911DB2"/>
    <w:rsid w:val="00912114"/>
    <w:rsid w:val="00912172"/>
    <w:rsid w:val="00912236"/>
    <w:rsid w:val="00912319"/>
    <w:rsid w:val="009124FA"/>
    <w:rsid w:val="0091283E"/>
    <w:rsid w:val="00912A67"/>
    <w:rsid w:val="00912A8B"/>
    <w:rsid w:val="00912CAB"/>
    <w:rsid w:val="00912D12"/>
    <w:rsid w:val="00912D50"/>
    <w:rsid w:val="00912E61"/>
    <w:rsid w:val="00912F6B"/>
    <w:rsid w:val="00913041"/>
    <w:rsid w:val="0091309D"/>
    <w:rsid w:val="0091327A"/>
    <w:rsid w:val="00913331"/>
    <w:rsid w:val="0091360C"/>
    <w:rsid w:val="00913F97"/>
    <w:rsid w:val="00913FEF"/>
    <w:rsid w:val="009143B5"/>
    <w:rsid w:val="00914405"/>
    <w:rsid w:val="009146C1"/>
    <w:rsid w:val="0091491D"/>
    <w:rsid w:val="00914F7A"/>
    <w:rsid w:val="00915054"/>
    <w:rsid w:val="0091546B"/>
    <w:rsid w:val="00915A08"/>
    <w:rsid w:val="00915A36"/>
    <w:rsid w:val="00915D49"/>
    <w:rsid w:val="00915DB9"/>
    <w:rsid w:val="00915DE9"/>
    <w:rsid w:val="009161E1"/>
    <w:rsid w:val="009161E4"/>
    <w:rsid w:val="009162DF"/>
    <w:rsid w:val="00916799"/>
    <w:rsid w:val="00916A2E"/>
    <w:rsid w:val="00916D4C"/>
    <w:rsid w:val="00916D79"/>
    <w:rsid w:val="00916F4A"/>
    <w:rsid w:val="00916FAA"/>
    <w:rsid w:val="00917054"/>
    <w:rsid w:val="009171AA"/>
    <w:rsid w:val="00917729"/>
    <w:rsid w:val="00917A74"/>
    <w:rsid w:val="00917AFA"/>
    <w:rsid w:val="00920274"/>
    <w:rsid w:val="009202EB"/>
    <w:rsid w:val="00920329"/>
    <w:rsid w:val="00920397"/>
    <w:rsid w:val="0092070F"/>
    <w:rsid w:val="009209A9"/>
    <w:rsid w:val="00920C4F"/>
    <w:rsid w:val="00920CEE"/>
    <w:rsid w:val="00920EE4"/>
    <w:rsid w:val="00920F0A"/>
    <w:rsid w:val="00921055"/>
    <w:rsid w:val="009215D6"/>
    <w:rsid w:val="009216FD"/>
    <w:rsid w:val="00921ED2"/>
    <w:rsid w:val="00921F08"/>
    <w:rsid w:val="00921F78"/>
    <w:rsid w:val="009226D3"/>
    <w:rsid w:val="0092287A"/>
    <w:rsid w:val="00922FC9"/>
    <w:rsid w:val="00923042"/>
    <w:rsid w:val="009230B8"/>
    <w:rsid w:val="00923185"/>
    <w:rsid w:val="009234F2"/>
    <w:rsid w:val="0092397A"/>
    <w:rsid w:val="00923A3E"/>
    <w:rsid w:val="00923ACE"/>
    <w:rsid w:val="00923FB9"/>
    <w:rsid w:val="00925240"/>
    <w:rsid w:val="009259F1"/>
    <w:rsid w:val="00925BCD"/>
    <w:rsid w:val="00925C0A"/>
    <w:rsid w:val="00925F7D"/>
    <w:rsid w:val="00926014"/>
    <w:rsid w:val="009261B2"/>
    <w:rsid w:val="009262BC"/>
    <w:rsid w:val="00926523"/>
    <w:rsid w:val="00926589"/>
    <w:rsid w:val="0092692C"/>
    <w:rsid w:val="00926BD8"/>
    <w:rsid w:val="00926E4E"/>
    <w:rsid w:val="009272B7"/>
    <w:rsid w:val="0092735B"/>
    <w:rsid w:val="009275D3"/>
    <w:rsid w:val="00927ECB"/>
    <w:rsid w:val="00930238"/>
    <w:rsid w:val="009303FE"/>
    <w:rsid w:val="009308C1"/>
    <w:rsid w:val="00931A8C"/>
    <w:rsid w:val="00931ADD"/>
    <w:rsid w:val="00931B58"/>
    <w:rsid w:val="00932477"/>
    <w:rsid w:val="00932A84"/>
    <w:rsid w:val="00932F7B"/>
    <w:rsid w:val="00933014"/>
    <w:rsid w:val="009331CE"/>
    <w:rsid w:val="0093367E"/>
    <w:rsid w:val="009339B2"/>
    <w:rsid w:val="00933DDE"/>
    <w:rsid w:val="00934070"/>
    <w:rsid w:val="009347A7"/>
    <w:rsid w:val="00934929"/>
    <w:rsid w:val="00934A59"/>
    <w:rsid w:val="00934ADE"/>
    <w:rsid w:val="00934B08"/>
    <w:rsid w:val="00934E28"/>
    <w:rsid w:val="00934E54"/>
    <w:rsid w:val="00934EF7"/>
    <w:rsid w:val="00934F4F"/>
    <w:rsid w:val="00935177"/>
    <w:rsid w:val="0093589E"/>
    <w:rsid w:val="00935AB2"/>
    <w:rsid w:val="00935AC1"/>
    <w:rsid w:val="00935C09"/>
    <w:rsid w:val="00935E7C"/>
    <w:rsid w:val="00935EF2"/>
    <w:rsid w:val="00935F7E"/>
    <w:rsid w:val="00936523"/>
    <w:rsid w:val="0093660E"/>
    <w:rsid w:val="00936790"/>
    <w:rsid w:val="0093679C"/>
    <w:rsid w:val="00936910"/>
    <w:rsid w:val="00936AF6"/>
    <w:rsid w:val="00936E49"/>
    <w:rsid w:val="00936EDB"/>
    <w:rsid w:val="0093752E"/>
    <w:rsid w:val="00937850"/>
    <w:rsid w:val="00937868"/>
    <w:rsid w:val="00937A6F"/>
    <w:rsid w:val="00937C0B"/>
    <w:rsid w:val="00937D4E"/>
    <w:rsid w:val="00940194"/>
    <w:rsid w:val="00940435"/>
    <w:rsid w:val="009404F0"/>
    <w:rsid w:val="00940996"/>
    <w:rsid w:val="00940C54"/>
    <w:rsid w:val="00940F19"/>
    <w:rsid w:val="0094104B"/>
    <w:rsid w:val="00941252"/>
    <w:rsid w:val="00941272"/>
    <w:rsid w:val="00941303"/>
    <w:rsid w:val="009414F3"/>
    <w:rsid w:val="009415FA"/>
    <w:rsid w:val="00941965"/>
    <w:rsid w:val="009419A9"/>
    <w:rsid w:val="009419B6"/>
    <w:rsid w:val="00941A19"/>
    <w:rsid w:val="00941CE5"/>
    <w:rsid w:val="00941E1F"/>
    <w:rsid w:val="00941E2B"/>
    <w:rsid w:val="00941EAF"/>
    <w:rsid w:val="009421C5"/>
    <w:rsid w:val="0094229D"/>
    <w:rsid w:val="00942591"/>
    <w:rsid w:val="009427E8"/>
    <w:rsid w:val="009429B9"/>
    <w:rsid w:val="00943041"/>
    <w:rsid w:val="009432E5"/>
    <w:rsid w:val="00943DF0"/>
    <w:rsid w:val="00943F8E"/>
    <w:rsid w:val="00944041"/>
    <w:rsid w:val="009440C7"/>
    <w:rsid w:val="00944311"/>
    <w:rsid w:val="0094455B"/>
    <w:rsid w:val="009446B5"/>
    <w:rsid w:val="00944964"/>
    <w:rsid w:val="009449B5"/>
    <w:rsid w:val="00944BF0"/>
    <w:rsid w:val="00944C7B"/>
    <w:rsid w:val="009452B0"/>
    <w:rsid w:val="009454C8"/>
    <w:rsid w:val="00945520"/>
    <w:rsid w:val="009455D4"/>
    <w:rsid w:val="009456A5"/>
    <w:rsid w:val="00945952"/>
    <w:rsid w:val="00945E58"/>
    <w:rsid w:val="00946171"/>
    <w:rsid w:val="00946295"/>
    <w:rsid w:val="009465CD"/>
    <w:rsid w:val="009465DD"/>
    <w:rsid w:val="009467DB"/>
    <w:rsid w:val="009467EA"/>
    <w:rsid w:val="0094689C"/>
    <w:rsid w:val="00946B31"/>
    <w:rsid w:val="009470CA"/>
    <w:rsid w:val="009472DF"/>
    <w:rsid w:val="009472F4"/>
    <w:rsid w:val="0094735B"/>
    <w:rsid w:val="009474EC"/>
    <w:rsid w:val="00947A5B"/>
    <w:rsid w:val="00947EA4"/>
    <w:rsid w:val="00947F5C"/>
    <w:rsid w:val="00947FCE"/>
    <w:rsid w:val="009502D9"/>
    <w:rsid w:val="009504F7"/>
    <w:rsid w:val="009505C1"/>
    <w:rsid w:val="00950BA9"/>
    <w:rsid w:val="00950BFD"/>
    <w:rsid w:val="00950CA5"/>
    <w:rsid w:val="00950E1B"/>
    <w:rsid w:val="0095110E"/>
    <w:rsid w:val="0095134E"/>
    <w:rsid w:val="0095147A"/>
    <w:rsid w:val="0095181C"/>
    <w:rsid w:val="009520D9"/>
    <w:rsid w:val="009523DD"/>
    <w:rsid w:val="00952B41"/>
    <w:rsid w:val="00952CEC"/>
    <w:rsid w:val="00952E07"/>
    <w:rsid w:val="009531A8"/>
    <w:rsid w:val="00953520"/>
    <w:rsid w:val="00953619"/>
    <w:rsid w:val="0095396E"/>
    <w:rsid w:val="009539DE"/>
    <w:rsid w:val="00953CB8"/>
    <w:rsid w:val="00953F1F"/>
    <w:rsid w:val="00953F36"/>
    <w:rsid w:val="0095406D"/>
    <w:rsid w:val="00954793"/>
    <w:rsid w:val="00954D91"/>
    <w:rsid w:val="00955265"/>
    <w:rsid w:val="009552B1"/>
    <w:rsid w:val="0095538A"/>
    <w:rsid w:val="009555A3"/>
    <w:rsid w:val="009556A7"/>
    <w:rsid w:val="00955955"/>
    <w:rsid w:val="009559CB"/>
    <w:rsid w:val="00955AA2"/>
    <w:rsid w:val="00955AE1"/>
    <w:rsid w:val="00955D7E"/>
    <w:rsid w:val="00955F72"/>
    <w:rsid w:val="00955F81"/>
    <w:rsid w:val="00955FBE"/>
    <w:rsid w:val="009562C0"/>
    <w:rsid w:val="009565E7"/>
    <w:rsid w:val="00956854"/>
    <w:rsid w:val="00956888"/>
    <w:rsid w:val="009568A8"/>
    <w:rsid w:val="00956AC5"/>
    <w:rsid w:val="00956C71"/>
    <w:rsid w:val="00956ECF"/>
    <w:rsid w:val="009570A6"/>
    <w:rsid w:val="009570B1"/>
    <w:rsid w:val="00957170"/>
    <w:rsid w:val="009571E1"/>
    <w:rsid w:val="0095725A"/>
    <w:rsid w:val="0095787F"/>
    <w:rsid w:val="0095796F"/>
    <w:rsid w:val="00957D68"/>
    <w:rsid w:val="009603F0"/>
    <w:rsid w:val="00960421"/>
    <w:rsid w:val="009605BA"/>
    <w:rsid w:val="00960F20"/>
    <w:rsid w:val="00961268"/>
    <w:rsid w:val="009612FC"/>
    <w:rsid w:val="00961B19"/>
    <w:rsid w:val="00961B25"/>
    <w:rsid w:val="00961F14"/>
    <w:rsid w:val="0096225A"/>
    <w:rsid w:val="009626E7"/>
    <w:rsid w:val="00962793"/>
    <w:rsid w:val="00962CCA"/>
    <w:rsid w:val="00962DB5"/>
    <w:rsid w:val="00962F01"/>
    <w:rsid w:val="009636FD"/>
    <w:rsid w:val="009637E9"/>
    <w:rsid w:val="00963B2D"/>
    <w:rsid w:val="00963D0A"/>
    <w:rsid w:val="00963EF4"/>
    <w:rsid w:val="00964481"/>
    <w:rsid w:val="009647F5"/>
    <w:rsid w:val="00964AAB"/>
    <w:rsid w:val="00964B90"/>
    <w:rsid w:val="00965955"/>
    <w:rsid w:val="00965B79"/>
    <w:rsid w:val="00965D74"/>
    <w:rsid w:val="00965EEB"/>
    <w:rsid w:val="00965F1D"/>
    <w:rsid w:val="00965F52"/>
    <w:rsid w:val="009666CC"/>
    <w:rsid w:val="0096676C"/>
    <w:rsid w:val="00966D14"/>
    <w:rsid w:val="0096702F"/>
    <w:rsid w:val="00967371"/>
    <w:rsid w:val="0096741F"/>
    <w:rsid w:val="00970154"/>
    <w:rsid w:val="0097037E"/>
    <w:rsid w:val="009705CC"/>
    <w:rsid w:val="009709B2"/>
    <w:rsid w:val="00970A80"/>
    <w:rsid w:val="00970ECD"/>
    <w:rsid w:val="00970F8C"/>
    <w:rsid w:val="00971653"/>
    <w:rsid w:val="009717C1"/>
    <w:rsid w:val="00971D4F"/>
    <w:rsid w:val="00972338"/>
    <w:rsid w:val="0097265A"/>
    <w:rsid w:val="009727B4"/>
    <w:rsid w:val="00972912"/>
    <w:rsid w:val="00972A3B"/>
    <w:rsid w:val="00972AD3"/>
    <w:rsid w:val="00972D33"/>
    <w:rsid w:val="00972DDB"/>
    <w:rsid w:val="00972EAC"/>
    <w:rsid w:val="00973054"/>
    <w:rsid w:val="0097399E"/>
    <w:rsid w:val="00973A47"/>
    <w:rsid w:val="00973C5B"/>
    <w:rsid w:val="00973EF8"/>
    <w:rsid w:val="0097451A"/>
    <w:rsid w:val="0097464F"/>
    <w:rsid w:val="00974AA5"/>
    <w:rsid w:val="00974D83"/>
    <w:rsid w:val="00974EF0"/>
    <w:rsid w:val="00975452"/>
    <w:rsid w:val="00975B71"/>
    <w:rsid w:val="00975BCB"/>
    <w:rsid w:val="00975C4E"/>
    <w:rsid w:val="00975FAB"/>
    <w:rsid w:val="00975FF9"/>
    <w:rsid w:val="009764F0"/>
    <w:rsid w:val="00976678"/>
    <w:rsid w:val="00976812"/>
    <w:rsid w:val="0097681E"/>
    <w:rsid w:val="0097691C"/>
    <w:rsid w:val="00976AB2"/>
    <w:rsid w:val="00976E65"/>
    <w:rsid w:val="00976EB9"/>
    <w:rsid w:val="00977007"/>
    <w:rsid w:val="00977025"/>
    <w:rsid w:val="009772A3"/>
    <w:rsid w:val="00977388"/>
    <w:rsid w:val="009774A3"/>
    <w:rsid w:val="0097797A"/>
    <w:rsid w:val="009779AF"/>
    <w:rsid w:val="009779DD"/>
    <w:rsid w:val="00977BCF"/>
    <w:rsid w:val="00977C60"/>
    <w:rsid w:val="00980171"/>
    <w:rsid w:val="0098048D"/>
    <w:rsid w:val="009808AD"/>
    <w:rsid w:val="00980986"/>
    <w:rsid w:val="00980A33"/>
    <w:rsid w:val="00980A42"/>
    <w:rsid w:val="00980B1E"/>
    <w:rsid w:val="00980FDF"/>
    <w:rsid w:val="009811B9"/>
    <w:rsid w:val="00981208"/>
    <w:rsid w:val="00981667"/>
    <w:rsid w:val="00981670"/>
    <w:rsid w:val="00981842"/>
    <w:rsid w:val="00981B96"/>
    <w:rsid w:val="00982408"/>
    <w:rsid w:val="00982DD4"/>
    <w:rsid w:val="00982EFB"/>
    <w:rsid w:val="00983446"/>
    <w:rsid w:val="00983550"/>
    <w:rsid w:val="00983DF3"/>
    <w:rsid w:val="00983F24"/>
    <w:rsid w:val="009840BD"/>
    <w:rsid w:val="009843C0"/>
    <w:rsid w:val="009844F1"/>
    <w:rsid w:val="00984803"/>
    <w:rsid w:val="00984C2B"/>
    <w:rsid w:val="00984C53"/>
    <w:rsid w:val="009853C1"/>
    <w:rsid w:val="00985562"/>
    <w:rsid w:val="009855B0"/>
    <w:rsid w:val="009857FC"/>
    <w:rsid w:val="00985966"/>
    <w:rsid w:val="00985BDE"/>
    <w:rsid w:val="00985C5D"/>
    <w:rsid w:val="00985F6B"/>
    <w:rsid w:val="00986139"/>
    <w:rsid w:val="0098640A"/>
    <w:rsid w:val="009867B2"/>
    <w:rsid w:val="00986BDB"/>
    <w:rsid w:val="00986BF8"/>
    <w:rsid w:val="00986D5B"/>
    <w:rsid w:val="00987116"/>
    <w:rsid w:val="00987993"/>
    <w:rsid w:val="00987A28"/>
    <w:rsid w:val="00990020"/>
    <w:rsid w:val="00990068"/>
    <w:rsid w:val="009901CC"/>
    <w:rsid w:val="00990216"/>
    <w:rsid w:val="009902C4"/>
    <w:rsid w:val="0099031C"/>
    <w:rsid w:val="009903FD"/>
    <w:rsid w:val="0099078D"/>
    <w:rsid w:val="00990920"/>
    <w:rsid w:val="00990E3D"/>
    <w:rsid w:val="00990EC5"/>
    <w:rsid w:val="00990F9D"/>
    <w:rsid w:val="00991185"/>
    <w:rsid w:val="009911E6"/>
    <w:rsid w:val="009913EA"/>
    <w:rsid w:val="009917EC"/>
    <w:rsid w:val="00991AE2"/>
    <w:rsid w:val="00991CFE"/>
    <w:rsid w:val="009923BE"/>
    <w:rsid w:val="009925A5"/>
    <w:rsid w:val="00992A7F"/>
    <w:rsid w:val="00993071"/>
    <w:rsid w:val="0099312C"/>
    <w:rsid w:val="0099328D"/>
    <w:rsid w:val="0099367C"/>
    <w:rsid w:val="00993974"/>
    <w:rsid w:val="00993B15"/>
    <w:rsid w:val="00993CDF"/>
    <w:rsid w:val="00993E38"/>
    <w:rsid w:val="009941DB"/>
    <w:rsid w:val="009945DB"/>
    <w:rsid w:val="009946A4"/>
    <w:rsid w:val="0099474D"/>
    <w:rsid w:val="00994C53"/>
    <w:rsid w:val="00994CD5"/>
    <w:rsid w:val="00994F77"/>
    <w:rsid w:val="00995699"/>
    <w:rsid w:val="00995A3B"/>
    <w:rsid w:val="00996345"/>
    <w:rsid w:val="0099634B"/>
    <w:rsid w:val="009965C6"/>
    <w:rsid w:val="0099660D"/>
    <w:rsid w:val="009969C7"/>
    <w:rsid w:val="00996AB5"/>
    <w:rsid w:val="00996B23"/>
    <w:rsid w:val="009970C5"/>
    <w:rsid w:val="00997163"/>
    <w:rsid w:val="00997261"/>
    <w:rsid w:val="009975BC"/>
    <w:rsid w:val="009976DA"/>
    <w:rsid w:val="009977C2"/>
    <w:rsid w:val="00997AFB"/>
    <w:rsid w:val="00997BBC"/>
    <w:rsid w:val="009A0343"/>
    <w:rsid w:val="009A0540"/>
    <w:rsid w:val="009A0648"/>
    <w:rsid w:val="009A0B6B"/>
    <w:rsid w:val="009A126C"/>
    <w:rsid w:val="009A13FC"/>
    <w:rsid w:val="009A183F"/>
    <w:rsid w:val="009A1916"/>
    <w:rsid w:val="009A19D3"/>
    <w:rsid w:val="009A1A03"/>
    <w:rsid w:val="009A1D8A"/>
    <w:rsid w:val="009A1DDB"/>
    <w:rsid w:val="009A1DF4"/>
    <w:rsid w:val="009A2084"/>
    <w:rsid w:val="009A225F"/>
    <w:rsid w:val="009A2363"/>
    <w:rsid w:val="009A2770"/>
    <w:rsid w:val="009A2AE6"/>
    <w:rsid w:val="009A2AF3"/>
    <w:rsid w:val="009A2D67"/>
    <w:rsid w:val="009A2D83"/>
    <w:rsid w:val="009A2D9F"/>
    <w:rsid w:val="009A32D3"/>
    <w:rsid w:val="009A3492"/>
    <w:rsid w:val="009A3510"/>
    <w:rsid w:val="009A38A8"/>
    <w:rsid w:val="009A391B"/>
    <w:rsid w:val="009A3BE5"/>
    <w:rsid w:val="009A3D80"/>
    <w:rsid w:val="009A407B"/>
    <w:rsid w:val="009A4327"/>
    <w:rsid w:val="009A4335"/>
    <w:rsid w:val="009A43C5"/>
    <w:rsid w:val="009A44D4"/>
    <w:rsid w:val="009A460E"/>
    <w:rsid w:val="009A4658"/>
    <w:rsid w:val="009A47AA"/>
    <w:rsid w:val="009A489C"/>
    <w:rsid w:val="009A49C4"/>
    <w:rsid w:val="009A4CFC"/>
    <w:rsid w:val="009A4FAB"/>
    <w:rsid w:val="009A4FDB"/>
    <w:rsid w:val="009A5012"/>
    <w:rsid w:val="009A5199"/>
    <w:rsid w:val="009A51CF"/>
    <w:rsid w:val="009A5309"/>
    <w:rsid w:val="009A53E4"/>
    <w:rsid w:val="009A545D"/>
    <w:rsid w:val="009A5689"/>
    <w:rsid w:val="009A572E"/>
    <w:rsid w:val="009A5C87"/>
    <w:rsid w:val="009A5E94"/>
    <w:rsid w:val="009A60F5"/>
    <w:rsid w:val="009A6163"/>
    <w:rsid w:val="009A67B0"/>
    <w:rsid w:val="009A6915"/>
    <w:rsid w:val="009A6D85"/>
    <w:rsid w:val="009A7098"/>
    <w:rsid w:val="009A7140"/>
    <w:rsid w:val="009A71BB"/>
    <w:rsid w:val="009A71BD"/>
    <w:rsid w:val="009A71DC"/>
    <w:rsid w:val="009A73FF"/>
    <w:rsid w:val="009A7994"/>
    <w:rsid w:val="009A7B75"/>
    <w:rsid w:val="009A7B78"/>
    <w:rsid w:val="009A7BBA"/>
    <w:rsid w:val="009B0126"/>
    <w:rsid w:val="009B0130"/>
    <w:rsid w:val="009B01E1"/>
    <w:rsid w:val="009B0900"/>
    <w:rsid w:val="009B0AA1"/>
    <w:rsid w:val="009B0C92"/>
    <w:rsid w:val="009B0DA5"/>
    <w:rsid w:val="009B1369"/>
    <w:rsid w:val="009B14EF"/>
    <w:rsid w:val="009B1981"/>
    <w:rsid w:val="009B1BA3"/>
    <w:rsid w:val="009B1D64"/>
    <w:rsid w:val="009B1D84"/>
    <w:rsid w:val="009B1FEF"/>
    <w:rsid w:val="009B21F2"/>
    <w:rsid w:val="009B256F"/>
    <w:rsid w:val="009B2575"/>
    <w:rsid w:val="009B27DE"/>
    <w:rsid w:val="009B29BF"/>
    <w:rsid w:val="009B29FF"/>
    <w:rsid w:val="009B2AEB"/>
    <w:rsid w:val="009B2AF5"/>
    <w:rsid w:val="009B2CCD"/>
    <w:rsid w:val="009B2FBE"/>
    <w:rsid w:val="009B3083"/>
    <w:rsid w:val="009B3807"/>
    <w:rsid w:val="009B3AC0"/>
    <w:rsid w:val="009B3D10"/>
    <w:rsid w:val="009B3D1D"/>
    <w:rsid w:val="009B3DAA"/>
    <w:rsid w:val="009B491A"/>
    <w:rsid w:val="009B4CF1"/>
    <w:rsid w:val="009B535D"/>
    <w:rsid w:val="009B575D"/>
    <w:rsid w:val="009B59DF"/>
    <w:rsid w:val="009B5A96"/>
    <w:rsid w:val="009B6124"/>
    <w:rsid w:val="009B64E8"/>
    <w:rsid w:val="009B69A6"/>
    <w:rsid w:val="009B6A1F"/>
    <w:rsid w:val="009B72F2"/>
    <w:rsid w:val="009B7A90"/>
    <w:rsid w:val="009B7B83"/>
    <w:rsid w:val="009B7BBC"/>
    <w:rsid w:val="009B7D50"/>
    <w:rsid w:val="009C008B"/>
    <w:rsid w:val="009C05A7"/>
    <w:rsid w:val="009C060C"/>
    <w:rsid w:val="009C064F"/>
    <w:rsid w:val="009C09EC"/>
    <w:rsid w:val="009C0AA2"/>
    <w:rsid w:val="009C10BE"/>
    <w:rsid w:val="009C10E8"/>
    <w:rsid w:val="009C11E0"/>
    <w:rsid w:val="009C1213"/>
    <w:rsid w:val="009C15C1"/>
    <w:rsid w:val="009C186E"/>
    <w:rsid w:val="009C192B"/>
    <w:rsid w:val="009C1C3F"/>
    <w:rsid w:val="009C1E35"/>
    <w:rsid w:val="009C200E"/>
    <w:rsid w:val="009C22E0"/>
    <w:rsid w:val="009C29EC"/>
    <w:rsid w:val="009C2DC2"/>
    <w:rsid w:val="009C2F78"/>
    <w:rsid w:val="009C31E2"/>
    <w:rsid w:val="009C327C"/>
    <w:rsid w:val="009C3297"/>
    <w:rsid w:val="009C34DB"/>
    <w:rsid w:val="009C357A"/>
    <w:rsid w:val="009C3863"/>
    <w:rsid w:val="009C3D38"/>
    <w:rsid w:val="009C44EA"/>
    <w:rsid w:val="009C45D3"/>
    <w:rsid w:val="009C492C"/>
    <w:rsid w:val="009C4A4F"/>
    <w:rsid w:val="009C5382"/>
    <w:rsid w:val="009C541E"/>
    <w:rsid w:val="009C5B4E"/>
    <w:rsid w:val="009C5C46"/>
    <w:rsid w:val="009C5CF6"/>
    <w:rsid w:val="009C5D47"/>
    <w:rsid w:val="009C5E77"/>
    <w:rsid w:val="009C5FA4"/>
    <w:rsid w:val="009C6443"/>
    <w:rsid w:val="009C647F"/>
    <w:rsid w:val="009C65B0"/>
    <w:rsid w:val="009C681B"/>
    <w:rsid w:val="009C693E"/>
    <w:rsid w:val="009C6A9C"/>
    <w:rsid w:val="009C6F1C"/>
    <w:rsid w:val="009C6F5D"/>
    <w:rsid w:val="009C7268"/>
    <w:rsid w:val="009C7287"/>
    <w:rsid w:val="009C78A5"/>
    <w:rsid w:val="009C7A9E"/>
    <w:rsid w:val="009C7D0B"/>
    <w:rsid w:val="009D02BF"/>
    <w:rsid w:val="009D05F8"/>
    <w:rsid w:val="009D0CED"/>
    <w:rsid w:val="009D0DE7"/>
    <w:rsid w:val="009D1108"/>
    <w:rsid w:val="009D129E"/>
    <w:rsid w:val="009D13ED"/>
    <w:rsid w:val="009D17D6"/>
    <w:rsid w:val="009D1ADF"/>
    <w:rsid w:val="009D1B93"/>
    <w:rsid w:val="009D1D34"/>
    <w:rsid w:val="009D1DAF"/>
    <w:rsid w:val="009D1DD9"/>
    <w:rsid w:val="009D1F7A"/>
    <w:rsid w:val="009D1F7F"/>
    <w:rsid w:val="009D2159"/>
    <w:rsid w:val="009D278B"/>
    <w:rsid w:val="009D2B17"/>
    <w:rsid w:val="009D2EA0"/>
    <w:rsid w:val="009D332B"/>
    <w:rsid w:val="009D3437"/>
    <w:rsid w:val="009D397F"/>
    <w:rsid w:val="009D3E77"/>
    <w:rsid w:val="009D433D"/>
    <w:rsid w:val="009D44CA"/>
    <w:rsid w:val="009D4730"/>
    <w:rsid w:val="009D476F"/>
    <w:rsid w:val="009D4A5E"/>
    <w:rsid w:val="009D4CB7"/>
    <w:rsid w:val="009D4D7D"/>
    <w:rsid w:val="009D509E"/>
    <w:rsid w:val="009D51C1"/>
    <w:rsid w:val="009D58CC"/>
    <w:rsid w:val="009D5C79"/>
    <w:rsid w:val="009D5D29"/>
    <w:rsid w:val="009D6059"/>
    <w:rsid w:val="009D6226"/>
    <w:rsid w:val="009D6246"/>
    <w:rsid w:val="009D648C"/>
    <w:rsid w:val="009D66BF"/>
    <w:rsid w:val="009D66C0"/>
    <w:rsid w:val="009D66D1"/>
    <w:rsid w:val="009D69F0"/>
    <w:rsid w:val="009D7070"/>
    <w:rsid w:val="009D72E8"/>
    <w:rsid w:val="009D7841"/>
    <w:rsid w:val="009D7B69"/>
    <w:rsid w:val="009D7BB9"/>
    <w:rsid w:val="009D7CC5"/>
    <w:rsid w:val="009E0519"/>
    <w:rsid w:val="009E07A4"/>
    <w:rsid w:val="009E07CC"/>
    <w:rsid w:val="009E0828"/>
    <w:rsid w:val="009E09B0"/>
    <w:rsid w:val="009E1109"/>
    <w:rsid w:val="009E113F"/>
    <w:rsid w:val="009E11F5"/>
    <w:rsid w:val="009E14AC"/>
    <w:rsid w:val="009E14F8"/>
    <w:rsid w:val="009E1514"/>
    <w:rsid w:val="009E188A"/>
    <w:rsid w:val="009E1926"/>
    <w:rsid w:val="009E1EC6"/>
    <w:rsid w:val="009E20E5"/>
    <w:rsid w:val="009E24F0"/>
    <w:rsid w:val="009E28C3"/>
    <w:rsid w:val="009E326A"/>
    <w:rsid w:val="009E395C"/>
    <w:rsid w:val="009E3E14"/>
    <w:rsid w:val="009E3FBB"/>
    <w:rsid w:val="009E4013"/>
    <w:rsid w:val="009E4112"/>
    <w:rsid w:val="009E4729"/>
    <w:rsid w:val="009E481A"/>
    <w:rsid w:val="009E497B"/>
    <w:rsid w:val="009E49EA"/>
    <w:rsid w:val="009E4A4E"/>
    <w:rsid w:val="009E4BA8"/>
    <w:rsid w:val="009E4BAE"/>
    <w:rsid w:val="009E4F6A"/>
    <w:rsid w:val="009E50A7"/>
    <w:rsid w:val="009E51B0"/>
    <w:rsid w:val="009E52A6"/>
    <w:rsid w:val="009E5806"/>
    <w:rsid w:val="009E5A26"/>
    <w:rsid w:val="009E5B19"/>
    <w:rsid w:val="009E5B62"/>
    <w:rsid w:val="009E62FE"/>
    <w:rsid w:val="009E6416"/>
    <w:rsid w:val="009E6448"/>
    <w:rsid w:val="009E660A"/>
    <w:rsid w:val="009E6741"/>
    <w:rsid w:val="009E67BB"/>
    <w:rsid w:val="009E6877"/>
    <w:rsid w:val="009E6A61"/>
    <w:rsid w:val="009E6A88"/>
    <w:rsid w:val="009E6B9C"/>
    <w:rsid w:val="009E6CA0"/>
    <w:rsid w:val="009E7249"/>
    <w:rsid w:val="009E734F"/>
    <w:rsid w:val="009E7547"/>
    <w:rsid w:val="009E785A"/>
    <w:rsid w:val="009E7D38"/>
    <w:rsid w:val="009E7EAA"/>
    <w:rsid w:val="009E7F04"/>
    <w:rsid w:val="009F03DD"/>
    <w:rsid w:val="009F0498"/>
    <w:rsid w:val="009F1312"/>
    <w:rsid w:val="009F1475"/>
    <w:rsid w:val="009F161E"/>
    <w:rsid w:val="009F165C"/>
    <w:rsid w:val="009F1A24"/>
    <w:rsid w:val="009F1BAA"/>
    <w:rsid w:val="009F1FF7"/>
    <w:rsid w:val="009F2204"/>
    <w:rsid w:val="009F240B"/>
    <w:rsid w:val="009F25D9"/>
    <w:rsid w:val="009F2600"/>
    <w:rsid w:val="009F2A01"/>
    <w:rsid w:val="009F2AF7"/>
    <w:rsid w:val="009F3245"/>
    <w:rsid w:val="009F32E3"/>
    <w:rsid w:val="009F339F"/>
    <w:rsid w:val="009F33F8"/>
    <w:rsid w:val="009F388F"/>
    <w:rsid w:val="009F399F"/>
    <w:rsid w:val="009F3E78"/>
    <w:rsid w:val="009F407A"/>
    <w:rsid w:val="009F436F"/>
    <w:rsid w:val="009F43E4"/>
    <w:rsid w:val="009F43F4"/>
    <w:rsid w:val="009F4985"/>
    <w:rsid w:val="009F4DEE"/>
    <w:rsid w:val="009F4E80"/>
    <w:rsid w:val="009F5487"/>
    <w:rsid w:val="009F59D7"/>
    <w:rsid w:val="009F5A44"/>
    <w:rsid w:val="009F5F99"/>
    <w:rsid w:val="009F637D"/>
    <w:rsid w:val="009F63F5"/>
    <w:rsid w:val="009F65AE"/>
    <w:rsid w:val="009F65B7"/>
    <w:rsid w:val="009F661B"/>
    <w:rsid w:val="009F66A2"/>
    <w:rsid w:val="009F67BF"/>
    <w:rsid w:val="009F6946"/>
    <w:rsid w:val="009F6ADD"/>
    <w:rsid w:val="009F6B40"/>
    <w:rsid w:val="009F74A7"/>
    <w:rsid w:val="009F7500"/>
    <w:rsid w:val="009F77A6"/>
    <w:rsid w:val="009F7C06"/>
    <w:rsid w:val="009F7C09"/>
    <w:rsid w:val="009F7FB9"/>
    <w:rsid w:val="00A000B7"/>
    <w:rsid w:val="00A0062B"/>
    <w:rsid w:val="00A007B7"/>
    <w:rsid w:val="00A008E1"/>
    <w:rsid w:val="00A008F2"/>
    <w:rsid w:val="00A00A60"/>
    <w:rsid w:val="00A00AC5"/>
    <w:rsid w:val="00A00AED"/>
    <w:rsid w:val="00A012DB"/>
    <w:rsid w:val="00A01398"/>
    <w:rsid w:val="00A01543"/>
    <w:rsid w:val="00A015C3"/>
    <w:rsid w:val="00A015C7"/>
    <w:rsid w:val="00A016A3"/>
    <w:rsid w:val="00A01729"/>
    <w:rsid w:val="00A01CCB"/>
    <w:rsid w:val="00A01E15"/>
    <w:rsid w:val="00A0247C"/>
    <w:rsid w:val="00A02612"/>
    <w:rsid w:val="00A02B85"/>
    <w:rsid w:val="00A03128"/>
    <w:rsid w:val="00A035DD"/>
    <w:rsid w:val="00A04149"/>
    <w:rsid w:val="00A046DB"/>
    <w:rsid w:val="00A048BF"/>
    <w:rsid w:val="00A04958"/>
    <w:rsid w:val="00A04CB7"/>
    <w:rsid w:val="00A055AB"/>
    <w:rsid w:val="00A05764"/>
    <w:rsid w:val="00A05795"/>
    <w:rsid w:val="00A05956"/>
    <w:rsid w:val="00A0595A"/>
    <w:rsid w:val="00A059BD"/>
    <w:rsid w:val="00A05B94"/>
    <w:rsid w:val="00A05CFB"/>
    <w:rsid w:val="00A06540"/>
    <w:rsid w:val="00A06575"/>
    <w:rsid w:val="00A0699B"/>
    <w:rsid w:val="00A06C37"/>
    <w:rsid w:val="00A06D5B"/>
    <w:rsid w:val="00A06DD3"/>
    <w:rsid w:val="00A06E31"/>
    <w:rsid w:val="00A06EDE"/>
    <w:rsid w:val="00A0734F"/>
    <w:rsid w:val="00A07BDE"/>
    <w:rsid w:val="00A07CF7"/>
    <w:rsid w:val="00A07EF6"/>
    <w:rsid w:val="00A10030"/>
    <w:rsid w:val="00A101AB"/>
    <w:rsid w:val="00A106AE"/>
    <w:rsid w:val="00A10AD1"/>
    <w:rsid w:val="00A10D7B"/>
    <w:rsid w:val="00A116E1"/>
    <w:rsid w:val="00A11706"/>
    <w:rsid w:val="00A1172C"/>
    <w:rsid w:val="00A11C3D"/>
    <w:rsid w:val="00A11DC2"/>
    <w:rsid w:val="00A12368"/>
    <w:rsid w:val="00A12378"/>
    <w:rsid w:val="00A123AC"/>
    <w:rsid w:val="00A126F4"/>
    <w:rsid w:val="00A128E8"/>
    <w:rsid w:val="00A129E2"/>
    <w:rsid w:val="00A12B15"/>
    <w:rsid w:val="00A12B17"/>
    <w:rsid w:val="00A12E46"/>
    <w:rsid w:val="00A130B7"/>
    <w:rsid w:val="00A13362"/>
    <w:rsid w:val="00A13753"/>
    <w:rsid w:val="00A13889"/>
    <w:rsid w:val="00A13B38"/>
    <w:rsid w:val="00A13B7D"/>
    <w:rsid w:val="00A13CCF"/>
    <w:rsid w:val="00A13DB9"/>
    <w:rsid w:val="00A14226"/>
    <w:rsid w:val="00A1426D"/>
    <w:rsid w:val="00A143A2"/>
    <w:rsid w:val="00A14C9B"/>
    <w:rsid w:val="00A14FC9"/>
    <w:rsid w:val="00A1539D"/>
    <w:rsid w:val="00A15538"/>
    <w:rsid w:val="00A155B4"/>
    <w:rsid w:val="00A156DE"/>
    <w:rsid w:val="00A15869"/>
    <w:rsid w:val="00A159C7"/>
    <w:rsid w:val="00A15C19"/>
    <w:rsid w:val="00A15FBC"/>
    <w:rsid w:val="00A16171"/>
    <w:rsid w:val="00A161BD"/>
    <w:rsid w:val="00A1637E"/>
    <w:rsid w:val="00A16BD5"/>
    <w:rsid w:val="00A16C62"/>
    <w:rsid w:val="00A16F6F"/>
    <w:rsid w:val="00A171E1"/>
    <w:rsid w:val="00A17340"/>
    <w:rsid w:val="00A173AD"/>
    <w:rsid w:val="00A173F1"/>
    <w:rsid w:val="00A17531"/>
    <w:rsid w:val="00A17A11"/>
    <w:rsid w:val="00A17AD6"/>
    <w:rsid w:val="00A17BA2"/>
    <w:rsid w:val="00A200AA"/>
    <w:rsid w:val="00A2036A"/>
    <w:rsid w:val="00A204FA"/>
    <w:rsid w:val="00A206BA"/>
    <w:rsid w:val="00A20C6E"/>
    <w:rsid w:val="00A20D89"/>
    <w:rsid w:val="00A20E7F"/>
    <w:rsid w:val="00A210BD"/>
    <w:rsid w:val="00A2150C"/>
    <w:rsid w:val="00A21874"/>
    <w:rsid w:val="00A21AE9"/>
    <w:rsid w:val="00A21BC8"/>
    <w:rsid w:val="00A21C66"/>
    <w:rsid w:val="00A21CEE"/>
    <w:rsid w:val="00A21EBF"/>
    <w:rsid w:val="00A2238C"/>
    <w:rsid w:val="00A22588"/>
    <w:rsid w:val="00A225ED"/>
    <w:rsid w:val="00A22749"/>
    <w:rsid w:val="00A22A81"/>
    <w:rsid w:val="00A22CED"/>
    <w:rsid w:val="00A2305A"/>
    <w:rsid w:val="00A2327C"/>
    <w:rsid w:val="00A234EC"/>
    <w:rsid w:val="00A23673"/>
    <w:rsid w:val="00A23851"/>
    <w:rsid w:val="00A239DE"/>
    <w:rsid w:val="00A23C61"/>
    <w:rsid w:val="00A240A1"/>
    <w:rsid w:val="00A241BC"/>
    <w:rsid w:val="00A24291"/>
    <w:rsid w:val="00A243B8"/>
    <w:rsid w:val="00A2512B"/>
    <w:rsid w:val="00A257B7"/>
    <w:rsid w:val="00A2587B"/>
    <w:rsid w:val="00A25A85"/>
    <w:rsid w:val="00A25D32"/>
    <w:rsid w:val="00A26286"/>
    <w:rsid w:val="00A262F8"/>
    <w:rsid w:val="00A263E6"/>
    <w:rsid w:val="00A26709"/>
    <w:rsid w:val="00A2675A"/>
    <w:rsid w:val="00A26836"/>
    <w:rsid w:val="00A2688B"/>
    <w:rsid w:val="00A26A00"/>
    <w:rsid w:val="00A26BB4"/>
    <w:rsid w:val="00A26F46"/>
    <w:rsid w:val="00A2704F"/>
    <w:rsid w:val="00A2706C"/>
    <w:rsid w:val="00A27341"/>
    <w:rsid w:val="00A2736E"/>
    <w:rsid w:val="00A273C8"/>
    <w:rsid w:val="00A274BC"/>
    <w:rsid w:val="00A27528"/>
    <w:rsid w:val="00A27A8A"/>
    <w:rsid w:val="00A27BA3"/>
    <w:rsid w:val="00A27E48"/>
    <w:rsid w:val="00A301CD"/>
    <w:rsid w:val="00A3046C"/>
    <w:rsid w:val="00A304A0"/>
    <w:rsid w:val="00A30B18"/>
    <w:rsid w:val="00A30CED"/>
    <w:rsid w:val="00A31153"/>
    <w:rsid w:val="00A31363"/>
    <w:rsid w:val="00A3155D"/>
    <w:rsid w:val="00A31A7C"/>
    <w:rsid w:val="00A31CC1"/>
    <w:rsid w:val="00A31E27"/>
    <w:rsid w:val="00A31EEB"/>
    <w:rsid w:val="00A31FBE"/>
    <w:rsid w:val="00A321D8"/>
    <w:rsid w:val="00A32677"/>
    <w:rsid w:val="00A32C38"/>
    <w:rsid w:val="00A33197"/>
    <w:rsid w:val="00A3360A"/>
    <w:rsid w:val="00A33736"/>
    <w:rsid w:val="00A338AE"/>
    <w:rsid w:val="00A33B3E"/>
    <w:rsid w:val="00A33CE7"/>
    <w:rsid w:val="00A33CFB"/>
    <w:rsid w:val="00A33D59"/>
    <w:rsid w:val="00A342E8"/>
    <w:rsid w:val="00A34374"/>
    <w:rsid w:val="00A34623"/>
    <w:rsid w:val="00A346BB"/>
    <w:rsid w:val="00A347DC"/>
    <w:rsid w:val="00A34A37"/>
    <w:rsid w:val="00A34B1C"/>
    <w:rsid w:val="00A34D38"/>
    <w:rsid w:val="00A352C9"/>
    <w:rsid w:val="00A35462"/>
    <w:rsid w:val="00A35464"/>
    <w:rsid w:val="00A356F6"/>
    <w:rsid w:val="00A358EC"/>
    <w:rsid w:val="00A35C36"/>
    <w:rsid w:val="00A35D0D"/>
    <w:rsid w:val="00A364CA"/>
    <w:rsid w:val="00A3651E"/>
    <w:rsid w:val="00A36981"/>
    <w:rsid w:val="00A36CAF"/>
    <w:rsid w:val="00A36D10"/>
    <w:rsid w:val="00A36FAE"/>
    <w:rsid w:val="00A3704C"/>
    <w:rsid w:val="00A3728F"/>
    <w:rsid w:val="00A37568"/>
    <w:rsid w:val="00A377DC"/>
    <w:rsid w:val="00A37A74"/>
    <w:rsid w:val="00A37B46"/>
    <w:rsid w:val="00A37F54"/>
    <w:rsid w:val="00A401BA"/>
    <w:rsid w:val="00A401BF"/>
    <w:rsid w:val="00A402AD"/>
    <w:rsid w:val="00A402C7"/>
    <w:rsid w:val="00A404CB"/>
    <w:rsid w:val="00A406B9"/>
    <w:rsid w:val="00A406EA"/>
    <w:rsid w:val="00A40ADC"/>
    <w:rsid w:val="00A41055"/>
    <w:rsid w:val="00A4132F"/>
    <w:rsid w:val="00A413C1"/>
    <w:rsid w:val="00A41B50"/>
    <w:rsid w:val="00A41F0F"/>
    <w:rsid w:val="00A42854"/>
    <w:rsid w:val="00A4288F"/>
    <w:rsid w:val="00A4290B"/>
    <w:rsid w:val="00A430DD"/>
    <w:rsid w:val="00A4329E"/>
    <w:rsid w:val="00A43429"/>
    <w:rsid w:val="00A43656"/>
    <w:rsid w:val="00A43698"/>
    <w:rsid w:val="00A43741"/>
    <w:rsid w:val="00A437A1"/>
    <w:rsid w:val="00A4382A"/>
    <w:rsid w:val="00A43862"/>
    <w:rsid w:val="00A439B8"/>
    <w:rsid w:val="00A439DC"/>
    <w:rsid w:val="00A445BE"/>
    <w:rsid w:val="00A44710"/>
    <w:rsid w:val="00A44846"/>
    <w:rsid w:val="00A44933"/>
    <w:rsid w:val="00A44F6F"/>
    <w:rsid w:val="00A452AA"/>
    <w:rsid w:val="00A453B9"/>
    <w:rsid w:val="00A456A6"/>
    <w:rsid w:val="00A456B6"/>
    <w:rsid w:val="00A45AB5"/>
    <w:rsid w:val="00A45CEE"/>
    <w:rsid w:val="00A45FA7"/>
    <w:rsid w:val="00A464C2"/>
    <w:rsid w:val="00A46868"/>
    <w:rsid w:val="00A46C84"/>
    <w:rsid w:val="00A475FB"/>
    <w:rsid w:val="00A4767D"/>
    <w:rsid w:val="00A4799D"/>
    <w:rsid w:val="00A47C5F"/>
    <w:rsid w:val="00A50146"/>
    <w:rsid w:val="00A502A1"/>
    <w:rsid w:val="00A502B3"/>
    <w:rsid w:val="00A504C1"/>
    <w:rsid w:val="00A5066B"/>
    <w:rsid w:val="00A50A27"/>
    <w:rsid w:val="00A50AB1"/>
    <w:rsid w:val="00A50F96"/>
    <w:rsid w:val="00A51268"/>
    <w:rsid w:val="00A51381"/>
    <w:rsid w:val="00A513FE"/>
    <w:rsid w:val="00A51451"/>
    <w:rsid w:val="00A518F6"/>
    <w:rsid w:val="00A51A94"/>
    <w:rsid w:val="00A51F59"/>
    <w:rsid w:val="00A52203"/>
    <w:rsid w:val="00A52284"/>
    <w:rsid w:val="00A5243C"/>
    <w:rsid w:val="00A52534"/>
    <w:rsid w:val="00A52623"/>
    <w:rsid w:val="00A52A4C"/>
    <w:rsid w:val="00A52AD5"/>
    <w:rsid w:val="00A5352E"/>
    <w:rsid w:val="00A5371B"/>
    <w:rsid w:val="00A5387D"/>
    <w:rsid w:val="00A538DD"/>
    <w:rsid w:val="00A53B93"/>
    <w:rsid w:val="00A53C74"/>
    <w:rsid w:val="00A540D2"/>
    <w:rsid w:val="00A54541"/>
    <w:rsid w:val="00A54629"/>
    <w:rsid w:val="00A54CCF"/>
    <w:rsid w:val="00A54F79"/>
    <w:rsid w:val="00A5505E"/>
    <w:rsid w:val="00A55076"/>
    <w:rsid w:val="00A552E6"/>
    <w:rsid w:val="00A55735"/>
    <w:rsid w:val="00A55B63"/>
    <w:rsid w:val="00A55B74"/>
    <w:rsid w:val="00A56130"/>
    <w:rsid w:val="00A56158"/>
    <w:rsid w:val="00A56229"/>
    <w:rsid w:val="00A56315"/>
    <w:rsid w:val="00A565B0"/>
    <w:rsid w:val="00A56820"/>
    <w:rsid w:val="00A56BC3"/>
    <w:rsid w:val="00A5758F"/>
    <w:rsid w:val="00A57B74"/>
    <w:rsid w:val="00A601F7"/>
    <w:rsid w:val="00A60208"/>
    <w:rsid w:val="00A602A6"/>
    <w:rsid w:val="00A603EA"/>
    <w:rsid w:val="00A60419"/>
    <w:rsid w:val="00A60429"/>
    <w:rsid w:val="00A60495"/>
    <w:rsid w:val="00A606D8"/>
    <w:rsid w:val="00A60A48"/>
    <w:rsid w:val="00A61554"/>
    <w:rsid w:val="00A6181A"/>
    <w:rsid w:val="00A6196D"/>
    <w:rsid w:val="00A6214B"/>
    <w:rsid w:val="00A6269D"/>
    <w:rsid w:val="00A627CE"/>
    <w:rsid w:val="00A62A56"/>
    <w:rsid w:val="00A62BA0"/>
    <w:rsid w:val="00A62CB0"/>
    <w:rsid w:val="00A62D12"/>
    <w:rsid w:val="00A62F48"/>
    <w:rsid w:val="00A62F7B"/>
    <w:rsid w:val="00A6362D"/>
    <w:rsid w:val="00A6362E"/>
    <w:rsid w:val="00A63914"/>
    <w:rsid w:val="00A63AB8"/>
    <w:rsid w:val="00A6457F"/>
    <w:rsid w:val="00A6482D"/>
    <w:rsid w:val="00A6488B"/>
    <w:rsid w:val="00A64D85"/>
    <w:rsid w:val="00A64E18"/>
    <w:rsid w:val="00A64E60"/>
    <w:rsid w:val="00A64ED5"/>
    <w:rsid w:val="00A64F36"/>
    <w:rsid w:val="00A653E2"/>
    <w:rsid w:val="00A65403"/>
    <w:rsid w:val="00A656D5"/>
    <w:rsid w:val="00A65A53"/>
    <w:rsid w:val="00A65CE5"/>
    <w:rsid w:val="00A65D35"/>
    <w:rsid w:val="00A65FF2"/>
    <w:rsid w:val="00A66221"/>
    <w:rsid w:val="00A668C8"/>
    <w:rsid w:val="00A66D76"/>
    <w:rsid w:val="00A6743B"/>
    <w:rsid w:val="00A674D0"/>
    <w:rsid w:val="00A677D2"/>
    <w:rsid w:val="00A6781C"/>
    <w:rsid w:val="00A67900"/>
    <w:rsid w:val="00A67A06"/>
    <w:rsid w:val="00A67AFA"/>
    <w:rsid w:val="00A67B24"/>
    <w:rsid w:val="00A67C07"/>
    <w:rsid w:val="00A67E52"/>
    <w:rsid w:val="00A70333"/>
    <w:rsid w:val="00A7066C"/>
    <w:rsid w:val="00A7069A"/>
    <w:rsid w:val="00A706EF"/>
    <w:rsid w:val="00A706FE"/>
    <w:rsid w:val="00A70924"/>
    <w:rsid w:val="00A710A9"/>
    <w:rsid w:val="00A71130"/>
    <w:rsid w:val="00A7116E"/>
    <w:rsid w:val="00A711BE"/>
    <w:rsid w:val="00A713AE"/>
    <w:rsid w:val="00A714B4"/>
    <w:rsid w:val="00A71590"/>
    <w:rsid w:val="00A71646"/>
    <w:rsid w:val="00A71826"/>
    <w:rsid w:val="00A719DD"/>
    <w:rsid w:val="00A71DA0"/>
    <w:rsid w:val="00A720CE"/>
    <w:rsid w:val="00A72344"/>
    <w:rsid w:val="00A725F0"/>
    <w:rsid w:val="00A72813"/>
    <w:rsid w:val="00A72850"/>
    <w:rsid w:val="00A72BD5"/>
    <w:rsid w:val="00A7333F"/>
    <w:rsid w:val="00A73429"/>
    <w:rsid w:val="00A73C7B"/>
    <w:rsid w:val="00A74204"/>
    <w:rsid w:val="00A742AD"/>
    <w:rsid w:val="00A7503E"/>
    <w:rsid w:val="00A7520D"/>
    <w:rsid w:val="00A752F6"/>
    <w:rsid w:val="00A752FB"/>
    <w:rsid w:val="00A755CE"/>
    <w:rsid w:val="00A75664"/>
    <w:rsid w:val="00A75D8D"/>
    <w:rsid w:val="00A75EEC"/>
    <w:rsid w:val="00A76868"/>
    <w:rsid w:val="00A768FF"/>
    <w:rsid w:val="00A76F0A"/>
    <w:rsid w:val="00A77318"/>
    <w:rsid w:val="00A7738E"/>
    <w:rsid w:val="00A775E6"/>
    <w:rsid w:val="00A77718"/>
    <w:rsid w:val="00A777A1"/>
    <w:rsid w:val="00A778F4"/>
    <w:rsid w:val="00A7796C"/>
    <w:rsid w:val="00A77A49"/>
    <w:rsid w:val="00A77C09"/>
    <w:rsid w:val="00A77D86"/>
    <w:rsid w:val="00A80702"/>
    <w:rsid w:val="00A80989"/>
    <w:rsid w:val="00A80E24"/>
    <w:rsid w:val="00A81001"/>
    <w:rsid w:val="00A81303"/>
    <w:rsid w:val="00A814EC"/>
    <w:rsid w:val="00A8161C"/>
    <w:rsid w:val="00A81F61"/>
    <w:rsid w:val="00A8221F"/>
    <w:rsid w:val="00A8264D"/>
    <w:rsid w:val="00A82DBB"/>
    <w:rsid w:val="00A82DD3"/>
    <w:rsid w:val="00A82EF5"/>
    <w:rsid w:val="00A82EF8"/>
    <w:rsid w:val="00A835A5"/>
    <w:rsid w:val="00A8390C"/>
    <w:rsid w:val="00A83A70"/>
    <w:rsid w:val="00A83AEE"/>
    <w:rsid w:val="00A83ED7"/>
    <w:rsid w:val="00A840AC"/>
    <w:rsid w:val="00A84146"/>
    <w:rsid w:val="00A84182"/>
    <w:rsid w:val="00A84584"/>
    <w:rsid w:val="00A8466A"/>
    <w:rsid w:val="00A84ACD"/>
    <w:rsid w:val="00A85305"/>
    <w:rsid w:val="00A8538A"/>
    <w:rsid w:val="00A8584E"/>
    <w:rsid w:val="00A85D4B"/>
    <w:rsid w:val="00A86169"/>
    <w:rsid w:val="00A86331"/>
    <w:rsid w:val="00A86349"/>
    <w:rsid w:val="00A8651C"/>
    <w:rsid w:val="00A86535"/>
    <w:rsid w:val="00A86808"/>
    <w:rsid w:val="00A868BB"/>
    <w:rsid w:val="00A86BEB"/>
    <w:rsid w:val="00A870E8"/>
    <w:rsid w:val="00A87204"/>
    <w:rsid w:val="00A873E5"/>
    <w:rsid w:val="00A87561"/>
    <w:rsid w:val="00A8766F"/>
    <w:rsid w:val="00A8767F"/>
    <w:rsid w:val="00A87C51"/>
    <w:rsid w:val="00A87C63"/>
    <w:rsid w:val="00A87E3A"/>
    <w:rsid w:val="00A87ED2"/>
    <w:rsid w:val="00A90008"/>
    <w:rsid w:val="00A901DB"/>
    <w:rsid w:val="00A901F0"/>
    <w:rsid w:val="00A90A24"/>
    <w:rsid w:val="00A90B56"/>
    <w:rsid w:val="00A90E93"/>
    <w:rsid w:val="00A917B6"/>
    <w:rsid w:val="00A91882"/>
    <w:rsid w:val="00A9192A"/>
    <w:rsid w:val="00A91AE4"/>
    <w:rsid w:val="00A91D9F"/>
    <w:rsid w:val="00A91FB5"/>
    <w:rsid w:val="00A92109"/>
    <w:rsid w:val="00A9226C"/>
    <w:rsid w:val="00A92AD5"/>
    <w:rsid w:val="00A92D13"/>
    <w:rsid w:val="00A935AC"/>
    <w:rsid w:val="00A93763"/>
    <w:rsid w:val="00A93B40"/>
    <w:rsid w:val="00A93B71"/>
    <w:rsid w:val="00A93CA3"/>
    <w:rsid w:val="00A9454A"/>
    <w:rsid w:val="00A94B18"/>
    <w:rsid w:val="00A94E23"/>
    <w:rsid w:val="00A952F4"/>
    <w:rsid w:val="00A95425"/>
    <w:rsid w:val="00A958C3"/>
    <w:rsid w:val="00A95AC1"/>
    <w:rsid w:val="00A95AE1"/>
    <w:rsid w:val="00A95D9C"/>
    <w:rsid w:val="00A96009"/>
    <w:rsid w:val="00A960B5"/>
    <w:rsid w:val="00A962C6"/>
    <w:rsid w:val="00A962EA"/>
    <w:rsid w:val="00A96577"/>
    <w:rsid w:val="00A96588"/>
    <w:rsid w:val="00A965C3"/>
    <w:rsid w:val="00A967D9"/>
    <w:rsid w:val="00A968BE"/>
    <w:rsid w:val="00A96953"/>
    <w:rsid w:val="00A96BE7"/>
    <w:rsid w:val="00A96E6A"/>
    <w:rsid w:val="00A9707A"/>
    <w:rsid w:val="00A971EE"/>
    <w:rsid w:val="00A971F4"/>
    <w:rsid w:val="00A97202"/>
    <w:rsid w:val="00A97350"/>
    <w:rsid w:val="00A973CF"/>
    <w:rsid w:val="00A974AA"/>
    <w:rsid w:val="00A97654"/>
    <w:rsid w:val="00A97961"/>
    <w:rsid w:val="00A97B0C"/>
    <w:rsid w:val="00A97DC2"/>
    <w:rsid w:val="00AA02C1"/>
    <w:rsid w:val="00AA0615"/>
    <w:rsid w:val="00AA14E4"/>
    <w:rsid w:val="00AA179F"/>
    <w:rsid w:val="00AA1862"/>
    <w:rsid w:val="00AA18B2"/>
    <w:rsid w:val="00AA18F8"/>
    <w:rsid w:val="00AA1A76"/>
    <w:rsid w:val="00AA1C71"/>
    <w:rsid w:val="00AA1D3E"/>
    <w:rsid w:val="00AA1FA9"/>
    <w:rsid w:val="00AA209A"/>
    <w:rsid w:val="00AA2310"/>
    <w:rsid w:val="00AA2316"/>
    <w:rsid w:val="00AA27C8"/>
    <w:rsid w:val="00AA2FB2"/>
    <w:rsid w:val="00AA30C4"/>
    <w:rsid w:val="00AA352A"/>
    <w:rsid w:val="00AA35F6"/>
    <w:rsid w:val="00AA3C76"/>
    <w:rsid w:val="00AA3C80"/>
    <w:rsid w:val="00AA3E18"/>
    <w:rsid w:val="00AA42AE"/>
    <w:rsid w:val="00AA47DE"/>
    <w:rsid w:val="00AA49E0"/>
    <w:rsid w:val="00AA4A69"/>
    <w:rsid w:val="00AA4A6D"/>
    <w:rsid w:val="00AA4A84"/>
    <w:rsid w:val="00AA4BD3"/>
    <w:rsid w:val="00AA4D31"/>
    <w:rsid w:val="00AA4EE5"/>
    <w:rsid w:val="00AA4F5F"/>
    <w:rsid w:val="00AA533A"/>
    <w:rsid w:val="00AA5371"/>
    <w:rsid w:val="00AA5AB6"/>
    <w:rsid w:val="00AA5D54"/>
    <w:rsid w:val="00AA5F6A"/>
    <w:rsid w:val="00AA65AC"/>
    <w:rsid w:val="00AA697E"/>
    <w:rsid w:val="00AA6A88"/>
    <w:rsid w:val="00AA70C1"/>
    <w:rsid w:val="00AA7128"/>
    <w:rsid w:val="00AA7306"/>
    <w:rsid w:val="00AA73C4"/>
    <w:rsid w:val="00AA748F"/>
    <w:rsid w:val="00AA74E6"/>
    <w:rsid w:val="00AA7609"/>
    <w:rsid w:val="00AA762F"/>
    <w:rsid w:val="00AA78AB"/>
    <w:rsid w:val="00AA7916"/>
    <w:rsid w:val="00AA7F1E"/>
    <w:rsid w:val="00AA7F61"/>
    <w:rsid w:val="00AA7F95"/>
    <w:rsid w:val="00AB02F4"/>
    <w:rsid w:val="00AB02FE"/>
    <w:rsid w:val="00AB04D3"/>
    <w:rsid w:val="00AB0784"/>
    <w:rsid w:val="00AB0BD0"/>
    <w:rsid w:val="00AB0C08"/>
    <w:rsid w:val="00AB0E49"/>
    <w:rsid w:val="00AB0ECB"/>
    <w:rsid w:val="00AB10EC"/>
    <w:rsid w:val="00AB1211"/>
    <w:rsid w:val="00AB1355"/>
    <w:rsid w:val="00AB15F8"/>
    <w:rsid w:val="00AB1707"/>
    <w:rsid w:val="00AB1C00"/>
    <w:rsid w:val="00AB1C8D"/>
    <w:rsid w:val="00AB1D80"/>
    <w:rsid w:val="00AB29E1"/>
    <w:rsid w:val="00AB2AFD"/>
    <w:rsid w:val="00AB3257"/>
    <w:rsid w:val="00AB3774"/>
    <w:rsid w:val="00AB395B"/>
    <w:rsid w:val="00AB3A69"/>
    <w:rsid w:val="00AB3B8B"/>
    <w:rsid w:val="00AB3BD1"/>
    <w:rsid w:val="00AB3D9A"/>
    <w:rsid w:val="00AB4342"/>
    <w:rsid w:val="00AB469A"/>
    <w:rsid w:val="00AB471E"/>
    <w:rsid w:val="00AB4868"/>
    <w:rsid w:val="00AB4874"/>
    <w:rsid w:val="00AB4B17"/>
    <w:rsid w:val="00AB5037"/>
    <w:rsid w:val="00AB51E6"/>
    <w:rsid w:val="00AB53C3"/>
    <w:rsid w:val="00AB5416"/>
    <w:rsid w:val="00AB5996"/>
    <w:rsid w:val="00AB5A7C"/>
    <w:rsid w:val="00AB5CAC"/>
    <w:rsid w:val="00AB5CCB"/>
    <w:rsid w:val="00AB5FD9"/>
    <w:rsid w:val="00AB6052"/>
    <w:rsid w:val="00AB6127"/>
    <w:rsid w:val="00AB64A9"/>
    <w:rsid w:val="00AB6862"/>
    <w:rsid w:val="00AB6A2A"/>
    <w:rsid w:val="00AB6A53"/>
    <w:rsid w:val="00AB6FAF"/>
    <w:rsid w:val="00AB7269"/>
    <w:rsid w:val="00AB7290"/>
    <w:rsid w:val="00AB72CA"/>
    <w:rsid w:val="00AB7481"/>
    <w:rsid w:val="00AB7A75"/>
    <w:rsid w:val="00AB7D33"/>
    <w:rsid w:val="00AC0007"/>
    <w:rsid w:val="00AC0136"/>
    <w:rsid w:val="00AC0483"/>
    <w:rsid w:val="00AC0754"/>
    <w:rsid w:val="00AC0951"/>
    <w:rsid w:val="00AC0EB0"/>
    <w:rsid w:val="00AC12F1"/>
    <w:rsid w:val="00AC143B"/>
    <w:rsid w:val="00AC1778"/>
    <w:rsid w:val="00AC199C"/>
    <w:rsid w:val="00AC1AC4"/>
    <w:rsid w:val="00AC1BAB"/>
    <w:rsid w:val="00AC232B"/>
    <w:rsid w:val="00AC2A5A"/>
    <w:rsid w:val="00AC2EAE"/>
    <w:rsid w:val="00AC2EBD"/>
    <w:rsid w:val="00AC2EFA"/>
    <w:rsid w:val="00AC2FB5"/>
    <w:rsid w:val="00AC30A9"/>
    <w:rsid w:val="00AC32D8"/>
    <w:rsid w:val="00AC33D1"/>
    <w:rsid w:val="00AC3B61"/>
    <w:rsid w:val="00AC3BF2"/>
    <w:rsid w:val="00AC3E77"/>
    <w:rsid w:val="00AC42D8"/>
    <w:rsid w:val="00AC438D"/>
    <w:rsid w:val="00AC4B3B"/>
    <w:rsid w:val="00AC504B"/>
    <w:rsid w:val="00AC509E"/>
    <w:rsid w:val="00AC51FB"/>
    <w:rsid w:val="00AC570C"/>
    <w:rsid w:val="00AC5718"/>
    <w:rsid w:val="00AC584F"/>
    <w:rsid w:val="00AC5B4D"/>
    <w:rsid w:val="00AC5CAA"/>
    <w:rsid w:val="00AC5CC8"/>
    <w:rsid w:val="00AC5F2F"/>
    <w:rsid w:val="00AC6421"/>
    <w:rsid w:val="00AC6459"/>
    <w:rsid w:val="00AC73DA"/>
    <w:rsid w:val="00AC7836"/>
    <w:rsid w:val="00AC78F5"/>
    <w:rsid w:val="00AC7962"/>
    <w:rsid w:val="00AC7BD0"/>
    <w:rsid w:val="00AC7C58"/>
    <w:rsid w:val="00AC7E0E"/>
    <w:rsid w:val="00AC7F2D"/>
    <w:rsid w:val="00AD01B6"/>
    <w:rsid w:val="00AD02F9"/>
    <w:rsid w:val="00AD06B8"/>
    <w:rsid w:val="00AD08A9"/>
    <w:rsid w:val="00AD0F15"/>
    <w:rsid w:val="00AD11B7"/>
    <w:rsid w:val="00AD1422"/>
    <w:rsid w:val="00AD17E4"/>
    <w:rsid w:val="00AD17F8"/>
    <w:rsid w:val="00AD1A54"/>
    <w:rsid w:val="00AD1C05"/>
    <w:rsid w:val="00AD2EE5"/>
    <w:rsid w:val="00AD30CE"/>
    <w:rsid w:val="00AD31AA"/>
    <w:rsid w:val="00AD3317"/>
    <w:rsid w:val="00AD34CA"/>
    <w:rsid w:val="00AD3608"/>
    <w:rsid w:val="00AD3687"/>
    <w:rsid w:val="00AD3B75"/>
    <w:rsid w:val="00AD3BED"/>
    <w:rsid w:val="00AD3F35"/>
    <w:rsid w:val="00AD4297"/>
    <w:rsid w:val="00AD433E"/>
    <w:rsid w:val="00AD4575"/>
    <w:rsid w:val="00AD46BB"/>
    <w:rsid w:val="00AD46DC"/>
    <w:rsid w:val="00AD4850"/>
    <w:rsid w:val="00AD48DB"/>
    <w:rsid w:val="00AD498C"/>
    <w:rsid w:val="00AD4CD9"/>
    <w:rsid w:val="00AD4E83"/>
    <w:rsid w:val="00AD51BA"/>
    <w:rsid w:val="00AD52C0"/>
    <w:rsid w:val="00AD5383"/>
    <w:rsid w:val="00AD53F2"/>
    <w:rsid w:val="00AD5456"/>
    <w:rsid w:val="00AD59C2"/>
    <w:rsid w:val="00AD624B"/>
    <w:rsid w:val="00AD663D"/>
    <w:rsid w:val="00AD6A00"/>
    <w:rsid w:val="00AD6E05"/>
    <w:rsid w:val="00AD6FBA"/>
    <w:rsid w:val="00AD7065"/>
    <w:rsid w:val="00AD7331"/>
    <w:rsid w:val="00AD7492"/>
    <w:rsid w:val="00AD75C5"/>
    <w:rsid w:val="00AD7861"/>
    <w:rsid w:val="00AE0165"/>
    <w:rsid w:val="00AE017A"/>
    <w:rsid w:val="00AE032A"/>
    <w:rsid w:val="00AE068C"/>
    <w:rsid w:val="00AE06E4"/>
    <w:rsid w:val="00AE091C"/>
    <w:rsid w:val="00AE0A39"/>
    <w:rsid w:val="00AE0AFE"/>
    <w:rsid w:val="00AE0C81"/>
    <w:rsid w:val="00AE0EF6"/>
    <w:rsid w:val="00AE10C1"/>
    <w:rsid w:val="00AE15AB"/>
    <w:rsid w:val="00AE19D6"/>
    <w:rsid w:val="00AE1A63"/>
    <w:rsid w:val="00AE1ACE"/>
    <w:rsid w:val="00AE1BD6"/>
    <w:rsid w:val="00AE1CFF"/>
    <w:rsid w:val="00AE21BA"/>
    <w:rsid w:val="00AE246F"/>
    <w:rsid w:val="00AE2572"/>
    <w:rsid w:val="00AE2A5D"/>
    <w:rsid w:val="00AE2AB7"/>
    <w:rsid w:val="00AE2C2D"/>
    <w:rsid w:val="00AE2C7A"/>
    <w:rsid w:val="00AE2DD7"/>
    <w:rsid w:val="00AE2E06"/>
    <w:rsid w:val="00AE33DA"/>
    <w:rsid w:val="00AE4DA1"/>
    <w:rsid w:val="00AE4E2A"/>
    <w:rsid w:val="00AE53AD"/>
    <w:rsid w:val="00AE5460"/>
    <w:rsid w:val="00AE5B4B"/>
    <w:rsid w:val="00AE5B8D"/>
    <w:rsid w:val="00AE5CDF"/>
    <w:rsid w:val="00AE5E88"/>
    <w:rsid w:val="00AE60D5"/>
    <w:rsid w:val="00AE630B"/>
    <w:rsid w:val="00AE67E5"/>
    <w:rsid w:val="00AE6864"/>
    <w:rsid w:val="00AE69DD"/>
    <w:rsid w:val="00AE6CC7"/>
    <w:rsid w:val="00AE6E25"/>
    <w:rsid w:val="00AE6F97"/>
    <w:rsid w:val="00AE70D7"/>
    <w:rsid w:val="00AE7244"/>
    <w:rsid w:val="00AE724D"/>
    <w:rsid w:val="00AE7562"/>
    <w:rsid w:val="00AE7670"/>
    <w:rsid w:val="00AE78C4"/>
    <w:rsid w:val="00AE7B6C"/>
    <w:rsid w:val="00AE7BE5"/>
    <w:rsid w:val="00AE7C2A"/>
    <w:rsid w:val="00AF00F6"/>
    <w:rsid w:val="00AF0697"/>
    <w:rsid w:val="00AF0B44"/>
    <w:rsid w:val="00AF0C3B"/>
    <w:rsid w:val="00AF0C58"/>
    <w:rsid w:val="00AF0D91"/>
    <w:rsid w:val="00AF0D97"/>
    <w:rsid w:val="00AF0EA2"/>
    <w:rsid w:val="00AF0F22"/>
    <w:rsid w:val="00AF0F2C"/>
    <w:rsid w:val="00AF0FB4"/>
    <w:rsid w:val="00AF123B"/>
    <w:rsid w:val="00AF1458"/>
    <w:rsid w:val="00AF1483"/>
    <w:rsid w:val="00AF1666"/>
    <w:rsid w:val="00AF1D4F"/>
    <w:rsid w:val="00AF1DDB"/>
    <w:rsid w:val="00AF1FDB"/>
    <w:rsid w:val="00AF1FF5"/>
    <w:rsid w:val="00AF2CA4"/>
    <w:rsid w:val="00AF2F64"/>
    <w:rsid w:val="00AF32EC"/>
    <w:rsid w:val="00AF349E"/>
    <w:rsid w:val="00AF359B"/>
    <w:rsid w:val="00AF3600"/>
    <w:rsid w:val="00AF3A71"/>
    <w:rsid w:val="00AF3CF2"/>
    <w:rsid w:val="00AF3F84"/>
    <w:rsid w:val="00AF3F8A"/>
    <w:rsid w:val="00AF41A5"/>
    <w:rsid w:val="00AF42F9"/>
    <w:rsid w:val="00AF4993"/>
    <w:rsid w:val="00AF4A04"/>
    <w:rsid w:val="00AF4D47"/>
    <w:rsid w:val="00AF4EAC"/>
    <w:rsid w:val="00AF5892"/>
    <w:rsid w:val="00AF5B96"/>
    <w:rsid w:val="00AF5D73"/>
    <w:rsid w:val="00AF5FD3"/>
    <w:rsid w:val="00AF61A5"/>
    <w:rsid w:val="00AF693B"/>
    <w:rsid w:val="00AF6A5C"/>
    <w:rsid w:val="00AF6C2C"/>
    <w:rsid w:val="00AF6D99"/>
    <w:rsid w:val="00AF7054"/>
    <w:rsid w:val="00AF7183"/>
    <w:rsid w:val="00AF75EA"/>
    <w:rsid w:val="00AF7603"/>
    <w:rsid w:val="00AF78D6"/>
    <w:rsid w:val="00AF79B9"/>
    <w:rsid w:val="00AF7C53"/>
    <w:rsid w:val="00AF7E41"/>
    <w:rsid w:val="00B00226"/>
    <w:rsid w:val="00B00383"/>
    <w:rsid w:val="00B0078D"/>
    <w:rsid w:val="00B00794"/>
    <w:rsid w:val="00B00C1F"/>
    <w:rsid w:val="00B00C59"/>
    <w:rsid w:val="00B011DE"/>
    <w:rsid w:val="00B01298"/>
    <w:rsid w:val="00B01711"/>
    <w:rsid w:val="00B0183A"/>
    <w:rsid w:val="00B01E68"/>
    <w:rsid w:val="00B0208E"/>
    <w:rsid w:val="00B0211E"/>
    <w:rsid w:val="00B02183"/>
    <w:rsid w:val="00B02382"/>
    <w:rsid w:val="00B025D8"/>
    <w:rsid w:val="00B02ADA"/>
    <w:rsid w:val="00B02BE2"/>
    <w:rsid w:val="00B02EFD"/>
    <w:rsid w:val="00B02FFD"/>
    <w:rsid w:val="00B030E1"/>
    <w:rsid w:val="00B033C4"/>
    <w:rsid w:val="00B035A2"/>
    <w:rsid w:val="00B03627"/>
    <w:rsid w:val="00B037F0"/>
    <w:rsid w:val="00B038C5"/>
    <w:rsid w:val="00B039B4"/>
    <w:rsid w:val="00B03B33"/>
    <w:rsid w:val="00B03CFA"/>
    <w:rsid w:val="00B03E8E"/>
    <w:rsid w:val="00B042A8"/>
    <w:rsid w:val="00B04463"/>
    <w:rsid w:val="00B04869"/>
    <w:rsid w:val="00B04934"/>
    <w:rsid w:val="00B04BCB"/>
    <w:rsid w:val="00B0521D"/>
    <w:rsid w:val="00B0542E"/>
    <w:rsid w:val="00B0570B"/>
    <w:rsid w:val="00B059BD"/>
    <w:rsid w:val="00B05A5D"/>
    <w:rsid w:val="00B05AB1"/>
    <w:rsid w:val="00B05AC3"/>
    <w:rsid w:val="00B05C6F"/>
    <w:rsid w:val="00B05D33"/>
    <w:rsid w:val="00B05ED1"/>
    <w:rsid w:val="00B05FAB"/>
    <w:rsid w:val="00B06097"/>
    <w:rsid w:val="00B065DC"/>
    <w:rsid w:val="00B06710"/>
    <w:rsid w:val="00B068E9"/>
    <w:rsid w:val="00B06C07"/>
    <w:rsid w:val="00B06E03"/>
    <w:rsid w:val="00B06E4A"/>
    <w:rsid w:val="00B06EAE"/>
    <w:rsid w:val="00B071EB"/>
    <w:rsid w:val="00B072B0"/>
    <w:rsid w:val="00B07874"/>
    <w:rsid w:val="00B07ADE"/>
    <w:rsid w:val="00B07AEC"/>
    <w:rsid w:val="00B07C3E"/>
    <w:rsid w:val="00B10176"/>
    <w:rsid w:val="00B10650"/>
    <w:rsid w:val="00B107E1"/>
    <w:rsid w:val="00B10A14"/>
    <w:rsid w:val="00B10AAF"/>
    <w:rsid w:val="00B10B97"/>
    <w:rsid w:val="00B10C74"/>
    <w:rsid w:val="00B10CE5"/>
    <w:rsid w:val="00B10E4D"/>
    <w:rsid w:val="00B110FC"/>
    <w:rsid w:val="00B11253"/>
    <w:rsid w:val="00B115FA"/>
    <w:rsid w:val="00B11962"/>
    <w:rsid w:val="00B11FDC"/>
    <w:rsid w:val="00B1216F"/>
    <w:rsid w:val="00B121AE"/>
    <w:rsid w:val="00B121D1"/>
    <w:rsid w:val="00B126B9"/>
    <w:rsid w:val="00B12AB0"/>
    <w:rsid w:val="00B12C00"/>
    <w:rsid w:val="00B12D75"/>
    <w:rsid w:val="00B13040"/>
    <w:rsid w:val="00B13208"/>
    <w:rsid w:val="00B132CD"/>
    <w:rsid w:val="00B13405"/>
    <w:rsid w:val="00B13A91"/>
    <w:rsid w:val="00B13B0E"/>
    <w:rsid w:val="00B13D31"/>
    <w:rsid w:val="00B144FA"/>
    <w:rsid w:val="00B15001"/>
    <w:rsid w:val="00B15031"/>
    <w:rsid w:val="00B15045"/>
    <w:rsid w:val="00B1509C"/>
    <w:rsid w:val="00B150BD"/>
    <w:rsid w:val="00B151CF"/>
    <w:rsid w:val="00B15363"/>
    <w:rsid w:val="00B15E1E"/>
    <w:rsid w:val="00B1606F"/>
    <w:rsid w:val="00B160DD"/>
    <w:rsid w:val="00B16168"/>
    <w:rsid w:val="00B16808"/>
    <w:rsid w:val="00B168E5"/>
    <w:rsid w:val="00B16997"/>
    <w:rsid w:val="00B16D10"/>
    <w:rsid w:val="00B17325"/>
    <w:rsid w:val="00B17392"/>
    <w:rsid w:val="00B1753A"/>
    <w:rsid w:val="00B1775B"/>
    <w:rsid w:val="00B1784F"/>
    <w:rsid w:val="00B17D0C"/>
    <w:rsid w:val="00B17D5A"/>
    <w:rsid w:val="00B17F88"/>
    <w:rsid w:val="00B20036"/>
    <w:rsid w:val="00B201AD"/>
    <w:rsid w:val="00B20631"/>
    <w:rsid w:val="00B20AE0"/>
    <w:rsid w:val="00B20C06"/>
    <w:rsid w:val="00B20D50"/>
    <w:rsid w:val="00B20D69"/>
    <w:rsid w:val="00B20FE7"/>
    <w:rsid w:val="00B20FFE"/>
    <w:rsid w:val="00B2101B"/>
    <w:rsid w:val="00B212A0"/>
    <w:rsid w:val="00B212BF"/>
    <w:rsid w:val="00B21672"/>
    <w:rsid w:val="00B217B8"/>
    <w:rsid w:val="00B21801"/>
    <w:rsid w:val="00B21C81"/>
    <w:rsid w:val="00B2209D"/>
    <w:rsid w:val="00B2228D"/>
    <w:rsid w:val="00B2236E"/>
    <w:rsid w:val="00B223B8"/>
    <w:rsid w:val="00B22401"/>
    <w:rsid w:val="00B22521"/>
    <w:rsid w:val="00B22739"/>
    <w:rsid w:val="00B22895"/>
    <w:rsid w:val="00B22AF9"/>
    <w:rsid w:val="00B22F75"/>
    <w:rsid w:val="00B22FA0"/>
    <w:rsid w:val="00B23044"/>
    <w:rsid w:val="00B231ED"/>
    <w:rsid w:val="00B2365B"/>
    <w:rsid w:val="00B23A0D"/>
    <w:rsid w:val="00B23A76"/>
    <w:rsid w:val="00B23CAA"/>
    <w:rsid w:val="00B23E1E"/>
    <w:rsid w:val="00B24089"/>
    <w:rsid w:val="00B241EE"/>
    <w:rsid w:val="00B2467C"/>
    <w:rsid w:val="00B24B87"/>
    <w:rsid w:val="00B24E3D"/>
    <w:rsid w:val="00B25300"/>
    <w:rsid w:val="00B2546D"/>
    <w:rsid w:val="00B25792"/>
    <w:rsid w:val="00B2599E"/>
    <w:rsid w:val="00B25C7D"/>
    <w:rsid w:val="00B25E83"/>
    <w:rsid w:val="00B26CFB"/>
    <w:rsid w:val="00B27006"/>
    <w:rsid w:val="00B27122"/>
    <w:rsid w:val="00B2738E"/>
    <w:rsid w:val="00B2756D"/>
    <w:rsid w:val="00B275E4"/>
    <w:rsid w:val="00B279E4"/>
    <w:rsid w:val="00B27B92"/>
    <w:rsid w:val="00B27C0B"/>
    <w:rsid w:val="00B27CC8"/>
    <w:rsid w:val="00B27F05"/>
    <w:rsid w:val="00B30106"/>
    <w:rsid w:val="00B302D0"/>
    <w:rsid w:val="00B30558"/>
    <w:rsid w:val="00B305C0"/>
    <w:rsid w:val="00B30836"/>
    <w:rsid w:val="00B3090B"/>
    <w:rsid w:val="00B30B13"/>
    <w:rsid w:val="00B310D1"/>
    <w:rsid w:val="00B31AAB"/>
    <w:rsid w:val="00B31D88"/>
    <w:rsid w:val="00B31DD7"/>
    <w:rsid w:val="00B31DFE"/>
    <w:rsid w:val="00B31F98"/>
    <w:rsid w:val="00B32162"/>
    <w:rsid w:val="00B324FD"/>
    <w:rsid w:val="00B3257B"/>
    <w:rsid w:val="00B32DA4"/>
    <w:rsid w:val="00B33CA6"/>
    <w:rsid w:val="00B33CB0"/>
    <w:rsid w:val="00B344AB"/>
    <w:rsid w:val="00B346DE"/>
    <w:rsid w:val="00B34704"/>
    <w:rsid w:val="00B3500D"/>
    <w:rsid w:val="00B3537A"/>
    <w:rsid w:val="00B353A7"/>
    <w:rsid w:val="00B3576E"/>
    <w:rsid w:val="00B35995"/>
    <w:rsid w:val="00B35D7E"/>
    <w:rsid w:val="00B35E09"/>
    <w:rsid w:val="00B364C0"/>
    <w:rsid w:val="00B368E5"/>
    <w:rsid w:val="00B36A3E"/>
    <w:rsid w:val="00B36FD7"/>
    <w:rsid w:val="00B3731E"/>
    <w:rsid w:val="00B37502"/>
    <w:rsid w:val="00B3755C"/>
    <w:rsid w:val="00B377BD"/>
    <w:rsid w:val="00B37853"/>
    <w:rsid w:val="00B37AFD"/>
    <w:rsid w:val="00B37B72"/>
    <w:rsid w:val="00B37C05"/>
    <w:rsid w:val="00B37E2F"/>
    <w:rsid w:val="00B40110"/>
    <w:rsid w:val="00B40576"/>
    <w:rsid w:val="00B406D7"/>
    <w:rsid w:val="00B4073A"/>
    <w:rsid w:val="00B408D6"/>
    <w:rsid w:val="00B40950"/>
    <w:rsid w:val="00B40A02"/>
    <w:rsid w:val="00B40D0D"/>
    <w:rsid w:val="00B40F57"/>
    <w:rsid w:val="00B40FFD"/>
    <w:rsid w:val="00B41218"/>
    <w:rsid w:val="00B4124C"/>
    <w:rsid w:val="00B41367"/>
    <w:rsid w:val="00B41476"/>
    <w:rsid w:val="00B41BA6"/>
    <w:rsid w:val="00B41D32"/>
    <w:rsid w:val="00B41F76"/>
    <w:rsid w:val="00B42149"/>
    <w:rsid w:val="00B42925"/>
    <w:rsid w:val="00B42C6B"/>
    <w:rsid w:val="00B430AC"/>
    <w:rsid w:val="00B4318B"/>
    <w:rsid w:val="00B432D8"/>
    <w:rsid w:val="00B4372F"/>
    <w:rsid w:val="00B43D72"/>
    <w:rsid w:val="00B44053"/>
    <w:rsid w:val="00B4430A"/>
    <w:rsid w:val="00B449C0"/>
    <w:rsid w:val="00B44A21"/>
    <w:rsid w:val="00B44BED"/>
    <w:rsid w:val="00B44DD7"/>
    <w:rsid w:val="00B44E9B"/>
    <w:rsid w:val="00B4542B"/>
    <w:rsid w:val="00B45720"/>
    <w:rsid w:val="00B45C90"/>
    <w:rsid w:val="00B45D5A"/>
    <w:rsid w:val="00B45FD2"/>
    <w:rsid w:val="00B4623A"/>
    <w:rsid w:val="00B4642B"/>
    <w:rsid w:val="00B464C5"/>
    <w:rsid w:val="00B4670F"/>
    <w:rsid w:val="00B46737"/>
    <w:rsid w:val="00B4673E"/>
    <w:rsid w:val="00B468C5"/>
    <w:rsid w:val="00B46901"/>
    <w:rsid w:val="00B46B56"/>
    <w:rsid w:val="00B46C75"/>
    <w:rsid w:val="00B46DB2"/>
    <w:rsid w:val="00B46E6C"/>
    <w:rsid w:val="00B470FD"/>
    <w:rsid w:val="00B47215"/>
    <w:rsid w:val="00B473E9"/>
    <w:rsid w:val="00B47682"/>
    <w:rsid w:val="00B477D0"/>
    <w:rsid w:val="00B47871"/>
    <w:rsid w:val="00B47A8B"/>
    <w:rsid w:val="00B47CF1"/>
    <w:rsid w:val="00B47E90"/>
    <w:rsid w:val="00B47FB0"/>
    <w:rsid w:val="00B47FC3"/>
    <w:rsid w:val="00B50152"/>
    <w:rsid w:val="00B5047F"/>
    <w:rsid w:val="00B50712"/>
    <w:rsid w:val="00B50849"/>
    <w:rsid w:val="00B50AA8"/>
    <w:rsid w:val="00B50E46"/>
    <w:rsid w:val="00B50F33"/>
    <w:rsid w:val="00B510FD"/>
    <w:rsid w:val="00B516D5"/>
    <w:rsid w:val="00B519B5"/>
    <w:rsid w:val="00B51A97"/>
    <w:rsid w:val="00B5271B"/>
    <w:rsid w:val="00B52A4D"/>
    <w:rsid w:val="00B52D02"/>
    <w:rsid w:val="00B52EEA"/>
    <w:rsid w:val="00B530A4"/>
    <w:rsid w:val="00B5315A"/>
    <w:rsid w:val="00B53172"/>
    <w:rsid w:val="00B5326A"/>
    <w:rsid w:val="00B535E1"/>
    <w:rsid w:val="00B53A61"/>
    <w:rsid w:val="00B53AD3"/>
    <w:rsid w:val="00B53B67"/>
    <w:rsid w:val="00B53C0D"/>
    <w:rsid w:val="00B5444C"/>
    <w:rsid w:val="00B54483"/>
    <w:rsid w:val="00B5467A"/>
    <w:rsid w:val="00B54842"/>
    <w:rsid w:val="00B54ABF"/>
    <w:rsid w:val="00B54D59"/>
    <w:rsid w:val="00B54FC6"/>
    <w:rsid w:val="00B54FFC"/>
    <w:rsid w:val="00B552AC"/>
    <w:rsid w:val="00B5541E"/>
    <w:rsid w:val="00B55595"/>
    <w:rsid w:val="00B555CF"/>
    <w:rsid w:val="00B558DA"/>
    <w:rsid w:val="00B55D58"/>
    <w:rsid w:val="00B55F4D"/>
    <w:rsid w:val="00B5622B"/>
    <w:rsid w:val="00B5627A"/>
    <w:rsid w:val="00B5698E"/>
    <w:rsid w:val="00B56E44"/>
    <w:rsid w:val="00B573EB"/>
    <w:rsid w:val="00B5796E"/>
    <w:rsid w:val="00B57CA1"/>
    <w:rsid w:val="00B57D5C"/>
    <w:rsid w:val="00B57F1E"/>
    <w:rsid w:val="00B57FC7"/>
    <w:rsid w:val="00B60351"/>
    <w:rsid w:val="00B60575"/>
    <w:rsid w:val="00B60763"/>
    <w:rsid w:val="00B60969"/>
    <w:rsid w:val="00B60B05"/>
    <w:rsid w:val="00B61055"/>
    <w:rsid w:val="00B61F02"/>
    <w:rsid w:val="00B62000"/>
    <w:rsid w:val="00B6235D"/>
    <w:rsid w:val="00B6257E"/>
    <w:rsid w:val="00B626A5"/>
    <w:rsid w:val="00B62869"/>
    <w:rsid w:val="00B629B8"/>
    <w:rsid w:val="00B62BF0"/>
    <w:rsid w:val="00B62EE8"/>
    <w:rsid w:val="00B6304D"/>
    <w:rsid w:val="00B630F8"/>
    <w:rsid w:val="00B6311A"/>
    <w:rsid w:val="00B63444"/>
    <w:rsid w:val="00B636C8"/>
    <w:rsid w:val="00B63712"/>
    <w:rsid w:val="00B6393F"/>
    <w:rsid w:val="00B63D8F"/>
    <w:rsid w:val="00B64055"/>
    <w:rsid w:val="00B6426C"/>
    <w:rsid w:val="00B642C4"/>
    <w:rsid w:val="00B645FE"/>
    <w:rsid w:val="00B647D4"/>
    <w:rsid w:val="00B6483F"/>
    <w:rsid w:val="00B65057"/>
    <w:rsid w:val="00B65A26"/>
    <w:rsid w:val="00B663FA"/>
    <w:rsid w:val="00B664ED"/>
    <w:rsid w:val="00B66639"/>
    <w:rsid w:val="00B6672A"/>
    <w:rsid w:val="00B667D8"/>
    <w:rsid w:val="00B66831"/>
    <w:rsid w:val="00B66C5F"/>
    <w:rsid w:val="00B66F4C"/>
    <w:rsid w:val="00B66F90"/>
    <w:rsid w:val="00B6732A"/>
    <w:rsid w:val="00B673E1"/>
    <w:rsid w:val="00B67813"/>
    <w:rsid w:val="00B67959"/>
    <w:rsid w:val="00B67B6F"/>
    <w:rsid w:val="00B67C88"/>
    <w:rsid w:val="00B7016D"/>
    <w:rsid w:val="00B70183"/>
    <w:rsid w:val="00B70259"/>
    <w:rsid w:val="00B7035C"/>
    <w:rsid w:val="00B705F7"/>
    <w:rsid w:val="00B708A7"/>
    <w:rsid w:val="00B708B9"/>
    <w:rsid w:val="00B70CEC"/>
    <w:rsid w:val="00B71184"/>
    <w:rsid w:val="00B712AB"/>
    <w:rsid w:val="00B71584"/>
    <w:rsid w:val="00B715A9"/>
    <w:rsid w:val="00B71AA4"/>
    <w:rsid w:val="00B71BE4"/>
    <w:rsid w:val="00B71FB1"/>
    <w:rsid w:val="00B71FEF"/>
    <w:rsid w:val="00B724B4"/>
    <w:rsid w:val="00B724D7"/>
    <w:rsid w:val="00B728A5"/>
    <w:rsid w:val="00B728FD"/>
    <w:rsid w:val="00B72D42"/>
    <w:rsid w:val="00B72EA1"/>
    <w:rsid w:val="00B72F0E"/>
    <w:rsid w:val="00B731E5"/>
    <w:rsid w:val="00B737D9"/>
    <w:rsid w:val="00B73A21"/>
    <w:rsid w:val="00B73A8D"/>
    <w:rsid w:val="00B740BD"/>
    <w:rsid w:val="00B741BC"/>
    <w:rsid w:val="00B7450B"/>
    <w:rsid w:val="00B7450D"/>
    <w:rsid w:val="00B746E5"/>
    <w:rsid w:val="00B747BD"/>
    <w:rsid w:val="00B74AD7"/>
    <w:rsid w:val="00B74AEF"/>
    <w:rsid w:val="00B74B8C"/>
    <w:rsid w:val="00B7509E"/>
    <w:rsid w:val="00B752AC"/>
    <w:rsid w:val="00B7568A"/>
    <w:rsid w:val="00B756B7"/>
    <w:rsid w:val="00B75889"/>
    <w:rsid w:val="00B75B80"/>
    <w:rsid w:val="00B75E4E"/>
    <w:rsid w:val="00B760E9"/>
    <w:rsid w:val="00B76109"/>
    <w:rsid w:val="00B761DD"/>
    <w:rsid w:val="00B76488"/>
    <w:rsid w:val="00B76895"/>
    <w:rsid w:val="00B76A61"/>
    <w:rsid w:val="00B76AEB"/>
    <w:rsid w:val="00B76CD8"/>
    <w:rsid w:val="00B7703D"/>
    <w:rsid w:val="00B77049"/>
    <w:rsid w:val="00B7704F"/>
    <w:rsid w:val="00B77396"/>
    <w:rsid w:val="00B773A5"/>
    <w:rsid w:val="00B77400"/>
    <w:rsid w:val="00B77D86"/>
    <w:rsid w:val="00B8001E"/>
    <w:rsid w:val="00B807C4"/>
    <w:rsid w:val="00B8093C"/>
    <w:rsid w:val="00B80C52"/>
    <w:rsid w:val="00B819AC"/>
    <w:rsid w:val="00B81C21"/>
    <w:rsid w:val="00B81D17"/>
    <w:rsid w:val="00B81D69"/>
    <w:rsid w:val="00B81D98"/>
    <w:rsid w:val="00B8237B"/>
    <w:rsid w:val="00B82551"/>
    <w:rsid w:val="00B8268A"/>
    <w:rsid w:val="00B827B4"/>
    <w:rsid w:val="00B829BF"/>
    <w:rsid w:val="00B82BC0"/>
    <w:rsid w:val="00B82CE8"/>
    <w:rsid w:val="00B82D52"/>
    <w:rsid w:val="00B82FE9"/>
    <w:rsid w:val="00B83062"/>
    <w:rsid w:val="00B83674"/>
    <w:rsid w:val="00B83858"/>
    <w:rsid w:val="00B83AEE"/>
    <w:rsid w:val="00B83B2E"/>
    <w:rsid w:val="00B83C75"/>
    <w:rsid w:val="00B83E4D"/>
    <w:rsid w:val="00B83F04"/>
    <w:rsid w:val="00B845C3"/>
    <w:rsid w:val="00B84A43"/>
    <w:rsid w:val="00B84AE8"/>
    <w:rsid w:val="00B84CDA"/>
    <w:rsid w:val="00B84F30"/>
    <w:rsid w:val="00B84F6D"/>
    <w:rsid w:val="00B84F71"/>
    <w:rsid w:val="00B851A0"/>
    <w:rsid w:val="00B852B1"/>
    <w:rsid w:val="00B8579B"/>
    <w:rsid w:val="00B85A6B"/>
    <w:rsid w:val="00B85D4F"/>
    <w:rsid w:val="00B85EF4"/>
    <w:rsid w:val="00B85FA5"/>
    <w:rsid w:val="00B86F6C"/>
    <w:rsid w:val="00B87387"/>
    <w:rsid w:val="00B8790D"/>
    <w:rsid w:val="00B87BCB"/>
    <w:rsid w:val="00B87DFE"/>
    <w:rsid w:val="00B90921"/>
    <w:rsid w:val="00B90BA0"/>
    <w:rsid w:val="00B90F58"/>
    <w:rsid w:val="00B9129C"/>
    <w:rsid w:val="00B917FC"/>
    <w:rsid w:val="00B91B42"/>
    <w:rsid w:val="00B91B66"/>
    <w:rsid w:val="00B91C6C"/>
    <w:rsid w:val="00B91D97"/>
    <w:rsid w:val="00B91DF8"/>
    <w:rsid w:val="00B91E2F"/>
    <w:rsid w:val="00B91E5E"/>
    <w:rsid w:val="00B91F64"/>
    <w:rsid w:val="00B923DE"/>
    <w:rsid w:val="00B92415"/>
    <w:rsid w:val="00B929D6"/>
    <w:rsid w:val="00B92CDF"/>
    <w:rsid w:val="00B930E3"/>
    <w:rsid w:val="00B93137"/>
    <w:rsid w:val="00B93189"/>
    <w:rsid w:val="00B93441"/>
    <w:rsid w:val="00B9365E"/>
    <w:rsid w:val="00B936F7"/>
    <w:rsid w:val="00B93BD3"/>
    <w:rsid w:val="00B93D05"/>
    <w:rsid w:val="00B93F44"/>
    <w:rsid w:val="00B942AF"/>
    <w:rsid w:val="00B94A0F"/>
    <w:rsid w:val="00B94EDC"/>
    <w:rsid w:val="00B95342"/>
    <w:rsid w:val="00B953B4"/>
    <w:rsid w:val="00B95477"/>
    <w:rsid w:val="00B956D3"/>
    <w:rsid w:val="00B9572D"/>
    <w:rsid w:val="00B957B0"/>
    <w:rsid w:val="00B958DE"/>
    <w:rsid w:val="00B95F0F"/>
    <w:rsid w:val="00B96036"/>
    <w:rsid w:val="00B966D5"/>
    <w:rsid w:val="00B96E1B"/>
    <w:rsid w:val="00B97107"/>
    <w:rsid w:val="00B972AE"/>
    <w:rsid w:val="00B972B4"/>
    <w:rsid w:val="00B97501"/>
    <w:rsid w:val="00B9763C"/>
    <w:rsid w:val="00B9767F"/>
    <w:rsid w:val="00BA010D"/>
    <w:rsid w:val="00BA042E"/>
    <w:rsid w:val="00BA065D"/>
    <w:rsid w:val="00BA0706"/>
    <w:rsid w:val="00BA0A2B"/>
    <w:rsid w:val="00BA0AB7"/>
    <w:rsid w:val="00BA0C3C"/>
    <w:rsid w:val="00BA0CB1"/>
    <w:rsid w:val="00BA0D5C"/>
    <w:rsid w:val="00BA11A4"/>
    <w:rsid w:val="00BA136B"/>
    <w:rsid w:val="00BA13D0"/>
    <w:rsid w:val="00BA15EF"/>
    <w:rsid w:val="00BA170E"/>
    <w:rsid w:val="00BA1850"/>
    <w:rsid w:val="00BA1A10"/>
    <w:rsid w:val="00BA1B2A"/>
    <w:rsid w:val="00BA1B40"/>
    <w:rsid w:val="00BA1D54"/>
    <w:rsid w:val="00BA2005"/>
    <w:rsid w:val="00BA221E"/>
    <w:rsid w:val="00BA27D8"/>
    <w:rsid w:val="00BA2920"/>
    <w:rsid w:val="00BA2B38"/>
    <w:rsid w:val="00BA2F7E"/>
    <w:rsid w:val="00BA31AF"/>
    <w:rsid w:val="00BA31C6"/>
    <w:rsid w:val="00BA3225"/>
    <w:rsid w:val="00BA32AA"/>
    <w:rsid w:val="00BA32D6"/>
    <w:rsid w:val="00BA3913"/>
    <w:rsid w:val="00BA3AEC"/>
    <w:rsid w:val="00BA429E"/>
    <w:rsid w:val="00BA42EC"/>
    <w:rsid w:val="00BA4485"/>
    <w:rsid w:val="00BA47C1"/>
    <w:rsid w:val="00BA4B8B"/>
    <w:rsid w:val="00BA4BF0"/>
    <w:rsid w:val="00BA4EFC"/>
    <w:rsid w:val="00BA4F5A"/>
    <w:rsid w:val="00BA4FB1"/>
    <w:rsid w:val="00BA50F2"/>
    <w:rsid w:val="00BA530F"/>
    <w:rsid w:val="00BA5414"/>
    <w:rsid w:val="00BA5627"/>
    <w:rsid w:val="00BA5ABB"/>
    <w:rsid w:val="00BA5D07"/>
    <w:rsid w:val="00BA60B5"/>
    <w:rsid w:val="00BA67BE"/>
    <w:rsid w:val="00BA680A"/>
    <w:rsid w:val="00BA697A"/>
    <w:rsid w:val="00BA6C7F"/>
    <w:rsid w:val="00BA6EB1"/>
    <w:rsid w:val="00BA6F12"/>
    <w:rsid w:val="00BA711B"/>
    <w:rsid w:val="00BA7176"/>
    <w:rsid w:val="00BA7186"/>
    <w:rsid w:val="00BA7349"/>
    <w:rsid w:val="00BA753F"/>
    <w:rsid w:val="00BA76F2"/>
    <w:rsid w:val="00BA7736"/>
    <w:rsid w:val="00BA7A90"/>
    <w:rsid w:val="00BB0064"/>
    <w:rsid w:val="00BB0129"/>
    <w:rsid w:val="00BB0826"/>
    <w:rsid w:val="00BB0DD2"/>
    <w:rsid w:val="00BB0F62"/>
    <w:rsid w:val="00BB1388"/>
    <w:rsid w:val="00BB154A"/>
    <w:rsid w:val="00BB162B"/>
    <w:rsid w:val="00BB1C25"/>
    <w:rsid w:val="00BB1DB7"/>
    <w:rsid w:val="00BB1F64"/>
    <w:rsid w:val="00BB201E"/>
    <w:rsid w:val="00BB2070"/>
    <w:rsid w:val="00BB298C"/>
    <w:rsid w:val="00BB2A0E"/>
    <w:rsid w:val="00BB2A39"/>
    <w:rsid w:val="00BB2ABA"/>
    <w:rsid w:val="00BB2C92"/>
    <w:rsid w:val="00BB2FB1"/>
    <w:rsid w:val="00BB309A"/>
    <w:rsid w:val="00BB34D8"/>
    <w:rsid w:val="00BB359D"/>
    <w:rsid w:val="00BB35C6"/>
    <w:rsid w:val="00BB3840"/>
    <w:rsid w:val="00BB3C0E"/>
    <w:rsid w:val="00BB3C58"/>
    <w:rsid w:val="00BB3D2E"/>
    <w:rsid w:val="00BB3DD6"/>
    <w:rsid w:val="00BB3DE1"/>
    <w:rsid w:val="00BB40BE"/>
    <w:rsid w:val="00BB41B8"/>
    <w:rsid w:val="00BB4C16"/>
    <w:rsid w:val="00BB4D24"/>
    <w:rsid w:val="00BB52F2"/>
    <w:rsid w:val="00BB5591"/>
    <w:rsid w:val="00BB56A2"/>
    <w:rsid w:val="00BB579A"/>
    <w:rsid w:val="00BB5CB1"/>
    <w:rsid w:val="00BB5EE6"/>
    <w:rsid w:val="00BB624B"/>
    <w:rsid w:val="00BB62CA"/>
    <w:rsid w:val="00BB67C0"/>
    <w:rsid w:val="00BB69CF"/>
    <w:rsid w:val="00BB6C22"/>
    <w:rsid w:val="00BB6C49"/>
    <w:rsid w:val="00BB6F07"/>
    <w:rsid w:val="00BB6F14"/>
    <w:rsid w:val="00BB6F38"/>
    <w:rsid w:val="00BB6F68"/>
    <w:rsid w:val="00BB7013"/>
    <w:rsid w:val="00BB7095"/>
    <w:rsid w:val="00BB70B8"/>
    <w:rsid w:val="00BB72D2"/>
    <w:rsid w:val="00BB799D"/>
    <w:rsid w:val="00BB7AE6"/>
    <w:rsid w:val="00BB7C9A"/>
    <w:rsid w:val="00BB7F3B"/>
    <w:rsid w:val="00BC0626"/>
    <w:rsid w:val="00BC0704"/>
    <w:rsid w:val="00BC0EAC"/>
    <w:rsid w:val="00BC0EAD"/>
    <w:rsid w:val="00BC137E"/>
    <w:rsid w:val="00BC1476"/>
    <w:rsid w:val="00BC16AA"/>
    <w:rsid w:val="00BC1927"/>
    <w:rsid w:val="00BC19DB"/>
    <w:rsid w:val="00BC1A84"/>
    <w:rsid w:val="00BC1C7E"/>
    <w:rsid w:val="00BC1F58"/>
    <w:rsid w:val="00BC21B0"/>
    <w:rsid w:val="00BC228C"/>
    <w:rsid w:val="00BC22D3"/>
    <w:rsid w:val="00BC234D"/>
    <w:rsid w:val="00BC2406"/>
    <w:rsid w:val="00BC2616"/>
    <w:rsid w:val="00BC266E"/>
    <w:rsid w:val="00BC2D10"/>
    <w:rsid w:val="00BC2ED0"/>
    <w:rsid w:val="00BC2F6C"/>
    <w:rsid w:val="00BC3017"/>
    <w:rsid w:val="00BC3143"/>
    <w:rsid w:val="00BC35F7"/>
    <w:rsid w:val="00BC3BA7"/>
    <w:rsid w:val="00BC3BB1"/>
    <w:rsid w:val="00BC3CD9"/>
    <w:rsid w:val="00BC3D6D"/>
    <w:rsid w:val="00BC3D97"/>
    <w:rsid w:val="00BC3DB8"/>
    <w:rsid w:val="00BC430D"/>
    <w:rsid w:val="00BC436C"/>
    <w:rsid w:val="00BC46A2"/>
    <w:rsid w:val="00BC472A"/>
    <w:rsid w:val="00BC47DF"/>
    <w:rsid w:val="00BC4CE9"/>
    <w:rsid w:val="00BC4DA6"/>
    <w:rsid w:val="00BC4E89"/>
    <w:rsid w:val="00BC4FD1"/>
    <w:rsid w:val="00BC5802"/>
    <w:rsid w:val="00BC6114"/>
    <w:rsid w:val="00BC612E"/>
    <w:rsid w:val="00BC642F"/>
    <w:rsid w:val="00BC6587"/>
    <w:rsid w:val="00BC6738"/>
    <w:rsid w:val="00BC674C"/>
    <w:rsid w:val="00BC6B3B"/>
    <w:rsid w:val="00BC6D7F"/>
    <w:rsid w:val="00BC6F46"/>
    <w:rsid w:val="00BC7217"/>
    <w:rsid w:val="00BC7420"/>
    <w:rsid w:val="00BC7F22"/>
    <w:rsid w:val="00BC7F37"/>
    <w:rsid w:val="00BC7F4F"/>
    <w:rsid w:val="00BD033F"/>
    <w:rsid w:val="00BD0463"/>
    <w:rsid w:val="00BD04EF"/>
    <w:rsid w:val="00BD0560"/>
    <w:rsid w:val="00BD0669"/>
    <w:rsid w:val="00BD06D0"/>
    <w:rsid w:val="00BD0944"/>
    <w:rsid w:val="00BD098A"/>
    <w:rsid w:val="00BD0FCC"/>
    <w:rsid w:val="00BD12ED"/>
    <w:rsid w:val="00BD13E4"/>
    <w:rsid w:val="00BD164A"/>
    <w:rsid w:val="00BD195D"/>
    <w:rsid w:val="00BD1DAF"/>
    <w:rsid w:val="00BD2180"/>
    <w:rsid w:val="00BD2431"/>
    <w:rsid w:val="00BD25CA"/>
    <w:rsid w:val="00BD2608"/>
    <w:rsid w:val="00BD267E"/>
    <w:rsid w:val="00BD29CA"/>
    <w:rsid w:val="00BD2A57"/>
    <w:rsid w:val="00BD2D92"/>
    <w:rsid w:val="00BD2E85"/>
    <w:rsid w:val="00BD2EC6"/>
    <w:rsid w:val="00BD3036"/>
    <w:rsid w:val="00BD3457"/>
    <w:rsid w:val="00BD3734"/>
    <w:rsid w:val="00BD3777"/>
    <w:rsid w:val="00BD3BD2"/>
    <w:rsid w:val="00BD3D82"/>
    <w:rsid w:val="00BD3EB6"/>
    <w:rsid w:val="00BD3FB5"/>
    <w:rsid w:val="00BD4932"/>
    <w:rsid w:val="00BD4C6A"/>
    <w:rsid w:val="00BD50FF"/>
    <w:rsid w:val="00BD5304"/>
    <w:rsid w:val="00BD566A"/>
    <w:rsid w:val="00BD569C"/>
    <w:rsid w:val="00BD56DB"/>
    <w:rsid w:val="00BD6139"/>
    <w:rsid w:val="00BD6338"/>
    <w:rsid w:val="00BD6594"/>
    <w:rsid w:val="00BD669E"/>
    <w:rsid w:val="00BD68B4"/>
    <w:rsid w:val="00BD68B8"/>
    <w:rsid w:val="00BD6925"/>
    <w:rsid w:val="00BD6953"/>
    <w:rsid w:val="00BD6A7D"/>
    <w:rsid w:val="00BD6E53"/>
    <w:rsid w:val="00BD7399"/>
    <w:rsid w:val="00BD73C7"/>
    <w:rsid w:val="00BD74E7"/>
    <w:rsid w:val="00BD777D"/>
    <w:rsid w:val="00BD77B8"/>
    <w:rsid w:val="00BD79C8"/>
    <w:rsid w:val="00BD7A67"/>
    <w:rsid w:val="00BD7AF9"/>
    <w:rsid w:val="00BD7D59"/>
    <w:rsid w:val="00BD7E03"/>
    <w:rsid w:val="00BD7EA6"/>
    <w:rsid w:val="00BE0245"/>
    <w:rsid w:val="00BE03B7"/>
    <w:rsid w:val="00BE0B4C"/>
    <w:rsid w:val="00BE0B73"/>
    <w:rsid w:val="00BE109F"/>
    <w:rsid w:val="00BE11FD"/>
    <w:rsid w:val="00BE1221"/>
    <w:rsid w:val="00BE1580"/>
    <w:rsid w:val="00BE16FA"/>
    <w:rsid w:val="00BE1DC0"/>
    <w:rsid w:val="00BE2491"/>
    <w:rsid w:val="00BE263D"/>
    <w:rsid w:val="00BE27AD"/>
    <w:rsid w:val="00BE298C"/>
    <w:rsid w:val="00BE2D4E"/>
    <w:rsid w:val="00BE2D59"/>
    <w:rsid w:val="00BE2DFE"/>
    <w:rsid w:val="00BE2EF0"/>
    <w:rsid w:val="00BE2F12"/>
    <w:rsid w:val="00BE2F64"/>
    <w:rsid w:val="00BE30E1"/>
    <w:rsid w:val="00BE31A2"/>
    <w:rsid w:val="00BE3206"/>
    <w:rsid w:val="00BE33A3"/>
    <w:rsid w:val="00BE33A8"/>
    <w:rsid w:val="00BE3920"/>
    <w:rsid w:val="00BE3CCD"/>
    <w:rsid w:val="00BE3DF5"/>
    <w:rsid w:val="00BE3E79"/>
    <w:rsid w:val="00BE4184"/>
    <w:rsid w:val="00BE4844"/>
    <w:rsid w:val="00BE4B33"/>
    <w:rsid w:val="00BE4CA2"/>
    <w:rsid w:val="00BE4E03"/>
    <w:rsid w:val="00BE536B"/>
    <w:rsid w:val="00BE5DA4"/>
    <w:rsid w:val="00BE5DB8"/>
    <w:rsid w:val="00BE631C"/>
    <w:rsid w:val="00BE647C"/>
    <w:rsid w:val="00BE658D"/>
    <w:rsid w:val="00BE6634"/>
    <w:rsid w:val="00BE6754"/>
    <w:rsid w:val="00BE678A"/>
    <w:rsid w:val="00BE682E"/>
    <w:rsid w:val="00BE6D4F"/>
    <w:rsid w:val="00BE6DB0"/>
    <w:rsid w:val="00BE6DE7"/>
    <w:rsid w:val="00BE6F1D"/>
    <w:rsid w:val="00BE6FDE"/>
    <w:rsid w:val="00BE7012"/>
    <w:rsid w:val="00BE730C"/>
    <w:rsid w:val="00BE759E"/>
    <w:rsid w:val="00BE7600"/>
    <w:rsid w:val="00BE76EC"/>
    <w:rsid w:val="00BE791D"/>
    <w:rsid w:val="00BE7A79"/>
    <w:rsid w:val="00BE7CFA"/>
    <w:rsid w:val="00BF084E"/>
    <w:rsid w:val="00BF0EFA"/>
    <w:rsid w:val="00BF15D9"/>
    <w:rsid w:val="00BF162C"/>
    <w:rsid w:val="00BF16E1"/>
    <w:rsid w:val="00BF18B0"/>
    <w:rsid w:val="00BF205A"/>
    <w:rsid w:val="00BF20B8"/>
    <w:rsid w:val="00BF2167"/>
    <w:rsid w:val="00BF2186"/>
    <w:rsid w:val="00BF21A4"/>
    <w:rsid w:val="00BF241F"/>
    <w:rsid w:val="00BF2E9C"/>
    <w:rsid w:val="00BF3067"/>
    <w:rsid w:val="00BF3233"/>
    <w:rsid w:val="00BF3310"/>
    <w:rsid w:val="00BF379F"/>
    <w:rsid w:val="00BF37FD"/>
    <w:rsid w:val="00BF403C"/>
    <w:rsid w:val="00BF4298"/>
    <w:rsid w:val="00BF44DF"/>
    <w:rsid w:val="00BF48A0"/>
    <w:rsid w:val="00BF49C1"/>
    <w:rsid w:val="00BF4A2F"/>
    <w:rsid w:val="00BF4AA3"/>
    <w:rsid w:val="00BF4F20"/>
    <w:rsid w:val="00BF5023"/>
    <w:rsid w:val="00BF51BC"/>
    <w:rsid w:val="00BF535D"/>
    <w:rsid w:val="00BF5439"/>
    <w:rsid w:val="00BF54AD"/>
    <w:rsid w:val="00BF5834"/>
    <w:rsid w:val="00BF5E8D"/>
    <w:rsid w:val="00BF60A3"/>
    <w:rsid w:val="00BF631D"/>
    <w:rsid w:val="00BF65E4"/>
    <w:rsid w:val="00BF6A6E"/>
    <w:rsid w:val="00BF6BEE"/>
    <w:rsid w:val="00BF6CDC"/>
    <w:rsid w:val="00BF70E9"/>
    <w:rsid w:val="00BF71BC"/>
    <w:rsid w:val="00BF7322"/>
    <w:rsid w:val="00BF7860"/>
    <w:rsid w:val="00BF7FEA"/>
    <w:rsid w:val="00BF7FF4"/>
    <w:rsid w:val="00C003B8"/>
    <w:rsid w:val="00C00518"/>
    <w:rsid w:val="00C008FC"/>
    <w:rsid w:val="00C00B62"/>
    <w:rsid w:val="00C00B9A"/>
    <w:rsid w:val="00C00BD5"/>
    <w:rsid w:val="00C01A83"/>
    <w:rsid w:val="00C01F37"/>
    <w:rsid w:val="00C022C0"/>
    <w:rsid w:val="00C0288E"/>
    <w:rsid w:val="00C028A5"/>
    <w:rsid w:val="00C02BC8"/>
    <w:rsid w:val="00C02FBD"/>
    <w:rsid w:val="00C0337A"/>
    <w:rsid w:val="00C03388"/>
    <w:rsid w:val="00C03673"/>
    <w:rsid w:val="00C0398C"/>
    <w:rsid w:val="00C03A7E"/>
    <w:rsid w:val="00C03E7C"/>
    <w:rsid w:val="00C03F79"/>
    <w:rsid w:val="00C04140"/>
    <w:rsid w:val="00C04753"/>
    <w:rsid w:val="00C049EC"/>
    <w:rsid w:val="00C04CB9"/>
    <w:rsid w:val="00C0507B"/>
    <w:rsid w:val="00C05147"/>
    <w:rsid w:val="00C05199"/>
    <w:rsid w:val="00C05382"/>
    <w:rsid w:val="00C055D0"/>
    <w:rsid w:val="00C05647"/>
    <w:rsid w:val="00C056B8"/>
    <w:rsid w:val="00C05824"/>
    <w:rsid w:val="00C05B28"/>
    <w:rsid w:val="00C05B2C"/>
    <w:rsid w:val="00C05B63"/>
    <w:rsid w:val="00C05EDE"/>
    <w:rsid w:val="00C06137"/>
    <w:rsid w:val="00C0638C"/>
    <w:rsid w:val="00C06432"/>
    <w:rsid w:val="00C0688B"/>
    <w:rsid w:val="00C068D1"/>
    <w:rsid w:val="00C06A0C"/>
    <w:rsid w:val="00C06B8A"/>
    <w:rsid w:val="00C06B9E"/>
    <w:rsid w:val="00C06DA9"/>
    <w:rsid w:val="00C06E3B"/>
    <w:rsid w:val="00C07573"/>
    <w:rsid w:val="00C075A1"/>
    <w:rsid w:val="00C07B6C"/>
    <w:rsid w:val="00C07C3E"/>
    <w:rsid w:val="00C07F41"/>
    <w:rsid w:val="00C1016E"/>
    <w:rsid w:val="00C10884"/>
    <w:rsid w:val="00C108A1"/>
    <w:rsid w:val="00C11151"/>
    <w:rsid w:val="00C1146D"/>
    <w:rsid w:val="00C114B3"/>
    <w:rsid w:val="00C11559"/>
    <w:rsid w:val="00C1165A"/>
    <w:rsid w:val="00C116F2"/>
    <w:rsid w:val="00C118A8"/>
    <w:rsid w:val="00C11A30"/>
    <w:rsid w:val="00C11FF9"/>
    <w:rsid w:val="00C12058"/>
    <w:rsid w:val="00C12166"/>
    <w:rsid w:val="00C12318"/>
    <w:rsid w:val="00C12403"/>
    <w:rsid w:val="00C12767"/>
    <w:rsid w:val="00C12771"/>
    <w:rsid w:val="00C12793"/>
    <w:rsid w:val="00C128A0"/>
    <w:rsid w:val="00C12AF6"/>
    <w:rsid w:val="00C12B2B"/>
    <w:rsid w:val="00C12B2E"/>
    <w:rsid w:val="00C12EB6"/>
    <w:rsid w:val="00C12F41"/>
    <w:rsid w:val="00C133EA"/>
    <w:rsid w:val="00C1375D"/>
    <w:rsid w:val="00C13A20"/>
    <w:rsid w:val="00C14027"/>
    <w:rsid w:val="00C143AA"/>
    <w:rsid w:val="00C145F6"/>
    <w:rsid w:val="00C15275"/>
    <w:rsid w:val="00C156AF"/>
    <w:rsid w:val="00C157D1"/>
    <w:rsid w:val="00C158CC"/>
    <w:rsid w:val="00C15A41"/>
    <w:rsid w:val="00C15A84"/>
    <w:rsid w:val="00C15D80"/>
    <w:rsid w:val="00C15FC6"/>
    <w:rsid w:val="00C15FD3"/>
    <w:rsid w:val="00C160A3"/>
    <w:rsid w:val="00C161B1"/>
    <w:rsid w:val="00C162D8"/>
    <w:rsid w:val="00C16642"/>
    <w:rsid w:val="00C16658"/>
    <w:rsid w:val="00C16865"/>
    <w:rsid w:val="00C16C05"/>
    <w:rsid w:val="00C16C31"/>
    <w:rsid w:val="00C16CE0"/>
    <w:rsid w:val="00C16CFA"/>
    <w:rsid w:val="00C170F0"/>
    <w:rsid w:val="00C173CB"/>
    <w:rsid w:val="00C17450"/>
    <w:rsid w:val="00C17906"/>
    <w:rsid w:val="00C1791F"/>
    <w:rsid w:val="00C17E39"/>
    <w:rsid w:val="00C2040B"/>
    <w:rsid w:val="00C20523"/>
    <w:rsid w:val="00C20647"/>
    <w:rsid w:val="00C20946"/>
    <w:rsid w:val="00C20CC1"/>
    <w:rsid w:val="00C21273"/>
    <w:rsid w:val="00C213E5"/>
    <w:rsid w:val="00C21550"/>
    <w:rsid w:val="00C217B4"/>
    <w:rsid w:val="00C21E5C"/>
    <w:rsid w:val="00C2203D"/>
    <w:rsid w:val="00C222FD"/>
    <w:rsid w:val="00C22329"/>
    <w:rsid w:val="00C230C2"/>
    <w:rsid w:val="00C232E9"/>
    <w:rsid w:val="00C233B6"/>
    <w:rsid w:val="00C23798"/>
    <w:rsid w:val="00C23A15"/>
    <w:rsid w:val="00C23CFE"/>
    <w:rsid w:val="00C23D7B"/>
    <w:rsid w:val="00C23EB7"/>
    <w:rsid w:val="00C24014"/>
    <w:rsid w:val="00C241F5"/>
    <w:rsid w:val="00C25021"/>
    <w:rsid w:val="00C25250"/>
    <w:rsid w:val="00C25265"/>
    <w:rsid w:val="00C25596"/>
    <w:rsid w:val="00C2592C"/>
    <w:rsid w:val="00C25ADF"/>
    <w:rsid w:val="00C25CAC"/>
    <w:rsid w:val="00C25F3E"/>
    <w:rsid w:val="00C25FF1"/>
    <w:rsid w:val="00C261FB"/>
    <w:rsid w:val="00C26468"/>
    <w:rsid w:val="00C269A5"/>
    <w:rsid w:val="00C26F46"/>
    <w:rsid w:val="00C273C4"/>
    <w:rsid w:val="00C27A7F"/>
    <w:rsid w:val="00C306D5"/>
    <w:rsid w:val="00C307F4"/>
    <w:rsid w:val="00C309C9"/>
    <w:rsid w:val="00C30BEE"/>
    <w:rsid w:val="00C30D7B"/>
    <w:rsid w:val="00C31095"/>
    <w:rsid w:val="00C310E1"/>
    <w:rsid w:val="00C314A6"/>
    <w:rsid w:val="00C31912"/>
    <w:rsid w:val="00C319CD"/>
    <w:rsid w:val="00C319F7"/>
    <w:rsid w:val="00C31F55"/>
    <w:rsid w:val="00C322E4"/>
    <w:rsid w:val="00C32410"/>
    <w:rsid w:val="00C32566"/>
    <w:rsid w:val="00C327AD"/>
    <w:rsid w:val="00C327C3"/>
    <w:rsid w:val="00C32F1D"/>
    <w:rsid w:val="00C330ED"/>
    <w:rsid w:val="00C330EE"/>
    <w:rsid w:val="00C331CD"/>
    <w:rsid w:val="00C33770"/>
    <w:rsid w:val="00C3385C"/>
    <w:rsid w:val="00C33E06"/>
    <w:rsid w:val="00C33EB2"/>
    <w:rsid w:val="00C341C2"/>
    <w:rsid w:val="00C34648"/>
    <w:rsid w:val="00C346B6"/>
    <w:rsid w:val="00C34CA7"/>
    <w:rsid w:val="00C34FF0"/>
    <w:rsid w:val="00C353EF"/>
    <w:rsid w:val="00C3549C"/>
    <w:rsid w:val="00C359DC"/>
    <w:rsid w:val="00C35D88"/>
    <w:rsid w:val="00C364B3"/>
    <w:rsid w:val="00C365FA"/>
    <w:rsid w:val="00C36DE0"/>
    <w:rsid w:val="00C37277"/>
    <w:rsid w:val="00C3733A"/>
    <w:rsid w:val="00C3736E"/>
    <w:rsid w:val="00C373F5"/>
    <w:rsid w:val="00C373F7"/>
    <w:rsid w:val="00C375A0"/>
    <w:rsid w:val="00C375FC"/>
    <w:rsid w:val="00C3766D"/>
    <w:rsid w:val="00C376B1"/>
    <w:rsid w:val="00C4012B"/>
    <w:rsid w:val="00C402C1"/>
    <w:rsid w:val="00C4039F"/>
    <w:rsid w:val="00C40C21"/>
    <w:rsid w:val="00C411D4"/>
    <w:rsid w:val="00C41228"/>
    <w:rsid w:val="00C413DD"/>
    <w:rsid w:val="00C41726"/>
    <w:rsid w:val="00C4187F"/>
    <w:rsid w:val="00C422F6"/>
    <w:rsid w:val="00C42364"/>
    <w:rsid w:val="00C4268B"/>
    <w:rsid w:val="00C42AE3"/>
    <w:rsid w:val="00C42B00"/>
    <w:rsid w:val="00C42BA4"/>
    <w:rsid w:val="00C42BE0"/>
    <w:rsid w:val="00C42DEA"/>
    <w:rsid w:val="00C42E3E"/>
    <w:rsid w:val="00C42EFA"/>
    <w:rsid w:val="00C43023"/>
    <w:rsid w:val="00C43083"/>
    <w:rsid w:val="00C4335F"/>
    <w:rsid w:val="00C43392"/>
    <w:rsid w:val="00C43459"/>
    <w:rsid w:val="00C43499"/>
    <w:rsid w:val="00C4364E"/>
    <w:rsid w:val="00C436F7"/>
    <w:rsid w:val="00C43781"/>
    <w:rsid w:val="00C43E30"/>
    <w:rsid w:val="00C43EC2"/>
    <w:rsid w:val="00C43F11"/>
    <w:rsid w:val="00C440C8"/>
    <w:rsid w:val="00C44253"/>
    <w:rsid w:val="00C4428A"/>
    <w:rsid w:val="00C443BE"/>
    <w:rsid w:val="00C447C3"/>
    <w:rsid w:val="00C4480F"/>
    <w:rsid w:val="00C44AB5"/>
    <w:rsid w:val="00C44BDE"/>
    <w:rsid w:val="00C45193"/>
    <w:rsid w:val="00C45823"/>
    <w:rsid w:val="00C459B2"/>
    <w:rsid w:val="00C45AF5"/>
    <w:rsid w:val="00C45BDB"/>
    <w:rsid w:val="00C45E40"/>
    <w:rsid w:val="00C4607D"/>
    <w:rsid w:val="00C463E6"/>
    <w:rsid w:val="00C46448"/>
    <w:rsid w:val="00C46963"/>
    <w:rsid w:val="00C46A23"/>
    <w:rsid w:val="00C46A45"/>
    <w:rsid w:val="00C46B03"/>
    <w:rsid w:val="00C46F86"/>
    <w:rsid w:val="00C47015"/>
    <w:rsid w:val="00C47279"/>
    <w:rsid w:val="00C47662"/>
    <w:rsid w:val="00C47B39"/>
    <w:rsid w:val="00C509E4"/>
    <w:rsid w:val="00C51121"/>
    <w:rsid w:val="00C51284"/>
    <w:rsid w:val="00C5131B"/>
    <w:rsid w:val="00C5136A"/>
    <w:rsid w:val="00C514D5"/>
    <w:rsid w:val="00C51C53"/>
    <w:rsid w:val="00C5256B"/>
    <w:rsid w:val="00C52B32"/>
    <w:rsid w:val="00C52C09"/>
    <w:rsid w:val="00C52CE6"/>
    <w:rsid w:val="00C53487"/>
    <w:rsid w:val="00C53549"/>
    <w:rsid w:val="00C53EF4"/>
    <w:rsid w:val="00C5404E"/>
    <w:rsid w:val="00C540BD"/>
    <w:rsid w:val="00C544E0"/>
    <w:rsid w:val="00C5459E"/>
    <w:rsid w:val="00C5481E"/>
    <w:rsid w:val="00C54833"/>
    <w:rsid w:val="00C54853"/>
    <w:rsid w:val="00C54881"/>
    <w:rsid w:val="00C54CD0"/>
    <w:rsid w:val="00C54E69"/>
    <w:rsid w:val="00C550D7"/>
    <w:rsid w:val="00C5514F"/>
    <w:rsid w:val="00C552A6"/>
    <w:rsid w:val="00C553C6"/>
    <w:rsid w:val="00C5627D"/>
    <w:rsid w:val="00C5631C"/>
    <w:rsid w:val="00C56EEE"/>
    <w:rsid w:val="00C570D8"/>
    <w:rsid w:val="00C5714C"/>
    <w:rsid w:val="00C57544"/>
    <w:rsid w:val="00C577F1"/>
    <w:rsid w:val="00C57B94"/>
    <w:rsid w:val="00C57C1C"/>
    <w:rsid w:val="00C60012"/>
    <w:rsid w:val="00C6001F"/>
    <w:rsid w:val="00C60213"/>
    <w:rsid w:val="00C60872"/>
    <w:rsid w:val="00C611D4"/>
    <w:rsid w:val="00C619CB"/>
    <w:rsid w:val="00C61B32"/>
    <w:rsid w:val="00C61C1F"/>
    <w:rsid w:val="00C61C5B"/>
    <w:rsid w:val="00C61D42"/>
    <w:rsid w:val="00C61D43"/>
    <w:rsid w:val="00C61E78"/>
    <w:rsid w:val="00C61ECD"/>
    <w:rsid w:val="00C6213A"/>
    <w:rsid w:val="00C62716"/>
    <w:rsid w:val="00C6272B"/>
    <w:rsid w:val="00C628BA"/>
    <w:rsid w:val="00C6297A"/>
    <w:rsid w:val="00C62C61"/>
    <w:rsid w:val="00C62E7B"/>
    <w:rsid w:val="00C62F79"/>
    <w:rsid w:val="00C630E5"/>
    <w:rsid w:val="00C635F8"/>
    <w:rsid w:val="00C63963"/>
    <w:rsid w:val="00C63967"/>
    <w:rsid w:val="00C64416"/>
    <w:rsid w:val="00C64720"/>
    <w:rsid w:val="00C64771"/>
    <w:rsid w:val="00C64775"/>
    <w:rsid w:val="00C64D86"/>
    <w:rsid w:val="00C65033"/>
    <w:rsid w:val="00C650CD"/>
    <w:rsid w:val="00C65312"/>
    <w:rsid w:val="00C6531F"/>
    <w:rsid w:val="00C653E4"/>
    <w:rsid w:val="00C6559E"/>
    <w:rsid w:val="00C657BE"/>
    <w:rsid w:val="00C65AF5"/>
    <w:rsid w:val="00C65C7A"/>
    <w:rsid w:val="00C65E85"/>
    <w:rsid w:val="00C65F49"/>
    <w:rsid w:val="00C6660E"/>
    <w:rsid w:val="00C6677D"/>
    <w:rsid w:val="00C6677F"/>
    <w:rsid w:val="00C669D0"/>
    <w:rsid w:val="00C66B26"/>
    <w:rsid w:val="00C66B7E"/>
    <w:rsid w:val="00C66D39"/>
    <w:rsid w:val="00C66D98"/>
    <w:rsid w:val="00C66E71"/>
    <w:rsid w:val="00C6738F"/>
    <w:rsid w:val="00C673D9"/>
    <w:rsid w:val="00C67404"/>
    <w:rsid w:val="00C67492"/>
    <w:rsid w:val="00C675BA"/>
    <w:rsid w:val="00C67B5B"/>
    <w:rsid w:val="00C67C26"/>
    <w:rsid w:val="00C7032F"/>
    <w:rsid w:val="00C7039B"/>
    <w:rsid w:val="00C703FC"/>
    <w:rsid w:val="00C708EF"/>
    <w:rsid w:val="00C70929"/>
    <w:rsid w:val="00C709C5"/>
    <w:rsid w:val="00C70C83"/>
    <w:rsid w:val="00C71254"/>
    <w:rsid w:val="00C7129F"/>
    <w:rsid w:val="00C71349"/>
    <w:rsid w:val="00C71EEA"/>
    <w:rsid w:val="00C721CC"/>
    <w:rsid w:val="00C72291"/>
    <w:rsid w:val="00C72AB1"/>
    <w:rsid w:val="00C73061"/>
    <w:rsid w:val="00C731C7"/>
    <w:rsid w:val="00C733B1"/>
    <w:rsid w:val="00C74212"/>
    <w:rsid w:val="00C7421D"/>
    <w:rsid w:val="00C74292"/>
    <w:rsid w:val="00C74927"/>
    <w:rsid w:val="00C74A41"/>
    <w:rsid w:val="00C74B21"/>
    <w:rsid w:val="00C74B8A"/>
    <w:rsid w:val="00C74FDB"/>
    <w:rsid w:val="00C757AB"/>
    <w:rsid w:val="00C758C7"/>
    <w:rsid w:val="00C75960"/>
    <w:rsid w:val="00C75CFD"/>
    <w:rsid w:val="00C75D15"/>
    <w:rsid w:val="00C75F81"/>
    <w:rsid w:val="00C762E5"/>
    <w:rsid w:val="00C765C9"/>
    <w:rsid w:val="00C76894"/>
    <w:rsid w:val="00C771A5"/>
    <w:rsid w:val="00C773F6"/>
    <w:rsid w:val="00C77686"/>
    <w:rsid w:val="00C77700"/>
    <w:rsid w:val="00C77E29"/>
    <w:rsid w:val="00C8017C"/>
    <w:rsid w:val="00C8028D"/>
    <w:rsid w:val="00C80429"/>
    <w:rsid w:val="00C80505"/>
    <w:rsid w:val="00C807F9"/>
    <w:rsid w:val="00C8086E"/>
    <w:rsid w:val="00C80B57"/>
    <w:rsid w:val="00C8113F"/>
    <w:rsid w:val="00C817F9"/>
    <w:rsid w:val="00C819BF"/>
    <w:rsid w:val="00C81ABD"/>
    <w:rsid w:val="00C82254"/>
    <w:rsid w:val="00C82262"/>
    <w:rsid w:val="00C8234B"/>
    <w:rsid w:val="00C82D58"/>
    <w:rsid w:val="00C831F1"/>
    <w:rsid w:val="00C83502"/>
    <w:rsid w:val="00C83AA1"/>
    <w:rsid w:val="00C83BC0"/>
    <w:rsid w:val="00C84733"/>
    <w:rsid w:val="00C84B0F"/>
    <w:rsid w:val="00C84E32"/>
    <w:rsid w:val="00C84FF5"/>
    <w:rsid w:val="00C85375"/>
    <w:rsid w:val="00C8568D"/>
    <w:rsid w:val="00C856E7"/>
    <w:rsid w:val="00C8570A"/>
    <w:rsid w:val="00C8579F"/>
    <w:rsid w:val="00C858B1"/>
    <w:rsid w:val="00C85ABE"/>
    <w:rsid w:val="00C85DB2"/>
    <w:rsid w:val="00C85E8C"/>
    <w:rsid w:val="00C85FFD"/>
    <w:rsid w:val="00C8605D"/>
    <w:rsid w:val="00C86182"/>
    <w:rsid w:val="00C86483"/>
    <w:rsid w:val="00C866C5"/>
    <w:rsid w:val="00C8699C"/>
    <w:rsid w:val="00C86AE1"/>
    <w:rsid w:val="00C87287"/>
    <w:rsid w:val="00C874F5"/>
    <w:rsid w:val="00C87587"/>
    <w:rsid w:val="00C87654"/>
    <w:rsid w:val="00C8797C"/>
    <w:rsid w:val="00C87F28"/>
    <w:rsid w:val="00C90110"/>
    <w:rsid w:val="00C90305"/>
    <w:rsid w:val="00C9040B"/>
    <w:rsid w:val="00C906F0"/>
    <w:rsid w:val="00C9090E"/>
    <w:rsid w:val="00C90CAE"/>
    <w:rsid w:val="00C91189"/>
    <w:rsid w:val="00C914AA"/>
    <w:rsid w:val="00C91796"/>
    <w:rsid w:val="00C9179E"/>
    <w:rsid w:val="00C91BFB"/>
    <w:rsid w:val="00C91EC0"/>
    <w:rsid w:val="00C91EE0"/>
    <w:rsid w:val="00C92106"/>
    <w:rsid w:val="00C92225"/>
    <w:rsid w:val="00C9265E"/>
    <w:rsid w:val="00C926F0"/>
    <w:rsid w:val="00C92945"/>
    <w:rsid w:val="00C92E2A"/>
    <w:rsid w:val="00C9334B"/>
    <w:rsid w:val="00C933A0"/>
    <w:rsid w:val="00C936C1"/>
    <w:rsid w:val="00C93744"/>
    <w:rsid w:val="00C938C7"/>
    <w:rsid w:val="00C93991"/>
    <w:rsid w:val="00C93EA4"/>
    <w:rsid w:val="00C944E8"/>
    <w:rsid w:val="00C9461D"/>
    <w:rsid w:val="00C947D9"/>
    <w:rsid w:val="00C947E3"/>
    <w:rsid w:val="00C94AAF"/>
    <w:rsid w:val="00C94ABB"/>
    <w:rsid w:val="00C94CBE"/>
    <w:rsid w:val="00C94D26"/>
    <w:rsid w:val="00C94E7F"/>
    <w:rsid w:val="00C94EFC"/>
    <w:rsid w:val="00C953DB"/>
    <w:rsid w:val="00C956C0"/>
    <w:rsid w:val="00C95AA6"/>
    <w:rsid w:val="00C95BF8"/>
    <w:rsid w:val="00C962C4"/>
    <w:rsid w:val="00C9642B"/>
    <w:rsid w:val="00C96AFF"/>
    <w:rsid w:val="00C96DD4"/>
    <w:rsid w:val="00C9713E"/>
    <w:rsid w:val="00C97306"/>
    <w:rsid w:val="00C9732B"/>
    <w:rsid w:val="00C974C6"/>
    <w:rsid w:val="00C9762F"/>
    <w:rsid w:val="00C9791F"/>
    <w:rsid w:val="00C9797A"/>
    <w:rsid w:val="00C97B6A"/>
    <w:rsid w:val="00C97BB7"/>
    <w:rsid w:val="00C97E80"/>
    <w:rsid w:val="00CA056D"/>
    <w:rsid w:val="00CA0728"/>
    <w:rsid w:val="00CA08F8"/>
    <w:rsid w:val="00CA0B67"/>
    <w:rsid w:val="00CA0D28"/>
    <w:rsid w:val="00CA0D8F"/>
    <w:rsid w:val="00CA111D"/>
    <w:rsid w:val="00CA1512"/>
    <w:rsid w:val="00CA160B"/>
    <w:rsid w:val="00CA1728"/>
    <w:rsid w:val="00CA17F8"/>
    <w:rsid w:val="00CA1921"/>
    <w:rsid w:val="00CA1B31"/>
    <w:rsid w:val="00CA1BE4"/>
    <w:rsid w:val="00CA1DB0"/>
    <w:rsid w:val="00CA1E6C"/>
    <w:rsid w:val="00CA24E8"/>
    <w:rsid w:val="00CA2784"/>
    <w:rsid w:val="00CA2A38"/>
    <w:rsid w:val="00CA2C36"/>
    <w:rsid w:val="00CA2C7A"/>
    <w:rsid w:val="00CA311D"/>
    <w:rsid w:val="00CA31D3"/>
    <w:rsid w:val="00CA39B5"/>
    <w:rsid w:val="00CA3A2B"/>
    <w:rsid w:val="00CA3C70"/>
    <w:rsid w:val="00CA3CB3"/>
    <w:rsid w:val="00CA3D1D"/>
    <w:rsid w:val="00CA3E19"/>
    <w:rsid w:val="00CA42EB"/>
    <w:rsid w:val="00CA46E0"/>
    <w:rsid w:val="00CA4812"/>
    <w:rsid w:val="00CA490A"/>
    <w:rsid w:val="00CA4998"/>
    <w:rsid w:val="00CA49E8"/>
    <w:rsid w:val="00CA4B0D"/>
    <w:rsid w:val="00CA4CC6"/>
    <w:rsid w:val="00CA4F51"/>
    <w:rsid w:val="00CA5303"/>
    <w:rsid w:val="00CA558A"/>
    <w:rsid w:val="00CA55B6"/>
    <w:rsid w:val="00CA5A5B"/>
    <w:rsid w:val="00CA6315"/>
    <w:rsid w:val="00CA666D"/>
    <w:rsid w:val="00CA6766"/>
    <w:rsid w:val="00CA6AE6"/>
    <w:rsid w:val="00CA6D9B"/>
    <w:rsid w:val="00CA6FD6"/>
    <w:rsid w:val="00CA70C7"/>
    <w:rsid w:val="00CA74BF"/>
    <w:rsid w:val="00CA7BC0"/>
    <w:rsid w:val="00CA7CA8"/>
    <w:rsid w:val="00CB02A7"/>
    <w:rsid w:val="00CB0514"/>
    <w:rsid w:val="00CB0AC3"/>
    <w:rsid w:val="00CB0C49"/>
    <w:rsid w:val="00CB0CE1"/>
    <w:rsid w:val="00CB0E01"/>
    <w:rsid w:val="00CB0F49"/>
    <w:rsid w:val="00CB12FF"/>
    <w:rsid w:val="00CB1305"/>
    <w:rsid w:val="00CB1327"/>
    <w:rsid w:val="00CB1F6D"/>
    <w:rsid w:val="00CB2012"/>
    <w:rsid w:val="00CB204C"/>
    <w:rsid w:val="00CB2138"/>
    <w:rsid w:val="00CB222E"/>
    <w:rsid w:val="00CB22C5"/>
    <w:rsid w:val="00CB2511"/>
    <w:rsid w:val="00CB2599"/>
    <w:rsid w:val="00CB25D1"/>
    <w:rsid w:val="00CB2874"/>
    <w:rsid w:val="00CB29CD"/>
    <w:rsid w:val="00CB2AC0"/>
    <w:rsid w:val="00CB34C6"/>
    <w:rsid w:val="00CB3557"/>
    <w:rsid w:val="00CB390B"/>
    <w:rsid w:val="00CB3B5B"/>
    <w:rsid w:val="00CB3C67"/>
    <w:rsid w:val="00CB3D4C"/>
    <w:rsid w:val="00CB3F5B"/>
    <w:rsid w:val="00CB4639"/>
    <w:rsid w:val="00CB4782"/>
    <w:rsid w:val="00CB482A"/>
    <w:rsid w:val="00CB4853"/>
    <w:rsid w:val="00CB4935"/>
    <w:rsid w:val="00CB4D25"/>
    <w:rsid w:val="00CB4DD5"/>
    <w:rsid w:val="00CB4E37"/>
    <w:rsid w:val="00CB4EEB"/>
    <w:rsid w:val="00CB4F9C"/>
    <w:rsid w:val="00CB53A0"/>
    <w:rsid w:val="00CB5724"/>
    <w:rsid w:val="00CB57F4"/>
    <w:rsid w:val="00CB5F11"/>
    <w:rsid w:val="00CB656A"/>
    <w:rsid w:val="00CB67C4"/>
    <w:rsid w:val="00CB681B"/>
    <w:rsid w:val="00CB6A3C"/>
    <w:rsid w:val="00CB6CCB"/>
    <w:rsid w:val="00CB6CEF"/>
    <w:rsid w:val="00CB6D5A"/>
    <w:rsid w:val="00CB7265"/>
    <w:rsid w:val="00CB7482"/>
    <w:rsid w:val="00CB7594"/>
    <w:rsid w:val="00CB759C"/>
    <w:rsid w:val="00CB7794"/>
    <w:rsid w:val="00CB79EB"/>
    <w:rsid w:val="00CB7C49"/>
    <w:rsid w:val="00CC0081"/>
    <w:rsid w:val="00CC0133"/>
    <w:rsid w:val="00CC0135"/>
    <w:rsid w:val="00CC0205"/>
    <w:rsid w:val="00CC024B"/>
    <w:rsid w:val="00CC0387"/>
    <w:rsid w:val="00CC03F0"/>
    <w:rsid w:val="00CC0551"/>
    <w:rsid w:val="00CC06E7"/>
    <w:rsid w:val="00CC09C2"/>
    <w:rsid w:val="00CC0A8B"/>
    <w:rsid w:val="00CC0B22"/>
    <w:rsid w:val="00CC1224"/>
    <w:rsid w:val="00CC1247"/>
    <w:rsid w:val="00CC1439"/>
    <w:rsid w:val="00CC15BE"/>
    <w:rsid w:val="00CC17BB"/>
    <w:rsid w:val="00CC1814"/>
    <w:rsid w:val="00CC1852"/>
    <w:rsid w:val="00CC1ACD"/>
    <w:rsid w:val="00CC1C5F"/>
    <w:rsid w:val="00CC1E58"/>
    <w:rsid w:val="00CC208C"/>
    <w:rsid w:val="00CC2465"/>
    <w:rsid w:val="00CC2A41"/>
    <w:rsid w:val="00CC2D04"/>
    <w:rsid w:val="00CC2E55"/>
    <w:rsid w:val="00CC2F70"/>
    <w:rsid w:val="00CC39C1"/>
    <w:rsid w:val="00CC3DCD"/>
    <w:rsid w:val="00CC3E20"/>
    <w:rsid w:val="00CC3EC7"/>
    <w:rsid w:val="00CC3F4C"/>
    <w:rsid w:val="00CC4880"/>
    <w:rsid w:val="00CC49A8"/>
    <w:rsid w:val="00CC49BD"/>
    <w:rsid w:val="00CC4ED7"/>
    <w:rsid w:val="00CC51CB"/>
    <w:rsid w:val="00CC5663"/>
    <w:rsid w:val="00CC5886"/>
    <w:rsid w:val="00CC5D6E"/>
    <w:rsid w:val="00CC5E68"/>
    <w:rsid w:val="00CC606D"/>
    <w:rsid w:val="00CC6110"/>
    <w:rsid w:val="00CC61E5"/>
    <w:rsid w:val="00CC6284"/>
    <w:rsid w:val="00CC62E6"/>
    <w:rsid w:val="00CC66A4"/>
    <w:rsid w:val="00CC66CF"/>
    <w:rsid w:val="00CC6864"/>
    <w:rsid w:val="00CC692C"/>
    <w:rsid w:val="00CC6A8C"/>
    <w:rsid w:val="00CC6AEA"/>
    <w:rsid w:val="00CC6B50"/>
    <w:rsid w:val="00CC6E99"/>
    <w:rsid w:val="00CC7114"/>
    <w:rsid w:val="00CC71C3"/>
    <w:rsid w:val="00CC7414"/>
    <w:rsid w:val="00CC75E6"/>
    <w:rsid w:val="00CC775D"/>
    <w:rsid w:val="00CC77BF"/>
    <w:rsid w:val="00CC7853"/>
    <w:rsid w:val="00CC7B38"/>
    <w:rsid w:val="00CC7CAF"/>
    <w:rsid w:val="00CD0485"/>
    <w:rsid w:val="00CD0519"/>
    <w:rsid w:val="00CD0619"/>
    <w:rsid w:val="00CD0BF5"/>
    <w:rsid w:val="00CD10ED"/>
    <w:rsid w:val="00CD12C3"/>
    <w:rsid w:val="00CD1677"/>
    <w:rsid w:val="00CD2153"/>
    <w:rsid w:val="00CD2200"/>
    <w:rsid w:val="00CD228D"/>
    <w:rsid w:val="00CD26F0"/>
    <w:rsid w:val="00CD2BD3"/>
    <w:rsid w:val="00CD305B"/>
    <w:rsid w:val="00CD34A0"/>
    <w:rsid w:val="00CD34C6"/>
    <w:rsid w:val="00CD34FC"/>
    <w:rsid w:val="00CD42AD"/>
    <w:rsid w:val="00CD430D"/>
    <w:rsid w:val="00CD44CC"/>
    <w:rsid w:val="00CD4711"/>
    <w:rsid w:val="00CD4739"/>
    <w:rsid w:val="00CD48B8"/>
    <w:rsid w:val="00CD4B09"/>
    <w:rsid w:val="00CD4CE7"/>
    <w:rsid w:val="00CD4FAC"/>
    <w:rsid w:val="00CD50DF"/>
    <w:rsid w:val="00CD531A"/>
    <w:rsid w:val="00CD53DE"/>
    <w:rsid w:val="00CD560F"/>
    <w:rsid w:val="00CD56A5"/>
    <w:rsid w:val="00CD5708"/>
    <w:rsid w:val="00CD5DBD"/>
    <w:rsid w:val="00CD5DC0"/>
    <w:rsid w:val="00CD5F46"/>
    <w:rsid w:val="00CD632A"/>
    <w:rsid w:val="00CD6865"/>
    <w:rsid w:val="00CD6944"/>
    <w:rsid w:val="00CD6B58"/>
    <w:rsid w:val="00CD6BAF"/>
    <w:rsid w:val="00CD6E61"/>
    <w:rsid w:val="00CD7A7F"/>
    <w:rsid w:val="00CD7C4A"/>
    <w:rsid w:val="00CE00C2"/>
    <w:rsid w:val="00CE0182"/>
    <w:rsid w:val="00CE0212"/>
    <w:rsid w:val="00CE075B"/>
    <w:rsid w:val="00CE1070"/>
    <w:rsid w:val="00CE1265"/>
    <w:rsid w:val="00CE14F5"/>
    <w:rsid w:val="00CE19BF"/>
    <w:rsid w:val="00CE1AD7"/>
    <w:rsid w:val="00CE1F00"/>
    <w:rsid w:val="00CE210B"/>
    <w:rsid w:val="00CE25BE"/>
    <w:rsid w:val="00CE265D"/>
    <w:rsid w:val="00CE268E"/>
    <w:rsid w:val="00CE2965"/>
    <w:rsid w:val="00CE2BE6"/>
    <w:rsid w:val="00CE2C32"/>
    <w:rsid w:val="00CE2C4D"/>
    <w:rsid w:val="00CE3038"/>
    <w:rsid w:val="00CE3062"/>
    <w:rsid w:val="00CE32F8"/>
    <w:rsid w:val="00CE3597"/>
    <w:rsid w:val="00CE365A"/>
    <w:rsid w:val="00CE38E7"/>
    <w:rsid w:val="00CE39BF"/>
    <w:rsid w:val="00CE3D5F"/>
    <w:rsid w:val="00CE3ECF"/>
    <w:rsid w:val="00CE4211"/>
    <w:rsid w:val="00CE4271"/>
    <w:rsid w:val="00CE434A"/>
    <w:rsid w:val="00CE460C"/>
    <w:rsid w:val="00CE46F9"/>
    <w:rsid w:val="00CE482C"/>
    <w:rsid w:val="00CE4AAD"/>
    <w:rsid w:val="00CE4ECB"/>
    <w:rsid w:val="00CE515B"/>
    <w:rsid w:val="00CE5470"/>
    <w:rsid w:val="00CE5598"/>
    <w:rsid w:val="00CE5608"/>
    <w:rsid w:val="00CE5B84"/>
    <w:rsid w:val="00CE5EEE"/>
    <w:rsid w:val="00CE634D"/>
    <w:rsid w:val="00CE64B5"/>
    <w:rsid w:val="00CE65AC"/>
    <w:rsid w:val="00CE6690"/>
    <w:rsid w:val="00CE6844"/>
    <w:rsid w:val="00CE6ABA"/>
    <w:rsid w:val="00CE6D7D"/>
    <w:rsid w:val="00CE6F3A"/>
    <w:rsid w:val="00CE6F43"/>
    <w:rsid w:val="00CE761A"/>
    <w:rsid w:val="00CE7AF0"/>
    <w:rsid w:val="00CE7C1D"/>
    <w:rsid w:val="00CE7EFC"/>
    <w:rsid w:val="00CF01F4"/>
    <w:rsid w:val="00CF03CB"/>
    <w:rsid w:val="00CF0542"/>
    <w:rsid w:val="00CF0FA9"/>
    <w:rsid w:val="00CF1394"/>
    <w:rsid w:val="00CF19D9"/>
    <w:rsid w:val="00CF19E6"/>
    <w:rsid w:val="00CF1F64"/>
    <w:rsid w:val="00CF215C"/>
    <w:rsid w:val="00CF253B"/>
    <w:rsid w:val="00CF26D0"/>
    <w:rsid w:val="00CF294F"/>
    <w:rsid w:val="00CF2963"/>
    <w:rsid w:val="00CF2C94"/>
    <w:rsid w:val="00CF36B8"/>
    <w:rsid w:val="00CF384A"/>
    <w:rsid w:val="00CF39E5"/>
    <w:rsid w:val="00CF3AD4"/>
    <w:rsid w:val="00CF3B0A"/>
    <w:rsid w:val="00CF3D6B"/>
    <w:rsid w:val="00CF3F1A"/>
    <w:rsid w:val="00CF3FA4"/>
    <w:rsid w:val="00CF3FF5"/>
    <w:rsid w:val="00CF4894"/>
    <w:rsid w:val="00CF4B25"/>
    <w:rsid w:val="00CF4BCB"/>
    <w:rsid w:val="00CF4CAD"/>
    <w:rsid w:val="00CF4F65"/>
    <w:rsid w:val="00CF5185"/>
    <w:rsid w:val="00CF5271"/>
    <w:rsid w:val="00CF5BBB"/>
    <w:rsid w:val="00CF6021"/>
    <w:rsid w:val="00CF626C"/>
    <w:rsid w:val="00CF64F6"/>
    <w:rsid w:val="00CF660D"/>
    <w:rsid w:val="00CF662F"/>
    <w:rsid w:val="00CF67C4"/>
    <w:rsid w:val="00CF6B47"/>
    <w:rsid w:val="00CF6E0B"/>
    <w:rsid w:val="00CF743B"/>
    <w:rsid w:val="00CF7674"/>
    <w:rsid w:val="00CF779F"/>
    <w:rsid w:val="00CF7984"/>
    <w:rsid w:val="00CF7BFB"/>
    <w:rsid w:val="00D000A3"/>
    <w:rsid w:val="00D00187"/>
    <w:rsid w:val="00D00201"/>
    <w:rsid w:val="00D00735"/>
    <w:rsid w:val="00D00801"/>
    <w:rsid w:val="00D00B56"/>
    <w:rsid w:val="00D00EE0"/>
    <w:rsid w:val="00D01158"/>
    <w:rsid w:val="00D01434"/>
    <w:rsid w:val="00D017A8"/>
    <w:rsid w:val="00D01817"/>
    <w:rsid w:val="00D019D5"/>
    <w:rsid w:val="00D02497"/>
    <w:rsid w:val="00D0259B"/>
    <w:rsid w:val="00D025C2"/>
    <w:rsid w:val="00D02704"/>
    <w:rsid w:val="00D027E9"/>
    <w:rsid w:val="00D02BB3"/>
    <w:rsid w:val="00D03369"/>
    <w:rsid w:val="00D03914"/>
    <w:rsid w:val="00D039F4"/>
    <w:rsid w:val="00D03CB3"/>
    <w:rsid w:val="00D03E23"/>
    <w:rsid w:val="00D0462D"/>
    <w:rsid w:val="00D04785"/>
    <w:rsid w:val="00D0486B"/>
    <w:rsid w:val="00D049BF"/>
    <w:rsid w:val="00D05607"/>
    <w:rsid w:val="00D0596C"/>
    <w:rsid w:val="00D059EE"/>
    <w:rsid w:val="00D05D37"/>
    <w:rsid w:val="00D05D3E"/>
    <w:rsid w:val="00D05ED7"/>
    <w:rsid w:val="00D05EE0"/>
    <w:rsid w:val="00D0606F"/>
    <w:rsid w:val="00D06159"/>
    <w:rsid w:val="00D06196"/>
    <w:rsid w:val="00D061CA"/>
    <w:rsid w:val="00D063D9"/>
    <w:rsid w:val="00D064C6"/>
    <w:rsid w:val="00D07409"/>
    <w:rsid w:val="00D0764E"/>
    <w:rsid w:val="00D07669"/>
    <w:rsid w:val="00D0788F"/>
    <w:rsid w:val="00D07BC0"/>
    <w:rsid w:val="00D07BCE"/>
    <w:rsid w:val="00D10018"/>
    <w:rsid w:val="00D10152"/>
    <w:rsid w:val="00D10199"/>
    <w:rsid w:val="00D102E7"/>
    <w:rsid w:val="00D111A3"/>
    <w:rsid w:val="00D111E8"/>
    <w:rsid w:val="00D115CF"/>
    <w:rsid w:val="00D115DB"/>
    <w:rsid w:val="00D116A6"/>
    <w:rsid w:val="00D11959"/>
    <w:rsid w:val="00D11E96"/>
    <w:rsid w:val="00D11F1B"/>
    <w:rsid w:val="00D11FB4"/>
    <w:rsid w:val="00D125A0"/>
    <w:rsid w:val="00D125A3"/>
    <w:rsid w:val="00D12788"/>
    <w:rsid w:val="00D12982"/>
    <w:rsid w:val="00D129A2"/>
    <w:rsid w:val="00D12D01"/>
    <w:rsid w:val="00D1310E"/>
    <w:rsid w:val="00D1335F"/>
    <w:rsid w:val="00D13426"/>
    <w:rsid w:val="00D1381F"/>
    <w:rsid w:val="00D13831"/>
    <w:rsid w:val="00D1390D"/>
    <w:rsid w:val="00D139FC"/>
    <w:rsid w:val="00D13A00"/>
    <w:rsid w:val="00D13C6E"/>
    <w:rsid w:val="00D13F7A"/>
    <w:rsid w:val="00D13FCE"/>
    <w:rsid w:val="00D14141"/>
    <w:rsid w:val="00D141D4"/>
    <w:rsid w:val="00D1422D"/>
    <w:rsid w:val="00D1435F"/>
    <w:rsid w:val="00D143AA"/>
    <w:rsid w:val="00D144FE"/>
    <w:rsid w:val="00D146B8"/>
    <w:rsid w:val="00D14742"/>
    <w:rsid w:val="00D1474C"/>
    <w:rsid w:val="00D14A42"/>
    <w:rsid w:val="00D14A8B"/>
    <w:rsid w:val="00D14C4A"/>
    <w:rsid w:val="00D14D4D"/>
    <w:rsid w:val="00D150EB"/>
    <w:rsid w:val="00D15762"/>
    <w:rsid w:val="00D1612A"/>
    <w:rsid w:val="00D167A9"/>
    <w:rsid w:val="00D167CE"/>
    <w:rsid w:val="00D16A90"/>
    <w:rsid w:val="00D16FD3"/>
    <w:rsid w:val="00D1716F"/>
    <w:rsid w:val="00D1719A"/>
    <w:rsid w:val="00D176B2"/>
    <w:rsid w:val="00D176F1"/>
    <w:rsid w:val="00D17A7C"/>
    <w:rsid w:val="00D17B39"/>
    <w:rsid w:val="00D17C4B"/>
    <w:rsid w:val="00D17F0C"/>
    <w:rsid w:val="00D17F13"/>
    <w:rsid w:val="00D201AC"/>
    <w:rsid w:val="00D20202"/>
    <w:rsid w:val="00D2024D"/>
    <w:rsid w:val="00D2025F"/>
    <w:rsid w:val="00D2082A"/>
    <w:rsid w:val="00D20A42"/>
    <w:rsid w:val="00D20CBA"/>
    <w:rsid w:val="00D20E00"/>
    <w:rsid w:val="00D2109D"/>
    <w:rsid w:val="00D212FA"/>
    <w:rsid w:val="00D215BF"/>
    <w:rsid w:val="00D21637"/>
    <w:rsid w:val="00D2171E"/>
    <w:rsid w:val="00D21CF5"/>
    <w:rsid w:val="00D21DCB"/>
    <w:rsid w:val="00D21FB0"/>
    <w:rsid w:val="00D222C4"/>
    <w:rsid w:val="00D22BB1"/>
    <w:rsid w:val="00D22DA4"/>
    <w:rsid w:val="00D2327D"/>
    <w:rsid w:val="00D2338B"/>
    <w:rsid w:val="00D2386D"/>
    <w:rsid w:val="00D23EA3"/>
    <w:rsid w:val="00D2436F"/>
    <w:rsid w:val="00D245B0"/>
    <w:rsid w:val="00D2479D"/>
    <w:rsid w:val="00D248E9"/>
    <w:rsid w:val="00D24DD5"/>
    <w:rsid w:val="00D24E74"/>
    <w:rsid w:val="00D251D1"/>
    <w:rsid w:val="00D2568E"/>
    <w:rsid w:val="00D257C5"/>
    <w:rsid w:val="00D25B16"/>
    <w:rsid w:val="00D25DE4"/>
    <w:rsid w:val="00D261C6"/>
    <w:rsid w:val="00D2634E"/>
    <w:rsid w:val="00D26449"/>
    <w:rsid w:val="00D2665F"/>
    <w:rsid w:val="00D266C8"/>
    <w:rsid w:val="00D268F3"/>
    <w:rsid w:val="00D26AC7"/>
    <w:rsid w:val="00D26AFA"/>
    <w:rsid w:val="00D26B50"/>
    <w:rsid w:val="00D26CC4"/>
    <w:rsid w:val="00D276B8"/>
    <w:rsid w:val="00D276E8"/>
    <w:rsid w:val="00D27BB3"/>
    <w:rsid w:val="00D27D50"/>
    <w:rsid w:val="00D27F0B"/>
    <w:rsid w:val="00D301BA"/>
    <w:rsid w:val="00D30550"/>
    <w:rsid w:val="00D30D85"/>
    <w:rsid w:val="00D30F3F"/>
    <w:rsid w:val="00D31071"/>
    <w:rsid w:val="00D31155"/>
    <w:rsid w:val="00D313FC"/>
    <w:rsid w:val="00D317CB"/>
    <w:rsid w:val="00D3245D"/>
    <w:rsid w:val="00D324A9"/>
    <w:rsid w:val="00D32544"/>
    <w:rsid w:val="00D326EE"/>
    <w:rsid w:val="00D32706"/>
    <w:rsid w:val="00D328A2"/>
    <w:rsid w:val="00D32A6B"/>
    <w:rsid w:val="00D32A74"/>
    <w:rsid w:val="00D32BB4"/>
    <w:rsid w:val="00D32CB6"/>
    <w:rsid w:val="00D32CEA"/>
    <w:rsid w:val="00D330DB"/>
    <w:rsid w:val="00D33418"/>
    <w:rsid w:val="00D33695"/>
    <w:rsid w:val="00D33E28"/>
    <w:rsid w:val="00D33E4A"/>
    <w:rsid w:val="00D33FF2"/>
    <w:rsid w:val="00D34172"/>
    <w:rsid w:val="00D34508"/>
    <w:rsid w:val="00D35071"/>
    <w:rsid w:val="00D3540E"/>
    <w:rsid w:val="00D354E9"/>
    <w:rsid w:val="00D35642"/>
    <w:rsid w:val="00D35757"/>
    <w:rsid w:val="00D35801"/>
    <w:rsid w:val="00D3589D"/>
    <w:rsid w:val="00D358A4"/>
    <w:rsid w:val="00D35934"/>
    <w:rsid w:val="00D35E9F"/>
    <w:rsid w:val="00D35FE7"/>
    <w:rsid w:val="00D3601D"/>
    <w:rsid w:val="00D36661"/>
    <w:rsid w:val="00D36AF6"/>
    <w:rsid w:val="00D36F1D"/>
    <w:rsid w:val="00D36FB0"/>
    <w:rsid w:val="00D37A46"/>
    <w:rsid w:val="00D37A81"/>
    <w:rsid w:val="00D37B6D"/>
    <w:rsid w:val="00D37B88"/>
    <w:rsid w:val="00D37C3F"/>
    <w:rsid w:val="00D37CF7"/>
    <w:rsid w:val="00D37E5D"/>
    <w:rsid w:val="00D37F04"/>
    <w:rsid w:val="00D37F4F"/>
    <w:rsid w:val="00D40376"/>
    <w:rsid w:val="00D40407"/>
    <w:rsid w:val="00D405C5"/>
    <w:rsid w:val="00D406C4"/>
    <w:rsid w:val="00D406D1"/>
    <w:rsid w:val="00D40AA5"/>
    <w:rsid w:val="00D40AD5"/>
    <w:rsid w:val="00D40C8B"/>
    <w:rsid w:val="00D41003"/>
    <w:rsid w:val="00D41471"/>
    <w:rsid w:val="00D415AD"/>
    <w:rsid w:val="00D417B3"/>
    <w:rsid w:val="00D41DAC"/>
    <w:rsid w:val="00D41F64"/>
    <w:rsid w:val="00D422F8"/>
    <w:rsid w:val="00D42897"/>
    <w:rsid w:val="00D428D4"/>
    <w:rsid w:val="00D43057"/>
    <w:rsid w:val="00D430B3"/>
    <w:rsid w:val="00D4316E"/>
    <w:rsid w:val="00D434E1"/>
    <w:rsid w:val="00D434E2"/>
    <w:rsid w:val="00D43824"/>
    <w:rsid w:val="00D438EE"/>
    <w:rsid w:val="00D43BEB"/>
    <w:rsid w:val="00D43D44"/>
    <w:rsid w:val="00D43EB1"/>
    <w:rsid w:val="00D444A7"/>
    <w:rsid w:val="00D449BA"/>
    <w:rsid w:val="00D44A0D"/>
    <w:rsid w:val="00D44ABB"/>
    <w:rsid w:val="00D44AF5"/>
    <w:rsid w:val="00D44EF9"/>
    <w:rsid w:val="00D4508E"/>
    <w:rsid w:val="00D451AA"/>
    <w:rsid w:val="00D45254"/>
    <w:rsid w:val="00D4537C"/>
    <w:rsid w:val="00D45622"/>
    <w:rsid w:val="00D459FE"/>
    <w:rsid w:val="00D45B09"/>
    <w:rsid w:val="00D45F34"/>
    <w:rsid w:val="00D460CD"/>
    <w:rsid w:val="00D4625B"/>
    <w:rsid w:val="00D46385"/>
    <w:rsid w:val="00D46445"/>
    <w:rsid w:val="00D4667E"/>
    <w:rsid w:val="00D467BA"/>
    <w:rsid w:val="00D467D3"/>
    <w:rsid w:val="00D46811"/>
    <w:rsid w:val="00D47188"/>
    <w:rsid w:val="00D4729F"/>
    <w:rsid w:val="00D47533"/>
    <w:rsid w:val="00D475A1"/>
    <w:rsid w:val="00D475B5"/>
    <w:rsid w:val="00D475C5"/>
    <w:rsid w:val="00D4786B"/>
    <w:rsid w:val="00D47B80"/>
    <w:rsid w:val="00D47F43"/>
    <w:rsid w:val="00D500B5"/>
    <w:rsid w:val="00D500E7"/>
    <w:rsid w:val="00D50179"/>
    <w:rsid w:val="00D5037B"/>
    <w:rsid w:val="00D5053A"/>
    <w:rsid w:val="00D5074F"/>
    <w:rsid w:val="00D50871"/>
    <w:rsid w:val="00D50A09"/>
    <w:rsid w:val="00D50A61"/>
    <w:rsid w:val="00D51798"/>
    <w:rsid w:val="00D5181B"/>
    <w:rsid w:val="00D51C65"/>
    <w:rsid w:val="00D51E5C"/>
    <w:rsid w:val="00D51ED7"/>
    <w:rsid w:val="00D5243D"/>
    <w:rsid w:val="00D524FC"/>
    <w:rsid w:val="00D528B1"/>
    <w:rsid w:val="00D52A31"/>
    <w:rsid w:val="00D52B73"/>
    <w:rsid w:val="00D53152"/>
    <w:rsid w:val="00D53387"/>
    <w:rsid w:val="00D533EA"/>
    <w:rsid w:val="00D53524"/>
    <w:rsid w:val="00D5385C"/>
    <w:rsid w:val="00D53B09"/>
    <w:rsid w:val="00D541A6"/>
    <w:rsid w:val="00D543F3"/>
    <w:rsid w:val="00D5483D"/>
    <w:rsid w:val="00D54E79"/>
    <w:rsid w:val="00D54F2E"/>
    <w:rsid w:val="00D54FCC"/>
    <w:rsid w:val="00D5513C"/>
    <w:rsid w:val="00D552B3"/>
    <w:rsid w:val="00D553CA"/>
    <w:rsid w:val="00D55530"/>
    <w:rsid w:val="00D55564"/>
    <w:rsid w:val="00D55645"/>
    <w:rsid w:val="00D55854"/>
    <w:rsid w:val="00D55C23"/>
    <w:rsid w:val="00D55F4E"/>
    <w:rsid w:val="00D56125"/>
    <w:rsid w:val="00D566EF"/>
    <w:rsid w:val="00D567FA"/>
    <w:rsid w:val="00D56A3F"/>
    <w:rsid w:val="00D56D1B"/>
    <w:rsid w:val="00D56D90"/>
    <w:rsid w:val="00D56ECA"/>
    <w:rsid w:val="00D56F3A"/>
    <w:rsid w:val="00D5740A"/>
    <w:rsid w:val="00D5750E"/>
    <w:rsid w:val="00D57737"/>
    <w:rsid w:val="00D57D43"/>
    <w:rsid w:val="00D57FEF"/>
    <w:rsid w:val="00D600E0"/>
    <w:rsid w:val="00D6039C"/>
    <w:rsid w:val="00D604DE"/>
    <w:rsid w:val="00D6081D"/>
    <w:rsid w:val="00D6086B"/>
    <w:rsid w:val="00D608FB"/>
    <w:rsid w:val="00D60C8D"/>
    <w:rsid w:val="00D60D5C"/>
    <w:rsid w:val="00D60E31"/>
    <w:rsid w:val="00D60EA4"/>
    <w:rsid w:val="00D61465"/>
    <w:rsid w:val="00D61586"/>
    <w:rsid w:val="00D61697"/>
    <w:rsid w:val="00D61CA3"/>
    <w:rsid w:val="00D61E3C"/>
    <w:rsid w:val="00D61EBE"/>
    <w:rsid w:val="00D622A8"/>
    <w:rsid w:val="00D624B9"/>
    <w:rsid w:val="00D6254D"/>
    <w:rsid w:val="00D62556"/>
    <w:rsid w:val="00D627A9"/>
    <w:rsid w:val="00D62819"/>
    <w:rsid w:val="00D62D5A"/>
    <w:rsid w:val="00D62E45"/>
    <w:rsid w:val="00D62F4C"/>
    <w:rsid w:val="00D63027"/>
    <w:rsid w:val="00D63094"/>
    <w:rsid w:val="00D63414"/>
    <w:rsid w:val="00D63521"/>
    <w:rsid w:val="00D636C1"/>
    <w:rsid w:val="00D6385E"/>
    <w:rsid w:val="00D639EE"/>
    <w:rsid w:val="00D63AFB"/>
    <w:rsid w:val="00D63BE0"/>
    <w:rsid w:val="00D63EFC"/>
    <w:rsid w:val="00D63FC9"/>
    <w:rsid w:val="00D64694"/>
    <w:rsid w:val="00D6475C"/>
    <w:rsid w:val="00D64851"/>
    <w:rsid w:val="00D6499A"/>
    <w:rsid w:val="00D649A9"/>
    <w:rsid w:val="00D64AF2"/>
    <w:rsid w:val="00D64B24"/>
    <w:rsid w:val="00D64B6F"/>
    <w:rsid w:val="00D64FF6"/>
    <w:rsid w:val="00D65330"/>
    <w:rsid w:val="00D6533C"/>
    <w:rsid w:val="00D654D6"/>
    <w:rsid w:val="00D658C6"/>
    <w:rsid w:val="00D65D4B"/>
    <w:rsid w:val="00D65F1E"/>
    <w:rsid w:val="00D66060"/>
    <w:rsid w:val="00D66611"/>
    <w:rsid w:val="00D6697F"/>
    <w:rsid w:val="00D66D3A"/>
    <w:rsid w:val="00D66E35"/>
    <w:rsid w:val="00D6746A"/>
    <w:rsid w:val="00D675AE"/>
    <w:rsid w:val="00D6762C"/>
    <w:rsid w:val="00D6770B"/>
    <w:rsid w:val="00D67727"/>
    <w:rsid w:val="00D67831"/>
    <w:rsid w:val="00D67864"/>
    <w:rsid w:val="00D678C0"/>
    <w:rsid w:val="00D70025"/>
    <w:rsid w:val="00D7031C"/>
    <w:rsid w:val="00D70374"/>
    <w:rsid w:val="00D70461"/>
    <w:rsid w:val="00D704B8"/>
    <w:rsid w:val="00D7052B"/>
    <w:rsid w:val="00D70639"/>
    <w:rsid w:val="00D7088F"/>
    <w:rsid w:val="00D708A6"/>
    <w:rsid w:val="00D70BA7"/>
    <w:rsid w:val="00D70E03"/>
    <w:rsid w:val="00D70FB5"/>
    <w:rsid w:val="00D7121D"/>
    <w:rsid w:val="00D71277"/>
    <w:rsid w:val="00D712CA"/>
    <w:rsid w:val="00D71350"/>
    <w:rsid w:val="00D71811"/>
    <w:rsid w:val="00D719E3"/>
    <w:rsid w:val="00D71A31"/>
    <w:rsid w:val="00D71E0B"/>
    <w:rsid w:val="00D71EB1"/>
    <w:rsid w:val="00D7202D"/>
    <w:rsid w:val="00D72104"/>
    <w:rsid w:val="00D722A0"/>
    <w:rsid w:val="00D72737"/>
    <w:rsid w:val="00D72B9E"/>
    <w:rsid w:val="00D72DB4"/>
    <w:rsid w:val="00D73442"/>
    <w:rsid w:val="00D736BE"/>
    <w:rsid w:val="00D7381A"/>
    <w:rsid w:val="00D73971"/>
    <w:rsid w:val="00D73E44"/>
    <w:rsid w:val="00D73E91"/>
    <w:rsid w:val="00D74398"/>
    <w:rsid w:val="00D74699"/>
    <w:rsid w:val="00D748E1"/>
    <w:rsid w:val="00D74B4C"/>
    <w:rsid w:val="00D7544D"/>
    <w:rsid w:val="00D7546B"/>
    <w:rsid w:val="00D7575D"/>
    <w:rsid w:val="00D7596D"/>
    <w:rsid w:val="00D760A0"/>
    <w:rsid w:val="00D761D7"/>
    <w:rsid w:val="00D7666C"/>
    <w:rsid w:val="00D76EE3"/>
    <w:rsid w:val="00D77B71"/>
    <w:rsid w:val="00D77F90"/>
    <w:rsid w:val="00D80029"/>
    <w:rsid w:val="00D80298"/>
    <w:rsid w:val="00D80488"/>
    <w:rsid w:val="00D80851"/>
    <w:rsid w:val="00D80A42"/>
    <w:rsid w:val="00D815C9"/>
    <w:rsid w:val="00D81713"/>
    <w:rsid w:val="00D81865"/>
    <w:rsid w:val="00D818DD"/>
    <w:rsid w:val="00D81A8A"/>
    <w:rsid w:val="00D81BDC"/>
    <w:rsid w:val="00D81C10"/>
    <w:rsid w:val="00D81D81"/>
    <w:rsid w:val="00D81DD7"/>
    <w:rsid w:val="00D81E61"/>
    <w:rsid w:val="00D82755"/>
    <w:rsid w:val="00D82B21"/>
    <w:rsid w:val="00D82CC7"/>
    <w:rsid w:val="00D83214"/>
    <w:rsid w:val="00D83525"/>
    <w:rsid w:val="00D8378A"/>
    <w:rsid w:val="00D83803"/>
    <w:rsid w:val="00D839F5"/>
    <w:rsid w:val="00D846F6"/>
    <w:rsid w:val="00D84713"/>
    <w:rsid w:val="00D84769"/>
    <w:rsid w:val="00D84AF5"/>
    <w:rsid w:val="00D84D98"/>
    <w:rsid w:val="00D84FA3"/>
    <w:rsid w:val="00D85048"/>
    <w:rsid w:val="00D852FA"/>
    <w:rsid w:val="00D855F7"/>
    <w:rsid w:val="00D856A7"/>
    <w:rsid w:val="00D85B5F"/>
    <w:rsid w:val="00D85C11"/>
    <w:rsid w:val="00D85C2F"/>
    <w:rsid w:val="00D85EEE"/>
    <w:rsid w:val="00D8619C"/>
    <w:rsid w:val="00D86443"/>
    <w:rsid w:val="00D864CD"/>
    <w:rsid w:val="00D866EA"/>
    <w:rsid w:val="00D86868"/>
    <w:rsid w:val="00D86A37"/>
    <w:rsid w:val="00D86C30"/>
    <w:rsid w:val="00D86D38"/>
    <w:rsid w:val="00D86FA9"/>
    <w:rsid w:val="00D873FA"/>
    <w:rsid w:val="00D8782B"/>
    <w:rsid w:val="00D8793E"/>
    <w:rsid w:val="00D87CB9"/>
    <w:rsid w:val="00D87E13"/>
    <w:rsid w:val="00D90301"/>
    <w:rsid w:val="00D903E4"/>
    <w:rsid w:val="00D90499"/>
    <w:rsid w:val="00D90854"/>
    <w:rsid w:val="00D908B8"/>
    <w:rsid w:val="00D90922"/>
    <w:rsid w:val="00D90B1D"/>
    <w:rsid w:val="00D90E1D"/>
    <w:rsid w:val="00D91314"/>
    <w:rsid w:val="00D91339"/>
    <w:rsid w:val="00D91454"/>
    <w:rsid w:val="00D9158C"/>
    <w:rsid w:val="00D91738"/>
    <w:rsid w:val="00D91A30"/>
    <w:rsid w:val="00D91AB1"/>
    <w:rsid w:val="00D91EE2"/>
    <w:rsid w:val="00D91FF6"/>
    <w:rsid w:val="00D92203"/>
    <w:rsid w:val="00D925D1"/>
    <w:rsid w:val="00D92642"/>
    <w:rsid w:val="00D92716"/>
    <w:rsid w:val="00D92A35"/>
    <w:rsid w:val="00D92E05"/>
    <w:rsid w:val="00D92F0B"/>
    <w:rsid w:val="00D930F0"/>
    <w:rsid w:val="00D9318B"/>
    <w:rsid w:val="00D93840"/>
    <w:rsid w:val="00D939DF"/>
    <w:rsid w:val="00D93BA8"/>
    <w:rsid w:val="00D93D05"/>
    <w:rsid w:val="00D93EC3"/>
    <w:rsid w:val="00D93F2D"/>
    <w:rsid w:val="00D93FA1"/>
    <w:rsid w:val="00D943D3"/>
    <w:rsid w:val="00D9444F"/>
    <w:rsid w:val="00D944F0"/>
    <w:rsid w:val="00D94885"/>
    <w:rsid w:val="00D94A23"/>
    <w:rsid w:val="00D94D09"/>
    <w:rsid w:val="00D94DF6"/>
    <w:rsid w:val="00D94E62"/>
    <w:rsid w:val="00D94F3C"/>
    <w:rsid w:val="00D951E5"/>
    <w:rsid w:val="00D95670"/>
    <w:rsid w:val="00D964C2"/>
    <w:rsid w:val="00D96899"/>
    <w:rsid w:val="00D968CF"/>
    <w:rsid w:val="00D96B45"/>
    <w:rsid w:val="00D96D09"/>
    <w:rsid w:val="00D972D0"/>
    <w:rsid w:val="00D9748F"/>
    <w:rsid w:val="00D977DE"/>
    <w:rsid w:val="00D9798F"/>
    <w:rsid w:val="00D97B31"/>
    <w:rsid w:val="00D97E5E"/>
    <w:rsid w:val="00DA022F"/>
    <w:rsid w:val="00DA06B6"/>
    <w:rsid w:val="00DA0820"/>
    <w:rsid w:val="00DA0853"/>
    <w:rsid w:val="00DA09C3"/>
    <w:rsid w:val="00DA0A8B"/>
    <w:rsid w:val="00DA0AD6"/>
    <w:rsid w:val="00DA0BDA"/>
    <w:rsid w:val="00DA0ED0"/>
    <w:rsid w:val="00DA0F1A"/>
    <w:rsid w:val="00DA1138"/>
    <w:rsid w:val="00DA1355"/>
    <w:rsid w:val="00DA1735"/>
    <w:rsid w:val="00DA1A00"/>
    <w:rsid w:val="00DA1B73"/>
    <w:rsid w:val="00DA1E76"/>
    <w:rsid w:val="00DA2508"/>
    <w:rsid w:val="00DA2B21"/>
    <w:rsid w:val="00DA2FAB"/>
    <w:rsid w:val="00DA310B"/>
    <w:rsid w:val="00DA3342"/>
    <w:rsid w:val="00DA351B"/>
    <w:rsid w:val="00DA360B"/>
    <w:rsid w:val="00DA3C3B"/>
    <w:rsid w:val="00DA3C6A"/>
    <w:rsid w:val="00DA3C80"/>
    <w:rsid w:val="00DA3DC9"/>
    <w:rsid w:val="00DA4051"/>
    <w:rsid w:val="00DA4104"/>
    <w:rsid w:val="00DA4760"/>
    <w:rsid w:val="00DA478C"/>
    <w:rsid w:val="00DA4996"/>
    <w:rsid w:val="00DA4F1E"/>
    <w:rsid w:val="00DA5016"/>
    <w:rsid w:val="00DA582C"/>
    <w:rsid w:val="00DA5A46"/>
    <w:rsid w:val="00DA5AAE"/>
    <w:rsid w:val="00DA5DB1"/>
    <w:rsid w:val="00DA5DF3"/>
    <w:rsid w:val="00DA61A9"/>
    <w:rsid w:val="00DA629A"/>
    <w:rsid w:val="00DA6A09"/>
    <w:rsid w:val="00DA6AC9"/>
    <w:rsid w:val="00DA6BBA"/>
    <w:rsid w:val="00DA708C"/>
    <w:rsid w:val="00DA72B4"/>
    <w:rsid w:val="00DA731E"/>
    <w:rsid w:val="00DA744D"/>
    <w:rsid w:val="00DA750A"/>
    <w:rsid w:val="00DA75F9"/>
    <w:rsid w:val="00DA7A01"/>
    <w:rsid w:val="00DA7D89"/>
    <w:rsid w:val="00DA7E53"/>
    <w:rsid w:val="00DB0064"/>
    <w:rsid w:val="00DB01D2"/>
    <w:rsid w:val="00DB0274"/>
    <w:rsid w:val="00DB07F8"/>
    <w:rsid w:val="00DB11F3"/>
    <w:rsid w:val="00DB1236"/>
    <w:rsid w:val="00DB1350"/>
    <w:rsid w:val="00DB178E"/>
    <w:rsid w:val="00DB17B9"/>
    <w:rsid w:val="00DB186A"/>
    <w:rsid w:val="00DB198C"/>
    <w:rsid w:val="00DB1B71"/>
    <w:rsid w:val="00DB1C98"/>
    <w:rsid w:val="00DB1E6F"/>
    <w:rsid w:val="00DB284C"/>
    <w:rsid w:val="00DB2A58"/>
    <w:rsid w:val="00DB2F67"/>
    <w:rsid w:val="00DB305F"/>
    <w:rsid w:val="00DB3369"/>
    <w:rsid w:val="00DB3698"/>
    <w:rsid w:val="00DB395E"/>
    <w:rsid w:val="00DB3B2A"/>
    <w:rsid w:val="00DB40CE"/>
    <w:rsid w:val="00DB424B"/>
    <w:rsid w:val="00DB4376"/>
    <w:rsid w:val="00DB45E0"/>
    <w:rsid w:val="00DB4BD9"/>
    <w:rsid w:val="00DB4D5C"/>
    <w:rsid w:val="00DB4DD6"/>
    <w:rsid w:val="00DB4E16"/>
    <w:rsid w:val="00DB4F72"/>
    <w:rsid w:val="00DB520A"/>
    <w:rsid w:val="00DB57BE"/>
    <w:rsid w:val="00DB5916"/>
    <w:rsid w:val="00DB5A00"/>
    <w:rsid w:val="00DB5A28"/>
    <w:rsid w:val="00DB5A66"/>
    <w:rsid w:val="00DB5B2F"/>
    <w:rsid w:val="00DB5DB3"/>
    <w:rsid w:val="00DB5F18"/>
    <w:rsid w:val="00DB60C6"/>
    <w:rsid w:val="00DB6723"/>
    <w:rsid w:val="00DB6899"/>
    <w:rsid w:val="00DB6F12"/>
    <w:rsid w:val="00DB72EA"/>
    <w:rsid w:val="00DB7E04"/>
    <w:rsid w:val="00DB7F29"/>
    <w:rsid w:val="00DC0293"/>
    <w:rsid w:val="00DC0391"/>
    <w:rsid w:val="00DC05B5"/>
    <w:rsid w:val="00DC0763"/>
    <w:rsid w:val="00DC07C0"/>
    <w:rsid w:val="00DC085D"/>
    <w:rsid w:val="00DC090B"/>
    <w:rsid w:val="00DC0A4A"/>
    <w:rsid w:val="00DC0AF7"/>
    <w:rsid w:val="00DC0B28"/>
    <w:rsid w:val="00DC0B60"/>
    <w:rsid w:val="00DC0BBA"/>
    <w:rsid w:val="00DC0C22"/>
    <w:rsid w:val="00DC102D"/>
    <w:rsid w:val="00DC10EB"/>
    <w:rsid w:val="00DC1278"/>
    <w:rsid w:val="00DC15E2"/>
    <w:rsid w:val="00DC1618"/>
    <w:rsid w:val="00DC194F"/>
    <w:rsid w:val="00DC1BA1"/>
    <w:rsid w:val="00DC1DA7"/>
    <w:rsid w:val="00DC2298"/>
    <w:rsid w:val="00DC2535"/>
    <w:rsid w:val="00DC26C4"/>
    <w:rsid w:val="00DC312C"/>
    <w:rsid w:val="00DC3312"/>
    <w:rsid w:val="00DC354C"/>
    <w:rsid w:val="00DC38FE"/>
    <w:rsid w:val="00DC3C7F"/>
    <w:rsid w:val="00DC3E7F"/>
    <w:rsid w:val="00DC3F8F"/>
    <w:rsid w:val="00DC40A6"/>
    <w:rsid w:val="00DC4171"/>
    <w:rsid w:val="00DC4232"/>
    <w:rsid w:val="00DC4616"/>
    <w:rsid w:val="00DC49DC"/>
    <w:rsid w:val="00DC4ADA"/>
    <w:rsid w:val="00DC4AEC"/>
    <w:rsid w:val="00DC4E2E"/>
    <w:rsid w:val="00DC5362"/>
    <w:rsid w:val="00DC543C"/>
    <w:rsid w:val="00DC54F6"/>
    <w:rsid w:val="00DC57C6"/>
    <w:rsid w:val="00DC6679"/>
    <w:rsid w:val="00DC6813"/>
    <w:rsid w:val="00DC6843"/>
    <w:rsid w:val="00DC693F"/>
    <w:rsid w:val="00DC6A98"/>
    <w:rsid w:val="00DC6AFB"/>
    <w:rsid w:val="00DC6D35"/>
    <w:rsid w:val="00DC6EC7"/>
    <w:rsid w:val="00DC6F8E"/>
    <w:rsid w:val="00DC70F8"/>
    <w:rsid w:val="00DC7575"/>
    <w:rsid w:val="00DC75BF"/>
    <w:rsid w:val="00DC7663"/>
    <w:rsid w:val="00DC77DC"/>
    <w:rsid w:val="00DC77F3"/>
    <w:rsid w:val="00DC79F8"/>
    <w:rsid w:val="00DC7CA4"/>
    <w:rsid w:val="00DC7CE0"/>
    <w:rsid w:val="00DC7E91"/>
    <w:rsid w:val="00DD05E4"/>
    <w:rsid w:val="00DD067D"/>
    <w:rsid w:val="00DD08E9"/>
    <w:rsid w:val="00DD0D1C"/>
    <w:rsid w:val="00DD0D6F"/>
    <w:rsid w:val="00DD0DE6"/>
    <w:rsid w:val="00DD0E01"/>
    <w:rsid w:val="00DD0F46"/>
    <w:rsid w:val="00DD1085"/>
    <w:rsid w:val="00DD10E9"/>
    <w:rsid w:val="00DD1529"/>
    <w:rsid w:val="00DD1709"/>
    <w:rsid w:val="00DD1BFF"/>
    <w:rsid w:val="00DD1C98"/>
    <w:rsid w:val="00DD1DCD"/>
    <w:rsid w:val="00DD20AF"/>
    <w:rsid w:val="00DD2860"/>
    <w:rsid w:val="00DD2876"/>
    <w:rsid w:val="00DD28FA"/>
    <w:rsid w:val="00DD2EF1"/>
    <w:rsid w:val="00DD31DB"/>
    <w:rsid w:val="00DD325F"/>
    <w:rsid w:val="00DD32FE"/>
    <w:rsid w:val="00DD347C"/>
    <w:rsid w:val="00DD349B"/>
    <w:rsid w:val="00DD3EE2"/>
    <w:rsid w:val="00DD44D0"/>
    <w:rsid w:val="00DD45CB"/>
    <w:rsid w:val="00DD4B65"/>
    <w:rsid w:val="00DD4F15"/>
    <w:rsid w:val="00DD5098"/>
    <w:rsid w:val="00DD5280"/>
    <w:rsid w:val="00DD546B"/>
    <w:rsid w:val="00DD558F"/>
    <w:rsid w:val="00DD58A0"/>
    <w:rsid w:val="00DD5909"/>
    <w:rsid w:val="00DD59B5"/>
    <w:rsid w:val="00DD5D7E"/>
    <w:rsid w:val="00DD5E31"/>
    <w:rsid w:val="00DD5E46"/>
    <w:rsid w:val="00DD612C"/>
    <w:rsid w:val="00DD6280"/>
    <w:rsid w:val="00DD64EC"/>
    <w:rsid w:val="00DD68D5"/>
    <w:rsid w:val="00DD6A72"/>
    <w:rsid w:val="00DD6FC0"/>
    <w:rsid w:val="00DD7114"/>
    <w:rsid w:val="00DD72F8"/>
    <w:rsid w:val="00DD740B"/>
    <w:rsid w:val="00DD745C"/>
    <w:rsid w:val="00DD758E"/>
    <w:rsid w:val="00DE00F2"/>
    <w:rsid w:val="00DE0118"/>
    <w:rsid w:val="00DE018E"/>
    <w:rsid w:val="00DE019C"/>
    <w:rsid w:val="00DE07C2"/>
    <w:rsid w:val="00DE08F4"/>
    <w:rsid w:val="00DE0AB1"/>
    <w:rsid w:val="00DE0D42"/>
    <w:rsid w:val="00DE0F89"/>
    <w:rsid w:val="00DE105F"/>
    <w:rsid w:val="00DE1153"/>
    <w:rsid w:val="00DE1913"/>
    <w:rsid w:val="00DE20F5"/>
    <w:rsid w:val="00DE22C2"/>
    <w:rsid w:val="00DE27F0"/>
    <w:rsid w:val="00DE295D"/>
    <w:rsid w:val="00DE297C"/>
    <w:rsid w:val="00DE2E08"/>
    <w:rsid w:val="00DE2E54"/>
    <w:rsid w:val="00DE2FDA"/>
    <w:rsid w:val="00DE31D5"/>
    <w:rsid w:val="00DE381A"/>
    <w:rsid w:val="00DE3CA4"/>
    <w:rsid w:val="00DE3EA8"/>
    <w:rsid w:val="00DE3FD8"/>
    <w:rsid w:val="00DE42C9"/>
    <w:rsid w:val="00DE4675"/>
    <w:rsid w:val="00DE46A6"/>
    <w:rsid w:val="00DE4B47"/>
    <w:rsid w:val="00DE4BA4"/>
    <w:rsid w:val="00DE54DA"/>
    <w:rsid w:val="00DE5657"/>
    <w:rsid w:val="00DE567F"/>
    <w:rsid w:val="00DE56A4"/>
    <w:rsid w:val="00DE5905"/>
    <w:rsid w:val="00DE5F5C"/>
    <w:rsid w:val="00DE6218"/>
    <w:rsid w:val="00DE62BE"/>
    <w:rsid w:val="00DE673E"/>
    <w:rsid w:val="00DE6AD3"/>
    <w:rsid w:val="00DE6C36"/>
    <w:rsid w:val="00DE6CE9"/>
    <w:rsid w:val="00DE6D20"/>
    <w:rsid w:val="00DE6E6D"/>
    <w:rsid w:val="00DE7065"/>
    <w:rsid w:val="00DE707E"/>
    <w:rsid w:val="00DE72C6"/>
    <w:rsid w:val="00DE73A8"/>
    <w:rsid w:val="00DE7D59"/>
    <w:rsid w:val="00DF0246"/>
    <w:rsid w:val="00DF0535"/>
    <w:rsid w:val="00DF0556"/>
    <w:rsid w:val="00DF05ED"/>
    <w:rsid w:val="00DF098B"/>
    <w:rsid w:val="00DF0DE1"/>
    <w:rsid w:val="00DF0EE1"/>
    <w:rsid w:val="00DF1462"/>
    <w:rsid w:val="00DF17A9"/>
    <w:rsid w:val="00DF1963"/>
    <w:rsid w:val="00DF19BA"/>
    <w:rsid w:val="00DF1AA6"/>
    <w:rsid w:val="00DF1C4D"/>
    <w:rsid w:val="00DF1C97"/>
    <w:rsid w:val="00DF204D"/>
    <w:rsid w:val="00DF20A5"/>
    <w:rsid w:val="00DF22A8"/>
    <w:rsid w:val="00DF2311"/>
    <w:rsid w:val="00DF247C"/>
    <w:rsid w:val="00DF25AD"/>
    <w:rsid w:val="00DF2694"/>
    <w:rsid w:val="00DF26E1"/>
    <w:rsid w:val="00DF2780"/>
    <w:rsid w:val="00DF2AC9"/>
    <w:rsid w:val="00DF2D7A"/>
    <w:rsid w:val="00DF2EB8"/>
    <w:rsid w:val="00DF2F89"/>
    <w:rsid w:val="00DF31E7"/>
    <w:rsid w:val="00DF31F3"/>
    <w:rsid w:val="00DF323A"/>
    <w:rsid w:val="00DF361D"/>
    <w:rsid w:val="00DF3AD6"/>
    <w:rsid w:val="00DF3BF9"/>
    <w:rsid w:val="00DF3C9E"/>
    <w:rsid w:val="00DF3CF0"/>
    <w:rsid w:val="00DF3E59"/>
    <w:rsid w:val="00DF3E5B"/>
    <w:rsid w:val="00DF431D"/>
    <w:rsid w:val="00DF4623"/>
    <w:rsid w:val="00DF4643"/>
    <w:rsid w:val="00DF47D3"/>
    <w:rsid w:val="00DF4A01"/>
    <w:rsid w:val="00DF4BA5"/>
    <w:rsid w:val="00DF4CAF"/>
    <w:rsid w:val="00DF510B"/>
    <w:rsid w:val="00DF56D5"/>
    <w:rsid w:val="00DF5A65"/>
    <w:rsid w:val="00DF5AFA"/>
    <w:rsid w:val="00DF5B8A"/>
    <w:rsid w:val="00DF5DC4"/>
    <w:rsid w:val="00DF60D9"/>
    <w:rsid w:val="00DF61CB"/>
    <w:rsid w:val="00DF61DF"/>
    <w:rsid w:val="00DF62DE"/>
    <w:rsid w:val="00DF6441"/>
    <w:rsid w:val="00DF646B"/>
    <w:rsid w:val="00DF6667"/>
    <w:rsid w:val="00DF681D"/>
    <w:rsid w:val="00DF687D"/>
    <w:rsid w:val="00DF698B"/>
    <w:rsid w:val="00DF6C0D"/>
    <w:rsid w:val="00DF6F3B"/>
    <w:rsid w:val="00DF70E3"/>
    <w:rsid w:val="00DF712D"/>
    <w:rsid w:val="00DF7187"/>
    <w:rsid w:val="00DF753A"/>
    <w:rsid w:val="00DF7719"/>
    <w:rsid w:val="00DF779B"/>
    <w:rsid w:val="00DF78AD"/>
    <w:rsid w:val="00DF79E9"/>
    <w:rsid w:val="00DF7F5E"/>
    <w:rsid w:val="00E0048F"/>
    <w:rsid w:val="00E00E1A"/>
    <w:rsid w:val="00E00EBA"/>
    <w:rsid w:val="00E00EFE"/>
    <w:rsid w:val="00E00F86"/>
    <w:rsid w:val="00E00FF5"/>
    <w:rsid w:val="00E010C0"/>
    <w:rsid w:val="00E01673"/>
    <w:rsid w:val="00E0174F"/>
    <w:rsid w:val="00E01ABC"/>
    <w:rsid w:val="00E01FE5"/>
    <w:rsid w:val="00E02073"/>
    <w:rsid w:val="00E0221A"/>
    <w:rsid w:val="00E02220"/>
    <w:rsid w:val="00E023EF"/>
    <w:rsid w:val="00E02752"/>
    <w:rsid w:val="00E02BD9"/>
    <w:rsid w:val="00E031D2"/>
    <w:rsid w:val="00E03388"/>
    <w:rsid w:val="00E036FA"/>
    <w:rsid w:val="00E038C9"/>
    <w:rsid w:val="00E039C9"/>
    <w:rsid w:val="00E03E21"/>
    <w:rsid w:val="00E03F58"/>
    <w:rsid w:val="00E04060"/>
    <w:rsid w:val="00E042B2"/>
    <w:rsid w:val="00E042E8"/>
    <w:rsid w:val="00E044B1"/>
    <w:rsid w:val="00E0456E"/>
    <w:rsid w:val="00E0466E"/>
    <w:rsid w:val="00E047E0"/>
    <w:rsid w:val="00E04E89"/>
    <w:rsid w:val="00E04F52"/>
    <w:rsid w:val="00E05106"/>
    <w:rsid w:val="00E05185"/>
    <w:rsid w:val="00E05582"/>
    <w:rsid w:val="00E055E9"/>
    <w:rsid w:val="00E05690"/>
    <w:rsid w:val="00E056E3"/>
    <w:rsid w:val="00E0595B"/>
    <w:rsid w:val="00E05E27"/>
    <w:rsid w:val="00E063DF"/>
    <w:rsid w:val="00E065FA"/>
    <w:rsid w:val="00E0662C"/>
    <w:rsid w:val="00E06B9B"/>
    <w:rsid w:val="00E06BE8"/>
    <w:rsid w:val="00E06C4C"/>
    <w:rsid w:val="00E06D8E"/>
    <w:rsid w:val="00E072EA"/>
    <w:rsid w:val="00E07698"/>
    <w:rsid w:val="00E076AB"/>
    <w:rsid w:val="00E07713"/>
    <w:rsid w:val="00E07BC6"/>
    <w:rsid w:val="00E1048C"/>
    <w:rsid w:val="00E104FE"/>
    <w:rsid w:val="00E10647"/>
    <w:rsid w:val="00E109E6"/>
    <w:rsid w:val="00E10B29"/>
    <w:rsid w:val="00E10C34"/>
    <w:rsid w:val="00E10FEC"/>
    <w:rsid w:val="00E110AB"/>
    <w:rsid w:val="00E110E2"/>
    <w:rsid w:val="00E11478"/>
    <w:rsid w:val="00E11829"/>
    <w:rsid w:val="00E11AEA"/>
    <w:rsid w:val="00E1267D"/>
    <w:rsid w:val="00E126DB"/>
    <w:rsid w:val="00E12AEA"/>
    <w:rsid w:val="00E12FF1"/>
    <w:rsid w:val="00E13045"/>
    <w:rsid w:val="00E136C8"/>
    <w:rsid w:val="00E1392A"/>
    <w:rsid w:val="00E13F2C"/>
    <w:rsid w:val="00E13FBD"/>
    <w:rsid w:val="00E14206"/>
    <w:rsid w:val="00E14BD8"/>
    <w:rsid w:val="00E14D3D"/>
    <w:rsid w:val="00E14EC4"/>
    <w:rsid w:val="00E14FA6"/>
    <w:rsid w:val="00E150C9"/>
    <w:rsid w:val="00E15602"/>
    <w:rsid w:val="00E159E6"/>
    <w:rsid w:val="00E15A01"/>
    <w:rsid w:val="00E15AC1"/>
    <w:rsid w:val="00E15D84"/>
    <w:rsid w:val="00E16053"/>
    <w:rsid w:val="00E16273"/>
    <w:rsid w:val="00E164B2"/>
    <w:rsid w:val="00E16B66"/>
    <w:rsid w:val="00E17310"/>
    <w:rsid w:val="00E1741E"/>
    <w:rsid w:val="00E175C4"/>
    <w:rsid w:val="00E176C1"/>
    <w:rsid w:val="00E1774E"/>
    <w:rsid w:val="00E177E6"/>
    <w:rsid w:val="00E17AFE"/>
    <w:rsid w:val="00E17E9C"/>
    <w:rsid w:val="00E20057"/>
    <w:rsid w:val="00E20419"/>
    <w:rsid w:val="00E20432"/>
    <w:rsid w:val="00E20777"/>
    <w:rsid w:val="00E208EC"/>
    <w:rsid w:val="00E20B25"/>
    <w:rsid w:val="00E20B83"/>
    <w:rsid w:val="00E20F75"/>
    <w:rsid w:val="00E20F79"/>
    <w:rsid w:val="00E20F7E"/>
    <w:rsid w:val="00E211CC"/>
    <w:rsid w:val="00E21546"/>
    <w:rsid w:val="00E215E9"/>
    <w:rsid w:val="00E21630"/>
    <w:rsid w:val="00E21BF1"/>
    <w:rsid w:val="00E21CB0"/>
    <w:rsid w:val="00E21D4D"/>
    <w:rsid w:val="00E21E9D"/>
    <w:rsid w:val="00E220ED"/>
    <w:rsid w:val="00E2223B"/>
    <w:rsid w:val="00E223C9"/>
    <w:rsid w:val="00E2267C"/>
    <w:rsid w:val="00E22B4A"/>
    <w:rsid w:val="00E22F4E"/>
    <w:rsid w:val="00E2305E"/>
    <w:rsid w:val="00E2347D"/>
    <w:rsid w:val="00E23737"/>
    <w:rsid w:val="00E2378C"/>
    <w:rsid w:val="00E23824"/>
    <w:rsid w:val="00E23ABD"/>
    <w:rsid w:val="00E23AD8"/>
    <w:rsid w:val="00E23D55"/>
    <w:rsid w:val="00E23D5F"/>
    <w:rsid w:val="00E23DFA"/>
    <w:rsid w:val="00E23FEA"/>
    <w:rsid w:val="00E24208"/>
    <w:rsid w:val="00E243C1"/>
    <w:rsid w:val="00E24884"/>
    <w:rsid w:val="00E24A32"/>
    <w:rsid w:val="00E24CB2"/>
    <w:rsid w:val="00E24CF3"/>
    <w:rsid w:val="00E25287"/>
    <w:rsid w:val="00E253F2"/>
    <w:rsid w:val="00E25574"/>
    <w:rsid w:val="00E25851"/>
    <w:rsid w:val="00E25E66"/>
    <w:rsid w:val="00E26118"/>
    <w:rsid w:val="00E2612B"/>
    <w:rsid w:val="00E26392"/>
    <w:rsid w:val="00E26A3C"/>
    <w:rsid w:val="00E26D6D"/>
    <w:rsid w:val="00E270A7"/>
    <w:rsid w:val="00E272B3"/>
    <w:rsid w:val="00E273F5"/>
    <w:rsid w:val="00E2764D"/>
    <w:rsid w:val="00E2767A"/>
    <w:rsid w:val="00E27BF3"/>
    <w:rsid w:val="00E27CC1"/>
    <w:rsid w:val="00E27D5A"/>
    <w:rsid w:val="00E27F17"/>
    <w:rsid w:val="00E27FBF"/>
    <w:rsid w:val="00E301F0"/>
    <w:rsid w:val="00E30656"/>
    <w:rsid w:val="00E30887"/>
    <w:rsid w:val="00E308C5"/>
    <w:rsid w:val="00E30B2E"/>
    <w:rsid w:val="00E30C76"/>
    <w:rsid w:val="00E30CE8"/>
    <w:rsid w:val="00E311A9"/>
    <w:rsid w:val="00E31311"/>
    <w:rsid w:val="00E31585"/>
    <w:rsid w:val="00E31675"/>
    <w:rsid w:val="00E31864"/>
    <w:rsid w:val="00E31949"/>
    <w:rsid w:val="00E31CAE"/>
    <w:rsid w:val="00E31CF9"/>
    <w:rsid w:val="00E3220B"/>
    <w:rsid w:val="00E329E1"/>
    <w:rsid w:val="00E32AE4"/>
    <w:rsid w:val="00E32AFF"/>
    <w:rsid w:val="00E32F22"/>
    <w:rsid w:val="00E334CE"/>
    <w:rsid w:val="00E335AF"/>
    <w:rsid w:val="00E338D4"/>
    <w:rsid w:val="00E33C38"/>
    <w:rsid w:val="00E340DA"/>
    <w:rsid w:val="00E3447B"/>
    <w:rsid w:val="00E344CF"/>
    <w:rsid w:val="00E345BC"/>
    <w:rsid w:val="00E34807"/>
    <w:rsid w:val="00E34824"/>
    <w:rsid w:val="00E34BDB"/>
    <w:rsid w:val="00E34FDD"/>
    <w:rsid w:val="00E3517C"/>
    <w:rsid w:val="00E352EE"/>
    <w:rsid w:val="00E357C1"/>
    <w:rsid w:val="00E35949"/>
    <w:rsid w:val="00E35A1D"/>
    <w:rsid w:val="00E35AB3"/>
    <w:rsid w:val="00E35C17"/>
    <w:rsid w:val="00E35E21"/>
    <w:rsid w:val="00E35FD2"/>
    <w:rsid w:val="00E367D6"/>
    <w:rsid w:val="00E36881"/>
    <w:rsid w:val="00E36DD0"/>
    <w:rsid w:val="00E3700C"/>
    <w:rsid w:val="00E375A3"/>
    <w:rsid w:val="00E37696"/>
    <w:rsid w:val="00E3787B"/>
    <w:rsid w:val="00E379B3"/>
    <w:rsid w:val="00E37CC3"/>
    <w:rsid w:val="00E37D43"/>
    <w:rsid w:val="00E40318"/>
    <w:rsid w:val="00E404F7"/>
    <w:rsid w:val="00E408E3"/>
    <w:rsid w:val="00E408FA"/>
    <w:rsid w:val="00E40A37"/>
    <w:rsid w:val="00E40A4E"/>
    <w:rsid w:val="00E40BF8"/>
    <w:rsid w:val="00E40DE3"/>
    <w:rsid w:val="00E41020"/>
    <w:rsid w:val="00E413AA"/>
    <w:rsid w:val="00E419A0"/>
    <w:rsid w:val="00E41D38"/>
    <w:rsid w:val="00E41DB9"/>
    <w:rsid w:val="00E41E84"/>
    <w:rsid w:val="00E42119"/>
    <w:rsid w:val="00E42444"/>
    <w:rsid w:val="00E4278B"/>
    <w:rsid w:val="00E42CB5"/>
    <w:rsid w:val="00E42E34"/>
    <w:rsid w:val="00E42E4D"/>
    <w:rsid w:val="00E433E0"/>
    <w:rsid w:val="00E4340A"/>
    <w:rsid w:val="00E43467"/>
    <w:rsid w:val="00E43750"/>
    <w:rsid w:val="00E439B3"/>
    <w:rsid w:val="00E43CE5"/>
    <w:rsid w:val="00E43DFF"/>
    <w:rsid w:val="00E440ED"/>
    <w:rsid w:val="00E44170"/>
    <w:rsid w:val="00E44242"/>
    <w:rsid w:val="00E44298"/>
    <w:rsid w:val="00E45598"/>
    <w:rsid w:val="00E45605"/>
    <w:rsid w:val="00E45666"/>
    <w:rsid w:val="00E458ED"/>
    <w:rsid w:val="00E459DD"/>
    <w:rsid w:val="00E45A36"/>
    <w:rsid w:val="00E45B3B"/>
    <w:rsid w:val="00E45C1A"/>
    <w:rsid w:val="00E45CE2"/>
    <w:rsid w:val="00E45F1D"/>
    <w:rsid w:val="00E45F98"/>
    <w:rsid w:val="00E46427"/>
    <w:rsid w:val="00E46451"/>
    <w:rsid w:val="00E467E0"/>
    <w:rsid w:val="00E467F6"/>
    <w:rsid w:val="00E46998"/>
    <w:rsid w:val="00E46CB8"/>
    <w:rsid w:val="00E46EA1"/>
    <w:rsid w:val="00E47339"/>
    <w:rsid w:val="00E47631"/>
    <w:rsid w:val="00E47736"/>
    <w:rsid w:val="00E47BA8"/>
    <w:rsid w:val="00E50005"/>
    <w:rsid w:val="00E503A9"/>
    <w:rsid w:val="00E50792"/>
    <w:rsid w:val="00E5088C"/>
    <w:rsid w:val="00E50A03"/>
    <w:rsid w:val="00E50CA6"/>
    <w:rsid w:val="00E50F6C"/>
    <w:rsid w:val="00E51181"/>
    <w:rsid w:val="00E51294"/>
    <w:rsid w:val="00E51544"/>
    <w:rsid w:val="00E5160B"/>
    <w:rsid w:val="00E516CF"/>
    <w:rsid w:val="00E51A42"/>
    <w:rsid w:val="00E51E85"/>
    <w:rsid w:val="00E51EF8"/>
    <w:rsid w:val="00E522AB"/>
    <w:rsid w:val="00E52683"/>
    <w:rsid w:val="00E528F3"/>
    <w:rsid w:val="00E52902"/>
    <w:rsid w:val="00E52AD4"/>
    <w:rsid w:val="00E52D39"/>
    <w:rsid w:val="00E52DDF"/>
    <w:rsid w:val="00E532AA"/>
    <w:rsid w:val="00E53379"/>
    <w:rsid w:val="00E533D3"/>
    <w:rsid w:val="00E537C4"/>
    <w:rsid w:val="00E537E4"/>
    <w:rsid w:val="00E53A81"/>
    <w:rsid w:val="00E53FEA"/>
    <w:rsid w:val="00E54067"/>
    <w:rsid w:val="00E54072"/>
    <w:rsid w:val="00E541BC"/>
    <w:rsid w:val="00E542B0"/>
    <w:rsid w:val="00E545AE"/>
    <w:rsid w:val="00E545D4"/>
    <w:rsid w:val="00E5462E"/>
    <w:rsid w:val="00E546F6"/>
    <w:rsid w:val="00E54D20"/>
    <w:rsid w:val="00E54FA5"/>
    <w:rsid w:val="00E54FE4"/>
    <w:rsid w:val="00E554FC"/>
    <w:rsid w:val="00E55549"/>
    <w:rsid w:val="00E55848"/>
    <w:rsid w:val="00E55AE7"/>
    <w:rsid w:val="00E55DE0"/>
    <w:rsid w:val="00E5636E"/>
    <w:rsid w:val="00E56493"/>
    <w:rsid w:val="00E564E7"/>
    <w:rsid w:val="00E56799"/>
    <w:rsid w:val="00E567CE"/>
    <w:rsid w:val="00E56C5E"/>
    <w:rsid w:val="00E56CA8"/>
    <w:rsid w:val="00E56D46"/>
    <w:rsid w:val="00E56D77"/>
    <w:rsid w:val="00E56DD8"/>
    <w:rsid w:val="00E56F1D"/>
    <w:rsid w:val="00E56FFE"/>
    <w:rsid w:val="00E5705C"/>
    <w:rsid w:val="00E571FC"/>
    <w:rsid w:val="00E57236"/>
    <w:rsid w:val="00E5728C"/>
    <w:rsid w:val="00E5743B"/>
    <w:rsid w:val="00E575EA"/>
    <w:rsid w:val="00E5779B"/>
    <w:rsid w:val="00E5781B"/>
    <w:rsid w:val="00E57CCE"/>
    <w:rsid w:val="00E57E01"/>
    <w:rsid w:val="00E6004B"/>
    <w:rsid w:val="00E60927"/>
    <w:rsid w:val="00E609A8"/>
    <w:rsid w:val="00E60A26"/>
    <w:rsid w:val="00E60C9F"/>
    <w:rsid w:val="00E61224"/>
    <w:rsid w:val="00E61E34"/>
    <w:rsid w:val="00E61E54"/>
    <w:rsid w:val="00E61F5D"/>
    <w:rsid w:val="00E62339"/>
    <w:rsid w:val="00E623F4"/>
    <w:rsid w:val="00E626E5"/>
    <w:rsid w:val="00E626EC"/>
    <w:rsid w:val="00E62708"/>
    <w:rsid w:val="00E62ABB"/>
    <w:rsid w:val="00E63002"/>
    <w:rsid w:val="00E63003"/>
    <w:rsid w:val="00E63032"/>
    <w:rsid w:val="00E6328C"/>
    <w:rsid w:val="00E63588"/>
    <w:rsid w:val="00E6363A"/>
    <w:rsid w:val="00E63B10"/>
    <w:rsid w:val="00E63C90"/>
    <w:rsid w:val="00E63DC8"/>
    <w:rsid w:val="00E63E54"/>
    <w:rsid w:val="00E64061"/>
    <w:rsid w:val="00E64DD3"/>
    <w:rsid w:val="00E652AD"/>
    <w:rsid w:val="00E65404"/>
    <w:rsid w:val="00E65422"/>
    <w:rsid w:val="00E65927"/>
    <w:rsid w:val="00E6592A"/>
    <w:rsid w:val="00E65CA0"/>
    <w:rsid w:val="00E65E26"/>
    <w:rsid w:val="00E6624D"/>
    <w:rsid w:val="00E6668A"/>
    <w:rsid w:val="00E66E32"/>
    <w:rsid w:val="00E66EE7"/>
    <w:rsid w:val="00E67118"/>
    <w:rsid w:val="00E672FC"/>
    <w:rsid w:val="00E673B8"/>
    <w:rsid w:val="00E67552"/>
    <w:rsid w:val="00E67B34"/>
    <w:rsid w:val="00E67D6C"/>
    <w:rsid w:val="00E67DE6"/>
    <w:rsid w:val="00E67DF0"/>
    <w:rsid w:val="00E67E69"/>
    <w:rsid w:val="00E70954"/>
    <w:rsid w:val="00E70B3C"/>
    <w:rsid w:val="00E70BFE"/>
    <w:rsid w:val="00E70D17"/>
    <w:rsid w:val="00E70F3A"/>
    <w:rsid w:val="00E70FF6"/>
    <w:rsid w:val="00E712EC"/>
    <w:rsid w:val="00E71460"/>
    <w:rsid w:val="00E71627"/>
    <w:rsid w:val="00E71631"/>
    <w:rsid w:val="00E7165F"/>
    <w:rsid w:val="00E716B9"/>
    <w:rsid w:val="00E719E6"/>
    <w:rsid w:val="00E71C9F"/>
    <w:rsid w:val="00E71CC6"/>
    <w:rsid w:val="00E71E3D"/>
    <w:rsid w:val="00E71E72"/>
    <w:rsid w:val="00E72787"/>
    <w:rsid w:val="00E727D9"/>
    <w:rsid w:val="00E727E9"/>
    <w:rsid w:val="00E72F10"/>
    <w:rsid w:val="00E73723"/>
    <w:rsid w:val="00E73935"/>
    <w:rsid w:val="00E73B10"/>
    <w:rsid w:val="00E73BF9"/>
    <w:rsid w:val="00E73DBA"/>
    <w:rsid w:val="00E740AE"/>
    <w:rsid w:val="00E744F9"/>
    <w:rsid w:val="00E74949"/>
    <w:rsid w:val="00E7498C"/>
    <w:rsid w:val="00E749AF"/>
    <w:rsid w:val="00E74CEF"/>
    <w:rsid w:val="00E74F1A"/>
    <w:rsid w:val="00E75370"/>
    <w:rsid w:val="00E75D55"/>
    <w:rsid w:val="00E75DD9"/>
    <w:rsid w:val="00E75E25"/>
    <w:rsid w:val="00E765A5"/>
    <w:rsid w:val="00E7691F"/>
    <w:rsid w:val="00E7693B"/>
    <w:rsid w:val="00E769C9"/>
    <w:rsid w:val="00E7755B"/>
    <w:rsid w:val="00E7756E"/>
    <w:rsid w:val="00E77617"/>
    <w:rsid w:val="00E77B52"/>
    <w:rsid w:val="00E77B77"/>
    <w:rsid w:val="00E80053"/>
    <w:rsid w:val="00E804B0"/>
    <w:rsid w:val="00E80C17"/>
    <w:rsid w:val="00E80D95"/>
    <w:rsid w:val="00E80E4B"/>
    <w:rsid w:val="00E80E9D"/>
    <w:rsid w:val="00E8112E"/>
    <w:rsid w:val="00E81601"/>
    <w:rsid w:val="00E81638"/>
    <w:rsid w:val="00E81639"/>
    <w:rsid w:val="00E81C05"/>
    <w:rsid w:val="00E81C6C"/>
    <w:rsid w:val="00E81D78"/>
    <w:rsid w:val="00E82087"/>
    <w:rsid w:val="00E8227D"/>
    <w:rsid w:val="00E823D3"/>
    <w:rsid w:val="00E8247A"/>
    <w:rsid w:val="00E82BC0"/>
    <w:rsid w:val="00E82CCF"/>
    <w:rsid w:val="00E83095"/>
    <w:rsid w:val="00E8310E"/>
    <w:rsid w:val="00E83168"/>
    <w:rsid w:val="00E831F2"/>
    <w:rsid w:val="00E83255"/>
    <w:rsid w:val="00E835C9"/>
    <w:rsid w:val="00E83605"/>
    <w:rsid w:val="00E8365B"/>
    <w:rsid w:val="00E836A5"/>
    <w:rsid w:val="00E83A9F"/>
    <w:rsid w:val="00E83C0F"/>
    <w:rsid w:val="00E83E81"/>
    <w:rsid w:val="00E8426D"/>
    <w:rsid w:val="00E845C5"/>
    <w:rsid w:val="00E84731"/>
    <w:rsid w:val="00E84799"/>
    <w:rsid w:val="00E84EAB"/>
    <w:rsid w:val="00E84EB9"/>
    <w:rsid w:val="00E84FB3"/>
    <w:rsid w:val="00E84FCF"/>
    <w:rsid w:val="00E85041"/>
    <w:rsid w:val="00E85186"/>
    <w:rsid w:val="00E851E7"/>
    <w:rsid w:val="00E85546"/>
    <w:rsid w:val="00E85748"/>
    <w:rsid w:val="00E85A77"/>
    <w:rsid w:val="00E86104"/>
    <w:rsid w:val="00E86119"/>
    <w:rsid w:val="00E8615C"/>
    <w:rsid w:val="00E86389"/>
    <w:rsid w:val="00E86444"/>
    <w:rsid w:val="00E8698A"/>
    <w:rsid w:val="00E86BD5"/>
    <w:rsid w:val="00E86C2D"/>
    <w:rsid w:val="00E86DBD"/>
    <w:rsid w:val="00E86F68"/>
    <w:rsid w:val="00E86F9D"/>
    <w:rsid w:val="00E872B5"/>
    <w:rsid w:val="00E872D2"/>
    <w:rsid w:val="00E8735D"/>
    <w:rsid w:val="00E8771F"/>
    <w:rsid w:val="00E87B73"/>
    <w:rsid w:val="00E87E75"/>
    <w:rsid w:val="00E87F10"/>
    <w:rsid w:val="00E900DF"/>
    <w:rsid w:val="00E90240"/>
    <w:rsid w:val="00E9028E"/>
    <w:rsid w:val="00E90405"/>
    <w:rsid w:val="00E90450"/>
    <w:rsid w:val="00E90931"/>
    <w:rsid w:val="00E90A8B"/>
    <w:rsid w:val="00E90AC5"/>
    <w:rsid w:val="00E90C3C"/>
    <w:rsid w:val="00E90E7E"/>
    <w:rsid w:val="00E90F2B"/>
    <w:rsid w:val="00E911F6"/>
    <w:rsid w:val="00E91588"/>
    <w:rsid w:val="00E91797"/>
    <w:rsid w:val="00E9204F"/>
    <w:rsid w:val="00E921B0"/>
    <w:rsid w:val="00E9230C"/>
    <w:rsid w:val="00E92492"/>
    <w:rsid w:val="00E92B57"/>
    <w:rsid w:val="00E92DFB"/>
    <w:rsid w:val="00E9314D"/>
    <w:rsid w:val="00E931D9"/>
    <w:rsid w:val="00E932FF"/>
    <w:rsid w:val="00E9380D"/>
    <w:rsid w:val="00E939FA"/>
    <w:rsid w:val="00E93D59"/>
    <w:rsid w:val="00E941D4"/>
    <w:rsid w:val="00E94433"/>
    <w:rsid w:val="00E94913"/>
    <w:rsid w:val="00E94AAC"/>
    <w:rsid w:val="00E94D39"/>
    <w:rsid w:val="00E94DF3"/>
    <w:rsid w:val="00E95480"/>
    <w:rsid w:val="00E958B8"/>
    <w:rsid w:val="00E9602A"/>
    <w:rsid w:val="00E96598"/>
    <w:rsid w:val="00E9680C"/>
    <w:rsid w:val="00E968DE"/>
    <w:rsid w:val="00E96CBB"/>
    <w:rsid w:val="00E96D81"/>
    <w:rsid w:val="00E96E5A"/>
    <w:rsid w:val="00E97369"/>
    <w:rsid w:val="00E97732"/>
    <w:rsid w:val="00E97AA6"/>
    <w:rsid w:val="00EA00B4"/>
    <w:rsid w:val="00EA01C7"/>
    <w:rsid w:val="00EA04F7"/>
    <w:rsid w:val="00EA0836"/>
    <w:rsid w:val="00EA0A64"/>
    <w:rsid w:val="00EA0D0B"/>
    <w:rsid w:val="00EA100B"/>
    <w:rsid w:val="00EA1023"/>
    <w:rsid w:val="00EA10ED"/>
    <w:rsid w:val="00EA11DF"/>
    <w:rsid w:val="00EA145B"/>
    <w:rsid w:val="00EA1504"/>
    <w:rsid w:val="00EA1589"/>
    <w:rsid w:val="00EA194B"/>
    <w:rsid w:val="00EA1D0E"/>
    <w:rsid w:val="00EA1DCA"/>
    <w:rsid w:val="00EA1FB4"/>
    <w:rsid w:val="00EA1FB6"/>
    <w:rsid w:val="00EA245B"/>
    <w:rsid w:val="00EA2662"/>
    <w:rsid w:val="00EA2826"/>
    <w:rsid w:val="00EA2BB6"/>
    <w:rsid w:val="00EA2C60"/>
    <w:rsid w:val="00EA2D00"/>
    <w:rsid w:val="00EA332A"/>
    <w:rsid w:val="00EA35B5"/>
    <w:rsid w:val="00EA37A9"/>
    <w:rsid w:val="00EA3BC0"/>
    <w:rsid w:val="00EA3C89"/>
    <w:rsid w:val="00EA3CBE"/>
    <w:rsid w:val="00EA4786"/>
    <w:rsid w:val="00EA4790"/>
    <w:rsid w:val="00EA50EF"/>
    <w:rsid w:val="00EA5117"/>
    <w:rsid w:val="00EA552B"/>
    <w:rsid w:val="00EA5787"/>
    <w:rsid w:val="00EA595B"/>
    <w:rsid w:val="00EA5A88"/>
    <w:rsid w:val="00EA5C61"/>
    <w:rsid w:val="00EA5E4B"/>
    <w:rsid w:val="00EA5EB0"/>
    <w:rsid w:val="00EA5F71"/>
    <w:rsid w:val="00EA6146"/>
    <w:rsid w:val="00EA6211"/>
    <w:rsid w:val="00EA6265"/>
    <w:rsid w:val="00EA62D0"/>
    <w:rsid w:val="00EA6AE2"/>
    <w:rsid w:val="00EA70F6"/>
    <w:rsid w:val="00EA75B1"/>
    <w:rsid w:val="00EA7ADD"/>
    <w:rsid w:val="00EA7D34"/>
    <w:rsid w:val="00EA7DD9"/>
    <w:rsid w:val="00EA7F57"/>
    <w:rsid w:val="00EA7FAF"/>
    <w:rsid w:val="00EB0E86"/>
    <w:rsid w:val="00EB0F63"/>
    <w:rsid w:val="00EB0F8F"/>
    <w:rsid w:val="00EB106D"/>
    <w:rsid w:val="00EB1101"/>
    <w:rsid w:val="00EB11A4"/>
    <w:rsid w:val="00EB1562"/>
    <w:rsid w:val="00EB1DD2"/>
    <w:rsid w:val="00EB1E7D"/>
    <w:rsid w:val="00EB1F59"/>
    <w:rsid w:val="00EB215D"/>
    <w:rsid w:val="00EB21EC"/>
    <w:rsid w:val="00EB2455"/>
    <w:rsid w:val="00EB27F2"/>
    <w:rsid w:val="00EB2834"/>
    <w:rsid w:val="00EB2BB8"/>
    <w:rsid w:val="00EB3064"/>
    <w:rsid w:val="00EB3163"/>
    <w:rsid w:val="00EB352E"/>
    <w:rsid w:val="00EB35E7"/>
    <w:rsid w:val="00EB3616"/>
    <w:rsid w:val="00EB364D"/>
    <w:rsid w:val="00EB36D3"/>
    <w:rsid w:val="00EB370E"/>
    <w:rsid w:val="00EB387B"/>
    <w:rsid w:val="00EB38EE"/>
    <w:rsid w:val="00EB3B0E"/>
    <w:rsid w:val="00EB3C01"/>
    <w:rsid w:val="00EB3E5A"/>
    <w:rsid w:val="00EB41C1"/>
    <w:rsid w:val="00EB45BA"/>
    <w:rsid w:val="00EB4608"/>
    <w:rsid w:val="00EB4C88"/>
    <w:rsid w:val="00EB5085"/>
    <w:rsid w:val="00EB50F4"/>
    <w:rsid w:val="00EB511E"/>
    <w:rsid w:val="00EB5205"/>
    <w:rsid w:val="00EB56C7"/>
    <w:rsid w:val="00EB5C4B"/>
    <w:rsid w:val="00EB5E95"/>
    <w:rsid w:val="00EB5EE6"/>
    <w:rsid w:val="00EB5F1B"/>
    <w:rsid w:val="00EB67DB"/>
    <w:rsid w:val="00EB6967"/>
    <w:rsid w:val="00EB6A60"/>
    <w:rsid w:val="00EB6F18"/>
    <w:rsid w:val="00EB6F71"/>
    <w:rsid w:val="00EB7082"/>
    <w:rsid w:val="00EB70EC"/>
    <w:rsid w:val="00EB7153"/>
    <w:rsid w:val="00EB7411"/>
    <w:rsid w:val="00EB791E"/>
    <w:rsid w:val="00EC0042"/>
    <w:rsid w:val="00EC0165"/>
    <w:rsid w:val="00EC0B8C"/>
    <w:rsid w:val="00EC0C2F"/>
    <w:rsid w:val="00EC0E5A"/>
    <w:rsid w:val="00EC0ED8"/>
    <w:rsid w:val="00EC0EFB"/>
    <w:rsid w:val="00EC0F67"/>
    <w:rsid w:val="00EC1122"/>
    <w:rsid w:val="00EC137D"/>
    <w:rsid w:val="00EC17EB"/>
    <w:rsid w:val="00EC18D6"/>
    <w:rsid w:val="00EC1A91"/>
    <w:rsid w:val="00EC1AFC"/>
    <w:rsid w:val="00EC1E83"/>
    <w:rsid w:val="00EC1EF8"/>
    <w:rsid w:val="00EC2037"/>
    <w:rsid w:val="00EC22C5"/>
    <w:rsid w:val="00EC231C"/>
    <w:rsid w:val="00EC2573"/>
    <w:rsid w:val="00EC25E2"/>
    <w:rsid w:val="00EC274A"/>
    <w:rsid w:val="00EC275B"/>
    <w:rsid w:val="00EC27EA"/>
    <w:rsid w:val="00EC2942"/>
    <w:rsid w:val="00EC2999"/>
    <w:rsid w:val="00EC29A3"/>
    <w:rsid w:val="00EC2AF9"/>
    <w:rsid w:val="00EC2F81"/>
    <w:rsid w:val="00EC305E"/>
    <w:rsid w:val="00EC3256"/>
    <w:rsid w:val="00EC341D"/>
    <w:rsid w:val="00EC35BE"/>
    <w:rsid w:val="00EC3B01"/>
    <w:rsid w:val="00EC4131"/>
    <w:rsid w:val="00EC4A2E"/>
    <w:rsid w:val="00EC4B13"/>
    <w:rsid w:val="00EC4CB0"/>
    <w:rsid w:val="00EC5252"/>
    <w:rsid w:val="00EC53C9"/>
    <w:rsid w:val="00EC5801"/>
    <w:rsid w:val="00EC5BDA"/>
    <w:rsid w:val="00EC5ECF"/>
    <w:rsid w:val="00EC6148"/>
    <w:rsid w:val="00EC65B7"/>
    <w:rsid w:val="00EC6828"/>
    <w:rsid w:val="00EC69E2"/>
    <w:rsid w:val="00EC6ACD"/>
    <w:rsid w:val="00EC6BAC"/>
    <w:rsid w:val="00EC702F"/>
    <w:rsid w:val="00EC713F"/>
    <w:rsid w:val="00EC751C"/>
    <w:rsid w:val="00EC77E7"/>
    <w:rsid w:val="00EC7C9D"/>
    <w:rsid w:val="00EC7E17"/>
    <w:rsid w:val="00ED0133"/>
    <w:rsid w:val="00ED01FF"/>
    <w:rsid w:val="00ED04FA"/>
    <w:rsid w:val="00ED062F"/>
    <w:rsid w:val="00ED06AB"/>
    <w:rsid w:val="00ED0888"/>
    <w:rsid w:val="00ED0B3A"/>
    <w:rsid w:val="00ED0E33"/>
    <w:rsid w:val="00ED0E96"/>
    <w:rsid w:val="00ED10B6"/>
    <w:rsid w:val="00ED11EA"/>
    <w:rsid w:val="00ED131F"/>
    <w:rsid w:val="00ED16DC"/>
    <w:rsid w:val="00ED183D"/>
    <w:rsid w:val="00ED19F5"/>
    <w:rsid w:val="00ED1A98"/>
    <w:rsid w:val="00ED1F06"/>
    <w:rsid w:val="00ED259F"/>
    <w:rsid w:val="00ED26AC"/>
    <w:rsid w:val="00ED2734"/>
    <w:rsid w:val="00ED2ACB"/>
    <w:rsid w:val="00ED2ADD"/>
    <w:rsid w:val="00ED2ADE"/>
    <w:rsid w:val="00ED2D69"/>
    <w:rsid w:val="00ED2DCF"/>
    <w:rsid w:val="00ED2FA2"/>
    <w:rsid w:val="00ED30AC"/>
    <w:rsid w:val="00ED33CF"/>
    <w:rsid w:val="00ED35B7"/>
    <w:rsid w:val="00ED35D9"/>
    <w:rsid w:val="00ED3664"/>
    <w:rsid w:val="00ED367F"/>
    <w:rsid w:val="00ED3782"/>
    <w:rsid w:val="00ED379D"/>
    <w:rsid w:val="00ED3D9B"/>
    <w:rsid w:val="00ED3F73"/>
    <w:rsid w:val="00ED4995"/>
    <w:rsid w:val="00ED49BB"/>
    <w:rsid w:val="00ED49E6"/>
    <w:rsid w:val="00ED4AF6"/>
    <w:rsid w:val="00ED4B61"/>
    <w:rsid w:val="00ED4B85"/>
    <w:rsid w:val="00ED4C57"/>
    <w:rsid w:val="00ED4DFA"/>
    <w:rsid w:val="00ED4E12"/>
    <w:rsid w:val="00ED4FCE"/>
    <w:rsid w:val="00ED503B"/>
    <w:rsid w:val="00ED5131"/>
    <w:rsid w:val="00ED54AD"/>
    <w:rsid w:val="00ED56B7"/>
    <w:rsid w:val="00ED5986"/>
    <w:rsid w:val="00ED5BCC"/>
    <w:rsid w:val="00ED5C83"/>
    <w:rsid w:val="00ED5F00"/>
    <w:rsid w:val="00ED62AF"/>
    <w:rsid w:val="00ED633B"/>
    <w:rsid w:val="00ED6704"/>
    <w:rsid w:val="00ED6AC8"/>
    <w:rsid w:val="00ED6B1C"/>
    <w:rsid w:val="00ED6D52"/>
    <w:rsid w:val="00ED6DFF"/>
    <w:rsid w:val="00ED6F83"/>
    <w:rsid w:val="00ED7359"/>
    <w:rsid w:val="00ED74F6"/>
    <w:rsid w:val="00ED7528"/>
    <w:rsid w:val="00ED7569"/>
    <w:rsid w:val="00ED7731"/>
    <w:rsid w:val="00ED7B19"/>
    <w:rsid w:val="00ED7D3C"/>
    <w:rsid w:val="00ED7D7D"/>
    <w:rsid w:val="00ED7F57"/>
    <w:rsid w:val="00EE0091"/>
    <w:rsid w:val="00EE01AA"/>
    <w:rsid w:val="00EE024F"/>
    <w:rsid w:val="00EE046C"/>
    <w:rsid w:val="00EE05E3"/>
    <w:rsid w:val="00EE0890"/>
    <w:rsid w:val="00EE08B2"/>
    <w:rsid w:val="00EE1096"/>
    <w:rsid w:val="00EE1128"/>
    <w:rsid w:val="00EE11BB"/>
    <w:rsid w:val="00EE11D7"/>
    <w:rsid w:val="00EE17E2"/>
    <w:rsid w:val="00EE1AB4"/>
    <w:rsid w:val="00EE1B62"/>
    <w:rsid w:val="00EE1BF3"/>
    <w:rsid w:val="00EE200F"/>
    <w:rsid w:val="00EE2320"/>
    <w:rsid w:val="00EE259E"/>
    <w:rsid w:val="00EE272E"/>
    <w:rsid w:val="00EE2D95"/>
    <w:rsid w:val="00EE332B"/>
    <w:rsid w:val="00EE34A6"/>
    <w:rsid w:val="00EE3A20"/>
    <w:rsid w:val="00EE3B8F"/>
    <w:rsid w:val="00EE3CF8"/>
    <w:rsid w:val="00EE3E3B"/>
    <w:rsid w:val="00EE43B4"/>
    <w:rsid w:val="00EE458D"/>
    <w:rsid w:val="00EE490D"/>
    <w:rsid w:val="00EE4A04"/>
    <w:rsid w:val="00EE4B1B"/>
    <w:rsid w:val="00EE4B45"/>
    <w:rsid w:val="00EE4CB2"/>
    <w:rsid w:val="00EE4F78"/>
    <w:rsid w:val="00EE5089"/>
    <w:rsid w:val="00EE51CE"/>
    <w:rsid w:val="00EE566C"/>
    <w:rsid w:val="00EE5AB9"/>
    <w:rsid w:val="00EE5F2A"/>
    <w:rsid w:val="00EE608D"/>
    <w:rsid w:val="00EE660F"/>
    <w:rsid w:val="00EE686F"/>
    <w:rsid w:val="00EE68AB"/>
    <w:rsid w:val="00EE6BFC"/>
    <w:rsid w:val="00EE6C39"/>
    <w:rsid w:val="00EE6E78"/>
    <w:rsid w:val="00EE6F0E"/>
    <w:rsid w:val="00EE6F76"/>
    <w:rsid w:val="00EE71E3"/>
    <w:rsid w:val="00EE7419"/>
    <w:rsid w:val="00EE790A"/>
    <w:rsid w:val="00EE7D13"/>
    <w:rsid w:val="00EE7D72"/>
    <w:rsid w:val="00EE7E1B"/>
    <w:rsid w:val="00EE7F4A"/>
    <w:rsid w:val="00EF00C2"/>
    <w:rsid w:val="00EF01CA"/>
    <w:rsid w:val="00EF040D"/>
    <w:rsid w:val="00EF04A8"/>
    <w:rsid w:val="00EF04DA"/>
    <w:rsid w:val="00EF05D6"/>
    <w:rsid w:val="00EF07FB"/>
    <w:rsid w:val="00EF0924"/>
    <w:rsid w:val="00EF09D8"/>
    <w:rsid w:val="00EF16F9"/>
    <w:rsid w:val="00EF17DC"/>
    <w:rsid w:val="00EF1CD2"/>
    <w:rsid w:val="00EF1CEA"/>
    <w:rsid w:val="00EF1DDC"/>
    <w:rsid w:val="00EF2665"/>
    <w:rsid w:val="00EF2732"/>
    <w:rsid w:val="00EF28EC"/>
    <w:rsid w:val="00EF2A83"/>
    <w:rsid w:val="00EF2AE9"/>
    <w:rsid w:val="00EF2EA3"/>
    <w:rsid w:val="00EF36A2"/>
    <w:rsid w:val="00EF3A23"/>
    <w:rsid w:val="00EF3C12"/>
    <w:rsid w:val="00EF4659"/>
    <w:rsid w:val="00EF497A"/>
    <w:rsid w:val="00EF4BC9"/>
    <w:rsid w:val="00EF4D54"/>
    <w:rsid w:val="00EF4F80"/>
    <w:rsid w:val="00EF55D2"/>
    <w:rsid w:val="00EF563C"/>
    <w:rsid w:val="00EF577D"/>
    <w:rsid w:val="00EF580E"/>
    <w:rsid w:val="00EF5E3A"/>
    <w:rsid w:val="00EF5EC8"/>
    <w:rsid w:val="00EF66ED"/>
    <w:rsid w:val="00EF6709"/>
    <w:rsid w:val="00EF6736"/>
    <w:rsid w:val="00EF67CC"/>
    <w:rsid w:val="00EF6984"/>
    <w:rsid w:val="00EF7082"/>
    <w:rsid w:val="00EF70FA"/>
    <w:rsid w:val="00EF719E"/>
    <w:rsid w:val="00EF73E4"/>
    <w:rsid w:val="00EF759E"/>
    <w:rsid w:val="00EF7B1B"/>
    <w:rsid w:val="00EF7CEE"/>
    <w:rsid w:val="00EF7D7D"/>
    <w:rsid w:val="00EF7E2E"/>
    <w:rsid w:val="00EF7EC1"/>
    <w:rsid w:val="00EF7F6B"/>
    <w:rsid w:val="00F002A0"/>
    <w:rsid w:val="00F0073B"/>
    <w:rsid w:val="00F009C6"/>
    <w:rsid w:val="00F00B7F"/>
    <w:rsid w:val="00F00C91"/>
    <w:rsid w:val="00F00D61"/>
    <w:rsid w:val="00F01273"/>
    <w:rsid w:val="00F012E3"/>
    <w:rsid w:val="00F0206B"/>
    <w:rsid w:val="00F02463"/>
    <w:rsid w:val="00F0251B"/>
    <w:rsid w:val="00F02643"/>
    <w:rsid w:val="00F027C0"/>
    <w:rsid w:val="00F02D32"/>
    <w:rsid w:val="00F03419"/>
    <w:rsid w:val="00F034F8"/>
    <w:rsid w:val="00F0391B"/>
    <w:rsid w:val="00F039D0"/>
    <w:rsid w:val="00F03AF3"/>
    <w:rsid w:val="00F03CDE"/>
    <w:rsid w:val="00F04032"/>
    <w:rsid w:val="00F04036"/>
    <w:rsid w:val="00F0478C"/>
    <w:rsid w:val="00F047D8"/>
    <w:rsid w:val="00F0480C"/>
    <w:rsid w:val="00F04B1C"/>
    <w:rsid w:val="00F04D9A"/>
    <w:rsid w:val="00F04EBF"/>
    <w:rsid w:val="00F05045"/>
    <w:rsid w:val="00F05059"/>
    <w:rsid w:val="00F0505E"/>
    <w:rsid w:val="00F05416"/>
    <w:rsid w:val="00F05566"/>
    <w:rsid w:val="00F055CB"/>
    <w:rsid w:val="00F05A19"/>
    <w:rsid w:val="00F05BD0"/>
    <w:rsid w:val="00F05D14"/>
    <w:rsid w:val="00F05EBA"/>
    <w:rsid w:val="00F05FCD"/>
    <w:rsid w:val="00F064BD"/>
    <w:rsid w:val="00F068F0"/>
    <w:rsid w:val="00F07049"/>
    <w:rsid w:val="00F070FB"/>
    <w:rsid w:val="00F07550"/>
    <w:rsid w:val="00F075D7"/>
    <w:rsid w:val="00F07704"/>
    <w:rsid w:val="00F07B98"/>
    <w:rsid w:val="00F07BF9"/>
    <w:rsid w:val="00F07F90"/>
    <w:rsid w:val="00F100AE"/>
    <w:rsid w:val="00F102E2"/>
    <w:rsid w:val="00F103A3"/>
    <w:rsid w:val="00F1060B"/>
    <w:rsid w:val="00F10918"/>
    <w:rsid w:val="00F10DA5"/>
    <w:rsid w:val="00F11313"/>
    <w:rsid w:val="00F114F3"/>
    <w:rsid w:val="00F1195C"/>
    <w:rsid w:val="00F11A7E"/>
    <w:rsid w:val="00F11CA5"/>
    <w:rsid w:val="00F11EE8"/>
    <w:rsid w:val="00F11F4C"/>
    <w:rsid w:val="00F11F56"/>
    <w:rsid w:val="00F122E8"/>
    <w:rsid w:val="00F123B5"/>
    <w:rsid w:val="00F12434"/>
    <w:rsid w:val="00F1244B"/>
    <w:rsid w:val="00F12732"/>
    <w:rsid w:val="00F12AD0"/>
    <w:rsid w:val="00F12D3C"/>
    <w:rsid w:val="00F12E7B"/>
    <w:rsid w:val="00F130DB"/>
    <w:rsid w:val="00F1324A"/>
    <w:rsid w:val="00F134C3"/>
    <w:rsid w:val="00F13608"/>
    <w:rsid w:val="00F137E8"/>
    <w:rsid w:val="00F137FB"/>
    <w:rsid w:val="00F13AE4"/>
    <w:rsid w:val="00F13BB3"/>
    <w:rsid w:val="00F13BE9"/>
    <w:rsid w:val="00F13C81"/>
    <w:rsid w:val="00F142B6"/>
    <w:rsid w:val="00F14702"/>
    <w:rsid w:val="00F1476C"/>
    <w:rsid w:val="00F147CD"/>
    <w:rsid w:val="00F14E28"/>
    <w:rsid w:val="00F1503C"/>
    <w:rsid w:val="00F15316"/>
    <w:rsid w:val="00F153D4"/>
    <w:rsid w:val="00F15576"/>
    <w:rsid w:val="00F15648"/>
    <w:rsid w:val="00F15711"/>
    <w:rsid w:val="00F158F7"/>
    <w:rsid w:val="00F15B95"/>
    <w:rsid w:val="00F15DE6"/>
    <w:rsid w:val="00F15E3C"/>
    <w:rsid w:val="00F15E3F"/>
    <w:rsid w:val="00F16746"/>
    <w:rsid w:val="00F167A5"/>
    <w:rsid w:val="00F16818"/>
    <w:rsid w:val="00F16AA5"/>
    <w:rsid w:val="00F16DFF"/>
    <w:rsid w:val="00F17909"/>
    <w:rsid w:val="00F202AC"/>
    <w:rsid w:val="00F20503"/>
    <w:rsid w:val="00F2055F"/>
    <w:rsid w:val="00F20745"/>
    <w:rsid w:val="00F21560"/>
    <w:rsid w:val="00F216FA"/>
    <w:rsid w:val="00F21930"/>
    <w:rsid w:val="00F21A64"/>
    <w:rsid w:val="00F21C96"/>
    <w:rsid w:val="00F21E88"/>
    <w:rsid w:val="00F21FC8"/>
    <w:rsid w:val="00F21FE9"/>
    <w:rsid w:val="00F2216D"/>
    <w:rsid w:val="00F22362"/>
    <w:rsid w:val="00F22552"/>
    <w:rsid w:val="00F22946"/>
    <w:rsid w:val="00F22D51"/>
    <w:rsid w:val="00F22E8D"/>
    <w:rsid w:val="00F23163"/>
    <w:rsid w:val="00F2341B"/>
    <w:rsid w:val="00F2367E"/>
    <w:rsid w:val="00F2377A"/>
    <w:rsid w:val="00F23C89"/>
    <w:rsid w:val="00F23CED"/>
    <w:rsid w:val="00F24186"/>
    <w:rsid w:val="00F2445D"/>
    <w:rsid w:val="00F244F2"/>
    <w:rsid w:val="00F2497C"/>
    <w:rsid w:val="00F249B8"/>
    <w:rsid w:val="00F249CE"/>
    <w:rsid w:val="00F256FF"/>
    <w:rsid w:val="00F25997"/>
    <w:rsid w:val="00F261B0"/>
    <w:rsid w:val="00F26338"/>
    <w:rsid w:val="00F263B6"/>
    <w:rsid w:val="00F26CBC"/>
    <w:rsid w:val="00F26D04"/>
    <w:rsid w:val="00F26F37"/>
    <w:rsid w:val="00F27005"/>
    <w:rsid w:val="00F272CB"/>
    <w:rsid w:val="00F27510"/>
    <w:rsid w:val="00F27789"/>
    <w:rsid w:val="00F27874"/>
    <w:rsid w:val="00F27B1E"/>
    <w:rsid w:val="00F27E33"/>
    <w:rsid w:val="00F27F19"/>
    <w:rsid w:val="00F301A7"/>
    <w:rsid w:val="00F301E8"/>
    <w:rsid w:val="00F303F4"/>
    <w:rsid w:val="00F30504"/>
    <w:rsid w:val="00F30594"/>
    <w:rsid w:val="00F305FF"/>
    <w:rsid w:val="00F3076B"/>
    <w:rsid w:val="00F30865"/>
    <w:rsid w:val="00F30A3A"/>
    <w:rsid w:val="00F30BD8"/>
    <w:rsid w:val="00F30C16"/>
    <w:rsid w:val="00F30EE7"/>
    <w:rsid w:val="00F312C5"/>
    <w:rsid w:val="00F31AF2"/>
    <w:rsid w:val="00F31DFB"/>
    <w:rsid w:val="00F32027"/>
    <w:rsid w:val="00F32079"/>
    <w:rsid w:val="00F324A0"/>
    <w:rsid w:val="00F32B29"/>
    <w:rsid w:val="00F32B59"/>
    <w:rsid w:val="00F32D2D"/>
    <w:rsid w:val="00F330B1"/>
    <w:rsid w:val="00F33209"/>
    <w:rsid w:val="00F333BC"/>
    <w:rsid w:val="00F334A3"/>
    <w:rsid w:val="00F338E2"/>
    <w:rsid w:val="00F33AF2"/>
    <w:rsid w:val="00F34107"/>
    <w:rsid w:val="00F34150"/>
    <w:rsid w:val="00F34179"/>
    <w:rsid w:val="00F341FA"/>
    <w:rsid w:val="00F34220"/>
    <w:rsid w:val="00F344E1"/>
    <w:rsid w:val="00F346E0"/>
    <w:rsid w:val="00F34C98"/>
    <w:rsid w:val="00F350A0"/>
    <w:rsid w:val="00F35539"/>
    <w:rsid w:val="00F3554A"/>
    <w:rsid w:val="00F3556C"/>
    <w:rsid w:val="00F355C8"/>
    <w:rsid w:val="00F358E0"/>
    <w:rsid w:val="00F35908"/>
    <w:rsid w:val="00F359BE"/>
    <w:rsid w:val="00F361C0"/>
    <w:rsid w:val="00F36378"/>
    <w:rsid w:val="00F364FC"/>
    <w:rsid w:val="00F3662F"/>
    <w:rsid w:val="00F36722"/>
    <w:rsid w:val="00F36819"/>
    <w:rsid w:val="00F36BF5"/>
    <w:rsid w:val="00F36CCD"/>
    <w:rsid w:val="00F36D95"/>
    <w:rsid w:val="00F36E67"/>
    <w:rsid w:val="00F37468"/>
    <w:rsid w:val="00F37D74"/>
    <w:rsid w:val="00F37DAA"/>
    <w:rsid w:val="00F401E9"/>
    <w:rsid w:val="00F401FA"/>
    <w:rsid w:val="00F40316"/>
    <w:rsid w:val="00F40488"/>
    <w:rsid w:val="00F40599"/>
    <w:rsid w:val="00F406A8"/>
    <w:rsid w:val="00F40C50"/>
    <w:rsid w:val="00F410F8"/>
    <w:rsid w:val="00F412D0"/>
    <w:rsid w:val="00F41660"/>
    <w:rsid w:val="00F4198D"/>
    <w:rsid w:val="00F41A2C"/>
    <w:rsid w:val="00F41B75"/>
    <w:rsid w:val="00F41F03"/>
    <w:rsid w:val="00F41F92"/>
    <w:rsid w:val="00F4261D"/>
    <w:rsid w:val="00F42A43"/>
    <w:rsid w:val="00F42F10"/>
    <w:rsid w:val="00F4313F"/>
    <w:rsid w:val="00F43702"/>
    <w:rsid w:val="00F4386E"/>
    <w:rsid w:val="00F43883"/>
    <w:rsid w:val="00F43F11"/>
    <w:rsid w:val="00F43F59"/>
    <w:rsid w:val="00F444B4"/>
    <w:rsid w:val="00F44544"/>
    <w:rsid w:val="00F44557"/>
    <w:rsid w:val="00F44564"/>
    <w:rsid w:val="00F446A6"/>
    <w:rsid w:val="00F4495C"/>
    <w:rsid w:val="00F44AFC"/>
    <w:rsid w:val="00F44B5C"/>
    <w:rsid w:val="00F45314"/>
    <w:rsid w:val="00F45320"/>
    <w:rsid w:val="00F454FA"/>
    <w:rsid w:val="00F457C0"/>
    <w:rsid w:val="00F45BE0"/>
    <w:rsid w:val="00F45C32"/>
    <w:rsid w:val="00F45D3A"/>
    <w:rsid w:val="00F4653D"/>
    <w:rsid w:val="00F46739"/>
    <w:rsid w:val="00F46871"/>
    <w:rsid w:val="00F469AC"/>
    <w:rsid w:val="00F46A05"/>
    <w:rsid w:val="00F46A99"/>
    <w:rsid w:val="00F46ADA"/>
    <w:rsid w:val="00F46BB9"/>
    <w:rsid w:val="00F46C34"/>
    <w:rsid w:val="00F47185"/>
    <w:rsid w:val="00F476ED"/>
    <w:rsid w:val="00F505CB"/>
    <w:rsid w:val="00F506C3"/>
    <w:rsid w:val="00F508F8"/>
    <w:rsid w:val="00F50BDD"/>
    <w:rsid w:val="00F50C31"/>
    <w:rsid w:val="00F50C8C"/>
    <w:rsid w:val="00F50C8E"/>
    <w:rsid w:val="00F50F69"/>
    <w:rsid w:val="00F51090"/>
    <w:rsid w:val="00F51199"/>
    <w:rsid w:val="00F514B6"/>
    <w:rsid w:val="00F516EE"/>
    <w:rsid w:val="00F51812"/>
    <w:rsid w:val="00F51A7F"/>
    <w:rsid w:val="00F52087"/>
    <w:rsid w:val="00F5251F"/>
    <w:rsid w:val="00F525BE"/>
    <w:rsid w:val="00F528EA"/>
    <w:rsid w:val="00F52AD6"/>
    <w:rsid w:val="00F52F25"/>
    <w:rsid w:val="00F53023"/>
    <w:rsid w:val="00F5310F"/>
    <w:rsid w:val="00F5346E"/>
    <w:rsid w:val="00F5353D"/>
    <w:rsid w:val="00F53555"/>
    <w:rsid w:val="00F53EF4"/>
    <w:rsid w:val="00F53FFE"/>
    <w:rsid w:val="00F5448C"/>
    <w:rsid w:val="00F54529"/>
    <w:rsid w:val="00F54CD4"/>
    <w:rsid w:val="00F5500A"/>
    <w:rsid w:val="00F55032"/>
    <w:rsid w:val="00F5522F"/>
    <w:rsid w:val="00F55250"/>
    <w:rsid w:val="00F554E5"/>
    <w:rsid w:val="00F5557A"/>
    <w:rsid w:val="00F556FA"/>
    <w:rsid w:val="00F55851"/>
    <w:rsid w:val="00F55DEC"/>
    <w:rsid w:val="00F55F53"/>
    <w:rsid w:val="00F561BD"/>
    <w:rsid w:val="00F56493"/>
    <w:rsid w:val="00F5658A"/>
    <w:rsid w:val="00F568DE"/>
    <w:rsid w:val="00F574FB"/>
    <w:rsid w:val="00F57875"/>
    <w:rsid w:val="00F57911"/>
    <w:rsid w:val="00F57C35"/>
    <w:rsid w:val="00F57E55"/>
    <w:rsid w:val="00F57EE5"/>
    <w:rsid w:val="00F600E5"/>
    <w:rsid w:val="00F606B5"/>
    <w:rsid w:val="00F6085C"/>
    <w:rsid w:val="00F6092C"/>
    <w:rsid w:val="00F609B5"/>
    <w:rsid w:val="00F60FB4"/>
    <w:rsid w:val="00F61526"/>
    <w:rsid w:val="00F61549"/>
    <w:rsid w:val="00F615A3"/>
    <w:rsid w:val="00F61637"/>
    <w:rsid w:val="00F61B79"/>
    <w:rsid w:val="00F61C39"/>
    <w:rsid w:val="00F61F4C"/>
    <w:rsid w:val="00F61FA7"/>
    <w:rsid w:val="00F6239E"/>
    <w:rsid w:val="00F6240C"/>
    <w:rsid w:val="00F62522"/>
    <w:rsid w:val="00F626A0"/>
    <w:rsid w:val="00F626DD"/>
    <w:rsid w:val="00F628DC"/>
    <w:rsid w:val="00F62B53"/>
    <w:rsid w:val="00F62C32"/>
    <w:rsid w:val="00F62E61"/>
    <w:rsid w:val="00F63291"/>
    <w:rsid w:val="00F6330E"/>
    <w:rsid w:val="00F6334E"/>
    <w:rsid w:val="00F6372E"/>
    <w:rsid w:val="00F638C4"/>
    <w:rsid w:val="00F6395B"/>
    <w:rsid w:val="00F63D73"/>
    <w:rsid w:val="00F63E6B"/>
    <w:rsid w:val="00F63E7A"/>
    <w:rsid w:val="00F643A4"/>
    <w:rsid w:val="00F644A2"/>
    <w:rsid w:val="00F646D2"/>
    <w:rsid w:val="00F649C5"/>
    <w:rsid w:val="00F64AC4"/>
    <w:rsid w:val="00F64ACA"/>
    <w:rsid w:val="00F64D49"/>
    <w:rsid w:val="00F64F20"/>
    <w:rsid w:val="00F651C0"/>
    <w:rsid w:val="00F652E9"/>
    <w:rsid w:val="00F653CE"/>
    <w:rsid w:val="00F654A6"/>
    <w:rsid w:val="00F656A0"/>
    <w:rsid w:val="00F65CBC"/>
    <w:rsid w:val="00F65E89"/>
    <w:rsid w:val="00F66762"/>
    <w:rsid w:val="00F66AF7"/>
    <w:rsid w:val="00F66B7B"/>
    <w:rsid w:val="00F67076"/>
    <w:rsid w:val="00F67262"/>
    <w:rsid w:val="00F672DB"/>
    <w:rsid w:val="00F6763B"/>
    <w:rsid w:val="00F677A1"/>
    <w:rsid w:val="00F67851"/>
    <w:rsid w:val="00F70023"/>
    <w:rsid w:val="00F700F9"/>
    <w:rsid w:val="00F702AA"/>
    <w:rsid w:val="00F702AE"/>
    <w:rsid w:val="00F70464"/>
    <w:rsid w:val="00F70568"/>
    <w:rsid w:val="00F7079E"/>
    <w:rsid w:val="00F7080B"/>
    <w:rsid w:val="00F70CEF"/>
    <w:rsid w:val="00F70DF1"/>
    <w:rsid w:val="00F70F1C"/>
    <w:rsid w:val="00F71204"/>
    <w:rsid w:val="00F71467"/>
    <w:rsid w:val="00F714AD"/>
    <w:rsid w:val="00F71855"/>
    <w:rsid w:val="00F71869"/>
    <w:rsid w:val="00F71B75"/>
    <w:rsid w:val="00F71D80"/>
    <w:rsid w:val="00F71F15"/>
    <w:rsid w:val="00F724D0"/>
    <w:rsid w:val="00F72CAB"/>
    <w:rsid w:val="00F7357C"/>
    <w:rsid w:val="00F73C3D"/>
    <w:rsid w:val="00F73E85"/>
    <w:rsid w:val="00F74122"/>
    <w:rsid w:val="00F7451E"/>
    <w:rsid w:val="00F74531"/>
    <w:rsid w:val="00F745EB"/>
    <w:rsid w:val="00F754E7"/>
    <w:rsid w:val="00F755CC"/>
    <w:rsid w:val="00F75D6C"/>
    <w:rsid w:val="00F75F4B"/>
    <w:rsid w:val="00F75F85"/>
    <w:rsid w:val="00F760EE"/>
    <w:rsid w:val="00F764E4"/>
    <w:rsid w:val="00F7698E"/>
    <w:rsid w:val="00F76D95"/>
    <w:rsid w:val="00F76EA8"/>
    <w:rsid w:val="00F7704B"/>
    <w:rsid w:val="00F779A7"/>
    <w:rsid w:val="00F8042F"/>
    <w:rsid w:val="00F80788"/>
    <w:rsid w:val="00F80969"/>
    <w:rsid w:val="00F80A85"/>
    <w:rsid w:val="00F80A86"/>
    <w:rsid w:val="00F80EC6"/>
    <w:rsid w:val="00F80EED"/>
    <w:rsid w:val="00F81146"/>
    <w:rsid w:val="00F81247"/>
    <w:rsid w:val="00F81436"/>
    <w:rsid w:val="00F81481"/>
    <w:rsid w:val="00F8163B"/>
    <w:rsid w:val="00F81C0B"/>
    <w:rsid w:val="00F81CED"/>
    <w:rsid w:val="00F81EF8"/>
    <w:rsid w:val="00F81F7D"/>
    <w:rsid w:val="00F81FD3"/>
    <w:rsid w:val="00F821D4"/>
    <w:rsid w:val="00F82494"/>
    <w:rsid w:val="00F8267C"/>
    <w:rsid w:val="00F828E8"/>
    <w:rsid w:val="00F82A0D"/>
    <w:rsid w:val="00F82C2E"/>
    <w:rsid w:val="00F83BC4"/>
    <w:rsid w:val="00F83C32"/>
    <w:rsid w:val="00F83E0E"/>
    <w:rsid w:val="00F83F7A"/>
    <w:rsid w:val="00F84136"/>
    <w:rsid w:val="00F8432D"/>
    <w:rsid w:val="00F84488"/>
    <w:rsid w:val="00F84ABD"/>
    <w:rsid w:val="00F84E1E"/>
    <w:rsid w:val="00F85069"/>
    <w:rsid w:val="00F8508F"/>
    <w:rsid w:val="00F852A1"/>
    <w:rsid w:val="00F853D5"/>
    <w:rsid w:val="00F8546D"/>
    <w:rsid w:val="00F857EB"/>
    <w:rsid w:val="00F85988"/>
    <w:rsid w:val="00F85B0E"/>
    <w:rsid w:val="00F85C17"/>
    <w:rsid w:val="00F85EC9"/>
    <w:rsid w:val="00F86001"/>
    <w:rsid w:val="00F863F8"/>
    <w:rsid w:val="00F864A2"/>
    <w:rsid w:val="00F8667A"/>
    <w:rsid w:val="00F867D3"/>
    <w:rsid w:val="00F86A1C"/>
    <w:rsid w:val="00F87273"/>
    <w:rsid w:val="00F873C3"/>
    <w:rsid w:val="00F8744E"/>
    <w:rsid w:val="00F87851"/>
    <w:rsid w:val="00F87FBD"/>
    <w:rsid w:val="00F87FF8"/>
    <w:rsid w:val="00F903B6"/>
    <w:rsid w:val="00F90490"/>
    <w:rsid w:val="00F907CD"/>
    <w:rsid w:val="00F90823"/>
    <w:rsid w:val="00F908AF"/>
    <w:rsid w:val="00F90932"/>
    <w:rsid w:val="00F90A8B"/>
    <w:rsid w:val="00F90AC3"/>
    <w:rsid w:val="00F90C83"/>
    <w:rsid w:val="00F90DF2"/>
    <w:rsid w:val="00F90FE6"/>
    <w:rsid w:val="00F9113C"/>
    <w:rsid w:val="00F91197"/>
    <w:rsid w:val="00F91486"/>
    <w:rsid w:val="00F91514"/>
    <w:rsid w:val="00F9158D"/>
    <w:rsid w:val="00F9159E"/>
    <w:rsid w:val="00F9164F"/>
    <w:rsid w:val="00F9167C"/>
    <w:rsid w:val="00F91C47"/>
    <w:rsid w:val="00F91CFD"/>
    <w:rsid w:val="00F91DB6"/>
    <w:rsid w:val="00F91ECE"/>
    <w:rsid w:val="00F920B7"/>
    <w:rsid w:val="00F92380"/>
    <w:rsid w:val="00F92801"/>
    <w:rsid w:val="00F92AF6"/>
    <w:rsid w:val="00F92BE3"/>
    <w:rsid w:val="00F92C7E"/>
    <w:rsid w:val="00F92E3A"/>
    <w:rsid w:val="00F92E73"/>
    <w:rsid w:val="00F930E6"/>
    <w:rsid w:val="00F93165"/>
    <w:rsid w:val="00F931FA"/>
    <w:rsid w:val="00F93470"/>
    <w:rsid w:val="00F93B1E"/>
    <w:rsid w:val="00F93B6D"/>
    <w:rsid w:val="00F93F3B"/>
    <w:rsid w:val="00F93FB9"/>
    <w:rsid w:val="00F93FD6"/>
    <w:rsid w:val="00F93FDA"/>
    <w:rsid w:val="00F94002"/>
    <w:rsid w:val="00F9401B"/>
    <w:rsid w:val="00F94090"/>
    <w:rsid w:val="00F94168"/>
    <w:rsid w:val="00F9431A"/>
    <w:rsid w:val="00F943D7"/>
    <w:rsid w:val="00F94558"/>
    <w:rsid w:val="00F94577"/>
    <w:rsid w:val="00F9464D"/>
    <w:rsid w:val="00F9471F"/>
    <w:rsid w:val="00F94B25"/>
    <w:rsid w:val="00F94BFD"/>
    <w:rsid w:val="00F95205"/>
    <w:rsid w:val="00F9541E"/>
    <w:rsid w:val="00F955C3"/>
    <w:rsid w:val="00F95775"/>
    <w:rsid w:val="00F95E46"/>
    <w:rsid w:val="00F95EE7"/>
    <w:rsid w:val="00F962F0"/>
    <w:rsid w:val="00F963F2"/>
    <w:rsid w:val="00F965F3"/>
    <w:rsid w:val="00F966C7"/>
    <w:rsid w:val="00F96ACD"/>
    <w:rsid w:val="00F96BE5"/>
    <w:rsid w:val="00F96D17"/>
    <w:rsid w:val="00F96FBB"/>
    <w:rsid w:val="00F96FCC"/>
    <w:rsid w:val="00F9708C"/>
    <w:rsid w:val="00F974DF"/>
    <w:rsid w:val="00F9753A"/>
    <w:rsid w:val="00F977A4"/>
    <w:rsid w:val="00F977C4"/>
    <w:rsid w:val="00F97ADE"/>
    <w:rsid w:val="00F97BEE"/>
    <w:rsid w:val="00F97CB4"/>
    <w:rsid w:val="00FA009B"/>
    <w:rsid w:val="00FA0278"/>
    <w:rsid w:val="00FA0710"/>
    <w:rsid w:val="00FA082E"/>
    <w:rsid w:val="00FA08CA"/>
    <w:rsid w:val="00FA09D4"/>
    <w:rsid w:val="00FA0BC6"/>
    <w:rsid w:val="00FA1020"/>
    <w:rsid w:val="00FA1118"/>
    <w:rsid w:val="00FA1256"/>
    <w:rsid w:val="00FA164D"/>
    <w:rsid w:val="00FA1BB9"/>
    <w:rsid w:val="00FA1D34"/>
    <w:rsid w:val="00FA1FC3"/>
    <w:rsid w:val="00FA2269"/>
    <w:rsid w:val="00FA22F3"/>
    <w:rsid w:val="00FA262D"/>
    <w:rsid w:val="00FA2918"/>
    <w:rsid w:val="00FA297A"/>
    <w:rsid w:val="00FA2CC8"/>
    <w:rsid w:val="00FA32FE"/>
    <w:rsid w:val="00FA3335"/>
    <w:rsid w:val="00FA3425"/>
    <w:rsid w:val="00FA34FE"/>
    <w:rsid w:val="00FA3593"/>
    <w:rsid w:val="00FA35A9"/>
    <w:rsid w:val="00FA36E1"/>
    <w:rsid w:val="00FA376B"/>
    <w:rsid w:val="00FA3783"/>
    <w:rsid w:val="00FA4611"/>
    <w:rsid w:val="00FA4633"/>
    <w:rsid w:val="00FA4686"/>
    <w:rsid w:val="00FA4689"/>
    <w:rsid w:val="00FA46DF"/>
    <w:rsid w:val="00FA486A"/>
    <w:rsid w:val="00FA4B76"/>
    <w:rsid w:val="00FA4D62"/>
    <w:rsid w:val="00FA4E33"/>
    <w:rsid w:val="00FA51A0"/>
    <w:rsid w:val="00FA52DE"/>
    <w:rsid w:val="00FA53CA"/>
    <w:rsid w:val="00FA540A"/>
    <w:rsid w:val="00FA550D"/>
    <w:rsid w:val="00FA55CF"/>
    <w:rsid w:val="00FA5709"/>
    <w:rsid w:val="00FA57BD"/>
    <w:rsid w:val="00FA5B07"/>
    <w:rsid w:val="00FA6129"/>
    <w:rsid w:val="00FA63E9"/>
    <w:rsid w:val="00FA65D4"/>
    <w:rsid w:val="00FA6E1B"/>
    <w:rsid w:val="00FA6E2D"/>
    <w:rsid w:val="00FA6FFC"/>
    <w:rsid w:val="00FA71FF"/>
    <w:rsid w:val="00FA73C6"/>
    <w:rsid w:val="00FA7772"/>
    <w:rsid w:val="00FA7A2D"/>
    <w:rsid w:val="00FB03A5"/>
    <w:rsid w:val="00FB0647"/>
    <w:rsid w:val="00FB0823"/>
    <w:rsid w:val="00FB0E67"/>
    <w:rsid w:val="00FB1028"/>
    <w:rsid w:val="00FB11AD"/>
    <w:rsid w:val="00FB15FA"/>
    <w:rsid w:val="00FB16D9"/>
    <w:rsid w:val="00FB1A35"/>
    <w:rsid w:val="00FB1BC7"/>
    <w:rsid w:val="00FB1BD1"/>
    <w:rsid w:val="00FB1F72"/>
    <w:rsid w:val="00FB20B4"/>
    <w:rsid w:val="00FB21C2"/>
    <w:rsid w:val="00FB23AB"/>
    <w:rsid w:val="00FB2440"/>
    <w:rsid w:val="00FB2505"/>
    <w:rsid w:val="00FB2511"/>
    <w:rsid w:val="00FB2658"/>
    <w:rsid w:val="00FB2C8B"/>
    <w:rsid w:val="00FB30E3"/>
    <w:rsid w:val="00FB3356"/>
    <w:rsid w:val="00FB340E"/>
    <w:rsid w:val="00FB346F"/>
    <w:rsid w:val="00FB3683"/>
    <w:rsid w:val="00FB38A0"/>
    <w:rsid w:val="00FB396C"/>
    <w:rsid w:val="00FB3A66"/>
    <w:rsid w:val="00FB3C0A"/>
    <w:rsid w:val="00FB3FD0"/>
    <w:rsid w:val="00FB4068"/>
    <w:rsid w:val="00FB4166"/>
    <w:rsid w:val="00FB4293"/>
    <w:rsid w:val="00FB43A9"/>
    <w:rsid w:val="00FB461C"/>
    <w:rsid w:val="00FB4798"/>
    <w:rsid w:val="00FB4945"/>
    <w:rsid w:val="00FB59A0"/>
    <w:rsid w:val="00FB5BD0"/>
    <w:rsid w:val="00FB5F7D"/>
    <w:rsid w:val="00FB6404"/>
    <w:rsid w:val="00FB6A50"/>
    <w:rsid w:val="00FB6B2B"/>
    <w:rsid w:val="00FB6CFE"/>
    <w:rsid w:val="00FB6DA1"/>
    <w:rsid w:val="00FB6FE8"/>
    <w:rsid w:val="00FB6FF5"/>
    <w:rsid w:val="00FB7019"/>
    <w:rsid w:val="00FB710D"/>
    <w:rsid w:val="00FB732B"/>
    <w:rsid w:val="00FB7746"/>
    <w:rsid w:val="00FB79CF"/>
    <w:rsid w:val="00FB7D87"/>
    <w:rsid w:val="00FB7E72"/>
    <w:rsid w:val="00FB7FC9"/>
    <w:rsid w:val="00FC03E3"/>
    <w:rsid w:val="00FC08EC"/>
    <w:rsid w:val="00FC1483"/>
    <w:rsid w:val="00FC2762"/>
    <w:rsid w:val="00FC29AD"/>
    <w:rsid w:val="00FC2CF0"/>
    <w:rsid w:val="00FC2DD6"/>
    <w:rsid w:val="00FC2E84"/>
    <w:rsid w:val="00FC3125"/>
    <w:rsid w:val="00FC333F"/>
    <w:rsid w:val="00FC3497"/>
    <w:rsid w:val="00FC35C6"/>
    <w:rsid w:val="00FC3C5B"/>
    <w:rsid w:val="00FC3C6C"/>
    <w:rsid w:val="00FC3D27"/>
    <w:rsid w:val="00FC432C"/>
    <w:rsid w:val="00FC455C"/>
    <w:rsid w:val="00FC4625"/>
    <w:rsid w:val="00FC46FA"/>
    <w:rsid w:val="00FC4829"/>
    <w:rsid w:val="00FC4887"/>
    <w:rsid w:val="00FC4997"/>
    <w:rsid w:val="00FC4A64"/>
    <w:rsid w:val="00FC4E74"/>
    <w:rsid w:val="00FC53CD"/>
    <w:rsid w:val="00FC5442"/>
    <w:rsid w:val="00FC5487"/>
    <w:rsid w:val="00FC55B5"/>
    <w:rsid w:val="00FC5994"/>
    <w:rsid w:val="00FC5A14"/>
    <w:rsid w:val="00FC5B61"/>
    <w:rsid w:val="00FC5BB9"/>
    <w:rsid w:val="00FC5E7D"/>
    <w:rsid w:val="00FC5FFC"/>
    <w:rsid w:val="00FC60C7"/>
    <w:rsid w:val="00FC62F1"/>
    <w:rsid w:val="00FC65B8"/>
    <w:rsid w:val="00FC661B"/>
    <w:rsid w:val="00FC6704"/>
    <w:rsid w:val="00FC6723"/>
    <w:rsid w:val="00FC6A98"/>
    <w:rsid w:val="00FC6B97"/>
    <w:rsid w:val="00FC6DA8"/>
    <w:rsid w:val="00FC70D1"/>
    <w:rsid w:val="00FC7176"/>
    <w:rsid w:val="00FC73D1"/>
    <w:rsid w:val="00FC795A"/>
    <w:rsid w:val="00FC79A2"/>
    <w:rsid w:val="00FC79FB"/>
    <w:rsid w:val="00FC7B0E"/>
    <w:rsid w:val="00FC7E1F"/>
    <w:rsid w:val="00FD0159"/>
    <w:rsid w:val="00FD0609"/>
    <w:rsid w:val="00FD075C"/>
    <w:rsid w:val="00FD0824"/>
    <w:rsid w:val="00FD0858"/>
    <w:rsid w:val="00FD098F"/>
    <w:rsid w:val="00FD0F0E"/>
    <w:rsid w:val="00FD11C6"/>
    <w:rsid w:val="00FD1355"/>
    <w:rsid w:val="00FD1360"/>
    <w:rsid w:val="00FD136C"/>
    <w:rsid w:val="00FD1715"/>
    <w:rsid w:val="00FD1736"/>
    <w:rsid w:val="00FD175D"/>
    <w:rsid w:val="00FD187A"/>
    <w:rsid w:val="00FD1949"/>
    <w:rsid w:val="00FD1AA6"/>
    <w:rsid w:val="00FD20AF"/>
    <w:rsid w:val="00FD24D8"/>
    <w:rsid w:val="00FD27D8"/>
    <w:rsid w:val="00FD286B"/>
    <w:rsid w:val="00FD291B"/>
    <w:rsid w:val="00FD2D44"/>
    <w:rsid w:val="00FD2D7A"/>
    <w:rsid w:val="00FD35D4"/>
    <w:rsid w:val="00FD394C"/>
    <w:rsid w:val="00FD3D2A"/>
    <w:rsid w:val="00FD406C"/>
    <w:rsid w:val="00FD4222"/>
    <w:rsid w:val="00FD4BDE"/>
    <w:rsid w:val="00FD5358"/>
    <w:rsid w:val="00FD5516"/>
    <w:rsid w:val="00FD59E1"/>
    <w:rsid w:val="00FD5C03"/>
    <w:rsid w:val="00FD63A5"/>
    <w:rsid w:val="00FD63ED"/>
    <w:rsid w:val="00FD6AAA"/>
    <w:rsid w:val="00FD6AAD"/>
    <w:rsid w:val="00FD6F80"/>
    <w:rsid w:val="00FD7645"/>
    <w:rsid w:val="00FD766B"/>
    <w:rsid w:val="00FD7791"/>
    <w:rsid w:val="00FD7CEF"/>
    <w:rsid w:val="00FE07E0"/>
    <w:rsid w:val="00FE0AC7"/>
    <w:rsid w:val="00FE0BD2"/>
    <w:rsid w:val="00FE0CB5"/>
    <w:rsid w:val="00FE0D21"/>
    <w:rsid w:val="00FE0EA2"/>
    <w:rsid w:val="00FE11AF"/>
    <w:rsid w:val="00FE11BD"/>
    <w:rsid w:val="00FE16BF"/>
    <w:rsid w:val="00FE1943"/>
    <w:rsid w:val="00FE1BCA"/>
    <w:rsid w:val="00FE2237"/>
    <w:rsid w:val="00FE2269"/>
    <w:rsid w:val="00FE2AFC"/>
    <w:rsid w:val="00FE2B89"/>
    <w:rsid w:val="00FE2D8C"/>
    <w:rsid w:val="00FE2E22"/>
    <w:rsid w:val="00FE2E42"/>
    <w:rsid w:val="00FE327F"/>
    <w:rsid w:val="00FE3524"/>
    <w:rsid w:val="00FE398D"/>
    <w:rsid w:val="00FE39F2"/>
    <w:rsid w:val="00FE3A26"/>
    <w:rsid w:val="00FE3C7F"/>
    <w:rsid w:val="00FE3D1B"/>
    <w:rsid w:val="00FE3DE8"/>
    <w:rsid w:val="00FE4329"/>
    <w:rsid w:val="00FE455E"/>
    <w:rsid w:val="00FE46AB"/>
    <w:rsid w:val="00FE47B4"/>
    <w:rsid w:val="00FE4CAE"/>
    <w:rsid w:val="00FE4CBB"/>
    <w:rsid w:val="00FE50B2"/>
    <w:rsid w:val="00FE517A"/>
    <w:rsid w:val="00FE5636"/>
    <w:rsid w:val="00FE56A4"/>
    <w:rsid w:val="00FE577D"/>
    <w:rsid w:val="00FE57E9"/>
    <w:rsid w:val="00FE58B4"/>
    <w:rsid w:val="00FE58D4"/>
    <w:rsid w:val="00FE5C1E"/>
    <w:rsid w:val="00FE613D"/>
    <w:rsid w:val="00FE619D"/>
    <w:rsid w:val="00FE6665"/>
    <w:rsid w:val="00FE66B5"/>
    <w:rsid w:val="00FE66EC"/>
    <w:rsid w:val="00FE6842"/>
    <w:rsid w:val="00FE6991"/>
    <w:rsid w:val="00FE69CE"/>
    <w:rsid w:val="00FE6ABB"/>
    <w:rsid w:val="00FE6D62"/>
    <w:rsid w:val="00FE714C"/>
    <w:rsid w:val="00FE73B7"/>
    <w:rsid w:val="00FE75B6"/>
    <w:rsid w:val="00FE79DE"/>
    <w:rsid w:val="00FE7EA4"/>
    <w:rsid w:val="00FE7F5A"/>
    <w:rsid w:val="00FE7FC4"/>
    <w:rsid w:val="00FF0387"/>
    <w:rsid w:val="00FF0983"/>
    <w:rsid w:val="00FF0BB6"/>
    <w:rsid w:val="00FF0E73"/>
    <w:rsid w:val="00FF102E"/>
    <w:rsid w:val="00FF1720"/>
    <w:rsid w:val="00FF234F"/>
    <w:rsid w:val="00FF2A48"/>
    <w:rsid w:val="00FF2E19"/>
    <w:rsid w:val="00FF3352"/>
    <w:rsid w:val="00FF35AC"/>
    <w:rsid w:val="00FF3A09"/>
    <w:rsid w:val="00FF3AE0"/>
    <w:rsid w:val="00FF3D4A"/>
    <w:rsid w:val="00FF40E8"/>
    <w:rsid w:val="00FF4118"/>
    <w:rsid w:val="00FF414E"/>
    <w:rsid w:val="00FF492F"/>
    <w:rsid w:val="00FF4A08"/>
    <w:rsid w:val="00FF4A2A"/>
    <w:rsid w:val="00FF50C2"/>
    <w:rsid w:val="00FF50EF"/>
    <w:rsid w:val="00FF5583"/>
    <w:rsid w:val="00FF55A5"/>
    <w:rsid w:val="00FF578B"/>
    <w:rsid w:val="00FF5989"/>
    <w:rsid w:val="00FF59ED"/>
    <w:rsid w:val="00FF5A4A"/>
    <w:rsid w:val="00FF602A"/>
    <w:rsid w:val="00FF6136"/>
    <w:rsid w:val="00FF66EC"/>
    <w:rsid w:val="00FF699D"/>
    <w:rsid w:val="00FF6B96"/>
    <w:rsid w:val="00FF6D25"/>
    <w:rsid w:val="00FF7003"/>
    <w:rsid w:val="00FF7110"/>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7D366"/>
  <w15:docId w15:val="{7E716181-C053-44CA-AFA1-B0C7BDC8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FE"/>
    <w:pPr>
      <w:spacing w:line="256" w:lineRule="auto"/>
    </w:pPr>
  </w:style>
  <w:style w:type="paragraph" w:styleId="Heading1">
    <w:name w:val="heading 1"/>
    <w:basedOn w:val="Normal"/>
    <w:next w:val="Normal"/>
    <w:link w:val="Heading1Char"/>
    <w:qFormat/>
    <w:rsid w:val="005D792A"/>
    <w:pPr>
      <w:keepNext/>
      <w:keepLines/>
      <w:spacing w:before="240" w:after="0"/>
      <w:jc w:val="center"/>
      <w:outlineLvl w:val="0"/>
    </w:pPr>
    <w:rPr>
      <w:rFonts w:asciiTheme="majorHAnsi" w:eastAsiaTheme="majorEastAsia" w:hAnsiTheme="majorHAns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DC70F8"/>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563617"/>
    <w:pPr>
      <w:keepNext/>
      <w:keepLines/>
      <w:spacing w:before="40" w:after="0"/>
      <w:jc w:val="both"/>
      <w:outlineLvl w:val="2"/>
    </w:pPr>
    <w:rPr>
      <w:rFonts w:asciiTheme="majorHAnsi" w:eastAsiaTheme="majorEastAsia" w:hAnsiTheme="majorHAnsi" w:cstheme="majorBidi"/>
      <w:b/>
      <w:i/>
      <w:color w:val="1F4D78" w:themeColor="accent1" w:themeShade="7F"/>
      <w:sz w:val="24"/>
      <w:szCs w:val="24"/>
    </w:rPr>
  </w:style>
  <w:style w:type="paragraph" w:styleId="Heading4">
    <w:name w:val="heading 4"/>
    <w:basedOn w:val="Normal"/>
    <w:next w:val="Normal"/>
    <w:link w:val="Heading4Char"/>
    <w:uiPriority w:val="9"/>
    <w:unhideWhenUsed/>
    <w:qFormat/>
    <w:rsid w:val="00661F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05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1388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E10B29"/>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92A"/>
    <w:rPr>
      <w:rFonts w:asciiTheme="majorHAnsi" w:eastAsiaTheme="majorEastAsia" w:hAnsiTheme="majorHAnsi" w:cstheme="majorBidi"/>
      <w:b/>
      <w:color w:val="2E74B5" w:themeColor="accent1" w:themeShade="BF"/>
      <w:sz w:val="24"/>
      <w:szCs w:val="32"/>
    </w:rPr>
  </w:style>
  <w:style w:type="character" w:customStyle="1" w:styleId="Heading2Char">
    <w:name w:val="Heading 2 Char"/>
    <w:basedOn w:val="DefaultParagraphFont"/>
    <w:link w:val="Heading2"/>
    <w:uiPriority w:val="9"/>
    <w:rsid w:val="00DC70F8"/>
    <w:rPr>
      <w:rFonts w:asciiTheme="majorHAnsi" w:eastAsiaTheme="majorEastAsia" w:hAnsiTheme="majorHAnsi" w:cstheme="majorBidi"/>
      <w:color w:val="2E74B5" w:themeColor="accent1" w:themeShade="BF"/>
      <w:sz w:val="24"/>
      <w:szCs w:val="26"/>
    </w:rPr>
  </w:style>
  <w:style w:type="character" w:customStyle="1" w:styleId="Heading5Char">
    <w:name w:val="Heading 5 Char"/>
    <w:basedOn w:val="DefaultParagraphFont"/>
    <w:link w:val="Heading5"/>
    <w:uiPriority w:val="9"/>
    <w:semiHidden/>
    <w:rsid w:val="00C8050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80505"/>
    <w:rPr>
      <w:color w:val="0563C1" w:themeColor="hyperlink"/>
      <w:u w:val="single"/>
    </w:rPr>
  </w:style>
  <w:style w:type="character" w:styleId="FollowedHyperlink">
    <w:name w:val="FollowedHyperlink"/>
    <w:basedOn w:val="DefaultParagraphFont"/>
    <w:uiPriority w:val="99"/>
    <w:semiHidden/>
    <w:unhideWhenUsed/>
    <w:rsid w:val="00C80505"/>
    <w:rPr>
      <w:color w:val="954F72" w:themeColor="followedHyperlink"/>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basedOn w:val="DefaultParagraphFont"/>
    <w:link w:val="NormalWeb"/>
    <w:uiPriority w:val="99"/>
    <w:locked/>
    <w:rsid w:val="008928EB"/>
    <w:rPr>
      <w:rFonts w:asciiTheme="majorHAnsi" w:hAnsiTheme="majorHAnsi" w:cstheme="majorHAnsi"/>
      <w:sz w:val="16"/>
      <w:szCs w:val="16"/>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Footnote Text Char1 Char Char,Обычный (веб)1,Знак2"/>
    <w:basedOn w:val="Heading1"/>
    <w:next w:val="Normal"/>
    <w:link w:val="NormalWebChar"/>
    <w:autoRedefine/>
    <w:uiPriority w:val="99"/>
    <w:unhideWhenUsed/>
    <w:qFormat/>
    <w:rsid w:val="008928EB"/>
    <w:pPr>
      <w:spacing w:before="0"/>
      <w:jc w:val="both"/>
      <w:outlineLvl w:val="9"/>
    </w:pPr>
    <w:rPr>
      <w:rFonts w:eastAsiaTheme="minorHAnsi" w:cstheme="majorHAnsi"/>
      <w:b w:val="0"/>
      <w:color w:val="auto"/>
      <w:sz w:val="16"/>
      <w:szCs w:val="16"/>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C80505"/>
    <w:rPr>
      <w:rFonts w:ascii="Times New Roman" w:hAnsi="Times New Roman" w:cs="Times New Roman"/>
      <w:sz w:val="28"/>
      <w:szCs w:val="20"/>
      <w:vertAlign w:val="superscript"/>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80505"/>
    <w:pPr>
      <w:spacing w:after="0" w:line="240" w:lineRule="auto"/>
    </w:pPr>
    <w:rPr>
      <w:rFonts w:ascii="Times New Roman" w:hAnsi="Times New Roman" w:cs="Times New Roman"/>
      <w:sz w:val="28"/>
      <w:szCs w:val="20"/>
      <w:vertAlign w:val="superscript"/>
    </w:rPr>
  </w:style>
  <w:style w:type="character" w:customStyle="1" w:styleId="FootnoteTextChar1">
    <w:name w:val="Footnote Text Char1"/>
    <w:aliases w:val="footnote reference,Char Char1,Знак1 Char1,Fußnote Char Char Char1,Fußnote Char Char2,Fußnote Char Car Char Char Char1,Fußnote Char Car Char Char Char Char Char Char Char Char Char Char Char1,fn Char1,single space Char1,ftref"/>
    <w:basedOn w:val="DefaultParagraphFont"/>
    <w:uiPriority w:val="99"/>
    <w:rsid w:val="00C80505"/>
    <w:rPr>
      <w:sz w:val="20"/>
      <w:szCs w:val="20"/>
    </w:rPr>
  </w:style>
  <w:style w:type="character" w:customStyle="1" w:styleId="HeaderChar">
    <w:name w:val="Header Char"/>
    <w:basedOn w:val="DefaultParagraphFont"/>
    <w:link w:val="Header"/>
    <w:uiPriority w:val="99"/>
    <w:locked/>
    <w:rsid w:val="00C80505"/>
  </w:style>
  <w:style w:type="character" w:customStyle="1" w:styleId="FooterChar">
    <w:name w:val="Footer Char"/>
    <w:basedOn w:val="DefaultParagraphFont"/>
    <w:link w:val="Footer"/>
    <w:uiPriority w:val="99"/>
    <w:locked/>
    <w:rsid w:val="00C80505"/>
  </w:style>
  <w:style w:type="character" w:customStyle="1" w:styleId="BalloonTextChar">
    <w:name w:val="Balloon Text Char"/>
    <w:basedOn w:val="DefaultParagraphFont"/>
    <w:link w:val="BalloonText"/>
    <w:uiPriority w:val="99"/>
    <w:semiHidden/>
    <w:locked/>
    <w:rsid w:val="00C80505"/>
    <w:rPr>
      <w:rFonts w:ascii="Segoe UI" w:hAnsi="Segoe UI" w:cs="Segoe UI"/>
      <w:sz w:val="18"/>
      <w:szCs w:val="18"/>
    </w:rPr>
  </w:style>
  <w:style w:type="character" w:customStyle="1" w:styleId="ListParagraphChar">
    <w:name w:val="List Paragraph Char"/>
    <w:aliases w:val="Scriptoria bullet points Char,List Paragraph 1 Char,Абзац списка1 Char,strikethrough Char,standaard met opsomming Char,BulletC Char,DWA List 1 Char,Bullets Char,List Paragraph (numbered (a)) Char,Numbered Paragraph Char,Bullet1 Char"/>
    <w:link w:val="ListParagraph"/>
    <w:uiPriority w:val="34"/>
    <w:qFormat/>
    <w:locked/>
    <w:rsid w:val="00C80505"/>
  </w:style>
  <w:style w:type="paragraph" w:styleId="ListParagraph">
    <w:name w:val="List Paragraph"/>
    <w:aliases w:val="Scriptoria bullet points,List Paragraph 1,Абзац списка1,strikethrough,standaard met opsomming,BulletC,DWA List 1,Bullets,List Paragraph (numbered (a)),Numbered Paragraph,Main numbered paragraph,List_Paragraph,Multilevel para_II,Bullet1"/>
    <w:basedOn w:val="Normal"/>
    <w:link w:val="ListParagraphChar"/>
    <w:uiPriority w:val="34"/>
    <w:qFormat/>
    <w:rsid w:val="00C80505"/>
    <w:pPr>
      <w:ind w:left="720"/>
      <w:contextualSpacing/>
    </w:p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uiPriority w:val="99"/>
    <w:qFormat/>
    <w:rsid w:val="00C80505"/>
    <w:pPr>
      <w:spacing w:line="240" w:lineRule="exact"/>
    </w:pPr>
    <w:rPr>
      <w:sz w:val="20"/>
      <w:vertAlign w:val="superscript"/>
    </w:rPr>
  </w:style>
  <w:style w:type="paragraph" w:customStyle="1" w:styleId="tt">
    <w:name w:val="tt"/>
    <w:basedOn w:val="Normal"/>
    <w:qFormat/>
    <w:rsid w:val="00C80505"/>
    <w:pPr>
      <w:spacing w:after="0" w:line="240" w:lineRule="auto"/>
      <w:jc w:val="center"/>
    </w:pPr>
    <w:rPr>
      <w:rFonts w:ascii="Times New Roman" w:eastAsia="Times New Roman" w:hAnsi="Times New Roman" w:cs="Times New Roman"/>
      <w:b/>
      <w:bCs/>
      <w:sz w:val="24"/>
      <w:szCs w:val="24"/>
    </w:rPr>
  </w:style>
  <w:style w:type="paragraph" w:customStyle="1" w:styleId="Default">
    <w:name w:val="Default"/>
    <w:qFormat/>
    <w:rsid w:val="00C805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
    <w:name w:val="cb"/>
    <w:basedOn w:val="Normal"/>
    <w:qFormat/>
    <w:rsid w:val="00C80505"/>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80505"/>
    <w:pPr>
      <w:tabs>
        <w:tab w:val="center" w:pos="4680"/>
        <w:tab w:val="right" w:pos="9360"/>
      </w:tabs>
      <w:spacing w:after="0" w:line="240" w:lineRule="auto"/>
    </w:pPr>
  </w:style>
  <w:style w:type="character" w:customStyle="1" w:styleId="HeaderChar1">
    <w:name w:val="Header Char1"/>
    <w:basedOn w:val="DefaultParagraphFont"/>
    <w:uiPriority w:val="99"/>
    <w:semiHidden/>
    <w:rsid w:val="00C80505"/>
  </w:style>
  <w:style w:type="paragraph" w:styleId="Footer">
    <w:name w:val="footer"/>
    <w:basedOn w:val="Normal"/>
    <w:link w:val="FooterChar"/>
    <w:uiPriority w:val="99"/>
    <w:unhideWhenUsed/>
    <w:rsid w:val="00C80505"/>
    <w:pPr>
      <w:tabs>
        <w:tab w:val="center" w:pos="4680"/>
        <w:tab w:val="right" w:pos="9360"/>
      </w:tabs>
      <w:spacing w:after="0" w:line="240" w:lineRule="auto"/>
    </w:pPr>
  </w:style>
  <w:style w:type="character" w:customStyle="1" w:styleId="FooterChar1">
    <w:name w:val="Footer Char1"/>
    <w:basedOn w:val="DefaultParagraphFont"/>
    <w:uiPriority w:val="99"/>
    <w:semiHidden/>
    <w:rsid w:val="00C80505"/>
  </w:style>
  <w:style w:type="character" w:customStyle="1" w:styleId="docblue">
    <w:name w:val="doc_blue"/>
    <w:basedOn w:val="DefaultParagraphFont"/>
    <w:rsid w:val="00C80505"/>
  </w:style>
  <w:style w:type="paragraph" w:styleId="BalloonText">
    <w:name w:val="Balloon Text"/>
    <w:basedOn w:val="Normal"/>
    <w:link w:val="BalloonTextChar"/>
    <w:uiPriority w:val="99"/>
    <w:semiHidden/>
    <w:unhideWhenUsed/>
    <w:rsid w:val="00C8050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80505"/>
    <w:rPr>
      <w:rFonts w:ascii="Segoe UI" w:hAnsi="Segoe UI" w:cs="Segoe UI"/>
      <w:sz w:val="18"/>
      <w:szCs w:val="18"/>
    </w:rPr>
  </w:style>
  <w:style w:type="character" w:customStyle="1" w:styleId="docheader">
    <w:name w:val="doc_header"/>
    <w:basedOn w:val="DefaultParagraphFont"/>
    <w:rsid w:val="00C80505"/>
  </w:style>
  <w:style w:type="character" w:customStyle="1" w:styleId="docbody">
    <w:name w:val="doc_body"/>
    <w:basedOn w:val="DefaultParagraphFont"/>
    <w:rsid w:val="00C80505"/>
  </w:style>
  <w:style w:type="table" w:styleId="TableGrid">
    <w:name w:val="Table Grid"/>
    <w:basedOn w:val="TableNormal"/>
    <w:uiPriority w:val="39"/>
    <w:rsid w:val="00C8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805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C80505"/>
    <w:rPr>
      <w:i/>
      <w:iCs/>
    </w:rPr>
  </w:style>
  <w:style w:type="numbering" w:customStyle="1" w:styleId="Style1">
    <w:name w:val="Style1"/>
    <w:uiPriority w:val="99"/>
    <w:rsid w:val="00C80505"/>
    <w:pPr>
      <w:numPr>
        <w:numId w:val="1"/>
      </w:numPr>
    </w:pPr>
  </w:style>
  <w:style w:type="character" w:customStyle="1" w:styleId="FontStyle13">
    <w:name w:val="Font Style13"/>
    <w:basedOn w:val="DefaultParagraphFont"/>
    <w:uiPriority w:val="99"/>
    <w:rsid w:val="00323049"/>
    <w:rPr>
      <w:rFonts w:ascii="Times New Roman" w:hAnsi="Times New Roman" w:cs="Times New Roman"/>
      <w:b/>
      <w:bCs/>
      <w:i/>
      <w:iCs/>
      <w:color w:val="000000"/>
      <w:sz w:val="22"/>
      <w:szCs w:val="22"/>
    </w:rPr>
  </w:style>
  <w:style w:type="character" w:customStyle="1" w:styleId="Heading9Char">
    <w:name w:val="Heading 9 Char"/>
    <w:basedOn w:val="DefaultParagraphFont"/>
    <w:link w:val="Heading9"/>
    <w:uiPriority w:val="9"/>
    <w:semiHidden/>
    <w:rsid w:val="00E10B29"/>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Times 10 Point,Exposant 3 Point,Footnote symbol,Footnote reference number,EN Footnote Reference,note TESI,16 Point,Superscript 6 Point,BVI fnr,FOOTNOTES Char1,ft Char1,Ref,Footnote Text Char2,fr,FR,number,SUPERS"/>
    <w:basedOn w:val="DefaultParagraphFont"/>
    <w:uiPriority w:val="99"/>
    <w:unhideWhenUsed/>
    <w:qFormat/>
    <w:rsid w:val="00C8797C"/>
    <w:rPr>
      <w:vertAlign w:val="superscript"/>
    </w:rPr>
  </w:style>
  <w:style w:type="paragraph" w:customStyle="1" w:styleId="TipText">
    <w:name w:val="Tip Text"/>
    <w:basedOn w:val="Normal"/>
    <w:uiPriority w:val="99"/>
    <w:rsid w:val="00CA3E1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TOCHeading">
    <w:name w:val="TOC Heading"/>
    <w:basedOn w:val="Heading1"/>
    <w:next w:val="Normal"/>
    <w:uiPriority w:val="39"/>
    <w:unhideWhenUsed/>
    <w:qFormat/>
    <w:rsid w:val="004C1A0B"/>
    <w:pPr>
      <w:spacing w:line="259" w:lineRule="auto"/>
      <w:outlineLvl w:val="9"/>
    </w:pPr>
  </w:style>
  <w:style w:type="paragraph" w:customStyle="1" w:styleId="cn">
    <w:name w:val="cn"/>
    <w:basedOn w:val="Normal"/>
    <w:rsid w:val="00E62ABB"/>
    <w:pPr>
      <w:spacing w:after="0" w:line="240" w:lineRule="auto"/>
      <w:jc w:val="center"/>
    </w:pPr>
    <w:rPr>
      <w:rFonts w:ascii="Times New Roman" w:eastAsia="Times New Roman" w:hAnsi="Times New Roman" w:cs="Times New Roman"/>
      <w:sz w:val="24"/>
      <w:szCs w:val="24"/>
    </w:rPr>
  </w:style>
  <w:style w:type="paragraph" w:customStyle="1" w:styleId="rg">
    <w:name w:val="rg"/>
    <w:basedOn w:val="Normal"/>
    <w:rsid w:val="00357F55"/>
    <w:pPr>
      <w:spacing w:after="0" w:line="240" w:lineRule="auto"/>
      <w:jc w:val="right"/>
    </w:pPr>
    <w:rPr>
      <w:rFonts w:ascii="Times New Roman" w:eastAsia="Times New Roman" w:hAnsi="Times New Roman" w:cs="Times New Roman"/>
      <w:sz w:val="24"/>
      <w:szCs w:val="24"/>
    </w:rPr>
  </w:style>
  <w:style w:type="character" w:styleId="Strong">
    <w:name w:val="Strong"/>
    <w:basedOn w:val="DefaultParagraphFont"/>
    <w:uiPriority w:val="22"/>
    <w:qFormat/>
    <w:rsid w:val="008A2692"/>
    <w:rPr>
      <w:b/>
      <w:bCs/>
    </w:rPr>
  </w:style>
  <w:style w:type="character" w:customStyle="1" w:styleId="Heading6Char">
    <w:name w:val="Heading 6 Char"/>
    <w:basedOn w:val="DefaultParagraphFont"/>
    <w:link w:val="Heading6"/>
    <w:uiPriority w:val="9"/>
    <w:rsid w:val="00A13889"/>
    <w:rPr>
      <w:rFonts w:asciiTheme="majorHAnsi" w:eastAsiaTheme="majorEastAsia" w:hAnsiTheme="majorHAnsi" w:cstheme="majorBidi"/>
      <w:color w:val="1F4D78" w:themeColor="accent1" w:themeShade="7F"/>
    </w:rPr>
  </w:style>
  <w:style w:type="paragraph" w:customStyle="1" w:styleId="md">
    <w:name w:val="md"/>
    <w:basedOn w:val="Normal"/>
    <w:rsid w:val="0018215F"/>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p">
    <w:name w:val="cp"/>
    <w:basedOn w:val="Normal"/>
    <w:rsid w:val="0065521C"/>
    <w:pPr>
      <w:spacing w:after="0" w:line="240" w:lineRule="auto"/>
      <w:jc w:val="center"/>
    </w:pPr>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563617"/>
    <w:rPr>
      <w:rFonts w:asciiTheme="majorHAnsi" w:eastAsiaTheme="majorEastAsia" w:hAnsiTheme="majorHAnsi" w:cstheme="majorBidi"/>
      <w:b/>
      <w:i/>
      <w:color w:val="1F4D78" w:themeColor="accent1" w:themeShade="7F"/>
      <w:sz w:val="24"/>
      <w:szCs w:val="24"/>
    </w:rPr>
  </w:style>
  <w:style w:type="paragraph" w:styleId="TOC1">
    <w:name w:val="toc 1"/>
    <w:basedOn w:val="Normal"/>
    <w:next w:val="Normal"/>
    <w:autoRedefine/>
    <w:uiPriority w:val="39"/>
    <w:unhideWhenUsed/>
    <w:rsid w:val="003F13C6"/>
    <w:pPr>
      <w:tabs>
        <w:tab w:val="left" w:pos="1100"/>
        <w:tab w:val="right" w:leader="dot" w:pos="9344"/>
      </w:tabs>
      <w:spacing w:after="100"/>
      <w:jc w:val="both"/>
    </w:pPr>
    <w:rPr>
      <w:rFonts w:asciiTheme="majorHAnsi" w:hAnsiTheme="majorHAnsi" w:cstheme="majorHAnsi"/>
      <w:noProof/>
      <w:sz w:val="24"/>
      <w:szCs w:val="24"/>
    </w:rPr>
  </w:style>
  <w:style w:type="paragraph" w:styleId="TOC2">
    <w:name w:val="toc 2"/>
    <w:basedOn w:val="Normal"/>
    <w:next w:val="Normal"/>
    <w:autoRedefine/>
    <w:uiPriority w:val="39"/>
    <w:unhideWhenUsed/>
    <w:rsid w:val="006F0ADC"/>
    <w:pPr>
      <w:spacing w:after="100"/>
      <w:ind w:left="220"/>
    </w:pPr>
  </w:style>
  <w:style w:type="paragraph" w:styleId="TOC3">
    <w:name w:val="toc 3"/>
    <w:basedOn w:val="Normal"/>
    <w:next w:val="Normal"/>
    <w:autoRedefine/>
    <w:uiPriority w:val="39"/>
    <w:unhideWhenUsed/>
    <w:rsid w:val="00BA3AEC"/>
    <w:pPr>
      <w:tabs>
        <w:tab w:val="left" w:pos="1320"/>
        <w:tab w:val="right" w:leader="dot" w:pos="9344"/>
      </w:tabs>
      <w:spacing w:after="100"/>
      <w:ind w:left="440"/>
      <w:jc w:val="both"/>
    </w:pPr>
  </w:style>
  <w:style w:type="paragraph" w:customStyle="1" w:styleId="1">
    <w:name w:val="Стиль1"/>
    <w:basedOn w:val="NormalWeb"/>
    <w:link w:val="10"/>
    <w:autoRedefine/>
    <w:qFormat/>
    <w:rsid w:val="000D40A2"/>
    <w:pPr>
      <w:keepNext w:val="0"/>
      <w:keepLines w:val="0"/>
      <w:spacing w:line="240" w:lineRule="auto"/>
      <w:ind w:left="180" w:hanging="180"/>
    </w:pPr>
    <w:rPr>
      <w:rFonts w:eastAsia="Times New Roman"/>
    </w:rPr>
  </w:style>
  <w:style w:type="character" w:customStyle="1" w:styleId="10">
    <w:name w:val="Стиль1 Знак"/>
    <w:basedOn w:val="DefaultParagraphFont"/>
    <w:link w:val="1"/>
    <w:rsid w:val="000D40A2"/>
    <w:rPr>
      <w:rFonts w:asciiTheme="majorHAnsi" w:eastAsia="Times New Roman" w:hAnsiTheme="majorHAnsi" w:cstheme="majorHAnsi"/>
      <w:sz w:val="16"/>
      <w:szCs w:val="16"/>
    </w:rPr>
  </w:style>
  <w:style w:type="paragraph" w:styleId="CommentText">
    <w:name w:val="annotation text"/>
    <w:basedOn w:val="Normal"/>
    <w:link w:val="CommentTextChar"/>
    <w:uiPriority w:val="99"/>
    <w:semiHidden/>
    <w:unhideWhenUsed/>
    <w:rsid w:val="00603647"/>
    <w:pPr>
      <w:spacing w:line="240" w:lineRule="auto"/>
    </w:pPr>
    <w:rPr>
      <w:sz w:val="20"/>
      <w:szCs w:val="20"/>
    </w:rPr>
  </w:style>
  <w:style w:type="character" w:customStyle="1" w:styleId="CommentTextChar">
    <w:name w:val="Comment Text Char"/>
    <w:basedOn w:val="DefaultParagraphFont"/>
    <w:link w:val="CommentText"/>
    <w:uiPriority w:val="99"/>
    <w:semiHidden/>
    <w:rsid w:val="00603647"/>
    <w:rPr>
      <w:sz w:val="20"/>
      <w:szCs w:val="20"/>
    </w:rPr>
  </w:style>
  <w:style w:type="character" w:styleId="CommentReference">
    <w:name w:val="annotation reference"/>
    <w:basedOn w:val="DefaultParagraphFont"/>
    <w:uiPriority w:val="99"/>
    <w:semiHidden/>
    <w:unhideWhenUsed/>
    <w:rsid w:val="00E86F9D"/>
    <w:rPr>
      <w:sz w:val="16"/>
      <w:szCs w:val="16"/>
    </w:rPr>
  </w:style>
  <w:style w:type="paragraph" w:styleId="Revision">
    <w:name w:val="Revision"/>
    <w:hidden/>
    <w:uiPriority w:val="99"/>
    <w:semiHidden/>
    <w:rsid w:val="00174B63"/>
    <w:pPr>
      <w:spacing w:after="0" w:line="240" w:lineRule="auto"/>
    </w:pPr>
  </w:style>
  <w:style w:type="character" w:customStyle="1" w:styleId="Heading4Char">
    <w:name w:val="Heading 4 Char"/>
    <w:basedOn w:val="DefaultParagraphFont"/>
    <w:link w:val="Heading4"/>
    <w:uiPriority w:val="9"/>
    <w:rsid w:val="00661FE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937C0B"/>
    <w:rPr>
      <w:b/>
      <w:bCs/>
    </w:rPr>
  </w:style>
  <w:style w:type="character" w:customStyle="1" w:styleId="CommentSubjectChar">
    <w:name w:val="Comment Subject Char"/>
    <w:basedOn w:val="CommentTextChar"/>
    <w:link w:val="CommentSubject"/>
    <w:uiPriority w:val="99"/>
    <w:semiHidden/>
    <w:rsid w:val="00937C0B"/>
    <w:rPr>
      <w:b/>
      <w:bCs/>
      <w:sz w:val="20"/>
      <w:szCs w:val="20"/>
    </w:rPr>
  </w:style>
  <w:style w:type="paragraph" w:customStyle="1" w:styleId="ListParagraph1">
    <w:name w:val="List Paragraph1"/>
    <w:basedOn w:val="Normal"/>
    <w:rsid w:val="00BC3BB1"/>
    <w:pPr>
      <w:suppressAutoHyphens/>
      <w:spacing w:after="200" w:line="276" w:lineRule="auto"/>
      <w:ind w:left="720"/>
      <w:contextualSpacing/>
    </w:pPr>
    <w:rPr>
      <w:rFonts w:ascii="Calibri" w:eastAsia="Times New Roman" w:hAnsi="Calibri" w:cs="Times New Roman"/>
      <w:lang w:eastAsia="zh-CN"/>
    </w:rPr>
  </w:style>
  <w:style w:type="paragraph" w:styleId="HTMLPreformatted">
    <w:name w:val="HTML Preformatted"/>
    <w:basedOn w:val="Normal"/>
    <w:link w:val="HTMLPreformattedChar"/>
    <w:uiPriority w:val="99"/>
    <w:semiHidden/>
    <w:unhideWhenUsed/>
    <w:rsid w:val="0000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72D2"/>
    <w:rPr>
      <w:rFonts w:ascii="Courier New" w:eastAsia="Times New Roman" w:hAnsi="Courier New" w:cs="Courier New"/>
      <w:sz w:val="20"/>
      <w:szCs w:val="20"/>
    </w:rPr>
  </w:style>
  <w:style w:type="paragraph" w:customStyle="1" w:styleId="msonormalmailrucssattributepostfix">
    <w:name w:val="msonormal_mailru_css_attribute_postfix"/>
    <w:basedOn w:val="Normal"/>
    <w:rsid w:val="001D4760"/>
    <w:pPr>
      <w:spacing w:before="100" w:beforeAutospacing="1" w:after="100" w:afterAutospacing="1" w:line="240" w:lineRule="auto"/>
    </w:pPr>
    <w:rPr>
      <w:rFonts w:ascii="Times New Roman" w:hAnsi="Times New Roman" w:cs="Times New Roman"/>
      <w:sz w:val="24"/>
      <w:szCs w:val="24"/>
    </w:rPr>
  </w:style>
  <w:style w:type="paragraph" w:styleId="TOC4">
    <w:name w:val="toc 4"/>
    <w:basedOn w:val="Normal"/>
    <w:next w:val="Normal"/>
    <w:autoRedefine/>
    <w:uiPriority w:val="39"/>
    <w:unhideWhenUsed/>
    <w:rsid w:val="007223A1"/>
    <w:pPr>
      <w:spacing w:after="100" w:line="259" w:lineRule="auto"/>
      <w:ind w:left="660"/>
    </w:pPr>
    <w:rPr>
      <w:rFonts w:eastAsiaTheme="minorEastAsia"/>
    </w:rPr>
  </w:style>
  <w:style w:type="paragraph" w:styleId="TOC5">
    <w:name w:val="toc 5"/>
    <w:basedOn w:val="Normal"/>
    <w:next w:val="Normal"/>
    <w:autoRedefine/>
    <w:uiPriority w:val="39"/>
    <w:unhideWhenUsed/>
    <w:rsid w:val="007223A1"/>
    <w:pPr>
      <w:spacing w:after="100" w:line="259" w:lineRule="auto"/>
      <w:ind w:left="880"/>
    </w:pPr>
    <w:rPr>
      <w:rFonts w:eastAsiaTheme="minorEastAsia"/>
    </w:rPr>
  </w:style>
  <w:style w:type="paragraph" w:styleId="TOC6">
    <w:name w:val="toc 6"/>
    <w:basedOn w:val="Normal"/>
    <w:next w:val="Normal"/>
    <w:autoRedefine/>
    <w:uiPriority w:val="39"/>
    <w:unhideWhenUsed/>
    <w:rsid w:val="007223A1"/>
    <w:pPr>
      <w:spacing w:after="100" w:line="259" w:lineRule="auto"/>
      <w:ind w:left="1100"/>
    </w:pPr>
    <w:rPr>
      <w:rFonts w:eastAsiaTheme="minorEastAsia"/>
    </w:rPr>
  </w:style>
  <w:style w:type="paragraph" w:styleId="TOC7">
    <w:name w:val="toc 7"/>
    <w:basedOn w:val="Normal"/>
    <w:next w:val="Normal"/>
    <w:autoRedefine/>
    <w:uiPriority w:val="39"/>
    <w:unhideWhenUsed/>
    <w:rsid w:val="007223A1"/>
    <w:pPr>
      <w:spacing w:after="100" w:line="259" w:lineRule="auto"/>
      <w:ind w:left="1320"/>
    </w:pPr>
    <w:rPr>
      <w:rFonts w:eastAsiaTheme="minorEastAsia"/>
    </w:rPr>
  </w:style>
  <w:style w:type="paragraph" w:styleId="TOC8">
    <w:name w:val="toc 8"/>
    <w:basedOn w:val="Normal"/>
    <w:next w:val="Normal"/>
    <w:autoRedefine/>
    <w:uiPriority w:val="39"/>
    <w:unhideWhenUsed/>
    <w:rsid w:val="007223A1"/>
    <w:pPr>
      <w:spacing w:after="100" w:line="259" w:lineRule="auto"/>
      <w:ind w:left="1540"/>
    </w:pPr>
    <w:rPr>
      <w:rFonts w:eastAsiaTheme="minorEastAsia"/>
    </w:rPr>
  </w:style>
  <w:style w:type="paragraph" w:styleId="TOC9">
    <w:name w:val="toc 9"/>
    <w:basedOn w:val="Normal"/>
    <w:next w:val="Normal"/>
    <w:autoRedefine/>
    <w:uiPriority w:val="39"/>
    <w:unhideWhenUsed/>
    <w:rsid w:val="007223A1"/>
    <w:pPr>
      <w:spacing w:after="100" w:line="259" w:lineRule="auto"/>
      <w:ind w:left="1760"/>
    </w:pPr>
    <w:rPr>
      <w:rFonts w:eastAsiaTheme="minorEastAsia"/>
    </w:rPr>
  </w:style>
  <w:style w:type="table" w:customStyle="1" w:styleId="PlainTable11">
    <w:name w:val="Plain Table 11"/>
    <w:basedOn w:val="TableNormal"/>
    <w:uiPriority w:val="41"/>
    <w:rsid w:val="006505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C11CA"/>
    <w:pPr>
      <w:spacing w:after="0" w:line="240" w:lineRule="auto"/>
    </w:pPr>
  </w:style>
  <w:style w:type="paragraph" w:customStyle="1" w:styleId="cris">
    <w:name w:val="cris"/>
    <w:basedOn w:val="ListParagraph"/>
    <w:link w:val="cris0"/>
    <w:qFormat/>
    <w:rsid w:val="003F6E9E"/>
    <w:pPr>
      <w:numPr>
        <w:numId w:val="19"/>
      </w:numPr>
      <w:tabs>
        <w:tab w:val="left" w:pos="426"/>
        <w:tab w:val="left" w:pos="993"/>
      </w:tabs>
      <w:spacing w:after="120" w:line="240" w:lineRule="auto"/>
      <w:jc w:val="both"/>
    </w:pPr>
    <w:rPr>
      <w:rFonts w:ascii="Times New Roman" w:eastAsia="Calibri" w:hAnsi="Times New Roman" w:cs="Times New Roman"/>
      <w:sz w:val="24"/>
      <w:szCs w:val="24"/>
    </w:rPr>
  </w:style>
  <w:style w:type="character" w:customStyle="1" w:styleId="cris0">
    <w:name w:val="cris Знак"/>
    <w:link w:val="cris"/>
    <w:rsid w:val="003F6E9E"/>
    <w:rPr>
      <w:rFonts w:ascii="Times New Roman" w:eastAsia="Calibri" w:hAnsi="Times New Roman" w:cs="Times New Roman"/>
      <w:sz w:val="24"/>
      <w:szCs w:val="24"/>
    </w:rPr>
  </w:style>
  <w:style w:type="table" w:customStyle="1" w:styleId="GridTable3-Accent31">
    <w:name w:val="Grid Table 3 - Accent 31"/>
    <w:basedOn w:val="TableNormal"/>
    <w:uiPriority w:val="48"/>
    <w:rsid w:val="00B84F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2">
    <w:name w:val="Основной текст (2)"/>
    <w:basedOn w:val="DefaultParagraphFont"/>
    <w:rsid w:val="00B84F30"/>
    <w:rPr>
      <w:rFonts w:ascii="Times New Roman" w:eastAsia="Times New Roman" w:hAnsi="Times New Roman" w:cs="Times New Roman"/>
      <w:b w:val="0"/>
      <w:bCs w:val="0"/>
      <w:i w:val="0"/>
      <w:iCs w:val="0"/>
      <w:smallCaps w:val="0"/>
      <w:strike w:val="0"/>
      <w:color w:val="1C2327"/>
      <w:spacing w:val="0"/>
      <w:w w:val="100"/>
      <w:position w:val="0"/>
      <w:sz w:val="28"/>
      <w:szCs w:val="28"/>
      <w:u w:val="none"/>
    </w:rPr>
  </w:style>
  <w:style w:type="character" w:customStyle="1" w:styleId="20">
    <w:name w:val="Основной текст (2)_"/>
    <w:basedOn w:val="DefaultParagraphFont"/>
    <w:link w:val="21"/>
    <w:uiPriority w:val="99"/>
    <w:rsid w:val="00DD1DCD"/>
    <w:rPr>
      <w:rFonts w:ascii="Times New Roman" w:hAnsi="Times New Roman" w:cs="Times New Roman"/>
      <w:sz w:val="48"/>
      <w:szCs w:val="48"/>
      <w:shd w:val="clear" w:color="auto" w:fill="FFFFFF"/>
    </w:rPr>
  </w:style>
  <w:style w:type="character" w:customStyle="1" w:styleId="2CenturyGothic1">
    <w:name w:val="Основной текст (2) + Century Gothic1"/>
    <w:aliases w:val="20 pt,Полужирный,Основной текст (2) + 24 pt"/>
    <w:basedOn w:val="20"/>
    <w:uiPriority w:val="99"/>
    <w:rsid w:val="00DD1DCD"/>
    <w:rPr>
      <w:rFonts w:ascii="Century Gothic" w:hAnsi="Century Gothic" w:cs="Century Gothic"/>
      <w:b/>
      <w:bCs/>
      <w:sz w:val="40"/>
      <w:szCs w:val="40"/>
      <w:shd w:val="clear" w:color="auto" w:fill="FFFFFF"/>
    </w:rPr>
  </w:style>
  <w:style w:type="paragraph" w:customStyle="1" w:styleId="21">
    <w:name w:val="Основной текст (2)1"/>
    <w:basedOn w:val="Normal"/>
    <w:link w:val="20"/>
    <w:uiPriority w:val="99"/>
    <w:rsid w:val="00DD1DCD"/>
    <w:pPr>
      <w:shd w:val="clear" w:color="auto" w:fill="FFFFFF"/>
      <w:spacing w:after="0" w:line="593" w:lineRule="exact"/>
    </w:pPr>
    <w:rPr>
      <w:rFonts w:ascii="Times New Roman" w:hAnsi="Times New Roman" w:cs="Times New Roman"/>
      <w:sz w:val="48"/>
      <w:szCs w:val="48"/>
    </w:rPr>
  </w:style>
  <w:style w:type="paragraph" w:customStyle="1" w:styleId="msonormal0">
    <w:name w:val="msonormal"/>
    <w:basedOn w:val="Normal"/>
    <w:rsid w:val="00193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93733"/>
    <w:pPr>
      <w:spacing w:before="100" w:beforeAutospacing="1" w:after="100" w:afterAutospacing="1" w:line="240" w:lineRule="auto"/>
    </w:pPr>
    <w:rPr>
      <w:rFonts w:ascii="Calibri Light" w:eastAsia="Times New Roman" w:hAnsi="Calibri Light" w:cs="Calibri Light"/>
      <w:color w:val="000000"/>
    </w:rPr>
  </w:style>
  <w:style w:type="paragraph" w:customStyle="1" w:styleId="font6">
    <w:name w:val="font6"/>
    <w:basedOn w:val="Normal"/>
    <w:rsid w:val="00193733"/>
    <w:pPr>
      <w:spacing w:before="100" w:beforeAutospacing="1" w:after="100" w:afterAutospacing="1" w:line="240" w:lineRule="auto"/>
    </w:pPr>
    <w:rPr>
      <w:rFonts w:ascii="Calibri Light" w:eastAsia="Times New Roman" w:hAnsi="Calibri Light" w:cs="Calibri Light"/>
      <w:b/>
      <w:bCs/>
      <w:color w:val="000000"/>
    </w:rPr>
  </w:style>
  <w:style w:type="paragraph" w:customStyle="1" w:styleId="font7">
    <w:name w:val="font7"/>
    <w:basedOn w:val="Normal"/>
    <w:rsid w:val="00193733"/>
    <w:pPr>
      <w:spacing w:before="100" w:beforeAutospacing="1" w:after="100" w:afterAutospacing="1" w:line="240" w:lineRule="auto"/>
    </w:pPr>
    <w:rPr>
      <w:rFonts w:ascii="Calibri Light" w:eastAsia="Times New Roman" w:hAnsi="Calibri Light" w:cs="Calibri Light"/>
      <w:b/>
      <w:bCs/>
      <w:i/>
      <w:iCs/>
      <w:color w:val="000000"/>
    </w:rPr>
  </w:style>
  <w:style w:type="paragraph" w:customStyle="1" w:styleId="font8">
    <w:name w:val="font8"/>
    <w:basedOn w:val="Normal"/>
    <w:rsid w:val="00193733"/>
    <w:pPr>
      <w:spacing w:before="100" w:beforeAutospacing="1" w:after="100" w:afterAutospacing="1" w:line="240" w:lineRule="auto"/>
    </w:pPr>
    <w:rPr>
      <w:rFonts w:ascii="Calibri Light" w:eastAsia="Times New Roman" w:hAnsi="Calibri Light" w:cs="Calibri Light"/>
      <w:b/>
      <w:bCs/>
      <w:color w:val="FF0000"/>
    </w:rPr>
  </w:style>
  <w:style w:type="paragraph" w:customStyle="1" w:styleId="font9">
    <w:name w:val="font9"/>
    <w:basedOn w:val="Normal"/>
    <w:rsid w:val="00193733"/>
    <w:pPr>
      <w:spacing w:before="100" w:beforeAutospacing="1" w:after="100" w:afterAutospacing="1" w:line="240" w:lineRule="auto"/>
    </w:pPr>
    <w:rPr>
      <w:rFonts w:ascii="Calibri Light" w:eastAsia="Times New Roman" w:hAnsi="Calibri Light" w:cs="Calibri Light"/>
      <w:color w:val="000000"/>
    </w:rPr>
  </w:style>
  <w:style w:type="paragraph" w:customStyle="1" w:styleId="font10">
    <w:name w:val="font10"/>
    <w:basedOn w:val="Normal"/>
    <w:rsid w:val="00193733"/>
    <w:pPr>
      <w:spacing w:before="100" w:beforeAutospacing="1" w:after="100" w:afterAutospacing="1" w:line="240" w:lineRule="auto"/>
    </w:pPr>
    <w:rPr>
      <w:rFonts w:ascii="Calibri Light" w:eastAsia="Times New Roman" w:hAnsi="Calibri Light" w:cs="Calibri Light"/>
      <w:i/>
      <w:iCs/>
      <w:color w:val="000000"/>
    </w:rPr>
  </w:style>
  <w:style w:type="paragraph" w:customStyle="1" w:styleId="font11">
    <w:name w:val="font11"/>
    <w:basedOn w:val="Normal"/>
    <w:rsid w:val="00193733"/>
    <w:pPr>
      <w:spacing w:before="100" w:beforeAutospacing="1" w:after="100" w:afterAutospacing="1" w:line="240" w:lineRule="auto"/>
    </w:pPr>
    <w:rPr>
      <w:rFonts w:ascii="Calibri Light" w:eastAsia="Times New Roman" w:hAnsi="Calibri Light" w:cs="Calibri Light"/>
      <w:i/>
      <w:iCs/>
    </w:rPr>
  </w:style>
  <w:style w:type="paragraph" w:customStyle="1" w:styleId="font12">
    <w:name w:val="font12"/>
    <w:basedOn w:val="Normal"/>
    <w:rsid w:val="00193733"/>
    <w:pPr>
      <w:spacing w:before="100" w:beforeAutospacing="1" w:after="100" w:afterAutospacing="1" w:line="240" w:lineRule="auto"/>
    </w:pPr>
    <w:rPr>
      <w:rFonts w:ascii="Calibri" w:eastAsia="Times New Roman" w:hAnsi="Calibri" w:cs="Calibri"/>
      <w:b/>
      <w:bCs/>
      <w:i/>
      <w:iCs/>
      <w:sz w:val="28"/>
      <w:szCs w:val="28"/>
    </w:rPr>
  </w:style>
  <w:style w:type="paragraph" w:customStyle="1" w:styleId="font13">
    <w:name w:val="font13"/>
    <w:basedOn w:val="Normal"/>
    <w:rsid w:val="00193733"/>
    <w:pPr>
      <w:spacing w:before="100" w:beforeAutospacing="1" w:after="100" w:afterAutospacing="1" w:line="240" w:lineRule="auto"/>
    </w:pPr>
    <w:rPr>
      <w:rFonts w:ascii="Calibri" w:eastAsia="Times New Roman" w:hAnsi="Calibri" w:cs="Calibri"/>
      <w:b/>
      <w:bCs/>
      <w:i/>
      <w:iCs/>
      <w:color w:val="0070C0"/>
      <w:sz w:val="28"/>
      <w:szCs w:val="28"/>
    </w:rPr>
  </w:style>
  <w:style w:type="paragraph" w:customStyle="1" w:styleId="xl67">
    <w:name w:val="xl67"/>
    <w:basedOn w:val="Normal"/>
    <w:rsid w:val="00193733"/>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68">
    <w:name w:val="xl68"/>
    <w:basedOn w:val="Normal"/>
    <w:rsid w:val="00193733"/>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69">
    <w:name w:val="xl69"/>
    <w:basedOn w:val="Normal"/>
    <w:rsid w:val="00193733"/>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70">
    <w:name w:val="xl70"/>
    <w:basedOn w:val="Normal"/>
    <w:rsid w:val="0019373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1">
    <w:name w:val="xl71"/>
    <w:basedOn w:val="Normal"/>
    <w:rsid w:val="0019373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2">
    <w:name w:val="xl72"/>
    <w:basedOn w:val="Normal"/>
    <w:rsid w:val="0019373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sz w:val="24"/>
      <w:szCs w:val="24"/>
    </w:rPr>
  </w:style>
  <w:style w:type="paragraph" w:customStyle="1" w:styleId="xl73">
    <w:name w:val="xl73"/>
    <w:basedOn w:val="Normal"/>
    <w:rsid w:val="001937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74">
    <w:name w:val="xl74"/>
    <w:basedOn w:val="Normal"/>
    <w:rsid w:val="00193733"/>
    <w:pPr>
      <w:pBdr>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75">
    <w:name w:val="xl75"/>
    <w:basedOn w:val="Normal"/>
    <w:rsid w:val="0019373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6">
    <w:name w:val="xl76"/>
    <w:basedOn w:val="Normal"/>
    <w:rsid w:val="0019373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7">
    <w:name w:val="xl77"/>
    <w:basedOn w:val="Normal"/>
    <w:rsid w:val="00193733"/>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78">
    <w:name w:val="xl78"/>
    <w:basedOn w:val="Normal"/>
    <w:rsid w:val="00193733"/>
    <w:pPr>
      <w:pBdr>
        <w:top w:val="single" w:sz="8" w:space="0" w:color="auto"/>
        <w:left w:val="single" w:sz="8"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79">
    <w:name w:val="xl79"/>
    <w:basedOn w:val="Normal"/>
    <w:rsid w:val="0019373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4"/>
      <w:szCs w:val="24"/>
    </w:rPr>
  </w:style>
  <w:style w:type="paragraph" w:customStyle="1" w:styleId="xl80">
    <w:name w:val="xl80"/>
    <w:basedOn w:val="Normal"/>
    <w:rsid w:val="00193733"/>
    <w:pPr>
      <w:pBdr>
        <w:top w:val="single" w:sz="4" w:space="0" w:color="auto"/>
        <w:left w:val="single" w:sz="8" w:space="0" w:color="auto"/>
        <w:bottom w:val="single" w:sz="4"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81">
    <w:name w:val="xl81"/>
    <w:basedOn w:val="Normal"/>
    <w:rsid w:val="0019373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2">
    <w:name w:val="xl82"/>
    <w:basedOn w:val="Normal"/>
    <w:rsid w:val="0019373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3">
    <w:name w:val="xl83"/>
    <w:basedOn w:val="Normal"/>
    <w:rsid w:val="0019373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4">
    <w:name w:val="xl84"/>
    <w:basedOn w:val="Normal"/>
    <w:rsid w:val="0019373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5">
    <w:name w:val="xl85"/>
    <w:basedOn w:val="Normal"/>
    <w:rsid w:val="0019373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86">
    <w:name w:val="xl86"/>
    <w:basedOn w:val="Normal"/>
    <w:rsid w:val="00193733"/>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7">
    <w:name w:val="xl87"/>
    <w:basedOn w:val="Normal"/>
    <w:rsid w:val="00193733"/>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8">
    <w:name w:val="xl88"/>
    <w:basedOn w:val="Normal"/>
    <w:rsid w:val="0019373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89">
    <w:name w:val="xl89"/>
    <w:basedOn w:val="Normal"/>
    <w:rsid w:val="00193733"/>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0">
    <w:name w:val="xl90"/>
    <w:basedOn w:val="Normal"/>
    <w:rsid w:val="0019373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1">
    <w:name w:val="xl91"/>
    <w:basedOn w:val="Normal"/>
    <w:rsid w:val="0019373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2">
    <w:name w:val="xl92"/>
    <w:basedOn w:val="Normal"/>
    <w:rsid w:val="0019373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93">
    <w:name w:val="xl93"/>
    <w:basedOn w:val="Normal"/>
    <w:rsid w:val="0019373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94">
    <w:name w:val="xl94"/>
    <w:basedOn w:val="Normal"/>
    <w:rsid w:val="0019373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5">
    <w:name w:val="xl95"/>
    <w:basedOn w:val="Normal"/>
    <w:rsid w:val="0019373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6">
    <w:name w:val="xl96"/>
    <w:basedOn w:val="Normal"/>
    <w:rsid w:val="00193733"/>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i/>
      <w:iCs/>
      <w:color w:val="000000"/>
      <w:sz w:val="24"/>
      <w:szCs w:val="24"/>
    </w:rPr>
  </w:style>
  <w:style w:type="paragraph" w:customStyle="1" w:styleId="xl97">
    <w:name w:val="xl97"/>
    <w:basedOn w:val="Normal"/>
    <w:rsid w:val="0019373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8">
    <w:name w:val="xl98"/>
    <w:basedOn w:val="Normal"/>
    <w:rsid w:val="00193733"/>
    <w:pPr>
      <w:pBdr>
        <w:left w:val="single" w:sz="8"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99">
    <w:name w:val="xl99"/>
    <w:basedOn w:val="Normal"/>
    <w:rsid w:val="00193733"/>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00">
    <w:name w:val="xl100"/>
    <w:basedOn w:val="Normal"/>
    <w:rsid w:val="0019373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color w:val="000000"/>
      <w:sz w:val="24"/>
      <w:szCs w:val="24"/>
    </w:rPr>
  </w:style>
  <w:style w:type="paragraph" w:customStyle="1" w:styleId="xl101">
    <w:name w:val="xl101"/>
    <w:basedOn w:val="Normal"/>
    <w:rsid w:val="00193733"/>
    <w:pPr>
      <w:pBdr>
        <w:top w:val="single" w:sz="8" w:space="0" w:color="auto"/>
        <w:left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02">
    <w:name w:val="xl102"/>
    <w:basedOn w:val="Normal"/>
    <w:rsid w:val="0019373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103">
    <w:name w:val="xl103"/>
    <w:basedOn w:val="Normal"/>
    <w:rsid w:val="00193733"/>
    <w:pPr>
      <w:pBdr>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04">
    <w:name w:val="xl104"/>
    <w:basedOn w:val="Normal"/>
    <w:rsid w:val="00193733"/>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105">
    <w:name w:val="xl105"/>
    <w:basedOn w:val="Normal"/>
    <w:rsid w:val="0019373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color w:val="000000"/>
      <w:sz w:val="24"/>
      <w:szCs w:val="24"/>
    </w:rPr>
  </w:style>
  <w:style w:type="paragraph" w:customStyle="1" w:styleId="xl106">
    <w:name w:val="xl106"/>
    <w:basedOn w:val="Normal"/>
    <w:rsid w:val="0019373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7">
    <w:name w:val="xl107"/>
    <w:basedOn w:val="Normal"/>
    <w:rsid w:val="0019373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8">
    <w:name w:val="xl108"/>
    <w:basedOn w:val="Normal"/>
    <w:rsid w:val="00193733"/>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09">
    <w:name w:val="xl109"/>
    <w:basedOn w:val="Normal"/>
    <w:rsid w:val="00193733"/>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10">
    <w:name w:val="xl110"/>
    <w:basedOn w:val="Normal"/>
    <w:rsid w:val="00193733"/>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11">
    <w:name w:val="xl111"/>
    <w:basedOn w:val="Normal"/>
    <w:rsid w:val="0019373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12">
    <w:name w:val="xl112"/>
    <w:basedOn w:val="Normal"/>
    <w:rsid w:val="0019373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13">
    <w:name w:val="xl113"/>
    <w:basedOn w:val="Normal"/>
    <w:rsid w:val="0019373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4">
    <w:name w:val="xl114"/>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15">
    <w:name w:val="xl115"/>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6">
    <w:name w:val="xl116"/>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7">
    <w:name w:val="xl117"/>
    <w:basedOn w:val="Normal"/>
    <w:rsid w:val="001937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8">
    <w:name w:val="xl118"/>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19">
    <w:name w:val="xl119"/>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sz w:val="24"/>
      <w:szCs w:val="24"/>
    </w:rPr>
  </w:style>
  <w:style w:type="paragraph" w:customStyle="1" w:styleId="xl120">
    <w:name w:val="xl120"/>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21">
    <w:name w:val="xl121"/>
    <w:basedOn w:val="Normal"/>
    <w:rsid w:val="001937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22">
    <w:name w:val="xl122"/>
    <w:basedOn w:val="Normal"/>
    <w:rsid w:val="001937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23">
    <w:name w:val="xl123"/>
    <w:basedOn w:val="Normal"/>
    <w:rsid w:val="001937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24">
    <w:name w:val="xl124"/>
    <w:basedOn w:val="Normal"/>
    <w:rsid w:val="001937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25">
    <w:name w:val="xl125"/>
    <w:basedOn w:val="Normal"/>
    <w:rsid w:val="00193733"/>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26">
    <w:name w:val="xl126"/>
    <w:basedOn w:val="Normal"/>
    <w:rsid w:val="00193733"/>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27">
    <w:name w:val="xl127"/>
    <w:basedOn w:val="Normal"/>
    <w:rsid w:val="001937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28">
    <w:name w:val="xl128"/>
    <w:basedOn w:val="Normal"/>
    <w:rsid w:val="001937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29">
    <w:name w:val="xl129"/>
    <w:basedOn w:val="Normal"/>
    <w:rsid w:val="001937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0">
    <w:name w:val="xl130"/>
    <w:basedOn w:val="Normal"/>
    <w:rsid w:val="00193733"/>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1">
    <w:name w:val="xl131"/>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32">
    <w:name w:val="xl132"/>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3">
    <w:name w:val="xl133"/>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4">
    <w:name w:val="xl134"/>
    <w:basedOn w:val="Normal"/>
    <w:rsid w:val="001937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5">
    <w:name w:val="xl135"/>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36">
    <w:name w:val="xl136"/>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37">
    <w:name w:val="xl137"/>
    <w:basedOn w:val="Normal"/>
    <w:rsid w:val="00193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38">
    <w:name w:val="xl138"/>
    <w:basedOn w:val="Normal"/>
    <w:rsid w:val="00193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color w:val="FF0000"/>
      <w:sz w:val="24"/>
      <w:szCs w:val="24"/>
    </w:rPr>
  </w:style>
  <w:style w:type="paragraph" w:customStyle="1" w:styleId="xl139">
    <w:name w:val="xl139"/>
    <w:basedOn w:val="Normal"/>
    <w:rsid w:val="001937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40">
    <w:name w:val="xl140"/>
    <w:basedOn w:val="Normal"/>
    <w:rsid w:val="001937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1">
    <w:name w:val="xl141"/>
    <w:basedOn w:val="Normal"/>
    <w:rsid w:val="001937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42">
    <w:name w:val="xl142"/>
    <w:basedOn w:val="Normal"/>
    <w:rsid w:val="001937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3">
    <w:name w:val="xl143"/>
    <w:basedOn w:val="Normal"/>
    <w:rsid w:val="0019373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44">
    <w:name w:val="xl144"/>
    <w:basedOn w:val="Normal"/>
    <w:rsid w:val="0019373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5">
    <w:name w:val="xl145"/>
    <w:basedOn w:val="Normal"/>
    <w:rsid w:val="0019373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6">
    <w:name w:val="xl146"/>
    <w:basedOn w:val="Normal"/>
    <w:rsid w:val="00193733"/>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7">
    <w:name w:val="xl147"/>
    <w:basedOn w:val="Normal"/>
    <w:rsid w:val="00193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48">
    <w:name w:val="xl148"/>
    <w:basedOn w:val="Normal"/>
    <w:rsid w:val="00193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9">
    <w:name w:val="xl149"/>
    <w:basedOn w:val="Normal"/>
    <w:rsid w:val="00193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0">
    <w:name w:val="xl150"/>
    <w:basedOn w:val="Normal"/>
    <w:rsid w:val="001937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1">
    <w:name w:val="xl151"/>
    <w:basedOn w:val="Normal"/>
    <w:rsid w:val="00193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sz w:val="24"/>
      <w:szCs w:val="24"/>
    </w:rPr>
  </w:style>
  <w:style w:type="paragraph" w:customStyle="1" w:styleId="xl152">
    <w:name w:val="xl152"/>
    <w:basedOn w:val="Normal"/>
    <w:rsid w:val="00193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FF0000"/>
      <w:sz w:val="24"/>
      <w:szCs w:val="24"/>
    </w:rPr>
  </w:style>
  <w:style w:type="paragraph" w:customStyle="1" w:styleId="xl153">
    <w:name w:val="xl153"/>
    <w:basedOn w:val="Normal"/>
    <w:rsid w:val="001937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54">
    <w:name w:val="xl154"/>
    <w:basedOn w:val="Normal"/>
    <w:rsid w:val="001937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FF0000"/>
      <w:sz w:val="24"/>
      <w:szCs w:val="24"/>
    </w:rPr>
  </w:style>
  <w:style w:type="paragraph" w:customStyle="1" w:styleId="xl155">
    <w:name w:val="xl155"/>
    <w:basedOn w:val="Normal"/>
    <w:rsid w:val="001937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6">
    <w:name w:val="xl156"/>
    <w:basedOn w:val="Normal"/>
    <w:rsid w:val="001937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7">
    <w:name w:val="xl157"/>
    <w:basedOn w:val="Normal"/>
    <w:rsid w:val="00193733"/>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58">
    <w:name w:val="xl158"/>
    <w:basedOn w:val="Normal"/>
    <w:rsid w:val="00193733"/>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59">
    <w:name w:val="xl159"/>
    <w:basedOn w:val="Normal"/>
    <w:rsid w:val="00193733"/>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60">
    <w:name w:val="xl160"/>
    <w:basedOn w:val="Normal"/>
    <w:rsid w:val="00193733"/>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61">
    <w:name w:val="xl161"/>
    <w:basedOn w:val="Normal"/>
    <w:rsid w:val="001937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62">
    <w:name w:val="xl162"/>
    <w:basedOn w:val="Normal"/>
    <w:rsid w:val="001937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3">
    <w:name w:val="xl163"/>
    <w:basedOn w:val="Normal"/>
    <w:rsid w:val="001937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4">
    <w:name w:val="xl164"/>
    <w:basedOn w:val="Normal"/>
    <w:rsid w:val="001937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5">
    <w:name w:val="xl165"/>
    <w:basedOn w:val="Normal"/>
    <w:rsid w:val="00193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66">
    <w:name w:val="xl166"/>
    <w:basedOn w:val="Normal"/>
    <w:rsid w:val="0019373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67">
    <w:name w:val="xl167"/>
    <w:basedOn w:val="Normal"/>
    <w:rsid w:val="0019373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8">
    <w:name w:val="xl168"/>
    <w:basedOn w:val="Normal"/>
    <w:rsid w:val="0019373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9">
    <w:name w:val="xl169"/>
    <w:basedOn w:val="Normal"/>
    <w:rsid w:val="00193733"/>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70">
    <w:name w:val="xl170"/>
    <w:basedOn w:val="Normal"/>
    <w:rsid w:val="001937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71">
    <w:name w:val="xl171"/>
    <w:basedOn w:val="Normal"/>
    <w:rsid w:val="001937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72">
    <w:name w:val="xl172"/>
    <w:basedOn w:val="Normal"/>
    <w:rsid w:val="001937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73">
    <w:name w:val="xl173"/>
    <w:basedOn w:val="Normal"/>
    <w:rsid w:val="00193733"/>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74">
    <w:name w:val="xl174"/>
    <w:basedOn w:val="Normal"/>
    <w:rsid w:val="001937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75">
    <w:name w:val="xl175"/>
    <w:basedOn w:val="Normal"/>
    <w:rsid w:val="001937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76">
    <w:name w:val="xl176"/>
    <w:basedOn w:val="Normal"/>
    <w:rsid w:val="001937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77">
    <w:name w:val="xl177"/>
    <w:basedOn w:val="Normal"/>
    <w:rsid w:val="00193733"/>
    <w:pPr>
      <w:spacing w:before="100" w:beforeAutospacing="1" w:after="100" w:afterAutospacing="1" w:line="240" w:lineRule="auto"/>
    </w:pPr>
    <w:rPr>
      <w:rFonts w:ascii="Calibri Light" w:eastAsia="Times New Roman" w:hAnsi="Calibri Light" w:cs="Calibri Light"/>
      <w:color w:val="FF0000"/>
      <w:sz w:val="24"/>
      <w:szCs w:val="24"/>
    </w:rPr>
  </w:style>
  <w:style w:type="paragraph" w:customStyle="1" w:styleId="xl178">
    <w:name w:val="xl178"/>
    <w:basedOn w:val="Normal"/>
    <w:rsid w:val="00193733"/>
    <w:pPr>
      <w:pBdr>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79">
    <w:name w:val="xl179"/>
    <w:basedOn w:val="Normal"/>
    <w:rsid w:val="00193733"/>
    <w:pPr>
      <w:pBdr>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0">
    <w:name w:val="xl180"/>
    <w:basedOn w:val="Normal"/>
    <w:rsid w:val="00193733"/>
    <w:pPr>
      <w:pBdr>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181">
    <w:name w:val="xl181"/>
    <w:basedOn w:val="Normal"/>
    <w:rsid w:val="00193733"/>
    <w:pPr>
      <w:pBdr>
        <w:left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182">
    <w:name w:val="xl182"/>
    <w:basedOn w:val="Normal"/>
    <w:rsid w:val="001937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83">
    <w:name w:val="xl183"/>
    <w:basedOn w:val="Normal"/>
    <w:rsid w:val="001937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4">
    <w:name w:val="xl184"/>
    <w:basedOn w:val="Normal"/>
    <w:rsid w:val="001937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5">
    <w:name w:val="xl185"/>
    <w:basedOn w:val="Normal"/>
    <w:rsid w:val="001937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86">
    <w:name w:val="xl186"/>
    <w:basedOn w:val="Normal"/>
    <w:rsid w:val="001937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7">
    <w:name w:val="xl187"/>
    <w:basedOn w:val="Normal"/>
    <w:rsid w:val="001937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88">
    <w:name w:val="xl188"/>
    <w:basedOn w:val="Normal"/>
    <w:rsid w:val="00193733"/>
    <w:pPr>
      <w:pBdr>
        <w:top w:val="single" w:sz="8"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89">
    <w:name w:val="xl189"/>
    <w:basedOn w:val="Normal"/>
    <w:rsid w:val="00193733"/>
    <w:pPr>
      <w:pBdr>
        <w:top w:val="single" w:sz="8"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0">
    <w:name w:val="xl190"/>
    <w:basedOn w:val="Normal"/>
    <w:rsid w:val="00193733"/>
    <w:pPr>
      <w:pBdr>
        <w:top w:val="single" w:sz="8" w:space="0" w:color="auto"/>
        <w:left w:val="single" w:sz="4"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1">
    <w:name w:val="xl191"/>
    <w:basedOn w:val="Normal"/>
    <w:rsid w:val="00193733"/>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92">
    <w:name w:val="xl192"/>
    <w:basedOn w:val="Normal"/>
    <w:rsid w:val="0019373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93">
    <w:name w:val="xl193"/>
    <w:basedOn w:val="Normal"/>
    <w:rsid w:val="0019373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4">
    <w:name w:val="xl194"/>
    <w:basedOn w:val="Normal"/>
    <w:rsid w:val="0019373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5">
    <w:name w:val="xl195"/>
    <w:basedOn w:val="Normal"/>
    <w:rsid w:val="0019373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6">
    <w:name w:val="xl196"/>
    <w:basedOn w:val="Normal"/>
    <w:rsid w:val="0019373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97">
    <w:name w:val="xl197"/>
    <w:basedOn w:val="Normal"/>
    <w:rsid w:val="001937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8">
    <w:name w:val="xl198"/>
    <w:basedOn w:val="Normal"/>
    <w:rsid w:val="001937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9">
    <w:name w:val="xl199"/>
    <w:basedOn w:val="Normal"/>
    <w:rsid w:val="00193733"/>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00">
    <w:name w:val="xl200"/>
    <w:basedOn w:val="Normal"/>
    <w:rsid w:val="001937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01">
    <w:name w:val="xl201"/>
    <w:basedOn w:val="Normal"/>
    <w:rsid w:val="001937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02">
    <w:name w:val="xl202"/>
    <w:basedOn w:val="Normal"/>
    <w:rsid w:val="00193733"/>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03">
    <w:name w:val="xl203"/>
    <w:basedOn w:val="Normal"/>
    <w:rsid w:val="001937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4">
    <w:name w:val="xl204"/>
    <w:basedOn w:val="Normal"/>
    <w:rsid w:val="001937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05">
    <w:name w:val="xl205"/>
    <w:basedOn w:val="Normal"/>
    <w:rsid w:val="0019373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6">
    <w:name w:val="xl206"/>
    <w:basedOn w:val="Normal"/>
    <w:rsid w:val="00193733"/>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7">
    <w:name w:val="xl207"/>
    <w:basedOn w:val="Normal"/>
    <w:rsid w:val="00193733"/>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8">
    <w:name w:val="xl208"/>
    <w:basedOn w:val="Normal"/>
    <w:rsid w:val="00193733"/>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209">
    <w:name w:val="xl209"/>
    <w:basedOn w:val="Normal"/>
    <w:rsid w:val="00193733"/>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10">
    <w:name w:val="xl210"/>
    <w:basedOn w:val="Normal"/>
    <w:rsid w:val="001937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11">
    <w:name w:val="xl211"/>
    <w:basedOn w:val="Normal"/>
    <w:rsid w:val="001937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2">
    <w:name w:val="xl212"/>
    <w:basedOn w:val="Normal"/>
    <w:rsid w:val="00193733"/>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3">
    <w:name w:val="xl213"/>
    <w:basedOn w:val="Normal"/>
    <w:rsid w:val="00193733"/>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4">
    <w:name w:val="xl214"/>
    <w:basedOn w:val="Normal"/>
    <w:rsid w:val="00193733"/>
    <w:pPr>
      <w:pBdr>
        <w:top w:val="single" w:sz="8"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5">
    <w:name w:val="xl215"/>
    <w:basedOn w:val="Normal"/>
    <w:rsid w:val="0019373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16">
    <w:name w:val="xl216"/>
    <w:basedOn w:val="Normal"/>
    <w:rsid w:val="0019373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217">
    <w:name w:val="xl217"/>
    <w:basedOn w:val="Normal"/>
    <w:rsid w:val="0019373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18">
    <w:name w:val="xl218"/>
    <w:basedOn w:val="Normal"/>
    <w:rsid w:val="0019373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19">
    <w:name w:val="xl219"/>
    <w:basedOn w:val="Normal"/>
    <w:rsid w:val="0019373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20">
    <w:name w:val="xl220"/>
    <w:basedOn w:val="Normal"/>
    <w:rsid w:val="0019373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1">
    <w:name w:val="xl221"/>
    <w:basedOn w:val="Normal"/>
    <w:rsid w:val="0019373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2">
    <w:name w:val="xl222"/>
    <w:basedOn w:val="Normal"/>
    <w:rsid w:val="0019373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3">
    <w:name w:val="xl223"/>
    <w:basedOn w:val="Normal"/>
    <w:rsid w:val="00193733"/>
    <w:pPr>
      <w:pBdr>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24">
    <w:name w:val="xl224"/>
    <w:basedOn w:val="Normal"/>
    <w:rsid w:val="00193733"/>
    <w:pPr>
      <w:pBdr>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25">
    <w:name w:val="xl225"/>
    <w:basedOn w:val="Normal"/>
    <w:rsid w:val="00193733"/>
    <w:pPr>
      <w:pBdr>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26">
    <w:name w:val="xl226"/>
    <w:basedOn w:val="Normal"/>
    <w:rsid w:val="00193733"/>
    <w:pPr>
      <w:pBdr>
        <w:left w:val="single" w:sz="4" w:space="0" w:color="auto"/>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27">
    <w:name w:val="xl227"/>
    <w:basedOn w:val="Normal"/>
    <w:rsid w:val="0019373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28">
    <w:name w:val="xl228"/>
    <w:basedOn w:val="Normal"/>
    <w:rsid w:val="0019373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9">
    <w:name w:val="xl229"/>
    <w:basedOn w:val="Normal"/>
    <w:rsid w:val="00193733"/>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30">
    <w:name w:val="xl230"/>
    <w:basedOn w:val="Normal"/>
    <w:rsid w:val="00193733"/>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31">
    <w:name w:val="xl231"/>
    <w:basedOn w:val="Normal"/>
    <w:rsid w:val="00193733"/>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32">
    <w:name w:val="xl232"/>
    <w:basedOn w:val="Normal"/>
    <w:rsid w:val="00193733"/>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33">
    <w:name w:val="xl233"/>
    <w:basedOn w:val="Normal"/>
    <w:rsid w:val="00193733"/>
    <w:pPr>
      <w:pBdr>
        <w:top w:val="single" w:sz="8" w:space="0" w:color="auto"/>
        <w:bottom w:val="single" w:sz="4"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234">
    <w:name w:val="xl234"/>
    <w:basedOn w:val="Normal"/>
    <w:rsid w:val="0019373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5">
    <w:name w:val="xl235"/>
    <w:basedOn w:val="Normal"/>
    <w:rsid w:val="00193733"/>
    <w:pPr>
      <w:pBdr>
        <w:lef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6">
    <w:name w:val="xl236"/>
    <w:basedOn w:val="Normal"/>
    <w:rsid w:val="00193733"/>
    <w:pPr>
      <w:pBdr>
        <w:left w:val="single" w:sz="8" w:space="0" w:color="auto"/>
        <w:bottom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7">
    <w:name w:val="xl237"/>
    <w:basedOn w:val="Normal"/>
    <w:rsid w:val="00193733"/>
    <w:pPr>
      <w:pBdr>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8">
    <w:name w:val="xl238"/>
    <w:basedOn w:val="Normal"/>
    <w:rsid w:val="001937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9">
    <w:name w:val="xl239"/>
    <w:basedOn w:val="Normal"/>
    <w:rsid w:val="00193733"/>
    <w:pPr>
      <w:pBdr>
        <w:bottom w:val="single" w:sz="8" w:space="0" w:color="auto"/>
      </w:pBdr>
      <w:shd w:val="clear" w:color="000000" w:fill="B4C6E7"/>
      <w:spacing w:before="100" w:beforeAutospacing="1" w:after="100" w:afterAutospacing="1" w:line="240" w:lineRule="auto"/>
      <w:jc w:val="center"/>
      <w:textAlignment w:val="center"/>
    </w:pPr>
    <w:rPr>
      <w:rFonts w:ascii="Calibri" w:eastAsia="Times New Roman" w:hAnsi="Calibri" w:cs="Calibri"/>
      <w:b/>
      <w:bCs/>
      <w:i/>
      <w:iCs/>
      <w:sz w:val="28"/>
      <w:szCs w:val="28"/>
    </w:rPr>
  </w:style>
  <w:style w:type="paragraph" w:customStyle="1" w:styleId="xl240">
    <w:name w:val="xl240"/>
    <w:basedOn w:val="Normal"/>
    <w:rsid w:val="00193733"/>
    <w:pPr>
      <w:pBdr>
        <w:bottom w:val="single" w:sz="12" w:space="0" w:color="5B9BD5"/>
      </w:pBdr>
      <w:shd w:val="clear" w:color="000000" w:fill="DDEBF7"/>
      <w:spacing w:before="100" w:beforeAutospacing="1" w:after="100" w:afterAutospacing="1" w:line="240" w:lineRule="auto"/>
      <w:jc w:val="center"/>
      <w:textAlignment w:val="center"/>
    </w:pPr>
    <w:rPr>
      <w:rFonts w:ascii="Calibri" w:eastAsia="Times New Roman" w:hAnsi="Calibri" w:cs="Calibri"/>
      <w:b/>
      <w:bCs/>
      <w:i/>
      <w:iCs/>
      <w:color w:val="44546A"/>
      <w:sz w:val="30"/>
      <w:szCs w:val="30"/>
    </w:rPr>
  </w:style>
  <w:style w:type="paragraph" w:customStyle="1" w:styleId="xl241">
    <w:name w:val="xl241"/>
    <w:basedOn w:val="Normal"/>
    <w:rsid w:val="001937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2">
    <w:name w:val="xl242"/>
    <w:basedOn w:val="Normal"/>
    <w:rsid w:val="00193733"/>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3">
    <w:name w:val="xl243"/>
    <w:basedOn w:val="Normal"/>
    <w:rsid w:val="0019373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44">
    <w:name w:val="xl244"/>
    <w:basedOn w:val="Normal"/>
    <w:rsid w:val="00193733"/>
    <w:pPr>
      <w:pBdr>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45">
    <w:name w:val="xl245"/>
    <w:basedOn w:val="Normal"/>
    <w:rsid w:val="001937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46">
    <w:name w:val="xl246"/>
    <w:basedOn w:val="Normal"/>
    <w:rsid w:val="00193733"/>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7">
    <w:name w:val="xl247"/>
    <w:basedOn w:val="Normal"/>
    <w:rsid w:val="00193733"/>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8">
    <w:name w:val="xl248"/>
    <w:basedOn w:val="Normal"/>
    <w:rsid w:val="00193733"/>
    <w:pPr>
      <w:pBdr>
        <w:top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9">
    <w:name w:val="xl249"/>
    <w:basedOn w:val="Normal"/>
    <w:rsid w:val="00193733"/>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50">
    <w:name w:val="xl250"/>
    <w:basedOn w:val="Normal"/>
    <w:rsid w:val="00193733"/>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1">
    <w:name w:val="xl251"/>
    <w:basedOn w:val="Normal"/>
    <w:rsid w:val="00193733"/>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2">
    <w:name w:val="xl252"/>
    <w:basedOn w:val="Normal"/>
    <w:rsid w:val="00193733"/>
    <w:pPr>
      <w:pBdr>
        <w:top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3">
    <w:name w:val="xl253"/>
    <w:basedOn w:val="Normal"/>
    <w:rsid w:val="00193733"/>
    <w:pPr>
      <w:pBdr>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4">
    <w:name w:val="xl254"/>
    <w:basedOn w:val="Normal"/>
    <w:rsid w:val="0019373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5">
    <w:name w:val="xl255"/>
    <w:basedOn w:val="Normal"/>
    <w:rsid w:val="00193733"/>
    <w:pPr>
      <w:pBdr>
        <w:top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6">
    <w:name w:val="xl256"/>
    <w:basedOn w:val="Normal"/>
    <w:rsid w:val="00193733"/>
    <w:pPr>
      <w:pBdr>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7">
    <w:name w:val="xl257"/>
    <w:basedOn w:val="Normal"/>
    <w:rsid w:val="00193733"/>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8">
    <w:name w:val="xl258"/>
    <w:basedOn w:val="Normal"/>
    <w:rsid w:val="00193733"/>
    <w:pPr>
      <w:pBdr>
        <w:top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59">
    <w:name w:val="xl259"/>
    <w:basedOn w:val="Normal"/>
    <w:rsid w:val="00193733"/>
    <w:pPr>
      <w:pBdr>
        <w:top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260">
    <w:name w:val="xl260"/>
    <w:basedOn w:val="Normal"/>
    <w:rsid w:val="00193733"/>
    <w:pPr>
      <w:pBdr>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1">
    <w:name w:val="xl261"/>
    <w:basedOn w:val="Normal"/>
    <w:rsid w:val="00193733"/>
    <w:pPr>
      <w:pBdr>
        <w:top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2">
    <w:name w:val="xl262"/>
    <w:basedOn w:val="Normal"/>
    <w:rsid w:val="0019373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3">
    <w:name w:val="xl263"/>
    <w:basedOn w:val="Normal"/>
    <w:rsid w:val="00193733"/>
    <w:pPr>
      <w:pBdr>
        <w:top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4">
    <w:name w:val="xl264"/>
    <w:basedOn w:val="Normal"/>
    <w:rsid w:val="00193733"/>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5">
    <w:name w:val="xl265"/>
    <w:basedOn w:val="Normal"/>
    <w:rsid w:val="00193733"/>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66">
    <w:name w:val="xl266"/>
    <w:basedOn w:val="Normal"/>
    <w:rsid w:val="00193733"/>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67">
    <w:name w:val="xl267"/>
    <w:basedOn w:val="Normal"/>
    <w:rsid w:val="00193733"/>
    <w:pPr>
      <w:pBdr>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8">
    <w:name w:val="xl268"/>
    <w:basedOn w:val="Normal"/>
    <w:rsid w:val="00193733"/>
    <w:pPr>
      <w:pBdr>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table" w:customStyle="1" w:styleId="TableGridLight1">
    <w:name w:val="Table Grid Light1"/>
    <w:basedOn w:val="TableNormal"/>
    <w:uiPriority w:val="40"/>
    <w:rsid w:val="00193733"/>
    <w:pPr>
      <w:spacing w:after="0" w:line="240" w:lineRule="auto"/>
    </w:pPr>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TableNormal"/>
    <w:uiPriority w:val="49"/>
    <w:rsid w:val="00193733"/>
    <w:pPr>
      <w:spacing w:after="0" w:line="240" w:lineRule="auto"/>
    </w:pPr>
    <w:rPr>
      <w:rFonts w:eastAsia="SimSu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l63">
    <w:name w:val="xl63"/>
    <w:basedOn w:val="Normal"/>
    <w:rsid w:val="00537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37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37CE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537CE8"/>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GridTable5Dark-Accent51">
    <w:name w:val="Grid Table 5 Dark - Accent 51"/>
    <w:basedOn w:val="TableNormal"/>
    <w:uiPriority w:val="50"/>
    <w:rsid w:val="00754C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FontStyle14">
    <w:name w:val="Font Style14"/>
    <w:basedOn w:val="DefaultParagraphFont"/>
    <w:uiPriority w:val="99"/>
    <w:rsid w:val="0052287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561">
      <w:bodyDiv w:val="1"/>
      <w:marLeft w:val="0"/>
      <w:marRight w:val="0"/>
      <w:marTop w:val="0"/>
      <w:marBottom w:val="0"/>
      <w:divBdr>
        <w:top w:val="none" w:sz="0" w:space="0" w:color="auto"/>
        <w:left w:val="none" w:sz="0" w:space="0" w:color="auto"/>
        <w:bottom w:val="none" w:sz="0" w:space="0" w:color="auto"/>
        <w:right w:val="none" w:sz="0" w:space="0" w:color="auto"/>
      </w:divBdr>
    </w:div>
    <w:div w:id="13771207">
      <w:bodyDiv w:val="1"/>
      <w:marLeft w:val="0"/>
      <w:marRight w:val="0"/>
      <w:marTop w:val="0"/>
      <w:marBottom w:val="0"/>
      <w:divBdr>
        <w:top w:val="none" w:sz="0" w:space="0" w:color="auto"/>
        <w:left w:val="none" w:sz="0" w:space="0" w:color="auto"/>
        <w:bottom w:val="none" w:sz="0" w:space="0" w:color="auto"/>
        <w:right w:val="none" w:sz="0" w:space="0" w:color="auto"/>
      </w:divBdr>
    </w:div>
    <w:div w:id="39012463">
      <w:bodyDiv w:val="1"/>
      <w:marLeft w:val="0"/>
      <w:marRight w:val="0"/>
      <w:marTop w:val="0"/>
      <w:marBottom w:val="0"/>
      <w:divBdr>
        <w:top w:val="none" w:sz="0" w:space="0" w:color="auto"/>
        <w:left w:val="none" w:sz="0" w:space="0" w:color="auto"/>
        <w:bottom w:val="none" w:sz="0" w:space="0" w:color="auto"/>
        <w:right w:val="none" w:sz="0" w:space="0" w:color="auto"/>
      </w:divBdr>
    </w:div>
    <w:div w:id="49378460">
      <w:bodyDiv w:val="1"/>
      <w:marLeft w:val="0"/>
      <w:marRight w:val="0"/>
      <w:marTop w:val="0"/>
      <w:marBottom w:val="0"/>
      <w:divBdr>
        <w:top w:val="none" w:sz="0" w:space="0" w:color="auto"/>
        <w:left w:val="none" w:sz="0" w:space="0" w:color="auto"/>
        <w:bottom w:val="none" w:sz="0" w:space="0" w:color="auto"/>
        <w:right w:val="none" w:sz="0" w:space="0" w:color="auto"/>
      </w:divBdr>
    </w:div>
    <w:div w:id="53167813">
      <w:bodyDiv w:val="1"/>
      <w:marLeft w:val="0"/>
      <w:marRight w:val="0"/>
      <w:marTop w:val="0"/>
      <w:marBottom w:val="0"/>
      <w:divBdr>
        <w:top w:val="none" w:sz="0" w:space="0" w:color="auto"/>
        <w:left w:val="none" w:sz="0" w:space="0" w:color="auto"/>
        <w:bottom w:val="none" w:sz="0" w:space="0" w:color="auto"/>
        <w:right w:val="none" w:sz="0" w:space="0" w:color="auto"/>
      </w:divBdr>
    </w:div>
    <w:div w:id="63527790">
      <w:bodyDiv w:val="1"/>
      <w:marLeft w:val="0"/>
      <w:marRight w:val="0"/>
      <w:marTop w:val="0"/>
      <w:marBottom w:val="0"/>
      <w:divBdr>
        <w:top w:val="none" w:sz="0" w:space="0" w:color="auto"/>
        <w:left w:val="none" w:sz="0" w:space="0" w:color="auto"/>
        <w:bottom w:val="none" w:sz="0" w:space="0" w:color="auto"/>
        <w:right w:val="none" w:sz="0" w:space="0" w:color="auto"/>
      </w:divBdr>
    </w:div>
    <w:div w:id="85007986">
      <w:bodyDiv w:val="1"/>
      <w:marLeft w:val="0"/>
      <w:marRight w:val="0"/>
      <w:marTop w:val="0"/>
      <w:marBottom w:val="0"/>
      <w:divBdr>
        <w:top w:val="none" w:sz="0" w:space="0" w:color="auto"/>
        <w:left w:val="none" w:sz="0" w:space="0" w:color="auto"/>
        <w:bottom w:val="none" w:sz="0" w:space="0" w:color="auto"/>
        <w:right w:val="none" w:sz="0" w:space="0" w:color="auto"/>
      </w:divBdr>
    </w:div>
    <w:div w:id="87577625">
      <w:bodyDiv w:val="1"/>
      <w:marLeft w:val="0"/>
      <w:marRight w:val="0"/>
      <w:marTop w:val="0"/>
      <w:marBottom w:val="0"/>
      <w:divBdr>
        <w:top w:val="none" w:sz="0" w:space="0" w:color="auto"/>
        <w:left w:val="none" w:sz="0" w:space="0" w:color="auto"/>
        <w:bottom w:val="none" w:sz="0" w:space="0" w:color="auto"/>
        <w:right w:val="none" w:sz="0" w:space="0" w:color="auto"/>
      </w:divBdr>
    </w:div>
    <w:div w:id="98960909">
      <w:bodyDiv w:val="1"/>
      <w:marLeft w:val="0"/>
      <w:marRight w:val="0"/>
      <w:marTop w:val="0"/>
      <w:marBottom w:val="0"/>
      <w:divBdr>
        <w:top w:val="none" w:sz="0" w:space="0" w:color="auto"/>
        <w:left w:val="none" w:sz="0" w:space="0" w:color="auto"/>
        <w:bottom w:val="none" w:sz="0" w:space="0" w:color="auto"/>
        <w:right w:val="none" w:sz="0" w:space="0" w:color="auto"/>
      </w:divBdr>
    </w:div>
    <w:div w:id="99759769">
      <w:bodyDiv w:val="1"/>
      <w:marLeft w:val="0"/>
      <w:marRight w:val="0"/>
      <w:marTop w:val="0"/>
      <w:marBottom w:val="0"/>
      <w:divBdr>
        <w:top w:val="none" w:sz="0" w:space="0" w:color="auto"/>
        <w:left w:val="none" w:sz="0" w:space="0" w:color="auto"/>
        <w:bottom w:val="none" w:sz="0" w:space="0" w:color="auto"/>
        <w:right w:val="none" w:sz="0" w:space="0" w:color="auto"/>
      </w:divBdr>
    </w:div>
    <w:div w:id="111442781">
      <w:bodyDiv w:val="1"/>
      <w:marLeft w:val="0"/>
      <w:marRight w:val="0"/>
      <w:marTop w:val="0"/>
      <w:marBottom w:val="0"/>
      <w:divBdr>
        <w:top w:val="none" w:sz="0" w:space="0" w:color="auto"/>
        <w:left w:val="none" w:sz="0" w:space="0" w:color="auto"/>
        <w:bottom w:val="none" w:sz="0" w:space="0" w:color="auto"/>
        <w:right w:val="none" w:sz="0" w:space="0" w:color="auto"/>
      </w:divBdr>
    </w:div>
    <w:div w:id="143202760">
      <w:bodyDiv w:val="1"/>
      <w:marLeft w:val="0"/>
      <w:marRight w:val="0"/>
      <w:marTop w:val="0"/>
      <w:marBottom w:val="0"/>
      <w:divBdr>
        <w:top w:val="none" w:sz="0" w:space="0" w:color="auto"/>
        <w:left w:val="none" w:sz="0" w:space="0" w:color="auto"/>
        <w:bottom w:val="none" w:sz="0" w:space="0" w:color="auto"/>
        <w:right w:val="none" w:sz="0" w:space="0" w:color="auto"/>
      </w:divBdr>
    </w:div>
    <w:div w:id="146677781">
      <w:bodyDiv w:val="1"/>
      <w:marLeft w:val="0"/>
      <w:marRight w:val="0"/>
      <w:marTop w:val="0"/>
      <w:marBottom w:val="0"/>
      <w:divBdr>
        <w:top w:val="none" w:sz="0" w:space="0" w:color="auto"/>
        <w:left w:val="none" w:sz="0" w:space="0" w:color="auto"/>
        <w:bottom w:val="none" w:sz="0" w:space="0" w:color="auto"/>
        <w:right w:val="none" w:sz="0" w:space="0" w:color="auto"/>
      </w:divBdr>
    </w:div>
    <w:div w:id="160509180">
      <w:bodyDiv w:val="1"/>
      <w:marLeft w:val="0"/>
      <w:marRight w:val="0"/>
      <w:marTop w:val="0"/>
      <w:marBottom w:val="0"/>
      <w:divBdr>
        <w:top w:val="none" w:sz="0" w:space="0" w:color="auto"/>
        <w:left w:val="none" w:sz="0" w:space="0" w:color="auto"/>
        <w:bottom w:val="none" w:sz="0" w:space="0" w:color="auto"/>
        <w:right w:val="none" w:sz="0" w:space="0" w:color="auto"/>
      </w:divBdr>
    </w:div>
    <w:div w:id="173229060">
      <w:bodyDiv w:val="1"/>
      <w:marLeft w:val="0"/>
      <w:marRight w:val="0"/>
      <w:marTop w:val="0"/>
      <w:marBottom w:val="0"/>
      <w:divBdr>
        <w:top w:val="none" w:sz="0" w:space="0" w:color="auto"/>
        <w:left w:val="none" w:sz="0" w:space="0" w:color="auto"/>
        <w:bottom w:val="none" w:sz="0" w:space="0" w:color="auto"/>
        <w:right w:val="none" w:sz="0" w:space="0" w:color="auto"/>
      </w:divBdr>
    </w:div>
    <w:div w:id="180751561">
      <w:bodyDiv w:val="1"/>
      <w:marLeft w:val="0"/>
      <w:marRight w:val="0"/>
      <w:marTop w:val="0"/>
      <w:marBottom w:val="0"/>
      <w:divBdr>
        <w:top w:val="none" w:sz="0" w:space="0" w:color="auto"/>
        <w:left w:val="none" w:sz="0" w:space="0" w:color="auto"/>
        <w:bottom w:val="none" w:sz="0" w:space="0" w:color="auto"/>
        <w:right w:val="none" w:sz="0" w:space="0" w:color="auto"/>
      </w:divBdr>
    </w:div>
    <w:div w:id="200241581">
      <w:bodyDiv w:val="1"/>
      <w:marLeft w:val="0"/>
      <w:marRight w:val="0"/>
      <w:marTop w:val="0"/>
      <w:marBottom w:val="0"/>
      <w:divBdr>
        <w:top w:val="none" w:sz="0" w:space="0" w:color="auto"/>
        <w:left w:val="none" w:sz="0" w:space="0" w:color="auto"/>
        <w:bottom w:val="none" w:sz="0" w:space="0" w:color="auto"/>
        <w:right w:val="none" w:sz="0" w:space="0" w:color="auto"/>
      </w:divBdr>
    </w:div>
    <w:div w:id="220101287">
      <w:bodyDiv w:val="1"/>
      <w:marLeft w:val="0"/>
      <w:marRight w:val="0"/>
      <w:marTop w:val="0"/>
      <w:marBottom w:val="0"/>
      <w:divBdr>
        <w:top w:val="none" w:sz="0" w:space="0" w:color="auto"/>
        <w:left w:val="none" w:sz="0" w:space="0" w:color="auto"/>
        <w:bottom w:val="none" w:sz="0" w:space="0" w:color="auto"/>
        <w:right w:val="none" w:sz="0" w:space="0" w:color="auto"/>
      </w:divBdr>
    </w:div>
    <w:div w:id="226302260">
      <w:bodyDiv w:val="1"/>
      <w:marLeft w:val="0"/>
      <w:marRight w:val="0"/>
      <w:marTop w:val="0"/>
      <w:marBottom w:val="0"/>
      <w:divBdr>
        <w:top w:val="none" w:sz="0" w:space="0" w:color="auto"/>
        <w:left w:val="none" w:sz="0" w:space="0" w:color="auto"/>
        <w:bottom w:val="none" w:sz="0" w:space="0" w:color="auto"/>
        <w:right w:val="none" w:sz="0" w:space="0" w:color="auto"/>
      </w:divBdr>
    </w:div>
    <w:div w:id="226500551">
      <w:bodyDiv w:val="1"/>
      <w:marLeft w:val="0"/>
      <w:marRight w:val="0"/>
      <w:marTop w:val="0"/>
      <w:marBottom w:val="0"/>
      <w:divBdr>
        <w:top w:val="none" w:sz="0" w:space="0" w:color="auto"/>
        <w:left w:val="none" w:sz="0" w:space="0" w:color="auto"/>
        <w:bottom w:val="none" w:sz="0" w:space="0" w:color="auto"/>
        <w:right w:val="none" w:sz="0" w:space="0" w:color="auto"/>
      </w:divBdr>
    </w:div>
    <w:div w:id="233710940">
      <w:bodyDiv w:val="1"/>
      <w:marLeft w:val="0"/>
      <w:marRight w:val="0"/>
      <w:marTop w:val="0"/>
      <w:marBottom w:val="0"/>
      <w:divBdr>
        <w:top w:val="none" w:sz="0" w:space="0" w:color="auto"/>
        <w:left w:val="none" w:sz="0" w:space="0" w:color="auto"/>
        <w:bottom w:val="none" w:sz="0" w:space="0" w:color="auto"/>
        <w:right w:val="none" w:sz="0" w:space="0" w:color="auto"/>
      </w:divBdr>
    </w:div>
    <w:div w:id="237054769">
      <w:bodyDiv w:val="1"/>
      <w:marLeft w:val="0"/>
      <w:marRight w:val="0"/>
      <w:marTop w:val="0"/>
      <w:marBottom w:val="0"/>
      <w:divBdr>
        <w:top w:val="none" w:sz="0" w:space="0" w:color="auto"/>
        <w:left w:val="none" w:sz="0" w:space="0" w:color="auto"/>
        <w:bottom w:val="none" w:sz="0" w:space="0" w:color="auto"/>
        <w:right w:val="none" w:sz="0" w:space="0" w:color="auto"/>
      </w:divBdr>
    </w:div>
    <w:div w:id="244610722">
      <w:bodyDiv w:val="1"/>
      <w:marLeft w:val="0"/>
      <w:marRight w:val="0"/>
      <w:marTop w:val="0"/>
      <w:marBottom w:val="0"/>
      <w:divBdr>
        <w:top w:val="none" w:sz="0" w:space="0" w:color="auto"/>
        <w:left w:val="none" w:sz="0" w:space="0" w:color="auto"/>
        <w:bottom w:val="none" w:sz="0" w:space="0" w:color="auto"/>
        <w:right w:val="none" w:sz="0" w:space="0" w:color="auto"/>
      </w:divBdr>
    </w:div>
    <w:div w:id="256058846">
      <w:bodyDiv w:val="1"/>
      <w:marLeft w:val="0"/>
      <w:marRight w:val="0"/>
      <w:marTop w:val="0"/>
      <w:marBottom w:val="0"/>
      <w:divBdr>
        <w:top w:val="none" w:sz="0" w:space="0" w:color="auto"/>
        <w:left w:val="none" w:sz="0" w:space="0" w:color="auto"/>
        <w:bottom w:val="none" w:sz="0" w:space="0" w:color="auto"/>
        <w:right w:val="none" w:sz="0" w:space="0" w:color="auto"/>
      </w:divBdr>
    </w:div>
    <w:div w:id="260375486">
      <w:bodyDiv w:val="1"/>
      <w:marLeft w:val="0"/>
      <w:marRight w:val="0"/>
      <w:marTop w:val="0"/>
      <w:marBottom w:val="0"/>
      <w:divBdr>
        <w:top w:val="none" w:sz="0" w:space="0" w:color="auto"/>
        <w:left w:val="none" w:sz="0" w:space="0" w:color="auto"/>
        <w:bottom w:val="none" w:sz="0" w:space="0" w:color="auto"/>
        <w:right w:val="none" w:sz="0" w:space="0" w:color="auto"/>
      </w:divBdr>
    </w:div>
    <w:div w:id="270823300">
      <w:bodyDiv w:val="1"/>
      <w:marLeft w:val="0"/>
      <w:marRight w:val="0"/>
      <w:marTop w:val="0"/>
      <w:marBottom w:val="0"/>
      <w:divBdr>
        <w:top w:val="none" w:sz="0" w:space="0" w:color="auto"/>
        <w:left w:val="none" w:sz="0" w:space="0" w:color="auto"/>
        <w:bottom w:val="none" w:sz="0" w:space="0" w:color="auto"/>
        <w:right w:val="none" w:sz="0" w:space="0" w:color="auto"/>
      </w:divBdr>
    </w:div>
    <w:div w:id="271744576">
      <w:bodyDiv w:val="1"/>
      <w:marLeft w:val="0"/>
      <w:marRight w:val="0"/>
      <w:marTop w:val="0"/>
      <w:marBottom w:val="0"/>
      <w:divBdr>
        <w:top w:val="none" w:sz="0" w:space="0" w:color="auto"/>
        <w:left w:val="none" w:sz="0" w:space="0" w:color="auto"/>
        <w:bottom w:val="none" w:sz="0" w:space="0" w:color="auto"/>
        <w:right w:val="none" w:sz="0" w:space="0" w:color="auto"/>
      </w:divBdr>
    </w:div>
    <w:div w:id="273251454">
      <w:bodyDiv w:val="1"/>
      <w:marLeft w:val="0"/>
      <w:marRight w:val="0"/>
      <w:marTop w:val="0"/>
      <w:marBottom w:val="0"/>
      <w:divBdr>
        <w:top w:val="none" w:sz="0" w:space="0" w:color="auto"/>
        <w:left w:val="none" w:sz="0" w:space="0" w:color="auto"/>
        <w:bottom w:val="none" w:sz="0" w:space="0" w:color="auto"/>
        <w:right w:val="none" w:sz="0" w:space="0" w:color="auto"/>
      </w:divBdr>
    </w:div>
    <w:div w:id="279461063">
      <w:bodyDiv w:val="1"/>
      <w:marLeft w:val="0"/>
      <w:marRight w:val="0"/>
      <w:marTop w:val="0"/>
      <w:marBottom w:val="0"/>
      <w:divBdr>
        <w:top w:val="none" w:sz="0" w:space="0" w:color="auto"/>
        <w:left w:val="none" w:sz="0" w:space="0" w:color="auto"/>
        <w:bottom w:val="none" w:sz="0" w:space="0" w:color="auto"/>
        <w:right w:val="none" w:sz="0" w:space="0" w:color="auto"/>
      </w:divBdr>
    </w:div>
    <w:div w:id="288165124">
      <w:bodyDiv w:val="1"/>
      <w:marLeft w:val="0"/>
      <w:marRight w:val="0"/>
      <w:marTop w:val="0"/>
      <w:marBottom w:val="0"/>
      <w:divBdr>
        <w:top w:val="none" w:sz="0" w:space="0" w:color="auto"/>
        <w:left w:val="none" w:sz="0" w:space="0" w:color="auto"/>
        <w:bottom w:val="none" w:sz="0" w:space="0" w:color="auto"/>
        <w:right w:val="none" w:sz="0" w:space="0" w:color="auto"/>
      </w:divBdr>
    </w:div>
    <w:div w:id="289559202">
      <w:bodyDiv w:val="1"/>
      <w:marLeft w:val="0"/>
      <w:marRight w:val="0"/>
      <w:marTop w:val="0"/>
      <w:marBottom w:val="0"/>
      <w:divBdr>
        <w:top w:val="none" w:sz="0" w:space="0" w:color="auto"/>
        <w:left w:val="none" w:sz="0" w:space="0" w:color="auto"/>
        <w:bottom w:val="none" w:sz="0" w:space="0" w:color="auto"/>
        <w:right w:val="none" w:sz="0" w:space="0" w:color="auto"/>
      </w:divBdr>
    </w:div>
    <w:div w:id="298539979">
      <w:bodyDiv w:val="1"/>
      <w:marLeft w:val="0"/>
      <w:marRight w:val="0"/>
      <w:marTop w:val="0"/>
      <w:marBottom w:val="0"/>
      <w:divBdr>
        <w:top w:val="none" w:sz="0" w:space="0" w:color="auto"/>
        <w:left w:val="none" w:sz="0" w:space="0" w:color="auto"/>
        <w:bottom w:val="none" w:sz="0" w:space="0" w:color="auto"/>
        <w:right w:val="none" w:sz="0" w:space="0" w:color="auto"/>
      </w:divBdr>
    </w:div>
    <w:div w:id="305549991">
      <w:bodyDiv w:val="1"/>
      <w:marLeft w:val="0"/>
      <w:marRight w:val="0"/>
      <w:marTop w:val="0"/>
      <w:marBottom w:val="0"/>
      <w:divBdr>
        <w:top w:val="none" w:sz="0" w:space="0" w:color="auto"/>
        <w:left w:val="none" w:sz="0" w:space="0" w:color="auto"/>
        <w:bottom w:val="none" w:sz="0" w:space="0" w:color="auto"/>
        <w:right w:val="none" w:sz="0" w:space="0" w:color="auto"/>
      </w:divBdr>
    </w:div>
    <w:div w:id="306857503">
      <w:bodyDiv w:val="1"/>
      <w:marLeft w:val="0"/>
      <w:marRight w:val="0"/>
      <w:marTop w:val="0"/>
      <w:marBottom w:val="0"/>
      <w:divBdr>
        <w:top w:val="none" w:sz="0" w:space="0" w:color="auto"/>
        <w:left w:val="none" w:sz="0" w:space="0" w:color="auto"/>
        <w:bottom w:val="none" w:sz="0" w:space="0" w:color="auto"/>
        <w:right w:val="none" w:sz="0" w:space="0" w:color="auto"/>
      </w:divBdr>
    </w:div>
    <w:div w:id="329522842">
      <w:bodyDiv w:val="1"/>
      <w:marLeft w:val="0"/>
      <w:marRight w:val="0"/>
      <w:marTop w:val="0"/>
      <w:marBottom w:val="0"/>
      <w:divBdr>
        <w:top w:val="none" w:sz="0" w:space="0" w:color="auto"/>
        <w:left w:val="none" w:sz="0" w:space="0" w:color="auto"/>
        <w:bottom w:val="none" w:sz="0" w:space="0" w:color="auto"/>
        <w:right w:val="none" w:sz="0" w:space="0" w:color="auto"/>
      </w:divBdr>
    </w:div>
    <w:div w:id="336887487">
      <w:bodyDiv w:val="1"/>
      <w:marLeft w:val="0"/>
      <w:marRight w:val="0"/>
      <w:marTop w:val="0"/>
      <w:marBottom w:val="0"/>
      <w:divBdr>
        <w:top w:val="none" w:sz="0" w:space="0" w:color="auto"/>
        <w:left w:val="none" w:sz="0" w:space="0" w:color="auto"/>
        <w:bottom w:val="none" w:sz="0" w:space="0" w:color="auto"/>
        <w:right w:val="none" w:sz="0" w:space="0" w:color="auto"/>
      </w:divBdr>
    </w:div>
    <w:div w:id="338314038">
      <w:bodyDiv w:val="1"/>
      <w:marLeft w:val="0"/>
      <w:marRight w:val="0"/>
      <w:marTop w:val="0"/>
      <w:marBottom w:val="0"/>
      <w:divBdr>
        <w:top w:val="none" w:sz="0" w:space="0" w:color="auto"/>
        <w:left w:val="none" w:sz="0" w:space="0" w:color="auto"/>
        <w:bottom w:val="none" w:sz="0" w:space="0" w:color="auto"/>
        <w:right w:val="none" w:sz="0" w:space="0" w:color="auto"/>
      </w:divBdr>
    </w:div>
    <w:div w:id="339697377">
      <w:bodyDiv w:val="1"/>
      <w:marLeft w:val="0"/>
      <w:marRight w:val="0"/>
      <w:marTop w:val="0"/>
      <w:marBottom w:val="0"/>
      <w:divBdr>
        <w:top w:val="none" w:sz="0" w:space="0" w:color="auto"/>
        <w:left w:val="none" w:sz="0" w:space="0" w:color="auto"/>
        <w:bottom w:val="none" w:sz="0" w:space="0" w:color="auto"/>
        <w:right w:val="none" w:sz="0" w:space="0" w:color="auto"/>
      </w:divBdr>
    </w:div>
    <w:div w:id="340859908">
      <w:bodyDiv w:val="1"/>
      <w:marLeft w:val="0"/>
      <w:marRight w:val="0"/>
      <w:marTop w:val="0"/>
      <w:marBottom w:val="0"/>
      <w:divBdr>
        <w:top w:val="none" w:sz="0" w:space="0" w:color="auto"/>
        <w:left w:val="none" w:sz="0" w:space="0" w:color="auto"/>
        <w:bottom w:val="none" w:sz="0" w:space="0" w:color="auto"/>
        <w:right w:val="none" w:sz="0" w:space="0" w:color="auto"/>
      </w:divBdr>
    </w:div>
    <w:div w:id="355232894">
      <w:bodyDiv w:val="1"/>
      <w:marLeft w:val="0"/>
      <w:marRight w:val="0"/>
      <w:marTop w:val="0"/>
      <w:marBottom w:val="0"/>
      <w:divBdr>
        <w:top w:val="none" w:sz="0" w:space="0" w:color="auto"/>
        <w:left w:val="none" w:sz="0" w:space="0" w:color="auto"/>
        <w:bottom w:val="none" w:sz="0" w:space="0" w:color="auto"/>
        <w:right w:val="none" w:sz="0" w:space="0" w:color="auto"/>
      </w:divBdr>
    </w:div>
    <w:div w:id="363290189">
      <w:bodyDiv w:val="1"/>
      <w:marLeft w:val="0"/>
      <w:marRight w:val="0"/>
      <w:marTop w:val="0"/>
      <w:marBottom w:val="0"/>
      <w:divBdr>
        <w:top w:val="none" w:sz="0" w:space="0" w:color="auto"/>
        <w:left w:val="none" w:sz="0" w:space="0" w:color="auto"/>
        <w:bottom w:val="none" w:sz="0" w:space="0" w:color="auto"/>
        <w:right w:val="none" w:sz="0" w:space="0" w:color="auto"/>
      </w:divBdr>
    </w:div>
    <w:div w:id="364142277">
      <w:bodyDiv w:val="1"/>
      <w:marLeft w:val="0"/>
      <w:marRight w:val="0"/>
      <w:marTop w:val="0"/>
      <w:marBottom w:val="0"/>
      <w:divBdr>
        <w:top w:val="none" w:sz="0" w:space="0" w:color="auto"/>
        <w:left w:val="none" w:sz="0" w:space="0" w:color="auto"/>
        <w:bottom w:val="none" w:sz="0" w:space="0" w:color="auto"/>
        <w:right w:val="none" w:sz="0" w:space="0" w:color="auto"/>
      </w:divBdr>
    </w:div>
    <w:div w:id="385498095">
      <w:bodyDiv w:val="1"/>
      <w:marLeft w:val="0"/>
      <w:marRight w:val="0"/>
      <w:marTop w:val="0"/>
      <w:marBottom w:val="0"/>
      <w:divBdr>
        <w:top w:val="none" w:sz="0" w:space="0" w:color="auto"/>
        <w:left w:val="none" w:sz="0" w:space="0" w:color="auto"/>
        <w:bottom w:val="none" w:sz="0" w:space="0" w:color="auto"/>
        <w:right w:val="none" w:sz="0" w:space="0" w:color="auto"/>
      </w:divBdr>
    </w:div>
    <w:div w:id="395396922">
      <w:bodyDiv w:val="1"/>
      <w:marLeft w:val="0"/>
      <w:marRight w:val="0"/>
      <w:marTop w:val="0"/>
      <w:marBottom w:val="0"/>
      <w:divBdr>
        <w:top w:val="none" w:sz="0" w:space="0" w:color="auto"/>
        <w:left w:val="none" w:sz="0" w:space="0" w:color="auto"/>
        <w:bottom w:val="none" w:sz="0" w:space="0" w:color="auto"/>
        <w:right w:val="none" w:sz="0" w:space="0" w:color="auto"/>
      </w:divBdr>
    </w:div>
    <w:div w:id="406683522">
      <w:bodyDiv w:val="1"/>
      <w:marLeft w:val="0"/>
      <w:marRight w:val="0"/>
      <w:marTop w:val="0"/>
      <w:marBottom w:val="0"/>
      <w:divBdr>
        <w:top w:val="none" w:sz="0" w:space="0" w:color="auto"/>
        <w:left w:val="none" w:sz="0" w:space="0" w:color="auto"/>
        <w:bottom w:val="none" w:sz="0" w:space="0" w:color="auto"/>
        <w:right w:val="none" w:sz="0" w:space="0" w:color="auto"/>
      </w:divBdr>
    </w:div>
    <w:div w:id="411204156">
      <w:bodyDiv w:val="1"/>
      <w:marLeft w:val="0"/>
      <w:marRight w:val="0"/>
      <w:marTop w:val="0"/>
      <w:marBottom w:val="0"/>
      <w:divBdr>
        <w:top w:val="none" w:sz="0" w:space="0" w:color="auto"/>
        <w:left w:val="none" w:sz="0" w:space="0" w:color="auto"/>
        <w:bottom w:val="none" w:sz="0" w:space="0" w:color="auto"/>
        <w:right w:val="none" w:sz="0" w:space="0" w:color="auto"/>
      </w:divBdr>
    </w:div>
    <w:div w:id="418648303">
      <w:bodyDiv w:val="1"/>
      <w:marLeft w:val="0"/>
      <w:marRight w:val="0"/>
      <w:marTop w:val="0"/>
      <w:marBottom w:val="0"/>
      <w:divBdr>
        <w:top w:val="none" w:sz="0" w:space="0" w:color="auto"/>
        <w:left w:val="none" w:sz="0" w:space="0" w:color="auto"/>
        <w:bottom w:val="none" w:sz="0" w:space="0" w:color="auto"/>
        <w:right w:val="none" w:sz="0" w:space="0" w:color="auto"/>
      </w:divBdr>
    </w:div>
    <w:div w:id="425424119">
      <w:bodyDiv w:val="1"/>
      <w:marLeft w:val="0"/>
      <w:marRight w:val="0"/>
      <w:marTop w:val="0"/>
      <w:marBottom w:val="0"/>
      <w:divBdr>
        <w:top w:val="none" w:sz="0" w:space="0" w:color="auto"/>
        <w:left w:val="none" w:sz="0" w:space="0" w:color="auto"/>
        <w:bottom w:val="none" w:sz="0" w:space="0" w:color="auto"/>
        <w:right w:val="none" w:sz="0" w:space="0" w:color="auto"/>
      </w:divBdr>
    </w:div>
    <w:div w:id="432941406">
      <w:bodyDiv w:val="1"/>
      <w:marLeft w:val="0"/>
      <w:marRight w:val="0"/>
      <w:marTop w:val="0"/>
      <w:marBottom w:val="0"/>
      <w:divBdr>
        <w:top w:val="none" w:sz="0" w:space="0" w:color="auto"/>
        <w:left w:val="none" w:sz="0" w:space="0" w:color="auto"/>
        <w:bottom w:val="none" w:sz="0" w:space="0" w:color="auto"/>
        <w:right w:val="none" w:sz="0" w:space="0" w:color="auto"/>
      </w:divBdr>
    </w:div>
    <w:div w:id="433087604">
      <w:bodyDiv w:val="1"/>
      <w:marLeft w:val="0"/>
      <w:marRight w:val="0"/>
      <w:marTop w:val="0"/>
      <w:marBottom w:val="0"/>
      <w:divBdr>
        <w:top w:val="none" w:sz="0" w:space="0" w:color="auto"/>
        <w:left w:val="none" w:sz="0" w:space="0" w:color="auto"/>
        <w:bottom w:val="none" w:sz="0" w:space="0" w:color="auto"/>
        <w:right w:val="none" w:sz="0" w:space="0" w:color="auto"/>
      </w:divBdr>
    </w:div>
    <w:div w:id="442305953">
      <w:bodyDiv w:val="1"/>
      <w:marLeft w:val="0"/>
      <w:marRight w:val="0"/>
      <w:marTop w:val="0"/>
      <w:marBottom w:val="0"/>
      <w:divBdr>
        <w:top w:val="none" w:sz="0" w:space="0" w:color="auto"/>
        <w:left w:val="none" w:sz="0" w:space="0" w:color="auto"/>
        <w:bottom w:val="none" w:sz="0" w:space="0" w:color="auto"/>
        <w:right w:val="none" w:sz="0" w:space="0" w:color="auto"/>
      </w:divBdr>
    </w:div>
    <w:div w:id="462040615">
      <w:bodyDiv w:val="1"/>
      <w:marLeft w:val="0"/>
      <w:marRight w:val="0"/>
      <w:marTop w:val="0"/>
      <w:marBottom w:val="0"/>
      <w:divBdr>
        <w:top w:val="none" w:sz="0" w:space="0" w:color="auto"/>
        <w:left w:val="none" w:sz="0" w:space="0" w:color="auto"/>
        <w:bottom w:val="none" w:sz="0" w:space="0" w:color="auto"/>
        <w:right w:val="none" w:sz="0" w:space="0" w:color="auto"/>
      </w:divBdr>
    </w:div>
    <w:div w:id="480074832">
      <w:bodyDiv w:val="1"/>
      <w:marLeft w:val="0"/>
      <w:marRight w:val="0"/>
      <w:marTop w:val="0"/>
      <w:marBottom w:val="0"/>
      <w:divBdr>
        <w:top w:val="none" w:sz="0" w:space="0" w:color="auto"/>
        <w:left w:val="none" w:sz="0" w:space="0" w:color="auto"/>
        <w:bottom w:val="none" w:sz="0" w:space="0" w:color="auto"/>
        <w:right w:val="none" w:sz="0" w:space="0" w:color="auto"/>
      </w:divBdr>
    </w:div>
    <w:div w:id="481389275">
      <w:bodyDiv w:val="1"/>
      <w:marLeft w:val="0"/>
      <w:marRight w:val="0"/>
      <w:marTop w:val="0"/>
      <w:marBottom w:val="0"/>
      <w:divBdr>
        <w:top w:val="none" w:sz="0" w:space="0" w:color="auto"/>
        <w:left w:val="none" w:sz="0" w:space="0" w:color="auto"/>
        <w:bottom w:val="none" w:sz="0" w:space="0" w:color="auto"/>
        <w:right w:val="none" w:sz="0" w:space="0" w:color="auto"/>
      </w:divBdr>
    </w:div>
    <w:div w:id="482282040">
      <w:bodyDiv w:val="1"/>
      <w:marLeft w:val="0"/>
      <w:marRight w:val="0"/>
      <w:marTop w:val="0"/>
      <w:marBottom w:val="0"/>
      <w:divBdr>
        <w:top w:val="none" w:sz="0" w:space="0" w:color="auto"/>
        <w:left w:val="none" w:sz="0" w:space="0" w:color="auto"/>
        <w:bottom w:val="none" w:sz="0" w:space="0" w:color="auto"/>
        <w:right w:val="none" w:sz="0" w:space="0" w:color="auto"/>
      </w:divBdr>
    </w:div>
    <w:div w:id="483549422">
      <w:bodyDiv w:val="1"/>
      <w:marLeft w:val="0"/>
      <w:marRight w:val="0"/>
      <w:marTop w:val="0"/>
      <w:marBottom w:val="0"/>
      <w:divBdr>
        <w:top w:val="none" w:sz="0" w:space="0" w:color="auto"/>
        <w:left w:val="none" w:sz="0" w:space="0" w:color="auto"/>
        <w:bottom w:val="none" w:sz="0" w:space="0" w:color="auto"/>
        <w:right w:val="none" w:sz="0" w:space="0" w:color="auto"/>
      </w:divBdr>
    </w:div>
    <w:div w:id="487211178">
      <w:bodyDiv w:val="1"/>
      <w:marLeft w:val="0"/>
      <w:marRight w:val="0"/>
      <w:marTop w:val="0"/>
      <w:marBottom w:val="0"/>
      <w:divBdr>
        <w:top w:val="none" w:sz="0" w:space="0" w:color="auto"/>
        <w:left w:val="none" w:sz="0" w:space="0" w:color="auto"/>
        <w:bottom w:val="none" w:sz="0" w:space="0" w:color="auto"/>
        <w:right w:val="none" w:sz="0" w:space="0" w:color="auto"/>
      </w:divBdr>
    </w:div>
    <w:div w:id="536507637">
      <w:bodyDiv w:val="1"/>
      <w:marLeft w:val="0"/>
      <w:marRight w:val="0"/>
      <w:marTop w:val="0"/>
      <w:marBottom w:val="0"/>
      <w:divBdr>
        <w:top w:val="none" w:sz="0" w:space="0" w:color="auto"/>
        <w:left w:val="none" w:sz="0" w:space="0" w:color="auto"/>
        <w:bottom w:val="none" w:sz="0" w:space="0" w:color="auto"/>
        <w:right w:val="none" w:sz="0" w:space="0" w:color="auto"/>
      </w:divBdr>
    </w:div>
    <w:div w:id="549027481">
      <w:bodyDiv w:val="1"/>
      <w:marLeft w:val="0"/>
      <w:marRight w:val="0"/>
      <w:marTop w:val="0"/>
      <w:marBottom w:val="0"/>
      <w:divBdr>
        <w:top w:val="none" w:sz="0" w:space="0" w:color="auto"/>
        <w:left w:val="none" w:sz="0" w:space="0" w:color="auto"/>
        <w:bottom w:val="none" w:sz="0" w:space="0" w:color="auto"/>
        <w:right w:val="none" w:sz="0" w:space="0" w:color="auto"/>
      </w:divBdr>
    </w:div>
    <w:div w:id="553856788">
      <w:bodyDiv w:val="1"/>
      <w:marLeft w:val="0"/>
      <w:marRight w:val="0"/>
      <w:marTop w:val="0"/>
      <w:marBottom w:val="0"/>
      <w:divBdr>
        <w:top w:val="none" w:sz="0" w:space="0" w:color="auto"/>
        <w:left w:val="none" w:sz="0" w:space="0" w:color="auto"/>
        <w:bottom w:val="none" w:sz="0" w:space="0" w:color="auto"/>
        <w:right w:val="none" w:sz="0" w:space="0" w:color="auto"/>
      </w:divBdr>
    </w:div>
    <w:div w:id="555438959">
      <w:bodyDiv w:val="1"/>
      <w:marLeft w:val="0"/>
      <w:marRight w:val="0"/>
      <w:marTop w:val="0"/>
      <w:marBottom w:val="0"/>
      <w:divBdr>
        <w:top w:val="none" w:sz="0" w:space="0" w:color="auto"/>
        <w:left w:val="none" w:sz="0" w:space="0" w:color="auto"/>
        <w:bottom w:val="none" w:sz="0" w:space="0" w:color="auto"/>
        <w:right w:val="none" w:sz="0" w:space="0" w:color="auto"/>
      </w:divBdr>
    </w:div>
    <w:div w:id="560556745">
      <w:bodyDiv w:val="1"/>
      <w:marLeft w:val="0"/>
      <w:marRight w:val="0"/>
      <w:marTop w:val="0"/>
      <w:marBottom w:val="0"/>
      <w:divBdr>
        <w:top w:val="none" w:sz="0" w:space="0" w:color="auto"/>
        <w:left w:val="none" w:sz="0" w:space="0" w:color="auto"/>
        <w:bottom w:val="none" w:sz="0" w:space="0" w:color="auto"/>
        <w:right w:val="none" w:sz="0" w:space="0" w:color="auto"/>
      </w:divBdr>
    </w:div>
    <w:div w:id="561527384">
      <w:bodyDiv w:val="1"/>
      <w:marLeft w:val="0"/>
      <w:marRight w:val="0"/>
      <w:marTop w:val="0"/>
      <w:marBottom w:val="0"/>
      <w:divBdr>
        <w:top w:val="none" w:sz="0" w:space="0" w:color="auto"/>
        <w:left w:val="none" w:sz="0" w:space="0" w:color="auto"/>
        <w:bottom w:val="none" w:sz="0" w:space="0" w:color="auto"/>
        <w:right w:val="none" w:sz="0" w:space="0" w:color="auto"/>
      </w:divBdr>
    </w:div>
    <w:div w:id="561870628">
      <w:bodyDiv w:val="1"/>
      <w:marLeft w:val="0"/>
      <w:marRight w:val="0"/>
      <w:marTop w:val="0"/>
      <w:marBottom w:val="0"/>
      <w:divBdr>
        <w:top w:val="none" w:sz="0" w:space="0" w:color="auto"/>
        <w:left w:val="none" w:sz="0" w:space="0" w:color="auto"/>
        <w:bottom w:val="none" w:sz="0" w:space="0" w:color="auto"/>
        <w:right w:val="none" w:sz="0" w:space="0" w:color="auto"/>
      </w:divBdr>
    </w:div>
    <w:div w:id="571812858">
      <w:bodyDiv w:val="1"/>
      <w:marLeft w:val="0"/>
      <w:marRight w:val="0"/>
      <w:marTop w:val="0"/>
      <w:marBottom w:val="0"/>
      <w:divBdr>
        <w:top w:val="none" w:sz="0" w:space="0" w:color="auto"/>
        <w:left w:val="none" w:sz="0" w:space="0" w:color="auto"/>
        <w:bottom w:val="none" w:sz="0" w:space="0" w:color="auto"/>
        <w:right w:val="none" w:sz="0" w:space="0" w:color="auto"/>
      </w:divBdr>
    </w:div>
    <w:div w:id="586689255">
      <w:bodyDiv w:val="1"/>
      <w:marLeft w:val="0"/>
      <w:marRight w:val="0"/>
      <w:marTop w:val="0"/>
      <w:marBottom w:val="0"/>
      <w:divBdr>
        <w:top w:val="none" w:sz="0" w:space="0" w:color="auto"/>
        <w:left w:val="none" w:sz="0" w:space="0" w:color="auto"/>
        <w:bottom w:val="none" w:sz="0" w:space="0" w:color="auto"/>
        <w:right w:val="none" w:sz="0" w:space="0" w:color="auto"/>
      </w:divBdr>
    </w:div>
    <w:div w:id="599217542">
      <w:bodyDiv w:val="1"/>
      <w:marLeft w:val="0"/>
      <w:marRight w:val="0"/>
      <w:marTop w:val="0"/>
      <w:marBottom w:val="0"/>
      <w:divBdr>
        <w:top w:val="none" w:sz="0" w:space="0" w:color="auto"/>
        <w:left w:val="none" w:sz="0" w:space="0" w:color="auto"/>
        <w:bottom w:val="none" w:sz="0" w:space="0" w:color="auto"/>
        <w:right w:val="none" w:sz="0" w:space="0" w:color="auto"/>
      </w:divBdr>
    </w:div>
    <w:div w:id="602033750">
      <w:bodyDiv w:val="1"/>
      <w:marLeft w:val="0"/>
      <w:marRight w:val="0"/>
      <w:marTop w:val="0"/>
      <w:marBottom w:val="0"/>
      <w:divBdr>
        <w:top w:val="none" w:sz="0" w:space="0" w:color="auto"/>
        <w:left w:val="none" w:sz="0" w:space="0" w:color="auto"/>
        <w:bottom w:val="none" w:sz="0" w:space="0" w:color="auto"/>
        <w:right w:val="none" w:sz="0" w:space="0" w:color="auto"/>
      </w:divBdr>
    </w:div>
    <w:div w:id="604076228">
      <w:bodyDiv w:val="1"/>
      <w:marLeft w:val="0"/>
      <w:marRight w:val="0"/>
      <w:marTop w:val="0"/>
      <w:marBottom w:val="0"/>
      <w:divBdr>
        <w:top w:val="none" w:sz="0" w:space="0" w:color="auto"/>
        <w:left w:val="none" w:sz="0" w:space="0" w:color="auto"/>
        <w:bottom w:val="none" w:sz="0" w:space="0" w:color="auto"/>
        <w:right w:val="none" w:sz="0" w:space="0" w:color="auto"/>
      </w:divBdr>
    </w:div>
    <w:div w:id="608703110">
      <w:bodyDiv w:val="1"/>
      <w:marLeft w:val="0"/>
      <w:marRight w:val="0"/>
      <w:marTop w:val="0"/>
      <w:marBottom w:val="0"/>
      <w:divBdr>
        <w:top w:val="none" w:sz="0" w:space="0" w:color="auto"/>
        <w:left w:val="none" w:sz="0" w:space="0" w:color="auto"/>
        <w:bottom w:val="none" w:sz="0" w:space="0" w:color="auto"/>
        <w:right w:val="none" w:sz="0" w:space="0" w:color="auto"/>
      </w:divBdr>
    </w:div>
    <w:div w:id="610017338">
      <w:bodyDiv w:val="1"/>
      <w:marLeft w:val="0"/>
      <w:marRight w:val="0"/>
      <w:marTop w:val="0"/>
      <w:marBottom w:val="0"/>
      <w:divBdr>
        <w:top w:val="none" w:sz="0" w:space="0" w:color="auto"/>
        <w:left w:val="none" w:sz="0" w:space="0" w:color="auto"/>
        <w:bottom w:val="none" w:sz="0" w:space="0" w:color="auto"/>
        <w:right w:val="none" w:sz="0" w:space="0" w:color="auto"/>
      </w:divBdr>
    </w:div>
    <w:div w:id="616643088">
      <w:bodyDiv w:val="1"/>
      <w:marLeft w:val="0"/>
      <w:marRight w:val="0"/>
      <w:marTop w:val="0"/>
      <w:marBottom w:val="0"/>
      <w:divBdr>
        <w:top w:val="none" w:sz="0" w:space="0" w:color="auto"/>
        <w:left w:val="none" w:sz="0" w:space="0" w:color="auto"/>
        <w:bottom w:val="none" w:sz="0" w:space="0" w:color="auto"/>
        <w:right w:val="none" w:sz="0" w:space="0" w:color="auto"/>
      </w:divBdr>
    </w:div>
    <w:div w:id="620305320">
      <w:bodyDiv w:val="1"/>
      <w:marLeft w:val="0"/>
      <w:marRight w:val="0"/>
      <w:marTop w:val="0"/>
      <w:marBottom w:val="0"/>
      <w:divBdr>
        <w:top w:val="none" w:sz="0" w:space="0" w:color="auto"/>
        <w:left w:val="none" w:sz="0" w:space="0" w:color="auto"/>
        <w:bottom w:val="none" w:sz="0" w:space="0" w:color="auto"/>
        <w:right w:val="none" w:sz="0" w:space="0" w:color="auto"/>
      </w:divBdr>
    </w:div>
    <w:div w:id="621616219">
      <w:bodyDiv w:val="1"/>
      <w:marLeft w:val="0"/>
      <w:marRight w:val="0"/>
      <w:marTop w:val="0"/>
      <w:marBottom w:val="0"/>
      <w:divBdr>
        <w:top w:val="none" w:sz="0" w:space="0" w:color="auto"/>
        <w:left w:val="none" w:sz="0" w:space="0" w:color="auto"/>
        <w:bottom w:val="none" w:sz="0" w:space="0" w:color="auto"/>
        <w:right w:val="none" w:sz="0" w:space="0" w:color="auto"/>
      </w:divBdr>
    </w:div>
    <w:div w:id="622152912">
      <w:bodyDiv w:val="1"/>
      <w:marLeft w:val="0"/>
      <w:marRight w:val="0"/>
      <w:marTop w:val="0"/>
      <w:marBottom w:val="0"/>
      <w:divBdr>
        <w:top w:val="none" w:sz="0" w:space="0" w:color="auto"/>
        <w:left w:val="none" w:sz="0" w:space="0" w:color="auto"/>
        <w:bottom w:val="none" w:sz="0" w:space="0" w:color="auto"/>
        <w:right w:val="none" w:sz="0" w:space="0" w:color="auto"/>
      </w:divBdr>
    </w:div>
    <w:div w:id="630139545">
      <w:bodyDiv w:val="1"/>
      <w:marLeft w:val="0"/>
      <w:marRight w:val="0"/>
      <w:marTop w:val="0"/>
      <w:marBottom w:val="0"/>
      <w:divBdr>
        <w:top w:val="none" w:sz="0" w:space="0" w:color="auto"/>
        <w:left w:val="none" w:sz="0" w:space="0" w:color="auto"/>
        <w:bottom w:val="none" w:sz="0" w:space="0" w:color="auto"/>
        <w:right w:val="none" w:sz="0" w:space="0" w:color="auto"/>
      </w:divBdr>
    </w:div>
    <w:div w:id="635139238">
      <w:bodyDiv w:val="1"/>
      <w:marLeft w:val="0"/>
      <w:marRight w:val="0"/>
      <w:marTop w:val="0"/>
      <w:marBottom w:val="0"/>
      <w:divBdr>
        <w:top w:val="none" w:sz="0" w:space="0" w:color="auto"/>
        <w:left w:val="none" w:sz="0" w:space="0" w:color="auto"/>
        <w:bottom w:val="none" w:sz="0" w:space="0" w:color="auto"/>
        <w:right w:val="none" w:sz="0" w:space="0" w:color="auto"/>
      </w:divBdr>
    </w:div>
    <w:div w:id="639655391">
      <w:bodyDiv w:val="1"/>
      <w:marLeft w:val="0"/>
      <w:marRight w:val="0"/>
      <w:marTop w:val="0"/>
      <w:marBottom w:val="0"/>
      <w:divBdr>
        <w:top w:val="none" w:sz="0" w:space="0" w:color="auto"/>
        <w:left w:val="none" w:sz="0" w:space="0" w:color="auto"/>
        <w:bottom w:val="none" w:sz="0" w:space="0" w:color="auto"/>
        <w:right w:val="none" w:sz="0" w:space="0" w:color="auto"/>
      </w:divBdr>
    </w:div>
    <w:div w:id="643704212">
      <w:bodyDiv w:val="1"/>
      <w:marLeft w:val="0"/>
      <w:marRight w:val="0"/>
      <w:marTop w:val="0"/>
      <w:marBottom w:val="0"/>
      <w:divBdr>
        <w:top w:val="none" w:sz="0" w:space="0" w:color="auto"/>
        <w:left w:val="none" w:sz="0" w:space="0" w:color="auto"/>
        <w:bottom w:val="none" w:sz="0" w:space="0" w:color="auto"/>
        <w:right w:val="none" w:sz="0" w:space="0" w:color="auto"/>
      </w:divBdr>
    </w:div>
    <w:div w:id="644624797">
      <w:bodyDiv w:val="1"/>
      <w:marLeft w:val="0"/>
      <w:marRight w:val="0"/>
      <w:marTop w:val="0"/>
      <w:marBottom w:val="0"/>
      <w:divBdr>
        <w:top w:val="none" w:sz="0" w:space="0" w:color="auto"/>
        <w:left w:val="none" w:sz="0" w:space="0" w:color="auto"/>
        <w:bottom w:val="none" w:sz="0" w:space="0" w:color="auto"/>
        <w:right w:val="none" w:sz="0" w:space="0" w:color="auto"/>
      </w:divBdr>
    </w:div>
    <w:div w:id="659387117">
      <w:bodyDiv w:val="1"/>
      <w:marLeft w:val="0"/>
      <w:marRight w:val="0"/>
      <w:marTop w:val="0"/>
      <w:marBottom w:val="0"/>
      <w:divBdr>
        <w:top w:val="none" w:sz="0" w:space="0" w:color="auto"/>
        <w:left w:val="none" w:sz="0" w:space="0" w:color="auto"/>
        <w:bottom w:val="none" w:sz="0" w:space="0" w:color="auto"/>
        <w:right w:val="none" w:sz="0" w:space="0" w:color="auto"/>
      </w:divBdr>
    </w:div>
    <w:div w:id="660737594">
      <w:bodyDiv w:val="1"/>
      <w:marLeft w:val="0"/>
      <w:marRight w:val="0"/>
      <w:marTop w:val="0"/>
      <w:marBottom w:val="0"/>
      <w:divBdr>
        <w:top w:val="none" w:sz="0" w:space="0" w:color="auto"/>
        <w:left w:val="none" w:sz="0" w:space="0" w:color="auto"/>
        <w:bottom w:val="none" w:sz="0" w:space="0" w:color="auto"/>
        <w:right w:val="none" w:sz="0" w:space="0" w:color="auto"/>
      </w:divBdr>
    </w:div>
    <w:div w:id="694696095">
      <w:bodyDiv w:val="1"/>
      <w:marLeft w:val="0"/>
      <w:marRight w:val="0"/>
      <w:marTop w:val="0"/>
      <w:marBottom w:val="0"/>
      <w:divBdr>
        <w:top w:val="none" w:sz="0" w:space="0" w:color="auto"/>
        <w:left w:val="none" w:sz="0" w:space="0" w:color="auto"/>
        <w:bottom w:val="none" w:sz="0" w:space="0" w:color="auto"/>
        <w:right w:val="none" w:sz="0" w:space="0" w:color="auto"/>
      </w:divBdr>
    </w:div>
    <w:div w:id="700977057">
      <w:bodyDiv w:val="1"/>
      <w:marLeft w:val="0"/>
      <w:marRight w:val="0"/>
      <w:marTop w:val="0"/>
      <w:marBottom w:val="0"/>
      <w:divBdr>
        <w:top w:val="none" w:sz="0" w:space="0" w:color="auto"/>
        <w:left w:val="none" w:sz="0" w:space="0" w:color="auto"/>
        <w:bottom w:val="none" w:sz="0" w:space="0" w:color="auto"/>
        <w:right w:val="none" w:sz="0" w:space="0" w:color="auto"/>
      </w:divBdr>
    </w:div>
    <w:div w:id="708578270">
      <w:bodyDiv w:val="1"/>
      <w:marLeft w:val="0"/>
      <w:marRight w:val="0"/>
      <w:marTop w:val="0"/>
      <w:marBottom w:val="0"/>
      <w:divBdr>
        <w:top w:val="none" w:sz="0" w:space="0" w:color="auto"/>
        <w:left w:val="none" w:sz="0" w:space="0" w:color="auto"/>
        <w:bottom w:val="none" w:sz="0" w:space="0" w:color="auto"/>
        <w:right w:val="none" w:sz="0" w:space="0" w:color="auto"/>
      </w:divBdr>
    </w:div>
    <w:div w:id="709455085">
      <w:bodyDiv w:val="1"/>
      <w:marLeft w:val="0"/>
      <w:marRight w:val="0"/>
      <w:marTop w:val="0"/>
      <w:marBottom w:val="0"/>
      <w:divBdr>
        <w:top w:val="none" w:sz="0" w:space="0" w:color="auto"/>
        <w:left w:val="none" w:sz="0" w:space="0" w:color="auto"/>
        <w:bottom w:val="none" w:sz="0" w:space="0" w:color="auto"/>
        <w:right w:val="none" w:sz="0" w:space="0" w:color="auto"/>
      </w:divBdr>
    </w:div>
    <w:div w:id="714354826">
      <w:bodyDiv w:val="1"/>
      <w:marLeft w:val="0"/>
      <w:marRight w:val="0"/>
      <w:marTop w:val="0"/>
      <w:marBottom w:val="0"/>
      <w:divBdr>
        <w:top w:val="none" w:sz="0" w:space="0" w:color="auto"/>
        <w:left w:val="none" w:sz="0" w:space="0" w:color="auto"/>
        <w:bottom w:val="none" w:sz="0" w:space="0" w:color="auto"/>
        <w:right w:val="none" w:sz="0" w:space="0" w:color="auto"/>
      </w:divBdr>
    </w:div>
    <w:div w:id="718434809">
      <w:bodyDiv w:val="1"/>
      <w:marLeft w:val="0"/>
      <w:marRight w:val="0"/>
      <w:marTop w:val="0"/>
      <w:marBottom w:val="0"/>
      <w:divBdr>
        <w:top w:val="none" w:sz="0" w:space="0" w:color="auto"/>
        <w:left w:val="none" w:sz="0" w:space="0" w:color="auto"/>
        <w:bottom w:val="none" w:sz="0" w:space="0" w:color="auto"/>
        <w:right w:val="none" w:sz="0" w:space="0" w:color="auto"/>
      </w:divBdr>
    </w:div>
    <w:div w:id="719325618">
      <w:bodyDiv w:val="1"/>
      <w:marLeft w:val="0"/>
      <w:marRight w:val="0"/>
      <w:marTop w:val="0"/>
      <w:marBottom w:val="0"/>
      <w:divBdr>
        <w:top w:val="none" w:sz="0" w:space="0" w:color="auto"/>
        <w:left w:val="none" w:sz="0" w:space="0" w:color="auto"/>
        <w:bottom w:val="none" w:sz="0" w:space="0" w:color="auto"/>
        <w:right w:val="none" w:sz="0" w:space="0" w:color="auto"/>
      </w:divBdr>
    </w:div>
    <w:div w:id="722409244">
      <w:bodyDiv w:val="1"/>
      <w:marLeft w:val="0"/>
      <w:marRight w:val="0"/>
      <w:marTop w:val="0"/>
      <w:marBottom w:val="0"/>
      <w:divBdr>
        <w:top w:val="none" w:sz="0" w:space="0" w:color="auto"/>
        <w:left w:val="none" w:sz="0" w:space="0" w:color="auto"/>
        <w:bottom w:val="none" w:sz="0" w:space="0" w:color="auto"/>
        <w:right w:val="none" w:sz="0" w:space="0" w:color="auto"/>
      </w:divBdr>
    </w:div>
    <w:div w:id="725491967">
      <w:bodyDiv w:val="1"/>
      <w:marLeft w:val="0"/>
      <w:marRight w:val="0"/>
      <w:marTop w:val="0"/>
      <w:marBottom w:val="0"/>
      <w:divBdr>
        <w:top w:val="none" w:sz="0" w:space="0" w:color="auto"/>
        <w:left w:val="none" w:sz="0" w:space="0" w:color="auto"/>
        <w:bottom w:val="none" w:sz="0" w:space="0" w:color="auto"/>
        <w:right w:val="none" w:sz="0" w:space="0" w:color="auto"/>
      </w:divBdr>
    </w:div>
    <w:div w:id="730346454">
      <w:bodyDiv w:val="1"/>
      <w:marLeft w:val="0"/>
      <w:marRight w:val="0"/>
      <w:marTop w:val="0"/>
      <w:marBottom w:val="0"/>
      <w:divBdr>
        <w:top w:val="none" w:sz="0" w:space="0" w:color="auto"/>
        <w:left w:val="none" w:sz="0" w:space="0" w:color="auto"/>
        <w:bottom w:val="none" w:sz="0" w:space="0" w:color="auto"/>
        <w:right w:val="none" w:sz="0" w:space="0" w:color="auto"/>
      </w:divBdr>
    </w:div>
    <w:div w:id="757363625">
      <w:bodyDiv w:val="1"/>
      <w:marLeft w:val="0"/>
      <w:marRight w:val="0"/>
      <w:marTop w:val="0"/>
      <w:marBottom w:val="0"/>
      <w:divBdr>
        <w:top w:val="none" w:sz="0" w:space="0" w:color="auto"/>
        <w:left w:val="none" w:sz="0" w:space="0" w:color="auto"/>
        <w:bottom w:val="none" w:sz="0" w:space="0" w:color="auto"/>
        <w:right w:val="none" w:sz="0" w:space="0" w:color="auto"/>
      </w:divBdr>
    </w:div>
    <w:div w:id="760180575">
      <w:bodyDiv w:val="1"/>
      <w:marLeft w:val="0"/>
      <w:marRight w:val="0"/>
      <w:marTop w:val="0"/>
      <w:marBottom w:val="0"/>
      <w:divBdr>
        <w:top w:val="none" w:sz="0" w:space="0" w:color="auto"/>
        <w:left w:val="none" w:sz="0" w:space="0" w:color="auto"/>
        <w:bottom w:val="none" w:sz="0" w:space="0" w:color="auto"/>
        <w:right w:val="none" w:sz="0" w:space="0" w:color="auto"/>
      </w:divBdr>
    </w:div>
    <w:div w:id="764034633">
      <w:bodyDiv w:val="1"/>
      <w:marLeft w:val="0"/>
      <w:marRight w:val="0"/>
      <w:marTop w:val="0"/>
      <w:marBottom w:val="0"/>
      <w:divBdr>
        <w:top w:val="none" w:sz="0" w:space="0" w:color="auto"/>
        <w:left w:val="none" w:sz="0" w:space="0" w:color="auto"/>
        <w:bottom w:val="none" w:sz="0" w:space="0" w:color="auto"/>
        <w:right w:val="none" w:sz="0" w:space="0" w:color="auto"/>
      </w:divBdr>
    </w:div>
    <w:div w:id="774134122">
      <w:bodyDiv w:val="1"/>
      <w:marLeft w:val="0"/>
      <w:marRight w:val="0"/>
      <w:marTop w:val="0"/>
      <w:marBottom w:val="0"/>
      <w:divBdr>
        <w:top w:val="none" w:sz="0" w:space="0" w:color="auto"/>
        <w:left w:val="none" w:sz="0" w:space="0" w:color="auto"/>
        <w:bottom w:val="none" w:sz="0" w:space="0" w:color="auto"/>
        <w:right w:val="none" w:sz="0" w:space="0" w:color="auto"/>
      </w:divBdr>
    </w:div>
    <w:div w:id="775907334">
      <w:bodyDiv w:val="1"/>
      <w:marLeft w:val="0"/>
      <w:marRight w:val="0"/>
      <w:marTop w:val="0"/>
      <w:marBottom w:val="0"/>
      <w:divBdr>
        <w:top w:val="none" w:sz="0" w:space="0" w:color="auto"/>
        <w:left w:val="none" w:sz="0" w:space="0" w:color="auto"/>
        <w:bottom w:val="none" w:sz="0" w:space="0" w:color="auto"/>
        <w:right w:val="none" w:sz="0" w:space="0" w:color="auto"/>
      </w:divBdr>
    </w:div>
    <w:div w:id="795677782">
      <w:bodyDiv w:val="1"/>
      <w:marLeft w:val="0"/>
      <w:marRight w:val="0"/>
      <w:marTop w:val="0"/>
      <w:marBottom w:val="0"/>
      <w:divBdr>
        <w:top w:val="none" w:sz="0" w:space="0" w:color="auto"/>
        <w:left w:val="none" w:sz="0" w:space="0" w:color="auto"/>
        <w:bottom w:val="none" w:sz="0" w:space="0" w:color="auto"/>
        <w:right w:val="none" w:sz="0" w:space="0" w:color="auto"/>
      </w:divBdr>
    </w:div>
    <w:div w:id="815030814">
      <w:bodyDiv w:val="1"/>
      <w:marLeft w:val="0"/>
      <w:marRight w:val="0"/>
      <w:marTop w:val="0"/>
      <w:marBottom w:val="0"/>
      <w:divBdr>
        <w:top w:val="none" w:sz="0" w:space="0" w:color="auto"/>
        <w:left w:val="none" w:sz="0" w:space="0" w:color="auto"/>
        <w:bottom w:val="none" w:sz="0" w:space="0" w:color="auto"/>
        <w:right w:val="none" w:sz="0" w:space="0" w:color="auto"/>
      </w:divBdr>
    </w:div>
    <w:div w:id="838424554">
      <w:bodyDiv w:val="1"/>
      <w:marLeft w:val="0"/>
      <w:marRight w:val="0"/>
      <w:marTop w:val="0"/>
      <w:marBottom w:val="0"/>
      <w:divBdr>
        <w:top w:val="none" w:sz="0" w:space="0" w:color="auto"/>
        <w:left w:val="none" w:sz="0" w:space="0" w:color="auto"/>
        <w:bottom w:val="none" w:sz="0" w:space="0" w:color="auto"/>
        <w:right w:val="none" w:sz="0" w:space="0" w:color="auto"/>
      </w:divBdr>
    </w:div>
    <w:div w:id="839538373">
      <w:bodyDiv w:val="1"/>
      <w:marLeft w:val="0"/>
      <w:marRight w:val="0"/>
      <w:marTop w:val="0"/>
      <w:marBottom w:val="0"/>
      <w:divBdr>
        <w:top w:val="none" w:sz="0" w:space="0" w:color="auto"/>
        <w:left w:val="none" w:sz="0" w:space="0" w:color="auto"/>
        <w:bottom w:val="none" w:sz="0" w:space="0" w:color="auto"/>
        <w:right w:val="none" w:sz="0" w:space="0" w:color="auto"/>
      </w:divBdr>
    </w:div>
    <w:div w:id="860313728">
      <w:bodyDiv w:val="1"/>
      <w:marLeft w:val="0"/>
      <w:marRight w:val="0"/>
      <w:marTop w:val="0"/>
      <w:marBottom w:val="0"/>
      <w:divBdr>
        <w:top w:val="none" w:sz="0" w:space="0" w:color="auto"/>
        <w:left w:val="none" w:sz="0" w:space="0" w:color="auto"/>
        <w:bottom w:val="none" w:sz="0" w:space="0" w:color="auto"/>
        <w:right w:val="none" w:sz="0" w:space="0" w:color="auto"/>
      </w:divBdr>
    </w:div>
    <w:div w:id="869955005">
      <w:bodyDiv w:val="1"/>
      <w:marLeft w:val="0"/>
      <w:marRight w:val="0"/>
      <w:marTop w:val="0"/>
      <w:marBottom w:val="0"/>
      <w:divBdr>
        <w:top w:val="none" w:sz="0" w:space="0" w:color="auto"/>
        <w:left w:val="none" w:sz="0" w:space="0" w:color="auto"/>
        <w:bottom w:val="none" w:sz="0" w:space="0" w:color="auto"/>
        <w:right w:val="none" w:sz="0" w:space="0" w:color="auto"/>
      </w:divBdr>
    </w:div>
    <w:div w:id="898053875">
      <w:bodyDiv w:val="1"/>
      <w:marLeft w:val="0"/>
      <w:marRight w:val="0"/>
      <w:marTop w:val="0"/>
      <w:marBottom w:val="0"/>
      <w:divBdr>
        <w:top w:val="none" w:sz="0" w:space="0" w:color="auto"/>
        <w:left w:val="none" w:sz="0" w:space="0" w:color="auto"/>
        <w:bottom w:val="none" w:sz="0" w:space="0" w:color="auto"/>
        <w:right w:val="none" w:sz="0" w:space="0" w:color="auto"/>
      </w:divBdr>
    </w:div>
    <w:div w:id="899094785">
      <w:bodyDiv w:val="1"/>
      <w:marLeft w:val="0"/>
      <w:marRight w:val="0"/>
      <w:marTop w:val="0"/>
      <w:marBottom w:val="0"/>
      <w:divBdr>
        <w:top w:val="none" w:sz="0" w:space="0" w:color="auto"/>
        <w:left w:val="none" w:sz="0" w:space="0" w:color="auto"/>
        <w:bottom w:val="none" w:sz="0" w:space="0" w:color="auto"/>
        <w:right w:val="none" w:sz="0" w:space="0" w:color="auto"/>
      </w:divBdr>
    </w:div>
    <w:div w:id="899487119">
      <w:bodyDiv w:val="1"/>
      <w:marLeft w:val="0"/>
      <w:marRight w:val="0"/>
      <w:marTop w:val="0"/>
      <w:marBottom w:val="0"/>
      <w:divBdr>
        <w:top w:val="none" w:sz="0" w:space="0" w:color="auto"/>
        <w:left w:val="none" w:sz="0" w:space="0" w:color="auto"/>
        <w:bottom w:val="none" w:sz="0" w:space="0" w:color="auto"/>
        <w:right w:val="none" w:sz="0" w:space="0" w:color="auto"/>
      </w:divBdr>
    </w:div>
    <w:div w:id="900872745">
      <w:bodyDiv w:val="1"/>
      <w:marLeft w:val="0"/>
      <w:marRight w:val="0"/>
      <w:marTop w:val="0"/>
      <w:marBottom w:val="0"/>
      <w:divBdr>
        <w:top w:val="none" w:sz="0" w:space="0" w:color="auto"/>
        <w:left w:val="none" w:sz="0" w:space="0" w:color="auto"/>
        <w:bottom w:val="none" w:sz="0" w:space="0" w:color="auto"/>
        <w:right w:val="none" w:sz="0" w:space="0" w:color="auto"/>
      </w:divBdr>
    </w:div>
    <w:div w:id="905459081">
      <w:bodyDiv w:val="1"/>
      <w:marLeft w:val="0"/>
      <w:marRight w:val="0"/>
      <w:marTop w:val="0"/>
      <w:marBottom w:val="0"/>
      <w:divBdr>
        <w:top w:val="none" w:sz="0" w:space="0" w:color="auto"/>
        <w:left w:val="none" w:sz="0" w:space="0" w:color="auto"/>
        <w:bottom w:val="none" w:sz="0" w:space="0" w:color="auto"/>
        <w:right w:val="none" w:sz="0" w:space="0" w:color="auto"/>
      </w:divBdr>
    </w:div>
    <w:div w:id="907613801">
      <w:bodyDiv w:val="1"/>
      <w:marLeft w:val="0"/>
      <w:marRight w:val="0"/>
      <w:marTop w:val="0"/>
      <w:marBottom w:val="0"/>
      <w:divBdr>
        <w:top w:val="none" w:sz="0" w:space="0" w:color="auto"/>
        <w:left w:val="none" w:sz="0" w:space="0" w:color="auto"/>
        <w:bottom w:val="none" w:sz="0" w:space="0" w:color="auto"/>
        <w:right w:val="none" w:sz="0" w:space="0" w:color="auto"/>
      </w:divBdr>
    </w:div>
    <w:div w:id="909122452">
      <w:bodyDiv w:val="1"/>
      <w:marLeft w:val="0"/>
      <w:marRight w:val="0"/>
      <w:marTop w:val="0"/>
      <w:marBottom w:val="0"/>
      <w:divBdr>
        <w:top w:val="none" w:sz="0" w:space="0" w:color="auto"/>
        <w:left w:val="none" w:sz="0" w:space="0" w:color="auto"/>
        <w:bottom w:val="none" w:sz="0" w:space="0" w:color="auto"/>
        <w:right w:val="none" w:sz="0" w:space="0" w:color="auto"/>
      </w:divBdr>
    </w:div>
    <w:div w:id="913198033">
      <w:bodyDiv w:val="1"/>
      <w:marLeft w:val="0"/>
      <w:marRight w:val="0"/>
      <w:marTop w:val="0"/>
      <w:marBottom w:val="0"/>
      <w:divBdr>
        <w:top w:val="none" w:sz="0" w:space="0" w:color="auto"/>
        <w:left w:val="none" w:sz="0" w:space="0" w:color="auto"/>
        <w:bottom w:val="none" w:sz="0" w:space="0" w:color="auto"/>
        <w:right w:val="none" w:sz="0" w:space="0" w:color="auto"/>
      </w:divBdr>
    </w:div>
    <w:div w:id="922102230">
      <w:bodyDiv w:val="1"/>
      <w:marLeft w:val="0"/>
      <w:marRight w:val="0"/>
      <w:marTop w:val="0"/>
      <w:marBottom w:val="0"/>
      <w:divBdr>
        <w:top w:val="none" w:sz="0" w:space="0" w:color="auto"/>
        <w:left w:val="none" w:sz="0" w:space="0" w:color="auto"/>
        <w:bottom w:val="none" w:sz="0" w:space="0" w:color="auto"/>
        <w:right w:val="none" w:sz="0" w:space="0" w:color="auto"/>
      </w:divBdr>
    </w:div>
    <w:div w:id="923687306">
      <w:bodyDiv w:val="1"/>
      <w:marLeft w:val="0"/>
      <w:marRight w:val="0"/>
      <w:marTop w:val="0"/>
      <w:marBottom w:val="0"/>
      <w:divBdr>
        <w:top w:val="none" w:sz="0" w:space="0" w:color="auto"/>
        <w:left w:val="none" w:sz="0" w:space="0" w:color="auto"/>
        <w:bottom w:val="none" w:sz="0" w:space="0" w:color="auto"/>
        <w:right w:val="none" w:sz="0" w:space="0" w:color="auto"/>
      </w:divBdr>
    </w:div>
    <w:div w:id="924150577">
      <w:bodyDiv w:val="1"/>
      <w:marLeft w:val="0"/>
      <w:marRight w:val="0"/>
      <w:marTop w:val="0"/>
      <w:marBottom w:val="0"/>
      <w:divBdr>
        <w:top w:val="none" w:sz="0" w:space="0" w:color="auto"/>
        <w:left w:val="none" w:sz="0" w:space="0" w:color="auto"/>
        <w:bottom w:val="none" w:sz="0" w:space="0" w:color="auto"/>
        <w:right w:val="none" w:sz="0" w:space="0" w:color="auto"/>
      </w:divBdr>
    </w:div>
    <w:div w:id="927693727">
      <w:bodyDiv w:val="1"/>
      <w:marLeft w:val="0"/>
      <w:marRight w:val="0"/>
      <w:marTop w:val="0"/>
      <w:marBottom w:val="0"/>
      <w:divBdr>
        <w:top w:val="none" w:sz="0" w:space="0" w:color="auto"/>
        <w:left w:val="none" w:sz="0" w:space="0" w:color="auto"/>
        <w:bottom w:val="none" w:sz="0" w:space="0" w:color="auto"/>
        <w:right w:val="none" w:sz="0" w:space="0" w:color="auto"/>
      </w:divBdr>
    </w:div>
    <w:div w:id="947347085">
      <w:bodyDiv w:val="1"/>
      <w:marLeft w:val="0"/>
      <w:marRight w:val="0"/>
      <w:marTop w:val="0"/>
      <w:marBottom w:val="0"/>
      <w:divBdr>
        <w:top w:val="none" w:sz="0" w:space="0" w:color="auto"/>
        <w:left w:val="none" w:sz="0" w:space="0" w:color="auto"/>
        <w:bottom w:val="none" w:sz="0" w:space="0" w:color="auto"/>
        <w:right w:val="none" w:sz="0" w:space="0" w:color="auto"/>
      </w:divBdr>
    </w:div>
    <w:div w:id="962922688">
      <w:bodyDiv w:val="1"/>
      <w:marLeft w:val="0"/>
      <w:marRight w:val="0"/>
      <w:marTop w:val="0"/>
      <w:marBottom w:val="0"/>
      <w:divBdr>
        <w:top w:val="none" w:sz="0" w:space="0" w:color="auto"/>
        <w:left w:val="none" w:sz="0" w:space="0" w:color="auto"/>
        <w:bottom w:val="none" w:sz="0" w:space="0" w:color="auto"/>
        <w:right w:val="none" w:sz="0" w:space="0" w:color="auto"/>
      </w:divBdr>
    </w:div>
    <w:div w:id="967513780">
      <w:bodyDiv w:val="1"/>
      <w:marLeft w:val="0"/>
      <w:marRight w:val="0"/>
      <w:marTop w:val="0"/>
      <w:marBottom w:val="0"/>
      <w:divBdr>
        <w:top w:val="none" w:sz="0" w:space="0" w:color="auto"/>
        <w:left w:val="none" w:sz="0" w:space="0" w:color="auto"/>
        <w:bottom w:val="none" w:sz="0" w:space="0" w:color="auto"/>
        <w:right w:val="none" w:sz="0" w:space="0" w:color="auto"/>
      </w:divBdr>
    </w:div>
    <w:div w:id="971403577">
      <w:bodyDiv w:val="1"/>
      <w:marLeft w:val="0"/>
      <w:marRight w:val="0"/>
      <w:marTop w:val="0"/>
      <w:marBottom w:val="0"/>
      <w:divBdr>
        <w:top w:val="none" w:sz="0" w:space="0" w:color="auto"/>
        <w:left w:val="none" w:sz="0" w:space="0" w:color="auto"/>
        <w:bottom w:val="none" w:sz="0" w:space="0" w:color="auto"/>
        <w:right w:val="none" w:sz="0" w:space="0" w:color="auto"/>
      </w:divBdr>
    </w:div>
    <w:div w:id="973097043">
      <w:bodyDiv w:val="1"/>
      <w:marLeft w:val="0"/>
      <w:marRight w:val="0"/>
      <w:marTop w:val="0"/>
      <w:marBottom w:val="0"/>
      <w:divBdr>
        <w:top w:val="none" w:sz="0" w:space="0" w:color="auto"/>
        <w:left w:val="none" w:sz="0" w:space="0" w:color="auto"/>
        <w:bottom w:val="none" w:sz="0" w:space="0" w:color="auto"/>
        <w:right w:val="none" w:sz="0" w:space="0" w:color="auto"/>
      </w:divBdr>
    </w:div>
    <w:div w:id="980383022">
      <w:bodyDiv w:val="1"/>
      <w:marLeft w:val="0"/>
      <w:marRight w:val="0"/>
      <w:marTop w:val="0"/>
      <w:marBottom w:val="0"/>
      <w:divBdr>
        <w:top w:val="none" w:sz="0" w:space="0" w:color="auto"/>
        <w:left w:val="none" w:sz="0" w:space="0" w:color="auto"/>
        <w:bottom w:val="none" w:sz="0" w:space="0" w:color="auto"/>
        <w:right w:val="none" w:sz="0" w:space="0" w:color="auto"/>
      </w:divBdr>
    </w:div>
    <w:div w:id="980502369">
      <w:bodyDiv w:val="1"/>
      <w:marLeft w:val="0"/>
      <w:marRight w:val="0"/>
      <w:marTop w:val="0"/>
      <w:marBottom w:val="0"/>
      <w:divBdr>
        <w:top w:val="none" w:sz="0" w:space="0" w:color="auto"/>
        <w:left w:val="none" w:sz="0" w:space="0" w:color="auto"/>
        <w:bottom w:val="none" w:sz="0" w:space="0" w:color="auto"/>
        <w:right w:val="none" w:sz="0" w:space="0" w:color="auto"/>
      </w:divBdr>
    </w:div>
    <w:div w:id="998848133">
      <w:bodyDiv w:val="1"/>
      <w:marLeft w:val="0"/>
      <w:marRight w:val="0"/>
      <w:marTop w:val="0"/>
      <w:marBottom w:val="0"/>
      <w:divBdr>
        <w:top w:val="none" w:sz="0" w:space="0" w:color="auto"/>
        <w:left w:val="none" w:sz="0" w:space="0" w:color="auto"/>
        <w:bottom w:val="none" w:sz="0" w:space="0" w:color="auto"/>
        <w:right w:val="none" w:sz="0" w:space="0" w:color="auto"/>
      </w:divBdr>
    </w:div>
    <w:div w:id="1004211877">
      <w:bodyDiv w:val="1"/>
      <w:marLeft w:val="0"/>
      <w:marRight w:val="0"/>
      <w:marTop w:val="0"/>
      <w:marBottom w:val="0"/>
      <w:divBdr>
        <w:top w:val="none" w:sz="0" w:space="0" w:color="auto"/>
        <w:left w:val="none" w:sz="0" w:space="0" w:color="auto"/>
        <w:bottom w:val="none" w:sz="0" w:space="0" w:color="auto"/>
        <w:right w:val="none" w:sz="0" w:space="0" w:color="auto"/>
      </w:divBdr>
    </w:div>
    <w:div w:id="1013190381">
      <w:bodyDiv w:val="1"/>
      <w:marLeft w:val="0"/>
      <w:marRight w:val="0"/>
      <w:marTop w:val="0"/>
      <w:marBottom w:val="0"/>
      <w:divBdr>
        <w:top w:val="none" w:sz="0" w:space="0" w:color="auto"/>
        <w:left w:val="none" w:sz="0" w:space="0" w:color="auto"/>
        <w:bottom w:val="none" w:sz="0" w:space="0" w:color="auto"/>
        <w:right w:val="none" w:sz="0" w:space="0" w:color="auto"/>
      </w:divBdr>
    </w:div>
    <w:div w:id="1017734598">
      <w:bodyDiv w:val="1"/>
      <w:marLeft w:val="0"/>
      <w:marRight w:val="0"/>
      <w:marTop w:val="0"/>
      <w:marBottom w:val="0"/>
      <w:divBdr>
        <w:top w:val="none" w:sz="0" w:space="0" w:color="auto"/>
        <w:left w:val="none" w:sz="0" w:space="0" w:color="auto"/>
        <w:bottom w:val="none" w:sz="0" w:space="0" w:color="auto"/>
        <w:right w:val="none" w:sz="0" w:space="0" w:color="auto"/>
      </w:divBdr>
    </w:div>
    <w:div w:id="1056977130">
      <w:bodyDiv w:val="1"/>
      <w:marLeft w:val="0"/>
      <w:marRight w:val="0"/>
      <w:marTop w:val="0"/>
      <w:marBottom w:val="0"/>
      <w:divBdr>
        <w:top w:val="none" w:sz="0" w:space="0" w:color="auto"/>
        <w:left w:val="none" w:sz="0" w:space="0" w:color="auto"/>
        <w:bottom w:val="none" w:sz="0" w:space="0" w:color="auto"/>
        <w:right w:val="none" w:sz="0" w:space="0" w:color="auto"/>
      </w:divBdr>
    </w:div>
    <w:div w:id="1058211432">
      <w:bodyDiv w:val="1"/>
      <w:marLeft w:val="0"/>
      <w:marRight w:val="0"/>
      <w:marTop w:val="0"/>
      <w:marBottom w:val="0"/>
      <w:divBdr>
        <w:top w:val="none" w:sz="0" w:space="0" w:color="auto"/>
        <w:left w:val="none" w:sz="0" w:space="0" w:color="auto"/>
        <w:bottom w:val="none" w:sz="0" w:space="0" w:color="auto"/>
        <w:right w:val="none" w:sz="0" w:space="0" w:color="auto"/>
      </w:divBdr>
    </w:div>
    <w:div w:id="1063716839">
      <w:bodyDiv w:val="1"/>
      <w:marLeft w:val="0"/>
      <w:marRight w:val="0"/>
      <w:marTop w:val="0"/>
      <w:marBottom w:val="0"/>
      <w:divBdr>
        <w:top w:val="none" w:sz="0" w:space="0" w:color="auto"/>
        <w:left w:val="none" w:sz="0" w:space="0" w:color="auto"/>
        <w:bottom w:val="none" w:sz="0" w:space="0" w:color="auto"/>
        <w:right w:val="none" w:sz="0" w:space="0" w:color="auto"/>
      </w:divBdr>
    </w:div>
    <w:div w:id="1070038185">
      <w:bodyDiv w:val="1"/>
      <w:marLeft w:val="0"/>
      <w:marRight w:val="0"/>
      <w:marTop w:val="0"/>
      <w:marBottom w:val="0"/>
      <w:divBdr>
        <w:top w:val="none" w:sz="0" w:space="0" w:color="auto"/>
        <w:left w:val="none" w:sz="0" w:space="0" w:color="auto"/>
        <w:bottom w:val="none" w:sz="0" w:space="0" w:color="auto"/>
        <w:right w:val="none" w:sz="0" w:space="0" w:color="auto"/>
      </w:divBdr>
    </w:div>
    <w:div w:id="1077482663">
      <w:bodyDiv w:val="1"/>
      <w:marLeft w:val="0"/>
      <w:marRight w:val="0"/>
      <w:marTop w:val="0"/>
      <w:marBottom w:val="0"/>
      <w:divBdr>
        <w:top w:val="none" w:sz="0" w:space="0" w:color="auto"/>
        <w:left w:val="none" w:sz="0" w:space="0" w:color="auto"/>
        <w:bottom w:val="none" w:sz="0" w:space="0" w:color="auto"/>
        <w:right w:val="none" w:sz="0" w:space="0" w:color="auto"/>
      </w:divBdr>
    </w:div>
    <w:div w:id="1087077660">
      <w:bodyDiv w:val="1"/>
      <w:marLeft w:val="0"/>
      <w:marRight w:val="0"/>
      <w:marTop w:val="0"/>
      <w:marBottom w:val="0"/>
      <w:divBdr>
        <w:top w:val="none" w:sz="0" w:space="0" w:color="auto"/>
        <w:left w:val="none" w:sz="0" w:space="0" w:color="auto"/>
        <w:bottom w:val="none" w:sz="0" w:space="0" w:color="auto"/>
        <w:right w:val="none" w:sz="0" w:space="0" w:color="auto"/>
      </w:divBdr>
    </w:div>
    <w:div w:id="1094595150">
      <w:bodyDiv w:val="1"/>
      <w:marLeft w:val="0"/>
      <w:marRight w:val="0"/>
      <w:marTop w:val="0"/>
      <w:marBottom w:val="0"/>
      <w:divBdr>
        <w:top w:val="none" w:sz="0" w:space="0" w:color="auto"/>
        <w:left w:val="none" w:sz="0" w:space="0" w:color="auto"/>
        <w:bottom w:val="none" w:sz="0" w:space="0" w:color="auto"/>
        <w:right w:val="none" w:sz="0" w:space="0" w:color="auto"/>
      </w:divBdr>
    </w:div>
    <w:div w:id="1104766244">
      <w:bodyDiv w:val="1"/>
      <w:marLeft w:val="0"/>
      <w:marRight w:val="0"/>
      <w:marTop w:val="0"/>
      <w:marBottom w:val="0"/>
      <w:divBdr>
        <w:top w:val="none" w:sz="0" w:space="0" w:color="auto"/>
        <w:left w:val="none" w:sz="0" w:space="0" w:color="auto"/>
        <w:bottom w:val="none" w:sz="0" w:space="0" w:color="auto"/>
        <w:right w:val="none" w:sz="0" w:space="0" w:color="auto"/>
      </w:divBdr>
    </w:div>
    <w:div w:id="1107190790">
      <w:bodyDiv w:val="1"/>
      <w:marLeft w:val="0"/>
      <w:marRight w:val="0"/>
      <w:marTop w:val="0"/>
      <w:marBottom w:val="0"/>
      <w:divBdr>
        <w:top w:val="none" w:sz="0" w:space="0" w:color="auto"/>
        <w:left w:val="none" w:sz="0" w:space="0" w:color="auto"/>
        <w:bottom w:val="none" w:sz="0" w:space="0" w:color="auto"/>
        <w:right w:val="none" w:sz="0" w:space="0" w:color="auto"/>
      </w:divBdr>
    </w:div>
    <w:div w:id="1114442291">
      <w:bodyDiv w:val="1"/>
      <w:marLeft w:val="0"/>
      <w:marRight w:val="0"/>
      <w:marTop w:val="0"/>
      <w:marBottom w:val="0"/>
      <w:divBdr>
        <w:top w:val="none" w:sz="0" w:space="0" w:color="auto"/>
        <w:left w:val="none" w:sz="0" w:space="0" w:color="auto"/>
        <w:bottom w:val="none" w:sz="0" w:space="0" w:color="auto"/>
        <w:right w:val="none" w:sz="0" w:space="0" w:color="auto"/>
      </w:divBdr>
    </w:div>
    <w:div w:id="1116757330">
      <w:bodyDiv w:val="1"/>
      <w:marLeft w:val="0"/>
      <w:marRight w:val="0"/>
      <w:marTop w:val="0"/>
      <w:marBottom w:val="0"/>
      <w:divBdr>
        <w:top w:val="none" w:sz="0" w:space="0" w:color="auto"/>
        <w:left w:val="none" w:sz="0" w:space="0" w:color="auto"/>
        <w:bottom w:val="none" w:sz="0" w:space="0" w:color="auto"/>
        <w:right w:val="none" w:sz="0" w:space="0" w:color="auto"/>
      </w:divBdr>
    </w:div>
    <w:div w:id="1125468310">
      <w:bodyDiv w:val="1"/>
      <w:marLeft w:val="0"/>
      <w:marRight w:val="0"/>
      <w:marTop w:val="0"/>
      <w:marBottom w:val="0"/>
      <w:divBdr>
        <w:top w:val="none" w:sz="0" w:space="0" w:color="auto"/>
        <w:left w:val="none" w:sz="0" w:space="0" w:color="auto"/>
        <w:bottom w:val="none" w:sz="0" w:space="0" w:color="auto"/>
        <w:right w:val="none" w:sz="0" w:space="0" w:color="auto"/>
      </w:divBdr>
    </w:div>
    <w:div w:id="1136289653">
      <w:bodyDiv w:val="1"/>
      <w:marLeft w:val="0"/>
      <w:marRight w:val="0"/>
      <w:marTop w:val="0"/>
      <w:marBottom w:val="0"/>
      <w:divBdr>
        <w:top w:val="none" w:sz="0" w:space="0" w:color="auto"/>
        <w:left w:val="none" w:sz="0" w:space="0" w:color="auto"/>
        <w:bottom w:val="none" w:sz="0" w:space="0" w:color="auto"/>
        <w:right w:val="none" w:sz="0" w:space="0" w:color="auto"/>
      </w:divBdr>
    </w:div>
    <w:div w:id="1142651385">
      <w:bodyDiv w:val="1"/>
      <w:marLeft w:val="0"/>
      <w:marRight w:val="0"/>
      <w:marTop w:val="0"/>
      <w:marBottom w:val="0"/>
      <w:divBdr>
        <w:top w:val="none" w:sz="0" w:space="0" w:color="auto"/>
        <w:left w:val="none" w:sz="0" w:space="0" w:color="auto"/>
        <w:bottom w:val="none" w:sz="0" w:space="0" w:color="auto"/>
        <w:right w:val="none" w:sz="0" w:space="0" w:color="auto"/>
      </w:divBdr>
    </w:div>
    <w:div w:id="1142844494">
      <w:bodyDiv w:val="1"/>
      <w:marLeft w:val="0"/>
      <w:marRight w:val="0"/>
      <w:marTop w:val="0"/>
      <w:marBottom w:val="0"/>
      <w:divBdr>
        <w:top w:val="none" w:sz="0" w:space="0" w:color="auto"/>
        <w:left w:val="none" w:sz="0" w:space="0" w:color="auto"/>
        <w:bottom w:val="none" w:sz="0" w:space="0" w:color="auto"/>
        <w:right w:val="none" w:sz="0" w:space="0" w:color="auto"/>
      </w:divBdr>
    </w:div>
    <w:div w:id="1155074858">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69246108">
      <w:bodyDiv w:val="1"/>
      <w:marLeft w:val="0"/>
      <w:marRight w:val="0"/>
      <w:marTop w:val="0"/>
      <w:marBottom w:val="0"/>
      <w:divBdr>
        <w:top w:val="none" w:sz="0" w:space="0" w:color="auto"/>
        <w:left w:val="none" w:sz="0" w:space="0" w:color="auto"/>
        <w:bottom w:val="none" w:sz="0" w:space="0" w:color="auto"/>
        <w:right w:val="none" w:sz="0" w:space="0" w:color="auto"/>
      </w:divBdr>
    </w:div>
    <w:div w:id="1171530766">
      <w:bodyDiv w:val="1"/>
      <w:marLeft w:val="0"/>
      <w:marRight w:val="0"/>
      <w:marTop w:val="0"/>
      <w:marBottom w:val="0"/>
      <w:divBdr>
        <w:top w:val="none" w:sz="0" w:space="0" w:color="auto"/>
        <w:left w:val="none" w:sz="0" w:space="0" w:color="auto"/>
        <w:bottom w:val="none" w:sz="0" w:space="0" w:color="auto"/>
        <w:right w:val="none" w:sz="0" w:space="0" w:color="auto"/>
      </w:divBdr>
    </w:div>
    <w:div w:id="1177771679">
      <w:bodyDiv w:val="1"/>
      <w:marLeft w:val="0"/>
      <w:marRight w:val="0"/>
      <w:marTop w:val="0"/>
      <w:marBottom w:val="0"/>
      <w:divBdr>
        <w:top w:val="none" w:sz="0" w:space="0" w:color="auto"/>
        <w:left w:val="none" w:sz="0" w:space="0" w:color="auto"/>
        <w:bottom w:val="none" w:sz="0" w:space="0" w:color="auto"/>
        <w:right w:val="none" w:sz="0" w:space="0" w:color="auto"/>
      </w:divBdr>
    </w:div>
    <w:div w:id="1180240458">
      <w:bodyDiv w:val="1"/>
      <w:marLeft w:val="0"/>
      <w:marRight w:val="0"/>
      <w:marTop w:val="0"/>
      <w:marBottom w:val="0"/>
      <w:divBdr>
        <w:top w:val="none" w:sz="0" w:space="0" w:color="auto"/>
        <w:left w:val="none" w:sz="0" w:space="0" w:color="auto"/>
        <w:bottom w:val="none" w:sz="0" w:space="0" w:color="auto"/>
        <w:right w:val="none" w:sz="0" w:space="0" w:color="auto"/>
      </w:divBdr>
    </w:div>
    <w:div w:id="1188300780">
      <w:bodyDiv w:val="1"/>
      <w:marLeft w:val="0"/>
      <w:marRight w:val="0"/>
      <w:marTop w:val="0"/>
      <w:marBottom w:val="0"/>
      <w:divBdr>
        <w:top w:val="none" w:sz="0" w:space="0" w:color="auto"/>
        <w:left w:val="none" w:sz="0" w:space="0" w:color="auto"/>
        <w:bottom w:val="none" w:sz="0" w:space="0" w:color="auto"/>
        <w:right w:val="none" w:sz="0" w:space="0" w:color="auto"/>
      </w:divBdr>
    </w:div>
    <w:div w:id="1203206522">
      <w:bodyDiv w:val="1"/>
      <w:marLeft w:val="0"/>
      <w:marRight w:val="0"/>
      <w:marTop w:val="0"/>
      <w:marBottom w:val="0"/>
      <w:divBdr>
        <w:top w:val="none" w:sz="0" w:space="0" w:color="auto"/>
        <w:left w:val="none" w:sz="0" w:space="0" w:color="auto"/>
        <w:bottom w:val="none" w:sz="0" w:space="0" w:color="auto"/>
        <w:right w:val="none" w:sz="0" w:space="0" w:color="auto"/>
      </w:divBdr>
    </w:div>
    <w:div w:id="1223713606">
      <w:bodyDiv w:val="1"/>
      <w:marLeft w:val="0"/>
      <w:marRight w:val="0"/>
      <w:marTop w:val="0"/>
      <w:marBottom w:val="0"/>
      <w:divBdr>
        <w:top w:val="none" w:sz="0" w:space="0" w:color="auto"/>
        <w:left w:val="none" w:sz="0" w:space="0" w:color="auto"/>
        <w:bottom w:val="none" w:sz="0" w:space="0" w:color="auto"/>
        <w:right w:val="none" w:sz="0" w:space="0" w:color="auto"/>
      </w:divBdr>
    </w:div>
    <w:div w:id="1225264835">
      <w:bodyDiv w:val="1"/>
      <w:marLeft w:val="0"/>
      <w:marRight w:val="0"/>
      <w:marTop w:val="0"/>
      <w:marBottom w:val="0"/>
      <w:divBdr>
        <w:top w:val="none" w:sz="0" w:space="0" w:color="auto"/>
        <w:left w:val="none" w:sz="0" w:space="0" w:color="auto"/>
        <w:bottom w:val="none" w:sz="0" w:space="0" w:color="auto"/>
        <w:right w:val="none" w:sz="0" w:space="0" w:color="auto"/>
      </w:divBdr>
    </w:div>
    <w:div w:id="1227493392">
      <w:bodyDiv w:val="1"/>
      <w:marLeft w:val="0"/>
      <w:marRight w:val="0"/>
      <w:marTop w:val="0"/>
      <w:marBottom w:val="0"/>
      <w:divBdr>
        <w:top w:val="none" w:sz="0" w:space="0" w:color="auto"/>
        <w:left w:val="none" w:sz="0" w:space="0" w:color="auto"/>
        <w:bottom w:val="none" w:sz="0" w:space="0" w:color="auto"/>
        <w:right w:val="none" w:sz="0" w:space="0" w:color="auto"/>
      </w:divBdr>
    </w:div>
    <w:div w:id="1232541043">
      <w:bodyDiv w:val="1"/>
      <w:marLeft w:val="0"/>
      <w:marRight w:val="0"/>
      <w:marTop w:val="0"/>
      <w:marBottom w:val="0"/>
      <w:divBdr>
        <w:top w:val="none" w:sz="0" w:space="0" w:color="auto"/>
        <w:left w:val="none" w:sz="0" w:space="0" w:color="auto"/>
        <w:bottom w:val="none" w:sz="0" w:space="0" w:color="auto"/>
        <w:right w:val="none" w:sz="0" w:space="0" w:color="auto"/>
      </w:divBdr>
    </w:div>
    <w:div w:id="1236357647">
      <w:bodyDiv w:val="1"/>
      <w:marLeft w:val="0"/>
      <w:marRight w:val="0"/>
      <w:marTop w:val="0"/>
      <w:marBottom w:val="0"/>
      <w:divBdr>
        <w:top w:val="none" w:sz="0" w:space="0" w:color="auto"/>
        <w:left w:val="none" w:sz="0" w:space="0" w:color="auto"/>
        <w:bottom w:val="none" w:sz="0" w:space="0" w:color="auto"/>
        <w:right w:val="none" w:sz="0" w:space="0" w:color="auto"/>
      </w:divBdr>
    </w:div>
    <w:div w:id="1237202123">
      <w:bodyDiv w:val="1"/>
      <w:marLeft w:val="0"/>
      <w:marRight w:val="0"/>
      <w:marTop w:val="0"/>
      <w:marBottom w:val="0"/>
      <w:divBdr>
        <w:top w:val="none" w:sz="0" w:space="0" w:color="auto"/>
        <w:left w:val="none" w:sz="0" w:space="0" w:color="auto"/>
        <w:bottom w:val="none" w:sz="0" w:space="0" w:color="auto"/>
        <w:right w:val="none" w:sz="0" w:space="0" w:color="auto"/>
      </w:divBdr>
    </w:div>
    <w:div w:id="1239633556">
      <w:bodyDiv w:val="1"/>
      <w:marLeft w:val="0"/>
      <w:marRight w:val="0"/>
      <w:marTop w:val="0"/>
      <w:marBottom w:val="0"/>
      <w:divBdr>
        <w:top w:val="none" w:sz="0" w:space="0" w:color="auto"/>
        <w:left w:val="none" w:sz="0" w:space="0" w:color="auto"/>
        <w:bottom w:val="none" w:sz="0" w:space="0" w:color="auto"/>
        <w:right w:val="none" w:sz="0" w:space="0" w:color="auto"/>
      </w:divBdr>
    </w:div>
    <w:div w:id="1247422179">
      <w:bodyDiv w:val="1"/>
      <w:marLeft w:val="0"/>
      <w:marRight w:val="0"/>
      <w:marTop w:val="0"/>
      <w:marBottom w:val="0"/>
      <w:divBdr>
        <w:top w:val="none" w:sz="0" w:space="0" w:color="auto"/>
        <w:left w:val="none" w:sz="0" w:space="0" w:color="auto"/>
        <w:bottom w:val="none" w:sz="0" w:space="0" w:color="auto"/>
        <w:right w:val="none" w:sz="0" w:space="0" w:color="auto"/>
      </w:divBdr>
    </w:div>
    <w:div w:id="1249264973">
      <w:bodyDiv w:val="1"/>
      <w:marLeft w:val="0"/>
      <w:marRight w:val="0"/>
      <w:marTop w:val="0"/>
      <w:marBottom w:val="0"/>
      <w:divBdr>
        <w:top w:val="none" w:sz="0" w:space="0" w:color="auto"/>
        <w:left w:val="none" w:sz="0" w:space="0" w:color="auto"/>
        <w:bottom w:val="none" w:sz="0" w:space="0" w:color="auto"/>
        <w:right w:val="none" w:sz="0" w:space="0" w:color="auto"/>
      </w:divBdr>
    </w:div>
    <w:div w:id="1250578035">
      <w:bodyDiv w:val="1"/>
      <w:marLeft w:val="0"/>
      <w:marRight w:val="0"/>
      <w:marTop w:val="0"/>
      <w:marBottom w:val="0"/>
      <w:divBdr>
        <w:top w:val="none" w:sz="0" w:space="0" w:color="auto"/>
        <w:left w:val="none" w:sz="0" w:space="0" w:color="auto"/>
        <w:bottom w:val="none" w:sz="0" w:space="0" w:color="auto"/>
        <w:right w:val="none" w:sz="0" w:space="0" w:color="auto"/>
      </w:divBdr>
    </w:div>
    <w:div w:id="1262252946">
      <w:bodyDiv w:val="1"/>
      <w:marLeft w:val="0"/>
      <w:marRight w:val="0"/>
      <w:marTop w:val="0"/>
      <w:marBottom w:val="0"/>
      <w:divBdr>
        <w:top w:val="none" w:sz="0" w:space="0" w:color="auto"/>
        <w:left w:val="none" w:sz="0" w:space="0" w:color="auto"/>
        <w:bottom w:val="none" w:sz="0" w:space="0" w:color="auto"/>
        <w:right w:val="none" w:sz="0" w:space="0" w:color="auto"/>
      </w:divBdr>
    </w:div>
    <w:div w:id="1268659185">
      <w:bodyDiv w:val="1"/>
      <w:marLeft w:val="0"/>
      <w:marRight w:val="0"/>
      <w:marTop w:val="0"/>
      <w:marBottom w:val="0"/>
      <w:divBdr>
        <w:top w:val="none" w:sz="0" w:space="0" w:color="auto"/>
        <w:left w:val="none" w:sz="0" w:space="0" w:color="auto"/>
        <w:bottom w:val="none" w:sz="0" w:space="0" w:color="auto"/>
        <w:right w:val="none" w:sz="0" w:space="0" w:color="auto"/>
      </w:divBdr>
    </w:div>
    <w:div w:id="1279750713">
      <w:bodyDiv w:val="1"/>
      <w:marLeft w:val="0"/>
      <w:marRight w:val="0"/>
      <w:marTop w:val="0"/>
      <w:marBottom w:val="0"/>
      <w:divBdr>
        <w:top w:val="none" w:sz="0" w:space="0" w:color="auto"/>
        <w:left w:val="none" w:sz="0" w:space="0" w:color="auto"/>
        <w:bottom w:val="none" w:sz="0" w:space="0" w:color="auto"/>
        <w:right w:val="none" w:sz="0" w:space="0" w:color="auto"/>
      </w:divBdr>
    </w:div>
    <w:div w:id="1280138889">
      <w:bodyDiv w:val="1"/>
      <w:marLeft w:val="0"/>
      <w:marRight w:val="0"/>
      <w:marTop w:val="0"/>
      <w:marBottom w:val="0"/>
      <w:divBdr>
        <w:top w:val="none" w:sz="0" w:space="0" w:color="auto"/>
        <w:left w:val="none" w:sz="0" w:space="0" w:color="auto"/>
        <w:bottom w:val="none" w:sz="0" w:space="0" w:color="auto"/>
        <w:right w:val="none" w:sz="0" w:space="0" w:color="auto"/>
      </w:divBdr>
    </w:div>
    <w:div w:id="1283027200">
      <w:bodyDiv w:val="1"/>
      <w:marLeft w:val="0"/>
      <w:marRight w:val="0"/>
      <w:marTop w:val="0"/>
      <w:marBottom w:val="0"/>
      <w:divBdr>
        <w:top w:val="none" w:sz="0" w:space="0" w:color="auto"/>
        <w:left w:val="none" w:sz="0" w:space="0" w:color="auto"/>
        <w:bottom w:val="none" w:sz="0" w:space="0" w:color="auto"/>
        <w:right w:val="none" w:sz="0" w:space="0" w:color="auto"/>
      </w:divBdr>
    </w:div>
    <w:div w:id="1299414810">
      <w:bodyDiv w:val="1"/>
      <w:marLeft w:val="0"/>
      <w:marRight w:val="0"/>
      <w:marTop w:val="0"/>
      <w:marBottom w:val="0"/>
      <w:divBdr>
        <w:top w:val="none" w:sz="0" w:space="0" w:color="auto"/>
        <w:left w:val="none" w:sz="0" w:space="0" w:color="auto"/>
        <w:bottom w:val="none" w:sz="0" w:space="0" w:color="auto"/>
        <w:right w:val="none" w:sz="0" w:space="0" w:color="auto"/>
      </w:divBdr>
    </w:div>
    <w:div w:id="1300307596">
      <w:bodyDiv w:val="1"/>
      <w:marLeft w:val="0"/>
      <w:marRight w:val="0"/>
      <w:marTop w:val="0"/>
      <w:marBottom w:val="0"/>
      <w:divBdr>
        <w:top w:val="none" w:sz="0" w:space="0" w:color="auto"/>
        <w:left w:val="none" w:sz="0" w:space="0" w:color="auto"/>
        <w:bottom w:val="none" w:sz="0" w:space="0" w:color="auto"/>
        <w:right w:val="none" w:sz="0" w:space="0" w:color="auto"/>
      </w:divBdr>
    </w:div>
    <w:div w:id="1304047365">
      <w:bodyDiv w:val="1"/>
      <w:marLeft w:val="0"/>
      <w:marRight w:val="0"/>
      <w:marTop w:val="0"/>
      <w:marBottom w:val="0"/>
      <w:divBdr>
        <w:top w:val="none" w:sz="0" w:space="0" w:color="auto"/>
        <w:left w:val="none" w:sz="0" w:space="0" w:color="auto"/>
        <w:bottom w:val="none" w:sz="0" w:space="0" w:color="auto"/>
        <w:right w:val="none" w:sz="0" w:space="0" w:color="auto"/>
      </w:divBdr>
    </w:div>
    <w:div w:id="1307130198">
      <w:bodyDiv w:val="1"/>
      <w:marLeft w:val="0"/>
      <w:marRight w:val="0"/>
      <w:marTop w:val="0"/>
      <w:marBottom w:val="0"/>
      <w:divBdr>
        <w:top w:val="none" w:sz="0" w:space="0" w:color="auto"/>
        <w:left w:val="none" w:sz="0" w:space="0" w:color="auto"/>
        <w:bottom w:val="none" w:sz="0" w:space="0" w:color="auto"/>
        <w:right w:val="none" w:sz="0" w:space="0" w:color="auto"/>
      </w:divBdr>
    </w:div>
    <w:div w:id="1310095173">
      <w:bodyDiv w:val="1"/>
      <w:marLeft w:val="0"/>
      <w:marRight w:val="0"/>
      <w:marTop w:val="0"/>
      <w:marBottom w:val="0"/>
      <w:divBdr>
        <w:top w:val="none" w:sz="0" w:space="0" w:color="auto"/>
        <w:left w:val="none" w:sz="0" w:space="0" w:color="auto"/>
        <w:bottom w:val="none" w:sz="0" w:space="0" w:color="auto"/>
        <w:right w:val="none" w:sz="0" w:space="0" w:color="auto"/>
      </w:divBdr>
    </w:div>
    <w:div w:id="1310868153">
      <w:bodyDiv w:val="1"/>
      <w:marLeft w:val="0"/>
      <w:marRight w:val="0"/>
      <w:marTop w:val="0"/>
      <w:marBottom w:val="0"/>
      <w:divBdr>
        <w:top w:val="none" w:sz="0" w:space="0" w:color="auto"/>
        <w:left w:val="none" w:sz="0" w:space="0" w:color="auto"/>
        <w:bottom w:val="none" w:sz="0" w:space="0" w:color="auto"/>
        <w:right w:val="none" w:sz="0" w:space="0" w:color="auto"/>
      </w:divBdr>
    </w:div>
    <w:div w:id="1329211047">
      <w:bodyDiv w:val="1"/>
      <w:marLeft w:val="0"/>
      <w:marRight w:val="0"/>
      <w:marTop w:val="0"/>
      <w:marBottom w:val="0"/>
      <w:divBdr>
        <w:top w:val="none" w:sz="0" w:space="0" w:color="auto"/>
        <w:left w:val="none" w:sz="0" w:space="0" w:color="auto"/>
        <w:bottom w:val="none" w:sz="0" w:space="0" w:color="auto"/>
        <w:right w:val="none" w:sz="0" w:space="0" w:color="auto"/>
      </w:divBdr>
    </w:div>
    <w:div w:id="1333223094">
      <w:bodyDiv w:val="1"/>
      <w:marLeft w:val="0"/>
      <w:marRight w:val="0"/>
      <w:marTop w:val="0"/>
      <w:marBottom w:val="0"/>
      <w:divBdr>
        <w:top w:val="none" w:sz="0" w:space="0" w:color="auto"/>
        <w:left w:val="none" w:sz="0" w:space="0" w:color="auto"/>
        <w:bottom w:val="none" w:sz="0" w:space="0" w:color="auto"/>
        <w:right w:val="none" w:sz="0" w:space="0" w:color="auto"/>
      </w:divBdr>
    </w:div>
    <w:div w:id="1334144065">
      <w:bodyDiv w:val="1"/>
      <w:marLeft w:val="0"/>
      <w:marRight w:val="0"/>
      <w:marTop w:val="0"/>
      <w:marBottom w:val="0"/>
      <w:divBdr>
        <w:top w:val="none" w:sz="0" w:space="0" w:color="auto"/>
        <w:left w:val="none" w:sz="0" w:space="0" w:color="auto"/>
        <w:bottom w:val="none" w:sz="0" w:space="0" w:color="auto"/>
        <w:right w:val="none" w:sz="0" w:space="0" w:color="auto"/>
      </w:divBdr>
    </w:div>
    <w:div w:id="1337071224">
      <w:bodyDiv w:val="1"/>
      <w:marLeft w:val="0"/>
      <w:marRight w:val="0"/>
      <w:marTop w:val="0"/>
      <w:marBottom w:val="0"/>
      <w:divBdr>
        <w:top w:val="none" w:sz="0" w:space="0" w:color="auto"/>
        <w:left w:val="none" w:sz="0" w:space="0" w:color="auto"/>
        <w:bottom w:val="none" w:sz="0" w:space="0" w:color="auto"/>
        <w:right w:val="none" w:sz="0" w:space="0" w:color="auto"/>
      </w:divBdr>
      <w:divsChild>
        <w:div w:id="503011116">
          <w:marLeft w:val="547"/>
          <w:marRight w:val="0"/>
          <w:marTop w:val="0"/>
          <w:marBottom w:val="0"/>
          <w:divBdr>
            <w:top w:val="none" w:sz="0" w:space="0" w:color="auto"/>
            <w:left w:val="none" w:sz="0" w:space="0" w:color="auto"/>
            <w:bottom w:val="none" w:sz="0" w:space="0" w:color="auto"/>
            <w:right w:val="none" w:sz="0" w:space="0" w:color="auto"/>
          </w:divBdr>
        </w:div>
      </w:divsChild>
    </w:div>
    <w:div w:id="1346443300">
      <w:bodyDiv w:val="1"/>
      <w:marLeft w:val="0"/>
      <w:marRight w:val="0"/>
      <w:marTop w:val="0"/>
      <w:marBottom w:val="0"/>
      <w:divBdr>
        <w:top w:val="none" w:sz="0" w:space="0" w:color="auto"/>
        <w:left w:val="none" w:sz="0" w:space="0" w:color="auto"/>
        <w:bottom w:val="none" w:sz="0" w:space="0" w:color="auto"/>
        <w:right w:val="none" w:sz="0" w:space="0" w:color="auto"/>
      </w:divBdr>
    </w:div>
    <w:div w:id="1347169350">
      <w:bodyDiv w:val="1"/>
      <w:marLeft w:val="0"/>
      <w:marRight w:val="0"/>
      <w:marTop w:val="0"/>
      <w:marBottom w:val="0"/>
      <w:divBdr>
        <w:top w:val="none" w:sz="0" w:space="0" w:color="auto"/>
        <w:left w:val="none" w:sz="0" w:space="0" w:color="auto"/>
        <w:bottom w:val="none" w:sz="0" w:space="0" w:color="auto"/>
        <w:right w:val="none" w:sz="0" w:space="0" w:color="auto"/>
      </w:divBdr>
    </w:div>
    <w:div w:id="1348411966">
      <w:bodyDiv w:val="1"/>
      <w:marLeft w:val="0"/>
      <w:marRight w:val="0"/>
      <w:marTop w:val="0"/>
      <w:marBottom w:val="0"/>
      <w:divBdr>
        <w:top w:val="none" w:sz="0" w:space="0" w:color="auto"/>
        <w:left w:val="none" w:sz="0" w:space="0" w:color="auto"/>
        <w:bottom w:val="none" w:sz="0" w:space="0" w:color="auto"/>
        <w:right w:val="none" w:sz="0" w:space="0" w:color="auto"/>
      </w:divBdr>
    </w:div>
    <w:div w:id="1358505429">
      <w:bodyDiv w:val="1"/>
      <w:marLeft w:val="0"/>
      <w:marRight w:val="0"/>
      <w:marTop w:val="0"/>
      <w:marBottom w:val="0"/>
      <w:divBdr>
        <w:top w:val="none" w:sz="0" w:space="0" w:color="auto"/>
        <w:left w:val="none" w:sz="0" w:space="0" w:color="auto"/>
        <w:bottom w:val="none" w:sz="0" w:space="0" w:color="auto"/>
        <w:right w:val="none" w:sz="0" w:space="0" w:color="auto"/>
      </w:divBdr>
    </w:div>
    <w:div w:id="1361468023">
      <w:bodyDiv w:val="1"/>
      <w:marLeft w:val="0"/>
      <w:marRight w:val="0"/>
      <w:marTop w:val="0"/>
      <w:marBottom w:val="0"/>
      <w:divBdr>
        <w:top w:val="none" w:sz="0" w:space="0" w:color="auto"/>
        <w:left w:val="none" w:sz="0" w:space="0" w:color="auto"/>
        <w:bottom w:val="none" w:sz="0" w:space="0" w:color="auto"/>
        <w:right w:val="none" w:sz="0" w:space="0" w:color="auto"/>
      </w:divBdr>
    </w:div>
    <w:div w:id="1389693304">
      <w:bodyDiv w:val="1"/>
      <w:marLeft w:val="0"/>
      <w:marRight w:val="0"/>
      <w:marTop w:val="0"/>
      <w:marBottom w:val="0"/>
      <w:divBdr>
        <w:top w:val="none" w:sz="0" w:space="0" w:color="auto"/>
        <w:left w:val="none" w:sz="0" w:space="0" w:color="auto"/>
        <w:bottom w:val="none" w:sz="0" w:space="0" w:color="auto"/>
        <w:right w:val="none" w:sz="0" w:space="0" w:color="auto"/>
      </w:divBdr>
    </w:div>
    <w:div w:id="1406535655">
      <w:bodyDiv w:val="1"/>
      <w:marLeft w:val="0"/>
      <w:marRight w:val="0"/>
      <w:marTop w:val="0"/>
      <w:marBottom w:val="0"/>
      <w:divBdr>
        <w:top w:val="none" w:sz="0" w:space="0" w:color="auto"/>
        <w:left w:val="none" w:sz="0" w:space="0" w:color="auto"/>
        <w:bottom w:val="none" w:sz="0" w:space="0" w:color="auto"/>
        <w:right w:val="none" w:sz="0" w:space="0" w:color="auto"/>
      </w:divBdr>
    </w:div>
    <w:div w:id="1408383829">
      <w:bodyDiv w:val="1"/>
      <w:marLeft w:val="0"/>
      <w:marRight w:val="0"/>
      <w:marTop w:val="0"/>
      <w:marBottom w:val="0"/>
      <w:divBdr>
        <w:top w:val="none" w:sz="0" w:space="0" w:color="auto"/>
        <w:left w:val="none" w:sz="0" w:space="0" w:color="auto"/>
        <w:bottom w:val="none" w:sz="0" w:space="0" w:color="auto"/>
        <w:right w:val="none" w:sz="0" w:space="0" w:color="auto"/>
      </w:divBdr>
    </w:div>
    <w:div w:id="1419132430">
      <w:bodyDiv w:val="1"/>
      <w:marLeft w:val="0"/>
      <w:marRight w:val="0"/>
      <w:marTop w:val="0"/>
      <w:marBottom w:val="0"/>
      <w:divBdr>
        <w:top w:val="none" w:sz="0" w:space="0" w:color="auto"/>
        <w:left w:val="none" w:sz="0" w:space="0" w:color="auto"/>
        <w:bottom w:val="none" w:sz="0" w:space="0" w:color="auto"/>
        <w:right w:val="none" w:sz="0" w:space="0" w:color="auto"/>
      </w:divBdr>
    </w:div>
    <w:div w:id="1453668534">
      <w:bodyDiv w:val="1"/>
      <w:marLeft w:val="0"/>
      <w:marRight w:val="0"/>
      <w:marTop w:val="0"/>
      <w:marBottom w:val="0"/>
      <w:divBdr>
        <w:top w:val="none" w:sz="0" w:space="0" w:color="auto"/>
        <w:left w:val="none" w:sz="0" w:space="0" w:color="auto"/>
        <w:bottom w:val="none" w:sz="0" w:space="0" w:color="auto"/>
        <w:right w:val="none" w:sz="0" w:space="0" w:color="auto"/>
      </w:divBdr>
    </w:div>
    <w:div w:id="1466700593">
      <w:bodyDiv w:val="1"/>
      <w:marLeft w:val="0"/>
      <w:marRight w:val="0"/>
      <w:marTop w:val="0"/>
      <w:marBottom w:val="0"/>
      <w:divBdr>
        <w:top w:val="none" w:sz="0" w:space="0" w:color="auto"/>
        <w:left w:val="none" w:sz="0" w:space="0" w:color="auto"/>
        <w:bottom w:val="none" w:sz="0" w:space="0" w:color="auto"/>
        <w:right w:val="none" w:sz="0" w:space="0" w:color="auto"/>
      </w:divBdr>
    </w:div>
    <w:div w:id="1472593951">
      <w:bodyDiv w:val="1"/>
      <w:marLeft w:val="0"/>
      <w:marRight w:val="0"/>
      <w:marTop w:val="0"/>
      <w:marBottom w:val="0"/>
      <w:divBdr>
        <w:top w:val="none" w:sz="0" w:space="0" w:color="auto"/>
        <w:left w:val="none" w:sz="0" w:space="0" w:color="auto"/>
        <w:bottom w:val="none" w:sz="0" w:space="0" w:color="auto"/>
        <w:right w:val="none" w:sz="0" w:space="0" w:color="auto"/>
      </w:divBdr>
    </w:div>
    <w:div w:id="1476067481">
      <w:bodyDiv w:val="1"/>
      <w:marLeft w:val="0"/>
      <w:marRight w:val="0"/>
      <w:marTop w:val="0"/>
      <w:marBottom w:val="0"/>
      <w:divBdr>
        <w:top w:val="none" w:sz="0" w:space="0" w:color="auto"/>
        <w:left w:val="none" w:sz="0" w:space="0" w:color="auto"/>
        <w:bottom w:val="none" w:sz="0" w:space="0" w:color="auto"/>
        <w:right w:val="none" w:sz="0" w:space="0" w:color="auto"/>
      </w:divBdr>
    </w:div>
    <w:div w:id="1479151810">
      <w:bodyDiv w:val="1"/>
      <w:marLeft w:val="0"/>
      <w:marRight w:val="0"/>
      <w:marTop w:val="0"/>
      <w:marBottom w:val="0"/>
      <w:divBdr>
        <w:top w:val="none" w:sz="0" w:space="0" w:color="auto"/>
        <w:left w:val="none" w:sz="0" w:space="0" w:color="auto"/>
        <w:bottom w:val="none" w:sz="0" w:space="0" w:color="auto"/>
        <w:right w:val="none" w:sz="0" w:space="0" w:color="auto"/>
      </w:divBdr>
    </w:div>
    <w:div w:id="1485856727">
      <w:bodyDiv w:val="1"/>
      <w:marLeft w:val="0"/>
      <w:marRight w:val="0"/>
      <w:marTop w:val="0"/>
      <w:marBottom w:val="0"/>
      <w:divBdr>
        <w:top w:val="none" w:sz="0" w:space="0" w:color="auto"/>
        <w:left w:val="none" w:sz="0" w:space="0" w:color="auto"/>
        <w:bottom w:val="none" w:sz="0" w:space="0" w:color="auto"/>
        <w:right w:val="none" w:sz="0" w:space="0" w:color="auto"/>
      </w:divBdr>
    </w:div>
    <w:div w:id="1487160895">
      <w:bodyDiv w:val="1"/>
      <w:marLeft w:val="0"/>
      <w:marRight w:val="0"/>
      <w:marTop w:val="0"/>
      <w:marBottom w:val="0"/>
      <w:divBdr>
        <w:top w:val="none" w:sz="0" w:space="0" w:color="auto"/>
        <w:left w:val="none" w:sz="0" w:space="0" w:color="auto"/>
        <w:bottom w:val="none" w:sz="0" w:space="0" w:color="auto"/>
        <w:right w:val="none" w:sz="0" w:space="0" w:color="auto"/>
      </w:divBdr>
    </w:div>
    <w:div w:id="1488743680">
      <w:bodyDiv w:val="1"/>
      <w:marLeft w:val="0"/>
      <w:marRight w:val="0"/>
      <w:marTop w:val="0"/>
      <w:marBottom w:val="0"/>
      <w:divBdr>
        <w:top w:val="none" w:sz="0" w:space="0" w:color="auto"/>
        <w:left w:val="none" w:sz="0" w:space="0" w:color="auto"/>
        <w:bottom w:val="none" w:sz="0" w:space="0" w:color="auto"/>
        <w:right w:val="none" w:sz="0" w:space="0" w:color="auto"/>
      </w:divBdr>
    </w:div>
    <w:div w:id="1522670427">
      <w:bodyDiv w:val="1"/>
      <w:marLeft w:val="0"/>
      <w:marRight w:val="0"/>
      <w:marTop w:val="0"/>
      <w:marBottom w:val="0"/>
      <w:divBdr>
        <w:top w:val="none" w:sz="0" w:space="0" w:color="auto"/>
        <w:left w:val="none" w:sz="0" w:space="0" w:color="auto"/>
        <w:bottom w:val="none" w:sz="0" w:space="0" w:color="auto"/>
        <w:right w:val="none" w:sz="0" w:space="0" w:color="auto"/>
      </w:divBdr>
    </w:div>
    <w:div w:id="1524902232">
      <w:bodyDiv w:val="1"/>
      <w:marLeft w:val="0"/>
      <w:marRight w:val="0"/>
      <w:marTop w:val="0"/>
      <w:marBottom w:val="0"/>
      <w:divBdr>
        <w:top w:val="none" w:sz="0" w:space="0" w:color="auto"/>
        <w:left w:val="none" w:sz="0" w:space="0" w:color="auto"/>
        <w:bottom w:val="none" w:sz="0" w:space="0" w:color="auto"/>
        <w:right w:val="none" w:sz="0" w:space="0" w:color="auto"/>
      </w:divBdr>
    </w:div>
    <w:div w:id="1525821291">
      <w:bodyDiv w:val="1"/>
      <w:marLeft w:val="0"/>
      <w:marRight w:val="0"/>
      <w:marTop w:val="0"/>
      <w:marBottom w:val="0"/>
      <w:divBdr>
        <w:top w:val="none" w:sz="0" w:space="0" w:color="auto"/>
        <w:left w:val="none" w:sz="0" w:space="0" w:color="auto"/>
        <w:bottom w:val="none" w:sz="0" w:space="0" w:color="auto"/>
        <w:right w:val="none" w:sz="0" w:space="0" w:color="auto"/>
      </w:divBdr>
    </w:div>
    <w:div w:id="1529172480">
      <w:bodyDiv w:val="1"/>
      <w:marLeft w:val="0"/>
      <w:marRight w:val="0"/>
      <w:marTop w:val="0"/>
      <w:marBottom w:val="0"/>
      <w:divBdr>
        <w:top w:val="none" w:sz="0" w:space="0" w:color="auto"/>
        <w:left w:val="none" w:sz="0" w:space="0" w:color="auto"/>
        <w:bottom w:val="none" w:sz="0" w:space="0" w:color="auto"/>
        <w:right w:val="none" w:sz="0" w:space="0" w:color="auto"/>
      </w:divBdr>
    </w:div>
    <w:div w:id="1530988500">
      <w:bodyDiv w:val="1"/>
      <w:marLeft w:val="0"/>
      <w:marRight w:val="0"/>
      <w:marTop w:val="0"/>
      <w:marBottom w:val="0"/>
      <w:divBdr>
        <w:top w:val="none" w:sz="0" w:space="0" w:color="auto"/>
        <w:left w:val="none" w:sz="0" w:space="0" w:color="auto"/>
        <w:bottom w:val="none" w:sz="0" w:space="0" w:color="auto"/>
        <w:right w:val="none" w:sz="0" w:space="0" w:color="auto"/>
      </w:divBdr>
    </w:div>
    <w:div w:id="1531993083">
      <w:bodyDiv w:val="1"/>
      <w:marLeft w:val="0"/>
      <w:marRight w:val="0"/>
      <w:marTop w:val="0"/>
      <w:marBottom w:val="0"/>
      <w:divBdr>
        <w:top w:val="none" w:sz="0" w:space="0" w:color="auto"/>
        <w:left w:val="none" w:sz="0" w:space="0" w:color="auto"/>
        <w:bottom w:val="none" w:sz="0" w:space="0" w:color="auto"/>
        <w:right w:val="none" w:sz="0" w:space="0" w:color="auto"/>
      </w:divBdr>
    </w:div>
    <w:div w:id="1541549981">
      <w:bodyDiv w:val="1"/>
      <w:marLeft w:val="0"/>
      <w:marRight w:val="0"/>
      <w:marTop w:val="0"/>
      <w:marBottom w:val="0"/>
      <w:divBdr>
        <w:top w:val="none" w:sz="0" w:space="0" w:color="auto"/>
        <w:left w:val="none" w:sz="0" w:space="0" w:color="auto"/>
        <w:bottom w:val="none" w:sz="0" w:space="0" w:color="auto"/>
        <w:right w:val="none" w:sz="0" w:space="0" w:color="auto"/>
      </w:divBdr>
    </w:div>
    <w:div w:id="1542790859">
      <w:bodyDiv w:val="1"/>
      <w:marLeft w:val="0"/>
      <w:marRight w:val="0"/>
      <w:marTop w:val="0"/>
      <w:marBottom w:val="0"/>
      <w:divBdr>
        <w:top w:val="none" w:sz="0" w:space="0" w:color="auto"/>
        <w:left w:val="none" w:sz="0" w:space="0" w:color="auto"/>
        <w:bottom w:val="none" w:sz="0" w:space="0" w:color="auto"/>
        <w:right w:val="none" w:sz="0" w:space="0" w:color="auto"/>
      </w:divBdr>
    </w:div>
    <w:div w:id="1543327975">
      <w:bodyDiv w:val="1"/>
      <w:marLeft w:val="0"/>
      <w:marRight w:val="0"/>
      <w:marTop w:val="0"/>
      <w:marBottom w:val="0"/>
      <w:divBdr>
        <w:top w:val="none" w:sz="0" w:space="0" w:color="auto"/>
        <w:left w:val="none" w:sz="0" w:space="0" w:color="auto"/>
        <w:bottom w:val="none" w:sz="0" w:space="0" w:color="auto"/>
        <w:right w:val="none" w:sz="0" w:space="0" w:color="auto"/>
      </w:divBdr>
    </w:div>
    <w:div w:id="1556431062">
      <w:bodyDiv w:val="1"/>
      <w:marLeft w:val="0"/>
      <w:marRight w:val="0"/>
      <w:marTop w:val="0"/>
      <w:marBottom w:val="0"/>
      <w:divBdr>
        <w:top w:val="none" w:sz="0" w:space="0" w:color="auto"/>
        <w:left w:val="none" w:sz="0" w:space="0" w:color="auto"/>
        <w:bottom w:val="none" w:sz="0" w:space="0" w:color="auto"/>
        <w:right w:val="none" w:sz="0" w:space="0" w:color="auto"/>
      </w:divBdr>
    </w:div>
    <w:div w:id="1559583901">
      <w:bodyDiv w:val="1"/>
      <w:marLeft w:val="0"/>
      <w:marRight w:val="0"/>
      <w:marTop w:val="0"/>
      <w:marBottom w:val="0"/>
      <w:divBdr>
        <w:top w:val="none" w:sz="0" w:space="0" w:color="auto"/>
        <w:left w:val="none" w:sz="0" w:space="0" w:color="auto"/>
        <w:bottom w:val="none" w:sz="0" w:space="0" w:color="auto"/>
        <w:right w:val="none" w:sz="0" w:space="0" w:color="auto"/>
      </w:divBdr>
    </w:div>
    <w:div w:id="1565677644">
      <w:bodyDiv w:val="1"/>
      <w:marLeft w:val="0"/>
      <w:marRight w:val="0"/>
      <w:marTop w:val="0"/>
      <w:marBottom w:val="0"/>
      <w:divBdr>
        <w:top w:val="none" w:sz="0" w:space="0" w:color="auto"/>
        <w:left w:val="none" w:sz="0" w:space="0" w:color="auto"/>
        <w:bottom w:val="none" w:sz="0" w:space="0" w:color="auto"/>
        <w:right w:val="none" w:sz="0" w:space="0" w:color="auto"/>
      </w:divBdr>
    </w:div>
    <w:div w:id="1581986831">
      <w:bodyDiv w:val="1"/>
      <w:marLeft w:val="0"/>
      <w:marRight w:val="0"/>
      <w:marTop w:val="0"/>
      <w:marBottom w:val="0"/>
      <w:divBdr>
        <w:top w:val="none" w:sz="0" w:space="0" w:color="auto"/>
        <w:left w:val="none" w:sz="0" w:space="0" w:color="auto"/>
        <w:bottom w:val="none" w:sz="0" w:space="0" w:color="auto"/>
        <w:right w:val="none" w:sz="0" w:space="0" w:color="auto"/>
      </w:divBdr>
    </w:div>
    <w:div w:id="1583178837">
      <w:bodyDiv w:val="1"/>
      <w:marLeft w:val="0"/>
      <w:marRight w:val="0"/>
      <w:marTop w:val="0"/>
      <w:marBottom w:val="0"/>
      <w:divBdr>
        <w:top w:val="none" w:sz="0" w:space="0" w:color="auto"/>
        <w:left w:val="none" w:sz="0" w:space="0" w:color="auto"/>
        <w:bottom w:val="none" w:sz="0" w:space="0" w:color="auto"/>
        <w:right w:val="none" w:sz="0" w:space="0" w:color="auto"/>
      </w:divBdr>
    </w:div>
    <w:div w:id="1584334882">
      <w:bodyDiv w:val="1"/>
      <w:marLeft w:val="0"/>
      <w:marRight w:val="0"/>
      <w:marTop w:val="0"/>
      <w:marBottom w:val="0"/>
      <w:divBdr>
        <w:top w:val="none" w:sz="0" w:space="0" w:color="auto"/>
        <w:left w:val="none" w:sz="0" w:space="0" w:color="auto"/>
        <w:bottom w:val="none" w:sz="0" w:space="0" w:color="auto"/>
        <w:right w:val="none" w:sz="0" w:space="0" w:color="auto"/>
      </w:divBdr>
    </w:div>
    <w:div w:id="1586958001">
      <w:bodyDiv w:val="1"/>
      <w:marLeft w:val="0"/>
      <w:marRight w:val="0"/>
      <w:marTop w:val="0"/>
      <w:marBottom w:val="0"/>
      <w:divBdr>
        <w:top w:val="none" w:sz="0" w:space="0" w:color="auto"/>
        <w:left w:val="none" w:sz="0" w:space="0" w:color="auto"/>
        <w:bottom w:val="none" w:sz="0" w:space="0" w:color="auto"/>
        <w:right w:val="none" w:sz="0" w:space="0" w:color="auto"/>
      </w:divBdr>
    </w:div>
    <w:div w:id="1588886324">
      <w:bodyDiv w:val="1"/>
      <w:marLeft w:val="0"/>
      <w:marRight w:val="0"/>
      <w:marTop w:val="0"/>
      <w:marBottom w:val="0"/>
      <w:divBdr>
        <w:top w:val="none" w:sz="0" w:space="0" w:color="auto"/>
        <w:left w:val="none" w:sz="0" w:space="0" w:color="auto"/>
        <w:bottom w:val="none" w:sz="0" w:space="0" w:color="auto"/>
        <w:right w:val="none" w:sz="0" w:space="0" w:color="auto"/>
      </w:divBdr>
    </w:div>
    <w:div w:id="1600210222">
      <w:bodyDiv w:val="1"/>
      <w:marLeft w:val="0"/>
      <w:marRight w:val="0"/>
      <w:marTop w:val="0"/>
      <w:marBottom w:val="0"/>
      <w:divBdr>
        <w:top w:val="none" w:sz="0" w:space="0" w:color="auto"/>
        <w:left w:val="none" w:sz="0" w:space="0" w:color="auto"/>
        <w:bottom w:val="none" w:sz="0" w:space="0" w:color="auto"/>
        <w:right w:val="none" w:sz="0" w:space="0" w:color="auto"/>
      </w:divBdr>
    </w:div>
    <w:div w:id="1615743087">
      <w:bodyDiv w:val="1"/>
      <w:marLeft w:val="0"/>
      <w:marRight w:val="0"/>
      <w:marTop w:val="0"/>
      <w:marBottom w:val="0"/>
      <w:divBdr>
        <w:top w:val="none" w:sz="0" w:space="0" w:color="auto"/>
        <w:left w:val="none" w:sz="0" w:space="0" w:color="auto"/>
        <w:bottom w:val="none" w:sz="0" w:space="0" w:color="auto"/>
        <w:right w:val="none" w:sz="0" w:space="0" w:color="auto"/>
      </w:divBdr>
    </w:div>
    <w:div w:id="1624533990">
      <w:bodyDiv w:val="1"/>
      <w:marLeft w:val="0"/>
      <w:marRight w:val="0"/>
      <w:marTop w:val="0"/>
      <w:marBottom w:val="0"/>
      <w:divBdr>
        <w:top w:val="none" w:sz="0" w:space="0" w:color="auto"/>
        <w:left w:val="none" w:sz="0" w:space="0" w:color="auto"/>
        <w:bottom w:val="none" w:sz="0" w:space="0" w:color="auto"/>
        <w:right w:val="none" w:sz="0" w:space="0" w:color="auto"/>
      </w:divBdr>
    </w:div>
    <w:div w:id="1634557392">
      <w:bodyDiv w:val="1"/>
      <w:marLeft w:val="0"/>
      <w:marRight w:val="0"/>
      <w:marTop w:val="0"/>
      <w:marBottom w:val="0"/>
      <w:divBdr>
        <w:top w:val="none" w:sz="0" w:space="0" w:color="auto"/>
        <w:left w:val="none" w:sz="0" w:space="0" w:color="auto"/>
        <w:bottom w:val="none" w:sz="0" w:space="0" w:color="auto"/>
        <w:right w:val="none" w:sz="0" w:space="0" w:color="auto"/>
      </w:divBdr>
    </w:div>
    <w:div w:id="1636108122">
      <w:bodyDiv w:val="1"/>
      <w:marLeft w:val="0"/>
      <w:marRight w:val="0"/>
      <w:marTop w:val="0"/>
      <w:marBottom w:val="0"/>
      <w:divBdr>
        <w:top w:val="none" w:sz="0" w:space="0" w:color="auto"/>
        <w:left w:val="none" w:sz="0" w:space="0" w:color="auto"/>
        <w:bottom w:val="none" w:sz="0" w:space="0" w:color="auto"/>
        <w:right w:val="none" w:sz="0" w:space="0" w:color="auto"/>
      </w:divBdr>
    </w:div>
    <w:div w:id="1642997422">
      <w:bodyDiv w:val="1"/>
      <w:marLeft w:val="0"/>
      <w:marRight w:val="0"/>
      <w:marTop w:val="0"/>
      <w:marBottom w:val="0"/>
      <w:divBdr>
        <w:top w:val="none" w:sz="0" w:space="0" w:color="auto"/>
        <w:left w:val="none" w:sz="0" w:space="0" w:color="auto"/>
        <w:bottom w:val="none" w:sz="0" w:space="0" w:color="auto"/>
        <w:right w:val="none" w:sz="0" w:space="0" w:color="auto"/>
      </w:divBdr>
    </w:div>
    <w:div w:id="1672758626">
      <w:bodyDiv w:val="1"/>
      <w:marLeft w:val="0"/>
      <w:marRight w:val="0"/>
      <w:marTop w:val="0"/>
      <w:marBottom w:val="0"/>
      <w:divBdr>
        <w:top w:val="none" w:sz="0" w:space="0" w:color="auto"/>
        <w:left w:val="none" w:sz="0" w:space="0" w:color="auto"/>
        <w:bottom w:val="none" w:sz="0" w:space="0" w:color="auto"/>
        <w:right w:val="none" w:sz="0" w:space="0" w:color="auto"/>
      </w:divBdr>
    </w:div>
    <w:div w:id="1679965536">
      <w:bodyDiv w:val="1"/>
      <w:marLeft w:val="0"/>
      <w:marRight w:val="0"/>
      <w:marTop w:val="0"/>
      <w:marBottom w:val="0"/>
      <w:divBdr>
        <w:top w:val="none" w:sz="0" w:space="0" w:color="auto"/>
        <w:left w:val="none" w:sz="0" w:space="0" w:color="auto"/>
        <w:bottom w:val="none" w:sz="0" w:space="0" w:color="auto"/>
        <w:right w:val="none" w:sz="0" w:space="0" w:color="auto"/>
      </w:divBdr>
    </w:div>
    <w:div w:id="1687751175">
      <w:bodyDiv w:val="1"/>
      <w:marLeft w:val="0"/>
      <w:marRight w:val="0"/>
      <w:marTop w:val="0"/>
      <w:marBottom w:val="0"/>
      <w:divBdr>
        <w:top w:val="none" w:sz="0" w:space="0" w:color="auto"/>
        <w:left w:val="none" w:sz="0" w:space="0" w:color="auto"/>
        <w:bottom w:val="none" w:sz="0" w:space="0" w:color="auto"/>
        <w:right w:val="none" w:sz="0" w:space="0" w:color="auto"/>
      </w:divBdr>
    </w:div>
    <w:div w:id="1690838855">
      <w:bodyDiv w:val="1"/>
      <w:marLeft w:val="0"/>
      <w:marRight w:val="0"/>
      <w:marTop w:val="0"/>
      <w:marBottom w:val="0"/>
      <w:divBdr>
        <w:top w:val="none" w:sz="0" w:space="0" w:color="auto"/>
        <w:left w:val="none" w:sz="0" w:space="0" w:color="auto"/>
        <w:bottom w:val="none" w:sz="0" w:space="0" w:color="auto"/>
        <w:right w:val="none" w:sz="0" w:space="0" w:color="auto"/>
      </w:divBdr>
    </w:div>
    <w:div w:id="1691493485">
      <w:bodyDiv w:val="1"/>
      <w:marLeft w:val="0"/>
      <w:marRight w:val="0"/>
      <w:marTop w:val="0"/>
      <w:marBottom w:val="0"/>
      <w:divBdr>
        <w:top w:val="none" w:sz="0" w:space="0" w:color="auto"/>
        <w:left w:val="none" w:sz="0" w:space="0" w:color="auto"/>
        <w:bottom w:val="none" w:sz="0" w:space="0" w:color="auto"/>
        <w:right w:val="none" w:sz="0" w:space="0" w:color="auto"/>
      </w:divBdr>
    </w:div>
    <w:div w:id="1696538226">
      <w:bodyDiv w:val="1"/>
      <w:marLeft w:val="0"/>
      <w:marRight w:val="0"/>
      <w:marTop w:val="0"/>
      <w:marBottom w:val="0"/>
      <w:divBdr>
        <w:top w:val="none" w:sz="0" w:space="0" w:color="auto"/>
        <w:left w:val="none" w:sz="0" w:space="0" w:color="auto"/>
        <w:bottom w:val="none" w:sz="0" w:space="0" w:color="auto"/>
        <w:right w:val="none" w:sz="0" w:space="0" w:color="auto"/>
      </w:divBdr>
    </w:div>
    <w:div w:id="1698314533">
      <w:bodyDiv w:val="1"/>
      <w:marLeft w:val="0"/>
      <w:marRight w:val="0"/>
      <w:marTop w:val="0"/>
      <w:marBottom w:val="0"/>
      <w:divBdr>
        <w:top w:val="none" w:sz="0" w:space="0" w:color="auto"/>
        <w:left w:val="none" w:sz="0" w:space="0" w:color="auto"/>
        <w:bottom w:val="none" w:sz="0" w:space="0" w:color="auto"/>
        <w:right w:val="none" w:sz="0" w:space="0" w:color="auto"/>
      </w:divBdr>
    </w:div>
    <w:div w:id="1707021714">
      <w:bodyDiv w:val="1"/>
      <w:marLeft w:val="0"/>
      <w:marRight w:val="0"/>
      <w:marTop w:val="0"/>
      <w:marBottom w:val="0"/>
      <w:divBdr>
        <w:top w:val="none" w:sz="0" w:space="0" w:color="auto"/>
        <w:left w:val="none" w:sz="0" w:space="0" w:color="auto"/>
        <w:bottom w:val="none" w:sz="0" w:space="0" w:color="auto"/>
        <w:right w:val="none" w:sz="0" w:space="0" w:color="auto"/>
      </w:divBdr>
    </w:div>
    <w:div w:id="1711421719">
      <w:bodyDiv w:val="1"/>
      <w:marLeft w:val="0"/>
      <w:marRight w:val="0"/>
      <w:marTop w:val="0"/>
      <w:marBottom w:val="0"/>
      <w:divBdr>
        <w:top w:val="none" w:sz="0" w:space="0" w:color="auto"/>
        <w:left w:val="none" w:sz="0" w:space="0" w:color="auto"/>
        <w:bottom w:val="none" w:sz="0" w:space="0" w:color="auto"/>
        <w:right w:val="none" w:sz="0" w:space="0" w:color="auto"/>
      </w:divBdr>
    </w:div>
    <w:div w:id="1719091507">
      <w:bodyDiv w:val="1"/>
      <w:marLeft w:val="0"/>
      <w:marRight w:val="0"/>
      <w:marTop w:val="0"/>
      <w:marBottom w:val="0"/>
      <w:divBdr>
        <w:top w:val="none" w:sz="0" w:space="0" w:color="auto"/>
        <w:left w:val="none" w:sz="0" w:space="0" w:color="auto"/>
        <w:bottom w:val="none" w:sz="0" w:space="0" w:color="auto"/>
        <w:right w:val="none" w:sz="0" w:space="0" w:color="auto"/>
      </w:divBdr>
    </w:div>
    <w:div w:id="1725132854">
      <w:bodyDiv w:val="1"/>
      <w:marLeft w:val="0"/>
      <w:marRight w:val="0"/>
      <w:marTop w:val="0"/>
      <w:marBottom w:val="0"/>
      <w:divBdr>
        <w:top w:val="none" w:sz="0" w:space="0" w:color="auto"/>
        <w:left w:val="none" w:sz="0" w:space="0" w:color="auto"/>
        <w:bottom w:val="none" w:sz="0" w:space="0" w:color="auto"/>
        <w:right w:val="none" w:sz="0" w:space="0" w:color="auto"/>
      </w:divBdr>
    </w:div>
    <w:div w:id="1733772230">
      <w:bodyDiv w:val="1"/>
      <w:marLeft w:val="0"/>
      <w:marRight w:val="0"/>
      <w:marTop w:val="0"/>
      <w:marBottom w:val="0"/>
      <w:divBdr>
        <w:top w:val="none" w:sz="0" w:space="0" w:color="auto"/>
        <w:left w:val="none" w:sz="0" w:space="0" w:color="auto"/>
        <w:bottom w:val="none" w:sz="0" w:space="0" w:color="auto"/>
        <w:right w:val="none" w:sz="0" w:space="0" w:color="auto"/>
      </w:divBdr>
    </w:div>
    <w:div w:id="1745951459">
      <w:bodyDiv w:val="1"/>
      <w:marLeft w:val="0"/>
      <w:marRight w:val="0"/>
      <w:marTop w:val="0"/>
      <w:marBottom w:val="0"/>
      <w:divBdr>
        <w:top w:val="none" w:sz="0" w:space="0" w:color="auto"/>
        <w:left w:val="none" w:sz="0" w:space="0" w:color="auto"/>
        <w:bottom w:val="none" w:sz="0" w:space="0" w:color="auto"/>
        <w:right w:val="none" w:sz="0" w:space="0" w:color="auto"/>
      </w:divBdr>
    </w:div>
    <w:div w:id="1750079041">
      <w:bodyDiv w:val="1"/>
      <w:marLeft w:val="0"/>
      <w:marRight w:val="0"/>
      <w:marTop w:val="0"/>
      <w:marBottom w:val="0"/>
      <w:divBdr>
        <w:top w:val="none" w:sz="0" w:space="0" w:color="auto"/>
        <w:left w:val="none" w:sz="0" w:space="0" w:color="auto"/>
        <w:bottom w:val="none" w:sz="0" w:space="0" w:color="auto"/>
        <w:right w:val="none" w:sz="0" w:space="0" w:color="auto"/>
      </w:divBdr>
    </w:div>
    <w:div w:id="1774016527">
      <w:bodyDiv w:val="1"/>
      <w:marLeft w:val="0"/>
      <w:marRight w:val="0"/>
      <w:marTop w:val="0"/>
      <w:marBottom w:val="0"/>
      <w:divBdr>
        <w:top w:val="none" w:sz="0" w:space="0" w:color="auto"/>
        <w:left w:val="none" w:sz="0" w:space="0" w:color="auto"/>
        <w:bottom w:val="none" w:sz="0" w:space="0" w:color="auto"/>
        <w:right w:val="none" w:sz="0" w:space="0" w:color="auto"/>
      </w:divBdr>
    </w:div>
    <w:div w:id="1782525576">
      <w:bodyDiv w:val="1"/>
      <w:marLeft w:val="0"/>
      <w:marRight w:val="0"/>
      <w:marTop w:val="0"/>
      <w:marBottom w:val="0"/>
      <w:divBdr>
        <w:top w:val="none" w:sz="0" w:space="0" w:color="auto"/>
        <w:left w:val="none" w:sz="0" w:space="0" w:color="auto"/>
        <w:bottom w:val="none" w:sz="0" w:space="0" w:color="auto"/>
        <w:right w:val="none" w:sz="0" w:space="0" w:color="auto"/>
      </w:divBdr>
    </w:div>
    <w:div w:id="1784225887">
      <w:bodyDiv w:val="1"/>
      <w:marLeft w:val="0"/>
      <w:marRight w:val="0"/>
      <w:marTop w:val="0"/>
      <w:marBottom w:val="0"/>
      <w:divBdr>
        <w:top w:val="none" w:sz="0" w:space="0" w:color="auto"/>
        <w:left w:val="none" w:sz="0" w:space="0" w:color="auto"/>
        <w:bottom w:val="none" w:sz="0" w:space="0" w:color="auto"/>
        <w:right w:val="none" w:sz="0" w:space="0" w:color="auto"/>
      </w:divBdr>
    </w:div>
    <w:div w:id="1795713066">
      <w:bodyDiv w:val="1"/>
      <w:marLeft w:val="0"/>
      <w:marRight w:val="0"/>
      <w:marTop w:val="0"/>
      <w:marBottom w:val="0"/>
      <w:divBdr>
        <w:top w:val="none" w:sz="0" w:space="0" w:color="auto"/>
        <w:left w:val="none" w:sz="0" w:space="0" w:color="auto"/>
        <w:bottom w:val="none" w:sz="0" w:space="0" w:color="auto"/>
        <w:right w:val="none" w:sz="0" w:space="0" w:color="auto"/>
      </w:divBdr>
    </w:div>
    <w:div w:id="1820223595">
      <w:bodyDiv w:val="1"/>
      <w:marLeft w:val="0"/>
      <w:marRight w:val="0"/>
      <w:marTop w:val="0"/>
      <w:marBottom w:val="0"/>
      <w:divBdr>
        <w:top w:val="none" w:sz="0" w:space="0" w:color="auto"/>
        <w:left w:val="none" w:sz="0" w:space="0" w:color="auto"/>
        <w:bottom w:val="none" w:sz="0" w:space="0" w:color="auto"/>
        <w:right w:val="none" w:sz="0" w:space="0" w:color="auto"/>
      </w:divBdr>
    </w:div>
    <w:div w:id="1827432906">
      <w:bodyDiv w:val="1"/>
      <w:marLeft w:val="0"/>
      <w:marRight w:val="0"/>
      <w:marTop w:val="0"/>
      <w:marBottom w:val="0"/>
      <w:divBdr>
        <w:top w:val="none" w:sz="0" w:space="0" w:color="auto"/>
        <w:left w:val="none" w:sz="0" w:space="0" w:color="auto"/>
        <w:bottom w:val="none" w:sz="0" w:space="0" w:color="auto"/>
        <w:right w:val="none" w:sz="0" w:space="0" w:color="auto"/>
      </w:divBdr>
    </w:div>
    <w:div w:id="1829127275">
      <w:bodyDiv w:val="1"/>
      <w:marLeft w:val="0"/>
      <w:marRight w:val="0"/>
      <w:marTop w:val="0"/>
      <w:marBottom w:val="0"/>
      <w:divBdr>
        <w:top w:val="none" w:sz="0" w:space="0" w:color="auto"/>
        <w:left w:val="none" w:sz="0" w:space="0" w:color="auto"/>
        <w:bottom w:val="none" w:sz="0" w:space="0" w:color="auto"/>
        <w:right w:val="none" w:sz="0" w:space="0" w:color="auto"/>
      </w:divBdr>
    </w:div>
    <w:div w:id="1830554054">
      <w:bodyDiv w:val="1"/>
      <w:marLeft w:val="0"/>
      <w:marRight w:val="0"/>
      <w:marTop w:val="0"/>
      <w:marBottom w:val="0"/>
      <w:divBdr>
        <w:top w:val="none" w:sz="0" w:space="0" w:color="auto"/>
        <w:left w:val="none" w:sz="0" w:space="0" w:color="auto"/>
        <w:bottom w:val="none" w:sz="0" w:space="0" w:color="auto"/>
        <w:right w:val="none" w:sz="0" w:space="0" w:color="auto"/>
      </w:divBdr>
    </w:div>
    <w:div w:id="1859462531">
      <w:bodyDiv w:val="1"/>
      <w:marLeft w:val="0"/>
      <w:marRight w:val="0"/>
      <w:marTop w:val="0"/>
      <w:marBottom w:val="0"/>
      <w:divBdr>
        <w:top w:val="none" w:sz="0" w:space="0" w:color="auto"/>
        <w:left w:val="none" w:sz="0" w:space="0" w:color="auto"/>
        <w:bottom w:val="none" w:sz="0" w:space="0" w:color="auto"/>
        <w:right w:val="none" w:sz="0" w:space="0" w:color="auto"/>
      </w:divBdr>
    </w:div>
    <w:div w:id="1866282960">
      <w:bodyDiv w:val="1"/>
      <w:marLeft w:val="0"/>
      <w:marRight w:val="0"/>
      <w:marTop w:val="0"/>
      <w:marBottom w:val="0"/>
      <w:divBdr>
        <w:top w:val="none" w:sz="0" w:space="0" w:color="auto"/>
        <w:left w:val="none" w:sz="0" w:space="0" w:color="auto"/>
        <w:bottom w:val="none" w:sz="0" w:space="0" w:color="auto"/>
        <w:right w:val="none" w:sz="0" w:space="0" w:color="auto"/>
      </w:divBdr>
    </w:div>
    <w:div w:id="1875193063">
      <w:bodyDiv w:val="1"/>
      <w:marLeft w:val="0"/>
      <w:marRight w:val="0"/>
      <w:marTop w:val="0"/>
      <w:marBottom w:val="0"/>
      <w:divBdr>
        <w:top w:val="none" w:sz="0" w:space="0" w:color="auto"/>
        <w:left w:val="none" w:sz="0" w:space="0" w:color="auto"/>
        <w:bottom w:val="none" w:sz="0" w:space="0" w:color="auto"/>
        <w:right w:val="none" w:sz="0" w:space="0" w:color="auto"/>
      </w:divBdr>
    </w:div>
    <w:div w:id="1881819611">
      <w:bodyDiv w:val="1"/>
      <w:marLeft w:val="0"/>
      <w:marRight w:val="0"/>
      <w:marTop w:val="0"/>
      <w:marBottom w:val="0"/>
      <w:divBdr>
        <w:top w:val="none" w:sz="0" w:space="0" w:color="auto"/>
        <w:left w:val="none" w:sz="0" w:space="0" w:color="auto"/>
        <w:bottom w:val="none" w:sz="0" w:space="0" w:color="auto"/>
        <w:right w:val="none" w:sz="0" w:space="0" w:color="auto"/>
      </w:divBdr>
    </w:div>
    <w:div w:id="1894002031">
      <w:bodyDiv w:val="1"/>
      <w:marLeft w:val="0"/>
      <w:marRight w:val="0"/>
      <w:marTop w:val="0"/>
      <w:marBottom w:val="0"/>
      <w:divBdr>
        <w:top w:val="none" w:sz="0" w:space="0" w:color="auto"/>
        <w:left w:val="none" w:sz="0" w:space="0" w:color="auto"/>
        <w:bottom w:val="none" w:sz="0" w:space="0" w:color="auto"/>
        <w:right w:val="none" w:sz="0" w:space="0" w:color="auto"/>
      </w:divBdr>
    </w:div>
    <w:div w:id="1895385168">
      <w:bodyDiv w:val="1"/>
      <w:marLeft w:val="0"/>
      <w:marRight w:val="0"/>
      <w:marTop w:val="0"/>
      <w:marBottom w:val="0"/>
      <w:divBdr>
        <w:top w:val="none" w:sz="0" w:space="0" w:color="auto"/>
        <w:left w:val="none" w:sz="0" w:space="0" w:color="auto"/>
        <w:bottom w:val="none" w:sz="0" w:space="0" w:color="auto"/>
        <w:right w:val="none" w:sz="0" w:space="0" w:color="auto"/>
      </w:divBdr>
    </w:div>
    <w:div w:id="1899244096">
      <w:bodyDiv w:val="1"/>
      <w:marLeft w:val="0"/>
      <w:marRight w:val="0"/>
      <w:marTop w:val="0"/>
      <w:marBottom w:val="0"/>
      <w:divBdr>
        <w:top w:val="none" w:sz="0" w:space="0" w:color="auto"/>
        <w:left w:val="none" w:sz="0" w:space="0" w:color="auto"/>
        <w:bottom w:val="none" w:sz="0" w:space="0" w:color="auto"/>
        <w:right w:val="none" w:sz="0" w:space="0" w:color="auto"/>
      </w:divBdr>
    </w:div>
    <w:div w:id="1909416915">
      <w:bodyDiv w:val="1"/>
      <w:marLeft w:val="0"/>
      <w:marRight w:val="0"/>
      <w:marTop w:val="0"/>
      <w:marBottom w:val="0"/>
      <w:divBdr>
        <w:top w:val="none" w:sz="0" w:space="0" w:color="auto"/>
        <w:left w:val="none" w:sz="0" w:space="0" w:color="auto"/>
        <w:bottom w:val="none" w:sz="0" w:space="0" w:color="auto"/>
        <w:right w:val="none" w:sz="0" w:space="0" w:color="auto"/>
      </w:divBdr>
    </w:div>
    <w:div w:id="1935625474">
      <w:bodyDiv w:val="1"/>
      <w:marLeft w:val="0"/>
      <w:marRight w:val="0"/>
      <w:marTop w:val="0"/>
      <w:marBottom w:val="0"/>
      <w:divBdr>
        <w:top w:val="none" w:sz="0" w:space="0" w:color="auto"/>
        <w:left w:val="none" w:sz="0" w:space="0" w:color="auto"/>
        <w:bottom w:val="none" w:sz="0" w:space="0" w:color="auto"/>
        <w:right w:val="none" w:sz="0" w:space="0" w:color="auto"/>
      </w:divBdr>
    </w:div>
    <w:div w:id="1937864933">
      <w:bodyDiv w:val="1"/>
      <w:marLeft w:val="0"/>
      <w:marRight w:val="0"/>
      <w:marTop w:val="0"/>
      <w:marBottom w:val="0"/>
      <w:divBdr>
        <w:top w:val="none" w:sz="0" w:space="0" w:color="auto"/>
        <w:left w:val="none" w:sz="0" w:space="0" w:color="auto"/>
        <w:bottom w:val="none" w:sz="0" w:space="0" w:color="auto"/>
        <w:right w:val="none" w:sz="0" w:space="0" w:color="auto"/>
      </w:divBdr>
    </w:div>
    <w:div w:id="1941913910">
      <w:bodyDiv w:val="1"/>
      <w:marLeft w:val="0"/>
      <w:marRight w:val="0"/>
      <w:marTop w:val="0"/>
      <w:marBottom w:val="0"/>
      <w:divBdr>
        <w:top w:val="none" w:sz="0" w:space="0" w:color="auto"/>
        <w:left w:val="none" w:sz="0" w:space="0" w:color="auto"/>
        <w:bottom w:val="none" w:sz="0" w:space="0" w:color="auto"/>
        <w:right w:val="none" w:sz="0" w:space="0" w:color="auto"/>
      </w:divBdr>
    </w:div>
    <w:div w:id="1945846585">
      <w:bodyDiv w:val="1"/>
      <w:marLeft w:val="0"/>
      <w:marRight w:val="0"/>
      <w:marTop w:val="0"/>
      <w:marBottom w:val="0"/>
      <w:divBdr>
        <w:top w:val="none" w:sz="0" w:space="0" w:color="auto"/>
        <w:left w:val="none" w:sz="0" w:space="0" w:color="auto"/>
        <w:bottom w:val="none" w:sz="0" w:space="0" w:color="auto"/>
        <w:right w:val="none" w:sz="0" w:space="0" w:color="auto"/>
      </w:divBdr>
    </w:div>
    <w:div w:id="1946571779">
      <w:bodyDiv w:val="1"/>
      <w:marLeft w:val="0"/>
      <w:marRight w:val="0"/>
      <w:marTop w:val="0"/>
      <w:marBottom w:val="0"/>
      <w:divBdr>
        <w:top w:val="none" w:sz="0" w:space="0" w:color="auto"/>
        <w:left w:val="none" w:sz="0" w:space="0" w:color="auto"/>
        <w:bottom w:val="none" w:sz="0" w:space="0" w:color="auto"/>
        <w:right w:val="none" w:sz="0" w:space="0" w:color="auto"/>
      </w:divBdr>
    </w:div>
    <w:div w:id="1949655899">
      <w:bodyDiv w:val="1"/>
      <w:marLeft w:val="0"/>
      <w:marRight w:val="0"/>
      <w:marTop w:val="0"/>
      <w:marBottom w:val="0"/>
      <w:divBdr>
        <w:top w:val="none" w:sz="0" w:space="0" w:color="auto"/>
        <w:left w:val="none" w:sz="0" w:space="0" w:color="auto"/>
        <w:bottom w:val="none" w:sz="0" w:space="0" w:color="auto"/>
        <w:right w:val="none" w:sz="0" w:space="0" w:color="auto"/>
      </w:divBdr>
    </w:div>
    <w:div w:id="1959991645">
      <w:bodyDiv w:val="1"/>
      <w:marLeft w:val="0"/>
      <w:marRight w:val="0"/>
      <w:marTop w:val="0"/>
      <w:marBottom w:val="0"/>
      <w:divBdr>
        <w:top w:val="none" w:sz="0" w:space="0" w:color="auto"/>
        <w:left w:val="none" w:sz="0" w:space="0" w:color="auto"/>
        <w:bottom w:val="none" w:sz="0" w:space="0" w:color="auto"/>
        <w:right w:val="none" w:sz="0" w:space="0" w:color="auto"/>
      </w:divBdr>
    </w:div>
    <w:div w:id="1963032442">
      <w:bodyDiv w:val="1"/>
      <w:marLeft w:val="0"/>
      <w:marRight w:val="0"/>
      <w:marTop w:val="0"/>
      <w:marBottom w:val="0"/>
      <w:divBdr>
        <w:top w:val="none" w:sz="0" w:space="0" w:color="auto"/>
        <w:left w:val="none" w:sz="0" w:space="0" w:color="auto"/>
        <w:bottom w:val="none" w:sz="0" w:space="0" w:color="auto"/>
        <w:right w:val="none" w:sz="0" w:space="0" w:color="auto"/>
      </w:divBdr>
    </w:div>
    <w:div w:id="1992052033">
      <w:bodyDiv w:val="1"/>
      <w:marLeft w:val="0"/>
      <w:marRight w:val="0"/>
      <w:marTop w:val="0"/>
      <w:marBottom w:val="0"/>
      <w:divBdr>
        <w:top w:val="none" w:sz="0" w:space="0" w:color="auto"/>
        <w:left w:val="none" w:sz="0" w:space="0" w:color="auto"/>
        <w:bottom w:val="none" w:sz="0" w:space="0" w:color="auto"/>
        <w:right w:val="none" w:sz="0" w:space="0" w:color="auto"/>
      </w:divBdr>
    </w:div>
    <w:div w:id="2002586861">
      <w:bodyDiv w:val="1"/>
      <w:marLeft w:val="0"/>
      <w:marRight w:val="0"/>
      <w:marTop w:val="0"/>
      <w:marBottom w:val="0"/>
      <w:divBdr>
        <w:top w:val="none" w:sz="0" w:space="0" w:color="auto"/>
        <w:left w:val="none" w:sz="0" w:space="0" w:color="auto"/>
        <w:bottom w:val="none" w:sz="0" w:space="0" w:color="auto"/>
        <w:right w:val="none" w:sz="0" w:space="0" w:color="auto"/>
      </w:divBdr>
    </w:div>
    <w:div w:id="2004121800">
      <w:bodyDiv w:val="1"/>
      <w:marLeft w:val="0"/>
      <w:marRight w:val="0"/>
      <w:marTop w:val="0"/>
      <w:marBottom w:val="0"/>
      <w:divBdr>
        <w:top w:val="none" w:sz="0" w:space="0" w:color="auto"/>
        <w:left w:val="none" w:sz="0" w:space="0" w:color="auto"/>
        <w:bottom w:val="none" w:sz="0" w:space="0" w:color="auto"/>
        <w:right w:val="none" w:sz="0" w:space="0" w:color="auto"/>
      </w:divBdr>
    </w:div>
    <w:div w:id="2008946759">
      <w:bodyDiv w:val="1"/>
      <w:marLeft w:val="0"/>
      <w:marRight w:val="0"/>
      <w:marTop w:val="0"/>
      <w:marBottom w:val="0"/>
      <w:divBdr>
        <w:top w:val="none" w:sz="0" w:space="0" w:color="auto"/>
        <w:left w:val="none" w:sz="0" w:space="0" w:color="auto"/>
        <w:bottom w:val="none" w:sz="0" w:space="0" w:color="auto"/>
        <w:right w:val="none" w:sz="0" w:space="0" w:color="auto"/>
      </w:divBdr>
    </w:div>
    <w:div w:id="2015104000">
      <w:bodyDiv w:val="1"/>
      <w:marLeft w:val="0"/>
      <w:marRight w:val="0"/>
      <w:marTop w:val="0"/>
      <w:marBottom w:val="0"/>
      <w:divBdr>
        <w:top w:val="none" w:sz="0" w:space="0" w:color="auto"/>
        <w:left w:val="none" w:sz="0" w:space="0" w:color="auto"/>
        <w:bottom w:val="none" w:sz="0" w:space="0" w:color="auto"/>
        <w:right w:val="none" w:sz="0" w:space="0" w:color="auto"/>
      </w:divBdr>
    </w:div>
    <w:div w:id="2026050713">
      <w:bodyDiv w:val="1"/>
      <w:marLeft w:val="0"/>
      <w:marRight w:val="0"/>
      <w:marTop w:val="0"/>
      <w:marBottom w:val="0"/>
      <w:divBdr>
        <w:top w:val="none" w:sz="0" w:space="0" w:color="auto"/>
        <w:left w:val="none" w:sz="0" w:space="0" w:color="auto"/>
        <w:bottom w:val="none" w:sz="0" w:space="0" w:color="auto"/>
        <w:right w:val="none" w:sz="0" w:space="0" w:color="auto"/>
      </w:divBdr>
    </w:div>
    <w:div w:id="2027322203">
      <w:bodyDiv w:val="1"/>
      <w:marLeft w:val="0"/>
      <w:marRight w:val="0"/>
      <w:marTop w:val="0"/>
      <w:marBottom w:val="0"/>
      <w:divBdr>
        <w:top w:val="none" w:sz="0" w:space="0" w:color="auto"/>
        <w:left w:val="none" w:sz="0" w:space="0" w:color="auto"/>
        <w:bottom w:val="none" w:sz="0" w:space="0" w:color="auto"/>
        <w:right w:val="none" w:sz="0" w:space="0" w:color="auto"/>
      </w:divBdr>
    </w:div>
    <w:div w:id="2039549270">
      <w:bodyDiv w:val="1"/>
      <w:marLeft w:val="0"/>
      <w:marRight w:val="0"/>
      <w:marTop w:val="0"/>
      <w:marBottom w:val="0"/>
      <w:divBdr>
        <w:top w:val="none" w:sz="0" w:space="0" w:color="auto"/>
        <w:left w:val="none" w:sz="0" w:space="0" w:color="auto"/>
        <w:bottom w:val="none" w:sz="0" w:space="0" w:color="auto"/>
        <w:right w:val="none" w:sz="0" w:space="0" w:color="auto"/>
      </w:divBdr>
    </w:div>
    <w:div w:id="2051758164">
      <w:bodyDiv w:val="1"/>
      <w:marLeft w:val="0"/>
      <w:marRight w:val="0"/>
      <w:marTop w:val="0"/>
      <w:marBottom w:val="0"/>
      <w:divBdr>
        <w:top w:val="none" w:sz="0" w:space="0" w:color="auto"/>
        <w:left w:val="none" w:sz="0" w:space="0" w:color="auto"/>
        <w:bottom w:val="none" w:sz="0" w:space="0" w:color="auto"/>
        <w:right w:val="none" w:sz="0" w:space="0" w:color="auto"/>
      </w:divBdr>
    </w:div>
    <w:div w:id="2053722539">
      <w:bodyDiv w:val="1"/>
      <w:marLeft w:val="0"/>
      <w:marRight w:val="0"/>
      <w:marTop w:val="0"/>
      <w:marBottom w:val="0"/>
      <w:divBdr>
        <w:top w:val="none" w:sz="0" w:space="0" w:color="auto"/>
        <w:left w:val="none" w:sz="0" w:space="0" w:color="auto"/>
        <w:bottom w:val="none" w:sz="0" w:space="0" w:color="auto"/>
        <w:right w:val="none" w:sz="0" w:space="0" w:color="auto"/>
      </w:divBdr>
    </w:div>
    <w:div w:id="2055421145">
      <w:bodyDiv w:val="1"/>
      <w:marLeft w:val="0"/>
      <w:marRight w:val="0"/>
      <w:marTop w:val="0"/>
      <w:marBottom w:val="0"/>
      <w:divBdr>
        <w:top w:val="none" w:sz="0" w:space="0" w:color="auto"/>
        <w:left w:val="none" w:sz="0" w:space="0" w:color="auto"/>
        <w:bottom w:val="none" w:sz="0" w:space="0" w:color="auto"/>
        <w:right w:val="none" w:sz="0" w:space="0" w:color="auto"/>
      </w:divBdr>
    </w:div>
    <w:div w:id="2056199560">
      <w:bodyDiv w:val="1"/>
      <w:marLeft w:val="0"/>
      <w:marRight w:val="0"/>
      <w:marTop w:val="0"/>
      <w:marBottom w:val="0"/>
      <w:divBdr>
        <w:top w:val="none" w:sz="0" w:space="0" w:color="auto"/>
        <w:left w:val="none" w:sz="0" w:space="0" w:color="auto"/>
        <w:bottom w:val="none" w:sz="0" w:space="0" w:color="auto"/>
        <w:right w:val="none" w:sz="0" w:space="0" w:color="auto"/>
      </w:divBdr>
    </w:div>
    <w:div w:id="2056542203">
      <w:bodyDiv w:val="1"/>
      <w:marLeft w:val="0"/>
      <w:marRight w:val="0"/>
      <w:marTop w:val="0"/>
      <w:marBottom w:val="0"/>
      <w:divBdr>
        <w:top w:val="none" w:sz="0" w:space="0" w:color="auto"/>
        <w:left w:val="none" w:sz="0" w:space="0" w:color="auto"/>
        <w:bottom w:val="none" w:sz="0" w:space="0" w:color="auto"/>
        <w:right w:val="none" w:sz="0" w:space="0" w:color="auto"/>
      </w:divBdr>
    </w:div>
    <w:div w:id="2065716920">
      <w:bodyDiv w:val="1"/>
      <w:marLeft w:val="0"/>
      <w:marRight w:val="0"/>
      <w:marTop w:val="0"/>
      <w:marBottom w:val="0"/>
      <w:divBdr>
        <w:top w:val="none" w:sz="0" w:space="0" w:color="auto"/>
        <w:left w:val="none" w:sz="0" w:space="0" w:color="auto"/>
        <w:bottom w:val="none" w:sz="0" w:space="0" w:color="auto"/>
        <w:right w:val="none" w:sz="0" w:space="0" w:color="auto"/>
      </w:divBdr>
    </w:div>
    <w:div w:id="2065761012">
      <w:bodyDiv w:val="1"/>
      <w:marLeft w:val="0"/>
      <w:marRight w:val="0"/>
      <w:marTop w:val="0"/>
      <w:marBottom w:val="0"/>
      <w:divBdr>
        <w:top w:val="none" w:sz="0" w:space="0" w:color="auto"/>
        <w:left w:val="none" w:sz="0" w:space="0" w:color="auto"/>
        <w:bottom w:val="none" w:sz="0" w:space="0" w:color="auto"/>
        <w:right w:val="none" w:sz="0" w:space="0" w:color="auto"/>
      </w:divBdr>
    </w:div>
    <w:div w:id="2069960880">
      <w:bodyDiv w:val="1"/>
      <w:marLeft w:val="0"/>
      <w:marRight w:val="0"/>
      <w:marTop w:val="0"/>
      <w:marBottom w:val="0"/>
      <w:divBdr>
        <w:top w:val="none" w:sz="0" w:space="0" w:color="auto"/>
        <w:left w:val="none" w:sz="0" w:space="0" w:color="auto"/>
        <w:bottom w:val="none" w:sz="0" w:space="0" w:color="auto"/>
        <w:right w:val="none" w:sz="0" w:space="0" w:color="auto"/>
      </w:divBdr>
    </w:div>
    <w:div w:id="2074961750">
      <w:bodyDiv w:val="1"/>
      <w:marLeft w:val="0"/>
      <w:marRight w:val="0"/>
      <w:marTop w:val="0"/>
      <w:marBottom w:val="0"/>
      <w:divBdr>
        <w:top w:val="none" w:sz="0" w:space="0" w:color="auto"/>
        <w:left w:val="none" w:sz="0" w:space="0" w:color="auto"/>
        <w:bottom w:val="none" w:sz="0" w:space="0" w:color="auto"/>
        <w:right w:val="none" w:sz="0" w:space="0" w:color="auto"/>
      </w:divBdr>
    </w:div>
    <w:div w:id="2110614965">
      <w:bodyDiv w:val="1"/>
      <w:marLeft w:val="0"/>
      <w:marRight w:val="0"/>
      <w:marTop w:val="0"/>
      <w:marBottom w:val="0"/>
      <w:divBdr>
        <w:top w:val="none" w:sz="0" w:space="0" w:color="auto"/>
        <w:left w:val="none" w:sz="0" w:space="0" w:color="auto"/>
        <w:bottom w:val="none" w:sz="0" w:space="0" w:color="auto"/>
        <w:right w:val="none" w:sz="0" w:space="0" w:color="auto"/>
      </w:divBdr>
    </w:div>
    <w:div w:id="2118601085">
      <w:bodyDiv w:val="1"/>
      <w:marLeft w:val="0"/>
      <w:marRight w:val="0"/>
      <w:marTop w:val="0"/>
      <w:marBottom w:val="0"/>
      <w:divBdr>
        <w:top w:val="none" w:sz="0" w:space="0" w:color="auto"/>
        <w:left w:val="none" w:sz="0" w:space="0" w:color="auto"/>
        <w:bottom w:val="none" w:sz="0" w:space="0" w:color="auto"/>
        <w:right w:val="none" w:sz="0" w:space="0" w:color="auto"/>
      </w:divBdr>
    </w:div>
    <w:div w:id="2132043224">
      <w:bodyDiv w:val="1"/>
      <w:marLeft w:val="0"/>
      <w:marRight w:val="0"/>
      <w:marTop w:val="0"/>
      <w:marBottom w:val="0"/>
      <w:divBdr>
        <w:top w:val="none" w:sz="0" w:space="0" w:color="auto"/>
        <w:left w:val="none" w:sz="0" w:space="0" w:color="auto"/>
        <w:bottom w:val="none" w:sz="0" w:space="0" w:color="auto"/>
        <w:right w:val="none" w:sz="0" w:space="0" w:color="auto"/>
      </w:divBdr>
    </w:div>
    <w:div w:id="2142838588">
      <w:bodyDiv w:val="1"/>
      <w:marLeft w:val="0"/>
      <w:marRight w:val="0"/>
      <w:marTop w:val="0"/>
      <w:marBottom w:val="0"/>
      <w:divBdr>
        <w:top w:val="none" w:sz="0" w:space="0" w:color="auto"/>
        <w:left w:val="none" w:sz="0" w:space="0" w:color="auto"/>
        <w:bottom w:val="none" w:sz="0" w:space="0" w:color="auto"/>
        <w:right w:val="none" w:sz="0" w:space="0" w:color="auto"/>
      </w:divBdr>
    </w:div>
    <w:div w:id="21442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lex:LPLP20160527108" TargetMode="External"/><Relationship Id="rId17" Type="http://schemas.openxmlformats.org/officeDocument/2006/relationships/diagramQuickStyle" Target="diagrams/quickStyle1.xml"/><Relationship Id="rId25" Type="http://schemas.openxmlformats.org/officeDocument/2006/relationships/chart" Target="charts/chart6.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lex:LPLP20160527108"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chart" Target="charts/chart5.xml"/><Relationship Id="rId32"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hyperlink" Target="lex:LPLP19940706173" TargetMode="External"/><Relationship Id="rId36" Type="http://schemas.openxmlformats.org/officeDocument/2006/relationships/theme" Target="theme/theme1.xml"/><Relationship Id="rId10" Type="http://schemas.openxmlformats.org/officeDocument/2006/relationships/hyperlink" Target="http://www.ccrm.md" TargetMode="External"/><Relationship Id="rId19" Type="http://schemas.microsoft.com/office/2007/relationships/diagramDrawing" Target="diagrams/drawing1.xm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chart" Target="charts/chart1.xml"/><Relationship Id="rId22" Type="http://schemas.openxmlformats.org/officeDocument/2006/relationships/chart" Target="charts/chart3.xml"/><Relationship Id="rId27" Type="http://schemas.openxmlformats.org/officeDocument/2006/relationships/hyperlink" Target="lex:LPLP20160527108" TargetMode="External"/><Relationship Id="rId30" Type="http://schemas.openxmlformats.org/officeDocument/2006/relationships/diagramLayout" Target="diagrams/layout2.xml"/><Relationship Id="rId35"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i_sirbu\AppData\Local\Microsoft\Windows\INetCache\Content.Outlook\D62R0560\Volumul%20tab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Structura%20inveti&#539;iilor%20realizate%20pe%20&#238;ntreprinderi%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Structura%20inveti&#539;iilor%20realizate%20pe%20&#238;ntreprinderi%20(Autosaved).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S_stirbu\Desktop\&#1056;&#1072;&#1089;&#1093;&#1086;&#1076;&#1099;%20&#1087;&#1086;%20&#1075;&#1088;&#1091;&#1087;&#1087;&#1072;&#1084;%202017-2021%20&#1089;&#1082;&#1086;&#1088;&#1088;&#1077;&#1082;&#1090;&#1080;&#1088;..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Cheltuieli%20pe%20tipuri%202017-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Cheltuieli%20pe%20&#238;ntreprinderi%202017-202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_sirbu\Desktop\DL%20Cheltuieli%20Moldovagaz\712.9%20sa%20cerut%20tot%20-%20scris%20in%20DL\37.Servicii%20de%20tiparire%20a%20facturilor%20Scris%20in%20DL\DL%20Tiparirea%20facturilor%20-%20bonurilor%20etc%202017-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c:f>
              <c:strCache>
                <c:ptCount val="1"/>
                <c:pt idx="0">
                  <c:v>Populația</c:v>
                </c:pt>
              </c:strCache>
            </c:strRef>
          </c:tx>
          <c:spPr>
            <a:solidFill>
              <a:schemeClr val="accent1"/>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Sheet2!$B$2:$B$6</c:f>
              <c:numCache>
                <c:formatCode>General</c:formatCode>
                <c:ptCount val="5"/>
                <c:pt idx="0">
                  <c:v>302.77999999999997</c:v>
                </c:pt>
                <c:pt idx="1">
                  <c:v>346.36</c:v>
                </c:pt>
                <c:pt idx="2">
                  <c:v>347.86</c:v>
                </c:pt>
                <c:pt idx="3">
                  <c:v>372.74</c:v>
                </c:pt>
                <c:pt idx="4">
                  <c:v>461.61</c:v>
                </c:pt>
              </c:numCache>
            </c:numRef>
          </c:val>
          <c:extLst>
            <c:ext xmlns:c16="http://schemas.microsoft.com/office/drawing/2014/chart" uri="{C3380CC4-5D6E-409C-BE32-E72D297353CC}">
              <c16:uniqueId val="{00000000-29C8-4D9B-A6A2-4C70A26BBC8E}"/>
            </c:ext>
          </c:extLst>
        </c:ser>
        <c:ser>
          <c:idx val="1"/>
          <c:order val="1"/>
          <c:tx>
            <c:strRef>
              <c:f>Sheet2!$C$1</c:f>
              <c:strCache>
                <c:ptCount val="1"/>
                <c:pt idx="0">
                  <c:v>Centralele termice  </c:v>
                </c:pt>
              </c:strCache>
            </c:strRef>
          </c:tx>
          <c:spPr>
            <a:solidFill>
              <a:schemeClr val="accent2"/>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Sheet2!$C$2:$C$6</c:f>
              <c:numCache>
                <c:formatCode>General</c:formatCode>
                <c:ptCount val="5"/>
                <c:pt idx="0">
                  <c:v>383.98</c:v>
                </c:pt>
                <c:pt idx="1">
                  <c:v>404.87</c:v>
                </c:pt>
                <c:pt idx="2">
                  <c:v>364.66</c:v>
                </c:pt>
                <c:pt idx="3">
                  <c:v>371.42</c:v>
                </c:pt>
                <c:pt idx="4">
                  <c:v>377.56</c:v>
                </c:pt>
              </c:numCache>
            </c:numRef>
          </c:val>
          <c:extLst>
            <c:ext xmlns:c16="http://schemas.microsoft.com/office/drawing/2014/chart" uri="{C3380CC4-5D6E-409C-BE32-E72D297353CC}">
              <c16:uniqueId val="{00000001-29C8-4D9B-A6A2-4C70A26BBC8E}"/>
            </c:ext>
          </c:extLst>
        </c:ser>
        <c:ser>
          <c:idx val="2"/>
          <c:order val="2"/>
          <c:tx>
            <c:strRef>
              <c:f>Sheet2!$D$1</c:f>
              <c:strCache>
                <c:ptCount val="1"/>
                <c:pt idx="0">
                  <c:v>Alți consumatori</c:v>
                </c:pt>
              </c:strCache>
            </c:strRef>
          </c:tx>
          <c:spPr>
            <a:solidFill>
              <a:schemeClr val="accent3"/>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Sheet2!$D$2:$D$6</c:f>
              <c:numCache>
                <c:formatCode>General</c:formatCode>
                <c:ptCount val="5"/>
                <c:pt idx="0">
                  <c:v>246.86</c:v>
                </c:pt>
                <c:pt idx="1">
                  <c:v>280.14999999999998</c:v>
                </c:pt>
                <c:pt idx="2">
                  <c:v>261.42</c:v>
                </c:pt>
                <c:pt idx="3">
                  <c:v>202.45</c:v>
                </c:pt>
                <c:pt idx="4">
                  <c:v>251.55</c:v>
                </c:pt>
              </c:numCache>
            </c:numRef>
          </c:val>
          <c:extLst>
            <c:ext xmlns:c16="http://schemas.microsoft.com/office/drawing/2014/chart" uri="{C3380CC4-5D6E-409C-BE32-E72D297353CC}">
              <c16:uniqueId val="{00000002-29C8-4D9B-A6A2-4C70A26BBC8E}"/>
            </c:ext>
          </c:extLst>
        </c:ser>
        <c:ser>
          <c:idx val="3"/>
          <c:order val="3"/>
          <c:tx>
            <c:strRef>
              <c:f>Sheet2!$E$1</c:f>
              <c:strCache>
                <c:ptCount val="1"/>
                <c:pt idx="0">
                  <c:v>Consumatori altor furnizori</c:v>
                </c:pt>
              </c:strCache>
            </c:strRef>
          </c:tx>
          <c:spPr>
            <a:solidFill>
              <a:schemeClr val="accent4"/>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Sheet2!$E$2:$E$6</c:f>
              <c:numCache>
                <c:formatCode>General</c:formatCode>
                <c:ptCount val="5"/>
                <c:pt idx="0">
                  <c:v>4.8099999999999996</c:v>
                </c:pt>
                <c:pt idx="1">
                  <c:v>6.93</c:v>
                </c:pt>
                <c:pt idx="2">
                  <c:v>6.8</c:v>
                </c:pt>
                <c:pt idx="3">
                  <c:v>6.55</c:v>
                </c:pt>
                <c:pt idx="4">
                  <c:v>6.76</c:v>
                </c:pt>
              </c:numCache>
            </c:numRef>
          </c:val>
          <c:extLst>
            <c:ext xmlns:c16="http://schemas.microsoft.com/office/drawing/2014/chart" uri="{C3380CC4-5D6E-409C-BE32-E72D297353CC}">
              <c16:uniqueId val="{00000003-29C8-4D9B-A6A2-4C70A26BBC8E}"/>
            </c:ext>
          </c:extLst>
        </c:ser>
        <c:ser>
          <c:idx val="4"/>
          <c:order val="4"/>
          <c:tx>
            <c:strRef>
              <c:f>Sheet2!$F$1</c:f>
              <c:strCache>
                <c:ptCount val="1"/>
                <c:pt idx="0">
                  <c:v>Consumatori angro</c:v>
                </c:pt>
              </c:strCache>
            </c:strRef>
          </c:tx>
          <c:spPr>
            <a:solidFill>
              <a:schemeClr val="accent5"/>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Sheet2!$F$2:$F$6</c:f>
              <c:numCache>
                <c:formatCode>General</c:formatCode>
                <c:ptCount val="5"/>
                <c:pt idx="1">
                  <c:v>31.164999999999999</c:v>
                </c:pt>
                <c:pt idx="2">
                  <c:v>34.9</c:v>
                </c:pt>
                <c:pt idx="3">
                  <c:v>33.81</c:v>
                </c:pt>
                <c:pt idx="4">
                  <c:v>53.79</c:v>
                </c:pt>
              </c:numCache>
            </c:numRef>
          </c:val>
          <c:extLst>
            <c:ext xmlns:c16="http://schemas.microsoft.com/office/drawing/2014/chart" uri="{C3380CC4-5D6E-409C-BE32-E72D297353CC}">
              <c16:uniqueId val="{00000004-29C8-4D9B-A6A2-4C70A26BBC8E}"/>
            </c:ext>
          </c:extLst>
        </c:ser>
        <c:dLbls>
          <c:showLegendKey val="0"/>
          <c:showVal val="1"/>
          <c:showCatName val="0"/>
          <c:showSerName val="0"/>
          <c:showPercent val="0"/>
          <c:showBubbleSize val="0"/>
        </c:dLbls>
        <c:gapWidth val="150"/>
        <c:shape val="box"/>
        <c:axId val="342622976"/>
        <c:axId val="342625280"/>
        <c:axId val="0"/>
      </c:bar3DChart>
      <c:catAx>
        <c:axId val="34262297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625280"/>
        <c:crosses val="autoZero"/>
        <c:auto val="1"/>
        <c:lblAlgn val="ctr"/>
        <c:lblOffset val="100"/>
        <c:noMultiLvlLbl val="0"/>
      </c:catAx>
      <c:valAx>
        <c:axId val="3426252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622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009227479043754E-2"/>
          <c:y val="8.2253013657723917E-2"/>
          <c:w val="0.9678537511870845"/>
          <c:h val="0.78506176623131696"/>
        </c:manualLayout>
      </c:layout>
      <c:barChart>
        <c:barDir val="col"/>
        <c:grouping val="clustered"/>
        <c:varyColors val="0"/>
        <c:ser>
          <c:idx val="0"/>
          <c:order val="0"/>
          <c:spPr>
            <a:solidFill>
              <a:schemeClr val="accent1">
                <a:alpha val="70000"/>
              </a:schemeClr>
            </a:solidFill>
            <a:ln w="28575">
              <a:solidFill>
                <a:schemeClr val="accent1"/>
              </a:solidFill>
            </a:ln>
            <a:effectLst/>
          </c:spPr>
          <c:invertIfNegative val="0"/>
          <c:dPt>
            <c:idx val="0"/>
            <c:invertIfNegative val="0"/>
            <c:bubble3D val="0"/>
            <c:explosion val="10"/>
            <c:extLst>
              <c:ext xmlns:c16="http://schemas.microsoft.com/office/drawing/2014/chart" uri="{C3380CC4-5D6E-409C-BE32-E72D297353CC}">
                <c16:uniqueId val="{00000001-266A-4A65-998E-2EDA76E62325}"/>
              </c:ext>
            </c:extLst>
          </c:dPt>
          <c:dPt>
            <c:idx val="1"/>
            <c:invertIfNegative val="0"/>
            <c:bubble3D val="0"/>
            <c:explosion val="12"/>
            <c:extLst>
              <c:ext xmlns:c16="http://schemas.microsoft.com/office/drawing/2014/chart" uri="{C3380CC4-5D6E-409C-BE32-E72D297353CC}">
                <c16:uniqueId val="{00000003-266A-4A65-998E-2EDA76E62325}"/>
              </c:ext>
            </c:extLst>
          </c:dPt>
          <c:dPt>
            <c:idx val="2"/>
            <c:invertIfNegative val="0"/>
            <c:bubble3D val="0"/>
            <c:explosion val="13"/>
            <c:extLst>
              <c:ext xmlns:c16="http://schemas.microsoft.com/office/drawing/2014/chart" uri="{C3380CC4-5D6E-409C-BE32-E72D297353CC}">
                <c16:uniqueId val="{00000005-266A-4A65-998E-2EDA76E62325}"/>
              </c:ext>
            </c:extLst>
          </c:dPt>
          <c:dPt>
            <c:idx val="3"/>
            <c:invertIfNegative val="0"/>
            <c:bubble3D val="0"/>
            <c:explosion val="6"/>
            <c:extLst>
              <c:ext xmlns:c16="http://schemas.microsoft.com/office/drawing/2014/chart" uri="{C3380CC4-5D6E-409C-BE32-E72D297353CC}">
                <c16:uniqueId val="{00000007-266A-4A65-998E-2EDA76E62325}"/>
              </c:ext>
            </c:extLst>
          </c:dPt>
          <c:dPt>
            <c:idx val="4"/>
            <c:invertIfNegative val="0"/>
            <c:bubble3D val="0"/>
            <c:explosion val="8"/>
            <c:extLst>
              <c:ext xmlns:c16="http://schemas.microsoft.com/office/drawing/2014/chart" uri="{C3380CC4-5D6E-409C-BE32-E72D297353CC}">
                <c16:uniqueId val="{00000009-266A-4A65-998E-2EDA76E62325}"/>
              </c:ext>
            </c:extLst>
          </c:dPt>
          <c:dPt>
            <c:idx val="5"/>
            <c:invertIfNegative val="0"/>
            <c:bubble3D val="0"/>
            <c:explosion val="17"/>
            <c:extLst>
              <c:ext xmlns:c16="http://schemas.microsoft.com/office/drawing/2014/chart" uri="{C3380CC4-5D6E-409C-BE32-E72D297353CC}">
                <c16:uniqueId val="{0000000B-266A-4A65-998E-2EDA76E62325}"/>
              </c:ext>
            </c:extLst>
          </c:dPt>
          <c:dPt>
            <c:idx val="6"/>
            <c:invertIfNegative val="0"/>
            <c:bubble3D val="0"/>
            <c:explosion val="29"/>
            <c:extLst>
              <c:ext xmlns:c16="http://schemas.microsoft.com/office/drawing/2014/chart" uri="{C3380CC4-5D6E-409C-BE32-E72D297353CC}">
                <c16:uniqueId val="{0000000D-266A-4A65-998E-2EDA76E623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 2'!$A$1:$A$7</c:f>
              <c:strCache>
                <c:ptCount val="7"/>
                <c:pt idx="0">
                  <c:v>dezvoltarea rețelelor de gaze</c:v>
                </c:pt>
                <c:pt idx="1">
                  <c:v>construcții noi</c:v>
                </c:pt>
                <c:pt idx="2">
                  <c:v>reconstrucția, modernizarea</c:v>
                </c:pt>
                <c:pt idx="3">
                  <c:v>active nemateriale</c:v>
                </c:pt>
                <c:pt idx="4">
                  <c:v>procurări</c:v>
                </c:pt>
                <c:pt idx="5">
                  <c:v>proiectare</c:v>
                </c:pt>
                <c:pt idx="6">
                  <c:v>reparații capitale</c:v>
                </c:pt>
              </c:strCache>
            </c:strRef>
          </c:cat>
          <c:val>
            <c:numRef>
              <c:f>'Tabel 2'!$B$1:$B$7</c:f>
              <c:numCache>
                <c:formatCode>#,##0.0</c:formatCode>
                <c:ptCount val="7"/>
                <c:pt idx="0">
                  <c:v>254.23200000000003</c:v>
                </c:pt>
                <c:pt idx="1">
                  <c:v>235.79399999999998</c:v>
                </c:pt>
                <c:pt idx="2">
                  <c:v>125.726</c:v>
                </c:pt>
                <c:pt idx="3">
                  <c:v>55.224500000000006</c:v>
                </c:pt>
                <c:pt idx="4">
                  <c:v>223.70779999999999</c:v>
                </c:pt>
                <c:pt idx="5">
                  <c:v>9.8182000000000009</c:v>
                </c:pt>
                <c:pt idx="6">
                  <c:v>742.88199999999995</c:v>
                </c:pt>
              </c:numCache>
            </c:numRef>
          </c:val>
          <c:extLst>
            <c:ext xmlns:c16="http://schemas.microsoft.com/office/drawing/2014/chart" uri="{C3380CC4-5D6E-409C-BE32-E72D297353CC}">
              <c16:uniqueId val="{0000000E-266A-4A65-998E-2EDA76E62325}"/>
            </c:ext>
          </c:extLst>
        </c:ser>
        <c:dLbls>
          <c:dLblPos val="outEnd"/>
          <c:showLegendKey val="0"/>
          <c:showVal val="1"/>
          <c:showCatName val="0"/>
          <c:showSerName val="0"/>
          <c:showPercent val="0"/>
          <c:showBubbleSize val="0"/>
        </c:dLbls>
        <c:gapWidth val="80"/>
        <c:overlap val="25"/>
        <c:axId val="353983488"/>
        <c:axId val="354003200"/>
      </c:barChart>
      <c:catAx>
        <c:axId val="353983488"/>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4003200"/>
        <c:crosses val="autoZero"/>
        <c:auto val="1"/>
        <c:lblAlgn val="ctr"/>
        <c:lblOffset val="100"/>
        <c:noMultiLvlLbl val="0"/>
      </c:catAx>
      <c:valAx>
        <c:axId val="354003200"/>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3983488"/>
        <c:crosses val="autoZero"/>
        <c:crossBetween val="between"/>
      </c:valAx>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422332892149166E-2"/>
          <c:y val="6.9777963757524319E-2"/>
          <c:w val="0.9678537511870845"/>
          <c:h val="0.78506176623131696"/>
        </c:manualLayout>
      </c:layout>
      <c:barChart>
        <c:barDir val="col"/>
        <c:grouping val="clustered"/>
        <c:varyColors val="0"/>
        <c:ser>
          <c:idx val="0"/>
          <c:order val="0"/>
          <c:tx>
            <c:strRef>
              <c:f>' Tabel 1'!$B$1</c:f>
              <c:strCache>
                <c:ptCount val="1"/>
                <c:pt idx="0">
                  <c:v>Valoarea (mii lei)</c:v>
                </c:pt>
              </c:strCache>
            </c:strRef>
          </c:tx>
          <c:spPr>
            <a:solidFill>
              <a:schemeClr val="accent1">
                <a:alpha val="70000"/>
              </a:schemeClr>
            </a:solidFill>
            <a:ln w="28575">
              <a:solidFill>
                <a:schemeClr val="accent1"/>
              </a:solidFill>
            </a:ln>
            <a:effectLst/>
          </c:spPr>
          <c:invertIfNegative val="0"/>
          <c:dPt>
            <c:idx val="0"/>
            <c:invertIfNegative val="0"/>
            <c:bubble3D val="0"/>
            <c:extLst>
              <c:ext xmlns:c16="http://schemas.microsoft.com/office/drawing/2014/chart" uri="{C3380CC4-5D6E-409C-BE32-E72D297353CC}">
                <c16:uniqueId val="{00000001-7155-4E3F-AC36-2509D0098F26}"/>
              </c:ext>
            </c:extLst>
          </c:dPt>
          <c:dPt>
            <c:idx val="1"/>
            <c:invertIfNegative val="0"/>
            <c:bubble3D val="0"/>
            <c:extLst>
              <c:ext xmlns:c16="http://schemas.microsoft.com/office/drawing/2014/chart" uri="{C3380CC4-5D6E-409C-BE32-E72D297353CC}">
                <c16:uniqueId val="{00000003-7155-4E3F-AC36-2509D0098F26}"/>
              </c:ext>
            </c:extLst>
          </c:dPt>
          <c:dPt>
            <c:idx val="2"/>
            <c:invertIfNegative val="0"/>
            <c:bubble3D val="0"/>
            <c:explosion val="13"/>
            <c:extLst>
              <c:ext xmlns:c16="http://schemas.microsoft.com/office/drawing/2014/chart" uri="{C3380CC4-5D6E-409C-BE32-E72D297353CC}">
                <c16:uniqueId val="{00000005-7155-4E3F-AC36-2509D0098F26}"/>
              </c:ext>
            </c:extLst>
          </c:dPt>
          <c:dPt>
            <c:idx val="3"/>
            <c:invertIfNegative val="0"/>
            <c:bubble3D val="0"/>
            <c:explosion val="16"/>
            <c:extLst>
              <c:ext xmlns:c16="http://schemas.microsoft.com/office/drawing/2014/chart" uri="{C3380CC4-5D6E-409C-BE32-E72D297353CC}">
                <c16:uniqueId val="{00000007-7155-4E3F-AC36-2509D0098F26}"/>
              </c:ext>
            </c:extLst>
          </c:dPt>
          <c:dPt>
            <c:idx val="4"/>
            <c:invertIfNegative val="0"/>
            <c:bubble3D val="0"/>
            <c:explosion val="20"/>
            <c:extLst>
              <c:ext xmlns:c16="http://schemas.microsoft.com/office/drawing/2014/chart" uri="{C3380CC4-5D6E-409C-BE32-E72D297353CC}">
                <c16:uniqueId val="{00000009-7155-4E3F-AC36-2509D0098F26}"/>
              </c:ext>
            </c:extLst>
          </c:dPt>
          <c:dPt>
            <c:idx val="5"/>
            <c:invertIfNegative val="0"/>
            <c:bubble3D val="0"/>
            <c:explosion val="23"/>
            <c:extLst>
              <c:ext xmlns:c16="http://schemas.microsoft.com/office/drawing/2014/chart" uri="{C3380CC4-5D6E-409C-BE32-E72D297353CC}">
                <c16:uniqueId val="{0000000B-7155-4E3F-AC36-2509D0098F26}"/>
              </c:ext>
            </c:extLst>
          </c:dPt>
          <c:dPt>
            <c:idx val="6"/>
            <c:invertIfNegative val="0"/>
            <c:bubble3D val="0"/>
            <c:explosion val="29"/>
            <c:extLst>
              <c:ext xmlns:c16="http://schemas.microsoft.com/office/drawing/2014/chart" uri="{C3380CC4-5D6E-409C-BE32-E72D297353CC}">
                <c16:uniqueId val="{0000000D-7155-4E3F-AC36-2509D0098F26}"/>
              </c:ext>
            </c:extLst>
          </c:dPt>
          <c:dPt>
            <c:idx val="7"/>
            <c:invertIfNegative val="0"/>
            <c:bubble3D val="0"/>
            <c:explosion val="24"/>
            <c:extLst>
              <c:ext xmlns:c16="http://schemas.microsoft.com/office/drawing/2014/chart" uri="{C3380CC4-5D6E-409C-BE32-E72D297353CC}">
                <c16:uniqueId val="{0000000F-7155-4E3F-AC36-2509D0098F26}"/>
              </c:ext>
            </c:extLst>
          </c:dPt>
          <c:dPt>
            <c:idx val="8"/>
            <c:invertIfNegative val="0"/>
            <c:bubble3D val="0"/>
            <c:explosion val="17"/>
            <c:extLst>
              <c:ext xmlns:c16="http://schemas.microsoft.com/office/drawing/2014/chart" uri="{C3380CC4-5D6E-409C-BE32-E72D297353CC}">
                <c16:uniqueId val="{00000011-7155-4E3F-AC36-2509D0098F26}"/>
              </c:ext>
            </c:extLst>
          </c:dPt>
          <c:dPt>
            <c:idx val="9"/>
            <c:invertIfNegative val="0"/>
            <c:bubble3D val="0"/>
            <c:explosion val="15"/>
            <c:extLst>
              <c:ext xmlns:c16="http://schemas.microsoft.com/office/drawing/2014/chart" uri="{C3380CC4-5D6E-409C-BE32-E72D297353CC}">
                <c16:uniqueId val="{00000013-7155-4E3F-AC36-2509D0098F26}"/>
              </c:ext>
            </c:extLst>
          </c:dPt>
          <c:dPt>
            <c:idx val="10"/>
            <c:invertIfNegative val="0"/>
            <c:bubble3D val="0"/>
            <c:explosion val="11"/>
            <c:extLst>
              <c:ext xmlns:c16="http://schemas.microsoft.com/office/drawing/2014/chart" uri="{C3380CC4-5D6E-409C-BE32-E72D297353CC}">
                <c16:uniqueId val="{00000015-7155-4E3F-AC36-2509D0098F26}"/>
              </c:ext>
            </c:extLst>
          </c:dPt>
          <c:dPt>
            <c:idx val="11"/>
            <c:invertIfNegative val="0"/>
            <c:bubble3D val="0"/>
            <c:explosion val="9"/>
            <c:extLst>
              <c:ext xmlns:c16="http://schemas.microsoft.com/office/drawing/2014/chart" uri="{C3380CC4-5D6E-409C-BE32-E72D297353CC}">
                <c16:uniqueId val="{00000017-7155-4E3F-AC36-2509D0098F26}"/>
              </c:ext>
            </c:extLst>
          </c:dPt>
          <c:dPt>
            <c:idx val="12"/>
            <c:invertIfNegative val="0"/>
            <c:bubble3D val="0"/>
            <c:explosion val="4"/>
            <c:extLst>
              <c:ext xmlns:c16="http://schemas.microsoft.com/office/drawing/2014/chart" uri="{C3380CC4-5D6E-409C-BE32-E72D297353CC}">
                <c16:uniqueId val="{00000019-7155-4E3F-AC36-2509D0098F26}"/>
              </c:ext>
            </c:extLst>
          </c:dPt>
          <c:dPt>
            <c:idx val="13"/>
            <c:invertIfNegative val="0"/>
            <c:bubble3D val="0"/>
            <c:extLst>
              <c:ext xmlns:c16="http://schemas.microsoft.com/office/drawing/2014/chart" uri="{C3380CC4-5D6E-409C-BE32-E72D297353CC}">
                <c16:uniqueId val="{0000001B-7155-4E3F-AC36-2509D0098F26}"/>
              </c:ext>
            </c:extLst>
          </c:dPt>
          <c:dLbls>
            <c:delete val="1"/>
          </c:dLbls>
          <c:cat>
            <c:strRef>
              <c:f>' Tabel 1'!$A$2:$A$15</c:f>
              <c:strCache>
                <c:ptCount val="14"/>
                <c:pt idx="0">
                  <c:v>SRL Chișinău-gaz</c:v>
                </c:pt>
                <c:pt idx="1">
                  <c:v>SRL Ialoveni-gaz</c:v>
                </c:pt>
                <c:pt idx="2">
                  <c:v>SRL Bălți-gaz</c:v>
                </c:pt>
                <c:pt idx="3">
                  <c:v>SRL Edineț-gaz</c:v>
                </c:pt>
                <c:pt idx="4">
                  <c:v>SRL Florești-gaz</c:v>
                </c:pt>
                <c:pt idx="5">
                  <c:v>SRL Orhei-gaz</c:v>
                </c:pt>
                <c:pt idx="6">
                  <c:v>SRL Cimișlia-gaz</c:v>
                </c:pt>
                <c:pt idx="7">
                  <c:v>SRL Ștefan Vodă-gaz</c:v>
                </c:pt>
                <c:pt idx="8">
                  <c:v>SRL Gagauz-gaz</c:v>
                </c:pt>
                <c:pt idx="9">
                  <c:v>SRL Cahul-gaz</c:v>
                </c:pt>
                <c:pt idx="10">
                  <c:v>SRL Taraclia-gaz</c:v>
                </c:pt>
                <c:pt idx="11">
                  <c:v>SRL Ungheni-gaz</c:v>
                </c:pt>
                <c:pt idx="12">
                  <c:v>SRL Moldovatransgaz</c:v>
                </c:pt>
                <c:pt idx="13">
                  <c:v>SA Moldovagaz</c:v>
                </c:pt>
              </c:strCache>
            </c:strRef>
          </c:cat>
          <c:val>
            <c:numRef>
              <c:f>' Tabel 1'!$B$2:$B$15</c:f>
              <c:numCache>
                <c:formatCode>#,##0.00</c:formatCode>
                <c:ptCount val="14"/>
                <c:pt idx="0">
                  <c:v>199.82070000000002</c:v>
                </c:pt>
                <c:pt idx="1">
                  <c:v>99.732699999999994</c:v>
                </c:pt>
                <c:pt idx="2">
                  <c:v>77.191600000000008</c:v>
                </c:pt>
                <c:pt idx="3">
                  <c:v>30.677800000000001</c:v>
                </c:pt>
                <c:pt idx="4">
                  <c:v>24.318100000000001</c:v>
                </c:pt>
                <c:pt idx="5">
                  <c:v>70.604200000000006</c:v>
                </c:pt>
                <c:pt idx="6">
                  <c:v>26.8733</c:v>
                </c:pt>
                <c:pt idx="7">
                  <c:v>21.397600000000001</c:v>
                </c:pt>
                <c:pt idx="8">
                  <c:v>44.356200000000001</c:v>
                </c:pt>
                <c:pt idx="9">
                  <c:v>24.441200000000002</c:v>
                </c:pt>
                <c:pt idx="10">
                  <c:v>16.3096</c:v>
                </c:pt>
                <c:pt idx="11">
                  <c:v>30.532300000000003</c:v>
                </c:pt>
                <c:pt idx="12">
                  <c:v>771.61060000000009</c:v>
                </c:pt>
                <c:pt idx="13">
                  <c:v>209.51859999999999</c:v>
                </c:pt>
              </c:numCache>
            </c:numRef>
          </c:val>
          <c:extLst>
            <c:ext xmlns:c16="http://schemas.microsoft.com/office/drawing/2014/chart" uri="{C3380CC4-5D6E-409C-BE32-E72D297353CC}">
              <c16:uniqueId val="{0000001C-7155-4E3F-AC36-2509D0098F26}"/>
            </c:ext>
          </c:extLst>
        </c:ser>
        <c:ser>
          <c:idx val="1"/>
          <c:order val="1"/>
          <c:tx>
            <c:strRef>
              <c:f>' Tabel 1'!$C$1</c:f>
              <c:strCache>
                <c:ptCount val="1"/>
                <c:pt idx="0">
                  <c:v>Ponderea în total</c:v>
                </c:pt>
              </c:strCache>
            </c:strRef>
          </c:tx>
          <c:spPr>
            <a:solidFill>
              <a:schemeClr val="accent2">
                <a:alpha val="70000"/>
              </a:schemeClr>
            </a:solidFill>
            <a:ln w="28575">
              <a:solidFill>
                <a:schemeClr val="accent2"/>
              </a:solidFill>
            </a:ln>
            <a:effectLst/>
          </c:spPr>
          <c:invertIfNegative val="0"/>
          <c:dPt>
            <c:idx val="0"/>
            <c:invertIfNegative val="0"/>
            <c:bubble3D val="0"/>
            <c:extLst>
              <c:ext xmlns:c16="http://schemas.microsoft.com/office/drawing/2014/chart" uri="{C3380CC4-5D6E-409C-BE32-E72D297353CC}">
                <c16:uniqueId val="{0000001E-7155-4E3F-AC36-2509D0098F26}"/>
              </c:ext>
            </c:extLst>
          </c:dPt>
          <c:dPt>
            <c:idx val="1"/>
            <c:invertIfNegative val="0"/>
            <c:bubble3D val="0"/>
            <c:extLst>
              <c:ext xmlns:c16="http://schemas.microsoft.com/office/drawing/2014/chart" uri="{C3380CC4-5D6E-409C-BE32-E72D297353CC}">
                <c16:uniqueId val="{00000020-7155-4E3F-AC36-2509D0098F26}"/>
              </c:ext>
            </c:extLst>
          </c:dPt>
          <c:dPt>
            <c:idx val="2"/>
            <c:invertIfNegative val="0"/>
            <c:bubble3D val="0"/>
            <c:extLst>
              <c:ext xmlns:c16="http://schemas.microsoft.com/office/drawing/2014/chart" uri="{C3380CC4-5D6E-409C-BE32-E72D297353CC}">
                <c16:uniqueId val="{00000022-7155-4E3F-AC36-2509D0098F26}"/>
              </c:ext>
            </c:extLst>
          </c:dPt>
          <c:dPt>
            <c:idx val="3"/>
            <c:invertIfNegative val="0"/>
            <c:bubble3D val="0"/>
            <c:extLst>
              <c:ext xmlns:c16="http://schemas.microsoft.com/office/drawing/2014/chart" uri="{C3380CC4-5D6E-409C-BE32-E72D297353CC}">
                <c16:uniqueId val="{00000024-7155-4E3F-AC36-2509D0098F26}"/>
              </c:ext>
            </c:extLst>
          </c:dPt>
          <c:dPt>
            <c:idx val="4"/>
            <c:invertIfNegative val="0"/>
            <c:bubble3D val="0"/>
            <c:extLst>
              <c:ext xmlns:c16="http://schemas.microsoft.com/office/drawing/2014/chart" uri="{C3380CC4-5D6E-409C-BE32-E72D297353CC}">
                <c16:uniqueId val="{00000026-7155-4E3F-AC36-2509D0098F26}"/>
              </c:ext>
            </c:extLst>
          </c:dPt>
          <c:dPt>
            <c:idx val="5"/>
            <c:invertIfNegative val="0"/>
            <c:bubble3D val="0"/>
            <c:extLst>
              <c:ext xmlns:c16="http://schemas.microsoft.com/office/drawing/2014/chart" uri="{C3380CC4-5D6E-409C-BE32-E72D297353CC}">
                <c16:uniqueId val="{00000028-7155-4E3F-AC36-2509D0098F26}"/>
              </c:ext>
            </c:extLst>
          </c:dPt>
          <c:dPt>
            <c:idx val="6"/>
            <c:invertIfNegative val="0"/>
            <c:bubble3D val="0"/>
            <c:extLst>
              <c:ext xmlns:c16="http://schemas.microsoft.com/office/drawing/2014/chart" uri="{C3380CC4-5D6E-409C-BE32-E72D297353CC}">
                <c16:uniqueId val="{0000002A-7155-4E3F-AC36-2509D0098F26}"/>
              </c:ext>
            </c:extLst>
          </c:dPt>
          <c:dPt>
            <c:idx val="7"/>
            <c:invertIfNegative val="0"/>
            <c:bubble3D val="0"/>
            <c:extLst>
              <c:ext xmlns:c16="http://schemas.microsoft.com/office/drawing/2014/chart" uri="{C3380CC4-5D6E-409C-BE32-E72D297353CC}">
                <c16:uniqueId val="{0000002C-7155-4E3F-AC36-2509D0098F26}"/>
              </c:ext>
            </c:extLst>
          </c:dPt>
          <c:dPt>
            <c:idx val="8"/>
            <c:invertIfNegative val="0"/>
            <c:bubble3D val="0"/>
            <c:extLst>
              <c:ext xmlns:c16="http://schemas.microsoft.com/office/drawing/2014/chart" uri="{C3380CC4-5D6E-409C-BE32-E72D297353CC}">
                <c16:uniqueId val="{0000002E-7155-4E3F-AC36-2509D0098F26}"/>
              </c:ext>
            </c:extLst>
          </c:dPt>
          <c:dPt>
            <c:idx val="9"/>
            <c:invertIfNegative val="0"/>
            <c:bubble3D val="0"/>
            <c:extLst>
              <c:ext xmlns:c16="http://schemas.microsoft.com/office/drawing/2014/chart" uri="{C3380CC4-5D6E-409C-BE32-E72D297353CC}">
                <c16:uniqueId val="{00000030-7155-4E3F-AC36-2509D0098F26}"/>
              </c:ext>
            </c:extLst>
          </c:dPt>
          <c:dPt>
            <c:idx val="10"/>
            <c:invertIfNegative val="0"/>
            <c:bubble3D val="0"/>
            <c:extLst>
              <c:ext xmlns:c16="http://schemas.microsoft.com/office/drawing/2014/chart" uri="{C3380CC4-5D6E-409C-BE32-E72D297353CC}">
                <c16:uniqueId val="{00000032-7155-4E3F-AC36-2509D0098F26}"/>
              </c:ext>
            </c:extLst>
          </c:dPt>
          <c:dPt>
            <c:idx val="11"/>
            <c:invertIfNegative val="0"/>
            <c:bubble3D val="0"/>
            <c:extLst>
              <c:ext xmlns:c16="http://schemas.microsoft.com/office/drawing/2014/chart" uri="{C3380CC4-5D6E-409C-BE32-E72D297353CC}">
                <c16:uniqueId val="{00000034-7155-4E3F-AC36-2509D0098F26}"/>
              </c:ext>
            </c:extLst>
          </c:dPt>
          <c:dPt>
            <c:idx val="12"/>
            <c:invertIfNegative val="0"/>
            <c:bubble3D val="0"/>
            <c:extLst>
              <c:ext xmlns:c16="http://schemas.microsoft.com/office/drawing/2014/chart" uri="{C3380CC4-5D6E-409C-BE32-E72D297353CC}">
                <c16:uniqueId val="{00000036-7155-4E3F-AC36-2509D0098F26}"/>
              </c:ext>
            </c:extLst>
          </c:dPt>
          <c:dPt>
            <c:idx val="13"/>
            <c:invertIfNegative val="0"/>
            <c:bubble3D val="0"/>
            <c:extLst>
              <c:ext xmlns:c16="http://schemas.microsoft.com/office/drawing/2014/chart" uri="{C3380CC4-5D6E-409C-BE32-E72D297353CC}">
                <c16:uniqueId val="{00000038-7155-4E3F-AC36-2509D0098F26}"/>
              </c:ext>
            </c:extLst>
          </c:dPt>
          <c:dLbls>
            <c:delete val="1"/>
          </c:dLbls>
          <c:cat>
            <c:strRef>
              <c:f>' Tabel 1'!$A$2:$A$15</c:f>
              <c:strCache>
                <c:ptCount val="14"/>
                <c:pt idx="0">
                  <c:v>SRL Chișinău-gaz</c:v>
                </c:pt>
                <c:pt idx="1">
                  <c:v>SRL Ialoveni-gaz</c:v>
                </c:pt>
                <c:pt idx="2">
                  <c:v>SRL Bălți-gaz</c:v>
                </c:pt>
                <c:pt idx="3">
                  <c:v>SRL Edineț-gaz</c:v>
                </c:pt>
                <c:pt idx="4">
                  <c:v>SRL Florești-gaz</c:v>
                </c:pt>
                <c:pt idx="5">
                  <c:v>SRL Orhei-gaz</c:v>
                </c:pt>
                <c:pt idx="6">
                  <c:v>SRL Cimișlia-gaz</c:v>
                </c:pt>
                <c:pt idx="7">
                  <c:v>SRL Ștefan Vodă-gaz</c:v>
                </c:pt>
                <c:pt idx="8">
                  <c:v>SRL Gagauz-gaz</c:v>
                </c:pt>
                <c:pt idx="9">
                  <c:v>SRL Cahul-gaz</c:v>
                </c:pt>
                <c:pt idx="10">
                  <c:v>SRL Taraclia-gaz</c:v>
                </c:pt>
                <c:pt idx="11">
                  <c:v>SRL Ungheni-gaz</c:v>
                </c:pt>
                <c:pt idx="12">
                  <c:v>SRL Moldovatransgaz</c:v>
                </c:pt>
                <c:pt idx="13">
                  <c:v>SA Moldovagaz</c:v>
                </c:pt>
              </c:strCache>
            </c:strRef>
          </c:cat>
          <c:val>
            <c:numRef>
              <c:f>' Tabel 1'!$C$2:$C$15</c:f>
              <c:numCache>
                <c:formatCode>#,##0.00</c:formatCode>
                <c:ptCount val="14"/>
                <c:pt idx="0">
                  <c:v>12.129572665033574</c:v>
                </c:pt>
                <c:pt idx="1">
                  <c:v>6.0540025719557269</c:v>
                </c:pt>
                <c:pt idx="2">
                  <c:v>4.685706342386978</c:v>
                </c:pt>
                <c:pt idx="3">
                  <c:v>1.8622124950186187</c:v>
                </c:pt>
                <c:pt idx="4">
                  <c:v>1.4761641863208013</c:v>
                </c:pt>
                <c:pt idx="5">
                  <c:v>4.2858361238678642</c:v>
                </c:pt>
                <c:pt idx="6">
                  <c:v>1.631270659642603</c:v>
                </c:pt>
                <c:pt idx="7">
                  <c:v>1.298883169047663</c:v>
                </c:pt>
                <c:pt idx="8">
                  <c:v>2.6925226017362673</c:v>
                </c:pt>
                <c:pt idx="9">
                  <c:v>1.4836366373484757</c:v>
                </c:pt>
                <c:pt idx="10">
                  <c:v>0.99002995354150769</c:v>
                </c:pt>
                <c:pt idx="11">
                  <c:v>1.8533803128534958</c:v>
                </c:pt>
                <c:pt idx="12">
                  <c:v>46.838524946665459</c:v>
                </c:pt>
                <c:pt idx="13">
                  <c:v>12.718257334580965</c:v>
                </c:pt>
              </c:numCache>
            </c:numRef>
          </c:val>
          <c:extLst>
            <c:ext xmlns:c16="http://schemas.microsoft.com/office/drawing/2014/chart" uri="{C3380CC4-5D6E-409C-BE32-E72D297353CC}">
              <c16:uniqueId val="{00000039-7155-4E3F-AC36-2509D0098F26}"/>
            </c:ext>
          </c:extLst>
        </c:ser>
        <c:dLbls>
          <c:dLblPos val="outEnd"/>
          <c:showLegendKey val="0"/>
          <c:showVal val="1"/>
          <c:showCatName val="0"/>
          <c:showSerName val="0"/>
          <c:showPercent val="0"/>
          <c:showBubbleSize val="0"/>
        </c:dLbls>
        <c:gapWidth val="80"/>
        <c:overlap val="25"/>
        <c:axId val="311843456"/>
        <c:axId val="311845248"/>
      </c:barChart>
      <c:catAx>
        <c:axId val="311843456"/>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11845248"/>
        <c:crosses val="autoZero"/>
        <c:auto val="1"/>
        <c:lblAlgn val="ctr"/>
        <c:lblOffset val="100"/>
        <c:noMultiLvlLbl val="0"/>
      </c:catAx>
      <c:valAx>
        <c:axId val="311845248"/>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11843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203645351050651E-2"/>
          <c:y val="3.6039151356080483E-2"/>
          <c:w val="0.94518483739261694"/>
          <c:h val="0.68665736997544358"/>
        </c:manualLayout>
      </c:layout>
      <c:barChart>
        <c:barDir val="col"/>
        <c:grouping val="clustered"/>
        <c:varyColors val="0"/>
        <c:ser>
          <c:idx val="0"/>
          <c:order val="0"/>
          <c:tx>
            <c:strRef>
              <c:f>Лист1!$A$4</c:f>
              <c:strCache>
                <c:ptCount val="1"/>
                <c:pt idx="0">
                  <c:v>Costul gazelor naturale</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Лист1!$B$4:$L$4</c:f>
              <c:numCache>
                <c:formatCode>_-* #,##0.0\ _L_-;\-* #,##0.0\ _L_-;_-* "-"??\ _L_-;_-@_-</c:formatCode>
                <c:ptCount val="5"/>
                <c:pt idx="0">
                  <c:v>3107.3</c:v>
                </c:pt>
                <c:pt idx="1">
                  <c:v>4146</c:v>
                </c:pt>
                <c:pt idx="2">
                  <c:v>4298.7</c:v>
                </c:pt>
                <c:pt idx="3">
                  <c:v>2836</c:v>
                </c:pt>
                <c:pt idx="4">
                  <c:v>6594.5</c:v>
                </c:pt>
              </c:numCache>
            </c:numRef>
          </c:val>
          <c:extLst>
            <c:ext xmlns:c16="http://schemas.microsoft.com/office/drawing/2014/chart" uri="{C3380CC4-5D6E-409C-BE32-E72D297353CC}">
              <c16:uniqueId val="{00000000-4C63-4484-B93C-1B5B6C05EFB4}"/>
            </c:ext>
          </c:extLst>
        </c:ser>
        <c:ser>
          <c:idx val="1"/>
          <c:order val="1"/>
          <c:tx>
            <c:strRef>
              <c:f>Лист1!$A$5</c:f>
              <c:strCache>
                <c:ptCount val="1"/>
                <c:pt idx="0">
                  <c:v>Cheltuieli operaționale la transportarea gazelor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Лист1!$B$5:$L$5</c:f>
              <c:numCache>
                <c:formatCode>_-* #,##0.0\ _L_-;\-* #,##0.0\ _L_-;_-* "-"??\ _L_-;_-@_-</c:formatCode>
                <c:ptCount val="5"/>
                <c:pt idx="0">
                  <c:v>443.12150000000003</c:v>
                </c:pt>
                <c:pt idx="1">
                  <c:v>427.71699999999998</c:v>
                </c:pt>
                <c:pt idx="2">
                  <c:v>364.06740000000002</c:v>
                </c:pt>
                <c:pt idx="3">
                  <c:v>351.41459999999995</c:v>
                </c:pt>
                <c:pt idx="4">
                  <c:v>368.48879999999997</c:v>
                </c:pt>
              </c:numCache>
            </c:numRef>
          </c:val>
          <c:extLst>
            <c:ext xmlns:c16="http://schemas.microsoft.com/office/drawing/2014/chart" uri="{C3380CC4-5D6E-409C-BE32-E72D297353CC}">
              <c16:uniqueId val="{00000001-4C63-4484-B93C-1B5B6C05EFB4}"/>
            </c:ext>
          </c:extLst>
        </c:ser>
        <c:ser>
          <c:idx val="2"/>
          <c:order val="2"/>
          <c:tx>
            <c:strRef>
              <c:f>Лист1!$A$6</c:f>
              <c:strCache>
                <c:ptCount val="1"/>
                <c:pt idx="0">
                  <c:v>Cheltuieli operaționale la distribuția gazelor</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Лист1!$B$6:$L$6</c:f>
              <c:numCache>
                <c:formatCode>_-* #,##0.0\ _L_-;\-* #,##0.0\ _L_-;_-* "-"??\ _L_-;_-@_-</c:formatCode>
                <c:ptCount val="5"/>
                <c:pt idx="0">
                  <c:v>882.27670000000001</c:v>
                </c:pt>
                <c:pt idx="1">
                  <c:v>950.33137999999997</c:v>
                </c:pt>
                <c:pt idx="2">
                  <c:v>1019.5452060000001</c:v>
                </c:pt>
                <c:pt idx="3">
                  <c:v>1016.2287114000001</c:v>
                </c:pt>
                <c:pt idx="4">
                  <c:v>1074.5381170000001</c:v>
                </c:pt>
              </c:numCache>
            </c:numRef>
          </c:val>
          <c:extLst>
            <c:ext xmlns:c16="http://schemas.microsoft.com/office/drawing/2014/chart" uri="{C3380CC4-5D6E-409C-BE32-E72D297353CC}">
              <c16:uniqueId val="{00000002-4C63-4484-B93C-1B5B6C05EFB4}"/>
            </c:ext>
          </c:extLst>
        </c:ser>
        <c:ser>
          <c:idx val="3"/>
          <c:order val="3"/>
          <c:tx>
            <c:strRef>
              <c:f>Лист1!$A$7</c:f>
              <c:strCache>
                <c:ptCount val="1"/>
                <c:pt idx="0">
                  <c:v>Cheltuieli operaționale la furnizarea gazelor</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Лист1!$B$7:$L$7</c:f>
              <c:numCache>
                <c:formatCode>_-* #,##0.0\ _L_-;\-* #,##0.0\ _L_-;_-* "-"??\ _L_-;_-@_-</c:formatCode>
                <c:ptCount val="5"/>
                <c:pt idx="0">
                  <c:v>156.58999999999989</c:v>
                </c:pt>
                <c:pt idx="1">
                  <c:v>174.12812</c:v>
                </c:pt>
                <c:pt idx="2">
                  <c:v>197.105334</c:v>
                </c:pt>
                <c:pt idx="3">
                  <c:v>200.85668859999998</c:v>
                </c:pt>
                <c:pt idx="4">
                  <c:v>208.3</c:v>
                </c:pt>
              </c:numCache>
            </c:numRef>
          </c:val>
          <c:extLst>
            <c:ext xmlns:c16="http://schemas.microsoft.com/office/drawing/2014/chart" uri="{C3380CC4-5D6E-409C-BE32-E72D297353CC}">
              <c16:uniqueId val="{00000003-4C63-4484-B93C-1B5B6C05EFB4}"/>
            </c:ext>
          </c:extLst>
        </c:ser>
        <c:dLbls>
          <c:dLblPos val="outEnd"/>
          <c:showLegendKey val="0"/>
          <c:showVal val="1"/>
          <c:showCatName val="0"/>
          <c:showSerName val="0"/>
          <c:showPercent val="0"/>
          <c:showBubbleSize val="0"/>
        </c:dLbls>
        <c:gapWidth val="219"/>
        <c:overlap val="-27"/>
        <c:axId val="1607227951"/>
        <c:axId val="1607221295"/>
      </c:barChart>
      <c:catAx>
        <c:axId val="160722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7221295"/>
        <c:crosses val="autoZero"/>
        <c:auto val="1"/>
        <c:lblAlgn val="ctr"/>
        <c:lblOffset val="100"/>
        <c:noMultiLvlLbl val="0"/>
      </c:catAx>
      <c:valAx>
        <c:axId val="1607221295"/>
        <c:scaling>
          <c:orientation val="minMax"/>
        </c:scaling>
        <c:delete val="0"/>
        <c:axPos val="l"/>
        <c:majorGridlines>
          <c:spPr>
            <a:ln w="9525" cap="flat" cmpd="sng" algn="ctr">
              <a:solidFill>
                <a:schemeClr val="tx1">
                  <a:lumMod val="15000"/>
                  <a:lumOff val="85000"/>
                </a:schemeClr>
              </a:solidFill>
              <a:round/>
            </a:ln>
            <a:effectLst/>
          </c:spPr>
        </c:majorGridlines>
        <c:numFmt formatCode="_-* #,##0.0\ _L_-;\-* #,##0.0\ _L_-;_-* &quot;-&quot;??\ _L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7227951"/>
        <c:crosses val="autoZero"/>
        <c:crossBetween val="between"/>
      </c:valAx>
      <c:spPr>
        <a:noFill/>
        <a:ln>
          <a:noFill/>
        </a:ln>
        <a:effectLst/>
      </c:spPr>
    </c:plotArea>
    <c:legend>
      <c:legendPos val="b"/>
      <c:layout>
        <c:manualLayout>
          <c:xMode val="edge"/>
          <c:yMode val="edge"/>
          <c:x val="1.3580278090639568E-2"/>
          <c:y val="0.82816709628648832"/>
          <c:w val="0.96856319836223181"/>
          <c:h val="0.145774466027167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786092214663644E-2"/>
          <c:y val="9.3858870459564162E-2"/>
          <c:w val="0.95842781557067269"/>
          <c:h val="0.59294215310768827"/>
        </c:manualLayout>
      </c:layout>
      <c:barChart>
        <c:barDir val="col"/>
        <c:grouping val="clustered"/>
        <c:varyColors val="0"/>
        <c:ser>
          <c:idx val="0"/>
          <c:order val="0"/>
          <c:tx>
            <c:strRef>
              <c:f>'2017-2021'!$B$4</c:f>
              <c:strCache>
                <c:ptCount val="1"/>
                <c:pt idx="0">
                  <c:v>mii lei</c:v>
                </c:pt>
              </c:strCache>
            </c:strRef>
          </c:tx>
          <c:spPr>
            <a:solidFill>
              <a:schemeClr val="accent1">
                <a:alpha val="70000"/>
              </a:schemeClr>
            </a:solidFill>
            <a:ln w="28575">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'2017-2021'!$A$5:$A$11</c:f>
              <c:strCache>
                <c:ptCount val="7"/>
                <c:pt idx="0">
                  <c:v>Costuri și cheltuieli de materiale</c:v>
                </c:pt>
                <c:pt idx="1">
                  <c:v>Cheltuieli aferente serviciilor prestate de terți</c:v>
                </c:pt>
                <c:pt idx="2">
                  <c:v>Alte cheltuieli operaționale</c:v>
                </c:pt>
                <c:pt idx="3">
                  <c:v>Costuri și cheltuieli cu personalul</c:v>
                </c:pt>
                <c:pt idx="4">
                  <c:v>Contribuții de asigurări medicale și sociale obligatorii</c:v>
                </c:pt>
                <c:pt idx="5">
                  <c:v>Amortizarea imobilizărilor necorporale și corporale</c:v>
                </c:pt>
                <c:pt idx="6">
                  <c:v>Alte cheltuieli operaționale</c:v>
                </c:pt>
              </c:strCache>
            </c:strRef>
          </c:cat>
          <c:val>
            <c:numRef>
              <c:f>'2017-2021'!$B$5:$B$11</c:f>
              <c:numCache>
                <c:formatCode>_-* #,##0_-;\-* #,##0_-;_-* "-"??_-;_-@_-</c:formatCode>
                <c:ptCount val="7"/>
                <c:pt idx="0">
                  <c:v>614756.10439999995</c:v>
                </c:pt>
                <c:pt idx="1">
                  <c:v>682217.74748999998</c:v>
                </c:pt>
                <c:pt idx="2">
                  <c:v>185004.47200000001</c:v>
                </c:pt>
                <c:pt idx="3">
                  <c:v>3555273.4838999999</c:v>
                </c:pt>
                <c:pt idx="4">
                  <c:v>839072.03099999996</c:v>
                </c:pt>
                <c:pt idx="5">
                  <c:v>1845343.9259999997</c:v>
                </c:pt>
                <c:pt idx="6">
                  <c:v>188437.40699999998</c:v>
                </c:pt>
              </c:numCache>
            </c:numRef>
          </c:val>
          <c:extLst>
            <c:ext xmlns:c16="http://schemas.microsoft.com/office/drawing/2014/chart" uri="{C3380CC4-5D6E-409C-BE32-E72D297353CC}">
              <c16:uniqueId val="{00000000-DA34-45D7-A9AA-EAD5F7DED11D}"/>
            </c:ext>
          </c:extLst>
        </c:ser>
        <c:ser>
          <c:idx val="1"/>
          <c:order val="1"/>
          <c:tx>
            <c:strRef>
              <c:f>'2017-2021'!$C$4</c:f>
              <c:strCache>
                <c:ptCount val="1"/>
                <c:pt idx="0">
                  <c:v>%</c:v>
                </c:pt>
              </c:strCache>
            </c:strRef>
          </c:tx>
          <c:spPr>
            <a:solidFill>
              <a:schemeClr val="accent2">
                <a:alpha val="70000"/>
              </a:schemeClr>
            </a:solidFill>
            <a:ln>
              <a:noFill/>
            </a:ln>
            <a:effectLst/>
          </c:spPr>
          <c:invertIfNegative val="0"/>
          <c:dLbls>
            <c:delete val="1"/>
          </c:dLbls>
          <c:cat>
            <c:strRef>
              <c:f>'2017-2021'!$A$5:$A$11</c:f>
              <c:strCache>
                <c:ptCount val="7"/>
                <c:pt idx="0">
                  <c:v>Costuri și cheltuieli de materiale</c:v>
                </c:pt>
                <c:pt idx="1">
                  <c:v>Cheltuieli aferente serviciilor prestate de terți</c:v>
                </c:pt>
                <c:pt idx="2">
                  <c:v>Alte cheltuieli operaționale</c:v>
                </c:pt>
                <c:pt idx="3">
                  <c:v>Costuri și cheltuieli cu personalul</c:v>
                </c:pt>
                <c:pt idx="4">
                  <c:v>Contribuții de asigurări medicale și sociale obligatorii</c:v>
                </c:pt>
                <c:pt idx="5">
                  <c:v>Amortizarea imobilizărilor necorporale și corporale</c:v>
                </c:pt>
                <c:pt idx="6">
                  <c:v>Alte cheltuieli operaționale</c:v>
                </c:pt>
              </c:strCache>
            </c:strRef>
          </c:cat>
          <c:val>
            <c:numRef>
              <c:f>'2017-2021'!$C$5:$C$11</c:f>
              <c:numCache>
                <c:formatCode>0.0%</c:formatCode>
                <c:ptCount val="7"/>
                <c:pt idx="0">
                  <c:v>7.7717816773463344E-2</c:v>
                </c:pt>
                <c:pt idx="1">
                  <c:v>8.624635610699713E-2</c:v>
                </c:pt>
                <c:pt idx="2">
                  <c:v>2.3388370695725511E-2</c:v>
                </c:pt>
                <c:pt idx="3">
                  <c:v>0.44945969828305932</c:v>
                </c:pt>
                <c:pt idx="4">
                  <c:v>0.10607596394450013</c:v>
                </c:pt>
                <c:pt idx="5">
                  <c:v>0.23328942990304286</c:v>
                </c:pt>
                <c:pt idx="6">
                  <c:v>2.382236429321179E-2</c:v>
                </c:pt>
              </c:numCache>
            </c:numRef>
          </c:val>
          <c:extLst>
            <c:ext xmlns:c16="http://schemas.microsoft.com/office/drawing/2014/chart" uri="{C3380CC4-5D6E-409C-BE32-E72D297353CC}">
              <c16:uniqueId val="{00000001-DA34-45D7-A9AA-EAD5F7DED11D}"/>
            </c:ext>
          </c:extLst>
        </c:ser>
        <c:dLbls>
          <c:dLblPos val="outEnd"/>
          <c:showLegendKey val="0"/>
          <c:showVal val="1"/>
          <c:showCatName val="0"/>
          <c:showSerName val="0"/>
          <c:showPercent val="0"/>
          <c:showBubbleSize val="0"/>
        </c:dLbls>
        <c:gapWidth val="80"/>
        <c:overlap val="25"/>
        <c:axId val="311855744"/>
        <c:axId val="311857536"/>
      </c:barChart>
      <c:catAx>
        <c:axId val="311855744"/>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11857536"/>
        <c:crosses val="autoZero"/>
        <c:auto val="1"/>
        <c:lblAlgn val="ctr"/>
        <c:lblOffset val="100"/>
        <c:noMultiLvlLbl val="0"/>
      </c:catAx>
      <c:valAx>
        <c:axId val="311857536"/>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118557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887930276657989E-2"/>
          <c:y val="3.6520584329349272E-2"/>
          <c:w val="0.89975800273769602"/>
          <c:h val="0.62021389507586455"/>
        </c:manualLayout>
      </c:layout>
      <c:barChart>
        <c:barDir val="col"/>
        <c:grouping val="clustered"/>
        <c:varyColors val="0"/>
        <c:ser>
          <c:idx val="0"/>
          <c:order val="0"/>
          <c:tx>
            <c:v>mii lei</c:v>
          </c:tx>
          <c:spPr>
            <a:solidFill>
              <a:schemeClr val="accent1">
                <a:alpha val="70000"/>
              </a:schemeClr>
            </a:solidFill>
            <a:ln w="28575">
              <a:solidFill>
                <a:schemeClr val="accent1"/>
              </a:solidFill>
            </a:ln>
            <a:effectLst/>
          </c:spPr>
          <c:invertIfNegative val="0"/>
          <c:dLbls>
            <c:delete val="1"/>
          </c:dLbls>
          <c:cat>
            <c:strRef>
              <c:f>'2017-2021'!$B$7:$B$21</c:f>
              <c:strCache>
                <c:ptCount val="15"/>
                <c:pt idx="0">
                  <c:v>S.A. ,,Moldovagaz”</c:v>
                </c:pt>
                <c:pt idx="1">
                  <c:v>S.R.L. ,,Chișinău-gaz”</c:v>
                </c:pt>
                <c:pt idx="2">
                  <c:v>S.R.L. ,,Ialoveni-gaz”</c:v>
                </c:pt>
                <c:pt idx="3">
                  <c:v>S.R.L. ,,Bălți-gaz”</c:v>
                </c:pt>
                <c:pt idx="4">
                  <c:v>S.R.L. ,,Edineț-gaz”</c:v>
                </c:pt>
                <c:pt idx="5">
                  <c:v>S.R.L. ,,Florești-gaz”</c:v>
                </c:pt>
                <c:pt idx="6">
                  <c:v>S.R.L. ,,Orhei-gaz”</c:v>
                </c:pt>
                <c:pt idx="7">
                  <c:v>S.R.L. ,,Cimișlia-gaz”</c:v>
                </c:pt>
                <c:pt idx="8">
                  <c:v>S.R.L. ,,Ștefan-Vodă-gaz”</c:v>
                </c:pt>
                <c:pt idx="9">
                  <c:v>S.R.L. ,,Gagauz-gaz”</c:v>
                </c:pt>
                <c:pt idx="10">
                  <c:v>S.R.L. ,,Cahul-gaz”</c:v>
                </c:pt>
                <c:pt idx="11">
                  <c:v>S.R.L. ,,Taraclia-gaz”</c:v>
                </c:pt>
                <c:pt idx="12">
                  <c:v>S.R.L. ,,Ungheni-gaz”</c:v>
                </c:pt>
                <c:pt idx="13">
                  <c:v>S.R.L. ,,Moldovatransgaz”</c:v>
                </c:pt>
                <c:pt idx="14">
                  <c:v>S.R.L. ,,Flacăra Albastră”</c:v>
                </c:pt>
              </c:strCache>
            </c:strRef>
          </c:cat>
          <c:val>
            <c:numRef>
              <c:f>'2017-2021'!$C$7:$C$21</c:f>
              <c:numCache>
                <c:formatCode>_-* #,##0_ _-;\-* #,##0_ _-;_-* "-"??_ _-;_-@_-</c:formatCode>
                <c:ptCount val="15"/>
                <c:pt idx="0">
                  <c:v>936930.44259999972</c:v>
                </c:pt>
                <c:pt idx="1">
                  <c:v>1119080.8029999998</c:v>
                </c:pt>
                <c:pt idx="2">
                  <c:v>603981.80599999998</c:v>
                </c:pt>
                <c:pt idx="3">
                  <c:v>530930.69999999995</c:v>
                </c:pt>
                <c:pt idx="4">
                  <c:v>339190.89999999997</c:v>
                </c:pt>
                <c:pt idx="5">
                  <c:v>304554.59999999998</c:v>
                </c:pt>
                <c:pt idx="6">
                  <c:v>418225.5</c:v>
                </c:pt>
                <c:pt idx="7">
                  <c:v>238362.18000000002</c:v>
                </c:pt>
                <c:pt idx="8">
                  <c:v>266791.8</c:v>
                </c:pt>
                <c:pt idx="9">
                  <c:v>438569.69999999995</c:v>
                </c:pt>
                <c:pt idx="10">
                  <c:v>256285.9</c:v>
                </c:pt>
                <c:pt idx="11">
                  <c:v>172712.3254</c:v>
                </c:pt>
                <c:pt idx="12">
                  <c:v>254233.9</c:v>
                </c:pt>
                <c:pt idx="13">
                  <c:v>1954809.3</c:v>
                </c:pt>
                <c:pt idx="14">
                  <c:v>75445.679999999993</c:v>
                </c:pt>
              </c:numCache>
            </c:numRef>
          </c:val>
          <c:extLst>
            <c:ext xmlns:c16="http://schemas.microsoft.com/office/drawing/2014/chart" uri="{C3380CC4-5D6E-409C-BE32-E72D297353CC}">
              <c16:uniqueId val="{00000000-03C7-46A1-89AC-EB97C9382291}"/>
            </c:ext>
          </c:extLst>
        </c:ser>
        <c:ser>
          <c:idx val="1"/>
          <c:order val="1"/>
          <c:tx>
            <c:v>%</c:v>
          </c:tx>
          <c:spPr>
            <a:solidFill>
              <a:schemeClr val="accent2">
                <a:alpha val="70000"/>
              </a:schemeClr>
            </a:solidFill>
            <a:ln>
              <a:noFill/>
            </a:ln>
            <a:effectLst/>
          </c:spPr>
          <c:invertIfNegative val="0"/>
          <c:dLbls>
            <c:delete val="1"/>
          </c:dLbls>
          <c:cat>
            <c:strRef>
              <c:f>'2017-2021'!$B$7:$B$21</c:f>
              <c:strCache>
                <c:ptCount val="15"/>
                <c:pt idx="0">
                  <c:v>S.A. ,,Moldovagaz”</c:v>
                </c:pt>
                <c:pt idx="1">
                  <c:v>S.R.L. ,,Chișinău-gaz”</c:v>
                </c:pt>
                <c:pt idx="2">
                  <c:v>S.R.L. ,,Ialoveni-gaz”</c:v>
                </c:pt>
                <c:pt idx="3">
                  <c:v>S.R.L. ,,Bălți-gaz”</c:v>
                </c:pt>
                <c:pt idx="4">
                  <c:v>S.R.L. ,,Edineț-gaz”</c:v>
                </c:pt>
                <c:pt idx="5">
                  <c:v>S.R.L. ,,Florești-gaz”</c:v>
                </c:pt>
                <c:pt idx="6">
                  <c:v>S.R.L. ,,Orhei-gaz”</c:v>
                </c:pt>
                <c:pt idx="7">
                  <c:v>S.R.L. ,,Cimișlia-gaz”</c:v>
                </c:pt>
                <c:pt idx="8">
                  <c:v>S.R.L. ,,Ștefan-Vodă-gaz”</c:v>
                </c:pt>
                <c:pt idx="9">
                  <c:v>S.R.L. ,,Gagauz-gaz”</c:v>
                </c:pt>
                <c:pt idx="10">
                  <c:v>S.R.L. ,,Cahul-gaz”</c:v>
                </c:pt>
                <c:pt idx="11">
                  <c:v>S.R.L. ,,Taraclia-gaz”</c:v>
                </c:pt>
                <c:pt idx="12">
                  <c:v>S.R.L. ,,Ungheni-gaz”</c:v>
                </c:pt>
                <c:pt idx="13">
                  <c:v>S.R.L. ,,Moldovatransgaz”</c:v>
                </c:pt>
                <c:pt idx="14">
                  <c:v>S.R.L. ,,Flacăra Albastră”</c:v>
                </c:pt>
              </c:strCache>
            </c:strRef>
          </c:cat>
          <c:val>
            <c:numRef>
              <c:f>'2017-2021'!$D$7:$D$21</c:f>
              <c:numCache>
                <c:formatCode>0.0%</c:formatCode>
                <c:ptCount val="15"/>
                <c:pt idx="0">
                  <c:v>0.11844727459291796</c:v>
                </c:pt>
                <c:pt idx="1">
                  <c:v>0.14147482581179624</c:v>
                </c:pt>
                <c:pt idx="2">
                  <c:v>7.635572030927254E-2</c:v>
                </c:pt>
                <c:pt idx="3">
                  <c:v>6.7120558318285298E-2</c:v>
                </c:pt>
                <c:pt idx="4">
                  <c:v>4.2880704740716029E-2</c:v>
                </c:pt>
                <c:pt idx="5">
                  <c:v>3.8501964174236021E-2</c:v>
                </c:pt>
                <c:pt idx="6">
                  <c:v>5.2872303415387414E-2</c:v>
                </c:pt>
                <c:pt idx="7">
                  <c:v>3.0133881132817564E-2</c:v>
                </c:pt>
                <c:pt idx="8">
                  <c:v>3.3727969715709245E-2</c:v>
                </c:pt>
                <c:pt idx="9">
                  <c:v>5.5444228645062134E-2</c:v>
                </c:pt>
                <c:pt idx="10">
                  <c:v>3.2399807916747396E-2</c:v>
                </c:pt>
                <c:pt idx="11">
                  <c:v>2.1834389515048517E-2</c:v>
                </c:pt>
                <c:pt idx="12">
                  <c:v>3.2140392920272112E-2</c:v>
                </c:pt>
                <c:pt idx="13">
                  <c:v>0.24712809340611963</c:v>
                </c:pt>
                <c:pt idx="14">
                  <c:v>9.5378853856118908E-3</c:v>
                </c:pt>
              </c:numCache>
            </c:numRef>
          </c:val>
          <c:extLst>
            <c:ext xmlns:c16="http://schemas.microsoft.com/office/drawing/2014/chart" uri="{C3380CC4-5D6E-409C-BE32-E72D297353CC}">
              <c16:uniqueId val="{00000001-03C7-46A1-89AC-EB97C9382291}"/>
            </c:ext>
          </c:extLst>
        </c:ser>
        <c:dLbls>
          <c:dLblPos val="outEnd"/>
          <c:showLegendKey val="0"/>
          <c:showVal val="1"/>
          <c:showCatName val="0"/>
          <c:showSerName val="0"/>
          <c:showPercent val="0"/>
          <c:showBubbleSize val="0"/>
        </c:dLbls>
        <c:gapWidth val="80"/>
        <c:overlap val="25"/>
        <c:axId val="311868416"/>
        <c:axId val="311870208"/>
      </c:barChart>
      <c:catAx>
        <c:axId val="311868416"/>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11870208"/>
        <c:crosses val="autoZero"/>
        <c:auto val="1"/>
        <c:lblAlgn val="ctr"/>
        <c:lblOffset val="100"/>
        <c:noMultiLvlLbl val="0"/>
      </c:catAx>
      <c:valAx>
        <c:axId val="311870208"/>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_-* #,##0_ _-;\-* #,##0_ _-;_-* &quot;-&quot;??_ 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118684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x-none" sz="1000"/>
              <a:t>Cheltuielile de tipărire a facturilor/bonurilor pentru gazele </a:t>
            </a:r>
            <a:r>
              <a:rPr lang="x-none" sz="1000" baseline="0"/>
              <a:t>consumate</a:t>
            </a:r>
            <a:endParaRPr lang="en-US" sz="1000"/>
          </a:p>
        </c:rich>
      </c:tx>
      <c:overlay val="0"/>
      <c:spPr>
        <a:noFill/>
        <a:ln>
          <a:noFill/>
        </a:ln>
        <a:effectLst/>
      </c:spPr>
    </c:title>
    <c:autoTitleDeleted val="0"/>
    <c:plotArea>
      <c:layout/>
      <c:lineChart>
        <c:grouping val="standard"/>
        <c:varyColors val="0"/>
        <c:ser>
          <c:idx val="0"/>
          <c:order val="0"/>
          <c:tx>
            <c:strRef>
              <c:f>'[DL Tiparirea facturilor - bonurilor etc 2017-2021.xlsx]Sheet2'!$B$15</c:f>
              <c:strCache>
                <c:ptCount val="1"/>
                <c:pt idx="0">
                  <c:v>Cantitatea totală a facturilor tipărite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'[DL Tiparirea facturilor - bonurilor etc 2017-2021.xlsx]Sheet2'!$C$14:$G$14</c:f>
              <c:numCache>
                <c:formatCode>General</c:formatCode>
                <c:ptCount val="5"/>
                <c:pt idx="0">
                  <c:v>2017</c:v>
                </c:pt>
                <c:pt idx="1">
                  <c:v>2018</c:v>
                </c:pt>
                <c:pt idx="2">
                  <c:v>2019</c:v>
                </c:pt>
                <c:pt idx="3">
                  <c:v>2020</c:v>
                </c:pt>
                <c:pt idx="4">
                  <c:v>2021</c:v>
                </c:pt>
              </c:numCache>
            </c:numRef>
          </c:cat>
          <c:val>
            <c:numRef>
              <c:f>'[DL Tiparirea facturilor - bonurilor etc 2017-2021.xlsx]Sheet2'!$C$15:$G$15</c:f>
              <c:numCache>
                <c:formatCode>#,##0.00</c:formatCode>
                <c:ptCount val="5"/>
                <c:pt idx="0">
                  <c:v>6508046</c:v>
                </c:pt>
                <c:pt idx="1">
                  <c:v>6765509.0999999996</c:v>
                </c:pt>
                <c:pt idx="2">
                  <c:v>7172822</c:v>
                </c:pt>
                <c:pt idx="3">
                  <c:v>6204108</c:v>
                </c:pt>
                <c:pt idx="4">
                  <c:v>7743520</c:v>
                </c:pt>
              </c:numCache>
            </c:numRef>
          </c:val>
          <c:smooth val="0"/>
          <c:extLst>
            <c:ext xmlns:c16="http://schemas.microsoft.com/office/drawing/2014/chart" uri="{C3380CC4-5D6E-409C-BE32-E72D297353CC}">
              <c16:uniqueId val="{00000000-8BD4-4E8B-B2F1-1B3B2F3F4AC7}"/>
            </c:ext>
          </c:extLst>
        </c:ser>
        <c:ser>
          <c:idx val="1"/>
          <c:order val="1"/>
          <c:tx>
            <c:strRef>
              <c:f>'[DL Tiparirea facturilor - bonurilor etc 2017-2021.xlsx]Sheet2'!$B$16</c:f>
              <c:strCache>
                <c:ptCount val="1"/>
                <c:pt idx="0">
                  <c:v>Costul mediu al unei facturi tipărite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'[DL Tiparirea facturilor - bonurilor etc 2017-2021.xlsx]Sheet2'!$C$14:$G$14</c:f>
              <c:numCache>
                <c:formatCode>General</c:formatCode>
                <c:ptCount val="5"/>
                <c:pt idx="0">
                  <c:v>2017</c:v>
                </c:pt>
                <c:pt idx="1">
                  <c:v>2018</c:v>
                </c:pt>
                <c:pt idx="2">
                  <c:v>2019</c:v>
                </c:pt>
                <c:pt idx="3">
                  <c:v>2020</c:v>
                </c:pt>
                <c:pt idx="4">
                  <c:v>2021</c:v>
                </c:pt>
              </c:numCache>
            </c:numRef>
          </c:cat>
          <c:val>
            <c:numRef>
              <c:f>'[DL Tiparirea facturilor - bonurilor etc 2017-2021.xlsx]Sheet2'!$C$16:$G$16</c:f>
              <c:numCache>
                <c:formatCode>#,##0.00</c:formatCode>
                <c:ptCount val="5"/>
                <c:pt idx="0">
                  <c:v>0.52</c:v>
                </c:pt>
                <c:pt idx="1">
                  <c:v>0.52</c:v>
                </c:pt>
                <c:pt idx="2">
                  <c:v>0.48</c:v>
                </c:pt>
                <c:pt idx="3">
                  <c:v>0.46</c:v>
                </c:pt>
                <c:pt idx="4">
                  <c:v>0.28999999999999998</c:v>
                </c:pt>
              </c:numCache>
            </c:numRef>
          </c:val>
          <c:smooth val="0"/>
          <c:extLst>
            <c:ext xmlns:c16="http://schemas.microsoft.com/office/drawing/2014/chart" uri="{C3380CC4-5D6E-409C-BE32-E72D297353CC}">
              <c16:uniqueId val="{00000001-8BD4-4E8B-B2F1-1B3B2F3F4AC7}"/>
            </c:ext>
          </c:extLst>
        </c:ser>
        <c:ser>
          <c:idx val="2"/>
          <c:order val="2"/>
          <c:tx>
            <c:strRef>
              <c:f>'[DL Tiparirea facturilor - bonurilor etc 2017-2021.xlsx]Sheet2'!$B$17</c:f>
              <c:strCache>
                <c:ptCount val="1"/>
                <c:pt idx="0">
                  <c:v>Costul total de tipărire a facturilor cu TVA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'[DL Tiparirea facturilor - bonurilor etc 2017-2021.xlsx]Sheet2'!$C$14:$G$14</c:f>
              <c:numCache>
                <c:formatCode>General</c:formatCode>
                <c:ptCount val="5"/>
                <c:pt idx="0">
                  <c:v>2017</c:v>
                </c:pt>
                <c:pt idx="1">
                  <c:v>2018</c:v>
                </c:pt>
                <c:pt idx="2">
                  <c:v>2019</c:v>
                </c:pt>
                <c:pt idx="3">
                  <c:v>2020</c:v>
                </c:pt>
                <c:pt idx="4">
                  <c:v>2021</c:v>
                </c:pt>
              </c:numCache>
            </c:numRef>
          </c:cat>
          <c:val>
            <c:numRef>
              <c:f>'[DL Tiparirea facturilor - bonurilor etc 2017-2021.xlsx]Sheet2'!$C$17:$G$17</c:f>
              <c:numCache>
                <c:formatCode>#,##0.00</c:formatCode>
                <c:ptCount val="5"/>
                <c:pt idx="0">
                  <c:v>4073158.6999999997</c:v>
                </c:pt>
                <c:pt idx="1">
                  <c:v>4226885.898</c:v>
                </c:pt>
                <c:pt idx="2">
                  <c:v>4102952.6899999995</c:v>
                </c:pt>
                <c:pt idx="3">
                  <c:v>3389331.24</c:v>
                </c:pt>
                <c:pt idx="4">
                  <c:v>2716980.0240000002</c:v>
                </c:pt>
              </c:numCache>
            </c:numRef>
          </c:val>
          <c:smooth val="0"/>
          <c:extLst>
            <c:ext xmlns:c16="http://schemas.microsoft.com/office/drawing/2014/chart" uri="{C3380CC4-5D6E-409C-BE32-E72D297353CC}">
              <c16:uniqueId val="{00000002-8BD4-4E8B-B2F1-1B3B2F3F4AC7}"/>
            </c:ext>
          </c:extLst>
        </c:ser>
        <c:dLbls>
          <c:dLblPos val="t"/>
          <c:showLegendKey val="0"/>
          <c:showVal val="1"/>
          <c:showCatName val="0"/>
          <c:showSerName val="0"/>
          <c:showPercent val="0"/>
          <c:showBubbleSize val="0"/>
        </c:dLbls>
        <c:marker val="1"/>
        <c:smooth val="0"/>
        <c:axId val="311956992"/>
        <c:axId val="311958528"/>
      </c:lineChart>
      <c:catAx>
        <c:axId val="3119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1958528"/>
        <c:crosses val="autoZero"/>
        <c:auto val="1"/>
        <c:lblAlgn val="ctr"/>
        <c:lblOffset val="100"/>
        <c:noMultiLvlLbl val="0"/>
      </c:catAx>
      <c:valAx>
        <c:axId val="31195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195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A7F04-56EB-48BE-A7AD-FDC2C5CC740C}"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4DF25396-5DAE-4005-B909-3EC0EC274F94}">
      <dgm:prSet phldrT="[Text]"/>
      <dgm:spPr/>
      <dgm:t>
        <a:bodyPr/>
        <a:lstStyle/>
        <a:p>
          <a:r>
            <a:rPr lang="x-none"/>
            <a:t>Adunarea Generală a Acționarilor</a:t>
          </a:r>
          <a:endParaRPr lang="en-US"/>
        </a:p>
      </dgm:t>
    </dgm:pt>
    <dgm:pt modelId="{B7949ED4-8A5F-47F4-B0CF-3E0D5B6FE7D2}" type="parTrans" cxnId="{63B09222-5912-4B00-A3D2-C8AF182D9C9F}">
      <dgm:prSet/>
      <dgm:spPr/>
      <dgm:t>
        <a:bodyPr/>
        <a:lstStyle/>
        <a:p>
          <a:endParaRPr lang="en-US"/>
        </a:p>
      </dgm:t>
    </dgm:pt>
    <dgm:pt modelId="{DEB7BF59-C0A8-47E0-B45B-4A4507C82D34}" type="sibTrans" cxnId="{63B09222-5912-4B00-A3D2-C8AF182D9C9F}">
      <dgm:prSet/>
      <dgm:spPr/>
      <dgm:t>
        <a:bodyPr/>
        <a:lstStyle/>
        <a:p>
          <a:endParaRPr lang="en-US"/>
        </a:p>
      </dgm:t>
    </dgm:pt>
    <dgm:pt modelId="{718F29B3-0FF3-45D5-B499-FA690262CE2B}">
      <dgm:prSet phldrT="[Text]"/>
      <dgm:spPr/>
      <dgm:t>
        <a:bodyPr/>
        <a:lstStyle/>
        <a:p>
          <a:r>
            <a:rPr lang="x-none"/>
            <a:t>Consiliul de observatori</a:t>
          </a:r>
          <a:endParaRPr lang="en-US"/>
        </a:p>
      </dgm:t>
    </dgm:pt>
    <dgm:pt modelId="{A36D018D-EF91-4E5D-ABAC-497C34A067A2}" type="parTrans" cxnId="{2DBAE75E-F16A-42AA-A08E-1D39CC1162E7}">
      <dgm:prSet/>
      <dgm:spPr/>
      <dgm:t>
        <a:bodyPr/>
        <a:lstStyle/>
        <a:p>
          <a:endParaRPr lang="en-US"/>
        </a:p>
      </dgm:t>
    </dgm:pt>
    <dgm:pt modelId="{69A15878-2936-4ACC-95F8-428D4AE627F1}" type="sibTrans" cxnId="{2DBAE75E-F16A-42AA-A08E-1D39CC1162E7}">
      <dgm:prSet/>
      <dgm:spPr/>
      <dgm:t>
        <a:bodyPr/>
        <a:lstStyle/>
        <a:p>
          <a:endParaRPr lang="en-US"/>
        </a:p>
      </dgm:t>
    </dgm:pt>
    <dgm:pt modelId="{E2C7D5EC-E386-4047-B92F-ADE152534ECA}">
      <dgm:prSet phldrT="[Text]"/>
      <dgm:spPr/>
      <dgm:t>
        <a:bodyPr/>
        <a:lstStyle/>
        <a:p>
          <a:r>
            <a:rPr lang="x-none"/>
            <a:t>Consiliul de administrație</a:t>
          </a:r>
          <a:endParaRPr lang="en-US"/>
        </a:p>
      </dgm:t>
    </dgm:pt>
    <dgm:pt modelId="{6C3D9DDC-189F-43B8-91A7-0C458AA662AE}" type="parTrans" cxnId="{C211327C-DC02-48C1-8420-A2C0F039B478}">
      <dgm:prSet/>
      <dgm:spPr/>
      <dgm:t>
        <a:bodyPr/>
        <a:lstStyle/>
        <a:p>
          <a:endParaRPr lang="en-US"/>
        </a:p>
      </dgm:t>
    </dgm:pt>
    <dgm:pt modelId="{5638F0AA-B340-4374-9A15-EDDC9F089BFD}" type="sibTrans" cxnId="{C211327C-DC02-48C1-8420-A2C0F039B478}">
      <dgm:prSet/>
      <dgm:spPr/>
      <dgm:t>
        <a:bodyPr/>
        <a:lstStyle/>
        <a:p>
          <a:endParaRPr lang="en-US"/>
        </a:p>
      </dgm:t>
    </dgm:pt>
    <dgm:pt modelId="{B4D86D8F-21C1-46AD-972C-2DAFBB4BA937}">
      <dgm:prSet phldrT="[Text]"/>
      <dgm:spPr/>
      <dgm:t>
        <a:bodyPr/>
        <a:lstStyle/>
        <a:p>
          <a:r>
            <a:rPr lang="x-none"/>
            <a:t>Comisia de cenzori</a:t>
          </a:r>
          <a:endParaRPr lang="en-US"/>
        </a:p>
      </dgm:t>
    </dgm:pt>
    <dgm:pt modelId="{4D968075-AFD8-4EA7-A11C-502A2A4CF467}" type="parTrans" cxnId="{931D3F4E-4960-4AA4-B203-B9D71E289A89}">
      <dgm:prSet/>
      <dgm:spPr/>
      <dgm:t>
        <a:bodyPr/>
        <a:lstStyle/>
        <a:p>
          <a:endParaRPr lang="en-US"/>
        </a:p>
      </dgm:t>
    </dgm:pt>
    <dgm:pt modelId="{C0289201-4AD2-4010-8588-5010A72D20DF}" type="sibTrans" cxnId="{931D3F4E-4960-4AA4-B203-B9D71E289A89}">
      <dgm:prSet/>
      <dgm:spPr/>
      <dgm:t>
        <a:bodyPr/>
        <a:lstStyle/>
        <a:p>
          <a:endParaRPr lang="en-US"/>
        </a:p>
      </dgm:t>
    </dgm:pt>
    <dgm:pt modelId="{F7F1C3B8-6F94-4BFF-B564-3B683E266B68}" type="pres">
      <dgm:prSet presAssocID="{902A7F04-56EB-48BE-A7AD-FDC2C5CC740C}" presName="compositeShape" presStyleCnt="0">
        <dgm:presLayoutVars>
          <dgm:dir/>
          <dgm:resizeHandles/>
        </dgm:presLayoutVars>
      </dgm:prSet>
      <dgm:spPr/>
      <dgm:t>
        <a:bodyPr/>
        <a:lstStyle/>
        <a:p>
          <a:endParaRPr lang="en-US"/>
        </a:p>
      </dgm:t>
    </dgm:pt>
    <dgm:pt modelId="{4AA4AD67-2D3B-4F1F-9C44-D5AD2A8899FB}" type="pres">
      <dgm:prSet presAssocID="{902A7F04-56EB-48BE-A7AD-FDC2C5CC740C}" presName="pyramid" presStyleLbl="node1" presStyleIdx="0" presStyleCnt="1"/>
      <dgm:spPr/>
    </dgm:pt>
    <dgm:pt modelId="{5F19EC4C-C03F-4BEE-BC47-C36E5D0F98EF}" type="pres">
      <dgm:prSet presAssocID="{902A7F04-56EB-48BE-A7AD-FDC2C5CC740C}" presName="theList" presStyleCnt="0"/>
      <dgm:spPr/>
    </dgm:pt>
    <dgm:pt modelId="{0CEFB5E9-CBFB-45DD-99CC-121D01DDBB73}" type="pres">
      <dgm:prSet presAssocID="{4DF25396-5DAE-4005-B909-3EC0EC274F94}" presName="aNode" presStyleLbl="fgAcc1" presStyleIdx="0" presStyleCnt="4">
        <dgm:presLayoutVars>
          <dgm:bulletEnabled val="1"/>
        </dgm:presLayoutVars>
      </dgm:prSet>
      <dgm:spPr/>
      <dgm:t>
        <a:bodyPr/>
        <a:lstStyle/>
        <a:p>
          <a:endParaRPr lang="en-US"/>
        </a:p>
      </dgm:t>
    </dgm:pt>
    <dgm:pt modelId="{96D29F2F-8D00-44F9-9201-CFE726E552AC}" type="pres">
      <dgm:prSet presAssocID="{4DF25396-5DAE-4005-B909-3EC0EC274F94}" presName="aSpace" presStyleCnt="0"/>
      <dgm:spPr/>
    </dgm:pt>
    <dgm:pt modelId="{84B0199C-F3C6-4B55-8598-F355DFFE75EE}" type="pres">
      <dgm:prSet presAssocID="{718F29B3-0FF3-45D5-B499-FA690262CE2B}" presName="aNode" presStyleLbl="fgAcc1" presStyleIdx="1" presStyleCnt="4">
        <dgm:presLayoutVars>
          <dgm:bulletEnabled val="1"/>
        </dgm:presLayoutVars>
      </dgm:prSet>
      <dgm:spPr/>
      <dgm:t>
        <a:bodyPr/>
        <a:lstStyle/>
        <a:p>
          <a:endParaRPr lang="en-US"/>
        </a:p>
      </dgm:t>
    </dgm:pt>
    <dgm:pt modelId="{E2E645D7-9710-454C-842B-50E030500B75}" type="pres">
      <dgm:prSet presAssocID="{718F29B3-0FF3-45D5-B499-FA690262CE2B}" presName="aSpace" presStyleCnt="0"/>
      <dgm:spPr/>
    </dgm:pt>
    <dgm:pt modelId="{D7302BAA-ABCF-4AB6-8E07-B4B02459B9A8}" type="pres">
      <dgm:prSet presAssocID="{E2C7D5EC-E386-4047-B92F-ADE152534ECA}" presName="aNode" presStyleLbl="fgAcc1" presStyleIdx="2" presStyleCnt="4">
        <dgm:presLayoutVars>
          <dgm:bulletEnabled val="1"/>
        </dgm:presLayoutVars>
      </dgm:prSet>
      <dgm:spPr/>
      <dgm:t>
        <a:bodyPr/>
        <a:lstStyle/>
        <a:p>
          <a:endParaRPr lang="en-US"/>
        </a:p>
      </dgm:t>
    </dgm:pt>
    <dgm:pt modelId="{A708FAC9-825E-4B79-B954-3FFEFA0CE3F6}" type="pres">
      <dgm:prSet presAssocID="{E2C7D5EC-E386-4047-B92F-ADE152534ECA}" presName="aSpace" presStyleCnt="0"/>
      <dgm:spPr/>
    </dgm:pt>
    <dgm:pt modelId="{A724CC78-B3F3-4C35-BFDE-B02D4CFA59BD}" type="pres">
      <dgm:prSet presAssocID="{B4D86D8F-21C1-46AD-972C-2DAFBB4BA937}" presName="aNode" presStyleLbl="fgAcc1" presStyleIdx="3" presStyleCnt="4">
        <dgm:presLayoutVars>
          <dgm:bulletEnabled val="1"/>
        </dgm:presLayoutVars>
      </dgm:prSet>
      <dgm:spPr/>
      <dgm:t>
        <a:bodyPr/>
        <a:lstStyle/>
        <a:p>
          <a:endParaRPr lang="en-US"/>
        </a:p>
      </dgm:t>
    </dgm:pt>
    <dgm:pt modelId="{562966D0-7EDD-4E6D-A4B8-9BF7FA0FD83D}" type="pres">
      <dgm:prSet presAssocID="{B4D86D8F-21C1-46AD-972C-2DAFBB4BA937}" presName="aSpace" presStyleCnt="0"/>
      <dgm:spPr/>
    </dgm:pt>
  </dgm:ptLst>
  <dgm:cxnLst>
    <dgm:cxn modelId="{63B09222-5912-4B00-A3D2-C8AF182D9C9F}" srcId="{902A7F04-56EB-48BE-A7AD-FDC2C5CC740C}" destId="{4DF25396-5DAE-4005-B909-3EC0EC274F94}" srcOrd="0" destOrd="0" parTransId="{B7949ED4-8A5F-47F4-B0CF-3E0D5B6FE7D2}" sibTransId="{DEB7BF59-C0A8-47E0-B45B-4A4507C82D34}"/>
    <dgm:cxn modelId="{C211327C-DC02-48C1-8420-A2C0F039B478}" srcId="{902A7F04-56EB-48BE-A7AD-FDC2C5CC740C}" destId="{E2C7D5EC-E386-4047-B92F-ADE152534ECA}" srcOrd="2" destOrd="0" parTransId="{6C3D9DDC-189F-43B8-91A7-0C458AA662AE}" sibTransId="{5638F0AA-B340-4374-9A15-EDDC9F089BFD}"/>
    <dgm:cxn modelId="{931D3F4E-4960-4AA4-B203-B9D71E289A89}" srcId="{902A7F04-56EB-48BE-A7AD-FDC2C5CC740C}" destId="{B4D86D8F-21C1-46AD-972C-2DAFBB4BA937}" srcOrd="3" destOrd="0" parTransId="{4D968075-AFD8-4EA7-A11C-502A2A4CF467}" sibTransId="{C0289201-4AD2-4010-8588-5010A72D20DF}"/>
    <dgm:cxn modelId="{8D6AA8DD-1A55-418A-A510-795577AD15D0}" type="presOf" srcId="{718F29B3-0FF3-45D5-B499-FA690262CE2B}" destId="{84B0199C-F3C6-4B55-8598-F355DFFE75EE}" srcOrd="0" destOrd="0" presId="urn:microsoft.com/office/officeart/2005/8/layout/pyramid2"/>
    <dgm:cxn modelId="{FFACD0B3-F5E5-4A6F-B087-597D808CA968}" type="presOf" srcId="{4DF25396-5DAE-4005-B909-3EC0EC274F94}" destId="{0CEFB5E9-CBFB-45DD-99CC-121D01DDBB73}" srcOrd="0" destOrd="0" presId="urn:microsoft.com/office/officeart/2005/8/layout/pyramid2"/>
    <dgm:cxn modelId="{B5CEC081-94FB-4232-8129-583B8C46941D}" type="presOf" srcId="{E2C7D5EC-E386-4047-B92F-ADE152534ECA}" destId="{D7302BAA-ABCF-4AB6-8E07-B4B02459B9A8}" srcOrd="0" destOrd="0" presId="urn:microsoft.com/office/officeart/2005/8/layout/pyramid2"/>
    <dgm:cxn modelId="{2DBAE75E-F16A-42AA-A08E-1D39CC1162E7}" srcId="{902A7F04-56EB-48BE-A7AD-FDC2C5CC740C}" destId="{718F29B3-0FF3-45D5-B499-FA690262CE2B}" srcOrd="1" destOrd="0" parTransId="{A36D018D-EF91-4E5D-ABAC-497C34A067A2}" sibTransId="{69A15878-2936-4ACC-95F8-428D4AE627F1}"/>
    <dgm:cxn modelId="{46FBDA34-FF89-415F-93FA-6535C917B526}" type="presOf" srcId="{902A7F04-56EB-48BE-A7AD-FDC2C5CC740C}" destId="{F7F1C3B8-6F94-4BFF-B564-3B683E266B68}" srcOrd="0" destOrd="0" presId="urn:microsoft.com/office/officeart/2005/8/layout/pyramid2"/>
    <dgm:cxn modelId="{5F450DED-8636-4582-B54E-B8988924BCD9}" type="presOf" srcId="{B4D86D8F-21C1-46AD-972C-2DAFBB4BA937}" destId="{A724CC78-B3F3-4C35-BFDE-B02D4CFA59BD}" srcOrd="0" destOrd="0" presId="urn:microsoft.com/office/officeart/2005/8/layout/pyramid2"/>
    <dgm:cxn modelId="{2C27AF63-B3C4-4386-9E3B-06D03C26A6E8}" type="presParOf" srcId="{F7F1C3B8-6F94-4BFF-B564-3B683E266B68}" destId="{4AA4AD67-2D3B-4F1F-9C44-D5AD2A8899FB}" srcOrd="0" destOrd="0" presId="urn:microsoft.com/office/officeart/2005/8/layout/pyramid2"/>
    <dgm:cxn modelId="{BB965F1C-E9C7-4031-8405-59EC786A2A39}" type="presParOf" srcId="{F7F1C3B8-6F94-4BFF-B564-3B683E266B68}" destId="{5F19EC4C-C03F-4BEE-BC47-C36E5D0F98EF}" srcOrd="1" destOrd="0" presId="urn:microsoft.com/office/officeart/2005/8/layout/pyramid2"/>
    <dgm:cxn modelId="{8E5E0A11-82FD-4689-97CD-577496610AAF}" type="presParOf" srcId="{5F19EC4C-C03F-4BEE-BC47-C36E5D0F98EF}" destId="{0CEFB5E9-CBFB-45DD-99CC-121D01DDBB73}" srcOrd="0" destOrd="0" presId="urn:microsoft.com/office/officeart/2005/8/layout/pyramid2"/>
    <dgm:cxn modelId="{06E067EC-708C-462A-9EAC-BB015C68BE09}" type="presParOf" srcId="{5F19EC4C-C03F-4BEE-BC47-C36E5D0F98EF}" destId="{96D29F2F-8D00-44F9-9201-CFE726E552AC}" srcOrd="1" destOrd="0" presId="urn:microsoft.com/office/officeart/2005/8/layout/pyramid2"/>
    <dgm:cxn modelId="{B422B8DC-E74A-4433-9B8C-A53D4F179916}" type="presParOf" srcId="{5F19EC4C-C03F-4BEE-BC47-C36E5D0F98EF}" destId="{84B0199C-F3C6-4B55-8598-F355DFFE75EE}" srcOrd="2" destOrd="0" presId="urn:microsoft.com/office/officeart/2005/8/layout/pyramid2"/>
    <dgm:cxn modelId="{4863A209-913E-4585-A9C2-21D7348805E5}" type="presParOf" srcId="{5F19EC4C-C03F-4BEE-BC47-C36E5D0F98EF}" destId="{E2E645D7-9710-454C-842B-50E030500B75}" srcOrd="3" destOrd="0" presId="urn:microsoft.com/office/officeart/2005/8/layout/pyramid2"/>
    <dgm:cxn modelId="{EED0D771-BC5E-48FD-BA79-026DA331B9D8}" type="presParOf" srcId="{5F19EC4C-C03F-4BEE-BC47-C36E5D0F98EF}" destId="{D7302BAA-ABCF-4AB6-8E07-B4B02459B9A8}" srcOrd="4" destOrd="0" presId="urn:microsoft.com/office/officeart/2005/8/layout/pyramid2"/>
    <dgm:cxn modelId="{CDFF45DC-0E10-45B7-B3E8-48189E0631AF}" type="presParOf" srcId="{5F19EC4C-C03F-4BEE-BC47-C36E5D0F98EF}" destId="{A708FAC9-825E-4B79-B954-3FFEFA0CE3F6}" srcOrd="5" destOrd="0" presId="urn:microsoft.com/office/officeart/2005/8/layout/pyramid2"/>
    <dgm:cxn modelId="{A3BB2B97-6C80-4546-88DB-CDAA6B24E7B2}" type="presParOf" srcId="{5F19EC4C-C03F-4BEE-BC47-C36E5D0F98EF}" destId="{A724CC78-B3F3-4C35-BFDE-B02D4CFA59BD}" srcOrd="6" destOrd="0" presId="urn:microsoft.com/office/officeart/2005/8/layout/pyramid2"/>
    <dgm:cxn modelId="{FE96BA6A-E077-4C9B-8C10-4FE5EDDD87A0}" type="presParOf" srcId="{5F19EC4C-C03F-4BEE-BC47-C36E5D0F98EF}" destId="{562966D0-7EDD-4E6D-A4B8-9BF7FA0FD83D}" srcOrd="7"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E0E4D5-30CF-44FA-A46D-9807FD4CC44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1FCF533-9780-49AB-BDCA-01B121AA685E}">
      <dgm:prSet phldrT="[Text]" custT="1"/>
      <dgm:spPr/>
      <dgm:t>
        <a:bodyPr/>
        <a:lstStyle/>
        <a:p>
          <a:r>
            <a:rPr lang="ro-RO" sz="1100">
              <a:latin typeface="+mj-lt"/>
            </a:rPr>
            <a:t>SA MOLDOVAGAZ</a:t>
          </a:r>
          <a:endParaRPr lang="en-US" sz="1100">
            <a:latin typeface="+mj-lt"/>
          </a:endParaRPr>
        </a:p>
      </dgm:t>
    </dgm:pt>
    <dgm:pt modelId="{263AC5A4-6236-49FC-8035-BD16A482F24A}" type="parTrans" cxnId="{B49A6221-1BA1-448C-A28F-B11FAC15C580}">
      <dgm:prSet/>
      <dgm:spPr/>
      <dgm:t>
        <a:bodyPr/>
        <a:lstStyle/>
        <a:p>
          <a:endParaRPr lang="en-US" sz="1100"/>
        </a:p>
      </dgm:t>
    </dgm:pt>
    <dgm:pt modelId="{C913D041-90CE-420F-A02D-D2321E76CC69}" type="sibTrans" cxnId="{B49A6221-1BA1-448C-A28F-B11FAC15C580}">
      <dgm:prSet/>
      <dgm:spPr/>
      <dgm:t>
        <a:bodyPr/>
        <a:lstStyle/>
        <a:p>
          <a:endParaRPr lang="en-US" sz="1100"/>
        </a:p>
      </dgm:t>
    </dgm:pt>
    <dgm:pt modelId="{E9D83D16-A98F-440A-A491-A575634F8B87}">
      <dgm:prSet phldrT="[Text]" custT="1"/>
      <dgm:spPr/>
      <dgm:t>
        <a:bodyPr/>
        <a:lstStyle/>
        <a:p>
          <a:r>
            <a:rPr lang="ro-RO" sz="1100">
              <a:latin typeface="+mj-lt"/>
            </a:rPr>
            <a:t>Transportul și tranzitul gazelor naturale</a:t>
          </a:r>
          <a:endParaRPr lang="en-US" sz="1100">
            <a:latin typeface="+mj-lt"/>
          </a:endParaRPr>
        </a:p>
      </dgm:t>
    </dgm:pt>
    <dgm:pt modelId="{AC8F9C7B-F006-40FD-9EAF-190740A04447}" type="parTrans" cxnId="{96FE5BB0-4D54-40F7-A553-D6B68F03948F}">
      <dgm:prSet/>
      <dgm:spPr/>
      <dgm:t>
        <a:bodyPr/>
        <a:lstStyle/>
        <a:p>
          <a:endParaRPr lang="en-US" sz="1100"/>
        </a:p>
      </dgm:t>
    </dgm:pt>
    <dgm:pt modelId="{4FD9008B-E149-46F6-B491-9BF85619CA78}" type="sibTrans" cxnId="{96FE5BB0-4D54-40F7-A553-D6B68F03948F}">
      <dgm:prSet/>
      <dgm:spPr/>
      <dgm:t>
        <a:bodyPr/>
        <a:lstStyle/>
        <a:p>
          <a:endParaRPr lang="en-US" sz="1100"/>
        </a:p>
      </dgm:t>
    </dgm:pt>
    <dgm:pt modelId="{0B97A10E-0E93-4AC8-A7D5-4338C7E4EE55}">
      <dgm:prSet phldrT="[Text]" custT="1"/>
      <dgm:spPr/>
      <dgm:t>
        <a:bodyPr/>
        <a:lstStyle/>
        <a:p>
          <a:r>
            <a:rPr lang="ro-RO" sz="1100">
              <a:latin typeface="+mj-lt"/>
            </a:rPr>
            <a:t>Distribuția gazelor naturale</a:t>
          </a:r>
          <a:endParaRPr lang="en-US" sz="1100">
            <a:latin typeface="+mj-lt"/>
          </a:endParaRPr>
        </a:p>
      </dgm:t>
    </dgm:pt>
    <dgm:pt modelId="{9BA1348E-1663-44D0-88A7-18C05A75AE19}" type="parTrans" cxnId="{223BFC1F-DA24-49A7-8CD8-1F0298EBFE26}">
      <dgm:prSet/>
      <dgm:spPr/>
      <dgm:t>
        <a:bodyPr/>
        <a:lstStyle/>
        <a:p>
          <a:endParaRPr lang="en-US" sz="1100"/>
        </a:p>
      </dgm:t>
    </dgm:pt>
    <dgm:pt modelId="{D3A5D0E6-80C7-48AA-AA0E-0F14B7DA906C}" type="sibTrans" cxnId="{223BFC1F-DA24-49A7-8CD8-1F0298EBFE26}">
      <dgm:prSet/>
      <dgm:spPr/>
      <dgm:t>
        <a:bodyPr/>
        <a:lstStyle/>
        <a:p>
          <a:endParaRPr lang="en-US" sz="1100"/>
        </a:p>
      </dgm:t>
    </dgm:pt>
    <dgm:pt modelId="{C06B3FE9-DA01-4D12-9776-87134B86518C}">
      <dgm:prSet phldrT="[Text]" custT="1"/>
      <dgm:spPr/>
      <dgm:t>
        <a:bodyPr/>
        <a:lstStyle/>
        <a:p>
          <a:r>
            <a:rPr lang="ro-RO" sz="1100">
              <a:latin typeface="+mj-lt"/>
            </a:rPr>
            <a:t>Alte activități</a:t>
          </a:r>
          <a:endParaRPr lang="en-US" sz="1100">
            <a:latin typeface="+mj-lt"/>
          </a:endParaRPr>
        </a:p>
      </dgm:t>
    </dgm:pt>
    <dgm:pt modelId="{50422E94-7968-4683-8CA7-BA798391AA6A}" type="parTrans" cxnId="{578380EB-534E-4A47-AB14-74E8123D4E19}">
      <dgm:prSet/>
      <dgm:spPr/>
      <dgm:t>
        <a:bodyPr/>
        <a:lstStyle/>
        <a:p>
          <a:endParaRPr lang="en-US" sz="1100"/>
        </a:p>
      </dgm:t>
    </dgm:pt>
    <dgm:pt modelId="{232EB293-E02D-4066-8A02-CB77F6C4EF57}" type="sibTrans" cxnId="{578380EB-534E-4A47-AB14-74E8123D4E19}">
      <dgm:prSet/>
      <dgm:spPr/>
      <dgm:t>
        <a:bodyPr/>
        <a:lstStyle/>
        <a:p>
          <a:endParaRPr lang="en-US" sz="1100"/>
        </a:p>
      </dgm:t>
    </dgm:pt>
    <dgm:pt modelId="{94F97032-CFFE-4A95-9778-A30647464FAF}">
      <dgm:prSet custT="1"/>
      <dgm:spPr/>
      <dgm:t>
        <a:bodyPr/>
        <a:lstStyle/>
        <a:p>
          <a:pPr algn="ctr"/>
          <a:r>
            <a:rPr lang="ro-RO" sz="800">
              <a:latin typeface="+mj-lt"/>
            </a:rPr>
            <a:t>SRL MOLDOVATRANSGAZ</a:t>
          </a:r>
          <a:endParaRPr lang="en-US" sz="800">
            <a:latin typeface="+mj-lt"/>
          </a:endParaRPr>
        </a:p>
      </dgm:t>
    </dgm:pt>
    <dgm:pt modelId="{3EE5854A-4CF0-411E-8A63-E670E60F5215}" type="parTrans" cxnId="{E8E8937F-8FA6-4DD3-BB4B-35163EC62DC9}">
      <dgm:prSet/>
      <dgm:spPr/>
      <dgm:t>
        <a:bodyPr/>
        <a:lstStyle/>
        <a:p>
          <a:endParaRPr lang="en-US" sz="1100"/>
        </a:p>
      </dgm:t>
    </dgm:pt>
    <dgm:pt modelId="{16BB004E-C64C-4A82-906F-38AE48436D3F}" type="sibTrans" cxnId="{E8E8937F-8FA6-4DD3-BB4B-35163EC62DC9}">
      <dgm:prSet/>
      <dgm:spPr/>
      <dgm:t>
        <a:bodyPr/>
        <a:lstStyle/>
        <a:p>
          <a:endParaRPr lang="en-US" sz="1100"/>
        </a:p>
      </dgm:t>
    </dgm:pt>
    <dgm:pt modelId="{1B651196-DECF-44D5-9D60-92CE9915889C}">
      <dgm:prSet custT="1"/>
      <dgm:spPr/>
      <dgm:t>
        <a:bodyPr/>
        <a:lstStyle/>
        <a:p>
          <a:r>
            <a:rPr lang="ro-RO" sz="800">
              <a:latin typeface="+mj-lt"/>
            </a:rPr>
            <a:t>SRL TIRASPOLTRANSGAZ</a:t>
          </a:r>
          <a:endParaRPr lang="en-US" sz="800">
            <a:latin typeface="+mj-lt"/>
          </a:endParaRPr>
        </a:p>
      </dgm:t>
    </dgm:pt>
    <dgm:pt modelId="{0F9D11AF-9F8D-44B0-A661-380184E0F4F0}" type="parTrans" cxnId="{A735130A-AE5A-4BDA-ADBD-0AE82B161619}">
      <dgm:prSet/>
      <dgm:spPr/>
      <dgm:t>
        <a:bodyPr/>
        <a:lstStyle/>
        <a:p>
          <a:endParaRPr lang="en-US" sz="1100"/>
        </a:p>
      </dgm:t>
    </dgm:pt>
    <dgm:pt modelId="{0D26718D-D4FA-49F8-A471-4B299B0CD85E}" type="sibTrans" cxnId="{A735130A-AE5A-4BDA-ADBD-0AE82B161619}">
      <dgm:prSet/>
      <dgm:spPr/>
      <dgm:t>
        <a:bodyPr/>
        <a:lstStyle/>
        <a:p>
          <a:endParaRPr lang="en-US" sz="1100"/>
        </a:p>
      </dgm:t>
    </dgm:pt>
    <dgm:pt modelId="{F031C02F-DF51-49C5-97A7-C9534252B6B8}">
      <dgm:prSet custT="1"/>
      <dgm:spPr/>
      <dgm:t>
        <a:bodyPr/>
        <a:lstStyle/>
        <a:p>
          <a:pPr algn="l"/>
          <a:r>
            <a:rPr lang="ro-RO" sz="800">
              <a:latin typeface="+mj-lt"/>
            </a:rPr>
            <a:t>1. SRL CHIȘINĂU-GAZ</a:t>
          </a:r>
        </a:p>
        <a:p>
          <a:pPr algn="l"/>
          <a:r>
            <a:rPr lang="ro-RO" sz="800">
              <a:latin typeface="+mj-lt"/>
            </a:rPr>
            <a:t>2. SRL IALOVENI-GAZ</a:t>
          </a:r>
        </a:p>
        <a:p>
          <a:pPr algn="l"/>
          <a:r>
            <a:rPr lang="ro-RO" sz="800">
              <a:latin typeface="+mj-lt"/>
            </a:rPr>
            <a:t>3. SRL UNGHENI-GAZ</a:t>
          </a:r>
        </a:p>
        <a:p>
          <a:pPr algn="l"/>
          <a:r>
            <a:rPr lang="ro-RO" sz="800">
              <a:latin typeface="+mj-lt"/>
            </a:rPr>
            <a:t>4. SRL EDINEȚ-GAZ</a:t>
          </a:r>
        </a:p>
        <a:p>
          <a:pPr algn="l"/>
          <a:r>
            <a:rPr lang="ro-RO" sz="800">
              <a:latin typeface="+mj-lt"/>
            </a:rPr>
            <a:t>5. SRL FLOREȘTI-GAZ</a:t>
          </a:r>
        </a:p>
        <a:p>
          <a:pPr algn="l"/>
          <a:r>
            <a:rPr lang="ro-RO" sz="800">
              <a:latin typeface="+mj-lt"/>
            </a:rPr>
            <a:t>6. SRL ORHEI-GAZ</a:t>
          </a:r>
        </a:p>
        <a:p>
          <a:pPr algn="l"/>
          <a:r>
            <a:rPr lang="ro-RO" sz="800">
              <a:latin typeface="+mj-lt"/>
            </a:rPr>
            <a:t>7. SRL CIMIȘLIA-GAZ</a:t>
          </a:r>
        </a:p>
        <a:p>
          <a:pPr algn="l"/>
          <a:r>
            <a:rPr lang="ro-RO" sz="800">
              <a:latin typeface="+mj-lt"/>
            </a:rPr>
            <a:t>8. SRL ȘTEFAN VODĂ-GAZ</a:t>
          </a:r>
        </a:p>
        <a:p>
          <a:pPr algn="l"/>
          <a:r>
            <a:rPr lang="ro-RO" sz="800">
              <a:latin typeface="+mj-lt"/>
            </a:rPr>
            <a:t>9. SRL GĂGĂUZ-GAZ</a:t>
          </a:r>
        </a:p>
        <a:p>
          <a:pPr algn="l"/>
          <a:r>
            <a:rPr lang="ro-RO" sz="800">
              <a:latin typeface="+mj-lt"/>
            </a:rPr>
            <a:t>10. SRL CAHUL-GAZ</a:t>
          </a:r>
        </a:p>
        <a:p>
          <a:pPr algn="l"/>
          <a:r>
            <a:rPr lang="ro-RO" sz="800">
              <a:latin typeface="+mj-lt"/>
            </a:rPr>
            <a:t>11. SRL TARACLIA-GAZ</a:t>
          </a:r>
        </a:p>
        <a:p>
          <a:pPr algn="l"/>
          <a:r>
            <a:rPr lang="ro-RO" sz="800">
              <a:latin typeface="+mj-lt"/>
            </a:rPr>
            <a:t>12. SRL BĂLȚI-GAZ</a:t>
          </a:r>
        </a:p>
      </dgm:t>
    </dgm:pt>
    <dgm:pt modelId="{C542CA32-76EF-4A45-ADF4-5640DDEC844A}" type="parTrans" cxnId="{CDF528C8-287A-4944-8C23-6EBFE4EC6A3F}">
      <dgm:prSet/>
      <dgm:spPr/>
      <dgm:t>
        <a:bodyPr/>
        <a:lstStyle/>
        <a:p>
          <a:endParaRPr lang="en-US" sz="1100"/>
        </a:p>
      </dgm:t>
    </dgm:pt>
    <dgm:pt modelId="{0EE0C55E-2A24-4655-8EEF-0D33564DDFD3}" type="sibTrans" cxnId="{CDF528C8-287A-4944-8C23-6EBFE4EC6A3F}">
      <dgm:prSet/>
      <dgm:spPr/>
      <dgm:t>
        <a:bodyPr/>
        <a:lstStyle/>
        <a:p>
          <a:endParaRPr lang="en-US" sz="1100"/>
        </a:p>
      </dgm:t>
    </dgm:pt>
    <dgm:pt modelId="{519DD52A-9A1C-438A-AA77-08B2FE15F989}">
      <dgm:prSet custT="1"/>
      <dgm:spPr/>
      <dgm:t>
        <a:bodyPr/>
        <a:lstStyle/>
        <a:p>
          <a:pPr algn="l"/>
          <a:r>
            <a:rPr lang="ro-RO" sz="800">
              <a:latin typeface="+mj-lt"/>
            </a:rPr>
            <a:t>1. SRL TIRASPOL-GAZ</a:t>
          </a:r>
        </a:p>
        <a:p>
          <a:pPr algn="l"/>
          <a:r>
            <a:rPr lang="ro-RO" sz="800">
              <a:latin typeface="+mj-lt"/>
            </a:rPr>
            <a:t>2. SRL BENDER-GAZ</a:t>
          </a:r>
        </a:p>
        <a:p>
          <a:pPr algn="l"/>
          <a:r>
            <a:rPr lang="ro-RO" sz="800">
              <a:latin typeface="+mj-lt"/>
            </a:rPr>
            <a:t>3. SRL RÎBNIȚA-GAZ</a:t>
          </a:r>
        </a:p>
        <a:p>
          <a:pPr algn="l"/>
          <a:r>
            <a:rPr lang="ro-RO" sz="800">
              <a:latin typeface="+mj-lt"/>
            </a:rPr>
            <a:t>4. SRL DUBĂSARI-GAZ</a:t>
          </a:r>
        </a:p>
        <a:p>
          <a:pPr algn="l"/>
          <a:r>
            <a:rPr lang="ro-RO" sz="800">
              <a:latin typeface="+mj-lt"/>
            </a:rPr>
            <a:t>5. SRL SLOBOZIA-GAZ</a:t>
          </a:r>
        </a:p>
        <a:p>
          <a:pPr algn="l"/>
          <a:r>
            <a:rPr lang="ro-RO" sz="800">
              <a:latin typeface="+mj-lt"/>
            </a:rPr>
            <a:t>6.  SRL GRIGORIOPOL-GAZ</a:t>
          </a:r>
          <a:endParaRPr lang="en-US" sz="800">
            <a:latin typeface="+mj-lt"/>
          </a:endParaRPr>
        </a:p>
      </dgm:t>
    </dgm:pt>
    <dgm:pt modelId="{3CD0974D-DDB5-41F5-B820-FCF4900D3FD8}" type="parTrans" cxnId="{7EE0CE2E-9913-4678-BAAE-7E1E5430008A}">
      <dgm:prSet/>
      <dgm:spPr/>
      <dgm:t>
        <a:bodyPr/>
        <a:lstStyle/>
        <a:p>
          <a:endParaRPr lang="en-US" sz="1100"/>
        </a:p>
      </dgm:t>
    </dgm:pt>
    <dgm:pt modelId="{596FCDD9-6F76-43CE-B58B-01560B632386}" type="sibTrans" cxnId="{7EE0CE2E-9913-4678-BAAE-7E1E5430008A}">
      <dgm:prSet/>
      <dgm:spPr/>
      <dgm:t>
        <a:bodyPr/>
        <a:lstStyle/>
        <a:p>
          <a:endParaRPr lang="en-US" sz="1100"/>
        </a:p>
      </dgm:t>
    </dgm:pt>
    <dgm:pt modelId="{C1BE7514-5D2E-4CCA-921F-DB557DB5E8F6}">
      <dgm:prSet custT="1"/>
      <dgm:spPr/>
      <dgm:t>
        <a:bodyPr/>
        <a:lstStyle/>
        <a:p>
          <a:pPr algn="l"/>
          <a:r>
            <a:rPr lang="ro-RO" sz="800">
              <a:latin typeface="+mj-lt"/>
            </a:rPr>
            <a:t>1.SRL FLACĂRA ALBASTRĂ</a:t>
          </a:r>
        </a:p>
        <a:p>
          <a:pPr algn="l"/>
          <a:r>
            <a:rPr lang="ro-RO" sz="800">
              <a:latin typeface="+mj-lt"/>
            </a:rPr>
            <a:t>2. SRL ÎNTREPRINDEREA DE APROVIZIONARE ȘI LIVRARE A GAZELOR STRĂȘENI </a:t>
          </a:r>
          <a:r>
            <a:rPr lang="ro-RO" sz="800" b="1">
              <a:solidFill>
                <a:srgbClr val="FF0000"/>
              </a:solidFill>
              <a:latin typeface="+mj-lt"/>
            </a:rPr>
            <a:t>(În curs de lichidare)</a:t>
          </a:r>
        </a:p>
        <a:p>
          <a:pPr algn="l"/>
          <a:r>
            <a:rPr lang="ro-RO" sz="800">
              <a:latin typeface="+mj-lt"/>
            </a:rPr>
            <a:t>3. SRL COMPLETGAZ </a:t>
          </a:r>
          <a:r>
            <a:rPr lang="ro-RO" sz="800" b="1">
              <a:solidFill>
                <a:srgbClr val="FF0000"/>
              </a:solidFill>
              <a:latin typeface="+mj-lt"/>
            </a:rPr>
            <a:t>(Lichidată în 2022)</a:t>
          </a:r>
        </a:p>
        <a:p>
          <a:pPr algn="l"/>
          <a:r>
            <a:rPr lang="ro-RO" sz="800" b="0">
              <a:solidFill>
                <a:schemeClr val="bg1"/>
              </a:solidFill>
              <a:latin typeface="+mj-lt"/>
            </a:rPr>
            <a:t>4. SRL TRANSAUTOGAZ </a:t>
          </a:r>
        </a:p>
        <a:p>
          <a:pPr algn="l"/>
          <a:r>
            <a:rPr lang="ro-RO" sz="800" b="0">
              <a:solidFill>
                <a:schemeClr val="bg1"/>
              </a:solidFill>
              <a:latin typeface="+mj-lt"/>
            </a:rPr>
            <a:t>5. SRL REALEXPRESS-GAZ </a:t>
          </a:r>
        </a:p>
        <a:p>
          <a:pPr algn="l"/>
          <a:r>
            <a:rPr lang="ro-RO" sz="800" b="0">
              <a:solidFill>
                <a:schemeClr val="bg1"/>
              </a:solidFill>
              <a:latin typeface="+mj-lt"/>
            </a:rPr>
            <a:t>6. </a:t>
          </a:r>
          <a:r>
            <a:rPr lang="ro-RO" sz="800">
              <a:latin typeface="+mj-lt"/>
            </a:rPr>
            <a:t>SRL BĂLȚI-GAZ-MONTAJ</a:t>
          </a:r>
          <a:endParaRPr lang="ro-RO" sz="800" b="0">
            <a:solidFill>
              <a:schemeClr val="bg1"/>
            </a:solidFill>
            <a:latin typeface="+mj-lt"/>
          </a:endParaRPr>
        </a:p>
      </dgm:t>
    </dgm:pt>
    <dgm:pt modelId="{F7208961-8CEA-4674-989B-079BAE45C2A6}" type="parTrans" cxnId="{D7BE6F80-988C-4DC3-94D5-55D3A759D8A4}">
      <dgm:prSet/>
      <dgm:spPr/>
      <dgm:t>
        <a:bodyPr/>
        <a:lstStyle/>
        <a:p>
          <a:endParaRPr lang="en-US" sz="1100"/>
        </a:p>
      </dgm:t>
    </dgm:pt>
    <dgm:pt modelId="{0ADD8A4D-4436-4B92-B80F-9A1D78F4AD3B}" type="sibTrans" cxnId="{D7BE6F80-988C-4DC3-94D5-55D3A759D8A4}">
      <dgm:prSet/>
      <dgm:spPr/>
      <dgm:t>
        <a:bodyPr/>
        <a:lstStyle/>
        <a:p>
          <a:endParaRPr lang="en-US" sz="1100"/>
        </a:p>
      </dgm:t>
    </dgm:pt>
    <dgm:pt modelId="{CE1A43A8-68B4-4A58-9122-017101801754}" type="pres">
      <dgm:prSet presAssocID="{A7E0E4D5-30CF-44FA-A46D-9807FD4CC44B}" presName="hierChild1" presStyleCnt="0">
        <dgm:presLayoutVars>
          <dgm:orgChart val="1"/>
          <dgm:chPref val="1"/>
          <dgm:dir/>
          <dgm:animOne val="branch"/>
          <dgm:animLvl val="lvl"/>
          <dgm:resizeHandles/>
        </dgm:presLayoutVars>
      </dgm:prSet>
      <dgm:spPr/>
      <dgm:t>
        <a:bodyPr/>
        <a:lstStyle/>
        <a:p>
          <a:endParaRPr lang="en-US"/>
        </a:p>
      </dgm:t>
    </dgm:pt>
    <dgm:pt modelId="{6CE8DCC9-37ED-4FBF-BA05-67937E368AC5}" type="pres">
      <dgm:prSet presAssocID="{D1FCF533-9780-49AB-BDCA-01B121AA685E}" presName="hierRoot1" presStyleCnt="0">
        <dgm:presLayoutVars>
          <dgm:hierBranch val="init"/>
        </dgm:presLayoutVars>
      </dgm:prSet>
      <dgm:spPr/>
    </dgm:pt>
    <dgm:pt modelId="{7440C736-E815-4488-A95E-30AFEEF66DD4}" type="pres">
      <dgm:prSet presAssocID="{D1FCF533-9780-49AB-BDCA-01B121AA685E}" presName="rootComposite1" presStyleCnt="0"/>
      <dgm:spPr/>
    </dgm:pt>
    <dgm:pt modelId="{3B01AE44-A1CA-4EEE-B8A4-A93E6DCBBC08}" type="pres">
      <dgm:prSet presAssocID="{D1FCF533-9780-49AB-BDCA-01B121AA685E}" presName="rootText1" presStyleLbl="node0" presStyleIdx="0" presStyleCnt="1" custScaleY="41049" custLinFactNeighborX="5801" custLinFactNeighborY="-405">
        <dgm:presLayoutVars>
          <dgm:chPref val="3"/>
        </dgm:presLayoutVars>
      </dgm:prSet>
      <dgm:spPr/>
      <dgm:t>
        <a:bodyPr/>
        <a:lstStyle/>
        <a:p>
          <a:endParaRPr lang="en-US"/>
        </a:p>
      </dgm:t>
    </dgm:pt>
    <dgm:pt modelId="{5601EF4A-7033-42BA-B438-179C1632D31E}" type="pres">
      <dgm:prSet presAssocID="{D1FCF533-9780-49AB-BDCA-01B121AA685E}" presName="rootConnector1" presStyleLbl="node1" presStyleIdx="0" presStyleCnt="0"/>
      <dgm:spPr/>
      <dgm:t>
        <a:bodyPr/>
        <a:lstStyle/>
        <a:p>
          <a:endParaRPr lang="en-US"/>
        </a:p>
      </dgm:t>
    </dgm:pt>
    <dgm:pt modelId="{A66FBF6A-F924-4C4F-A40E-653F63A298C6}" type="pres">
      <dgm:prSet presAssocID="{D1FCF533-9780-49AB-BDCA-01B121AA685E}" presName="hierChild2" presStyleCnt="0"/>
      <dgm:spPr/>
    </dgm:pt>
    <dgm:pt modelId="{E7001CDF-7B1B-4487-B2B2-AA3662972166}" type="pres">
      <dgm:prSet presAssocID="{AC8F9C7B-F006-40FD-9EAF-190740A04447}" presName="Name37" presStyleLbl="parChTrans1D2" presStyleIdx="0" presStyleCnt="3"/>
      <dgm:spPr/>
      <dgm:t>
        <a:bodyPr/>
        <a:lstStyle/>
        <a:p>
          <a:endParaRPr lang="en-US"/>
        </a:p>
      </dgm:t>
    </dgm:pt>
    <dgm:pt modelId="{F6FDE253-42B4-4F35-8613-BF45EF073D12}" type="pres">
      <dgm:prSet presAssocID="{E9D83D16-A98F-440A-A491-A575634F8B87}" presName="hierRoot2" presStyleCnt="0">
        <dgm:presLayoutVars>
          <dgm:hierBranch val="init"/>
        </dgm:presLayoutVars>
      </dgm:prSet>
      <dgm:spPr/>
    </dgm:pt>
    <dgm:pt modelId="{F024C816-8F4A-4B6D-8BD4-AEBAD6C5D2AC}" type="pres">
      <dgm:prSet presAssocID="{E9D83D16-A98F-440A-A491-A575634F8B87}" presName="rootComposite" presStyleCnt="0"/>
      <dgm:spPr/>
    </dgm:pt>
    <dgm:pt modelId="{BBAB21B4-E1DD-455B-9E36-2522D8D4F252}" type="pres">
      <dgm:prSet presAssocID="{E9D83D16-A98F-440A-A491-A575634F8B87}" presName="rootText" presStyleLbl="node2" presStyleIdx="0" presStyleCnt="3" custScaleY="51452" custLinFactNeighborX="9406" custLinFactNeighborY="-6653">
        <dgm:presLayoutVars>
          <dgm:chPref val="3"/>
        </dgm:presLayoutVars>
      </dgm:prSet>
      <dgm:spPr/>
      <dgm:t>
        <a:bodyPr/>
        <a:lstStyle/>
        <a:p>
          <a:endParaRPr lang="en-US"/>
        </a:p>
      </dgm:t>
    </dgm:pt>
    <dgm:pt modelId="{26715C37-E68A-42BB-9FC5-D3081802B950}" type="pres">
      <dgm:prSet presAssocID="{E9D83D16-A98F-440A-A491-A575634F8B87}" presName="rootConnector" presStyleLbl="node2" presStyleIdx="0" presStyleCnt="3"/>
      <dgm:spPr/>
      <dgm:t>
        <a:bodyPr/>
        <a:lstStyle/>
        <a:p>
          <a:endParaRPr lang="en-US"/>
        </a:p>
      </dgm:t>
    </dgm:pt>
    <dgm:pt modelId="{FE0BFA01-5A06-44DB-94B3-7B1B13901FDB}" type="pres">
      <dgm:prSet presAssocID="{E9D83D16-A98F-440A-A491-A575634F8B87}" presName="hierChild4" presStyleCnt="0"/>
      <dgm:spPr/>
    </dgm:pt>
    <dgm:pt modelId="{65139B02-4EFE-44A4-B193-B5E5B189B535}" type="pres">
      <dgm:prSet presAssocID="{3EE5854A-4CF0-411E-8A63-E670E60F5215}" presName="Name37" presStyleLbl="parChTrans1D3" presStyleIdx="0" presStyleCnt="5"/>
      <dgm:spPr/>
      <dgm:t>
        <a:bodyPr/>
        <a:lstStyle/>
        <a:p>
          <a:endParaRPr lang="en-US"/>
        </a:p>
      </dgm:t>
    </dgm:pt>
    <dgm:pt modelId="{B2ED9EC1-116F-4B57-ABE2-851D65C6063F}" type="pres">
      <dgm:prSet presAssocID="{94F97032-CFFE-4A95-9778-A30647464FAF}" presName="hierRoot2" presStyleCnt="0">
        <dgm:presLayoutVars>
          <dgm:hierBranch val="init"/>
        </dgm:presLayoutVars>
      </dgm:prSet>
      <dgm:spPr/>
    </dgm:pt>
    <dgm:pt modelId="{67C88160-920F-4FE7-96C9-B7D33224312B}" type="pres">
      <dgm:prSet presAssocID="{94F97032-CFFE-4A95-9778-A30647464FAF}" presName="rootComposite" presStyleCnt="0"/>
      <dgm:spPr/>
    </dgm:pt>
    <dgm:pt modelId="{13D09C35-DDCD-42C1-8F7C-47BA9C0C6F3B}" type="pres">
      <dgm:prSet presAssocID="{94F97032-CFFE-4A95-9778-A30647464FAF}" presName="rootText" presStyleLbl="node3" presStyleIdx="0" presStyleCnt="5" custScaleX="99037" custLinFactNeighborX="37" custLinFactNeighborY="57157">
        <dgm:presLayoutVars>
          <dgm:chPref val="3"/>
        </dgm:presLayoutVars>
      </dgm:prSet>
      <dgm:spPr/>
      <dgm:t>
        <a:bodyPr/>
        <a:lstStyle/>
        <a:p>
          <a:endParaRPr lang="en-US"/>
        </a:p>
      </dgm:t>
    </dgm:pt>
    <dgm:pt modelId="{BC97242C-B9C7-40AB-A1F5-FF6947C3D942}" type="pres">
      <dgm:prSet presAssocID="{94F97032-CFFE-4A95-9778-A30647464FAF}" presName="rootConnector" presStyleLbl="node3" presStyleIdx="0" presStyleCnt="5"/>
      <dgm:spPr/>
      <dgm:t>
        <a:bodyPr/>
        <a:lstStyle/>
        <a:p>
          <a:endParaRPr lang="en-US"/>
        </a:p>
      </dgm:t>
    </dgm:pt>
    <dgm:pt modelId="{2F6FD02F-E072-410A-A305-6E832B766D73}" type="pres">
      <dgm:prSet presAssocID="{94F97032-CFFE-4A95-9778-A30647464FAF}" presName="hierChild4" presStyleCnt="0"/>
      <dgm:spPr/>
    </dgm:pt>
    <dgm:pt modelId="{6BD01436-58A4-45D6-B2BA-C63BACBE337D}" type="pres">
      <dgm:prSet presAssocID="{94F97032-CFFE-4A95-9778-A30647464FAF}" presName="hierChild5" presStyleCnt="0"/>
      <dgm:spPr/>
    </dgm:pt>
    <dgm:pt modelId="{5E8D1E31-DF4B-470D-BE28-6C9D1FBB79B7}" type="pres">
      <dgm:prSet presAssocID="{0F9D11AF-9F8D-44B0-A661-380184E0F4F0}" presName="Name37" presStyleLbl="parChTrans1D3" presStyleIdx="1" presStyleCnt="5"/>
      <dgm:spPr/>
      <dgm:t>
        <a:bodyPr/>
        <a:lstStyle/>
        <a:p>
          <a:endParaRPr lang="en-US"/>
        </a:p>
      </dgm:t>
    </dgm:pt>
    <dgm:pt modelId="{1BACE0DB-BDC3-4489-8A4E-BE2612CAA9B6}" type="pres">
      <dgm:prSet presAssocID="{1B651196-DECF-44D5-9D60-92CE9915889C}" presName="hierRoot2" presStyleCnt="0">
        <dgm:presLayoutVars>
          <dgm:hierBranch val="init"/>
        </dgm:presLayoutVars>
      </dgm:prSet>
      <dgm:spPr/>
    </dgm:pt>
    <dgm:pt modelId="{E9D58EFE-CA97-45BA-B974-C35256F4ED41}" type="pres">
      <dgm:prSet presAssocID="{1B651196-DECF-44D5-9D60-92CE9915889C}" presName="rootComposite" presStyleCnt="0"/>
      <dgm:spPr/>
    </dgm:pt>
    <dgm:pt modelId="{4E802A88-FAAD-4CD6-9883-F2F261822B22}" type="pres">
      <dgm:prSet presAssocID="{1B651196-DECF-44D5-9D60-92CE9915889C}" presName="rootText" presStyleLbl="node3" presStyleIdx="1" presStyleCnt="5" custScaleX="100194" custLinFactY="39106" custLinFactNeighborX="2123" custLinFactNeighborY="100000">
        <dgm:presLayoutVars>
          <dgm:chPref val="3"/>
        </dgm:presLayoutVars>
      </dgm:prSet>
      <dgm:spPr/>
      <dgm:t>
        <a:bodyPr/>
        <a:lstStyle/>
        <a:p>
          <a:endParaRPr lang="en-US"/>
        </a:p>
      </dgm:t>
    </dgm:pt>
    <dgm:pt modelId="{2B9B9FF4-B43F-4558-8854-232B0DA2933B}" type="pres">
      <dgm:prSet presAssocID="{1B651196-DECF-44D5-9D60-92CE9915889C}" presName="rootConnector" presStyleLbl="node3" presStyleIdx="1" presStyleCnt="5"/>
      <dgm:spPr/>
      <dgm:t>
        <a:bodyPr/>
        <a:lstStyle/>
        <a:p>
          <a:endParaRPr lang="en-US"/>
        </a:p>
      </dgm:t>
    </dgm:pt>
    <dgm:pt modelId="{CB415D1F-C8FC-476A-9C49-5E9CF2148B8B}" type="pres">
      <dgm:prSet presAssocID="{1B651196-DECF-44D5-9D60-92CE9915889C}" presName="hierChild4" presStyleCnt="0"/>
      <dgm:spPr/>
    </dgm:pt>
    <dgm:pt modelId="{8B387BB7-4E65-4000-AEFA-BFFEECC88D2E}" type="pres">
      <dgm:prSet presAssocID="{1B651196-DECF-44D5-9D60-92CE9915889C}" presName="hierChild5" presStyleCnt="0"/>
      <dgm:spPr/>
    </dgm:pt>
    <dgm:pt modelId="{7EE17DA0-1546-4B0E-B9FF-6A7530249D59}" type="pres">
      <dgm:prSet presAssocID="{E9D83D16-A98F-440A-A491-A575634F8B87}" presName="hierChild5" presStyleCnt="0"/>
      <dgm:spPr/>
    </dgm:pt>
    <dgm:pt modelId="{0F27CE3C-075E-4C0C-A3D0-51D73D6AC0D9}" type="pres">
      <dgm:prSet presAssocID="{9BA1348E-1663-44D0-88A7-18C05A75AE19}" presName="Name37" presStyleLbl="parChTrans1D2" presStyleIdx="1" presStyleCnt="3"/>
      <dgm:spPr/>
      <dgm:t>
        <a:bodyPr/>
        <a:lstStyle/>
        <a:p>
          <a:endParaRPr lang="en-US"/>
        </a:p>
      </dgm:t>
    </dgm:pt>
    <dgm:pt modelId="{5204CD36-0D7C-4C93-B117-6A4CF32195D3}" type="pres">
      <dgm:prSet presAssocID="{0B97A10E-0E93-4AC8-A7D5-4338C7E4EE55}" presName="hierRoot2" presStyleCnt="0">
        <dgm:presLayoutVars>
          <dgm:hierBranch val="init"/>
        </dgm:presLayoutVars>
      </dgm:prSet>
      <dgm:spPr/>
    </dgm:pt>
    <dgm:pt modelId="{9598C719-8E54-48E7-9DCE-1C4A2DED21A9}" type="pres">
      <dgm:prSet presAssocID="{0B97A10E-0E93-4AC8-A7D5-4338C7E4EE55}" presName="rootComposite" presStyleCnt="0"/>
      <dgm:spPr/>
    </dgm:pt>
    <dgm:pt modelId="{BBD47165-A218-4226-BB29-3E15ACF6287A}" type="pres">
      <dgm:prSet presAssocID="{0B97A10E-0E93-4AC8-A7D5-4338C7E4EE55}" presName="rootText" presStyleLbl="node2" presStyleIdx="1" presStyleCnt="3" custScaleY="47347" custLinFactNeighborX="6075" custLinFactNeighborY="-8423">
        <dgm:presLayoutVars>
          <dgm:chPref val="3"/>
        </dgm:presLayoutVars>
      </dgm:prSet>
      <dgm:spPr/>
      <dgm:t>
        <a:bodyPr/>
        <a:lstStyle/>
        <a:p>
          <a:endParaRPr lang="en-US"/>
        </a:p>
      </dgm:t>
    </dgm:pt>
    <dgm:pt modelId="{A222467F-DD8B-4D40-8013-1354311459EA}" type="pres">
      <dgm:prSet presAssocID="{0B97A10E-0E93-4AC8-A7D5-4338C7E4EE55}" presName="rootConnector" presStyleLbl="node2" presStyleIdx="1" presStyleCnt="3"/>
      <dgm:spPr/>
      <dgm:t>
        <a:bodyPr/>
        <a:lstStyle/>
        <a:p>
          <a:endParaRPr lang="en-US"/>
        </a:p>
      </dgm:t>
    </dgm:pt>
    <dgm:pt modelId="{9CC657E8-FD89-4ED2-B7CD-A4B3653CD517}" type="pres">
      <dgm:prSet presAssocID="{0B97A10E-0E93-4AC8-A7D5-4338C7E4EE55}" presName="hierChild4" presStyleCnt="0"/>
      <dgm:spPr/>
    </dgm:pt>
    <dgm:pt modelId="{4FDD304F-E144-4528-A678-FC34BE0FC563}" type="pres">
      <dgm:prSet presAssocID="{C542CA32-76EF-4A45-ADF4-5640DDEC844A}" presName="Name37" presStyleLbl="parChTrans1D3" presStyleIdx="2" presStyleCnt="5"/>
      <dgm:spPr/>
      <dgm:t>
        <a:bodyPr/>
        <a:lstStyle/>
        <a:p>
          <a:endParaRPr lang="en-US"/>
        </a:p>
      </dgm:t>
    </dgm:pt>
    <dgm:pt modelId="{1953CBEE-A168-4F63-BC38-22A28B1E2775}" type="pres">
      <dgm:prSet presAssocID="{F031C02F-DF51-49C5-97A7-C9534252B6B8}" presName="hierRoot2" presStyleCnt="0">
        <dgm:presLayoutVars>
          <dgm:hierBranch val="init"/>
        </dgm:presLayoutVars>
      </dgm:prSet>
      <dgm:spPr/>
    </dgm:pt>
    <dgm:pt modelId="{A4C0B0B6-0815-46D7-AA31-C31BEDD49827}" type="pres">
      <dgm:prSet presAssocID="{F031C02F-DF51-49C5-97A7-C9534252B6B8}" presName="rootComposite" presStyleCnt="0"/>
      <dgm:spPr/>
    </dgm:pt>
    <dgm:pt modelId="{FE2C50DE-AA4F-4F47-921F-A8A78AAEFD11}" type="pres">
      <dgm:prSet presAssocID="{F031C02F-DF51-49C5-97A7-C9534252B6B8}" presName="rootText" presStyleLbl="node3" presStyleIdx="2" presStyleCnt="5" custScaleX="94267" custScaleY="229403" custLinFactNeighborX="11303" custLinFactNeighborY="-2397">
        <dgm:presLayoutVars>
          <dgm:chPref val="3"/>
        </dgm:presLayoutVars>
      </dgm:prSet>
      <dgm:spPr/>
      <dgm:t>
        <a:bodyPr/>
        <a:lstStyle/>
        <a:p>
          <a:endParaRPr lang="en-US"/>
        </a:p>
      </dgm:t>
    </dgm:pt>
    <dgm:pt modelId="{D2722A3E-4697-4F46-AC0F-C6ACE3F9DCFF}" type="pres">
      <dgm:prSet presAssocID="{F031C02F-DF51-49C5-97A7-C9534252B6B8}" presName="rootConnector" presStyleLbl="node3" presStyleIdx="2" presStyleCnt="5"/>
      <dgm:spPr/>
      <dgm:t>
        <a:bodyPr/>
        <a:lstStyle/>
        <a:p>
          <a:endParaRPr lang="en-US"/>
        </a:p>
      </dgm:t>
    </dgm:pt>
    <dgm:pt modelId="{0E517427-821A-46BB-A521-9BD34307B73D}" type="pres">
      <dgm:prSet presAssocID="{F031C02F-DF51-49C5-97A7-C9534252B6B8}" presName="hierChild4" presStyleCnt="0"/>
      <dgm:spPr/>
    </dgm:pt>
    <dgm:pt modelId="{2EDA8ECF-0834-468F-A29B-74202EB1BA6E}" type="pres">
      <dgm:prSet presAssocID="{F031C02F-DF51-49C5-97A7-C9534252B6B8}" presName="hierChild5" presStyleCnt="0"/>
      <dgm:spPr/>
    </dgm:pt>
    <dgm:pt modelId="{2DD30C8F-209E-458B-87FD-1C3E647EFA5F}" type="pres">
      <dgm:prSet presAssocID="{3CD0974D-DDB5-41F5-B820-FCF4900D3FD8}" presName="Name37" presStyleLbl="parChTrans1D3" presStyleIdx="3" presStyleCnt="5"/>
      <dgm:spPr/>
      <dgm:t>
        <a:bodyPr/>
        <a:lstStyle/>
        <a:p>
          <a:endParaRPr lang="en-US"/>
        </a:p>
      </dgm:t>
    </dgm:pt>
    <dgm:pt modelId="{CD457A45-74B6-428D-AA14-7CAD72E000C0}" type="pres">
      <dgm:prSet presAssocID="{519DD52A-9A1C-438A-AA77-08B2FE15F989}" presName="hierRoot2" presStyleCnt="0">
        <dgm:presLayoutVars>
          <dgm:hierBranch val="init"/>
        </dgm:presLayoutVars>
      </dgm:prSet>
      <dgm:spPr/>
    </dgm:pt>
    <dgm:pt modelId="{3374B20B-279B-44C4-BEA4-D594EF6376AF}" type="pres">
      <dgm:prSet presAssocID="{519DD52A-9A1C-438A-AA77-08B2FE15F989}" presName="rootComposite" presStyleCnt="0"/>
      <dgm:spPr/>
    </dgm:pt>
    <dgm:pt modelId="{F5AE1561-A0BA-49AA-A97A-A9FA095483E0}" type="pres">
      <dgm:prSet presAssocID="{519DD52A-9A1C-438A-AA77-08B2FE15F989}" presName="rootText" presStyleLbl="node3" presStyleIdx="3" presStyleCnt="5" custScaleX="91436" custScaleY="113403" custLinFactNeighborX="12138" custLinFactNeighborY="405">
        <dgm:presLayoutVars>
          <dgm:chPref val="3"/>
        </dgm:presLayoutVars>
      </dgm:prSet>
      <dgm:spPr/>
      <dgm:t>
        <a:bodyPr/>
        <a:lstStyle/>
        <a:p>
          <a:endParaRPr lang="en-US"/>
        </a:p>
      </dgm:t>
    </dgm:pt>
    <dgm:pt modelId="{2B2436B4-C06B-470E-9BEB-EB24475B7382}" type="pres">
      <dgm:prSet presAssocID="{519DD52A-9A1C-438A-AA77-08B2FE15F989}" presName="rootConnector" presStyleLbl="node3" presStyleIdx="3" presStyleCnt="5"/>
      <dgm:spPr/>
      <dgm:t>
        <a:bodyPr/>
        <a:lstStyle/>
        <a:p>
          <a:endParaRPr lang="en-US"/>
        </a:p>
      </dgm:t>
    </dgm:pt>
    <dgm:pt modelId="{FDCB0656-E969-4335-9B07-4D1B1722F3C0}" type="pres">
      <dgm:prSet presAssocID="{519DD52A-9A1C-438A-AA77-08B2FE15F989}" presName="hierChild4" presStyleCnt="0"/>
      <dgm:spPr/>
    </dgm:pt>
    <dgm:pt modelId="{928BA4F0-7A7E-45C9-8E23-7C279873C626}" type="pres">
      <dgm:prSet presAssocID="{519DD52A-9A1C-438A-AA77-08B2FE15F989}" presName="hierChild5" presStyleCnt="0"/>
      <dgm:spPr/>
    </dgm:pt>
    <dgm:pt modelId="{3239102B-0C5E-4590-B47E-695D7241E20E}" type="pres">
      <dgm:prSet presAssocID="{0B97A10E-0E93-4AC8-A7D5-4338C7E4EE55}" presName="hierChild5" presStyleCnt="0"/>
      <dgm:spPr/>
    </dgm:pt>
    <dgm:pt modelId="{0A1C240D-D5A3-4389-9990-C8348AB5CD09}" type="pres">
      <dgm:prSet presAssocID="{50422E94-7968-4683-8CA7-BA798391AA6A}" presName="Name37" presStyleLbl="parChTrans1D2" presStyleIdx="2" presStyleCnt="3"/>
      <dgm:spPr/>
      <dgm:t>
        <a:bodyPr/>
        <a:lstStyle/>
        <a:p>
          <a:endParaRPr lang="en-US"/>
        </a:p>
      </dgm:t>
    </dgm:pt>
    <dgm:pt modelId="{46D92591-2CE3-4618-8118-E5F90BE70898}" type="pres">
      <dgm:prSet presAssocID="{C06B3FE9-DA01-4D12-9776-87134B86518C}" presName="hierRoot2" presStyleCnt="0">
        <dgm:presLayoutVars>
          <dgm:hierBranch val="init"/>
        </dgm:presLayoutVars>
      </dgm:prSet>
      <dgm:spPr/>
    </dgm:pt>
    <dgm:pt modelId="{4062494D-2AC2-41A8-BEE1-47F237FBC3A1}" type="pres">
      <dgm:prSet presAssocID="{C06B3FE9-DA01-4D12-9776-87134B86518C}" presName="rootComposite" presStyleCnt="0"/>
      <dgm:spPr/>
    </dgm:pt>
    <dgm:pt modelId="{1E44AC82-72E5-47DD-BE33-3B8F538C0C4C}" type="pres">
      <dgm:prSet presAssocID="{C06B3FE9-DA01-4D12-9776-87134B86518C}" presName="rootText" presStyleLbl="node2" presStyleIdx="2" presStyleCnt="3" custScaleY="47455" custLinFactNeighborX="16067" custLinFactNeighborY="-6527">
        <dgm:presLayoutVars>
          <dgm:chPref val="3"/>
        </dgm:presLayoutVars>
      </dgm:prSet>
      <dgm:spPr/>
      <dgm:t>
        <a:bodyPr/>
        <a:lstStyle/>
        <a:p>
          <a:endParaRPr lang="en-US"/>
        </a:p>
      </dgm:t>
    </dgm:pt>
    <dgm:pt modelId="{52883C29-BD6E-47BF-A4D5-244E237A635A}" type="pres">
      <dgm:prSet presAssocID="{C06B3FE9-DA01-4D12-9776-87134B86518C}" presName="rootConnector" presStyleLbl="node2" presStyleIdx="2" presStyleCnt="3"/>
      <dgm:spPr/>
      <dgm:t>
        <a:bodyPr/>
        <a:lstStyle/>
        <a:p>
          <a:endParaRPr lang="en-US"/>
        </a:p>
      </dgm:t>
    </dgm:pt>
    <dgm:pt modelId="{C94B49F7-6B15-4313-8EC8-DAEEA2674F92}" type="pres">
      <dgm:prSet presAssocID="{C06B3FE9-DA01-4D12-9776-87134B86518C}" presName="hierChild4" presStyleCnt="0"/>
      <dgm:spPr/>
    </dgm:pt>
    <dgm:pt modelId="{28C9ECEE-AD49-46BC-ABFF-E6B587B6D3C3}" type="pres">
      <dgm:prSet presAssocID="{F7208961-8CEA-4674-989B-079BAE45C2A6}" presName="Name37" presStyleLbl="parChTrans1D3" presStyleIdx="4" presStyleCnt="5"/>
      <dgm:spPr/>
      <dgm:t>
        <a:bodyPr/>
        <a:lstStyle/>
        <a:p>
          <a:endParaRPr lang="en-US"/>
        </a:p>
      </dgm:t>
    </dgm:pt>
    <dgm:pt modelId="{13D5CD19-6BF8-42F9-B913-EC3E374092A8}" type="pres">
      <dgm:prSet presAssocID="{C1BE7514-5D2E-4CCA-921F-DB557DB5E8F6}" presName="hierRoot2" presStyleCnt="0">
        <dgm:presLayoutVars>
          <dgm:hierBranch val="init"/>
        </dgm:presLayoutVars>
      </dgm:prSet>
      <dgm:spPr/>
    </dgm:pt>
    <dgm:pt modelId="{F8D010C3-F3AB-474A-8C00-8A2C7173B48D}" type="pres">
      <dgm:prSet presAssocID="{C1BE7514-5D2E-4CCA-921F-DB557DB5E8F6}" presName="rootComposite" presStyleCnt="0"/>
      <dgm:spPr/>
    </dgm:pt>
    <dgm:pt modelId="{51F35306-E8FB-45B1-8DDC-5ADAC3ECFF9D}" type="pres">
      <dgm:prSet presAssocID="{C1BE7514-5D2E-4CCA-921F-DB557DB5E8F6}" presName="rootText" presStyleLbl="node3" presStyleIdx="4" presStyleCnt="5" custScaleX="138996" custScaleY="140377" custLinFactNeighborX="7224" custLinFactNeighborY="52638">
        <dgm:presLayoutVars>
          <dgm:chPref val="3"/>
        </dgm:presLayoutVars>
      </dgm:prSet>
      <dgm:spPr/>
      <dgm:t>
        <a:bodyPr/>
        <a:lstStyle/>
        <a:p>
          <a:endParaRPr lang="en-US"/>
        </a:p>
      </dgm:t>
    </dgm:pt>
    <dgm:pt modelId="{3B92A0EE-78CB-402C-AE0F-E81709808C72}" type="pres">
      <dgm:prSet presAssocID="{C1BE7514-5D2E-4CCA-921F-DB557DB5E8F6}" presName="rootConnector" presStyleLbl="node3" presStyleIdx="4" presStyleCnt="5"/>
      <dgm:spPr/>
      <dgm:t>
        <a:bodyPr/>
        <a:lstStyle/>
        <a:p>
          <a:endParaRPr lang="en-US"/>
        </a:p>
      </dgm:t>
    </dgm:pt>
    <dgm:pt modelId="{1C2F94A2-E3C4-4DCB-B0A5-69F9070F2DA0}" type="pres">
      <dgm:prSet presAssocID="{C1BE7514-5D2E-4CCA-921F-DB557DB5E8F6}" presName="hierChild4" presStyleCnt="0"/>
      <dgm:spPr/>
    </dgm:pt>
    <dgm:pt modelId="{DB9976BF-438C-48A6-B31B-5676FAFD527D}" type="pres">
      <dgm:prSet presAssocID="{C1BE7514-5D2E-4CCA-921F-DB557DB5E8F6}" presName="hierChild5" presStyleCnt="0"/>
      <dgm:spPr/>
    </dgm:pt>
    <dgm:pt modelId="{95C3B2CF-5835-4D17-B775-0DD89EC34718}" type="pres">
      <dgm:prSet presAssocID="{C06B3FE9-DA01-4D12-9776-87134B86518C}" presName="hierChild5" presStyleCnt="0"/>
      <dgm:spPr/>
    </dgm:pt>
    <dgm:pt modelId="{9DE596BF-51D4-4BA4-BA6C-6A0FFC803E7E}" type="pres">
      <dgm:prSet presAssocID="{D1FCF533-9780-49AB-BDCA-01B121AA685E}" presName="hierChild3" presStyleCnt="0"/>
      <dgm:spPr/>
    </dgm:pt>
  </dgm:ptLst>
  <dgm:cxnLst>
    <dgm:cxn modelId="{6ECD42DC-A964-4830-B2A1-01275A84C337}" type="presOf" srcId="{E9D83D16-A98F-440A-A491-A575634F8B87}" destId="{BBAB21B4-E1DD-455B-9E36-2522D8D4F252}" srcOrd="0" destOrd="0" presId="urn:microsoft.com/office/officeart/2005/8/layout/orgChart1"/>
    <dgm:cxn modelId="{DE4C6895-2A46-4DE0-B55D-4E7C123190F1}" type="presOf" srcId="{C1BE7514-5D2E-4CCA-921F-DB557DB5E8F6}" destId="{3B92A0EE-78CB-402C-AE0F-E81709808C72}" srcOrd="1" destOrd="0" presId="urn:microsoft.com/office/officeart/2005/8/layout/orgChart1"/>
    <dgm:cxn modelId="{7005CFC9-243F-4486-89B6-F4489923466A}" type="presOf" srcId="{C06B3FE9-DA01-4D12-9776-87134B86518C}" destId="{1E44AC82-72E5-47DD-BE33-3B8F538C0C4C}" srcOrd="0" destOrd="0" presId="urn:microsoft.com/office/officeart/2005/8/layout/orgChart1"/>
    <dgm:cxn modelId="{BD9C801C-7AC8-4C53-9052-153DBDCB8E8F}" type="presOf" srcId="{F031C02F-DF51-49C5-97A7-C9534252B6B8}" destId="{D2722A3E-4697-4F46-AC0F-C6ACE3F9DCFF}" srcOrd="1" destOrd="0" presId="urn:microsoft.com/office/officeart/2005/8/layout/orgChart1"/>
    <dgm:cxn modelId="{F7C51C50-4328-4BA8-BEEC-16B0203D969D}" type="presOf" srcId="{F7208961-8CEA-4674-989B-079BAE45C2A6}" destId="{28C9ECEE-AD49-46BC-ABFF-E6B587B6D3C3}" srcOrd="0" destOrd="0" presId="urn:microsoft.com/office/officeart/2005/8/layout/orgChart1"/>
    <dgm:cxn modelId="{78B51947-5877-4410-9A0A-6AD3ABBDED1A}" type="presOf" srcId="{94F97032-CFFE-4A95-9778-A30647464FAF}" destId="{BC97242C-B9C7-40AB-A1F5-FF6947C3D942}" srcOrd="1" destOrd="0" presId="urn:microsoft.com/office/officeart/2005/8/layout/orgChart1"/>
    <dgm:cxn modelId="{235EF6B0-F601-4356-AC7A-F884117A12BC}" type="presOf" srcId="{C1BE7514-5D2E-4CCA-921F-DB557DB5E8F6}" destId="{51F35306-E8FB-45B1-8DDC-5ADAC3ECFF9D}" srcOrd="0" destOrd="0" presId="urn:microsoft.com/office/officeart/2005/8/layout/orgChart1"/>
    <dgm:cxn modelId="{7C745050-5B6F-4778-B1E0-AD401F319B91}" type="presOf" srcId="{519DD52A-9A1C-438A-AA77-08B2FE15F989}" destId="{2B2436B4-C06B-470E-9BEB-EB24475B7382}" srcOrd="1" destOrd="0" presId="urn:microsoft.com/office/officeart/2005/8/layout/orgChart1"/>
    <dgm:cxn modelId="{FF0F42D7-7DA2-44E9-96F7-405E3A2D5956}" type="presOf" srcId="{F031C02F-DF51-49C5-97A7-C9534252B6B8}" destId="{FE2C50DE-AA4F-4F47-921F-A8A78AAEFD11}" srcOrd="0" destOrd="0" presId="urn:microsoft.com/office/officeart/2005/8/layout/orgChart1"/>
    <dgm:cxn modelId="{885515C5-6DCD-49DB-9746-2D6B9D75B528}" type="presOf" srcId="{0B97A10E-0E93-4AC8-A7D5-4338C7E4EE55}" destId="{BBD47165-A218-4226-BB29-3E15ACF6287A}" srcOrd="0" destOrd="0" presId="urn:microsoft.com/office/officeart/2005/8/layout/orgChart1"/>
    <dgm:cxn modelId="{A735130A-AE5A-4BDA-ADBD-0AE82B161619}" srcId="{E9D83D16-A98F-440A-A491-A575634F8B87}" destId="{1B651196-DECF-44D5-9D60-92CE9915889C}" srcOrd="1" destOrd="0" parTransId="{0F9D11AF-9F8D-44B0-A661-380184E0F4F0}" sibTransId="{0D26718D-D4FA-49F8-A471-4B299B0CD85E}"/>
    <dgm:cxn modelId="{578380EB-534E-4A47-AB14-74E8123D4E19}" srcId="{D1FCF533-9780-49AB-BDCA-01B121AA685E}" destId="{C06B3FE9-DA01-4D12-9776-87134B86518C}" srcOrd="2" destOrd="0" parTransId="{50422E94-7968-4683-8CA7-BA798391AA6A}" sibTransId="{232EB293-E02D-4066-8A02-CB77F6C4EF57}"/>
    <dgm:cxn modelId="{311906FF-8C8F-413D-9A9D-1412821987D7}" type="presOf" srcId="{1B651196-DECF-44D5-9D60-92CE9915889C}" destId="{4E802A88-FAAD-4CD6-9883-F2F261822B22}" srcOrd="0" destOrd="0" presId="urn:microsoft.com/office/officeart/2005/8/layout/orgChart1"/>
    <dgm:cxn modelId="{96FE5BB0-4D54-40F7-A553-D6B68F03948F}" srcId="{D1FCF533-9780-49AB-BDCA-01B121AA685E}" destId="{E9D83D16-A98F-440A-A491-A575634F8B87}" srcOrd="0" destOrd="0" parTransId="{AC8F9C7B-F006-40FD-9EAF-190740A04447}" sibTransId="{4FD9008B-E149-46F6-B491-9BF85619CA78}"/>
    <dgm:cxn modelId="{997F0E26-41EC-40D9-A753-E8C78A4DD1D6}" type="presOf" srcId="{A7E0E4D5-30CF-44FA-A46D-9807FD4CC44B}" destId="{CE1A43A8-68B4-4A58-9122-017101801754}" srcOrd="0" destOrd="0" presId="urn:microsoft.com/office/officeart/2005/8/layout/orgChart1"/>
    <dgm:cxn modelId="{CDF528C8-287A-4944-8C23-6EBFE4EC6A3F}" srcId="{0B97A10E-0E93-4AC8-A7D5-4338C7E4EE55}" destId="{F031C02F-DF51-49C5-97A7-C9534252B6B8}" srcOrd="0" destOrd="0" parTransId="{C542CA32-76EF-4A45-ADF4-5640DDEC844A}" sibTransId="{0EE0C55E-2A24-4655-8EEF-0D33564DDFD3}"/>
    <dgm:cxn modelId="{B0B37F06-0DC8-4C45-823D-C2F2C71DA01E}" type="presOf" srcId="{3EE5854A-4CF0-411E-8A63-E670E60F5215}" destId="{65139B02-4EFE-44A4-B193-B5E5B189B535}" srcOrd="0" destOrd="0" presId="urn:microsoft.com/office/officeart/2005/8/layout/orgChart1"/>
    <dgm:cxn modelId="{E55B9C34-0D2C-458B-81FE-2ACB923D7626}" type="presOf" srcId="{9BA1348E-1663-44D0-88A7-18C05A75AE19}" destId="{0F27CE3C-075E-4C0C-A3D0-51D73D6AC0D9}" srcOrd="0" destOrd="0" presId="urn:microsoft.com/office/officeart/2005/8/layout/orgChart1"/>
    <dgm:cxn modelId="{223BFC1F-DA24-49A7-8CD8-1F0298EBFE26}" srcId="{D1FCF533-9780-49AB-BDCA-01B121AA685E}" destId="{0B97A10E-0E93-4AC8-A7D5-4338C7E4EE55}" srcOrd="1" destOrd="0" parTransId="{9BA1348E-1663-44D0-88A7-18C05A75AE19}" sibTransId="{D3A5D0E6-80C7-48AA-AA0E-0F14B7DA906C}"/>
    <dgm:cxn modelId="{F75BFBBF-3F35-442C-9808-407E17D9D0EC}" type="presOf" srcId="{C542CA32-76EF-4A45-ADF4-5640DDEC844A}" destId="{4FDD304F-E144-4528-A678-FC34BE0FC563}" srcOrd="0" destOrd="0" presId="urn:microsoft.com/office/officeart/2005/8/layout/orgChart1"/>
    <dgm:cxn modelId="{9BAC006B-43EE-4A69-8514-87949D94CF00}" type="presOf" srcId="{3CD0974D-DDB5-41F5-B820-FCF4900D3FD8}" destId="{2DD30C8F-209E-458B-87FD-1C3E647EFA5F}" srcOrd="0" destOrd="0" presId="urn:microsoft.com/office/officeart/2005/8/layout/orgChart1"/>
    <dgm:cxn modelId="{D7BE6F80-988C-4DC3-94D5-55D3A759D8A4}" srcId="{C06B3FE9-DA01-4D12-9776-87134B86518C}" destId="{C1BE7514-5D2E-4CCA-921F-DB557DB5E8F6}" srcOrd="0" destOrd="0" parTransId="{F7208961-8CEA-4674-989B-079BAE45C2A6}" sibTransId="{0ADD8A4D-4436-4B92-B80F-9A1D78F4AD3B}"/>
    <dgm:cxn modelId="{E14C5134-754F-40E2-A537-ED4895DF0F05}" type="presOf" srcId="{AC8F9C7B-F006-40FD-9EAF-190740A04447}" destId="{E7001CDF-7B1B-4487-B2B2-AA3662972166}" srcOrd="0" destOrd="0" presId="urn:microsoft.com/office/officeart/2005/8/layout/orgChart1"/>
    <dgm:cxn modelId="{845592D6-ECD0-495C-A122-CBC20126FC25}" type="presOf" srcId="{0F9D11AF-9F8D-44B0-A661-380184E0F4F0}" destId="{5E8D1E31-DF4B-470D-BE28-6C9D1FBB79B7}" srcOrd="0" destOrd="0" presId="urn:microsoft.com/office/officeart/2005/8/layout/orgChart1"/>
    <dgm:cxn modelId="{B49A6221-1BA1-448C-A28F-B11FAC15C580}" srcId="{A7E0E4D5-30CF-44FA-A46D-9807FD4CC44B}" destId="{D1FCF533-9780-49AB-BDCA-01B121AA685E}" srcOrd="0" destOrd="0" parTransId="{263AC5A4-6236-49FC-8035-BD16A482F24A}" sibTransId="{C913D041-90CE-420F-A02D-D2321E76CC69}"/>
    <dgm:cxn modelId="{28F4712F-68D1-433A-8FFD-49B9F961F76F}" type="presOf" srcId="{50422E94-7968-4683-8CA7-BA798391AA6A}" destId="{0A1C240D-D5A3-4389-9990-C8348AB5CD09}" srcOrd="0" destOrd="0" presId="urn:microsoft.com/office/officeart/2005/8/layout/orgChart1"/>
    <dgm:cxn modelId="{7EE0CE2E-9913-4678-BAAE-7E1E5430008A}" srcId="{0B97A10E-0E93-4AC8-A7D5-4338C7E4EE55}" destId="{519DD52A-9A1C-438A-AA77-08B2FE15F989}" srcOrd="1" destOrd="0" parTransId="{3CD0974D-DDB5-41F5-B820-FCF4900D3FD8}" sibTransId="{596FCDD9-6F76-43CE-B58B-01560B632386}"/>
    <dgm:cxn modelId="{512A14F8-C9ED-4404-9F1B-BB763CFFF832}" type="presOf" srcId="{E9D83D16-A98F-440A-A491-A575634F8B87}" destId="{26715C37-E68A-42BB-9FC5-D3081802B950}" srcOrd="1" destOrd="0" presId="urn:microsoft.com/office/officeart/2005/8/layout/orgChart1"/>
    <dgm:cxn modelId="{E8E8937F-8FA6-4DD3-BB4B-35163EC62DC9}" srcId="{E9D83D16-A98F-440A-A491-A575634F8B87}" destId="{94F97032-CFFE-4A95-9778-A30647464FAF}" srcOrd="0" destOrd="0" parTransId="{3EE5854A-4CF0-411E-8A63-E670E60F5215}" sibTransId="{16BB004E-C64C-4A82-906F-38AE48436D3F}"/>
    <dgm:cxn modelId="{98C2AB8A-F327-40A5-8F56-0F835921036E}" type="presOf" srcId="{94F97032-CFFE-4A95-9778-A30647464FAF}" destId="{13D09C35-DDCD-42C1-8F7C-47BA9C0C6F3B}" srcOrd="0" destOrd="0" presId="urn:microsoft.com/office/officeart/2005/8/layout/orgChart1"/>
    <dgm:cxn modelId="{180C2713-DD97-47E5-BFF5-7834F82BAD48}" type="presOf" srcId="{0B97A10E-0E93-4AC8-A7D5-4338C7E4EE55}" destId="{A222467F-DD8B-4D40-8013-1354311459EA}" srcOrd="1" destOrd="0" presId="urn:microsoft.com/office/officeart/2005/8/layout/orgChart1"/>
    <dgm:cxn modelId="{22DC7B17-1387-4C70-9E60-B4ABA2D0061A}" type="presOf" srcId="{D1FCF533-9780-49AB-BDCA-01B121AA685E}" destId="{3B01AE44-A1CA-4EEE-B8A4-A93E6DCBBC08}" srcOrd="0" destOrd="0" presId="urn:microsoft.com/office/officeart/2005/8/layout/orgChart1"/>
    <dgm:cxn modelId="{E6570BB8-63B5-4D6C-8DEB-F9743E7BA7B4}" type="presOf" srcId="{1B651196-DECF-44D5-9D60-92CE9915889C}" destId="{2B9B9FF4-B43F-4558-8854-232B0DA2933B}" srcOrd="1" destOrd="0" presId="urn:microsoft.com/office/officeart/2005/8/layout/orgChart1"/>
    <dgm:cxn modelId="{E173F50E-F4E6-44ED-A6F1-E4CFF8547A64}" type="presOf" srcId="{D1FCF533-9780-49AB-BDCA-01B121AA685E}" destId="{5601EF4A-7033-42BA-B438-179C1632D31E}" srcOrd="1" destOrd="0" presId="urn:microsoft.com/office/officeart/2005/8/layout/orgChart1"/>
    <dgm:cxn modelId="{F9FB2394-DE52-4E6A-BB70-F6CCE5317592}" type="presOf" srcId="{C06B3FE9-DA01-4D12-9776-87134B86518C}" destId="{52883C29-BD6E-47BF-A4D5-244E237A635A}" srcOrd="1" destOrd="0" presId="urn:microsoft.com/office/officeart/2005/8/layout/orgChart1"/>
    <dgm:cxn modelId="{67A8A445-8892-4276-B89F-9FF1DE75C142}" type="presOf" srcId="{519DD52A-9A1C-438A-AA77-08B2FE15F989}" destId="{F5AE1561-A0BA-49AA-A97A-A9FA095483E0}" srcOrd="0" destOrd="0" presId="urn:microsoft.com/office/officeart/2005/8/layout/orgChart1"/>
    <dgm:cxn modelId="{4F927319-D6ED-4247-A3FF-DD4A87C0BCD9}" type="presParOf" srcId="{CE1A43A8-68B4-4A58-9122-017101801754}" destId="{6CE8DCC9-37ED-4FBF-BA05-67937E368AC5}" srcOrd="0" destOrd="0" presId="urn:microsoft.com/office/officeart/2005/8/layout/orgChart1"/>
    <dgm:cxn modelId="{7B1ABE80-4680-46BB-842A-B1F9C3920E9C}" type="presParOf" srcId="{6CE8DCC9-37ED-4FBF-BA05-67937E368AC5}" destId="{7440C736-E815-4488-A95E-30AFEEF66DD4}" srcOrd="0" destOrd="0" presId="urn:microsoft.com/office/officeart/2005/8/layout/orgChart1"/>
    <dgm:cxn modelId="{B47A8E6C-790A-4DA4-9401-2A1118413536}" type="presParOf" srcId="{7440C736-E815-4488-A95E-30AFEEF66DD4}" destId="{3B01AE44-A1CA-4EEE-B8A4-A93E6DCBBC08}" srcOrd="0" destOrd="0" presId="urn:microsoft.com/office/officeart/2005/8/layout/orgChart1"/>
    <dgm:cxn modelId="{B8D71CE7-0582-4E03-82F1-B1A67EC9E675}" type="presParOf" srcId="{7440C736-E815-4488-A95E-30AFEEF66DD4}" destId="{5601EF4A-7033-42BA-B438-179C1632D31E}" srcOrd="1" destOrd="0" presId="urn:microsoft.com/office/officeart/2005/8/layout/orgChart1"/>
    <dgm:cxn modelId="{9E7C1220-F981-489B-8748-2C2AE340C449}" type="presParOf" srcId="{6CE8DCC9-37ED-4FBF-BA05-67937E368AC5}" destId="{A66FBF6A-F924-4C4F-A40E-653F63A298C6}" srcOrd="1" destOrd="0" presId="urn:microsoft.com/office/officeart/2005/8/layout/orgChart1"/>
    <dgm:cxn modelId="{1AD1AF81-C13F-4898-A14E-2AAD5450FB19}" type="presParOf" srcId="{A66FBF6A-F924-4C4F-A40E-653F63A298C6}" destId="{E7001CDF-7B1B-4487-B2B2-AA3662972166}" srcOrd="0" destOrd="0" presId="urn:microsoft.com/office/officeart/2005/8/layout/orgChart1"/>
    <dgm:cxn modelId="{96806A40-899D-4175-8051-B3A8293D0EBC}" type="presParOf" srcId="{A66FBF6A-F924-4C4F-A40E-653F63A298C6}" destId="{F6FDE253-42B4-4F35-8613-BF45EF073D12}" srcOrd="1" destOrd="0" presId="urn:microsoft.com/office/officeart/2005/8/layout/orgChart1"/>
    <dgm:cxn modelId="{93272B1F-AA89-48AC-BB79-B95898A64FD4}" type="presParOf" srcId="{F6FDE253-42B4-4F35-8613-BF45EF073D12}" destId="{F024C816-8F4A-4B6D-8BD4-AEBAD6C5D2AC}" srcOrd="0" destOrd="0" presId="urn:microsoft.com/office/officeart/2005/8/layout/orgChart1"/>
    <dgm:cxn modelId="{9830FDD6-BE86-44BB-A468-F048E5754647}" type="presParOf" srcId="{F024C816-8F4A-4B6D-8BD4-AEBAD6C5D2AC}" destId="{BBAB21B4-E1DD-455B-9E36-2522D8D4F252}" srcOrd="0" destOrd="0" presId="urn:microsoft.com/office/officeart/2005/8/layout/orgChart1"/>
    <dgm:cxn modelId="{FE198B5A-5C75-4BA4-BA8B-52748ACB6C65}" type="presParOf" srcId="{F024C816-8F4A-4B6D-8BD4-AEBAD6C5D2AC}" destId="{26715C37-E68A-42BB-9FC5-D3081802B950}" srcOrd="1" destOrd="0" presId="urn:microsoft.com/office/officeart/2005/8/layout/orgChart1"/>
    <dgm:cxn modelId="{857A8E03-0933-44A1-8900-CE7E9C2D1B4D}" type="presParOf" srcId="{F6FDE253-42B4-4F35-8613-BF45EF073D12}" destId="{FE0BFA01-5A06-44DB-94B3-7B1B13901FDB}" srcOrd="1" destOrd="0" presId="urn:microsoft.com/office/officeart/2005/8/layout/orgChart1"/>
    <dgm:cxn modelId="{69A8D721-ECAD-4B7E-9EB7-45D7ED6340E8}" type="presParOf" srcId="{FE0BFA01-5A06-44DB-94B3-7B1B13901FDB}" destId="{65139B02-4EFE-44A4-B193-B5E5B189B535}" srcOrd="0" destOrd="0" presId="urn:microsoft.com/office/officeart/2005/8/layout/orgChart1"/>
    <dgm:cxn modelId="{645BD59A-A0E5-4077-A459-D4763115F465}" type="presParOf" srcId="{FE0BFA01-5A06-44DB-94B3-7B1B13901FDB}" destId="{B2ED9EC1-116F-4B57-ABE2-851D65C6063F}" srcOrd="1" destOrd="0" presId="urn:microsoft.com/office/officeart/2005/8/layout/orgChart1"/>
    <dgm:cxn modelId="{E476228B-AA0B-4372-AC9D-25729E7C0A31}" type="presParOf" srcId="{B2ED9EC1-116F-4B57-ABE2-851D65C6063F}" destId="{67C88160-920F-4FE7-96C9-B7D33224312B}" srcOrd="0" destOrd="0" presId="urn:microsoft.com/office/officeart/2005/8/layout/orgChart1"/>
    <dgm:cxn modelId="{0CB7B358-45F1-4750-B564-27E4E128DD9F}" type="presParOf" srcId="{67C88160-920F-4FE7-96C9-B7D33224312B}" destId="{13D09C35-DDCD-42C1-8F7C-47BA9C0C6F3B}" srcOrd="0" destOrd="0" presId="urn:microsoft.com/office/officeart/2005/8/layout/orgChart1"/>
    <dgm:cxn modelId="{7AA902B4-A366-4AEB-890F-6B80BC4BB7A4}" type="presParOf" srcId="{67C88160-920F-4FE7-96C9-B7D33224312B}" destId="{BC97242C-B9C7-40AB-A1F5-FF6947C3D942}" srcOrd="1" destOrd="0" presId="urn:microsoft.com/office/officeart/2005/8/layout/orgChart1"/>
    <dgm:cxn modelId="{5CA9898B-C002-459E-BADB-7974BEEF469E}" type="presParOf" srcId="{B2ED9EC1-116F-4B57-ABE2-851D65C6063F}" destId="{2F6FD02F-E072-410A-A305-6E832B766D73}" srcOrd="1" destOrd="0" presId="urn:microsoft.com/office/officeart/2005/8/layout/orgChart1"/>
    <dgm:cxn modelId="{AB6D6E1F-B357-4CB4-9321-7843794F40C6}" type="presParOf" srcId="{B2ED9EC1-116F-4B57-ABE2-851D65C6063F}" destId="{6BD01436-58A4-45D6-B2BA-C63BACBE337D}" srcOrd="2" destOrd="0" presId="urn:microsoft.com/office/officeart/2005/8/layout/orgChart1"/>
    <dgm:cxn modelId="{6243280C-9449-4613-97B4-3176DC289567}" type="presParOf" srcId="{FE0BFA01-5A06-44DB-94B3-7B1B13901FDB}" destId="{5E8D1E31-DF4B-470D-BE28-6C9D1FBB79B7}" srcOrd="2" destOrd="0" presId="urn:microsoft.com/office/officeart/2005/8/layout/orgChart1"/>
    <dgm:cxn modelId="{DAB75216-1F0B-4D66-9974-9D50D9BA0F26}" type="presParOf" srcId="{FE0BFA01-5A06-44DB-94B3-7B1B13901FDB}" destId="{1BACE0DB-BDC3-4489-8A4E-BE2612CAA9B6}" srcOrd="3" destOrd="0" presId="urn:microsoft.com/office/officeart/2005/8/layout/orgChart1"/>
    <dgm:cxn modelId="{8489C01D-6DD3-4232-BB81-D5EB90F9A524}" type="presParOf" srcId="{1BACE0DB-BDC3-4489-8A4E-BE2612CAA9B6}" destId="{E9D58EFE-CA97-45BA-B974-C35256F4ED41}" srcOrd="0" destOrd="0" presId="urn:microsoft.com/office/officeart/2005/8/layout/orgChart1"/>
    <dgm:cxn modelId="{FF90DEE4-3F65-4F7B-B276-C968EC7BB457}" type="presParOf" srcId="{E9D58EFE-CA97-45BA-B974-C35256F4ED41}" destId="{4E802A88-FAAD-4CD6-9883-F2F261822B22}" srcOrd="0" destOrd="0" presId="urn:microsoft.com/office/officeart/2005/8/layout/orgChart1"/>
    <dgm:cxn modelId="{BC102EFA-F266-4ACA-9584-9F27BF084B68}" type="presParOf" srcId="{E9D58EFE-CA97-45BA-B974-C35256F4ED41}" destId="{2B9B9FF4-B43F-4558-8854-232B0DA2933B}" srcOrd="1" destOrd="0" presId="urn:microsoft.com/office/officeart/2005/8/layout/orgChart1"/>
    <dgm:cxn modelId="{BF2B735D-BC18-41E3-9DA1-B01E8E5285C4}" type="presParOf" srcId="{1BACE0DB-BDC3-4489-8A4E-BE2612CAA9B6}" destId="{CB415D1F-C8FC-476A-9C49-5E9CF2148B8B}" srcOrd="1" destOrd="0" presId="urn:microsoft.com/office/officeart/2005/8/layout/orgChart1"/>
    <dgm:cxn modelId="{28618F21-98B8-4521-9DBD-833C36B0D499}" type="presParOf" srcId="{1BACE0DB-BDC3-4489-8A4E-BE2612CAA9B6}" destId="{8B387BB7-4E65-4000-AEFA-BFFEECC88D2E}" srcOrd="2" destOrd="0" presId="urn:microsoft.com/office/officeart/2005/8/layout/orgChart1"/>
    <dgm:cxn modelId="{726C9C0F-3B27-403F-9C14-0119E380AF9B}" type="presParOf" srcId="{F6FDE253-42B4-4F35-8613-BF45EF073D12}" destId="{7EE17DA0-1546-4B0E-B9FF-6A7530249D59}" srcOrd="2" destOrd="0" presId="urn:microsoft.com/office/officeart/2005/8/layout/orgChart1"/>
    <dgm:cxn modelId="{FA6D24A1-3CEA-4039-992C-5AD7C42020D5}" type="presParOf" srcId="{A66FBF6A-F924-4C4F-A40E-653F63A298C6}" destId="{0F27CE3C-075E-4C0C-A3D0-51D73D6AC0D9}" srcOrd="2" destOrd="0" presId="urn:microsoft.com/office/officeart/2005/8/layout/orgChart1"/>
    <dgm:cxn modelId="{7E23EDE8-1E11-461D-9584-CAD701881138}" type="presParOf" srcId="{A66FBF6A-F924-4C4F-A40E-653F63A298C6}" destId="{5204CD36-0D7C-4C93-B117-6A4CF32195D3}" srcOrd="3" destOrd="0" presId="urn:microsoft.com/office/officeart/2005/8/layout/orgChart1"/>
    <dgm:cxn modelId="{B8761F66-5461-4F64-905F-C5877229BF0C}" type="presParOf" srcId="{5204CD36-0D7C-4C93-B117-6A4CF32195D3}" destId="{9598C719-8E54-48E7-9DCE-1C4A2DED21A9}" srcOrd="0" destOrd="0" presId="urn:microsoft.com/office/officeart/2005/8/layout/orgChart1"/>
    <dgm:cxn modelId="{914271E1-D9B3-43D7-81F4-3821D6426919}" type="presParOf" srcId="{9598C719-8E54-48E7-9DCE-1C4A2DED21A9}" destId="{BBD47165-A218-4226-BB29-3E15ACF6287A}" srcOrd="0" destOrd="0" presId="urn:microsoft.com/office/officeart/2005/8/layout/orgChart1"/>
    <dgm:cxn modelId="{07D7B314-F6B4-4FB3-BFDD-D8E9069343FF}" type="presParOf" srcId="{9598C719-8E54-48E7-9DCE-1C4A2DED21A9}" destId="{A222467F-DD8B-4D40-8013-1354311459EA}" srcOrd="1" destOrd="0" presId="urn:microsoft.com/office/officeart/2005/8/layout/orgChart1"/>
    <dgm:cxn modelId="{CD9C8529-0665-48B1-BA1D-279691D8F729}" type="presParOf" srcId="{5204CD36-0D7C-4C93-B117-6A4CF32195D3}" destId="{9CC657E8-FD89-4ED2-B7CD-A4B3653CD517}" srcOrd="1" destOrd="0" presId="urn:microsoft.com/office/officeart/2005/8/layout/orgChart1"/>
    <dgm:cxn modelId="{AF4A6B48-7B7B-49BE-A8DE-665F920AA55A}" type="presParOf" srcId="{9CC657E8-FD89-4ED2-B7CD-A4B3653CD517}" destId="{4FDD304F-E144-4528-A678-FC34BE0FC563}" srcOrd="0" destOrd="0" presId="urn:microsoft.com/office/officeart/2005/8/layout/orgChart1"/>
    <dgm:cxn modelId="{AF84C4CC-C164-44E3-B41B-15E505B3259C}" type="presParOf" srcId="{9CC657E8-FD89-4ED2-B7CD-A4B3653CD517}" destId="{1953CBEE-A168-4F63-BC38-22A28B1E2775}" srcOrd="1" destOrd="0" presId="urn:microsoft.com/office/officeart/2005/8/layout/orgChart1"/>
    <dgm:cxn modelId="{709371EA-FBF7-4DB8-BB89-22AE5D55C6B3}" type="presParOf" srcId="{1953CBEE-A168-4F63-BC38-22A28B1E2775}" destId="{A4C0B0B6-0815-46D7-AA31-C31BEDD49827}" srcOrd="0" destOrd="0" presId="urn:microsoft.com/office/officeart/2005/8/layout/orgChart1"/>
    <dgm:cxn modelId="{052915C4-00AD-494C-A4DD-B803EAD05C64}" type="presParOf" srcId="{A4C0B0B6-0815-46D7-AA31-C31BEDD49827}" destId="{FE2C50DE-AA4F-4F47-921F-A8A78AAEFD11}" srcOrd="0" destOrd="0" presId="urn:microsoft.com/office/officeart/2005/8/layout/orgChart1"/>
    <dgm:cxn modelId="{8438EFFC-7153-4DE6-990B-5B35E322FC57}" type="presParOf" srcId="{A4C0B0B6-0815-46D7-AA31-C31BEDD49827}" destId="{D2722A3E-4697-4F46-AC0F-C6ACE3F9DCFF}" srcOrd="1" destOrd="0" presId="urn:microsoft.com/office/officeart/2005/8/layout/orgChart1"/>
    <dgm:cxn modelId="{A4465A40-1D7A-4868-AE9F-F0F6C4415980}" type="presParOf" srcId="{1953CBEE-A168-4F63-BC38-22A28B1E2775}" destId="{0E517427-821A-46BB-A521-9BD34307B73D}" srcOrd="1" destOrd="0" presId="urn:microsoft.com/office/officeart/2005/8/layout/orgChart1"/>
    <dgm:cxn modelId="{7B75C828-5268-4D5B-A20C-239DF4FA51B9}" type="presParOf" srcId="{1953CBEE-A168-4F63-BC38-22A28B1E2775}" destId="{2EDA8ECF-0834-468F-A29B-74202EB1BA6E}" srcOrd="2" destOrd="0" presId="urn:microsoft.com/office/officeart/2005/8/layout/orgChart1"/>
    <dgm:cxn modelId="{2C463D5D-FC82-41B1-96B4-62A32A78EC53}" type="presParOf" srcId="{9CC657E8-FD89-4ED2-B7CD-A4B3653CD517}" destId="{2DD30C8F-209E-458B-87FD-1C3E647EFA5F}" srcOrd="2" destOrd="0" presId="urn:microsoft.com/office/officeart/2005/8/layout/orgChart1"/>
    <dgm:cxn modelId="{25E1C200-5D85-4EDE-9350-FBD3A1227E2C}" type="presParOf" srcId="{9CC657E8-FD89-4ED2-B7CD-A4B3653CD517}" destId="{CD457A45-74B6-428D-AA14-7CAD72E000C0}" srcOrd="3" destOrd="0" presId="urn:microsoft.com/office/officeart/2005/8/layout/orgChart1"/>
    <dgm:cxn modelId="{9C581B00-96AE-4A1E-9313-301F3A7DD7E2}" type="presParOf" srcId="{CD457A45-74B6-428D-AA14-7CAD72E000C0}" destId="{3374B20B-279B-44C4-BEA4-D594EF6376AF}" srcOrd="0" destOrd="0" presId="urn:microsoft.com/office/officeart/2005/8/layout/orgChart1"/>
    <dgm:cxn modelId="{0504FD3A-F131-49D5-ABC9-EDF7E1592A3B}" type="presParOf" srcId="{3374B20B-279B-44C4-BEA4-D594EF6376AF}" destId="{F5AE1561-A0BA-49AA-A97A-A9FA095483E0}" srcOrd="0" destOrd="0" presId="urn:microsoft.com/office/officeart/2005/8/layout/orgChart1"/>
    <dgm:cxn modelId="{08A00843-FD7D-4CB1-92DD-3F4A27B4C149}" type="presParOf" srcId="{3374B20B-279B-44C4-BEA4-D594EF6376AF}" destId="{2B2436B4-C06B-470E-9BEB-EB24475B7382}" srcOrd="1" destOrd="0" presId="urn:microsoft.com/office/officeart/2005/8/layout/orgChart1"/>
    <dgm:cxn modelId="{E86611F0-DBD9-45CA-9DF1-5D68B711DDE4}" type="presParOf" srcId="{CD457A45-74B6-428D-AA14-7CAD72E000C0}" destId="{FDCB0656-E969-4335-9B07-4D1B1722F3C0}" srcOrd="1" destOrd="0" presId="urn:microsoft.com/office/officeart/2005/8/layout/orgChart1"/>
    <dgm:cxn modelId="{DBD3562A-D003-49C4-B983-95B97F28B883}" type="presParOf" srcId="{CD457A45-74B6-428D-AA14-7CAD72E000C0}" destId="{928BA4F0-7A7E-45C9-8E23-7C279873C626}" srcOrd="2" destOrd="0" presId="urn:microsoft.com/office/officeart/2005/8/layout/orgChart1"/>
    <dgm:cxn modelId="{A94CCDC2-FC64-4384-BB8D-CE02AB889A6C}" type="presParOf" srcId="{5204CD36-0D7C-4C93-B117-6A4CF32195D3}" destId="{3239102B-0C5E-4590-B47E-695D7241E20E}" srcOrd="2" destOrd="0" presId="urn:microsoft.com/office/officeart/2005/8/layout/orgChart1"/>
    <dgm:cxn modelId="{93DE8A49-C3BC-484E-90C4-D17744E597FC}" type="presParOf" srcId="{A66FBF6A-F924-4C4F-A40E-653F63A298C6}" destId="{0A1C240D-D5A3-4389-9990-C8348AB5CD09}" srcOrd="4" destOrd="0" presId="urn:microsoft.com/office/officeart/2005/8/layout/orgChart1"/>
    <dgm:cxn modelId="{111AC57D-4D28-49B0-948F-2C958A6E03BF}" type="presParOf" srcId="{A66FBF6A-F924-4C4F-A40E-653F63A298C6}" destId="{46D92591-2CE3-4618-8118-E5F90BE70898}" srcOrd="5" destOrd="0" presId="urn:microsoft.com/office/officeart/2005/8/layout/orgChart1"/>
    <dgm:cxn modelId="{C27D3304-A6DF-4432-AB4D-F7CE32EFEBE5}" type="presParOf" srcId="{46D92591-2CE3-4618-8118-E5F90BE70898}" destId="{4062494D-2AC2-41A8-BEE1-47F237FBC3A1}" srcOrd="0" destOrd="0" presId="urn:microsoft.com/office/officeart/2005/8/layout/orgChart1"/>
    <dgm:cxn modelId="{2A212F7E-20DD-4478-ADCE-17666E536102}" type="presParOf" srcId="{4062494D-2AC2-41A8-BEE1-47F237FBC3A1}" destId="{1E44AC82-72E5-47DD-BE33-3B8F538C0C4C}" srcOrd="0" destOrd="0" presId="urn:microsoft.com/office/officeart/2005/8/layout/orgChart1"/>
    <dgm:cxn modelId="{295284B5-0810-417E-B5A8-A9E337C1F881}" type="presParOf" srcId="{4062494D-2AC2-41A8-BEE1-47F237FBC3A1}" destId="{52883C29-BD6E-47BF-A4D5-244E237A635A}" srcOrd="1" destOrd="0" presId="urn:microsoft.com/office/officeart/2005/8/layout/orgChart1"/>
    <dgm:cxn modelId="{B3C9A28B-07AE-448B-AA5A-CD0584D541E9}" type="presParOf" srcId="{46D92591-2CE3-4618-8118-E5F90BE70898}" destId="{C94B49F7-6B15-4313-8EC8-DAEEA2674F92}" srcOrd="1" destOrd="0" presId="urn:microsoft.com/office/officeart/2005/8/layout/orgChart1"/>
    <dgm:cxn modelId="{150DEBF7-79B7-4771-8507-1C3CC86B174D}" type="presParOf" srcId="{C94B49F7-6B15-4313-8EC8-DAEEA2674F92}" destId="{28C9ECEE-AD49-46BC-ABFF-E6B587B6D3C3}" srcOrd="0" destOrd="0" presId="urn:microsoft.com/office/officeart/2005/8/layout/orgChart1"/>
    <dgm:cxn modelId="{06173D58-1756-40DB-AD99-3BED53BA9643}" type="presParOf" srcId="{C94B49F7-6B15-4313-8EC8-DAEEA2674F92}" destId="{13D5CD19-6BF8-42F9-B913-EC3E374092A8}" srcOrd="1" destOrd="0" presId="urn:microsoft.com/office/officeart/2005/8/layout/orgChart1"/>
    <dgm:cxn modelId="{070A9AD8-13C4-4A18-9385-BA86D6B3B0F5}" type="presParOf" srcId="{13D5CD19-6BF8-42F9-B913-EC3E374092A8}" destId="{F8D010C3-F3AB-474A-8C00-8A2C7173B48D}" srcOrd="0" destOrd="0" presId="urn:microsoft.com/office/officeart/2005/8/layout/orgChart1"/>
    <dgm:cxn modelId="{3BB66A45-EFF7-45ED-9541-ED0121DA0B70}" type="presParOf" srcId="{F8D010C3-F3AB-474A-8C00-8A2C7173B48D}" destId="{51F35306-E8FB-45B1-8DDC-5ADAC3ECFF9D}" srcOrd="0" destOrd="0" presId="urn:microsoft.com/office/officeart/2005/8/layout/orgChart1"/>
    <dgm:cxn modelId="{37714EB7-C729-41B8-A06E-570A83267363}" type="presParOf" srcId="{F8D010C3-F3AB-474A-8C00-8A2C7173B48D}" destId="{3B92A0EE-78CB-402C-AE0F-E81709808C72}" srcOrd="1" destOrd="0" presId="urn:microsoft.com/office/officeart/2005/8/layout/orgChart1"/>
    <dgm:cxn modelId="{8AAEFBAC-FB0C-44CD-AF81-AB8326EA1983}" type="presParOf" srcId="{13D5CD19-6BF8-42F9-B913-EC3E374092A8}" destId="{1C2F94A2-E3C4-4DCB-B0A5-69F9070F2DA0}" srcOrd="1" destOrd="0" presId="urn:microsoft.com/office/officeart/2005/8/layout/orgChart1"/>
    <dgm:cxn modelId="{8D7A1B9C-4D19-436D-9B36-8129AAFB5C77}" type="presParOf" srcId="{13D5CD19-6BF8-42F9-B913-EC3E374092A8}" destId="{DB9976BF-438C-48A6-B31B-5676FAFD527D}" srcOrd="2" destOrd="0" presId="urn:microsoft.com/office/officeart/2005/8/layout/orgChart1"/>
    <dgm:cxn modelId="{FD8960E0-59C7-47E2-A156-1283A8DDAEB0}" type="presParOf" srcId="{46D92591-2CE3-4618-8118-E5F90BE70898}" destId="{95C3B2CF-5835-4D17-B775-0DD89EC34718}" srcOrd="2" destOrd="0" presId="urn:microsoft.com/office/officeart/2005/8/layout/orgChart1"/>
    <dgm:cxn modelId="{E0B8F4E7-6FAE-4642-AD1E-218242506E85}" type="presParOf" srcId="{6CE8DCC9-37ED-4FBF-BA05-67937E368AC5}" destId="{9DE596BF-51D4-4BA4-BA6C-6A0FFC803E7E}"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A4AD67-2D3B-4F1F-9C44-D5AD2A8899FB}">
      <dsp:nvSpPr>
        <dsp:cNvPr id="0" name=""/>
        <dsp:cNvSpPr/>
      </dsp:nvSpPr>
      <dsp:spPr>
        <a:xfrm>
          <a:off x="2079136" y="0"/>
          <a:ext cx="1348154" cy="1348154"/>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EFB5E9-CBFB-45DD-99CC-121D01DDBB73}">
      <dsp:nvSpPr>
        <dsp:cNvPr id="0" name=""/>
        <dsp:cNvSpPr/>
      </dsp:nvSpPr>
      <dsp:spPr>
        <a:xfrm>
          <a:off x="2753213" y="134947"/>
          <a:ext cx="876300" cy="23961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x-none" sz="600" kern="1200"/>
            <a:t>Adunarea Generală a Acționarilor</a:t>
          </a:r>
          <a:endParaRPr lang="en-US" sz="600" kern="1200"/>
        </a:p>
      </dsp:txBody>
      <dsp:txXfrm>
        <a:off x="2764910" y="146644"/>
        <a:ext cx="852906" cy="216219"/>
      </dsp:txXfrm>
    </dsp:sp>
    <dsp:sp modelId="{84B0199C-F3C6-4B55-8598-F355DFFE75EE}">
      <dsp:nvSpPr>
        <dsp:cNvPr id="0" name=""/>
        <dsp:cNvSpPr/>
      </dsp:nvSpPr>
      <dsp:spPr>
        <a:xfrm>
          <a:off x="2753213" y="404512"/>
          <a:ext cx="876300" cy="23961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x-none" sz="600" kern="1200"/>
            <a:t>Consiliul de observatori</a:t>
          </a:r>
          <a:endParaRPr lang="en-US" sz="600" kern="1200"/>
        </a:p>
      </dsp:txBody>
      <dsp:txXfrm>
        <a:off x="2764910" y="416209"/>
        <a:ext cx="852906" cy="216219"/>
      </dsp:txXfrm>
    </dsp:sp>
    <dsp:sp modelId="{D7302BAA-ABCF-4AB6-8E07-B4B02459B9A8}">
      <dsp:nvSpPr>
        <dsp:cNvPr id="0" name=""/>
        <dsp:cNvSpPr/>
      </dsp:nvSpPr>
      <dsp:spPr>
        <a:xfrm>
          <a:off x="2753213" y="674077"/>
          <a:ext cx="876300" cy="23961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x-none" sz="600" kern="1200"/>
            <a:t>Consiliul de administrație</a:t>
          </a:r>
          <a:endParaRPr lang="en-US" sz="600" kern="1200"/>
        </a:p>
      </dsp:txBody>
      <dsp:txXfrm>
        <a:off x="2764910" y="685774"/>
        <a:ext cx="852906" cy="216219"/>
      </dsp:txXfrm>
    </dsp:sp>
    <dsp:sp modelId="{A724CC78-B3F3-4C35-BFDE-B02D4CFA59BD}">
      <dsp:nvSpPr>
        <dsp:cNvPr id="0" name=""/>
        <dsp:cNvSpPr/>
      </dsp:nvSpPr>
      <dsp:spPr>
        <a:xfrm>
          <a:off x="2753213" y="943641"/>
          <a:ext cx="876300" cy="23961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x-none" sz="600" kern="1200"/>
            <a:t>Comisia de cenzori</a:t>
          </a:r>
          <a:endParaRPr lang="en-US" sz="600" kern="1200"/>
        </a:p>
      </dsp:txBody>
      <dsp:txXfrm>
        <a:off x="2764910" y="955338"/>
        <a:ext cx="852906" cy="2162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C9ECEE-AD49-46BC-ABFF-E6B587B6D3C3}">
      <dsp:nvSpPr>
        <dsp:cNvPr id="0" name=""/>
        <dsp:cNvSpPr/>
      </dsp:nvSpPr>
      <dsp:spPr>
        <a:xfrm>
          <a:off x="5677533" y="1160926"/>
          <a:ext cx="115252" cy="1603770"/>
        </a:xfrm>
        <a:custGeom>
          <a:avLst/>
          <a:gdLst/>
          <a:ahLst/>
          <a:cxnLst/>
          <a:rect l="0" t="0" r="0" b="0"/>
          <a:pathLst>
            <a:path>
              <a:moveTo>
                <a:pt x="0" y="0"/>
              </a:moveTo>
              <a:lnTo>
                <a:pt x="0" y="1603770"/>
              </a:lnTo>
              <a:lnTo>
                <a:pt x="115252" y="16037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1C240D-D5A3-4389-9990-C8348AB5CD09}">
      <dsp:nvSpPr>
        <dsp:cNvPr id="0" name=""/>
        <dsp:cNvSpPr/>
      </dsp:nvSpPr>
      <dsp:spPr>
        <a:xfrm>
          <a:off x="3967322" y="384195"/>
          <a:ext cx="2458965" cy="332579"/>
        </a:xfrm>
        <a:custGeom>
          <a:avLst/>
          <a:gdLst/>
          <a:ahLst/>
          <a:cxnLst/>
          <a:rect l="0" t="0" r="0" b="0"/>
          <a:pathLst>
            <a:path>
              <a:moveTo>
                <a:pt x="0" y="0"/>
              </a:moveTo>
              <a:lnTo>
                <a:pt x="0" y="136031"/>
              </a:lnTo>
              <a:lnTo>
                <a:pt x="2458965" y="136031"/>
              </a:lnTo>
              <a:lnTo>
                <a:pt x="2458965" y="332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D30C8F-209E-458B-87FD-1C3E647EFA5F}">
      <dsp:nvSpPr>
        <dsp:cNvPr id="0" name=""/>
        <dsp:cNvSpPr/>
      </dsp:nvSpPr>
      <dsp:spPr>
        <a:xfrm>
          <a:off x="3225512" y="1142169"/>
          <a:ext cx="394275" cy="3543373"/>
        </a:xfrm>
        <a:custGeom>
          <a:avLst/>
          <a:gdLst/>
          <a:ahLst/>
          <a:cxnLst/>
          <a:rect l="0" t="0" r="0" b="0"/>
          <a:pathLst>
            <a:path>
              <a:moveTo>
                <a:pt x="0" y="0"/>
              </a:moveTo>
              <a:lnTo>
                <a:pt x="0" y="3543373"/>
              </a:lnTo>
              <a:lnTo>
                <a:pt x="394275" y="35433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DD304F-E144-4528-A678-FC34BE0FC563}">
      <dsp:nvSpPr>
        <dsp:cNvPr id="0" name=""/>
        <dsp:cNvSpPr/>
      </dsp:nvSpPr>
      <dsp:spPr>
        <a:xfrm>
          <a:off x="3225512" y="1142169"/>
          <a:ext cx="378645" cy="1523036"/>
        </a:xfrm>
        <a:custGeom>
          <a:avLst/>
          <a:gdLst/>
          <a:ahLst/>
          <a:cxnLst/>
          <a:rect l="0" t="0" r="0" b="0"/>
          <a:pathLst>
            <a:path>
              <a:moveTo>
                <a:pt x="0" y="0"/>
              </a:moveTo>
              <a:lnTo>
                <a:pt x="0" y="1523036"/>
              </a:lnTo>
              <a:lnTo>
                <a:pt x="378645" y="15230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27CE3C-075E-4C0C-A3D0-51D73D6AC0D9}">
      <dsp:nvSpPr>
        <dsp:cNvPr id="0" name=""/>
        <dsp:cNvSpPr/>
      </dsp:nvSpPr>
      <dsp:spPr>
        <a:xfrm>
          <a:off x="3921602" y="384195"/>
          <a:ext cx="91440" cy="314833"/>
        </a:xfrm>
        <a:custGeom>
          <a:avLst/>
          <a:gdLst/>
          <a:ahLst/>
          <a:cxnLst/>
          <a:rect l="0" t="0" r="0" b="0"/>
          <a:pathLst>
            <a:path>
              <a:moveTo>
                <a:pt x="45720" y="0"/>
              </a:moveTo>
              <a:lnTo>
                <a:pt x="45720" y="118285"/>
              </a:lnTo>
              <a:lnTo>
                <a:pt x="52664" y="118285"/>
              </a:lnTo>
              <a:lnTo>
                <a:pt x="52664" y="3148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D1E31-DF4B-470D-BE28-6C9D1FBB79B7}">
      <dsp:nvSpPr>
        <dsp:cNvPr id="0" name=""/>
        <dsp:cNvSpPr/>
      </dsp:nvSpPr>
      <dsp:spPr>
        <a:xfrm>
          <a:off x="1019251" y="1197156"/>
          <a:ext cx="144453" cy="3551109"/>
        </a:xfrm>
        <a:custGeom>
          <a:avLst/>
          <a:gdLst/>
          <a:ahLst/>
          <a:cxnLst/>
          <a:rect l="0" t="0" r="0" b="0"/>
          <a:pathLst>
            <a:path>
              <a:moveTo>
                <a:pt x="0" y="0"/>
              </a:moveTo>
              <a:lnTo>
                <a:pt x="0" y="3551109"/>
              </a:lnTo>
              <a:lnTo>
                <a:pt x="144453" y="35511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39B02-4EFE-44A4-B193-B5E5B189B535}">
      <dsp:nvSpPr>
        <dsp:cNvPr id="0" name=""/>
        <dsp:cNvSpPr/>
      </dsp:nvSpPr>
      <dsp:spPr>
        <a:xfrm>
          <a:off x="1019251" y="1197156"/>
          <a:ext cx="105405" cy="1458292"/>
        </a:xfrm>
        <a:custGeom>
          <a:avLst/>
          <a:gdLst/>
          <a:ahLst/>
          <a:cxnLst/>
          <a:rect l="0" t="0" r="0" b="0"/>
          <a:pathLst>
            <a:path>
              <a:moveTo>
                <a:pt x="0" y="0"/>
              </a:moveTo>
              <a:lnTo>
                <a:pt x="0" y="1458292"/>
              </a:lnTo>
              <a:lnTo>
                <a:pt x="105405" y="1458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001CDF-7B1B-4487-B2B2-AA3662972166}">
      <dsp:nvSpPr>
        <dsp:cNvPr id="0" name=""/>
        <dsp:cNvSpPr/>
      </dsp:nvSpPr>
      <dsp:spPr>
        <a:xfrm>
          <a:off x="1768006" y="384195"/>
          <a:ext cx="2199315" cy="331400"/>
        </a:xfrm>
        <a:custGeom>
          <a:avLst/>
          <a:gdLst/>
          <a:ahLst/>
          <a:cxnLst/>
          <a:rect l="0" t="0" r="0" b="0"/>
          <a:pathLst>
            <a:path>
              <a:moveTo>
                <a:pt x="2199315" y="0"/>
              </a:moveTo>
              <a:lnTo>
                <a:pt x="2199315" y="134852"/>
              </a:lnTo>
              <a:lnTo>
                <a:pt x="0" y="134852"/>
              </a:lnTo>
              <a:lnTo>
                <a:pt x="0" y="331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01AE44-A1CA-4EEE-B8A4-A93E6DCBBC08}">
      <dsp:nvSpPr>
        <dsp:cNvPr id="0" name=""/>
        <dsp:cNvSpPr/>
      </dsp:nvSpPr>
      <dsp:spPr>
        <a:xfrm>
          <a:off x="3031379" y="0"/>
          <a:ext cx="1871885" cy="3841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mj-lt"/>
            </a:rPr>
            <a:t>SA MOLDOVAGAZ</a:t>
          </a:r>
          <a:endParaRPr lang="en-US" sz="1100" kern="1200">
            <a:latin typeface="+mj-lt"/>
          </a:endParaRPr>
        </a:p>
      </dsp:txBody>
      <dsp:txXfrm>
        <a:off x="3031379" y="0"/>
        <a:ext cx="1871885" cy="384195"/>
      </dsp:txXfrm>
    </dsp:sp>
    <dsp:sp modelId="{BBAB21B4-E1DD-455B-9E36-2522D8D4F252}">
      <dsp:nvSpPr>
        <dsp:cNvPr id="0" name=""/>
        <dsp:cNvSpPr/>
      </dsp:nvSpPr>
      <dsp:spPr>
        <a:xfrm>
          <a:off x="832063" y="715595"/>
          <a:ext cx="1871885" cy="4815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mj-lt"/>
            </a:rPr>
            <a:t>Transportul și tranzitul gazelor naturale</a:t>
          </a:r>
          <a:endParaRPr lang="en-US" sz="1100" kern="1200">
            <a:latin typeface="+mj-lt"/>
          </a:endParaRPr>
        </a:p>
      </dsp:txBody>
      <dsp:txXfrm>
        <a:off x="832063" y="715595"/>
        <a:ext cx="1871885" cy="481561"/>
      </dsp:txXfrm>
    </dsp:sp>
    <dsp:sp modelId="{13D09C35-DDCD-42C1-8F7C-47BA9C0C6F3B}">
      <dsp:nvSpPr>
        <dsp:cNvPr id="0" name=""/>
        <dsp:cNvSpPr/>
      </dsp:nvSpPr>
      <dsp:spPr>
        <a:xfrm>
          <a:off x="1124657" y="2187477"/>
          <a:ext cx="1853859" cy="9359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kern="1200">
              <a:latin typeface="+mj-lt"/>
            </a:rPr>
            <a:t>SRL MOLDOVATRANSGAZ</a:t>
          </a:r>
          <a:endParaRPr lang="en-US" sz="800" kern="1200">
            <a:latin typeface="+mj-lt"/>
          </a:endParaRPr>
        </a:p>
      </dsp:txBody>
      <dsp:txXfrm>
        <a:off x="1124657" y="2187477"/>
        <a:ext cx="1853859" cy="935942"/>
      </dsp:txXfrm>
    </dsp:sp>
    <dsp:sp modelId="{4E802A88-FAAD-4CD6-9883-F2F261822B22}">
      <dsp:nvSpPr>
        <dsp:cNvPr id="0" name=""/>
        <dsp:cNvSpPr/>
      </dsp:nvSpPr>
      <dsp:spPr>
        <a:xfrm>
          <a:off x="1163705" y="4280294"/>
          <a:ext cx="1875517" cy="9359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kern="1200">
              <a:latin typeface="+mj-lt"/>
            </a:rPr>
            <a:t>SRL TIRASPOLTRANSGAZ</a:t>
          </a:r>
          <a:endParaRPr lang="en-US" sz="800" kern="1200">
            <a:latin typeface="+mj-lt"/>
          </a:endParaRPr>
        </a:p>
      </dsp:txBody>
      <dsp:txXfrm>
        <a:off x="1163705" y="4280294"/>
        <a:ext cx="1875517" cy="935942"/>
      </dsp:txXfrm>
    </dsp:sp>
    <dsp:sp modelId="{BBD47165-A218-4226-BB29-3E15ACF6287A}">
      <dsp:nvSpPr>
        <dsp:cNvPr id="0" name=""/>
        <dsp:cNvSpPr/>
      </dsp:nvSpPr>
      <dsp:spPr>
        <a:xfrm>
          <a:off x="3038323" y="699029"/>
          <a:ext cx="1871885" cy="4431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mj-lt"/>
            </a:rPr>
            <a:t>Distribuția gazelor naturale</a:t>
          </a:r>
          <a:endParaRPr lang="en-US" sz="1100" kern="1200">
            <a:latin typeface="+mj-lt"/>
          </a:endParaRPr>
        </a:p>
      </dsp:txBody>
      <dsp:txXfrm>
        <a:off x="3038323" y="699029"/>
        <a:ext cx="1871885" cy="443140"/>
      </dsp:txXfrm>
    </dsp:sp>
    <dsp:sp modelId="{FE2C50DE-AA4F-4F47-921F-A8A78AAEFD11}">
      <dsp:nvSpPr>
        <dsp:cNvPr id="0" name=""/>
        <dsp:cNvSpPr/>
      </dsp:nvSpPr>
      <dsp:spPr>
        <a:xfrm>
          <a:off x="3604157" y="1591665"/>
          <a:ext cx="1764570" cy="21470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o-RO" sz="800" kern="1200">
              <a:latin typeface="+mj-lt"/>
            </a:rPr>
            <a:t>1. SRL CHIȘINĂU-GAZ</a:t>
          </a:r>
        </a:p>
        <a:p>
          <a:pPr lvl="0" algn="l" defTabSz="355600">
            <a:lnSpc>
              <a:spcPct val="90000"/>
            </a:lnSpc>
            <a:spcBef>
              <a:spcPct val="0"/>
            </a:spcBef>
            <a:spcAft>
              <a:spcPct val="35000"/>
            </a:spcAft>
          </a:pPr>
          <a:r>
            <a:rPr lang="ro-RO" sz="800" kern="1200">
              <a:latin typeface="+mj-lt"/>
            </a:rPr>
            <a:t>2. SRL IALOVENI-GAZ</a:t>
          </a:r>
        </a:p>
        <a:p>
          <a:pPr lvl="0" algn="l" defTabSz="355600">
            <a:lnSpc>
              <a:spcPct val="90000"/>
            </a:lnSpc>
            <a:spcBef>
              <a:spcPct val="0"/>
            </a:spcBef>
            <a:spcAft>
              <a:spcPct val="35000"/>
            </a:spcAft>
          </a:pPr>
          <a:r>
            <a:rPr lang="ro-RO" sz="800" kern="1200">
              <a:latin typeface="+mj-lt"/>
            </a:rPr>
            <a:t>3. SRL UNGHENI-GAZ</a:t>
          </a:r>
        </a:p>
        <a:p>
          <a:pPr lvl="0" algn="l" defTabSz="355600">
            <a:lnSpc>
              <a:spcPct val="90000"/>
            </a:lnSpc>
            <a:spcBef>
              <a:spcPct val="0"/>
            </a:spcBef>
            <a:spcAft>
              <a:spcPct val="35000"/>
            </a:spcAft>
          </a:pPr>
          <a:r>
            <a:rPr lang="ro-RO" sz="800" kern="1200">
              <a:latin typeface="+mj-lt"/>
            </a:rPr>
            <a:t>4. SRL EDINEȚ-GAZ</a:t>
          </a:r>
        </a:p>
        <a:p>
          <a:pPr lvl="0" algn="l" defTabSz="355600">
            <a:lnSpc>
              <a:spcPct val="90000"/>
            </a:lnSpc>
            <a:spcBef>
              <a:spcPct val="0"/>
            </a:spcBef>
            <a:spcAft>
              <a:spcPct val="35000"/>
            </a:spcAft>
          </a:pPr>
          <a:r>
            <a:rPr lang="ro-RO" sz="800" kern="1200">
              <a:latin typeface="+mj-lt"/>
            </a:rPr>
            <a:t>5. SRL FLOREȘTI-GAZ</a:t>
          </a:r>
        </a:p>
        <a:p>
          <a:pPr lvl="0" algn="l" defTabSz="355600">
            <a:lnSpc>
              <a:spcPct val="90000"/>
            </a:lnSpc>
            <a:spcBef>
              <a:spcPct val="0"/>
            </a:spcBef>
            <a:spcAft>
              <a:spcPct val="35000"/>
            </a:spcAft>
          </a:pPr>
          <a:r>
            <a:rPr lang="ro-RO" sz="800" kern="1200">
              <a:latin typeface="+mj-lt"/>
            </a:rPr>
            <a:t>6. SRL ORHEI-GAZ</a:t>
          </a:r>
        </a:p>
        <a:p>
          <a:pPr lvl="0" algn="l" defTabSz="355600">
            <a:lnSpc>
              <a:spcPct val="90000"/>
            </a:lnSpc>
            <a:spcBef>
              <a:spcPct val="0"/>
            </a:spcBef>
            <a:spcAft>
              <a:spcPct val="35000"/>
            </a:spcAft>
          </a:pPr>
          <a:r>
            <a:rPr lang="ro-RO" sz="800" kern="1200">
              <a:latin typeface="+mj-lt"/>
            </a:rPr>
            <a:t>7. SRL CIMIȘLIA-GAZ</a:t>
          </a:r>
        </a:p>
        <a:p>
          <a:pPr lvl="0" algn="l" defTabSz="355600">
            <a:lnSpc>
              <a:spcPct val="90000"/>
            </a:lnSpc>
            <a:spcBef>
              <a:spcPct val="0"/>
            </a:spcBef>
            <a:spcAft>
              <a:spcPct val="35000"/>
            </a:spcAft>
          </a:pPr>
          <a:r>
            <a:rPr lang="ro-RO" sz="800" kern="1200">
              <a:latin typeface="+mj-lt"/>
            </a:rPr>
            <a:t>8. SRL ȘTEFAN VODĂ-GAZ</a:t>
          </a:r>
        </a:p>
        <a:p>
          <a:pPr lvl="0" algn="l" defTabSz="355600">
            <a:lnSpc>
              <a:spcPct val="90000"/>
            </a:lnSpc>
            <a:spcBef>
              <a:spcPct val="0"/>
            </a:spcBef>
            <a:spcAft>
              <a:spcPct val="35000"/>
            </a:spcAft>
          </a:pPr>
          <a:r>
            <a:rPr lang="ro-RO" sz="800" kern="1200">
              <a:latin typeface="+mj-lt"/>
            </a:rPr>
            <a:t>9. SRL GĂGĂUZ-GAZ</a:t>
          </a:r>
        </a:p>
        <a:p>
          <a:pPr lvl="0" algn="l" defTabSz="355600">
            <a:lnSpc>
              <a:spcPct val="90000"/>
            </a:lnSpc>
            <a:spcBef>
              <a:spcPct val="0"/>
            </a:spcBef>
            <a:spcAft>
              <a:spcPct val="35000"/>
            </a:spcAft>
          </a:pPr>
          <a:r>
            <a:rPr lang="ro-RO" sz="800" kern="1200">
              <a:latin typeface="+mj-lt"/>
            </a:rPr>
            <a:t>10. SRL CAHUL-GAZ</a:t>
          </a:r>
        </a:p>
        <a:p>
          <a:pPr lvl="0" algn="l" defTabSz="355600">
            <a:lnSpc>
              <a:spcPct val="90000"/>
            </a:lnSpc>
            <a:spcBef>
              <a:spcPct val="0"/>
            </a:spcBef>
            <a:spcAft>
              <a:spcPct val="35000"/>
            </a:spcAft>
          </a:pPr>
          <a:r>
            <a:rPr lang="ro-RO" sz="800" kern="1200">
              <a:latin typeface="+mj-lt"/>
            </a:rPr>
            <a:t>11. SRL TARACLIA-GAZ</a:t>
          </a:r>
        </a:p>
        <a:p>
          <a:pPr lvl="0" algn="l" defTabSz="355600">
            <a:lnSpc>
              <a:spcPct val="90000"/>
            </a:lnSpc>
            <a:spcBef>
              <a:spcPct val="0"/>
            </a:spcBef>
            <a:spcAft>
              <a:spcPct val="35000"/>
            </a:spcAft>
          </a:pPr>
          <a:r>
            <a:rPr lang="ro-RO" sz="800" kern="1200">
              <a:latin typeface="+mj-lt"/>
            </a:rPr>
            <a:t>12. SRL BĂLȚI-GAZ</a:t>
          </a:r>
        </a:p>
      </dsp:txBody>
      <dsp:txXfrm>
        <a:off x="3604157" y="1591665"/>
        <a:ext cx="1764570" cy="2147081"/>
      </dsp:txXfrm>
    </dsp:sp>
    <dsp:sp modelId="{F5AE1561-A0BA-49AA-A97A-A9FA095483E0}">
      <dsp:nvSpPr>
        <dsp:cNvPr id="0" name=""/>
        <dsp:cNvSpPr/>
      </dsp:nvSpPr>
      <dsp:spPr>
        <a:xfrm>
          <a:off x="3619787" y="4154849"/>
          <a:ext cx="1711577" cy="10613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o-RO" sz="800" kern="1200">
              <a:latin typeface="+mj-lt"/>
            </a:rPr>
            <a:t>1. SRL TIRASPOL-GAZ</a:t>
          </a:r>
        </a:p>
        <a:p>
          <a:pPr lvl="0" algn="l" defTabSz="355600">
            <a:lnSpc>
              <a:spcPct val="90000"/>
            </a:lnSpc>
            <a:spcBef>
              <a:spcPct val="0"/>
            </a:spcBef>
            <a:spcAft>
              <a:spcPct val="35000"/>
            </a:spcAft>
          </a:pPr>
          <a:r>
            <a:rPr lang="ro-RO" sz="800" kern="1200">
              <a:latin typeface="+mj-lt"/>
            </a:rPr>
            <a:t>2. SRL BENDER-GAZ</a:t>
          </a:r>
        </a:p>
        <a:p>
          <a:pPr lvl="0" algn="l" defTabSz="355600">
            <a:lnSpc>
              <a:spcPct val="90000"/>
            </a:lnSpc>
            <a:spcBef>
              <a:spcPct val="0"/>
            </a:spcBef>
            <a:spcAft>
              <a:spcPct val="35000"/>
            </a:spcAft>
          </a:pPr>
          <a:r>
            <a:rPr lang="ro-RO" sz="800" kern="1200">
              <a:latin typeface="+mj-lt"/>
            </a:rPr>
            <a:t>3. SRL RÎBNIȚA-GAZ</a:t>
          </a:r>
        </a:p>
        <a:p>
          <a:pPr lvl="0" algn="l" defTabSz="355600">
            <a:lnSpc>
              <a:spcPct val="90000"/>
            </a:lnSpc>
            <a:spcBef>
              <a:spcPct val="0"/>
            </a:spcBef>
            <a:spcAft>
              <a:spcPct val="35000"/>
            </a:spcAft>
          </a:pPr>
          <a:r>
            <a:rPr lang="ro-RO" sz="800" kern="1200">
              <a:latin typeface="+mj-lt"/>
            </a:rPr>
            <a:t>4. SRL DUBĂSARI-GAZ</a:t>
          </a:r>
        </a:p>
        <a:p>
          <a:pPr lvl="0" algn="l" defTabSz="355600">
            <a:lnSpc>
              <a:spcPct val="90000"/>
            </a:lnSpc>
            <a:spcBef>
              <a:spcPct val="0"/>
            </a:spcBef>
            <a:spcAft>
              <a:spcPct val="35000"/>
            </a:spcAft>
          </a:pPr>
          <a:r>
            <a:rPr lang="ro-RO" sz="800" kern="1200">
              <a:latin typeface="+mj-lt"/>
            </a:rPr>
            <a:t>5. SRL SLOBOZIA-GAZ</a:t>
          </a:r>
        </a:p>
        <a:p>
          <a:pPr lvl="0" algn="l" defTabSz="355600">
            <a:lnSpc>
              <a:spcPct val="90000"/>
            </a:lnSpc>
            <a:spcBef>
              <a:spcPct val="0"/>
            </a:spcBef>
            <a:spcAft>
              <a:spcPct val="35000"/>
            </a:spcAft>
          </a:pPr>
          <a:r>
            <a:rPr lang="ro-RO" sz="800" kern="1200">
              <a:latin typeface="+mj-lt"/>
            </a:rPr>
            <a:t>6.  SRL GRIGORIOPOL-GAZ</a:t>
          </a:r>
          <a:endParaRPr lang="en-US" sz="800" kern="1200">
            <a:latin typeface="+mj-lt"/>
          </a:endParaRPr>
        </a:p>
      </dsp:txBody>
      <dsp:txXfrm>
        <a:off x="3619787" y="4154849"/>
        <a:ext cx="1711577" cy="1061387"/>
      </dsp:txXfrm>
    </dsp:sp>
    <dsp:sp modelId="{1E44AC82-72E5-47DD-BE33-3B8F538C0C4C}">
      <dsp:nvSpPr>
        <dsp:cNvPr id="0" name=""/>
        <dsp:cNvSpPr/>
      </dsp:nvSpPr>
      <dsp:spPr>
        <a:xfrm>
          <a:off x="5490344" y="716774"/>
          <a:ext cx="1871885" cy="4441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mj-lt"/>
            </a:rPr>
            <a:t>Alte activități</a:t>
          </a:r>
          <a:endParaRPr lang="en-US" sz="1100" kern="1200">
            <a:latin typeface="+mj-lt"/>
          </a:endParaRPr>
        </a:p>
      </dsp:txBody>
      <dsp:txXfrm>
        <a:off x="5490344" y="716774"/>
        <a:ext cx="1871885" cy="444151"/>
      </dsp:txXfrm>
    </dsp:sp>
    <dsp:sp modelId="{51F35306-E8FB-45B1-8DDC-5ADAC3ECFF9D}">
      <dsp:nvSpPr>
        <dsp:cNvPr id="0" name=""/>
        <dsp:cNvSpPr/>
      </dsp:nvSpPr>
      <dsp:spPr>
        <a:xfrm>
          <a:off x="5792785" y="2107772"/>
          <a:ext cx="2601846" cy="1313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o-RO" sz="800" kern="1200">
              <a:latin typeface="+mj-lt"/>
            </a:rPr>
            <a:t>1.SRL FLACĂRA ALBASTRĂ</a:t>
          </a:r>
        </a:p>
        <a:p>
          <a:pPr lvl="0" algn="l" defTabSz="355600">
            <a:lnSpc>
              <a:spcPct val="90000"/>
            </a:lnSpc>
            <a:spcBef>
              <a:spcPct val="0"/>
            </a:spcBef>
            <a:spcAft>
              <a:spcPct val="35000"/>
            </a:spcAft>
          </a:pPr>
          <a:r>
            <a:rPr lang="ro-RO" sz="800" kern="1200">
              <a:latin typeface="+mj-lt"/>
            </a:rPr>
            <a:t>2. SRL ÎNTREPRINDEREA DE APROVIZIONARE ȘI LIVRARE A GAZELOR STRĂȘENI </a:t>
          </a:r>
          <a:r>
            <a:rPr lang="ro-RO" sz="800" b="1" kern="1200">
              <a:solidFill>
                <a:srgbClr val="FF0000"/>
              </a:solidFill>
              <a:latin typeface="+mj-lt"/>
            </a:rPr>
            <a:t>(În curs de lichidare)</a:t>
          </a:r>
        </a:p>
        <a:p>
          <a:pPr lvl="0" algn="l" defTabSz="355600">
            <a:lnSpc>
              <a:spcPct val="90000"/>
            </a:lnSpc>
            <a:spcBef>
              <a:spcPct val="0"/>
            </a:spcBef>
            <a:spcAft>
              <a:spcPct val="35000"/>
            </a:spcAft>
          </a:pPr>
          <a:r>
            <a:rPr lang="ro-RO" sz="800" kern="1200">
              <a:latin typeface="+mj-lt"/>
            </a:rPr>
            <a:t>3. SRL COMPLETGAZ </a:t>
          </a:r>
          <a:r>
            <a:rPr lang="ro-RO" sz="800" b="1" kern="1200">
              <a:solidFill>
                <a:srgbClr val="FF0000"/>
              </a:solidFill>
              <a:latin typeface="+mj-lt"/>
            </a:rPr>
            <a:t>(Lichidată în 2022)</a:t>
          </a:r>
        </a:p>
        <a:p>
          <a:pPr lvl="0" algn="l" defTabSz="355600">
            <a:lnSpc>
              <a:spcPct val="90000"/>
            </a:lnSpc>
            <a:spcBef>
              <a:spcPct val="0"/>
            </a:spcBef>
            <a:spcAft>
              <a:spcPct val="35000"/>
            </a:spcAft>
          </a:pPr>
          <a:r>
            <a:rPr lang="ro-RO" sz="800" b="0" kern="1200">
              <a:solidFill>
                <a:schemeClr val="bg1"/>
              </a:solidFill>
              <a:latin typeface="+mj-lt"/>
            </a:rPr>
            <a:t>4. SRL TRANSAUTOGAZ </a:t>
          </a:r>
        </a:p>
        <a:p>
          <a:pPr lvl="0" algn="l" defTabSz="355600">
            <a:lnSpc>
              <a:spcPct val="90000"/>
            </a:lnSpc>
            <a:spcBef>
              <a:spcPct val="0"/>
            </a:spcBef>
            <a:spcAft>
              <a:spcPct val="35000"/>
            </a:spcAft>
          </a:pPr>
          <a:r>
            <a:rPr lang="ro-RO" sz="800" b="0" kern="1200">
              <a:solidFill>
                <a:schemeClr val="bg1"/>
              </a:solidFill>
              <a:latin typeface="+mj-lt"/>
            </a:rPr>
            <a:t>5. SRL REALEXPRESS-GAZ </a:t>
          </a:r>
        </a:p>
        <a:p>
          <a:pPr lvl="0" algn="l" defTabSz="355600">
            <a:lnSpc>
              <a:spcPct val="90000"/>
            </a:lnSpc>
            <a:spcBef>
              <a:spcPct val="0"/>
            </a:spcBef>
            <a:spcAft>
              <a:spcPct val="35000"/>
            </a:spcAft>
          </a:pPr>
          <a:r>
            <a:rPr lang="ro-RO" sz="800" b="0" kern="1200">
              <a:solidFill>
                <a:schemeClr val="bg1"/>
              </a:solidFill>
              <a:latin typeface="+mj-lt"/>
            </a:rPr>
            <a:t>6. </a:t>
          </a:r>
          <a:r>
            <a:rPr lang="ro-RO" sz="800" kern="1200">
              <a:latin typeface="+mj-lt"/>
            </a:rPr>
            <a:t>SRL BĂLȚI-GAZ-MONTAJ</a:t>
          </a:r>
          <a:endParaRPr lang="ro-RO" sz="800" b="0" kern="1200">
            <a:solidFill>
              <a:schemeClr val="bg1"/>
            </a:solidFill>
            <a:latin typeface="+mj-lt"/>
          </a:endParaRPr>
        </a:p>
      </dsp:txBody>
      <dsp:txXfrm>
        <a:off x="5792785" y="2107772"/>
        <a:ext cx="2601846" cy="131384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65FF-326D-4548-8224-C81FDAEA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62249</Words>
  <Characters>354822</Characters>
  <Application>Microsoft Office Word</Application>
  <DocSecurity>0</DocSecurity>
  <Lines>2956</Lines>
  <Paragraphs>832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3</cp:revision>
  <cp:lastPrinted>2022-11-16T10:19:00Z</cp:lastPrinted>
  <dcterms:created xsi:type="dcterms:W3CDTF">2022-11-29T11:16:00Z</dcterms:created>
  <dcterms:modified xsi:type="dcterms:W3CDTF">2022-11-29T11:16:00Z</dcterms:modified>
</cp:coreProperties>
</file>