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9C" w:rsidRPr="006D6099" w:rsidRDefault="00125D9C" w:rsidP="00125D9C">
      <w:pPr>
        <w:tabs>
          <w:tab w:val="left" w:pos="720"/>
        </w:tabs>
        <w:spacing w:after="0" w:line="276" w:lineRule="auto"/>
        <w:jc w:val="right"/>
        <w:rPr>
          <w:rFonts w:asciiTheme="majorHAnsi" w:eastAsia="Times New Roman" w:hAnsiTheme="majorHAnsi" w:cs="Times New Roman"/>
          <w:bCs/>
          <w:sz w:val="28"/>
          <w:szCs w:val="28"/>
          <w:lang w:val="ro-MD"/>
        </w:rPr>
      </w:pPr>
      <w:bookmarkStart w:id="0" w:name="_GoBack"/>
      <w:bookmarkEnd w:id="0"/>
      <w:r w:rsidRPr="006D6099">
        <w:rPr>
          <w:rFonts w:asciiTheme="majorHAnsi" w:eastAsia="Times New Roman" w:hAnsiTheme="majorHAnsi" w:cs="Times New Roman"/>
          <w:bCs/>
          <w:sz w:val="28"/>
          <w:szCs w:val="28"/>
          <w:lang w:val="ro-MD"/>
        </w:rPr>
        <w:t xml:space="preserve">Anexă </w:t>
      </w:r>
    </w:p>
    <w:p w:rsidR="00125D9C" w:rsidRPr="006D6099" w:rsidRDefault="00125D9C" w:rsidP="00125D9C">
      <w:pPr>
        <w:tabs>
          <w:tab w:val="left" w:pos="720"/>
        </w:tabs>
        <w:spacing w:after="0" w:line="276" w:lineRule="auto"/>
        <w:jc w:val="right"/>
        <w:rPr>
          <w:rFonts w:asciiTheme="majorHAnsi" w:eastAsia="Times New Roman" w:hAnsiTheme="majorHAnsi" w:cs="Times New Roman"/>
          <w:bCs/>
          <w:sz w:val="28"/>
          <w:szCs w:val="28"/>
          <w:lang w:val="ro-MD"/>
        </w:rPr>
      </w:pPr>
      <w:r w:rsidRPr="006D6099">
        <w:rPr>
          <w:rFonts w:asciiTheme="majorHAnsi" w:eastAsia="Times New Roman" w:hAnsiTheme="majorHAnsi" w:cs="Times New Roman"/>
          <w:bCs/>
          <w:sz w:val="28"/>
          <w:szCs w:val="28"/>
          <w:lang w:val="ro-MD"/>
        </w:rPr>
        <w:t xml:space="preserve">la Hotărârea Curții de Conturi </w:t>
      </w:r>
    </w:p>
    <w:p w:rsidR="00125D9C" w:rsidRPr="006D6099" w:rsidRDefault="00546162" w:rsidP="00125D9C">
      <w:pPr>
        <w:tabs>
          <w:tab w:val="left" w:pos="720"/>
        </w:tabs>
        <w:spacing w:after="0" w:line="276" w:lineRule="auto"/>
        <w:jc w:val="right"/>
        <w:rPr>
          <w:rFonts w:asciiTheme="majorHAnsi" w:eastAsia="Times New Roman" w:hAnsiTheme="majorHAnsi" w:cs="Times New Roman"/>
          <w:bCs/>
          <w:sz w:val="28"/>
          <w:szCs w:val="28"/>
          <w:lang w:val="ro-MD"/>
        </w:rPr>
      </w:pPr>
      <w:r>
        <w:rPr>
          <w:rFonts w:asciiTheme="majorHAnsi" w:eastAsia="Times New Roman" w:hAnsiTheme="majorHAnsi" w:cs="Times New Roman"/>
          <w:bCs/>
          <w:sz w:val="28"/>
          <w:szCs w:val="28"/>
          <w:lang w:val="ro-MD"/>
        </w:rPr>
        <w:t>nr.</w:t>
      </w:r>
      <w:r w:rsidR="009C7744">
        <w:rPr>
          <w:rFonts w:asciiTheme="majorHAnsi" w:eastAsia="Times New Roman" w:hAnsiTheme="majorHAnsi" w:cs="Times New Roman"/>
          <w:bCs/>
          <w:sz w:val="28"/>
          <w:szCs w:val="28"/>
          <w:lang w:val="ro-MD"/>
        </w:rPr>
        <w:t xml:space="preserve"> 23</w:t>
      </w:r>
      <w:r w:rsidR="003E1994">
        <w:rPr>
          <w:rFonts w:asciiTheme="majorHAnsi" w:eastAsia="Times New Roman" w:hAnsiTheme="majorHAnsi" w:cs="Times New Roman"/>
          <w:bCs/>
          <w:sz w:val="28"/>
          <w:szCs w:val="28"/>
          <w:lang w:val="ro-MD"/>
        </w:rPr>
        <w:t xml:space="preserve"> din 27</w:t>
      </w:r>
      <w:r w:rsidR="005025C5">
        <w:rPr>
          <w:rFonts w:asciiTheme="majorHAnsi" w:eastAsia="Times New Roman" w:hAnsiTheme="majorHAnsi" w:cs="Times New Roman"/>
          <w:bCs/>
          <w:sz w:val="28"/>
          <w:szCs w:val="28"/>
          <w:lang w:val="ro-MD"/>
        </w:rPr>
        <w:t xml:space="preserve"> </w:t>
      </w:r>
      <w:r w:rsidR="003E1994">
        <w:rPr>
          <w:rFonts w:asciiTheme="majorHAnsi" w:eastAsia="Times New Roman" w:hAnsiTheme="majorHAnsi" w:cs="Times New Roman"/>
          <w:bCs/>
          <w:sz w:val="28"/>
          <w:szCs w:val="28"/>
          <w:lang w:val="ro-MD"/>
        </w:rPr>
        <w:t>mai 2022</w:t>
      </w:r>
    </w:p>
    <w:p w:rsidR="00125D9C" w:rsidRPr="006D6099" w:rsidRDefault="00125D9C" w:rsidP="00125D9C">
      <w:pPr>
        <w:spacing w:after="0" w:line="276" w:lineRule="auto"/>
        <w:rPr>
          <w:rFonts w:asciiTheme="majorHAnsi" w:hAnsiTheme="majorHAnsi"/>
          <w:lang w:val="ro-MD"/>
        </w:rPr>
      </w:pPr>
    </w:p>
    <w:p w:rsidR="00125D9C" w:rsidRDefault="00125D9C" w:rsidP="00125D9C">
      <w:pPr>
        <w:spacing w:after="0" w:line="240" w:lineRule="auto"/>
        <w:rPr>
          <w:rFonts w:asciiTheme="majorHAnsi" w:hAnsiTheme="majorHAnsi" w:cstheme="majorHAnsi"/>
        </w:rPr>
      </w:pPr>
    </w:p>
    <w:p w:rsidR="003E33AE" w:rsidRPr="002E7B54" w:rsidRDefault="003E33AE" w:rsidP="00125D9C">
      <w:pPr>
        <w:spacing w:after="0" w:line="240" w:lineRule="auto"/>
        <w:rPr>
          <w:rFonts w:asciiTheme="majorHAnsi" w:hAnsiTheme="majorHAnsi" w:cstheme="majorHAnsi"/>
        </w:rPr>
      </w:pPr>
    </w:p>
    <w:p w:rsidR="00125D9C" w:rsidRPr="002E7B54" w:rsidRDefault="00125D9C" w:rsidP="00125D9C">
      <w:pPr>
        <w:spacing w:after="0" w:line="240" w:lineRule="auto"/>
        <w:rPr>
          <w:rFonts w:asciiTheme="majorHAnsi" w:hAnsiTheme="majorHAnsi" w:cstheme="majorHAnsi"/>
        </w:rPr>
      </w:pPr>
    </w:p>
    <w:p w:rsidR="00125D9C" w:rsidRPr="002E7B54" w:rsidRDefault="00125D9C" w:rsidP="00125D9C">
      <w:pPr>
        <w:spacing w:after="0" w:line="240" w:lineRule="auto"/>
        <w:jc w:val="center"/>
        <w:rPr>
          <w:rFonts w:asciiTheme="majorHAnsi" w:hAnsiTheme="majorHAnsi" w:cstheme="majorHAnsi"/>
          <w:b/>
          <w:sz w:val="28"/>
          <w:szCs w:val="28"/>
        </w:rPr>
      </w:pPr>
    </w:p>
    <w:p w:rsidR="00125D9C" w:rsidRPr="002E7B54" w:rsidRDefault="00AB34DC" w:rsidP="00113C19">
      <w:pPr>
        <w:spacing w:after="0" w:line="240" w:lineRule="auto"/>
        <w:rPr>
          <w:rFonts w:asciiTheme="majorHAnsi" w:hAnsiTheme="majorHAnsi" w:cstheme="majorHAnsi"/>
          <w:b/>
          <w:sz w:val="28"/>
          <w:szCs w:val="28"/>
        </w:rPr>
      </w:pPr>
      <w:r>
        <w:rPr>
          <w:rFonts w:asciiTheme="majorHAnsi" w:hAnsiTheme="majorHAnsi" w:cstheme="majorHAnsi"/>
          <w:b/>
          <w:noProof/>
          <w:sz w:val="28"/>
          <w:szCs w:val="28"/>
          <w:lang w:val="ru-RU" w:eastAsia="ru-RU"/>
        </w:rPr>
        <w:drawing>
          <wp:anchor distT="0" distB="0" distL="114300" distR="114300" simplePos="0" relativeHeight="251658240" behindDoc="0" locked="0" layoutInCell="1" allowOverlap="1">
            <wp:simplePos x="0" y="0"/>
            <wp:positionH relativeFrom="column">
              <wp:posOffset>2278380</wp:posOffset>
            </wp:positionH>
            <wp:positionV relativeFrom="paragraph">
              <wp:posOffset>106824</wp:posOffset>
            </wp:positionV>
            <wp:extent cx="1037492" cy="1041795"/>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7492" cy="1041795"/>
                    </a:xfrm>
                    <a:prstGeom prst="rect">
                      <a:avLst/>
                    </a:prstGeom>
                    <a:noFill/>
                  </pic:spPr>
                </pic:pic>
              </a:graphicData>
            </a:graphic>
          </wp:anchor>
        </w:drawing>
      </w:r>
      <w:r w:rsidR="00113C19">
        <w:rPr>
          <w:rFonts w:asciiTheme="majorHAnsi" w:hAnsiTheme="majorHAnsi" w:cstheme="majorHAnsi"/>
          <w:b/>
          <w:sz w:val="28"/>
          <w:szCs w:val="28"/>
        </w:rPr>
        <w:br w:type="textWrapping" w:clear="all"/>
      </w:r>
    </w:p>
    <w:p w:rsidR="00125D9C" w:rsidRPr="002E7B54" w:rsidRDefault="00125D9C" w:rsidP="00125D9C">
      <w:pPr>
        <w:spacing w:after="0" w:line="240" w:lineRule="auto"/>
        <w:jc w:val="center"/>
        <w:rPr>
          <w:rFonts w:asciiTheme="majorHAnsi" w:hAnsiTheme="majorHAnsi" w:cstheme="majorHAnsi"/>
          <w:b/>
          <w:sz w:val="28"/>
          <w:szCs w:val="28"/>
        </w:rPr>
      </w:pPr>
    </w:p>
    <w:p w:rsidR="00125D9C" w:rsidRPr="002E7B54" w:rsidRDefault="00125D9C" w:rsidP="00125D9C">
      <w:pPr>
        <w:spacing w:after="0" w:line="240" w:lineRule="auto"/>
        <w:jc w:val="center"/>
        <w:rPr>
          <w:rFonts w:asciiTheme="majorHAnsi" w:hAnsiTheme="majorHAnsi" w:cstheme="majorHAnsi"/>
          <w:b/>
          <w:sz w:val="28"/>
          <w:szCs w:val="28"/>
        </w:rPr>
      </w:pPr>
    </w:p>
    <w:p w:rsidR="00125D9C" w:rsidRPr="002E7B54" w:rsidRDefault="00125D9C" w:rsidP="00125D9C">
      <w:pPr>
        <w:spacing w:after="0" w:line="240" w:lineRule="auto"/>
        <w:jc w:val="center"/>
        <w:rPr>
          <w:rFonts w:asciiTheme="majorHAnsi" w:hAnsiTheme="majorHAnsi" w:cstheme="majorHAnsi"/>
          <w:b/>
          <w:sz w:val="28"/>
          <w:szCs w:val="28"/>
        </w:rPr>
      </w:pPr>
    </w:p>
    <w:p w:rsidR="00125D9C" w:rsidRPr="002E7B54" w:rsidRDefault="00125D9C" w:rsidP="00125D9C">
      <w:pPr>
        <w:spacing w:after="0" w:line="240" w:lineRule="auto"/>
        <w:jc w:val="center"/>
        <w:rPr>
          <w:rFonts w:asciiTheme="majorHAnsi" w:hAnsiTheme="majorHAnsi" w:cstheme="majorHAnsi"/>
          <w:b/>
          <w:sz w:val="28"/>
          <w:szCs w:val="28"/>
        </w:rPr>
      </w:pPr>
      <w:r w:rsidRPr="002E7B54">
        <w:rPr>
          <w:rFonts w:asciiTheme="majorHAnsi" w:hAnsiTheme="majorHAnsi" w:cstheme="majorHAnsi"/>
          <w:b/>
          <w:sz w:val="28"/>
          <w:szCs w:val="28"/>
        </w:rPr>
        <w:t>CURTEA DE CONTURI A REPUBLICII MOLDOVA</w:t>
      </w:r>
    </w:p>
    <w:tbl>
      <w:tblPr>
        <w:tblStyle w:val="a3"/>
        <w:tblW w:w="0" w:type="auto"/>
        <w:tblBorders>
          <w:top w:val="thinThickSmallGap" w:sz="12" w:space="0" w:color="auto"/>
          <w:left w:val="none" w:sz="0" w:space="0" w:color="auto"/>
          <w:bottom w:val="thickThinSmallGap" w:sz="12"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125D9C" w:rsidRPr="00C860B2" w:rsidTr="00923B6C">
        <w:trPr>
          <w:trHeight w:val="435"/>
        </w:trPr>
        <w:tc>
          <w:tcPr>
            <w:tcW w:w="9026" w:type="dxa"/>
          </w:tcPr>
          <w:p w:rsidR="00125D9C" w:rsidRPr="006D6099" w:rsidRDefault="00125D9C" w:rsidP="00923B6C">
            <w:pPr>
              <w:tabs>
                <w:tab w:val="left" w:pos="0"/>
              </w:tabs>
              <w:spacing w:line="276" w:lineRule="auto"/>
              <w:jc w:val="center"/>
              <w:rPr>
                <w:rFonts w:asciiTheme="majorHAnsi" w:hAnsiTheme="majorHAnsi" w:cstheme="majorHAnsi"/>
                <w:b/>
                <w:i/>
                <w:lang w:val="ro-MD"/>
              </w:rPr>
            </w:pPr>
            <w:r w:rsidRPr="006D6099">
              <w:rPr>
                <w:rFonts w:asciiTheme="majorHAnsi" w:hAnsiTheme="majorHAnsi" w:cstheme="majorHAnsi"/>
                <w:sz w:val="24"/>
                <w:lang w:val="ro-MD"/>
              </w:rPr>
              <w:t xml:space="preserve">MD-2001, mun. Chișinău, bd. Ștefan cel Mare și Sfânt nr.69, tel. (+373 22) 26 60 02, fax: (+373 22) 26 61 00, web: </w:t>
            </w:r>
            <w:hyperlink r:id="rId9" w:history="1">
              <w:r w:rsidRPr="006D6099">
                <w:rPr>
                  <w:rStyle w:val="a4"/>
                  <w:rFonts w:asciiTheme="majorHAnsi" w:hAnsiTheme="majorHAnsi" w:cstheme="majorHAnsi"/>
                  <w:i/>
                  <w:sz w:val="24"/>
                  <w:lang w:val="ro-MD"/>
                </w:rPr>
                <w:t>www.ccrm.md</w:t>
              </w:r>
            </w:hyperlink>
            <w:r w:rsidRPr="006D6099">
              <w:rPr>
                <w:rFonts w:asciiTheme="majorHAnsi" w:hAnsiTheme="majorHAnsi" w:cstheme="majorHAnsi"/>
                <w:sz w:val="24"/>
                <w:lang w:val="ro-MD"/>
              </w:rPr>
              <w:t xml:space="preserve">, e-mail: </w:t>
            </w:r>
            <w:hyperlink r:id="rId10" w:history="1">
              <w:r w:rsidRPr="006D6099">
                <w:rPr>
                  <w:rStyle w:val="a4"/>
                  <w:rFonts w:asciiTheme="majorHAnsi" w:hAnsiTheme="majorHAnsi" w:cstheme="majorHAnsi"/>
                  <w:i/>
                  <w:sz w:val="24"/>
                  <w:lang w:val="ro-MD"/>
                </w:rPr>
                <w:t>ccrm@ccrm.md</w:t>
              </w:r>
            </w:hyperlink>
          </w:p>
        </w:tc>
      </w:tr>
    </w:tbl>
    <w:p w:rsidR="00125D9C" w:rsidRPr="006D6099" w:rsidRDefault="00125D9C" w:rsidP="00125D9C">
      <w:pPr>
        <w:tabs>
          <w:tab w:val="left" w:pos="720"/>
        </w:tabs>
        <w:spacing w:after="0" w:line="276" w:lineRule="auto"/>
        <w:jc w:val="right"/>
        <w:rPr>
          <w:rFonts w:asciiTheme="majorHAnsi" w:eastAsia="Times New Roman" w:hAnsiTheme="majorHAnsi" w:cs="Times New Roman"/>
          <w:b/>
          <w:bCs/>
          <w:sz w:val="24"/>
          <w:szCs w:val="24"/>
          <w:lang w:val="ro-MD"/>
        </w:rPr>
      </w:pPr>
    </w:p>
    <w:p w:rsidR="00125D9C" w:rsidRPr="006D6099" w:rsidRDefault="00125D9C" w:rsidP="00125D9C">
      <w:pPr>
        <w:tabs>
          <w:tab w:val="left" w:pos="720"/>
        </w:tabs>
        <w:spacing w:after="0" w:line="276" w:lineRule="auto"/>
        <w:jc w:val="right"/>
        <w:rPr>
          <w:rFonts w:asciiTheme="majorHAnsi" w:eastAsia="Times New Roman" w:hAnsiTheme="majorHAnsi" w:cs="Times New Roman"/>
          <w:b/>
          <w:bCs/>
          <w:sz w:val="24"/>
          <w:szCs w:val="24"/>
          <w:lang w:val="ro-MD"/>
        </w:rPr>
      </w:pPr>
    </w:p>
    <w:p w:rsidR="00125D9C" w:rsidRPr="006D6099" w:rsidRDefault="00125D9C" w:rsidP="00125D9C">
      <w:pPr>
        <w:tabs>
          <w:tab w:val="left" w:pos="720"/>
        </w:tabs>
        <w:spacing w:after="0" w:line="276" w:lineRule="auto"/>
        <w:ind w:firstLine="720"/>
        <w:jc w:val="center"/>
        <w:rPr>
          <w:rFonts w:asciiTheme="majorHAnsi" w:eastAsia="Times New Roman" w:hAnsiTheme="majorHAnsi" w:cs="Times New Roman"/>
          <w:b/>
          <w:bCs/>
          <w:sz w:val="32"/>
          <w:szCs w:val="32"/>
          <w:lang w:val="ro-MD"/>
        </w:rPr>
      </w:pPr>
    </w:p>
    <w:p w:rsidR="00125D9C" w:rsidRPr="00CE09A8" w:rsidRDefault="00125D9C" w:rsidP="00125D9C">
      <w:pPr>
        <w:tabs>
          <w:tab w:val="left" w:pos="720"/>
        </w:tabs>
        <w:spacing w:after="0" w:line="276" w:lineRule="auto"/>
        <w:jc w:val="center"/>
        <w:rPr>
          <w:rFonts w:asciiTheme="majorHAnsi" w:eastAsia="Times New Roman" w:hAnsiTheme="majorHAnsi" w:cs="Times New Roman"/>
          <w:b/>
          <w:bCs/>
          <w:sz w:val="28"/>
          <w:szCs w:val="28"/>
          <w:lang w:val="ro-MD"/>
        </w:rPr>
      </w:pPr>
      <w:r w:rsidRPr="00CE09A8">
        <w:rPr>
          <w:rFonts w:asciiTheme="majorHAnsi" w:eastAsia="Times New Roman" w:hAnsiTheme="majorHAnsi" w:cs="Times New Roman"/>
          <w:b/>
          <w:bCs/>
          <w:sz w:val="28"/>
          <w:szCs w:val="28"/>
          <w:lang w:val="ro-MD"/>
        </w:rPr>
        <w:t xml:space="preserve">RAPORTUL </w:t>
      </w:r>
    </w:p>
    <w:p w:rsidR="00125D9C" w:rsidRPr="00CE09A8" w:rsidRDefault="005025C5" w:rsidP="00125D9C">
      <w:pPr>
        <w:tabs>
          <w:tab w:val="left" w:pos="720"/>
        </w:tabs>
        <w:spacing w:after="0" w:line="276" w:lineRule="auto"/>
        <w:jc w:val="center"/>
        <w:rPr>
          <w:rFonts w:asciiTheme="majorHAnsi" w:eastAsia="Times New Roman" w:hAnsiTheme="majorHAnsi" w:cs="Times New Roman"/>
          <w:bCs/>
          <w:sz w:val="28"/>
          <w:szCs w:val="28"/>
          <w:lang w:val="ro-MD"/>
        </w:rPr>
      </w:pPr>
      <w:r w:rsidRPr="00CE09A8">
        <w:rPr>
          <w:rFonts w:asciiTheme="majorHAnsi" w:eastAsia="Times New Roman" w:hAnsiTheme="majorHAnsi" w:cs="Times New Roman"/>
          <w:bCs/>
          <w:sz w:val="28"/>
          <w:szCs w:val="28"/>
          <w:lang w:val="ro-MD"/>
        </w:rPr>
        <w:t>auditului asupra</w:t>
      </w:r>
      <w:r w:rsidR="00125D9C" w:rsidRPr="00CE09A8">
        <w:rPr>
          <w:rFonts w:asciiTheme="majorHAnsi" w:eastAsia="Times New Roman" w:hAnsiTheme="majorHAnsi" w:cs="Times New Roman"/>
          <w:bCs/>
          <w:sz w:val="28"/>
          <w:szCs w:val="28"/>
          <w:lang w:val="ro-MD"/>
        </w:rPr>
        <w:t xml:space="preserve"> rapoartelor financiare</w:t>
      </w:r>
      <w:r w:rsidRPr="00CE09A8">
        <w:rPr>
          <w:rFonts w:asciiTheme="majorHAnsi" w:eastAsia="Times New Roman" w:hAnsiTheme="majorHAnsi" w:cs="Times New Roman"/>
          <w:bCs/>
          <w:sz w:val="28"/>
          <w:szCs w:val="28"/>
          <w:lang w:val="ro-MD"/>
        </w:rPr>
        <w:t xml:space="preserve"> consolidate</w:t>
      </w:r>
      <w:r w:rsidR="00125D9C" w:rsidRPr="00CE09A8">
        <w:rPr>
          <w:rFonts w:asciiTheme="majorHAnsi" w:eastAsia="Times New Roman" w:hAnsiTheme="majorHAnsi" w:cs="Times New Roman"/>
          <w:bCs/>
          <w:sz w:val="28"/>
          <w:szCs w:val="28"/>
          <w:lang w:val="ro-MD"/>
        </w:rPr>
        <w:t xml:space="preserve"> ale </w:t>
      </w:r>
      <w:r w:rsidR="00D7450C" w:rsidRPr="00CE09A8">
        <w:rPr>
          <w:rFonts w:asciiTheme="majorHAnsi" w:eastAsia="Times New Roman" w:hAnsiTheme="majorHAnsi" w:cs="Times New Roman"/>
          <w:bCs/>
          <w:sz w:val="28"/>
          <w:szCs w:val="28"/>
          <w:lang w:val="ro-MD"/>
        </w:rPr>
        <w:t xml:space="preserve">Ministerului </w:t>
      </w:r>
      <w:r w:rsidR="00DA59D7" w:rsidRPr="00CE09A8">
        <w:rPr>
          <w:rFonts w:asciiTheme="majorHAnsi" w:eastAsia="Times New Roman" w:hAnsiTheme="majorHAnsi" w:cs="Times New Roman"/>
          <w:bCs/>
          <w:sz w:val="28"/>
          <w:szCs w:val="28"/>
          <w:lang w:val="ro-MD"/>
        </w:rPr>
        <w:t>Economiei</w:t>
      </w:r>
      <w:r w:rsidR="00D7450C" w:rsidRPr="00CE09A8">
        <w:rPr>
          <w:rFonts w:asciiTheme="majorHAnsi" w:eastAsia="Times New Roman" w:hAnsiTheme="majorHAnsi" w:cs="Times New Roman"/>
          <w:bCs/>
          <w:sz w:val="28"/>
          <w:szCs w:val="28"/>
          <w:lang w:val="ro-MD"/>
        </w:rPr>
        <w:t xml:space="preserve"> </w:t>
      </w:r>
      <w:r w:rsidR="00666DA3" w:rsidRPr="00CE09A8">
        <w:rPr>
          <w:rFonts w:asciiTheme="majorHAnsi" w:eastAsia="Times New Roman" w:hAnsiTheme="majorHAnsi" w:cs="Times New Roman"/>
          <w:bCs/>
          <w:sz w:val="28"/>
          <w:szCs w:val="28"/>
          <w:lang w:val="ro-MD"/>
        </w:rPr>
        <w:t>încheiate la 31 decembrie 2021</w:t>
      </w:r>
    </w:p>
    <w:p w:rsidR="00125D9C" w:rsidRDefault="00125D9C" w:rsidP="00125D9C">
      <w:pPr>
        <w:rPr>
          <w:rFonts w:asciiTheme="majorHAnsi" w:eastAsia="Times New Roman" w:hAnsiTheme="majorHAnsi" w:cs="Times New Roman"/>
          <w:b/>
          <w:bCs/>
          <w:sz w:val="32"/>
          <w:szCs w:val="32"/>
          <w:lang w:val="ro-MD"/>
        </w:rPr>
      </w:pPr>
      <w:r>
        <w:rPr>
          <w:rFonts w:asciiTheme="majorHAnsi" w:eastAsia="Times New Roman" w:hAnsiTheme="majorHAnsi" w:cs="Times New Roman"/>
          <w:b/>
          <w:bCs/>
          <w:sz w:val="32"/>
          <w:szCs w:val="32"/>
          <w:lang w:val="ro-MD"/>
        </w:rPr>
        <w:br w:type="page"/>
      </w:r>
    </w:p>
    <w:p w:rsidR="00125D9C" w:rsidRPr="00CE09A8" w:rsidRDefault="00125D9C" w:rsidP="00125D9C">
      <w:pPr>
        <w:pStyle w:val="a5"/>
        <w:numPr>
          <w:ilvl w:val="0"/>
          <w:numId w:val="1"/>
        </w:numPr>
        <w:spacing w:after="0" w:line="276" w:lineRule="auto"/>
        <w:ind w:left="993"/>
        <w:outlineLvl w:val="0"/>
        <w:rPr>
          <w:rFonts w:asciiTheme="majorHAnsi" w:hAnsiTheme="majorHAnsi" w:cs="Times New Roman"/>
          <w:b/>
          <w:sz w:val="28"/>
          <w:szCs w:val="28"/>
          <w:lang w:val="ro-MD"/>
        </w:rPr>
      </w:pPr>
      <w:bookmarkStart w:id="1" w:name="_Toc530056756"/>
      <w:bookmarkStart w:id="2" w:name="_Toc532292925"/>
      <w:r w:rsidRPr="00CE09A8">
        <w:rPr>
          <w:rFonts w:asciiTheme="majorHAnsi" w:hAnsiTheme="majorHAnsi" w:cs="Times New Roman"/>
          <w:b/>
          <w:sz w:val="28"/>
          <w:szCs w:val="28"/>
          <w:lang w:val="ro-MD"/>
        </w:rPr>
        <w:lastRenderedPageBreak/>
        <w:t>OPINI</w:t>
      </w:r>
      <w:bookmarkEnd w:id="1"/>
      <w:r w:rsidRPr="00CE09A8">
        <w:rPr>
          <w:rFonts w:asciiTheme="majorHAnsi" w:hAnsiTheme="majorHAnsi" w:cs="Times New Roman"/>
          <w:b/>
          <w:sz w:val="28"/>
          <w:szCs w:val="28"/>
          <w:lang w:val="ro-MD"/>
        </w:rPr>
        <w:t>E</w:t>
      </w:r>
      <w:bookmarkEnd w:id="2"/>
      <w:r w:rsidR="009120D4" w:rsidRPr="00CE09A8">
        <w:rPr>
          <w:rFonts w:asciiTheme="majorHAnsi" w:hAnsiTheme="majorHAnsi" w:cs="Times New Roman"/>
          <w:b/>
          <w:sz w:val="28"/>
          <w:szCs w:val="28"/>
          <w:lang w:val="ro-MD"/>
        </w:rPr>
        <w:t xml:space="preserve"> CU REZERVE</w:t>
      </w:r>
    </w:p>
    <w:p w:rsidR="00125D9C" w:rsidRPr="006D6099" w:rsidRDefault="00125D9C" w:rsidP="00125D9C">
      <w:pPr>
        <w:pStyle w:val="a7"/>
        <w:spacing w:line="276" w:lineRule="auto"/>
        <w:jc w:val="both"/>
        <w:rPr>
          <w:rFonts w:asciiTheme="majorHAnsi" w:hAnsiTheme="majorHAnsi" w:cs="Times New Roman"/>
          <w:sz w:val="24"/>
          <w:szCs w:val="24"/>
          <w:lang w:val="ro-MD"/>
        </w:rPr>
      </w:pPr>
      <w:r w:rsidRPr="006D6099">
        <w:rPr>
          <w:rFonts w:asciiTheme="majorHAnsi" w:hAnsiTheme="majorHAnsi" w:cs="Times New Roman"/>
          <w:sz w:val="24"/>
          <w:szCs w:val="24"/>
          <w:lang w:val="ro-MD"/>
        </w:rPr>
        <w:t xml:space="preserve">Am auditat rapoartele financiare </w:t>
      </w:r>
      <w:r w:rsidR="00D268EE">
        <w:rPr>
          <w:rFonts w:asciiTheme="majorHAnsi" w:hAnsiTheme="majorHAnsi" w:cs="Times New Roman"/>
          <w:sz w:val="24"/>
          <w:szCs w:val="24"/>
          <w:lang w:val="ro-MD"/>
        </w:rPr>
        <w:t xml:space="preserve">consolidate </w:t>
      </w:r>
      <w:r w:rsidRPr="006D6099">
        <w:rPr>
          <w:rFonts w:asciiTheme="majorHAnsi" w:hAnsiTheme="majorHAnsi" w:cs="Times New Roman"/>
          <w:sz w:val="24"/>
          <w:szCs w:val="24"/>
          <w:lang w:val="ro-MD"/>
        </w:rPr>
        <w:t xml:space="preserve">ale </w:t>
      </w:r>
      <w:r w:rsidR="00A16EB4">
        <w:rPr>
          <w:rFonts w:asciiTheme="majorHAnsi" w:hAnsiTheme="majorHAnsi" w:cs="Times New Roman"/>
          <w:sz w:val="24"/>
          <w:szCs w:val="24"/>
          <w:lang w:val="ro-MD"/>
        </w:rPr>
        <w:t xml:space="preserve">Ministerului </w:t>
      </w:r>
      <w:r w:rsidR="00740C72">
        <w:rPr>
          <w:rFonts w:asciiTheme="majorHAnsi" w:hAnsiTheme="majorHAnsi" w:cs="Times New Roman"/>
          <w:sz w:val="24"/>
          <w:szCs w:val="24"/>
          <w:lang w:val="ro-MD"/>
        </w:rPr>
        <w:t xml:space="preserve">Economiei </w:t>
      </w:r>
      <w:r w:rsidRPr="006D6099">
        <w:rPr>
          <w:rFonts w:asciiTheme="majorHAnsi" w:hAnsiTheme="majorHAnsi" w:cs="Times New Roman"/>
          <w:sz w:val="24"/>
          <w:szCs w:val="24"/>
          <w:lang w:val="ro-MD"/>
        </w:rPr>
        <w:t>pentru exercițiul</w:t>
      </w:r>
      <w:r w:rsidR="00D268EE">
        <w:rPr>
          <w:rFonts w:asciiTheme="majorHAnsi" w:hAnsiTheme="majorHAnsi" w:cs="Times New Roman"/>
          <w:sz w:val="24"/>
          <w:szCs w:val="24"/>
          <w:lang w:val="ro-MD"/>
        </w:rPr>
        <w:t xml:space="preserve"> bugetar</w:t>
      </w:r>
      <w:r w:rsidR="00666DA3">
        <w:rPr>
          <w:rFonts w:asciiTheme="majorHAnsi" w:hAnsiTheme="majorHAnsi" w:cs="Times New Roman"/>
          <w:sz w:val="24"/>
          <w:szCs w:val="24"/>
          <w:lang w:val="ro-MD"/>
        </w:rPr>
        <w:t xml:space="preserve"> încheiat la 31 decembrie 2021</w:t>
      </w:r>
      <w:r w:rsidRPr="006D6099">
        <w:rPr>
          <w:rFonts w:asciiTheme="majorHAnsi" w:hAnsiTheme="majorHAnsi" w:cs="Times New Roman"/>
          <w:sz w:val="24"/>
          <w:szCs w:val="24"/>
          <w:lang w:val="ro-MD"/>
        </w:rPr>
        <w:t>, c</w:t>
      </w:r>
      <w:r w:rsidR="00E7707E">
        <w:rPr>
          <w:rFonts w:asciiTheme="majorHAnsi" w:hAnsiTheme="majorHAnsi" w:cs="Times New Roman"/>
          <w:sz w:val="24"/>
          <w:szCs w:val="24"/>
          <w:lang w:val="ro-MD"/>
        </w:rPr>
        <w:t>ar</w:t>
      </w:r>
      <w:r w:rsidRPr="006D6099">
        <w:rPr>
          <w:rFonts w:asciiTheme="majorHAnsi" w:hAnsiTheme="majorHAnsi" w:cs="Times New Roman"/>
          <w:sz w:val="24"/>
          <w:szCs w:val="24"/>
          <w:lang w:val="ro-MD"/>
        </w:rPr>
        <w:t xml:space="preserve">e cuprind </w:t>
      </w:r>
      <w:r w:rsidRPr="006D6099">
        <w:rPr>
          <w:rFonts w:asciiTheme="majorHAnsi" w:eastAsia="Times New Roman" w:hAnsiTheme="majorHAnsi" w:cs="Times New Roman"/>
          <w:sz w:val="24"/>
          <w:szCs w:val="24"/>
          <w:lang w:val="ro-MD"/>
        </w:rPr>
        <w:t xml:space="preserve">Bilanțul contabil, Raportul privind veniturile și cheltuielile, Raportul privind fluxul mijloacelor bănești, Raportul privind executarea bugetului, Raportul narativ privind executarea bugetului, inclusiv un sumar al politicilor contabile semnificative. </w:t>
      </w:r>
    </w:p>
    <w:p w:rsidR="00665398" w:rsidRDefault="00125D9C" w:rsidP="00125D9C">
      <w:pPr>
        <w:pStyle w:val="a7"/>
        <w:spacing w:line="276" w:lineRule="auto"/>
        <w:jc w:val="both"/>
        <w:rPr>
          <w:rFonts w:asciiTheme="majorHAnsi" w:hAnsiTheme="majorHAnsi" w:cs="Times New Roman"/>
          <w:sz w:val="24"/>
          <w:szCs w:val="24"/>
          <w:lang w:val="ro-MD"/>
        </w:rPr>
      </w:pPr>
      <w:r w:rsidRPr="006D6099">
        <w:rPr>
          <w:rFonts w:asciiTheme="majorHAnsi" w:hAnsiTheme="majorHAnsi" w:cs="Times New Roman"/>
          <w:sz w:val="24"/>
          <w:szCs w:val="24"/>
          <w:lang w:val="ro-MD"/>
        </w:rPr>
        <w:t xml:space="preserve">În opinia noastră, </w:t>
      </w:r>
      <w:r w:rsidR="00743FE4" w:rsidRPr="006D6099">
        <w:rPr>
          <w:rFonts w:asciiTheme="majorHAnsi" w:hAnsiTheme="majorHAnsi" w:cs="Times New Roman"/>
          <w:sz w:val="24"/>
          <w:szCs w:val="24"/>
          <w:lang w:val="ro-MD"/>
        </w:rPr>
        <w:t>cu excepția efectelor aferente aspectelor descrise în secțiunea</w:t>
      </w:r>
      <w:r w:rsidR="00743FE4" w:rsidRPr="006D6099">
        <w:rPr>
          <w:rFonts w:asciiTheme="majorHAnsi" w:hAnsiTheme="majorHAnsi" w:cs="Times New Roman"/>
          <w:i/>
          <w:sz w:val="24"/>
          <w:szCs w:val="24"/>
          <w:lang w:val="ro-MD"/>
        </w:rPr>
        <w:t xml:space="preserve"> Baza pentru opinia cu rezerve</w:t>
      </w:r>
      <w:r w:rsidR="00743FE4" w:rsidRPr="006D6099">
        <w:rPr>
          <w:rFonts w:asciiTheme="majorHAnsi" w:hAnsiTheme="majorHAnsi" w:cs="Times New Roman"/>
          <w:sz w:val="24"/>
          <w:szCs w:val="24"/>
          <w:lang w:val="ro-MD"/>
        </w:rPr>
        <w:t xml:space="preserve">, </w:t>
      </w:r>
      <w:r w:rsidRPr="006D6099">
        <w:rPr>
          <w:rFonts w:asciiTheme="majorHAnsi" w:hAnsiTheme="majorHAnsi" w:cs="Times New Roman"/>
          <w:sz w:val="24"/>
          <w:szCs w:val="24"/>
          <w:lang w:val="ro-MD"/>
        </w:rPr>
        <w:t>rapoartele financiare, sub toate aspectele semnificative, oferă o imagine corectă și fidelă, în conformitate cu cadrul de raportare financiară aplicabil</w:t>
      </w:r>
      <w:r w:rsidRPr="006D6099">
        <w:rPr>
          <w:rStyle w:val="a9"/>
          <w:rFonts w:asciiTheme="majorHAnsi" w:hAnsiTheme="majorHAnsi"/>
          <w:lang w:val="ro-MD"/>
        </w:rPr>
        <w:footnoteReference w:id="1"/>
      </w:r>
      <w:r w:rsidRPr="006D6099">
        <w:rPr>
          <w:rFonts w:asciiTheme="majorHAnsi" w:hAnsiTheme="majorHAnsi" w:cs="Times New Roman"/>
          <w:sz w:val="24"/>
          <w:szCs w:val="24"/>
          <w:lang w:val="ro-MD"/>
        </w:rPr>
        <w:t>.</w:t>
      </w:r>
    </w:p>
    <w:p w:rsidR="00995CCF" w:rsidRPr="00CE09A8" w:rsidRDefault="00995CCF" w:rsidP="00125D9C">
      <w:pPr>
        <w:pStyle w:val="a7"/>
        <w:spacing w:line="276" w:lineRule="auto"/>
        <w:jc w:val="both"/>
        <w:rPr>
          <w:rFonts w:asciiTheme="majorHAnsi" w:hAnsiTheme="majorHAnsi" w:cs="Times New Roman"/>
          <w:sz w:val="28"/>
          <w:szCs w:val="28"/>
          <w:lang w:val="ro-MD"/>
        </w:rPr>
      </w:pPr>
    </w:p>
    <w:p w:rsidR="00125D9C" w:rsidRPr="00CE09A8" w:rsidRDefault="00125D9C" w:rsidP="00125D9C">
      <w:pPr>
        <w:pStyle w:val="a5"/>
        <w:numPr>
          <w:ilvl w:val="0"/>
          <w:numId w:val="1"/>
        </w:numPr>
        <w:spacing w:after="0" w:line="276" w:lineRule="auto"/>
        <w:ind w:left="992" w:hanging="357"/>
        <w:outlineLvl w:val="0"/>
        <w:rPr>
          <w:rFonts w:asciiTheme="majorHAnsi" w:hAnsiTheme="majorHAnsi" w:cs="Times New Roman"/>
          <w:b/>
          <w:caps/>
          <w:sz w:val="28"/>
          <w:szCs w:val="28"/>
          <w:lang w:val="ro-MD"/>
        </w:rPr>
      </w:pPr>
      <w:bookmarkStart w:id="3" w:name="_Toc530056757"/>
      <w:bookmarkStart w:id="4" w:name="_Toc532292926"/>
      <w:r w:rsidRPr="00CE09A8">
        <w:rPr>
          <w:rFonts w:asciiTheme="majorHAnsi" w:hAnsiTheme="majorHAnsi" w:cs="Times New Roman"/>
          <w:b/>
          <w:sz w:val="28"/>
          <w:szCs w:val="28"/>
          <w:lang w:val="ro-MD"/>
        </w:rPr>
        <w:t xml:space="preserve">BAZA </w:t>
      </w:r>
      <w:r w:rsidRPr="00CE09A8">
        <w:rPr>
          <w:rFonts w:asciiTheme="majorHAnsi" w:hAnsiTheme="majorHAnsi" w:cs="Times New Roman"/>
          <w:b/>
          <w:caps/>
          <w:sz w:val="28"/>
          <w:szCs w:val="28"/>
          <w:lang w:val="ro-MD"/>
        </w:rPr>
        <w:t>pentru opini</w:t>
      </w:r>
      <w:bookmarkEnd w:id="3"/>
      <w:bookmarkEnd w:id="4"/>
      <w:r w:rsidRPr="00CE09A8">
        <w:rPr>
          <w:rFonts w:asciiTheme="majorHAnsi" w:hAnsiTheme="majorHAnsi" w:cs="Times New Roman"/>
          <w:b/>
          <w:caps/>
          <w:sz w:val="28"/>
          <w:szCs w:val="28"/>
          <w:lang w:val="ro-MD"/>
        </w:rPr>
        <w:t>A cu REZERVE</w:t>
      </w:r>
    </w:p>
    <w:p w:rsidR="002C76F3" w:rsidRPr="0090394A" w:rsidRDefault="002C76F3" w:rsidP="002C76F3">
      <w:pPr>
        <w:pStyle w:val="a5"/>
        <w:tabs>
          <w:tab w:val="left" w:pos="341"/>
        </w:tabs>
        <w:spacing w:line="276" w:lineRule="auto"/>
        <w:ind w:left="0"/>
        <w:jc w:val="both"/>
        <w:rPr>
          <w:rFonts w:asciiTheme="majorHAnsi" w:hAnsiTheme="majorHAnsi" w:cstheme="majorHAnsi"/>
          <w:sz w:val="24"/>
          <w:szCs w:val="24"/>
          <w:lang w:val="ro-MD"/>
        </w:rPr>
      </w:pPr>
      <w:r w:rsidRPr="0090394A">
        <w:rPr>
          <w:rFonts w:asciiTheme="majorHAnsi" w:hAnsiTheme="majorHAnsi" w:cstheme="majorHAnsi"/>
          <w:sz w:val="24"/>
          <w:szCs w:val="24"/>
          <w:lang w:val="ro-MD"/>
        </w:rPr>
        <w:t xml:space="preserve">Ministerul Economiei a raportat </w:t>
      </w:r>
      <w:r w:rsidR="00E07210" w:rsidRPr="0090394A">
        <w:rPr>
          <w:rFonts w:asciiTheme="majorHAnsi" w:hAnsiTheme="majorHAnsi" w:cstheme="majorHAnsi"/>
          <w:sz w:val="24"/>
          <w:szCs w:val="24"/>
          <w:lang w:val="ro-MD"/>
        </w:rPr>
        <w:t xml:space="preserve">eronat </w:t>
      </w:r>
      <w:r w:rsidRPr="0090394A">
        <w:rPr>
          <w:rFonts w:asciiTheme="majorHAnsi" w:hAnsiTheme="majorHAnsi" w:cstheme="majorHAnsi"/>
          <w:sz w:val="24"/>
          <w:szCs w:val="24"/>
          <w:lang w:val="ro-MD"/>
        </w:rPr>
        <w:t>soldul mijloacelor financiare disp</w:t>
      </w:r>
      <w:r w:rsidR="00E07210">
        <w:rPr>
          <w:rFonts w:asciiTheme="majorHAnsi" w:hAnsiTheme="majorHAnsi" w:cstheme="majorHAnsi"/>
          <w:sz w:val="24"/>
          <w:szCs w:val="24"/>
          <w:lang w:val="ro-MD"/>
        </w:rPr>
        <w:t>onibile la conturile Organizației</w:t>
      </w:r>
      <w:r w:rsidRPr="0090394A">
        <w:rPr>
          <w:rFonts w:asciiTheme="majorHAnsi" w:hAnsiTheme="majorHAnsi" w:cstheme="majorHAnsi"/>
          <w:sz w:val="24"/>
          <w:szCs w:val="24"/>
          <w:lang w:val="ro-MD"/>
        </w:rPr>
        <w:t xml:space="preserve"> pentru Dezvoltarea Sectorului Întreprinderilor Mici și Mijlocii </w:t>
      </w:r>
      <w:r w:rsidRPr="0090394A">
        <w:rPr>
          <w:rFonts w:asciiTheme="majorHAnsi" w:hAnsiTheme="majorHAnsi" w:cstheme="majorHAnsi"/>
          <w:i/>
          <w:sz w:val="24"/>
          <w:szCs w:val="24"/>
          <w:lang w:val="ro-MD"/>
        </w:rPr>
        <w:t>(ODIMM)</w:t>
      </w:r>
      <w:r w:rsidR="0090394A" w:rsidRPr="0090394A">
        <w:rPr>
          <w:rFonts w:asciiTheme="majorHAnsi" w:hAnsiTheme="majorHAnsi" w:cstheme="majorHAnsi"/>
          <w:i/>
          <w:sz w:val="24"/>
          <w:szCs w:val="24"/>
          <w:lang w:val="ro-MD"/>
        </w:rPr>
        <w:t xml:space="preserve">, </w:t>
      </w:r>
      <w:r w:rsidR="0090394A" w:rsidRPr="0090394A">
        <w:rPr>
          <w:rFonts w:asciiTheme="majorHAnsi" w:hAnsiTheme="majorHAnsi" w:cstheme="majorHAnsi"/>
          <w:sz w:val="24"/>
          <w:szCs w:val="24"/>
          <w:lang w:val="ro-MD"/>
        </w:rPr>
        <w:t>acesta</w:t>
      </w:r>
      <w:r w:rsidRPr="0090394A">
        <w:rPr>
          <w:rFonts w:asciiTheme="majorHAnsi" w:hAnsiTheme="majorHAnsi" w:cstheme="majorHAnsi"/>
          <w:i/>
          <w:sz w:val="24"/>
          <w:szCs w:val="24"/>
          <w:lang w:val="ro-MD"/>
        </w:rPr>
        <w:t xml:space="preserve"> </w:t>
      </w:r>
      <w:r w:rsidRPr="0090394A">
        <w:rPr>
          <w:rFonts w:asciiTheme="majorHAnsi" w:hAnsiTheme="majorHAnsi" w:cstheme="majorHAnsi"/>
          <w:sz w:val="24"/>
          <w:szCs w:val="24"/>
          <w:lang w:val="ro-MD"/>
        </w:rPr>
        <w:t xml:space="preserve">fiind supraevaluat cu </w:t>
      </w:r>
      <w:r w:rsidRPr="00F7344A">
        <w:rPr>
          <w:rFonts w:asciiTheme="majorHAnsi" w:hAnsiTheme="majorHAnsi" w:cstheme="majorHAnsi"/>
          <w:b/>
          <w:sz w:val="24"/>
          <w:szCs w:val="24"/>
          <w:lang w:val="ro-MD"/>
        </w:rPr>
        <w:t xml:space="preserve">10,23 </w:t>
      </w:r>
      <w:r w:rsidRPr="0090394A">
        <w:rPr>
          <w:rFonts w:asciiTheme="majorHAnsi" w:hAnsiTheme="majorHAnsi" w:cstheme="majorHAnsi"/>
          <w:sz w:val="24"/>
          <w:szCs w:val="24"/>
          <w:lang w:val="ro-MD"/>
        </w:rPr>
        <w:t>mil</w:t>
      </w:r>
      <w:r w:rsidR="00E7514B">
        <w:rPr>
          <w:rFonts w:asciiTheme="majorHAnsi" w:hAnsiTheme="majorHAnsi" w:cstheme="majorHAnsi"/>
          <w:sz w:val="24"/>
          <w:szCs w:val="24"/>
          <w:lang w:val="ro-MD"/>
        </w:rPr>
        <w:t>.</w:t>
      </w:r>
      <w:r w:rsidRPr="0090394A">
        <w:rPr>
          <w:rFonts w:asciiTheme="majorHAnsi" w:hAnsiTheme="majorHAnsi" w:cstheme="majorHAnsi"/>
          <w:sz w:val="24"/>
          <w:szCs w:val="24"/>
          <w:lang w:val="ro-MD"/>
        </w:rPr>
        <w:t xml:space="preserve"> lei.</w:t>
      </w:r>
      <w:r w:rsidR="0090394A">
        <w:rPr>
          <w:rFonts w:asciiTheme="majorHAnsi" w:hAnsiTheme="majorHAnsi" w:cstheme="majorHAnsi"/>
          <w:i/>
          <w:sz w:val="24"/>
          <w:szCs w:val="24"/>
          <w:lang w:val="ro-MD"/>
        </w:rPr>
        <w:t xml:space="preserve"> </w:t>
      </w:r>
      <w:r w:rsidRPr="0090394A">
        <w:rPr>
          <w:rFonts w:asciiTheme="majorHAnsi" w:hAnsiTheme="majorHAnsi" w:cstheme="majorHAnsi"/>
          <w:sz w:val="24"/>
          <w:szCs w:val="24"/>
          <w:lang w:val="ro-MD"/>
        </w:rPr>
        <w:t xml:space="preserve">ODIMM, </w:t>
      </w:r>
      <w:r w:rsidR="009F7FC2" w:rsidRPr="0090394A">
        <w:rPr>
          <w:rFonts w:asciiTheme="majorHAnsi" w:hAnsiTheme="majorHAnsi" w:cs="Times New Roman"/>
          <w:sz w:val="24"/>
          <w:szCs w:val="24"/>
          <w:lang w:val="ro-MD"/>
        </w:rPr>
        <w:t xml:space="preserve">fără acordul Ministerului Economiei, a </w:t>
      </w:r>
      <w:r w:rsidR="00DE33CD">
        <w:rPr>
          <w:rFonts w:asciiTheme="majorHAnsi" w:hAnsiTheme="majorHAnsi" w:cstheme="majorHAnsi"/>
          <w:sz w:val="24"/>
          <w:szCs w:val="24"/>
          <w:lang w:val="ro-MD"/>
        </w:rPr>
        <w:t>utilizat</w:t>
      </w:r>
      <w:r w:rsidR="009F7FC2" w:rsidRPr="0090394A">
        <w:rPr>
          <w:rFonts w:asciiTheme="majorHAnsi" w:hAnsiTheme="majorHAnsi" w:cstheme="majorHAnsi"/>
          <w:sz w:val="24"/>
          <w:szCs w:val="24"/>
          <w:lang w:val="ro-MD"/>
        </w:rPr>
        <w:t xml:space="preserve"> în avans </w:t>
      </w:r>
      <w:r w:rsidRPr="0090394A">
        <w:rPr>
          <w:rFonts w:asciiTheme="majorHAnsi" w:hAnsiTheme="majorHAnsi" w:cs="Times New Roman"/>
          <w:sz w:val="24"/>
          <w:szCs w:val="24"/>
          <w:lang w:val="ro-MD"/>
        </w:rPr>
        <w:t xml:space="preserve">suma </w:t>
      </w:r>
      <w:r w:rsidR="0090394A" w:rsidRPr="0090394A">
        <w:rPr>
          <w:rFonts w:asciiTheme="majorHAnsi" w:hAnsiTheme="majorHAnsi" w:cs="Times New Roman"/>
          <w:sz w:val="24"/>
          <w:szCs w:val="24"/>
          <w:lang w:val="ro-MD"/>
        </w:rPr>
        <w:t>menționată</w:t>
      </w:r>
      <w:r w:rsidR="0090394A">
        <w:rPr>
          <w:rFonts w:asciiTheme="majorHAnsi" w:hAnsiTheme="majorHAnsi" w:cs="Times New Roman"/>
          <w:sz w:val="24"/>
          <w:szCs w:val="24"/>
          <w:lang w:val="ro-MD"/>
        </w:rPr>
        <w:t xml:space="preserve"> </w:t>
      </w:r>
      <w:r w:rsidR="009F7FC2" w:rsidRPr="0090394A">
        <w:rPr>
          <w:rFonts w:asciiTheme="majorHAnsi" w:hAnsiTheme="majorHAnsi" w:cs="Times New Roman"/>
          <w:sz w:val="24"/>
          <w:szCs w:val="24"/>
          <w:lang w:val="ro-MD"/>
        </w:rPr>
        <w:t xml:space="preserve">pentru </w:t>
      </w:r>
      <w:r w:rsidR="009F7FC2" w:rsidRPr="0090394A">
        <w:rPr>
          <w:rFonts w:asciiTheme="majorHAnsi" w:hAnsiTheme="majorHAnsi" w:cstheme="majorHAnsi"/>
          <w:sz w:val="24"/>
          <w:szCs w:val="24"/>
          <w:lang w:val="ro-MD"/>
        </w:rPr>
        <w:t>un alt proiect de finanțare externă, în care, potrivit clauzelor contractuale,</w:t>
      </w:r>
      <w:r w:rsidR="009F7FC2" w:rsidRPr="0090394A">
        <w:rPr>
          <w:rFonts w:asciiTheme="majorHAnsi" w:hAnsiTheme="majorHAnsi" w:cstheme="majorHAnsi"/>
          <w:sz w:val="20"/>
          <w:szCs w:val="20"/>
          <w:lang w:val="ro-MD"/>
        </w:rPr>
        <w:t xml:space="preserve"> </w:t>
      </w:r>
      <w:r w:rsidR="009F7FC2" w:rsidRPr="0090394A">
        <w:rPr>
          <w:rFonts w:asciiTheme="majorHAnsi" w:hAnsiTheme="majorHAnsi" w:cstheme="majorHAnsi"/>
          <w:sz w:val="24"/>
          <w:szCs w:val="24"/>
          <w:lang w:val="ro-MD"/>
        </w:rPr>
        <w:t xml:space="preserve">donatorul acoperă doar 80% din suma totală în prima fază, iar restul 20% urmează a fi transferate la finalizarea și auditarea proiectului. Resursele financiare urmează a fi restituite la conturile trezoreriale ale ODIMM după efectuarea auditului asupra proiectului finanțat de Delegația Uniunii Europene. </w:t>
      </w:r>
      <w:r w:rsidR="0090394A">
        <w:rPr>
          <w:rFonts w:asciiTheme="majorHAnsi" w:hAnsiTheme="majorHAnsi" w:cstheme="majorHAnsi"/>
          <w:sz w:val="24"/>
          <w:szCs w:val="24"/>
          <w:lang w:val="ro-MD"/>
        </w:rPr>
        <w:t>Acest fapt indică asupra unui control insufic</w:t>
      </w:r>
      <w:r w:rsidR="00E07210">
        <w:rPr>
          <w:rFonts w:asciiTheme="majorHAnsi" w:hAnsiTheme="majorHAnsi" w:cstheme="majorHAnsi"/>
          <w:sz w:val="24"/>
          <w:szCs w:val="24"/>
          <w:lang w:val="ro-MD"/>
        </w:rPr>
        <w:t xml:space="preserve">ient din partea fondatorului </w:t>
      </w:r>
      <w:r w:rsidR="008653B9">
        <w:rPr>
          <w:rFonts w:asciiTheme="majorHAnsi" w:hAnsiTheme="majorHAnsi" w:cstheme="majorHAnsi"/>
          <w:sz w:val="24"/>
          <w:szCs w:val="24"/>
          <w:lang w:val="ro-MD"/>
        </w:rPr>
        <w:t>privind</w:t>
      </w:r>
      <w:r w:rsidR="0090394A">
        <w:rPr>
          <w:rFonts w:asciiTheme="majorHAnsi" w:hAnsiTheme="majorHAnsi" w:cstheme="majorHAnsi"/>
          <w:sz w:val="24"/>
          <w:szCs w:val="24"/>
          <w:lang w:val="ro-MD"/>
        </w:rPr>
        <w:t xml:space="preserve"> utilizarea granturilor acordate.</w:t>
      </w:r>
    </w:p>
    <w:p w:rsidR="00995CCF" w:rsidRPr="00995CCF" w:rsidRDefault="00995CCF" w:rsidP="00995CCF">
      <w:pPr>
        <w:spacing w:after="120" w:line="276" w:lineRule="auto"/>
        <w:jc w:val="both"/>
        <w:rPr>
          <w:rFonts w:asciiTheme="majorHAnsi" w:eastAsia="Times New Roman" w:hAnsiTheme="majorHAnsi"/>
          <w:color w:val="000000" w:themeColor="text1"/>
          <w:sz w:val="24"/>
          <w:szCs w:val="24"/>
          <w:lang w:val="ro-RO"/>
        </w:rPr>
      </w:pPr>
      <w:r w:rsidRPr="00995CCF">
        <w:rPr>
          <w:rFonts w:asciiTheme="majorHAnsi" w:eastAsia="Times New Roman" w:hAnsiTheme="majorHAnsi"/>
          <w:color w:val="000000" w:themeColor="text1"/>
          <w:sz w:val="24"/>
          <w:szCs w:val="24"/>
          <w:lang w:val="ro-RO"/>
        </w:rPr>
        <w:t>Am realizat misiunea de audit în conformitate cu Standardele Internaționale ale Instituțiilor Supreme de Audit aplicate de Curtea de Conturi</w:t>
      </w:r>
      <w:r w:rsidRPr="003755B0">
        <w:rPr>
          <w:vertAlign w:val="superscript"/>
          <w:lang w:val="ro-RO"/>
        </w:rPr>
        <w:footnoteReference w:id="2"/>
      </w:r>
      <w:r w:rsidRPr="00995CCF">
        <w:rPr>
          <w:rFonts w:asciiTheme="majorHAnsi" w:eastAsia="Times New Roman" w:hAnsiTheme="majorHAnsi"/>
          <w:color w:val="000000" w:themeColor="text1"/>
          <w:sz w:val="24"/>
          <w:szCs w:val="24"/>
          <w:lang w:val="ro-RO"/>
        </w:rPr>
        <w:t>. Responsabilitățile noastre, potrivit standardelor respective, sunt expuse în secțiunea „</w:t>
      </w:r>
      <w:r w:rsidRPr="00995CCF">
        <w:rPr>
          <w:rFonts w:asciiTheme="majorHAnsi" w:eastAsia="Times New Roman" w:hAnsiTheme="majorHAnsi"/>
          <w:sz w:val="24"/>
          <w:szCs w:val="24"/>
          <w:lang w:val="ro-RO"/>
        </w:rPr>
        <w:t>Responsabilitățile auditorului</w:t>
      </w:r>
      <w:r w:rsidRPr="00995CCF">
        <w:rPr>
          <w:rFonts w:asciiTheme="majorHAnsi" w:eastAsia="Times New Roman" w:hAnsiTheme="majorHAnsi"/>
          <w:color w:val="000000" w:themeColor="text1"/>
          <w:sz w:val="24"/>
          <w:szCs w:val="24"/>
          <w:lang w:val="ro-RO"/>
        </w:rPr>
        <w:t xml:space="preserve"> într-un audit al rapoartelor financiare” din prezentul Raport. Suntem independenți față de instituția auditată și am îndeplinit responsabilitățile de etică conform cerințelor Codului etic al Curții de Conturi. Considerăm că probele de audit obținute sunt suficiente și adecvate pentru a furniza o bază pentru opinia noastră. </w:t>
      </w:r>
    </w:p>
    <w:p w:rsidR="00125D9C" w:rsidRPr="00CE09A8" w:rsidRDefault="00125D9C" w:rsidP="00125D9C">
      <w:pPr>
        <w:pStyle w:val="a5"/>
        <w:numPr>
          <w:ilvl w:val="0"/>
          <w:numId w:val="1"/>
        </w:numPr>
        <w:spacing w:after="0" w:line="276" w:lineRule="auto"/>
        <w:ind w:left="992" w:hanging="357"/>
        <w:outlineLvl w:val="0"/>
        <w:rPr>
          <w:rFonts w:asciiTheme="majorHAnsi" w:hAnsiTheme="majorHAnsi" w:cs="Times New Roman"/>
          <w:b/>
          <w:caps/>
          <w:sz w:val="28"/>
          <w:szCs w:val="28"/>
          <w:lang w:val="ro-MD"/>
        </w:rPr>
      </w:pPr>
      <w:bookmarkStart w:id="5" w:name="_Toc532292927"/>
      <w:r w:rsidRPr="00CE09A8">
        <w:rPr>
          <w:rFonts w:asciiTheme="majorHAnsi" w:hAnsiTheme="majorHAnsi" w:cs="Times New Roman"/>
          <w:b/>
          <w:caps/>
          <w:sz w:val="28"/>
          <w:szCs w:val="28"/>
          <w:lang w:val="ro-MD"/>
        </w:rPr>
        <w:t>ASPECTE-cheie de audit</w:t>
      </w:r>
    </w:p>
    <w:p w:rsidR="00125D9C" w:rsidRDefault="00125D9C" w:rsidP="00125D9C">
      <w:pPr>
        <w:pStyle w:val="a7"/>
        <w:spacing w:line="276" w:lineRule="auto"/>
        <w:jc w:val="both"/>
        <w:rPr>
          <w:rFonts w:asciiTheme="majorHAnsi" w:hAnsiTheme="majorHAnsi" w:cs="Times New Roman"/>
          <w:sz w:val="24"/>
          <w:szCs w:val="24"/>
          <w:lang w:val="ro-MD"/>
        </w:rPr>
      </w:pPr>
      <w:r w:rsidRPr="006D6099">
        <w:rPr>
          <w:rFonts w:asciiTheme="majorHAnsi" w:hAnsiTheme="majorHAnsi" w:cs="Times New Roman"/>
          <w:sz w:val="24"/>
          <w:szCs w:val="24"/>
          <w:lang w:val="ro-MD"/>
        </w:rPr>
        <w:t xml:space="preserve">Aspectele-cheie de audit sunt acele aspecte care, în baza raționamentului nostru profesional, au avut cea mai mare importanță pentru auditul rapoartelor financiare ale </w:t>
      </w:r>
      <w:r w:rsidR="00552B95">
        <w:rPr>
          <w:rFonts w:asciiTheme="majorHAnsi" w:hAnsiTheme="majorHAnsi" w:cs="Times New Roman"/>
          <w:sz w:val="24"/>
          <w:szCs w:val="24"/>
          <w:lang w:val="ro-MD"/>
        </w:rPr>
        <w:t xml:space="preserve">Ministerului </w:t>
      </w:r>
      <w:r w:rsidR="005618AF">
        <w:rPr>
          <w:rFonts w:asciiTheme="majorHAnsi" w:hAnsiTheme="majorHAnsi" w:cs="Times New Roman"/>
          <w:sz w:val="24"/>
          <w:szCs w:val="24"/>
          <w:lang w:val="ro-MD"/>
        </w:rPr>
        <w:t>Economiei</w:t>
      </w:r>
      <w:r w:rsidR="001525D2">
        <w:rPr>
          <w:rFonts w:asciiTheme="majorHAnsi" w:hAnsiTheme="majorHAnsi" w:cs="Times New Roman"/>
          <w:sz w:val="24"/>
          <w:szCs w:val="24"/>
          <w:lang w:val="ro-MD"/>
        </w:rPr>
        <w:t xml:space="preserve"> </w:t>
      </w:r>
      <w:r w:rsidRPr="006D6099">
        <w:rPr>
          <w:rFonts w:asciiTheme="majorHAnsi" w:hAnsiTheme="majorHAnsi" w:cs="Times New Roman"/>
          <w:sz w:val="24"/>
          <w:szCs w:val="24"/>
          <w:lang w:val="ro-MD"/>
        </w:rPr>
        <w:t>încheiate la 31 decembrie 202</w:t>
      </w:r>
      <w:r w:rsidR="00930CBC">
        <w:rPr>
          <w:rFonts w:asciiTheme="majorHAnsi" w:hAnsiTheme="majorHAnsi" w:cs="Times New Roman"/>
          <w:sz w:val="24"/>
          <w:szCs w:val="24"/>
          <w:lang w:val="ro-MD"/>
        </w:rPr>
        <w:t>1</w:t>
      </w:r>
      <w:r w:rsidRPr="006D6099">
        <w:rPr>
          <w:rFonts w:asciiTheme="majorHAnsi" w:hAnsiTheme="majorHAnsi" w:cs="Times New Roman"/>
          <w:sz w:val="24"/>
          <w:szCs w:val="24"/>
          <w:lang w:val="ro-MD"/>
        </w:rPr>
        <w:t>. Aceste aspecte au fost abordate în contextul auditului rapoar</w:t>
      </w:r>
      <w:r w:rsidR="00BD7B9B">
        <w:rPr>
          <w:rFonts w:asciiTheme="majorHAnsi" w:hAnsiTheme="majorHAnsi" w:cs="Times New Roman"/>
          <w:sz w:val="24"/>
          <w:szCs w:val="24"/>
          <w:lang w:val="ro-MD"/>
        </w:rPr>
        <w:t xml:space="preserve">telor financiare în ansamblu </w:t>
      </w:r>
      <w:r w:rsidR="00552B95" w:rsidRPr="006D6099">
        <w:rPr>
          <w:rFonts w:asciiTheme="majorHAnsi" w:hAnsiTheme="majorHAnsi" w:cs="Times New Roman"/>
          <w:sz w:val="24"/>
          <w:szCs w:val="24"/>
          <w:lang w:val="ro-MD"/>
        </w:rPr>
        <w:t>și</w:t>
      </w:r>
      <w:r w:rsidRPr="006D6099">
        <w:rPr>
          <w:rFonts w:asciiTheme="majorHAnsi" w:hAnsiTheme="majorHAnsi" w:cs="Times New Roman"/>
          <w:sz w:val="24"/>
          <w:szCs w:val="24"/>
          <w:lang w:val="ro-MD"/>
        </w:rPr>
        <w:t xml:space="preserve"> nu oferim o opinie separ</w:t>
      </w:r>
      <w:r w:rsidR="00BD7B9B">
        <w:rPr>
          <w:rFonts w:asciiTheme="majorHAnsi" w:hAnsiTheme="majorHAnsi" w:cs="Times New Roman"/>
          <w:sz w:val="24"/>
          <w:szCs w:val="24"/>
          <w:lang w:val="ro-MD"/>
        </w:rPr>
        <w:t>ată cu privire la acestea</w:t>
      </w:r>
      <w:r w:rsidRPr="006D6099">
        <w:rPr>
          <w:rFonts w:asciiTheme="majorHAnsi" w:hAnsiTheme="majorHAnsi" w:cs="Times New Roman"/>
          <w:sz w:val="24"/>
          <w:szCs w:val="24"/>
          <w:lang w:val="ro-MD"/>
        </w:rPr>
        <w:t>. Cu excepția aspectului descris în secțiunea Baza pentru opinia cu rezerve, am determinat că nu mai există alte aspecte-cheie de audit ce trebuie comunicate în Raportul de audit.</w:t>
      </w:r>
      <w:r w:rsidR="00DE52BB">
        <w:rPr>
          <w:rFonts w:asciiTheme="majorHAnsi" w:hAnsiTheme="majorHAnsi" w:cs="Times New Roman"/>
          <w:sz w:val="24"/>
          <w:szCs w:val="24"/>
          <w:lang w:val="ro-MD"/>
        </w:rPr>
        <w:t xml:space="preserve"> </w:t>
      </w:r>
    </w:p>
    <w:p w:rsidR="00665398" w:rsidRDefault="00665398" w:rsidP="00125D9C">
      <w:pPr>
        <w:pStyle w:val="a7"/>
        <w:spacing w:line="276" w:lineRule="auto"/>
        <w:jc w:val="both"/>
        <w:rPr>
          <w:rFonts w:asciiTheme="majorHAnsi" w:hAnsiTheme="majorHAnsi" w:cs="Times New Roman"/>
          <w:sz w:val="24"/>
          <w:szCs w:val="24"/>
          <w:lang w:val="ro-MD"/>
        </w:rPr>
      </w:pPr>
    </w:p>
    <w:bookmarkEnd w:id="5"/>
    <w:p w:rsidR="00E4413D" w:rsidRPr="00CE09A8" w:rsidRDefault="00E4413D" w:rsidP="00E4413D">
      <w:pPr>
        <w:pStyle w:val="a5"/>
        <w:numPr>
          <w:ilvl w:val="0"/>
          <w:numId w:val="1"/>
        </w:numPr>
        <w:spacing w:after="0" w:line="276" w:lineRule="auto"/>
        <w:ind w:left="992" w:hanging="357"/>
        <w:outlineLvl w:val="0"/>
        <w:rPr>
          <w:rFonts w:asciiTheme="majorHAnsi" w:hAnsiTheme="majorHAnsi" w:cs="Times New Roman"/>
          <w:b/>
          <w:caps/>
          <w:sz w:val="28"/>
          <w:szCs w:val="28"/>
          <w:lang w:val="ro-MD"/>
        </w:rPr>
      </w:pPr>
      <w:r w:rsidRPr="00CE09A8">
        <w:rPr>
          <w:rFonts w:asciiTheme="majorHAnsi" w:hAnsiTheme="majorHAnsi" w:cs="Times New Roman"/>
          <w:b/>
          <w:caps/>
          <w:sz w:val="28"/>
          <w:szCs w:val="28"/>
          <w:lang w:val="ro-MD"/>
        </w:rPr>
        <w:t>ALTE INFORMAȚII</w:t>
      </w:r>
    </w:p>
    <w:p w:rsidR="00E4413D" w:rsidRDefault="00514722" w:rsidP="00E4413D">
      <w:pPr>
        <w:tabs>
          <w:tab w:val="left" w:pos="0"/>
        </w:tabs>
        <w:spacing w:after="0" w:line="276" w:lineRule="auto"/>
        <w:jc w:val="both"/>
        <w:rPr>
          <w:rFonts w:asciiTheme="majorHAnsi" w:hAnsiTheme="majorHAnsi" w:cstheme="majorHAnsi"/>
          <w:sz w:val="24"/>
          <w:szCs w:val="24"/>
          <w:lang w:val="ro-MD"/>
        </w:rPr>
      </w:pPr>
      <w:r>
        <w:rPr>
          <w:rFonts w:asciiTheme="majorHAnsi" w:hAnsiTheme="majorHAnsi" w:cstheme="majorHAnsi"/>
          <w:sz w:val="24"/>
          <w:szCs w:val="24"/>
          <w:lang w:val="ro-MD"/>
        </w:rPr>
        <w:t>Ministerul</w:t>
      </w:r>
      <w:r w:rsidR="00E07210">
        <w:rPr>
          <w:rFonts w:asciiTheme="majorHAnsi" w:hAnsiTheme="majorHAnsi" w:cstheme="majorHAnsi"/>
          <w:sz w:val="24"/>
          <w:szCs w:val="24"/>
          <w:lang w:val="ro-MD"/>
        </w:rPr>
        <w:t xml:space="preserve"> Economiei a interpretat incorect</w:t>
      </w:r>
      <w:r w:rsidR="003E2A41">
        <w:rPr>
          <w:rFonts w:asciiTheme="majorHAnsi" w:hAnsiTheme="majorHAnsi" w:cstheme="majorHAnsi"/>
          <w:sz w:val="24"/>
          <w:szCs w:val="24"/>
          <w:lang w:val="ro-MD"/>
        </w:rPr>
        <w:t xml:space="preserve"> </w:t>
      </w:r>
      <w:r w:rsidR="00E4413D" w:rsidRPr="00E4413D">
        <w:rPr>
          <w:rFonts w:asciiTheme="majorHAnsi" w:hAnsiTheme="majorHAnsi" w:cstheme="majorHAnsi"/>
          <w:sz w:val="24"/>
          <w:szCs w:val="24"/>
          <w:lang w:val="ro-MD"/>
        </w:rPr>
        <w:t xml:space="preserve"> </w:t>
      </w:r>
      <w:r w:rsidR="00E07210">
        <w:rPr>
          <w:rFonts w:asciiTheme="majorHAnsi" w:hAnsiTheme="majorHAnsi" w:cstheme="majorHAnsi"/>
          <w:sz w:val="24"/>
          <w:szCs w:val="24"/>
          <w:lang w:val="ro-MD"/>
        </w:rPr>
        <w:t>prevederile</w:t>
      </w:r>
      <w:r w:rsidR="003E2A41">
        <w:rPr>
          <w:rFonts w:asciiTheme="majorHAnsi" w:hAnsiTheme="majorHAnsi" w:cstheme="majorHAnsi"/>
          <w:sz w:val="24"/>
          <w:szCs w:val="24"/>
          <w:lang w:val="ro-MD"/>
        </w:rPr>
        <w:t xml:space="preserve"> cadrului de raportare financiară aplicabil</w:t>
      </w:r>
      <w:r w:rsidR="001A7556">
        <w:rPr>
          <w:rFonts w:asciiTheme="majorHAnsi" w:hAnsiTheme="majorHAnsi" w:cstheme="majorHAnsi"/>
          <w:sz w:val="24"/>
          <w:szCs w:val="24"/>
          <w:lang w:val="ro-MD"/>
        </w:rPr>
        <w:t>,</w:t>
      </w:r>
      <w:r w:rsidR="00E07210">
        <w:rPr>
          <w:rFonts w:asciiTheme="majorHAnsi" w:hAnsiTheme="majorHAnsi" w:cstheme="majorHAnsi"/>
          <w:sz w:val="24"/>
          <w:szCs w:val="24"/>
          <w:lang w:val="ro-MD"/>
        </w:rPr>
        <w:t xml:space="preserve"> din care cauză s-au</w:t>
      </w:r>
      <w:r w:rsidR="00001098">
        <w:rPr>
          <w:rFonts w:asciiTheme="majorHAnsi" w:hAnsiTheme="majorHAnsi" w:cstheme="majorHAnsi"/>
          <w:sz w:val="24"/>
          <w:szCs w:val="24"/>
          <w:lang w:val="ro-MD"/>
        </w:rPr>
        <w:t xml:space="preserve"> admis</w:t>
      </w:r>
      <w:r w:rsidR="00BC0BE0">
        <w:rPr>
          <w:rFonts w:asciiTheme="majorHAnsi" w:hAnsiTheme="majorHAnsi" w:cstheme="majorHAnsi"/>
          <w:sz w:val="24"/>
          <w:szCs w:val="24"/>
          <w:lang w:val="ro-MD"/>
        </w:rPr>
        <w:t xml:space="preserve"> unele deficiențe</w:t>
      </w:r>
      <w:r w:rsidR="003E2A41">
        <w:rPr>
          <w:rFonts w:asciiTheme="majorHAnsi" w:hAnsiTheme="majorHAnsi" w:cstheme="majorHAnsi"/>
          <w:sz w:val="24"/>
          <w:szCs w:val="24"/>
          <w:lang w:val="ro-MD"/>
        </w:rPr>
        <w:t>, după cum urmează:</w:t>
      </w:r>
    </w:p>
    <w:p w:rsidR="003053B0" w:rsidRDefault="005618AF" w:rsidP="003E2A41">
      <w:pPr>
        <w:pStyle w:val="a5"/>
        <w:numPr>
          <w:ilvl w:val="0"/>
          <w:numId w:val="6"/>
        </w:numPr>
        <w:tabs>
          <w:tab w:val="left" w:pos="0"/>
        </w:tabs>
        <w:spacing w:after="0" w:line="276" w:lineRule="auto"/>
        <w:jc w:val="both"/>
        <w:rPr>
          <w:rFonts w:asciiTheme="majorHAnsi" w:hAnsiTheme="majorHAnsi" w:cs="Times New Roman"/>
          <w:sz w:val="24"/>
          <w:szCs w:val="24"/>
          <w:lang w:val="ro-MD"/>
        </w:rPr>
      </w:pPr>
      <w:r>
        <w:rPr>
          <w:rFonts w:asciiTheme="majorHAnsi" w:hAnsiTheme="majorHAnsi" w:cs="Times New Roman"/>
          <w:sz w:val="24"/>
          <w:szCs w:val="24"/>
          <w:lang w:val="ro-MD"/>
        </w:rPr>
        <w:t xml:space="preserve">reflectarea necorespunzătoare la veniturile </w:t>
      </w:r>
      <w:r w:rsidR="00554BD4">
        <w:rPr>
          <w:rFonts w:asciiTheme="majorHAnsi" w:hAnsiTheme="majorHAnsi" w:cs="Times New Roman"/>
          <w:sz w:val="24"/>
          <w:szCs w:val="24"/>
          <w:lang w:val="ro-MD"/>
        </w:rPr>
        <w:t xml:space="preserve">din </w:t>
      </w:r>
      <w:r>
        <w:rPr>
          <w:rFonts w:asciiTheme="majorHAnsi" w:hAnsiTheme="majorHAnsi" w:cs="Times New Roman"/>
          <w:sz w:val="24"/>
          <w:szCs w:val="24"/>
          <w:lang w:val="ro-MD"/>
        </w:rPr>
        <w:t>perioad</w:t>
      </w:r>
      <w:r w:rsidR="00554BD4">
        <w:rPr>
          <w:rFonts w:asciiTheme="majorHAnsi" w:hAnsiTheme="majorHAnsi" w:cs="Times New Roman"/>
          <w:sz w:val="24"/>
          <w:szCs w:val="24"/>
          <w:lang w:val="ro-MD"/>
        </w:rPr>
        <w:t>a</w:t>
      </w:r>
      <w:r>
        <w:rPr>
          <w:rFonts w:asciiTheme="majorHAnsi" w:hAnsiTheme="majorHAnsi" w:cs="Times New Roman"/>
          <w:sz w:val="24"/>
          <w:szCs w:val="24"/>
          <w:lang w:val="ro-MD"/>
        </w:rPr>
        <w:t xml:space="preserve"> de gestiune </w:t>
      </w:r>
      <w:r w:rsidR="005B4CA2">
        <w:rPr>
          <w:rFonts w:asciiTheme="majorHAnsi" w:hAnsiTheme="majorHAnsi" w:cs="Times New Roman"/>
          <w:sz w:val="24"/>
          <w:szCs w:val="24"/>
          <w:lang w:val="ro-MD"/>
        </w:rPr>
        <w:t>a activelor</w:t>
      </w:r>
      <w:r>
        <w:rPr>
          <w:rFonts w:asciiTheme="majorHAnsi" w:hAnsiTheme="majorHAnsi" w:cs="Times New Roman"/>
          <w:sz w:val="24"/>
          <w:szCs w:val="24"/>
          <w:lang w:val="ro-MD"/>
        </w:rPr>
        <w:t xml:space="preserve"> intrate cu titlu gratuit în contextul restructurării administrației publice centrale de specialitate, ceea ce a </w:t>
      </w:r>
      <w:r w:rsidR="00E07210">
        <w:rPr>
          <w:rFonts w:asciiTheme="majorHAnsi" w:hAnsiTheme="majorHAnsi" w:cs="Times New Roman"/>
          <w:sz w:val="24"/>
          <w:szCs w:val="24"/>
          <w:lang w:val="ro-MD"/>
        </w:rPr>
        <w:t>condiționat supraevaluarea veniturilor</w:t>
      </w:r>
      <w:r>
        <w:rPr>
          <w:rFonts w:asciiTheme="majorHAnsi" w:hAnsiTheme="majorHAnsi" w:cs="Times New Roman"/>
          <w:sz w:val="24"/>
          <w:szCs w:val="24"/>
          <w:lang w:val="ro-MD"/>
        </w:rPr>
        <w:t xml:space="preserve"> entității și </w:t>
      </w:r>
      <w:r w:rsidR="00E07210">
        <w:rPr>
          <w:rFonts w:asciiTheme="majorHAnsi" w:hAnsiTheme="majorHAnsi" w:cs="Times New Roman"/>
          <w:sz w:val="24"/>
          <w:szCs w:val="24"/>
          <w:lang w:val="ro-MD"/>
        </w:rPr>
        <w:t xml:space="preserve">a </w:t>
      </w:r>
      <w:r>
        <w:rPr>
          <w:rFonts w:asciiTheme="majorHAnsi" w:hAnsiTheme="majorHAnsi" w:cs="Times New Roman"/>
          <w:sz w:val="24"/>
          <w:szCs w:val="24"/>
          <w:lang w:val="ro-MD"/>
        </w:rPr>
        <w:t>rezultatul</w:t>
      </w:r>
      <w:r w:rsidR="00E07210">
        <w:rPr>
          <w:rFonts w:asciiTheme="majorHAnsi" w:hAnsiTheme="majorHAnsi" w:cs="Times New Roman"/>
          <w:sz w:val="24"/>
          <w:szCs w:val="24"/>
          <w:lang w:val="ro-MD"/>
        </w:rPr>
        <w:t>ui</w:t>
      </w:r>
      <w:r>
        <w:rPr>
          <w:rFonts w:asciiTheme="majorHAnsi" w:hAnsiTheme="majorHAnsi" w:cs="Times New Roman"/>
          <w:sz w:val="24"/>
          <w:szCs w:val="24"/>
          <w:lang w:val="ro-MD"/>
        </w:rPr>
        <w:t xml:space="preserve"> financiar cu </w:t>
      </w:r>
      <w:r w:rsidRPr="00713B47">
        <w:rPr>
          <w:rFonts w:asciiTheme="majorHAnsi" w:hAnsiTheme="majorHAnsi" w:cs="Times New Roman"/>
          <w:b/>
          <w:sz w:val="24"/>
          <w:szCs w:val="24"/>
          <w:lang w:val="ro-MD"/>
        </w:rPr>
        <w:t>133,5</w:t>
      </w:r>
      <w:r w:rsidR="00E07210">
        <w:rPr>
          <w:rFonts w:asciiTheme="majorHAnsi" w:hAnsiTheme="majorHAnsi" w:cs="Times New Roman"/>
          <w:sz w:val="24"/>
          <w:szCs w:val="24"/>
          <w:lang w:val="ro-MD"/>
        </w:rPr>
        <w:t xml:space="preserve"> mii lei;</w:t>
      </w:r>
    </w:p>
    <w:p w:rsidR="005618AF" w:rsidRPr="005618AF" w:rsidRDefault="005618AF" w:rsidP="003E2A41">
      <w:pPr>
        <w:pStyle w:val="a5"/>
        <w:numPr>
          <w:ilvl w:val="0"/>
          <w:numId w:val="6"/>
        </w:numPr>
        <w:tabs>
          <w:tab w:val="left" w:pos="0"/>
        </w:tabs>
        <w:spacing w:after="0" w:line="276" w:lineRule="auto"/>
        <w:jc w:val="both"/>
        <w:rPr>
          <w:rFonts w:asciiTheme="majorHAnsi" w:hAnsiTheme="majorHAnsi" w:cs="Times New Roman"/>
          <w:sz w:val="24"/>
          <w:szCs w:val="24"/>
          <w:lang w:val="ro-MD"/>
        </w:rPr>
      </w:pPr>
      <w:r w:rsidRPr="005618AF">
        <w:rPr>
          <w:rFonts w:asciiTheme="majorHAnsi" w:eastAsia="Times New Roman" w:hAnsiTheme="majorHAnsi" w:cstheme="majorHAnsi"/>
          <w:sz w:val="24"/>
          <w:szCs w:val="24"/>
          <w:lang w:val="ro-MD"/>
        </w:rPr>
        <w:t>înregistrarea neconfo</w:t>
      </w:r>
      <w:r w:rsidR="00E07210">
        <w:rPr>
          <w:rFonts w:asciiTheme="majorHAnsi" w:eastAsia="Times New Roman" w:hAnsiTheme="majorHAnsi" w:cstheme="majorHAnsi"/>
          <w:sz w:val="24"/>
          <w:szCs w:val="24"/>
          <w:lang w:val="ro-MD"/>
        </w:rPr>
        <w:t>rmă a pieselor de schimb pentru</w:t>
      </w:r>
      <w:r w:rsidRPr="005618AF">
        <w:rPr>
          <w:rFonts w:asciiTheme="majorHAnsi" w:eastAsia="Times New Roman" w:hAnsiTheme="majorHAnsi" w:cstheme="majorHAnsi"/>
          <w:sz w:val="24"/>
          <w:szCs w:val="24"/>
          <w:lang w:val="ro-MD"/>
        </w:rPr>
        <w:t xml:space="preserve"> modernizarea calculatoarelor la cheltuielile</w:t>
      </w:r>
      <w:r w:rsidR="00E07210">
        <w:rPr>
          <w:rFonts w:asciiTheme="majorHAnsi" w:eastAsia="Times New Roman" w:hAnsiTheme="majorHAnsi" w:cstheme="majorHAnsi"/>
          <w:sz w:val="24"/>
          <w:szCs w:val="24"/>
          <w:lang w:val="ro-MD"/>
        </w:rPr>
        <w:t xml:space="preserve"> din perioada de gestiune fără </w:t>
      </w:r>
      <w:r w:rsidRPr="005618AF">
        <w:rPr>
          <w:rFonts w:asciiTheme="majorHAnsi" w:eastAsia="Times New Roman" w:hAnsiTheme="majorHAnsi" w:cstheme="majorHAnsi"/>
          <w:sz w:val="24"/>
          <w:szCs w:val="24"/>
          <w:lang w:val="ro-MD"/>
        </w:rPr>
        <w:t>capitaliza</w:t>
      </w:r>
      <w:r w:rsidR="00E07210">
        <w:rPr>
          <w:rFonts w:asciiTheme="majorHAnsi" w:eastAsia="Times New Roman" w:hAnsiTheme="majorHAnsi" w:cstheme="majorHAnsi"/>
          <w:sz w:val="24"/>
          <w:szCs w:val="24"/>
          <w:lang w:val="ro-MD"/>
        </w:rPr>
        <w:t>rea valorii</w:t>
      </w:r>
      <w:r w:rsidRPr="005618AF">
        <w:rPr>
          <w:rFonts w:asciiTheme="majorHAnsi" w:eastAsia="Times New Roman" w:hAnsiTheme="majorHAnsi" w:cstheme="majorHAnsi"/>
          <w:sz w:val="24"/>
          <w:szCs w:val="24"/>
          <w:lang w:val="ro-MD"/>
        </w:rPr>
        <w:t xml:space="preserve"> acestora</w:t>
      </w:r>
      <w:r>
        <w:rPr>
          <w:rFonts w:asciiTheme="majorHAnsi" w:eastAsia="Times New Roman" w:hAnsiTheme="majorHAnsi" w:cstheme="majorHAnsi"/>
          <w:sz w:val="24"/>
          <w:szCs w:val="24"/>
          <w:lang w:val="ro-MD"/>
        </w:rPr>
        <w:t>, ceea</w:t>
      </w:r>
      <w:r w:rsidR="00654B4E">
        <w:rPr>
          <w:rFonts w:asciiTheme="majorHAnsi" w:eastAsia="Times New Roman" w:hAnsiTheme="majorHAnsi" w:cstheme="majorHAnsi"/>
          <w:sz w:val="24"/>
          <w:szCs w:val="24"/>
          <w:lang w:val="ro-MD"/>
        </w:rPr>
        <w:t xml:space="preserve"> ce a</w:t>
      </w:r>
      <w:r w:rsidR="00E07210">
        <w:rPr>
          <w:rFonts w:asciiTheme="majorHAnsi" w:eastAsia="Times New Roman" w:hAnsiTheme="majorHAnsi" w:cstheme="majorHAnsi"/>
          <w:sz w:val="24"/>
          <w:szCs w:val="24"/>
          <w:lang w:val="ro-MD"/>
        </w:rPr>
        <w:t xml:space="preserve"> determinat subevaluarea</w:t>
      </w:r>
      <w:r w:rsidR="00654B4E">
        <w:rPr>
          <w:rFonts w:asciiTheme="majorHAnsi" w:eastAsia="Times New Roman" w:hAnsiTheme="majorHAnsi" w:cstheme="majorHAnsi"/>
          <w:sz w:val="24"/>
          <w:szCs w:val="24"/>
          <w:lang w:val="ro-MD"/>
        </w:rPr>
        <w:t xml:space="preserve"> activel</w:t>
      </w:r>
      <w:r w:rsidR="00E07210">
        <w:rPr>
          <w:rFonts w:asciiTheme="majorHAnsi" w:eastAsia="Times New Roman" w:hAnsiTheme="majorHAnsi" w:cstheme="majorHAnsi"/>
          <w:sz w:val="24"/>
          <w:szCs w:val="24"/>
          <w:lang w:val="ro-MD"/>
        </w:rPr>
        <w:t>or</w:t>
      </w:r>
      <w:r w:rsidR="00654B4E">
        <w:rPr>
          <w:rFonts w:asciiTheme="majorHAnsi" w:eastAsia="Times New Roman" w:hAnsiTheme="majorHAnsi" w:cstheme="majorHAnsi"/>
          <w:sz w:val="24"/>
          <w:szCs w:val="24"/>
          <w:lang w:val="ro-MD"/>
        </w:rPr>
        <w:t xml:space="preserve"> nefinanciare</w:t>
      </w:r>
      <w:r w:rsidR="009216ED">
        <w:rPr>
          <w:rFonts w:asciiTheme="majorHAnsi" w:eastAsia="Times New Roman" w:hAnsiTheme="majorHAnsi" w:cstheme="majorHAnsi"/>
          <w:sz w:val="24"/>
          <w:szCs w:val="24"/>
          <w:lang w:val="ro-MD"/>
        </w:rPr>
        <w:t xml:space="preserve"> și </w:t>
      </w:r>
      <w:r w:rsidR="00E07210">
        <w:rPr>
          <w:rFonts w:asciiTheme="majorHAnsi" w:eastAsia="Times New Roman" w:hAnsiTheme="majorHAnsi" w:cstheme="majorHAnsi"/>
          <w:sz w:val="24"/>
          <w:szCs w:val="24"/>
          <w:lang w:val="ro-MD"/>
        </w:rPr>
        <w:t xml:space="preserve">a </w:t>
      </w:r>
      <w:r w:rsidR="009216ED">
        <w:rPr>
          <w:rFonts w:asciiTheme="majorHAnsi" w:eastAsia="Times New Roman" w:hAnsiTheme="majorHAnsi" w:cstheme="majorHAnsi"/>
          <w:sz w:val="24"/>
          <w:szCs w:val="24"/>
          <w:lang w:val="ro-MD"/>
        </w:rPr>
        <w:t>rezultatul</w:t>
      </w:r>
      <w:r w:rsidR="00E07210">
        <w:rPr>
          <w:rFonts w:asciiTheme="majorHAnsi" w:eastAsia="Times New Roman" w:hAnsiTheme="majorHAnsi" w:cstheme="majorHAnsi"/>
          <w:sz w:val="24"/>
          <w:szCs w:val="24"/>
          <w:lang w:val="ro-MD"/>
        </w:rPr>
        <w:t>ui</w:t>
      </w:r>
      <w:r w:rsidR="009216ED">
        <w:rPr>
          <w:rFonts w:asciiTheme="majorHAnsi" w:eastAsia="Times New Roman" w:hAnsiTheme="majorHAnsi" w:cstheme="majorHAnsi"/>
          <w:sz w:val="24"/>
          <w:szCs w:val="24"/>
          <w:lang w:val="ro-MD"/>
        </w:rPr>
        <w:t xml:space="preserve"> financiar al anului de gestiune</w:t>
      </w:r>
      <w:r>
        <w:rPr>
          <w:rFonts w:asciiTheme="majorHAnsi" w:eastAsia="Times New Roman" w:hAnsiTheme="majorHAnsi" w:cstheme="majorHAnsi"/>
          <w:sz w:val="24"/>
          <w:szCs w:val="24"/>
          <w:lang w:val="ro-MD"/>
        </w:rPr>
        <w:t xml:space="preserve"> cu circa </w:t>
      </w:r>
      <w:r w:rsidR="005C708A">
        <w:rPr>
          <w:rFonts w:asciiTheme="majorHAnsi" w:eastAsia="Times New Roman" w:hAnsiTheme="majorHAnsi" w:cstheme="majorHAnsi"/>
          <w:b/>
          <w:sz w:val="24"/>
          <w:szCs w:val="24"/>
          <w:lang w:val="ro-MD"/>
        </w:rPr>
        <w:t>58,12</w:t>
      </w:r>
      <w:r w:rsidR="009216ED">
        <w:rPr>
          <w:rFonts w:asciiTheme="majorHAnsi" w:eastAsia="Times New Roman" w:hAnsiTheme="majorHAnsi" w:cstheme="majorHAnsi"/>
          <w:sz w:val="24"/>
          <w:szCs w:val="24"/>
          <w:lang w:val="ro-MD"/>
        </w:rPr>
        <w:t xml:space="preserve"> mii lei, precum </w:t>
      </w:r>
      <w:r w:rsidR="00E07210">
        <w:rPr>
          <w:rFonts w:asciiTheme="majorHAnsi" w:eastAsia="Times New Roman" w:hAnsiTheme="majorHAnsi" w:cstheme="majorHAnsi"/>
          <w:sz w:val="24"/>
          <w:szCs w:val="24"/>
          <w:lang w:val="ro-MD"/>
        </w:rPr>
        <w:t>și supraevaluare</w:t>
      </w:r>
      <w:r w:rsidR="00E62292">
        <w:rPr>
          <w:rFonts w:asciiTheme="majorHAnsi" w:eastAsia="Times New Roman" w:hAnsiTheme="majorHAnsi" w:cstheme="majorHAnsi"/>
          <w:sz w:val="24"/>
          <w:szCs w:val="24"/>
          <w:lang w:val="ro-MD"/>
        </w:rPr>
        <w:t>a</w:t>
      </w:r>
      <w:r w:rsidR="00E07210">
        <w:rPr>
          <w:rFonts w:asciiTheme="majorHAnsi" w:eastAsia="Times New Roman" w:hAnsiTheme="majorHAnsi" w:cstheme="majorHAnsi"/>
          <w:sz w:val="24"/>
          <w:szCs w:val="24"/>
          <w:lang w:val="ro-MD"/>
        </w:rPr>
        <w:t xml:space="preserve"> cheltuielilor </w:t>
      </w:r>
      <w:r w:rsidR="00554BD4">
        <w:rPr>
          <w:rFonts w:asciiTheme="majorHAnsi" w:eastAsia="Times New Roman" w:hAnsiTheme="majorHAnsi" w:cstheme="majorHAnsi"/>
          <w:sz w:val="24"/>
          <w:szCs w:val="24"/>
          <w:lang w:val="ro-MD"/>
        </w:rPr>
        <w:t xml:space="preserve">din </w:t>
      </w:r>
      <w:r w:rsidR="00E07210">
        <w:rPr>
          <w:rFonts w:asciiTheme="majorHAnsi" w:eastAsia="Times New Roman" w:hAnsiTheme="majorHAnsi" w:cstheme="majorHAnsi"/>
          <w:sz w:val="24"/>
          <w:szCs w:val="24"/>
          <w:lang w:val="ro-MD"/>
        </w:rPr>
        <w:t>perioad</w:t>
      </w:r>
      <w:r w:rsidR="00554BD4">
        <w:rPr>
          <w:rFonts w:asciiTheme="majorHAnsi" w:eastAsia="Times New Roman" w:hAnsiTheme="majorHAnsi" w:cstheme="majorHAnsi"/>
          <w:sz w:val="24"/>
          <w:szCs w:val="24"/>
          <w:lang w:val="ro-MD"/>
        </w:rPr>
        <w:t>a</w:t>
      </w:r>
      <w:r w:rsidR="00E07210">
        <w:rPr>
          <w:rFonts w:asciiTheme="majorHAnsi" w:eastAsia="Times New Roman" w:hAnsiTheme="majorHAnsi" w:cstheme="majorHAnsi"/>
          <w:sz w:val="24"/>
          <w:szCs w:val="24"/>
          <w:lang w:val="ro-MD"/>
        </w:rPr>
        <w:t xml:space="preserve"> de gestiune cu</w:t>
      </w:r>
      <w:r>
        <w:rPr>
          <w:rFonts w:asciiTheme="majorHAnsi" w:eastAsia="Times New Roman" w:hAnsiTheme="majorHAnsi" w:cstheme="majorHAnsi"/>
          <w:sz w:val="24"/>
          <w:szCs w:val="24"/>
          <w:lang w:val="ro-MD"/>
        </w:rPr>
        <w:t xml:space="preserve"> aceeași </w:t>
      </w:r>
      <w:r w:rsidR="00E07210">
        <w:rPr>
          <w:rFonts w:asciiTheme="majorHAnsi" w:eastAsia="Times New Roman" w:hAnsiTheme="majorHAnsi" w:cstheme="majorHAnsi"/>
          <w:sz w:val="24"/>
          <w:szCs w:val="24"/>
          <w:lang w:val="ro-MD"/>
        </w:rPr>
        <w:t>sumă.</w:t>
      </w:r>
    </w:p>
    <w:p w:rsidR="004B07DC" w:rsidRPr="00B00FBC" w:rsidRDefault="004B07DC" w:rsidP="004B07DC">
      <w:pPr>
        <w:pStyle w:val="a5"/>
        <w:tabs>
          <w:tab w:val="left" w:pos="0"/>
        </w:tabs>
        <w:spacing w:after="0" w:line="276" w:lineRule="auto"/>
        <w:jc w:val="both"/>
        <w:rPr>
          <w:rFonts w:asciiTheme="majorHAnsi" w:hAnsiTheme="majorHAnsi" w:cs="Times New Roman"/>
          <w:sz w:val="24"/>
          <w:szCs w:val="24"/>
          <w:lang w:val="ro-MD"/>
        </w:rPr>
      </w:pPr>
    </w:p>
    <w:p w:rsidR="00125D9C" w:rsidRPr="00CE09A8" w:rsidRDefault="00125D9C" w:rsidP="00125D9C">
      <w:pPr>
        <w:pStyle w:val="a5"/>
        <w:numPr>
          <w:ilvl w:val="0"/>
          <w:numId w:val="1"/>
        </w:numPr>
        <w:spacing w:after="0" w:line="276" w:lineRule="auto"/>
        <w:ind w:left="992" w:hanging="357"/>
        <w:outlineLvl w:val="0"/>
        <w:rPr>
          <w:rFonts w:asciiTheme="majorHAnsi" w:hAnsiTheme="majorHAnsi" w:cs="Times New Roman"/>
          <w:b/>
          <w:caps/>
          <w:sz w:val="28"/>
          <w:szCs w:val="28"/>
          <w:lang w:val="ro-MD"/>
        </w:rPr>
      </w:pPr>
      <w:r w:rsidRPr="00CE09A8">
        <w:rPr>
          <w:rFonts w:asciiTheme="majorHAnsi" w:hAnsiTheme="majorHAnsi" w:cs="Times New Roman"/>
          <w:b/>
          <w:sz w:val="28"/>
          <w:szCs w:val="28"/>
          <w:lang w:val="ro-MD"/>
        </w:rPr>
        <w:t xml:space="preserve">BUNA </w:t>
      </w:r>
      <w:r w:rsidRPr="00CE09A8">
        <w:rPr>
          <w:rFonts w:asciiTheme="majorHAnsi" w:hAnsiTheme="majorHAnsi" w:cs="Times New Roman"/>
          <w:b/>
          <w:caps/>
          <w:sz w:val="28"/>
          <w:szCs w:val="28"/>
          <w:lang w:val="ro-MD"/>
        </w:rPr>
        <w:t>guvernanță</w:t>
      </w:r>
    </w:p>
    <w:p w:rsidR="005D4D51" w:rsidRPr="00626F4D" w:rsidRDefault="005D4D51" w:rsidP="005D4D51">
      <w:pPr>
        <w:pStyle w:val="a5"/>
        <w:numPr>
          <w:ilvl w:val="1"/>
          <w:numId w:val="2"/>
        </w:numPr>
        <w:tabs>
          <w:tab w:val="left" w:pos="0"/>
        </w:tabs>
        <w:spacing w:after="0" w:line="276" w:lineRule="auto"/>
        <w:ind w:left="0" w:firstLine="0"/>
        <w:jc w:val="both"/>
        <w:rPr>
          <w:rFonts w:asciiTheme="majorHAnsi" w:hAnsiTheme="majorHAnsi" w:cs="Times New Roman"/>
          <w:sz w:val="24"/>
          <w:szCs w:val="24"/>
          <w:lang w:val="ro-MD"/>
        </w:rPr>
      </w:pPr>
      <w:r>
        <w:rPr>
          <w:rFonts w:asciiTheme="majorHAnsi" w:hAnsiTheme="majorHAnsi" w:cstheme="majorHAnsi"/>
          <w:sz w:val="24"/>
          <w:szCs w:val="24"/>
          <w:lang w:val="ro-MD"/>
        </w:rPr>
        <w:t xml:space="preserve">Deși Ministerul Economiei are instituit un sistem de control intern managerial, acesta </w:t>
      </w:r>
      <w:r w:rsidRPr="00363058">
        <w:rPr>
          <w:rFonts w:asciiTheme="majorHAnsi" w:hAnsiTheme="majorHAnsi"/>
          <w:sz w:val="24"/>
          <w:szCs w:val="24"/>
          <w:lang w:val="ro-MD"/>
        </w:rPr>
        <w:t>nu asigură pe deplin funcționalitatea controalelor-cheie, precum și identificarea și gestionarea riscurilor aferente procesului financiar-contabil.</w:t>
      </w:r>
      <w:r w:rsidRPr="00363058">
        <w:rPr>
          <w:rFonts w:asciiTheme="majorHAnsi" w:hAnsiTheme="majorHAnsi" w:cstheme="majorHAnsi"/>
          <w:sz w:val="24"/>
          <w:szCs w:val="24"/>
          <w:lang w:val="ro-MD"/>
        </w:rPr>
        <w:t xml:space="preserve"> Lacunele existente în cadrul sistemului de control intern managerial </w:t>
      </w:r>
      <w:r>
        <w:rPr>
          <w:rFonts w:asciiTheme="majorHAnsi" w:hAnsiTheme="majorHAnsi" w:cstheme="majorHAnsi"/>
          <w:sz w:val="24"/>
          <w:szCs w:val="24"/>
          <w:lang w:val="ro-MD"/>
        </w:rPr>
        <w:t>pot determina în perioadele viitoare denaturări</w:t>
      </w:r>
      <w:r w:rsidRPr="00363058">
        <w:rPr>
          <w:rFonts w:asciiTheme="majorHAnsi" w:hAnsiTheme="majorHAnsi" w:cstheme="majorHAnsi"/>
          <w:sz w:val="24"/>
          <w:szCs w:val="24"/>
          <w:lang w:val="ro-MD"/>
        </w:rPr>
        <w:t xml:space="preserve"> și/sau observații</w:t>
      </w:r>
      <w:r>
        <w:rPr>
          <w:rFonts w:asciiTheme="majorHAnsi" w:hAnsiTheme="majorHAnsi" w:cstheme="majorHAnsi"/>
          <w:sz w:val="24"/>
          <w:szCs w:val="24"/>
          <w:lang w:val="ro-MD"/>
        </w:rPr>
        <w:t xml:space="preserve"> semnificative.   </w:t>
      </w:r>
    </w:p>
    <w:p w:rsidR="00B00FBC" w:rsidRPr="00B00FBC" w:rsidRDefault="00FB2A47" w:rsidP="00125D9C">
      <w:pPr>
        <w:pStyle w:val="a5"/>
        <w:numPr>
          <w:ilvl w:val="1"/>
          <w:numId w:val="2"/>
        </w:numPr>
        <w:tabs>
          <w:tab w:val="left" w:pos="0"/>
        </w:tabs>
        <w:spacing w:after="0" w:line="276" w:lineRule="auto"/>
        <w:ind w:left="0" w:firstLine="0"/>
        <w:jc w:val="both"/>
        <w:rPr>
          <w:rFonts w:asciiTheme="majorHAnsi" w:hAnsiTheme="majorHAnsi" w:cs="Times New Roman"/>
          <w:sz w:val="24"/>
          <w:szCs w:val="24"/>
          <w:lang w:val="ro-MD"/>
        </w:rPr>
      </w:pPr>
      <w:r>
        <w:rPr>
          <w:rFonts w:asciiTheme="majorHAnsi" w:hAnsiTheme="majorHAnsi" w:cs="Times New Roman"/>
          <w:sz w:val="24"/>
          <w:szCs w:val="24"/>
          <w:lang w:val="ro-MD"/>
        </w:rPr>
        <w:t>Subdiviziunile</w:t>
      </w:r>
      <w:r w:rsidR="00B00FBC" w:rsidRPr="00B00FBC">
        <w:rPr>
          <w:rFonts w:asciiTheme="majorHAnsi" w:hAnsiTheme="majorHAnsi" w:cs="Times New Roman"/>
          <w:sz w:val="24"/>
          <w:szCs w:val="24"/>
          <w:lang w:val="ro-MD"/>
        </w:rPr>
        <w:t xml:space="preserve"> de audit intern </w:t>
      </w:r>
      <w:r w:rsidR="00C278FC">
        <w:rPr>
          <w:rFonts w:asciiTheme="majorHAnsi" w:hAnsiTheme="majorHAnsi" w:cs="Times New Roman"/>
          <w:sz w:val="24"/>
          <w:szCs w:val="24"/>
          <w:lang w:val="ro-MD"/>
        </w:rPr>
        <w:t>din cad</w:t>
      </w:r>
      <w:r w:rsidR="00766C72">
        <w:rPr>
          <w:rFonts w:asciiTheme="majorHAnsi" w:hAnsiTheme="majorHAnsi" w:cs="Times New Roman"/>
          <w:sz w:val="24"/>
          <w:szCs w:val="24"/>
          <w:lang w:val="ro-MD"/>
        </w:rPr>
        <w:t xml:space="preserve">rul </w:t>
      </w:r>
      <w:r w:rsidR="005638B6">
        <w:rPr>
          <w:rFonts w:asciiTheme="majorHAnsi" w:hAnsiTheme="majorHAnsi" w:cs="Times New Roman"/>
          <w:sz w:val="24"/>
          <w:szCs w:val="24"/>
          <w:lang w:val="ro-MD"/>
        </w:rPr>
        <w:t>ministerului</w:t>
      </w:r>
      <w:r>
        <w:rPr>
          <w:rFonts w:asciiTheme="majorHAnsi" w:hAnsiTheme="majorHAnsi" w:cs="Times New Roman"/>
          <w:sz w:val="24"/>
          <w:szCs w:val="24"/>
          <w:lang w:val="ro-MD"/>
        </w:rPr>
        <w:t>, dar și a</w:t>
      </w:r>
      <w:r w:rsidR="00AE420A">
        <w:rPr>
          <w:rFonts w:asciiTheme="majorHAnsi" w:hAnsiTheme="majorHAnsi" w:cs="Times New Roman"/>
          <w:sz w:val="24"/>
          <w:szCs w:val="24"/>
          <w:lang w:val="ro-MD"/>
        </w:rPr>
        <w:t>l</w:t>
      </w:r>
      <w:r w:rsidR="00C278FC">
        <w:rPr>
          <w:rFonts w:asciiTheme="majorHAnsi" w:hAnsiTheme="majorHAnsi" w:cs="Times New Roman"/>
          <w:sz w:val="24"/>
          <w:szCs w:val="24"/>
          <w:lang w:val="ro-MD"/>
        </w:rPr>
        <w:t xml:space="preserve"> </w:t>
      </w:r>
      <w:r>
        <w:rPr>
          <w:rFonts w:asciiTheme="majorHAnsi" w:hAnsiTheme="majorHAnsi" w:cs="Times New Roman"/>
          <w:sz w:val="24"/>
          <w:szCs w:val="24"/>
          <w:lang w:val="ro-MD"/>
        </w:rPr>
        <w:t xml:space="preserve">entităților subordonate, </w:t>
      </w:r>
      <w:r w:rsidR="00C278FC">
        <w:rPr>
          <w:rFonts w:asciiTheme="majorHAnsi" w:hAnsiTheme="majorHAnsi" w:cs="Times New Roman"/>
          <w:sz w:val="24"/>
          <w:szCs w:val="24"/>
          <w:lang w:val="ro-MD"/>
        </w:rPr>
        <w:t>au fost</w:t>
      </w:r>
      <w:r w:rsidR="00C04BF3">
        <w:rPr>
          <w:rFonts w:asciiTheme="majorHAnsi" w:hAnsiTheme="majorHAnsi" w:cs="Times New Roman"/>
          <w:sz w:val="24"/>
          <w:szCs w:val="24"/>
          <w:lang w:val="ro-MD"/>
        </w:rPr>
        <w:t xml:space="preserve"> suplinite la</w:t>
      </w:r>
      <w:r w:rsidR="00173B69">
        <w:rPr>
          <w:rFonts w:asciiTheme="majorHAnsi" w:hAnsiTheme="majorHAnsi" w:cs="Times New Roman"/>
          <w:sz w:val="24"/>
          <w:szCs w:val="24"/>
          <w:lang w:val="ro-MD"/>
        </w:rPr>
        <w:t xml:space="preserve"> un nivel </w:t>
      </w:r>
      <w:r w:rsidR="005638B6">
        <w:rPr>
          <w:rFonts w:asciiTheme="majorHAnsi" w:hAnsiTheme="majorHAnsi" w:cs="Times New Roman"/>
          <w:sz w:val="24"/>
          <w:szCs w:val="24"/>
          <w:lang w:val="ro-MD"/>
        </w:rPr>
        <w:t>redus</w:t>
      </w:r>
      <w:r w:rsidR="001A7556">
        <w:rPr>
          <w:rFonts w:asciiTheme="majorHAnsi" w:hAnsiTheme="majorHAnsi" w:cs="Times New Roman"/>
          <w:sz w:val="24"/>
          <w:szCs w:val="24"/>
          <w:lang w:val="ro-MD"/>
        </w:rPr>
        <w:t>,</w:t>
      </w:r>
      <w:r w:rsidR="00B00FBC" w:rsidRPr="00B00FBC">
        <w:rPr>
          <w:rFonts w:asciiTheme="majorHAnsi" w:hAnsiTheme="majorHAnsi" w:cs="Times New Roman"/>
          <w:sz w:val="24"/>
          <w:szCs w:val="24"/>
          <w:lang w:val="ro-MD"/>
        </w:rPr>
        <w:t xml:space="preserve"> </w:t>
      </w:r>
      <w:r w:rsidR="00AF4999">
        <w:rPr>
          <w:rFonts w:asciiTheme="majorHAnsi" w:hAnsiTheme="majorHAnsi" w:cs="Times New Roman"/>
          <w:sz w:val="24"/>
          <w:szCs w:val="24"/>
          <w:lang w:val="ro-MD"/>
        </w:rPr>
        <w:t>fapt</w:t>
      </w:r>
      <w:r w:rsidR="00B00FBC" w:rsidRPr="00B00FBC">
        <w:rPr>
          <w:rFonts w:asciiTheme="majorHAnsi" w:hAnsiTheme="majorHAnsi" w:cs="Times New Roman"/>
          <w:sz w:val="24"/>
          <w:szCs w:val="24"/>
          <w:lang w:val="ro-MD"/>
        </w:rPr>
        <w:t xml:space="preserve"> ce</w:t>
      </w:r>
      <w:r w:rsidR="001A7556">
        <w:rPr>
          <w:rFonts w:asciiTheme="majorHAnsi" w:hAnsiTheme="majorHAnsi" w:cs="Times New Roman"/>
          <w:sz w:val="24"/>
          <w:szCs w:val="24"/>
          <w:lang w:val="ro-MD"/>
        </w:rPr>
        <w:t>,</w:t>
      </w:r>
      <w:r w:rsidR="00B00FBC" w:rsidRPr="00B00FBC">
        <w:rPr>
          <w:rFonts w:asciiTheme="majorHAnsi" w:hAnsiTheme="majorHAnsi" w:cs="Times New Roman"/>
          <w:sz w:val="24"/>
          <w:szCs w:val="24"/>
          <w:lang w:val="ro-MD"/>
        </w:rPr>
        <w:t xml:space="preserve"> în consecință</w:t>
      </w:r>
      <w:r w:rsidR="001A7556">
        <w:rPr>
          <w:rFonts w:asciiTheme="majorHAnsi" w:hAnsiTheme="majorHAnsi" w:cs="Times New Roman"/>
          <w:sz w:val="24"/>
          <w:szCs w:val="24"/>
          <w:lang w:val="ro-MD"/>
        </w:rPr>
        <w:t>,</w:t>
      </w:r>
      <w:r w:rsidR="00B00FBC" w:rsidRPr="00B00FBC">
        <w:rPr>
          <w:rFonts w:asciiTheme="majorHAnsi" w:hAnsiTheme="majorHAnsi" w:cs="Times New Roman"/>
          <w:sz w:val="24"/>
          <w:szCs w:val="24"/>
          <w:lang w:val="ro-MD"/>
        </w:rPr>
        <w:t xml:space="preserve"> </w:t>
      </w:r>
      <w:r w:rsidR="00C278FC">
        <w:rPr>
          <w:rFonts w:asciiTheme="majorHAnsi" w:hAnsiTheme="majorHAnsi" w:cs="Times New Roman"/>
          <w:sz w:val="24"/>
          <w:szCs w:val="24"/>
          <w:lang w:val="ro-MD"/>
        </w:rPr>
        <w:t>a lipsit conducătorii</w:t>
      </w:r>
      <w:r w:rsidR="00B00FBC" w:rsidRPr="00B00FBC">
        <w:rPr>
          <w:rFonts w:asciiTheme="majorHAnsi" w:hAnsiTheme="majorHAnsi" w:cs="Times New Roman"/>
          <w:sz w:val="24"/>
          <w:szCs w:val="24"/>
          <w:lang w:val="ro-MD"/>
        </w:rPr>
        <w:t xml:space="preserve"> de un instrument care asigură gestionarea prudentă a riscurilor, contribuie la îmbunătățirea controlului intern managerial, precum și sporește nivelul de eficiență și eficacitate a proceselor gestionate.</w:t>
      </w:r>
    </w:p>
    <w:p w:rsidR="00F266A5" w:rsidRPr="0026242A" w:rsidRDefault="00534809" w:rsidP="00B00FBC">
      <w:pPr>
        <w:pStyle w:val="a5"/>
        <w:numPr>
          <w:ilvl w:val="1"/>
          <w:numId w:val="2"/>
        </w:numPr>
        <w:tabs>
          <w:tab w:val="left" w:pos="0"/>
        </w:tabs>
        <w:spacing w:after="0" w:line="276" w:lineRule="auto"/>
        <w:ind w:left="0" w:firstLine="0"/>
        <w:jc w:val="both"/>
        <w:rPr>
          <w:rFonts w:asciiTheme="majorHAnsi" w:hAnsiTheme="majorHAnsi" w:cs="Times New Roman"/>
          <w:sz w:val="24"/>
          <w:szCs w:val="24"/>
          <w:lang w:val="ro-MD"/>
        </w:rPr>
      </w:pPr>
      <w:r>
        <w:rPr>
          <w:rFonts w:asciiTheme="majorHAnsi" w:hAnsiTheme="majorHAnsi" w:cs="Times New Roman"/>
          <w:sz w:val="24"/>
          <w:szCs w:val="24"/>
          <w:lang w:val="ro-MD"/>
        </w:rPr>
        <w:t>S</w:t>
      </w:r>
      <w:r w:rsidR="00AF4999">
        <w:rPr>
          <w:rFonts w:asciiTheme="majorHAnsi" w:eastAsia="Times New Roman" w:hAnsiTheme="majorHAnsi" w:cstheme="majorHAnsi"/>
          <w:sz w:val="24"/>
          <w:szCs w:val="24"/>
          <w:lang w:val="ro-MD"/>
        </w:rPr>
        <w:t>e atestă</w:t>
      </w:r>
      <w:r w:rsidR="0026242A" w:rsidRPr="0026242A">
        <w:rPr>
          <w:rFonts w:asciiTheme="majorHAnsi" w:eastAsia="Times New Roman" w:hAnsiTheme="majorHAnsi" w:cstheme="majorHAnsi"/>
          <w:sz w:val="24"/>
          <w:szCs w:val="24"/>
          <w:lang w:val="ro-MD"/>
        </w:rPr>
        <w:t xml:space="preserve"> alocarea resurselor fi</w:t>
      </w:r>
      <w:r w:rsidR="00AF4999">
        <w:rPr>
          <w:rFonts w:asciiTheme="majorHAnsi" w:eastAsia="Times New Roman" w:hAnsiTheme="majorHAnsi" w:cstheme="majorHAnsi"/>
          <w:sz w:val="24"/>
          <w:szCs w:val="24"/>
          <w:lang w:val="ro-MD"/>
        </w:rPr>
        <w:t>nanciare suplimentare în sumă</w:t>
      </w:r>
      <w:r w:rsidR="0026242A" w:rsidRPr="0026242A">
        <w:rPr>
          <w:rFonts w:asciiTheme="majorHAnsi" w:eastAsia="Times New Roman" w:hAnsiTheme="majorHAnsi" w:cstheme="majorHAnsi"/>
          <w:sz w:val="24"/>
          <w:szCs w:val="24"/>
          <w:lang w:val="ro-MD"/>
        </w:rPr>
        <w:t xml:space="preserve"> de </w:t>
      </w:r>
      <w:r w:rsidR="0026242A" w:rsidRPr="0026242A">
        <w:rPr>
          <w:rFonts w:asciiTheme="majorHAnsi" w:eastAsia="Times New Roman" w:hAnsiTheme="majorHAnsi" w:cstheme="majorHAnsi"/>
          <w:b/>
          <w:sz w:val="24"/>
          <w:szCs w:val="24"/>
          <w:lang w:val="ro-MD"/>
        </w:rPr>
        <w:t>10</w:t>
      </w:r>
      <w:r w:rsidR="00713B47">
        <w:rPr>
          <w:rFonts w:asciiTheme="majorHAnsi" w:eastAsia="Times New Roman" w:hAnsiTheme="majorHAnsi" w:cstheme="majorHAnsi"/>
          <w:b/>
          <w:sz w:val="24"/>
          <w:szCs w:val="24"/>
          <w:lang w:val="ro-MD"/>
        </w:rPr>
        <w:t>,0</w:t>
      </w:r>
      <w:r w:rsidR="0026242A" w:rsidRPr="0026242A">
        <w:rPr>
          <w:rFonts w:asciiTheme="majorHAnsi" w:eastAsia="Times New Roman" w:hAnsiTheme="majorHAnsi" w:cstheme="majorHAnsi"/>
          <w:b/>
          <w:sz w:val="24"/>
          <w:szCs w:val="24"/>
          <w:lang w:val="ro-MD"/>
        </w:rPr>
        <w:t xml:space="preserve"> </w:t>
      </w:r>
      <w:r w:rsidR="0026242A" w:rsidRPr="0026242A">
        <w:rPr>
          <w:rFonts w:asciiTheme="majorHAnsi" w:eastAsia="Times New Roman" w:hAnsiTheme="majorHAnsi" w:cstheme="majorHAnsi"/>
          <w:sz w:val="24"/>
          <w:szCs w:val="24"/>
          <w:lang w:val="ro-MD"/>
        </w:rPr>
        <w:t>mil</w:t>
      </w:r>
      <w:r w:rsidR="00AF4999">
        <w:rPr>
          <w:rFonts w:asciiTheme="majorHAnsi" w:eastAsia="Times New Roman" w:hAnsiTheme="majorHAnsi" w:cstheme="majorHAnsi"/>
          <w:sz w:val="24"/>
          <w:szCs w:val="24"/>
          <w:lang w:val="ro-MD"/>
        </w:rPr>
        <w:t>.</w:t>
      </w:r>
      <w:r w:rsidR="0026242A" w:rsidRPr="0026242A">
        <w:rPr>
          <w:rFonts w:asciiTheme="majorHAnsi" w:eastAsia="Times New Roman" w:hAnsiTheme="majorHAnsi" w:cstheme="majorHAnsi"/>
          <w:sz w:val="24"/>
          <w:szCs w:val="24"/>
          <w:lang w:val="ro-MD"/>
        </w:rPr>
        <w:t xml:space="preserve"> lei către Zona Econo</w:t>
      </w:r>
      <w:r>
        <w:rPr>
          <w:rFonts w:asciiTheme="majorHAnsi" w:eastAsia="Times New Roman" w:hAnsiTheme="majorHAnsi" w:cstheme="majorHAnsi"/>
          <w:sz w:val="24"/>
          <w:szCs w:val="24"/>
          <w:lang w:val="ro-MD"/>
        </w:rPr>
        <w:t>mică Liberă Bălți, în contextul</w:t>
      </w:r>
      <w:r w:rsidR="0026242A" w:rsidRPr="0026242A">
        <w:rPr>
          <w:rFonts w:asciiTheme="majorHAnsi" w:eastAsia="Times New Roman" w:hAnsiTheme="majorHAnsi" w:cstheme="majorHAnsi"/>
          <w:sz w:val="24"/>
          <w:szCs w:val="24"/>
          <w:lang w:val="ro-MD"/>
        </w:rPr>
        <w:t xml:space="preserve"> Programului de Dezvoltare pentru Furnizorii Locali, în condițiile în care </w:t>
      </w:r>
      <w:r w:rsidR="0026242A">
        <w:rPr>
          <w:rFonts w:asciiTheme="majorHAnsi" w:eastAsia="Times New Roman" w:hAnsiTheme="majorHAnsi" w:cstheme="majorHAnsi"/>
          <w:sz w:val="24"/>
          <w:szCs w:val="24"/>
          <w:lang w:val="ro-MD"/>
        </w:rPr>
        <w:t>indicatorii de performanță</w:t>
      </w:r>
      <w:r w:rsidR="0026242A" w:rsidRPr="0026242A">
        <w:rPr>
          <w:rFonts w:asciiTheme="majorHAnsi" w:eastAsia="Times New Roman" w:hAnsiTheme="majorHAnsi" w:cstheme="majorHAnsi"/>
          <w:sz w:val="24"/>
          <w:szCs w:val="24"/>
          <w:lang w:val="ro-MD"/>
        </w:rPr>
        <w:t xml:space="preserve"> stabiliți</w:t>
      </w:r>
      <w:r w:rsidR="0026242A">
        <w:rPr>
          <w:rFonts w:asciiTheme="majorHAnsi" w:eastAsia="Times New Roman" w:hAnsiTheme="majorHAnsi" w:cstheme="majorHAnsi"/>
          <w:sz w:val="24"/>
          <w:szCs w:val="24"/>
          <w:lang w:val="ro-MD"/>
        </w:rPr>
        <w:t xml:space="preserve"> inițial</w:t>
      </w:r>
      <w:r w:rsidR="00A534C3">
        <w:rPr>
          <w:rFonts w:asciiTheme="majorHAnsi" w:eastAsia="Times New Roman" w:hAnsiTheme="majorHAnsi" w:cstheme="majorHAnsi"/>
          <w:sz w:val="24"/>
          <w:szCs w:val="24"/>
          <w:lang w:val="ro-MD"/>
        </w:rPr>
        <w:t>, în coraport cu mijloacele financiare alocate pentru etapa corespunzătoare,</w:t>
      </w:r>
      <w:r w:rsidR="0026242A">
        <w:rPr>
          <w:rFonts w:asciiTheme="majorHAnsi" w:eastAsia="Times New Roman" w:hAnsiTheme="majorHAnsi" w:cstheme="majorHAnsi"/>
          <w:sz w:val="24"/>
          <w:szCs w:val="24"/>
          <w:lang w:val="ro-MD"/>
        </w:rPr>
        <w:t xml:space="preserve"> nu au fost realizați</w:t>
      </w:r>
      <w:r w:rsidR="00AA7FFE">
        <w:rPr>
          <w:rFonts w:asciiTheme="majorHAnsi" w:eastAsia="Times New Roman" w:hAnsiTheme="majorHAnsi" w:cstheme="majorHAnsi"/>
          <w:sz w:val="24"/>
          <w:szCs w:val="24"/>
          <w:lang w:val="ro-MD"/>
        </w:rPr>
        <w:t>. Prin urmare</w:t>
      </w:r>
      <w:r w:rsidR="00AE420A">
        <w:rPr>
          <w:rFonts w:asciiTheme="majorHAnsi" w:eastAsia="Times New Roman" w:hAnsiTheme="majorHAnsi" w:cstheme="majorHAnsi"/>
          <w:sz w:val="24"/>
          <w:szCs w:val="24"/>
          <w:lang w:val="ro-MD"/>
        </w:rPr>
        <w:t>,</w:t>
      </w:r>
      <w:r w:rsidR="00AA7FFE">
        <w:rPr>
          <w:rFonts w:asciiTheme="majorHAnsi" w:eastAsia="Times New Roman" w:hAnsiTheme="majorHAnsi" w:cstheme="majorHAnsi"/>
          <w:sz w:val="24"/>
          <w:szCs w:val="24"/>
          <w:lang w:val="ro-MD"/>
        </w:rPr>
        <w:t xml:space="preserve"> se indică asupra</w:t>
      </w:r>
      <w:r w:rsidR="0026242A">
        <w:rPr>
          <w:rFonts w:asciiTheme="majorHAnsi" w:eastAsia="Times New Roman" w:hAnsiTheme="majorHAnsi" w:cstheme="majorHAnsi"/>
          <w:sz w:val="24"/>
          <w:szCs w:val="24"/>
          <w:lang w:val="ro-MD"/>
        </w:rPr>
        <w:t xml:space="preserve"> riscul</w:t>
      </w:r>
      <w:r w:rsidR="00AA7FFE">
        <w:rPr>
          <w:rFonts w:asciiTheme="majorHAnsi" w:eastAsia="Times New Roman" w:hAnsiTheme="majorHAnsi" w:cstheme="majorHAnsi"/>
          <w:sz w:val="24"/>
          <w:szCs w:val="24"/>
          <w:lang w:val="ro-MD"/>
        </w:rPr>
        <w:t>ui</w:t>
      </w:r>
      <w:r w:rsidR="0026242A">
        <w:rPr>
          <w:rFonts w:asciiTheme="majorHAnsi" w:eastAsia="Times New Roman" w:hAnsiTheme="majorHAnsi" w:cstheme="majorHAnsi"/>
          <w:sz w:val="24"/>
          <w:szCs w:val="24"/>
          <w:lang w:val="ro-MD"/>
        </w:rPr>
        <w:t xml:space="preserve"> de neatingere</w:t>
      </w:r>
      <w:r w:rsidR="00AF38A5">
        <w:rPr>
          <w:rFonts w:asciiTheme="majorHAnsi" w:eastAsia="Times New Roman" w:hAnsiTheme="majorHAnsi" w:cstheme="majorHAnsi"/>
          <w:sz w:val="24"/>
          <w:szCs w:val="24"/>
          <w:lang w:val="ro-MD"/>
        </w:rPr>
        <w:t xml:space="preserve"> </w:t>
      </w:r>
      <w:r w:rsidR="0026242A">
        <w:rPr>
          <w:rFonts w:asciiTheme="majorHAnsi" w:eastAsia="Times New Roman" w:hAnsiTheme="majorHAnsi" w:cstheme="majorHAnsi"/>
          <w:sz w:val="24"/>
          <w:szCs w:val="24"/>
          <w:lang w:val="ro-MD"/>
        </w:rPr>
        <w:t xml:space="preserve">a scopului </w:t>
      </w:r>
      <w:r w:rsidR="00AA7FFE">
        <w:rPr>
          <w:rFonts w:asciiTheme="majorHAnsi" w:eastAsia="Times New Roman" w:hAnsiTheme="majorHAnsi" w:cstheme="majorHAnsi"/>
          <w:sz w:val="24"/>
          <w:szCs w:val="24"/>
          <w:lang w:val="ro-MD"/>
        </w:rPr>
        <w:t>Programului menționat</w:t>
      </w:r>
      <w:r w:rsidR="00175F91">
        <w:rPr>
          <w:rFonts w:asciiTheme="majorHAnsi" w:eastAsia="Times New Roman" w:hAnsiTheme="majorHAnsi" w:cstheme="majorHAnsi"/>
          <w:sz w:val="24"/>
          <w:szCs w:val="24"/>
          <w:lang w:val="ro-MD"/>
        </w:rPr>
        <w:t xml:space="preserve"> și valorificarea ineficientă a granturilor acordate.</w:t>
      </w:r>
      <w:r w:rsidR="00AF38A5">
        <w:rPr>
          <w:rFonts w:asciiTheme="majorHAnsi" w:eastAsia="Times New Roman" w:hAnsiTheme="majorHAnsi" w:cstheme="majorHAnsi"/>
          <w:sz w:val="24"/>
          <w:szCs w:val="24"/>
          <w:lang w:val="ro-MD"/>
        </w:rPr>
        <w:t xml:space="preserve"> </w:t>
      </w:r>
    </w:p>
    <w:p w:rsidR="004B07DC" w:rsidRDefault="004B07DC" w:rsidP="001F75DB">
      <w:pPr>
        <w:pStyle w:val="a5"/>
        <w:tabs>
          <w:tab w:val="left" w:pos="0"/>
        </w:tabs>
        <w:spacing w:after="0" w:line="276" w:lineRule="auto"/>
        <w:ind w:left="0"/>
        <w:jc w:val="both"/>
        <w:rPr>
          <w:rFonts w:asciiTheme="majorHAnsi" w:hAnsiTheme="majorHAnsi" w:cstheme="majorHAnsi"/>
          <w:sz w:val="24"/>
          <w:szCs w:val="24"/>
          <w:lang w:val="ro-MD"/>
        </w:rPr>
      </w:pPr>
    </w:p>
    <w:p w:rsidR="00125D9C" w:rsidRPr="00CE09A8" w:rsidRDefault="00125D9C" w:rsidP="00125D9C">
      <w:pPr>
        <w:pStyle w:val="a5"/>
        <w:numPr>
          <w:ilvl w:val="0"/>
          <w:numId w:val="1"/>
        </w:numPr>
        <w:spacing w:before="240" w:after="0" w:line="276" w:lineRule="auto"/>
        <w:ind w:left="992" w:hanging="357"/>
        <w:outlineLvl w:val="0"/>
        <w:rPr>
          <w:rFonts w:asciiTheme="majorHAnsi" w:hAnsiTheme="majorHAnsi" w:cs="Times New Roman"/>
          <w:b/>
          <w:sz w:val="28"/>
          <w:szCs w:val="28"/>
          <w:lang w:val="ro-MD"/>
        </w:rPr>
      </w:pPr>
      <w:bookmarkStart w:id="6" w:name="_Toc532292932"/>
      <w:bookmarkStart w:id="7" w:name="_Toc530056761"/>
      <w:r w:rsidRPr="00CE09A8">
        <w:rPr>
          <w:rFonts w:asciiTheme="majorHAnsi" w:hAnsiTheme="majorHAnsi" w:cs="Times New Roman"/>
          <w:b/>
          <w:sz w:val="28"/>
          <w:szCs w:val="28"/>
          <w:lang w:val="ro-MD"/>
        </w:rPr>
        <w:t>RESPONSABILITĂȚILE CONDUCERII PENTRU RAPOARTELE FINANCIAR</w:t>
      </w:r>
      <w:bookmarkEnd w:id="6"/>
      <w:r w:rsidRPr="00CE09A8">
        <w:rPr>
          <w:rFonts w:asciiTheme="majorHAnsi" w:hAnsiTheme="majorHAnsi" w:cs="Times New Roman"/>
          <w:b/>
          <w:sz w:val="28"/>
          <w:szCs w:val="28"/>
          <w:lang w:val="ro-MD"/>
        </w:rPr>
        <w:t xml:space="preserve">E </w:t>
      </w:r>
      <w:bookmarkEnd w:id="7"/>
    </w:p>
    <w:p w:rsidR="00125D9C" w:rsidRDefault="006111FC" w:rsidP="001D6C36">
      <w:pPr>
        <w:tabs>
          <w:tab w:val="left" w:pos="720"/>
        </w:tabs>
        <w:spacing w:after="0" w:line="276" w:lineRule="auto"/>
        <w:contextualSpacing/>
        <w:jc w:val="both"/>
        <w:rPr>
          <w:rFonts w:asciiTheme="majorHAnsi" w:hAnsiTheme="majorHAnsi" w:cs="Times New Roman"/>
          <w:sz w:val="24"/>
          <w:szCs w:val="24"/>
          <w:lang w:val="ro-MD"/>
        </w:rPr>
      </w:pPr>
      <w:r>
        <w:rPr>
          <w:rFonts w:asciiTheme="majorHAnsi" w:hAnsiTheme="majorHAnsi" w:cs="Times New Roman"/>
          <w:sz w:val="24"/>
          <w:szCs w:val="24"/>
          <w:lang w:val="ro-MD"/>
        </w:rPr>
        <w:t xml:space="preserve">Ministrul </w:t>
      </w:r>
      <w:r w:rsidR="009F2D04">
        <w:rPr>
          <w:rFonts w:asciiTheme="majorHAnsi" w:hAnsiTheme="majorHAnsi" w:cs="Times New Roman"/>
          <w:sz w:val="24"/>
          <w:szCs w:val="24"/>
          <w:lang w:val="ro-MD"/>
        </w:rPr>
        <w:t>Economiei</w:t>
      </w:r>
      <w:r w:rsidR="0061789A">
        <w:rPr>
          <w:rFonts w:asciiTheme="majorHAnsi" w:hAnsiTheme="majorHAnsi" w:cs="Times New Roman"/>
          <w:sz w:val="24"/>
          <w:szCs w:val="24"/>
          <w:lang w:val="ro-MD"/>
        </w:rPr>
        <w:t>, în calitate de conducător al organului central de specialitate al administrației publice,</w:t>
      </w:r>
      <w:r w:rsidR="00125D9C" w:rsidRPr="006D6099">
        <w:rPr>
          <w:rFonts w:asciiTheme="majorHAnsi" w:hAnsiTheme="majorHAnsi" w:cs="Times New Roman"/>
          <w:sz w:val="24"/>
          <w:szCs w:val="24"/>
          <w:lang w:val="ro-MD"/>
        </w:rPr>
        <w:t xml:space="preserve"> este responsabil de întocmirea și prezentarea corectă și fidelă a rapoartelor financiare</w:t>
      </w:r>
      <w:r w:rsidR="0061789A">
        <w:rPr>
          <w:rFonts w:asciiTheme="majorHAnsi" w:hAnsiTheme="majorHAnsi" w:cs="Times New Roman"/>
          <w:sz w:val="24"/>
          <w:szCs w:val="24"/>
          <w:lang w:val="ro-MD"/>
        </w:rPr>
        <w:t xml:space="preserve"> consolidate</w:t>
      </w:r>
      <w:r w:rsidR="00125D9C" w:rsidRPr="006D6099">
        <w:rPr>
          <w:rStyle w:val="a9"/>
          <w:rFonts w:asciiTheme="majorHAnsi" w:hAnsiTheme="majorHAnsi"/>
          <w:lang w:val="ro-MD"/>
        </w:rPr>
        <w:footnoteReference w:id="3"/>
      </w:r>
      <w:r w:rsidR="00125D9C" w:rsidRPr="006D6099">
        <w:rPr>
          <w:rFonts w:asciiTheme="majorHAnsi" w:hAnsiTheme="majorHAnsi" w:cs="Times New Roman"/>
          <w:sz w:val="24"/>
          <w:szCs w:val="24"/>
          <w:lang w:val="ro-MD"/>
        </w:rPr>
        <w:t xml:space="preserve"> în conformitate cu cadrul de raportare financiară aplicabil</w:t>
      </w:r>
      <w:r w:rsidR="00125D9C" w:rsidRPr="006D6099">
        <w:rPr>
          <w:rStyle w:val="a9"/>
          <w:rFonts w:asciiTheme="majorHAnsi" w:hAnsiTheme="majorHAnsi"/>
          <w:lang w:val="ro-MD"/>
        </w:rPr>
        <w:footnoteReference w:id="4"/>
      </w:r>
      <w:r w:rsidR="002330D4">
        <w:rPr>
          <w:rFonts w:asciiTheme="majorHAnsi" w:hAnsiTheme="majorHAnsi" w:cs="Times New Roman"/>
          <w:sz w:val="24"/>
          <w:szCs w:val="24"/>
          <w:lang w:val="ro-MD"/>
        </w:rPr>
        <w:t xml:space="preserve">. </w:t>
      </w:r>
      <w:r w:rsidR="00125D9C" w:rsidRPr="001D6C36">
        <w:rPr>
          <w:rFonts w:asciiTheme="majorHAnsi" w:hAnsiTheme="majorHAnsi" w:cs="Times New Roman"/>
          <w:sz w:val="24"/>
          <w:szCs w:val="24"/>
          <w:lang w:val="ro-MD"/>
        </w:rPr>
        <w:t xml:space="preserve">Totodată, </w:t>
      </w:r>
      <w:r w:rsidR="00A03FE5">
        <w:rPr>
          <w:rFonts w:asciiTheme="majorHAnsi" w:hAnsiTheme="majorHAnsi" w:cs="Times New Roman"/>
          <w:sz w:val="24"/>
          <w:szCs w:val="24"/>
          <w:lang w:val="ro-MD"/>
        </w:rPr>
        <w:t xml:space="preserve">Ministrul </w:t>
      </w:r>
      <w:r w:rsidR="009F2D04">
        <w:rPr>
          <w:rFonts w:asciiTheme="majorHAnsi" w:hAnsiTheme="majorHAnsi" w:cs="Times New Roman"/>
          <w:sz w:val="24"/>
          <w:szCs w:val="24"/>
          <w:lang w:val="ro-MD"/>
        </w:rPr>
        <w:t>Economiei</w:t>
      </w:r>
      <w:r w:rsidR="00125D9C" w:rsidRPr="001D6C36">
        <w:rPr>
          <w:rFonts w:asciiTheme="majorHAnsi" w:hAnsiTheme="majorHAnsi" w:cs="Times New Roman"/>
          <w:sz w:val="24"/>
          <w:szCs w:val="24"/>
          <w:lang w:val="ro-MD"/>
        </w:rPr>
        <w:t xml:space="preserve"> </w:t>
      </w:r>
      <w:r w:rsidR="001F6717">
        <w:rPr>
          <w:rFonts w:asciiTheme="majorHAnsi" w:hAnsiTheme="majorHAnsi" w:cs="Times New Roman"/>
          <w:sz w:val="24"/>
          <w:szCs w:val="24"/>
          <w:lang w:val="ro-MD"/>
        </w:rPr>
        <w:t>poartă răspundere</w:t>
      </w:r>
      <w:r w:rsidR="00125D9C" w:rsidRPr="001D6C36">
        <w:rPr>
          <w:rFonts w:asciiTheme="majorHAnsi" w:hAnsiTheme="majorHAnsi" w:cs="Times New Roman"/>
          <w:sz w:val="24"/>
          <w:szCs w:val="24"/>
          <w:lang w:val="ro-MD"/>
        </w:rPr>
        <w:t xml:space="preserve"> pentru </w:t>
      </w:r>
      <w:r w:rsidR="002330D4" w:rsidRPr="001D6C36">
        <w:rPr>
          <w:rFonts w:asciiTheme="majorHAnsi" w:hAnsiTheme="majorHAnsi" w:cs="Times New Roman"/>
          <w:sz w:val="24"/>
          <w:szCs w:val="24"/>
          <w:lang w:val="ro-MD"/>
        </w:rPr>
        <w:t>organizarea controlului intern managerial, care să asigure întocmirea rapoartelor financiare ce nu conțin denaturări semnificative, cauzate de fraudă și/sau eroare</w:t>
      </w:r>
      <w:r w:rsidR="005E4823" w:rsidRPr="001D6C36">
        <w:rPr>
          <w:rFonts w:asciiTheme="majorHAnsi" w:hAnsiTheme="majorHAnsi" w:cs="Times New Roman"/>
          <w:sz w:val="24"/>
          <w:szCs w:val="24"/>
          <w:lang w:val="ro-MD"/>
        </w:rPr>
        <w:t xml:space="preserve">, precum și pentru </w:t>
      </w:r>
      <w:r w:rsidR="005E4823" w:rsidRPr="001D6C36">
        <w:rPr>
          <w:rFonts w:asciiTheme="majorHAnsi" w:hAnsiTheme="majorHAnsi" w:cstheme="majorHAnsi"/>
          <w:color w:val="000000"/>
          <w:sz w:val="24"/>
          <w:szCs w:val="24"/>
          <w:lang w:val="ro-MD"/>
        </w:rPr>
        <w:t>organizarea eficientă a activității economice per ansamblu, inclusiv prin respectarea strictă a integrității activelor și exactitatea înregistrărilor contabile.</w:t>
      </w:r>
    </w:p>
    <w:p w:rsidR="00125D9C" w:rsidRPr="00CE09A8" w:rsidRDefault="00125D9C" w:rsidP="00125D9C">
      <w:pPr>
        <w:pStyle w:val="a5"/>
        <w:numPr>
          <w:ilvl w:val="0"/>
          <w:numId w:val="1"/>
        </w:numPr>
        <w:spacing w:before="240" w:after="0" w:line="276" w:lineRule="auto"/>
        <w:ind w:left="992" w:hanging="357"/>
        <w:outlineLvl w:val="0"/>
        <w:rPr>
          <w:rFonts w:asciiTheme="majorHAnsi" w:hAnsiTheme="majorHAnsi" w:cs="Times New Roman"/>
          <w:b/>
          <w:sz w:val="28"/>
          <w:szCs w:val="28"/>
          <w:lang w:val="ro-MD"/>
        </w:rPr>
      </w:pPr>
      <w:bookmarkStart w:id="8" w:name="_Toc532292933"/>
      <w:bookmarkStart w:id="9" w:name="_Toc530056762"/>
      <w:r w:rsidRPr="00CE09A8">
        <w:rPr>
          <w:rFonts w:asciiTheme="majorHAnsi" w:hAnsiTheme="majorHAnsi" w:cs="Times New Roman"/>
          <w:b/>
          <w:sz w:val="28"/>
          <w:szCs w:val="28"/>
          <w:lang w:val="ro-MD"/>
        </w:rPr>
        <w:t>RESPONSABILITĂȚILE AUDITORULUI ÎNTR-UN AUDIT AL RAPOARTELOR FINANCIAR</w:t>
      </w:r>
      <w:bookmarkEnd w:id="8"/>
      <w:r w:rsidRPr="00CE09A8">
        <w:rPr>
          <w:rFonts w:asciiTheme="majorHAnsi" w:hAnsiTheme="majorHAnsi" w:cs="Times New Roman"/>
          <w:b/>
          <w:sz w:val="28"/>
          <w:szCs w:val="28"/>
          <w:lang w:val="ro-MD"/>
        </w:rPr>
        <w:t xml:space="preserve">E </w:t>
      </w:r>
      <w:bookmarkEnd w:id="9"/>
    </w:p>
    <w:p w:rsidR="00125D9C" w:rsidRPr="006D6099" w:rsidRDefault="00125D9C" w:rsidP="00125D9C">
      <w:pPr>
        <w:pStyle w:val="Default"/>
        <w:spacing w:line="276" w:lineRule="auto"/>
        <w:jc w:val="both"/>
        <w:rPr>
          <w:rFonts w:asciiTheme="majorHAnsi" w:hAnsiTheme="majorHAnsi" w:cstheme="minorHAnsi"/>
          <w:color w:val="auto"/>
          <w:lang w:val="ro-MD"/>
        </w:rPr>
      </w:pPr>
      <w:r w:rsidRPr="006D6099">
        <w:rPr>
          <w:rFonts w:asciiTheme="majorHAnsi" w:hAnsiTheme="majorHAnsi" w:cstheme="minorHAnsi"/>
          <w:color w:val="auto"/>
          <w:lang w:val="ro-MD"/>
        </w:rPr>
        <w:t>Responsabilitatea noastră este de a planifica și a realiza misiunea de audit</w:t>
      </w:r>
      <w:r w:rsidR="002E03A6">
        <w:rPr>
          <w:rFonts w:asciiTheme="majorHAnsi" w:hAnsiTheme="majorHAnsi" w:cstheme="minorHAnsi"/>
          <w:color w:val="auto"/>
          <w:lang w:val="ro-MD"/>
        </w:rPr>
        <w:t xml:space="preserve"> public</w:t>
      </w:r>
      <w:r w:rsidRPr="006D6099">
        <w:rPr>
          <w:rFonts w:asciiTheme="majorHAnsi" w:hAnsiTheme="majorHAnsi" w:cstheme="minorHAnsi"/>
          <w:color w:val="auto"/>
          <w:lang w:val="ro-MD"/>
        </w:rPr>
        <w:t>, cu obținerea probelor suficiente și adecvate în vederea susținerii bazei pentru opinia de audit. Obiectivele noastre sunt: obținerea unei asigurări rezonabile că rapoartele financiare nu sunt afectate de denaturări semnificative, cauzate de fraude și/sau erori, precum și emiterea unei opinii.</w:t>
      </w:r>
    </w:p>
    <w:p w:rsidR="00125D9C" w:rsidRDefault="00125D9C" w:rsidP="00125D9C">
      <w:pPr>
        <w:pStyle w:val="Default"/>
        <w:spacing w:line="276" w:lineRule="auto"/>
        <w:jc w:val="both"/>
        <w:rPr>
          <w:rFonts w:asciiTheme="majorHAnsi" w:hAnsiTheme="majorHAnsi" w:cstheme="minorHAnsi"/>
          <w:color w:val="auto"/>
          <w:lang w:val="ro-MD"/>
        </w:rPr>
      </w:pPr>
      <w:r w:rsidRPr="006D6099">
        <w:rPr>
          <w:rFonts w:asciiTheme="majorHAnsi" w:hAnsiTheme="majorHAnsi" w:cstheme="minorHAnsi"/>
          <w:color w:val="auto"/>
          <w:lang w:val="ro-MD"/>
        </w:rPr>
        <w:t xml:space="preserve">Asigurarea rezonabilă este un nivel ridicat de asigurare, dar nu este o garanție că un audit efectuat în conformitate cu ISSAI va detecta întotdeauna o denaturare semnificativă atunci când ea există. Denaturările pot fi urmare a fraudelor sau erorilor. Totodată, denaturările pot fi considerate semnificative dacă, în mod individual sau în ansamblu, pot influența deciziile economice ale utilizatorilor acestor rapoarte financiare. </w:t>
      </w:r>
    </w:p>
    <w:p w:rsidR="00F775AF" w:rsidRPr="00F775AF" w:rsidRDefault="00F775AF" w:rsidP="00C860B2">
      <w:pPr>
        <w:shd w:val="clear" w:color="auto" w:fill="FFFFFF"/>
        <w:spacing w:after="0" w:line="276" w:lineRule="auto"/>
        <w:jc w:val="both"/>
        <w:rPr>
          <w:rFonts w:asciiTheme="majorHAnsi" w:hAnsiTheme="majorHAnsi" w:cstheme="minorHAnsi"/>
          <w:sz w:val="24"/>
          <w:szCs w:val="24"/>
          <w:lang w:val="ro-MD"/>
        </w:rPr>
      </w:pPr>
      <w:r>
        <w:rPr>
          <w:rFonts w:asciiTheme="majorHAnsi" w:hAnsiTheme="majorHAnsi" w:cstheme="minorHAnsi"/>
          <w:sz w:val="24"/>
          <w:szCs w:val="24"/>
          <w:lang w:val="ro-MD"/>
        </w:rPr>
        <w:t xml:space="preserve">Pentru obținerea </w:t>
      </w:r>
      <w:r w:rsidRPr="00F775AF">
        <w:rPr>
          <w:rFonts w:asciiTheme="majorHAnsi" w:hAnsiTheme="majorHAnsi" w:cstheme="minorHAnsi"/>
          <w:sz w:val="24"/>
          <w:szCs w:val="24"/>
          <w:lang w:val="ro-MD"/>
        </w:rPr>
        <w:t>probe</w:t>
      </w:r>
      <w:r>
        <w:rPr>
          <w:rFonts w:asciiTheme="majorHAnsi" w:hAnsiTheme="majorHAnsi" w:cstheme="minorHAnsi"/>
          <w:sz w:val="24"/>
          <w:szCs w:val="24"/>
          <w:lang w:val="ro-MD"/>
        </w:rPr>
        <w:t>lor</w:t>
      </w:r>
      <w:r w:rsidRPr="00F775AF">
        <w:rPr>
          <w:rFonts w:asciiTheme="majorHAnsi" w:hAnsiTheme="majorHAnsi" w:cstheme="minorHAnsi"/>
          <w:sz w:val="24"/>
          <w:szCs w:val="24"/>
          <w:lang w:val="ro-MD"/>
        </w:rPr>
        <w:t xml:space="preserve"> </w:t>
      </w:r>
      <w:r w:rsidR="00E86677">
        <w:rPr>
          <w:rFonts w:asciiTheme="majorHAnsi" w:hAnsiTheme="majorHAnsi" w:cstheme="minorHAnsi"/>
          <w:sz w:val="24"/>
          <w:szCs w:val="24"/>
          <w:lang w:val="ro-MD"/>
        </w:rPr>
        <w:t>de audit suficiente și adecvate</w:t>
      </w:r>
      <w:r w:rsidRPr="00F775AF">
        <w:rPr>
          <w:rFonts w:asciiTheme="majorHAnsi" w:hAnsiTheme="majorHAnsi" w:cstheme="minorHAnsi"/>
          <w:sz w:val="24"/>
          <w:szCs w:val="24"/>
          <w:lang w:val="ro-MD"/>
        </w:rPr>
        <w:t>, care să susțină concluziile și credibilitatea observațiilor expuse în Raport, prin aplicare</w:t>
      </w:r>
      <w:r>
        <w:rPr>
          <w:rFonts w:asciiTheme="majorHAnsi" w:hAnsiTheme="majorHAnsi" w:cstheme="minorHAnsi"/>
          <w:sz w:val="24"/>
          <w:szCs w:val="24"/>
          <w:lang w:val="ro-MD"/>
        </w:rPr>
        <w:t>a pragului de semnificație, au fost</w:t>
      </w:r>
      <w:r w:rsidRPr="00F775AF">
        <w:rPr>
          <w:rFonts w:asciiTheme="majorHAnsi" w:hAnsiTheme="majorHAnsi" w:cstheme="minorHAnsi"/>
          <w:sz w:val="24"/>
          <w:szCs w:val="24"/>
          <w:lang w:val="ro-MD"/>
        </w:rPr>
        <w:t xml:space="preserve"> utilizate proceduri de verificare, examinare și analiză, cu folosirea diferitor tehnici, cum ar fi: inspectarea, observarea, solicitarea de informații, r</w:t>
      </w:r>
      <w:r w:rsidR="00007835">
        <w:rPr>
          <w:rFonts w:asciiTheme="majorHAnsi" w:hAnsiTheme="majorHAnsi" w:cstheme="minorHAnsi"/>
          <w:sz w:val="24"/>
          <w:szCs w:val="24"/>
          <w:lang w:val="ro-MD"/>
        </w:rPr>
        <w:t>ecalcularea, intervievarea etc. T</w:t>
      </w:r>
      <w:r w:rsidRPr="00F775AF">
        <w:rPr>
          <w:rFonts w:asciiTheme="majorHAnsi" w:hAnsiTheme="majorHAnsi" w:cstheme="minorHAnsi"/>
          <w:sz w:val="24"/>
          <w:szCs w:val="24"/>
          <w:lang w:val="ro-MD"/>
        </w:rPr>
        <w:t>oate observațiile auditorului, inclusiv deficiențele semnificat</w:t>
      </w:r>
      <w:r>
        <w:rPr>
          <w:rFonts w:asciiTheme="majorHAnsi" w:hAnsiTheme="majorHAnsi" w:cstheme="minorHAnsi"/>
          <w:sz w:val="24"/>
          <w:szCs w:val="24"/>
          <w:lang w:val="ro-MD"/>
        </w:rPr>
        <w:t>ive ale controlului intern</w:t>
      </w:r>
      <w:r w:rsidR="002E03A6">
        <w:rPr>
          <w:rFonts w:asciiTheme="majorHAnsi" w:hAnsiTheme="majorHAnsi" w:cstheme="minorHAnsi"/>
          <w:sz w:val="24"/>
          <w:szCs w:val="24"/>
          <w:lang w:val="ro-MD"/>
        </w:rPr>
        <w:t xml:space="preserve"> managerial</w:t>
      </w:r>
      <w:r>
        <w:rPr>
          <w:rFonts w:asciiTheme="majorHAnsi" w:hAnsiTheme="majorHAnsi" w:cstheme="minorHAnsi"/>
          <w:sz w:val="24"/>
          <w:szCs w:val="24"/>
          <w:lang w:val="ro-MD"/>
        </w:rPr>
        <w:t>, au fost</w:t>
      </w:r>
      <w:r w:rsidRPr="00F775AF">
        <w:rPr>
          <w:rFonts w:asciiTheme="majorHAnsi" w:hAnsiTheme="majorHAnsi" w:cstheme="minorHAnsi"/>
          <w:sz w:val="24"/>
          <w:szCs w:val="24"/>
          <w:lang w:val="ro-MD"/>
        </w:rPr>
        <w:t xml:space="preserve"> comunicate entităților auditate pe parcursul misiunii de audit.</w:t>
      </w:r>
    </w:p>
    <w:p w:rsidR="00F775AF" w:rsidRPr="00F775AF" w:rsidRDefault="00F775AF" w:rsidP="00125D9C">
      <w:pPr>
        <w:pStyle w:val="Default"/>
        <w:spacing w:line="276" w:lineRule="auto"/>
        <w:jc w:val="both"/>
        <w:rPr>
          <w:rFonts w:asciiTheme="majorHAnsi" w:hAnsiTheme="majorHAnsi" w:cstheme="minorHAnsi"/>
          <w:color w:val="auto"/>
        </w:rPr>
      </w:pPr>
    </w:p>
    <w:p w:rsidR="00125D9C" w:rsidRPr="006D6099" w:rsidRDefault="00125D9C" w:rsidP="00125D9C">
      <w:pPr>
        <w:spacing w:after="0" w:line="276" w:lineRule="auto"/>
        <w:jc w:val="both"/>
        <w:rPr>
          <w:rFonts w:asciiTheme="majorHAnsi" w:eastAsia="Times New Roman" w:hAnsiTheme="majorHAnsi" w:cs="Times New Roman"/>
          <w:b/>
          <w:i/>
          <w:sz w:val="24"/>
          <w:szCs w:val="24"/>
          <w:lang w:val="ro-MD" w:eastAsia="ro-MD"/>
        </w:rPr>
      </w:pPr>
      <w:r w:rsidRPr="006D6099">
        <w:rPr>
          <w:rFonts w:asciiTheme="majorHAnsi" w:eastAsia="Times New Roman" w:hAnsiTheme="majorHAnsi" w:cs="Times New Roman"/>
          <w:b/>
          <w:i/>
          <w:sz w:val="24"/>
          <w:szCs w:val="24"/>
          <w:lang w:val="ro-MD" w:eastAsia="ro-MD"/>
        </w:rPr>
        <w:t>Responsabili de întocmirea Raportului de audit:</w:t>
      </w:r>
    </w:p>
    <w:p w:rsidR="00125D9C" w:rsidRPr="006D6099" w:rsidRDefault="00923A7D" w:rsidP="00125D9C">
      <w:pPr>
        <w:spacing w:after="0" w:line="276" w:lineRule="auto"/>
        <w:jc w:val="both"/>
        <w:rPr>
          <w:rFonts w:asciiTheme="majorHAnsi" w:eastAsia="Times New Roman" w:hAnsiTheme="majorHAnsi" w:cs="Times New Roman"/>
          <w:sz w:val="24"/>
          <w:szCs w:val="24"/>
          <w:lang w:val="ro-MD" w:eastAsia="ro-MD"/>
        </w:rPr>
      </w:pPr>
      <w:r>
        <w:rPr>
          <w:rFonts w:asciiTheme="majorHAnsi" w:eastAsia="Times New Roman" w:hAnsiTheme="majorHAnsi" w:cs="Times New Roman"/>
          <w:sz w:val="24"/>
          <w:szCs w:val="24"/>
          <w:lang w:val="ro-MD" w:eastAsia="ro-MD"/>
        </w:rPr>
        <w:t>Șefa</w:t>
      </w:r>
      <w:r w:rsidR="00125D9C" w:rsidRPr="006D6099">
        <w:rPr>
          <w:rFonts w:asciiTheme="majorHAnsi" w:eastAsia="Times New Roman" w:hAnsiTheme="majorHAnsi" w:cs="Times New Roman"/>
          <w:sz w:val="24"/>
          <w:szCs w:val="24"/>
          <w:lang w:val="ro-MD" w:eastAsia="ro-MD"/>
        </w:rPr>
        <w:t xml:space="preserve"> echipei de audit,</w:t>
      </w:r>
    </w:p>
    <w:p w:rsidR="00125D9C" w:rsidRPr="006D6099" w:rsidRDefault="001E0AD8" w:rsidP="00125D9C">
      <w:pPr>
        <w:spacing w:after="0" w:line="276" w:lineRule="auto"/>
        <w:jc w:val="both"/>
        <w:rPr>
          <w:rFonts w:asciiTheme="majorHAnsi" w:eastAsia="Times New Roman" w:hAnsiTheme="majorHAnsi" w:cs="Times New Roman"/>
          <w:sz w:val="24"/>
          <w:szCs w:val="24"/>
          <w:lang w:val="ro-MD" w:eastAsia="ro-MD"/>
        </w:rPr>
      </w:pPr>
      <w:r>
        <w:rPr>
          <w:rFonts w:asciiTheme="majorHAnsi" w:eastAsia="Times New Roman" w:hAnsiTheme="majorHAnsi" w:cs="Times New Roman"/>
          <w:sz w:val="24"/>
          <w:szCs w:val="24"/>
          <w:lang w:val="ro-MD" w:eastAsia="ro-MD"/>
        </w:rPr>
        <w:t>Audito</w:t>
      </w:r>
      <w:r w:rsidR="00923A7D">
        <w:rPr>
          <w:rFonts w:asciiTheme="majorHAnsi" w:eastAsia="Times New Roman" w:hAnsiTheme="majorHAnsi" w:cs="Times New Roman"/>
          <w:sz w:val="24"/>
          <w:szCs w:val="24"/>
          <w:lang w:val="ro-MD" w:eastAsia="ro-MD"/>
        </w:rPr>
        <w:t>a</w:t>
      </w:r>
      <w:r>
        <w:rPr>
          <w:rFonts w:asciiTheme="majorHAnsi" w:eastAsia="Times New Roman" w:hAnsiTheme="majorHAnsi" w:cs="Times New Roman"/>
          <w:sz w:val="24"/>
          <w:szCs w:val="24"/>
          <w:lang w:val="ro-MD" w:eastAsia="ro-MD"/>
        </w:rPr>
        <w:t>r</w:t>
      </w:r>
      <w:r w:rsidR="00923A7D">
        <w:rPr>
          <w:rFonts w:asciiTheme="majorHAnsi" w:eastAsia="Times New Roman" w:hAnsiTheme="majorHAnsi" w:cs="Times New Roman"/>
          <w:sz w:val="24"/>
          <w:szCs w:val="24"/>
          <w:lang w:val="ro-MD" w:eastAsia="ro-MD"/>
        </w:rPr>
        <w:t>e</w:t>
      </w:r>
      <w:r>
        <w:rPr>
          <w:rFonts w:asciiTheme="majorHAnsi" w:eastAsia="Times New Roman" w:hAnsiTheme="majorHAnsi" w:cs="Times New Roman"/>
          <w:sz w:val="24"/>
          <w:szCs w:val="24"/>
          <w:lang w:val="ro-MD" w:eastAsia="ro-MD"/>
        </w:rPr>
        <w:t xml:space="preserve"> public</w:t>
      </w:r>
      <w:r w:rsidR="00923A7D">
        <w:rPr>
          <w:rFonts w:asciiTheme="majorHAnsi" w:eastAsia="Times New Roman" w:hAnsiTheme="majorHAnsi" w:cs="Times New Roman"/>
          <w:sz w:val="24"/>
          <w:szCs w:val="24"/>
          <w:lang w:val="ro-MD" w:eastAsia="ro-MD"/>
        </w:rPr>
        <w:t>ă</w:t>
      </w:r>
      <w:r>
        <w:rPr>
          <w:rFonts w:asciiTheme="majorHAnsi" w:eastAsia="Times New Roman" w:hAnsiTheme="majorHAnsi" w:cs="Times New Roman"/>
          <w:sz w:val="24"/>
          <w:szCs w:val="24"/>
          <w:lang w:val="ro-MD" w:eastAsia="ro-MD"/>
        </w:rPr>
        <w:t xml:space="preserve"> principal</w:t>
      </w:r>
      <w:r w:rsidR="00923A7D">
        <w:rPr>
          <w:rFonts w:asciiTheme="majorHAnsi" w:eastAsia="Times New Roman" w:hAnsiTheme="majorHAnsi" w:cs="Times New Roman"/>
          <w:sz w:val="24"/>
          <w:szCs w:val="24"/>
          <w:lang w:val="ro-MD" w:eastAsia="ro-MD"/>
        </w:rPr>
        <w:t>ă</w:t>
      </w:r>
      <w:r>
        <w:rPr>
          <w:rFonts w:asciiTheme="majorHAnsi" w:hAnsiTheme="majorHAnsi" w:cs="Times New Roman"/>
          <w:sz w:val="24"/>
          <w:szCs w:val="24"/>
          <w:lang w:val="ro-MD"/>
        </w:rPr>
        <w:tab/>
      </w:r>
      <w:r>
        <w:rPr>
          <w:rFonts w:asciiTheme="majorHAnsi" w:hAnsiTheme="majorHAnsi" w:cs="Times New Roman"/>
          <w:sz w:val="24"/>
          <w:szCs w:val="24"/>
          <w:lang w:val="ro-MD"/>
        </w:rPr>
        <w:tab/>
      </w:r>
      <w:r>
        <w:rPr>
          <w:rFonts w:asciiTheme="majorHAnsi" w:hAnsiTheme="majorHAnsi" w:cs="Times New Roman"/>
          <w:sz w:val="24"/>
          <w:szCs w:val="24"/>
          <w:lang w:val="ro-MD"/>
        </w:rPr>
        <w:tab/>
      </w:r>
      <w:r>
        <w:rPr>
          <w:rFonts w:asciiTheme="majorHAnsi" w:hAnsiTheme="majorHAnsi" w:cs="Times New Roman"/>
          <w:sz w:val="24"/>
          <w:szCs w:val="24"/>
          <w:lang w:val="ro-MD"/>
        </w:rPr>
        <w:tab/>
      </w:r>
      <w:r>
        <w:rPr>
          <w:rFonts w:asciiTheme="majorHAnsi" w:hAnsiTheme="majorHAnsi" w:cs="Times New Roman"/>
          <w:sz w:val="24"/>
          <w:szCs w:val="24"/>
          <w:lang w:val="ro-MD"/>
        </w:rPr>
        <w:tab/>
        <w:t>Olga POIANĂ</w:t>
      </w:r>
      <w:r w:rsidR="00125D9C" w:rsidRPr="006D6099">
        <w:rPr>
          <w:rFonts w:asciiTheme="majorHAnsi" w:hAnsiTheme="majorHAnsi" w:cs="Times New Roman"/>
          <w:sz w:val="24"/>
          <w:szCs w:val="24"/>
          <w:lang w:val="ro-MD"/>
        </w:rPr>
        <w:t xml:space="preserve"> </w:t>
      </w:r>
    </w:p>
    <w:p w:rsidR="005063C9" w:rsidRPr="005E601C" w:rsidRDefault="00125D9C" w:rsidP="00125D9C">
      <w:pPr>
        <w:spacing w:after="0" w:line="276" w:lineRule="auto"/>
        <w:jc w:val="both"/>
        <w:rPr>
          <w:rFonts w:asciiTheme="majorHAnsi" w:eastAsia="Times New Roman" w:hAnsiTheme="majorHAnsi" w:cs="Times New Roman"/>
          <w:b/>
          <w:i/>
          <w:sz w:val="24"/>
          <w:szCs w:val="24"/>
          <w:lang w:val="ro-MD" w:eastAsia="ro-MD"/>
        </w:rPr>
      </w:pPr>
      <w:r w:rsidRPr="006D6099">
        <w:rPr>
          <w:rFonts w:asciiTheme="majorHAnsi" w:eastAsia="Times New Roman" w:hAnsiTheme="majorHAnsi" w:cs="Times New Roman"/>
          <w:b/>
          <w:i/>
          <w:sz w:val="24"/>
          <w:szCs w:val="24"/>
          <w:lang w:val="ro-MD" w:eastAsia="ro-MD"/>
        </w:rPr>
        <w:t>Membrii echipei de audit:</w:t>
      </w:r>
    </w:p>
    <w:p w:rsidR="00125D9C" w:rsidRDefault="00125D9C" w:rsidP="00125D9C">
      <w:pPr>
        <w:spacing w:after="0" w:line="276" w:lineRule="auto"/>
        <w:jc w:val="both"/>
        <w:rPr>
          <w:rFonts w:asciiTheme="majorHAnsi" w:hAnsiTheme="majorHAnsi" w:cs="Times New Roman"/>
          <w:sz w:val="24"/>
          <w:szCs w:val="24"/>
          <w:lang w:val="ro-MD"/>
        </w:rPr>
      </w:pPr>
      <w:r w:rsidRPr="006D6099">
        <w:rPr>
          <w:rFonts w:asciiTheme="majorHAnsi" w:eastAsia="Times New Roman" w:hAnsiTheme="majorHAnsi" w:cs="Times New Roman"/>
          <w:sz w:val="24"/>
          <w:szCs w:val="24"/>
          <w:lang w:val="ro-MD" w:eastAsia="ro-MD"/>
        </w:rPr>
        <w:t>Audito</w:t>
      </w:r>
      <w:r w:rsidR="00923A7D">
        <w:rPr>
          <w:rFonts w:asciiTheme="majorHAnsi" w:eastAsia="Times New Roman" w:hAnsiTheme="majorHAnsi" w:cs="Times New Roman"/>
          <w:sz w:val="24"/>
          <w:szCs w:val="24"/>
          <w:lang w:val="ro-MD" w:eastAsia="ro-MD"/>
        </w:rPr>
        <w:t>a</w:t>
      </w:r>
      <w:r w:rsidRPr="006D6099">
        <w:rPr>
          <w:rFonts w:asciiTheme="majorHAnsi" w:eastAsia="Times New Roman" w:hAnsiTheme="majorHAnsi" w:cs="Times New Roman"/>
          <w:sz w:val="24"/>
          <w:szCs w:val="24"/>
          <w:lang w:val="ro-MD" w:eastAsia="ro-MD"/>
        </w:rPr>
        <w:t>r</w:t>
      </w:r>
      <w:r w:rsidR="00923A7D">
        <w:rPr>
          <w:rFonts w:asciiTheme="majorHAnsi" w:eastAsia="Times New Roman" w:hAnsiTheme="majorHAnsi" w:cs="Times New Roman"/>
          <w:sz w:val="24"/>
          <w:szCs w:val="24"/>
          <w:lang w:val="ro-MD" w:eastAsia="ro-MD"/>
        </w:rPr>
        <w:t>e</w:t>
      </w:r>
      <w:r w:rsidRPr="006D6099">
        <w:rPr>
          <w:rFonts w:asciiTheme="majorHAnsi" w:eastAsia="Times New Roman" w:hAnsiTheme="majorHAnsi" w:cs="Times New Roman"/>
          <w:sz w:val="24"/>
          <w:szCs w:val="24"/>
          <w:lang w:val="ro-MD" w:eastAsia="ro-MD"/>
        </w:rPr>
        <w:t xml:space="preserve"> public</w:t>
      </w:r>
      <w:r w:rsidR="00923A7D">
        <w:rPr>
          <w:rFonts w:asciiTheme="majorHAnsi" w:eastAsia="Times New Roman" w:hAnsiTheme="majorHAnsi" w:cs="Times New Roman"/>
          <w:sz w:val="24"/>
          <w:szCs w:val="24"/>
          <w:lang w:val="ro-MD" w:eastAsia="ro-MD"/>
        </w:rPr>
        <w:t>ă</w:t>
      </w:r>
      <w:r w:rsidRPr="006D6099">
        <w:rPr>
          <w:rFonts w:asciiTheme="majorHAnsi" w:eastAsia="Times New Roman" w:hAnsiTheme="majorHAnsi" w:cs="Times New Roman"/>
          <w:sz w:val="24"/>
          <w:szCs w:val="24"/>
          <w:lang w:val="ro-MD" w:eastAsia="ro-MD"/>
        </w:rPr>
        <w:t xml:space="preserve"> principal</w:t>
      </w:r>
      <w:r w:rsidR="00923A7D">
        <w:rPr>
          <w:rFonts w:asciiTheme="majorHAnsi" w:eastAsia="Times New Roman" w:hAnsiTheme="majorHAnsi" w:cs="Times New Roman"/>
          <w:sz w:val="24"/>
          <w:szCs w:val="24"/>
          <w:lang w:val="ro-MD" w:eastAsia="ro-MD"/>
        </w:rPr>
        <w:t>ă</w:t>
      </w:r>
      <w:r w:rsidR="001E0AD8">
        <w:rPr>
          <w:rFonts w:asciiTheme="majorHAnsi" w:hAnsiTheme="majorHAnsi" w:cs="Times New Roman"/>
          <w:sz w:val="24"/>
          <w:szCs w:val="24"/>
          <w:lang w:val="ro-MD"/>
        </w:rPr>
        <w:tab/>
      </w:r>
      <w:r w:rsidR="001E0AD8">
        <w:rPr>
          <w:rFonts w:asciiTheme="majorHAnsi" w:hAnsiTheme="majorHAnsi" w:cs="Times New Roman"/>
          <w:sz w:val="24"/>
          <w:szCs w:val="24"/>
          <w:lang w:val="ro-MD"/>
        </w:rPr>
        <w:tab/>
      </w:r>
      <w:r w:rsidR="001E0AD8">
        <w:rPr>
          <w:rFonts w:asciiTheme="majorHAnsi" w:hAnsiTheme="majorHAnsi" w:cs="Times New Roman"/>
          <w:sz w:val="24"/>
          <w:szCs w:val="24"/>
          <w:lang w:val="ro-MD"/>
        </w:rPr>
        <w:tab/>
      </w:r>
      <w:r w:rsidR="001E0AD8">
        <w:rPr>
          <w:rFonts w:asciiTheme="majorHAnsi" w:hAnsiTheme="majorHAnsi" w:cs="Times New Roman"/>
          <w:sz w:val="24"/>
          <w:szCs w:val="24"/>
          <w:lang w:val="ro-MD"/>
        </w:rPr>
        <w:tab/>
      </w:r>
      <w:r w:rsidR="001E0AD8">
        <w:rPr>
          <w:rFonts w:asciiTheme="majorHAnsi" w:hAnsiTheme="majorHAnsi" w:cs="Times New Roman"/>
          <w:sz w:val="24"/>
          <w:szCs w:val="24"/>
          <w:lang w:val="ro-MD"/>
        </w:rPr>
        <w:tab/>
        <w:t>Elizaveta MUNTEANU</w:t>
      </w:r>
    </w:p>
    <w:p w:rsidR="001E0AD8" w:rsidRDefault="001E0AD8" w:rsidP="00125D9C">
      <w:pPr>
        <w:spacing w:after="0" w:line="276" w:lineRule="auto"/>
        <w:jc w:val="both"/>
        <w:rPr>
          <w:rFonts w:asciiTheme="majorHAnsi" w:hAnsiTheme="majorHAnsi" w:cs="Times New Roman"/>
          <w:sz w:val="24"/>
          <w:szCs w:val="24"/>
          <w:lang w:val="ro-MD"/>
        </w:rPr>
      </w:pPr>
      <w:r w:rsidRPr="006D6099">
        <w:rPr>
          <w:rFonts w:asciiTheme="majorHAnsi" w:eastAsia="Times New Roman" w:hAnsiTheme="majorHAnsi" w:cs="Times New Roman"/>
          <w:sz w:val="24"/>
          <w:szCs w:val="24"/>
          <w:lang w:val="ro-MD" w:eastAsia="ro-MD"/>
        </w:rPr>
        <w:t>Audito</w:t>
      </w:r>
      <w:r w:rsidR="00923A7D">
        <w:rPr>
          <w:rFonts w:asciiTheme="majorHAnsi" w:eastAsia="Times New Roman" w:hAnsiTheme="majorHAnsi" w:cs="Times New Roman"/>
          <w:sz w:val="24"/>
          <w:szCs w:val="24"/>
          <w:lang w:val="ro-MD" w:eastAsia="ro-MD"/>
        </w:rPr>
        <w:t>a</w:t>
      </w:r>
      <w:r w:rsidRPr="006D6099">
        <w:rPr>
          <w:rFonts w:asciiTheme="majorHAnsi" w:eastAsia="Times New Roman" w:hAnsiTheme="majorHAnsi" w:cs="Times New Roman"/>
          <w:sz w:val="24"/>
          <w:szCs w:val="24"/>
          <w:lang w:val="ro-MD" w:eastAsia="ro-MD"/>
        </w:rPr>
        <w:t>r</w:t>
      </w:r>
      <w:r w:rsidR="00923A7D">
        <w:rPr>
          <w:rFonts w:asciiTheme="majorHAnsi" w:eastAsia="Times New Roman" w:hAnsiTheme="majorHAnsi" w:cs="Times New Roman"/>
          <w:sz w:val="24"/>
          <w:szCs w:val="24"/>
          <w:lang w:val="ro-MD" w:eastAsia="ro-MD"/>
        </w:rPr>
        <w:t>e</w:t>
      </w:r>
      <w:r w:rsidRPr="006D6099">
        <w:rPr>
          <w:rFonts w:asciiTheme="majorHAnsi" w:eastAsia="Times New Roman" w:hAnsiTheme="majorHAnsi" w:cs="Times New Roman"/>
          <w:sz w:val="24"/>
          <w:szCs w:val="24"/>
          <w:lang w:val="ro-MD" w:eastAsia="ro-MD"/>
        </w:rPr>
        <w:t xml:space="preserve"> public</w:t>
      </w:r>
      <w:r w:rsidR="00923A7D">
        <w:rPr>
          <w:rFonts w:asciiTheme="majorHAnsi" w:eastAsia="Times New Roman" w:hAnsiTheme="majorHAnsi" w:cs="Times New Roman"/>
          <w:sz w:val="24"/>
          <w:szCs w:val="24"/>
          <w:lang w:val="ro-MD" w:eastAsia="ro-MD"/>
        </w:rPr>
        <w:t>ă</w:t>
      </w:r>
      <w:r w:rsidRPr="006D6099">
        <w:rPr>
          <w:rFonts w:asciiTheme="majorHAnsi" w:eastAsia="Times New Roman" w:hAnsiTheme="majorHAnsi" w:cs="Times New Roman"/>
          <w:sz w:val="24"/>
          <w:szCs w:val="24"/>
          <w:lang w:val="ro-MD" w:eastAsia="ro-MD"/>
        </w:rPr>
        <w:t xml:space="preserve"> principal</w:t>
      </w:r>
      <w:r w:rsidR="00923A7D">
        <w:rPr>
          <w:rFonts w:asciiTheme="majorHAnsi" w:eastAsia="Times New Roman" w:hAnsiTheme="majorHAnsi" w:cs="Times New Roman"/>
          <w:sz w:val="24"/>
          <w:szCs w:val="24"/>
          <w:lang w:val="ro-MD" w:eastAsia="ro-MD"/>
        </w:rPr>
        <w:t>ă</w:t>
      </w:r>
      <w:r>
        <w:rPr>
          <w:rFonts w:asciiTheme="majorHAnsi" w:hAnsiTheme="majorHAnsi" w:cs="Times New Roman"/>
          <w:sz w:val="24"/>
          <w:szCs w:val="24"/>
          <w:lang w:val="ro-MD"/>
        </w:rPr>
        <w:tab/>
      </w:r>
      <w:r>
        <w:rPr>
          <w:rFonts w:asciiTheme="majorHAnsi" w:hAnsiTheme="majorHAnsi" w:cs="Times New Roman"/>
          <w:sz w:val="24"/>
          <w:szCs w:val="24"/>
          <w:lang w:val="ro-MD"/>
        </w:rPr>
        <w:tab/>
      </w:r>
      <w:r>
        <w:rPr>
          <w:rFonts w:asciiTheme="majorHAnsi" w:hAnsiTheme="majorHAnsi" w:cs="Times New Roman"/>
          <w:sz w:val="24"/>
          <w:szCs w:val="24"/>
          <w:lang w:val="ro-MD"/>
        </w:rPr>
        <w:tab/>
      </w:r>
      <w:r>
        <w:rPr>
          <w:rFonts w:asciiTheme="majorHAnsi" w:hAnsiTheme="majorHAnsi" w:cs="Times New Roman"/>
          <w:sz w:val="24"/>
          <w:szCs w:val="24"/>
          <w:lang w:val="ro-MD"/>
        </w:rPr>
        <w:tab/>
      </w:r>
      <w:r>
        <w:rPr>
          <w:rFonts w:asciiTheme="majorHAnsi" w:hAnsiTheme="majorHAnsi" w:cs="Times New Roman"/>
          <w:sz w:val="24"/>
          <w:szCs w:val="24"/>
          <w:lang w:val="ro-MD"/>
        </w:rPr>
        <w:tab/>
        <w:t>Lilia BASARAB</w:t>
      </w:r>
    </w:p>
    <w:p w:rsidR="005063C9" w:rsidRPr="006D6099" w:rsidRDefault="005063C9" w:rsidP="00125D9C">
      <w:pPr>
        <w:spacing w:after="0" w:line="276" w:lineRule="auto"/>
        <w:jc w:val="both"/>
        <w:rPr>
          <w:rFonts w:asciiTheme="majorHAnsi" w:hAnsiTheme="majorHAnsi" w:cs="Times New Roman"/>
          <w:b/>
          <w:sz w:val="24"/>
          <w:szCs w:val="24"/>
          <w:lang w:val="ro-MD"/>
        </w:rPr>
      </w:pPr>
      <w:r>
        <w:rPr>
          <w:rFonts w:asciiTheme="majorHAnsi" w:hAnsiTheme="majorHAnsi" w:cs="Times New Roman"/>
          <w:sz w:val="24"/>
          <w:szCs w:val="24"/>
          <w:lang w:val="ro-MD"/>
        </w:rPr>
        <w:t>Audito</w:t>
      </w:r>
      <w:r w:rsidR="00923A7D">
        <w:rPr>
          <w:rFonts w:asciiTheme="majorHAnsi" w:hAnsiTheme="majorHAnsi" w:cs="Times New Roman"/>
          <w:sz w:val="24"/>
          <w:szCs w:val="24"/>
          <w:lang w:val="ro-MD"/>
        </w:rPr>
        <w:t>a</w:t>
      </w:r>
      <w:r>
        <w:rPr>
          <w:rFonts w:asciiTheme="majorHAnsi" w:hAnsiTheme="majorHAnsi" w:cs="Times New Roman"/>
          <w:sz w:val="24"/>
          <w:szCs w:val="24"/>
          <w:lang w:val="ro-MD"/>
        </w:rPr>
        <w:t>r</w:t>
      </w:r>
      <w:r w:rsidR="00923A7D">
        <w:rPr>
          <w:rFonts w:asciiTheme="majorHAnsi" w:hAnsiTheme="majorHAnsi" w:cs="Times New Roman"/>
          <w:sz w:val="24"/>
          <w:szCs w:val="24"/>
          <w:lang w:val="ro-MD"/>
        </w:rPr>
        <w:t>e</w:t>
      </w:r>
      <w:r>
        <w:rPr>
          <w:rFonts w:asciiTheme="majorHAnsi" w:hAnsiTheme="majorHAnsi" w:cs="Times New Roman"/>
          <w:sz w:val="24"/>
          <w:szCs w:val="24"/>
          <w:lang w:val="ro-MD"/>
        </w:rPr>
        <w:t xml:space="preserve"> public</w:t>
      </w:r>
      <w:r w:rsidR="00923A7D">
        <w:rPr>
          <w:rFonts w:asciiTheme="majorHAnsi" w:hAnsiTheme="majorHAnsi" w:cs="Times New Roman"/>
          <w:sz w:val="24"/>
          <w:szCs w:val="24"/>
          <w:lang w:val="ro-MD"/>
        </w:rPr>
        <w:t>ă</w:t>
      </w:r>
      <w:r>
        <w:rPr>
          <w:rFonts w:asciiTheme="majorHAnsi" w:hAnsiTheme="majorHAnsi" w:cs="Times New Roman"/>
          <w:sz w:val="24"/>
          <w:szCs w:val="24"/>
          <w:lang w:val="ro-MD"/>
        </w:rPr>
        <w:t xml:space="preserve">                                                           </w:t>
      </w:r>
      <w:r w:rsidR="002B1E80">
        <w:rPr>
          <w:rFonts w:asciiTheme="majorHAnsi" w:hAnsiTheme="majorHAnsi" w:cs="Times New Roman"/>
          <w:sz w:val="24"/>
          <w:szCs w:val="24"/>
          <w:lang w:val="ro-MD"/>
        </w:rPr>
        <w:t xml:space="preserve">                Olga CAPAȚ</w:t>
      </w:r>
      <w:r>
        <w:rPr>
          <w:rFonts w:asciiTheme="majorHAnsi" w:hAnsiTheme="majorHAnsi" w:cs="Times New Roman"/>
          <w:sz w:val="24"/>
          <w:szCs w:val="24"/>
          <w:lang w:val="ro-MD"/>
        </w:rPr>
        <w:t>INA</w:t>
      </w:r>
    </w:p>
    <w:p w:rsidR="00125D9C" w:rsidRPr="006D6099" w:rsidRDefault="00125D9C" w:rsidP="00125D9C">
      <w:pPr>
        <w:spacing w:after="0" w:line="276" w:lineRule="auto"/>
        <w:jc w:val="both"/>
        <w:rPr>
          <w:rFonts w:asciiTheme="majorHAnsi" w:eastAsia="Times New Roman" w:hAnsiTheme="majorHAnsi" w:cs="Times New Roman"/>
          <w:b/>
          <w:i/>
          <w:sz w:val="24"/>
          <w:szCs w:val="24"/>
          <w:lang w:val="ro-MD"/>
        </w:rPr>
      </w:pPr>
      <w:r w:rsidRPr="006D6099">
        <w:rPr>
          <w:rFonts w:asciiTheme="majorHAnsi" w:eastAsia="Times New Roman" w:hAnsiTheme="majorHAnsi" w:cs="Times New Roman"/>
          <w:b/>
          <w:i/>
          <w:sz w:val="24"/>
          <w:szCs w:val="24"/>
          <w:lang w:val="ro-MD"/>
        </w:rPr>
        <w:t>Responsabil de audit:</w:t>
      </w:r>
    </w:p>
    <w:p w:rsidR="00766247" w:rsidRDefault="00125D9C" w:rsidP="00CA1B54">
      <w:pPr>
        <w:spacing w:after="0" w:line="276" w:lineRule="auto"/>
        <w:jc w:val="both"/>
        <w:rPr>
          <w:rFonts w:asciiTheme="majorHAnsi" w:hAnsiTheme="majorHAnsi" w:cs="Times New Roman"/>
          <w:sz w:val="24"/>
          <w:szCs w:val="24"/>
          <w:lang w:val="ro-MD"/>
        </w:rPr>
      </w:pPr>
      <w:r w:rsidRPr="006D6099">
        <w:rPr>
          <w:rFonts w:asciiTheme="majorHAnsi" w:hAnsiTheme="majorHAnsi" w:cs="Times New Roman"/>
          <w:sz w:val="24"/>
          <w:szCs w:val="24"/>
          <w:lang w:val="ro-MD"/>
        </w:rPr>
        <w:t>Șeful Direcției gene</w:t>
      </w:r>
      <w:r w:rsidR="00CA1B54">
        <w:rPr>
          <w:rFonts w:asciiTheme="majorHAnsi" w:hAnsiTheme="majorHAnsi" w:cs="Times New Roman"/>
          <w:sz w:val="24"/>
          <w:szCs w:val="24"/>
          <w:lang w:val="ro-MD"/>
        </w:rPr>
        <w:t>rale de audit IV</w:t>
      </w:r>
      <w:r w:rsidR="00CA1B54">
        <w:rPr>
          <w:rFonts w:asciiTheme="majorHAnsi" w:hAnsiTheme="majorHAnsi" w:cs="Times New Roman"/>
          <w:sz w:val="24"/>
          <w:szCs w:val="24"/>
          <w:lang w:val="ro-MD"/>
        </w:rPr>
        <w:tab/>
      </w:r>
      <w:r w:rsidR="00CA1B54">
        <w:rPr>
          <w:rFonts w:asciiTheme="majorHAnsi" w:hAnsiTheme="majorHAnsi" w:cs="Times New Roman"/>
          <w:sz w:val="24"/>
          <w:szCs w:val="24"/>
          <w:lang w:val="ro-MD"/>
        </w:rPr>
        <w:tab/>
      </w:r>
      <w:r w:rsidR="00CA1B54">
        <w:rPr>
          <w:rFonts w:asciiTheme="majorHAnsi" w:hAnsiTheme="majorHAnsi" w:cs="Times New Roman"/>
          <w:sz w:val="24"/>
          <w:szCs w:val="24"/>
          <w:lang w:val="ro-MD"/>
        </w:rPr>
        <w:tab/>
      </w:r>
      <w:r w:rsidR="00CA1B54">
        <w:rPr>
          <w:rFonts w:asciiTheme="majorHAnsi" w:hAnsiTheme="majorHAnsi" w:cs="Times New Roman"/>
          <w:sz w:val="24"/>
          <w:szCs w:val="24"/>
          <w:lang w:val="ro-MD"/>
        </w:rPr>
        <w:tab/>
        <w:t>Vasile MOȘOI</w:t>
      </w:r>
    </w:p>
    <w:p w:rsidR="003E33AE" w:rsidRDefault="003E33AE" w:rsidP="00CA1B54">
      <w:pPr>
        <w:spacing w:after="0" w:line="276" w:lineRule="auto"/>
        <w:jc w:val="both"/>
        <w:rPr>
          <w:rFonts w:asciiTheme="majorHAnsi" w:hAnsiTheme="majorHAnsi" w:cs="Times New Roman"/>
          <w:sz w:val="24"/>
          <w:szCs w:val="24"/>
          <w:lang w:val="ro-MD"/>
        </w:rPr>
      </w:pPr>
    </w:p>
    <w:p w:rsidR="003E33AE" w:rsidRPr="00CA1B54" w:rsidRDefault="003E33AE" w:rsidP="00CA1B54">
      <w:pPr>
        <w:spacing w:after="0" w:line="276" w:lineRule="auto"/>
        <w:jc w:val="both"/>
        <w:rPr>
          <w:rFonts w:asciiTheme="majorHAnsi" w:hAnsiTheme="majorHAnsi" w:cs="Times New Roman"/>
          <w:b/>
          <w:sz w:val="24"/>
          <w:szCs w:val="24"/>
          <w:lang w:val="ro-MD"/>
        </w:rPr>
      </w:pPr>
    </w:p>
    <w:sectPr w:rsidR="003E33AE" w:rsidRPr="00CA1B54" w:rsidSect="005063C9">
      <w:footerReference w:type="default" r:id="rId11"/>
      <w:pgSz w:w="11906" w:h="16838" w:code="9"/>
      <w:pgMar w:top="993"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A3" w:rsidRDefault="00074CA3" w:rsidP="00125D9C">
      <w:pPr>
        <w:spacing w:after="0" w:line="240" w:lineRule="auto"/>
      </w:pPr>
      <w:r>
        <w:separator/>
      </w:r>
    </w:p>
  </w:endnote>
  <w:endnote w:type="continuationSeparator" w:id="0">
    <w:p w:rsidR="00074CA3" w:rsidRDefault="00074CA3" w:rsidP="0012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922540"/>
      <w:docPartObj>
        <w:docPartGallery w:val="Page Numbers (Bottom of Page)"/>
        <w:docPartUnique/>
      </w:docPartObj>
    </w:sdtPr>
    <w:sdtEndPr>
      <w:rPr>
        <w:noProof/>
      </w:rPr>
    </w:sdtEndPr>
    <w:sdtContent>
      <w:p w:rsidR="00B07F3D" w:rsidRDefault="00C22F51">
        <w:pPr>
          <w:pStyle w:val="aa"/>
          <w:jc w:val="right"/>
        </w:pPr>
        <w:r>
          <w:fldChar w:fldCharType="begin"/>
        </w:r>
        <w:r>
          <w:instrText xml:space="preserve"> PAGE   \* MERGEFORMAT </w:instrText>
        </w:r>
        <w:r>
          <w:fldChar w:fldCharType="separate"/>
        </w:r>
        <w:r w:rsidR="00521FC1">
          <w:rPr>
            <w:noProof/>
          </w:rPr>
          <w:t>2</w:t>
        </w:r>
        <w:r>
          <w:rPr>
            <w:noProof/>
          </w:rPr>
          <w:fldChar w:fldCharType="end"/>
        </w:r>
      </w:p>
    </w:sdtContent>
  </w:sdt>
  <w:p w:rsidR="00B07F3D" w:rsidRDefault="00074C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A3" w:rsidRDefault="00074CA3" w:rsidP="00125D9C">
      <w:pPr>
        <w:spacing w:after="0" w:line="240" w:lineRule="auto"/>
      </w:pPr>
      <w:r>
        <w:separator/>
      </w:r>
    </w:p>
  </w:footnote>
  <w:footnote w:type="continuationSeparator" w:id="0">
    <w:p w:rsidR="00074CA3" w:rsidRDefault="00074CA3" w:rsidP="00125D9C">
      <w:pPr>
        <w:spacing w:after="0" w:line="240" w:lineRule="auto"/>
      </w:pPr>
      <w:r>
        <w:continuationSeparator/>
      </w:r>
    </w:p>
  </w:footnote>
  <w:footnote w:id="1">
    <w:p w:rsidR="00125D9C" w:rsidRPr="00C55001" w:rsidRDefault="00125D9C" w:rsidP="00125D9C">
      <w:pPr>
        <w:pStyle w:val="a7"/>
        <w:jc w:val="both"/>
        <w:rPr>
          <w:rFonts w:asciiTheme="majorHAnsi" w:hAnsiTheme="majorHAnsi" w:cstheme="majorHAnsi"/>
          <w:sz w:val="16"/>
          <w:szCs w:val="16"/>
          <w:lang w:val="ro-MD"/>
        </w:rPr>
      </w:pPr>
      <w:r w:rsidRPr="00C55001">
        <w:rPr>
          <w:rStyle w:val="a9"/>
          <w:rFonts w:asciiTheme="majorHAnsi" w:hAnsiTheme="majorHAnsi" w:cstheme="majorHAnsi"/>
          <w:sz w:val="16"/>
          <w:szCs w:val="16"/>
          <w:lang w:val="ro-MD"/>
        </w:rPr>
        <w:footnoteRef/>
      </w:r>
      <w:r w:rsidRPr="00C55001">
        <w:rPr>
          <w:rFonts w:asciiTheme="majorHAnsi" w:hAnsiTheme="majorHAnsi" w:cstheme="majorHAnsi"/>
          <w:sz w:val="16"/>
          <w:szCs w:val="16"/>
          <w:lang w:val="ro-MD"/>
        </w:rPr>
        <w:t xml:space="preserve"> Legea contabilității nr.</w:t>
      </w:r>
      <w:r w:rsidRPr="00C55001">
        <w:rPr>
          <w:rFonts w:asciiTheme="majorHAnsi" w:eastAsia="Times New Roman" w:hAnsiTheme="majorHAnsi" w:cstheme="majorHAnsi"/>
          <w:sz w:val="16"/>
          <w:szCs w:val="16"/>
          <w:lang w:val="ro-MD"/>
        </w:rPr>
        <w:t>113-XVI din 27.04.2007;</w:t>
      </w:r>
      <w:r w:rsidRPr="00C55001">
        <w:rPr>
          <w:rFonts w:asciiTheme="majorHAnsi" w:hAnsiTheme="majorHAnsi" w:cstheme="majorHAnsi"/>
          <w:sz w:val="16"/>
          <w:szCs w:val="16"/>
          <w:lang w:val="ro-MD"/>
        </w:rPr>
        <w:t xml:space="preserve"> </w:t>
      </w:r>
      <w:r w:rsidRPr="00C55001">
        <w:rPr>
          <w:rFonts w:asciiTheme="majorHAnsi" w:eastAsia="Times New Roman" w:hAnsiTheme="majorHAnsi" w:cstheme="majorHAnsi"/>
          <w:sz w:val="16"/>
          <w:szCs w:val="16"/>
          <w:lang w:val="ro-MD"/>
        </w:rPr>
        <w:t>Ordinul ministrului finanțelor nr.216 din 28.12.2015 „Cu privire la aprobarea Planului de conturi contabile în sistemul bugetar și</w:t>
      </w:r>
      <w:r w:rsidR="00923A7D">
        <w:rPr>
          <w:rFonts w:asciiTheme="majorHAnsi" w:eastAsia="Times New Roman" w:hAnsiTheme="majorHAnsi" w:cstheme="majorHAnsi"/>
          <w:sz w:val="16"/>
          <w:szCs w:val="16"/>
          <w:lang w:val="ro-MD"/>
        </w:rPr>
        <w:t xml:space="preserve"> a</w:t>
      </w:r>
      <w:r w:rsidRPr="00C55001">
        <w:rPr>
          <w:rFonts w:asciiTheme="majorHAnsi" w:eastAsia="Times New Roman" w:hAnsiTheme="majorHAnsi" w:cstheme="majorHAnsi"/>
          <w:sz w:val="16"/>
          <w:szCs w:val="16"/>
          <w:lang w:val="ro-MD"/>
        </w:rPr>
        <w:t xml:space="preserve"> Normelor metodologice privind evidența contabilă și raportarea financiară în sistemul bugetar</w:t>
      </w:r>
      <w:r w:rsidR="00923A7D">
        <w:rPr>
          <w:rFonts w:asciiTheme="majorHAnsi" w:eastAsia="Times New Roman" w:hAnsiTheme="majorHAnsi" w:cstheme="majorHAnsi"/>
          <w:sz w:val="16"/>
          <w:szCs w:val="16"/>
          <w:lang w:val="ro-MD"/>
        </w:rPr>
        <w:t>”</w:t>
      </w:r>
      <w:r w:rsidRPr="00C55001">
        <w:rPr>
          <w:rFonts w:asciiTheme="majorHAnsi" w:eastAsia="Times New Roman" w:hAnsiTheme="majorHAnsi" w:cstheme="majorHAnsi"/>
          <w:sz w:val="16"/>
          <w:szCs w:val="16"/>
          <w:lang w:val="ro-MD"/>
        </w:rPr>
        <w:t>; Ordinul ministrului finanțelor nr.164 din 30.12.2016 „Cu privire la aprobarea Cerințelor la întocmirea Raportului narativ privind executarea bugetelor autorităților/instituțiilor bugetare”.</w:t>
      </w:r>
    </w:p>
  </w:footnote>
  <w:footnote w:id="2">
    <w:p w:rsidR="00995CCF" w:rsidRPr="00995CCF" w:rsidRDefault="00995CCF" w:rsidP="00995CCF">
      <w:pPr>
        <w:pStyle w:val="a7"/>
        <w:rPr>
          <w:rFonts w:asciiTheme="majorHAnsi" w:hAnsiTheme="majorHAnsi" w:cstheme="majorHAnsi"/>
          <w:sz w:val="16"/>
          <w:szCs w:val="16"/>
        </w:rPr>
      </w:pPr>
      <w:r w:rsidRPr="00995CCF">
        <w:rPr>
          <w:rFonts w:asciiTheme="majorHAnsi" w:hAnsiTheme="majorHAnsi" w:cstheme="majorHAnsi"/>
          <w:sz w:val="16"/>
          <w:szCs w:val="16"/>
          <w:vertAlign w:val="superscript"/>
          <w:lang w:val="ro"/>
        </w:rPr>
        <w:footnoteRef/>
      </w:r>
      <w:r w:rsidRPr="00995CCF">
        <w:rPr>
          <w:rFonts w:asciiTheme="majorHAnsi" w:hAnsiTheme="majorHAnsi" w:cstheme="majorHAnsi"/>
          <w:sz w:val="16"/>
          <w:szCs w:val="16"/>
          <w:lang w:val="ro"/>
        </w:rPr>
        <w:t xml:space="preserve"> Hotărârea Curții de Conturi nr.2 din 24.01.2020 „Cu privire la Cadrul Declarațiilor Profesionale ale INTOSAI”.</w:t>
      </w:r>
    </w:p>
    <w:p w:rsidR="00995CCF" w:rsidRDefault="00995CCF" w:rsidP="00995CCF">
      <w:pPr>
        <w:pStyle w:val="a7"/>
        <w:rPr>
          <w:rFonts w:asciiTheme="majorHAnsi" w:hAnsiTheme="majorHAnsi" w:cstheme="majorHAnsi"/>
        </w:rPr>
      </w:pPr>
    </w:p>
    <w:p w:rsidR="00995CCF" w:rsidRPr="005D3623" w:rsidRDefault="00995CCF" w:rsidP="00995CCF">
      <w:pPr>
        <w:pStyle w:val="a7"/>
        <w:rPr>
          <w:rFonts w:asciiTheme="majorHAnsi" w:hAnsiTheme="majorHAnsi" w:cstheme="majorHAnsi"/>
        </w:rPr>
      </w:pPr>
    </w:p>
  </w:footnote>
  <w:footnote w:id="3">
    <w:p w:rsidR="00125D9C" w:rsidRPr="00067BF1" w:rsidRDefault="00125D9C" w:rsidP="00125D9C">
      <w:pPr>
        <w:pStyle w:val="a7"/>
        <w:jc w:val="both"/>
        <w:rPr>
          <w:rFonts w:asciiTheme="majorHAnsi" w:hAnsiTheme="majorHAnsi" w:cstheme="majorHAnsi"/>
          <w:sz w:val="16"/>
          <w:szCs w:val="18"/>
          <w:lang w:val="ro-MD"/>
        </w:rPr>
      </w:pPr>
      <w:r w:rsidRPr="00067BF1">
        <w:rPr>
          <w:rStyle w:val="a9"/>
          <w:rFonts w:asciiTheme="majorHAnsi" w:hAnsiTheme="majorHAnsi" w:cstheme="majorHAnsi"/>
          <w:sz w:val="16"/>
          <w:szCs w:val="18"/>
          <w:lang w:val="ro-MD"/>
        </w:rPr>
        <w:footnoteRef/>
      </w:r>
      <w:r w:rsidRPr="00067BF1">
        <w:rPr>
          <w:rFonts w:asciiTheme="majorHAnsi" w:hAnsiTheme="majorHAnsi" w:cstheme="majorHAnsi"/>
          <w:sz w:val="16"/>
          <w:szCs w:val="18"/>
          <w:lang w:val="ro-MD"/>
        </w:rPr>
        <w:t xml:space="preserve"> Art.13 alin.(2) din Legea contabili</w:t>
      </w:r>
      <w:r w:rsidR="0061789A">
        <w:rPr>
          <w:rFonts w:asciiTheme="majorHAnsi" w:hAnsiTheme="majorHAnsi" w:cstheme="majorHAnsi"/>
          <w:sz w:val="16"/>
          <w:szCs w:val="18"/>
          <w:lang w:val="ro-MD"/>
        </w:rPr>
        <w:t xml:space="preserve">tății nr.113-XVI din 27.04.2007; </w:t>
      </w:r>
      <w:r w:rsidR="0061789A">
        <w:rPr>
          <w:rFonts w:asciiTheme="majorHAnsi" w:hAnsiTheme="majorHAnsi" w:cstheme="majorHAnsi"/>
          <w:sz w:val="16"/>
          <w:szCs w:val="16"/>
          <w:lang w:val="ro-MD"/>
        </w:rPr>
        <w:t xml:space="preserve">pct.1.4.1.3. din Anexa nr.1 la </w:t>
      </w:r>
      <w:r w:rsidR="0061789A" w:rsidRPr="00B503FD">
        <w:rPr>
          <w:rFonts w:asciiTheme="majorHAnsi" w:eastAsia="Times New Roman" w:hAnsiTheme="majorHAnsi" w:cstheme="majorHAnsi"/>
          <w:sz w:val="16"/>
          <w:szCs w:val="16"/>
          <w:lang w:val="ro-MD"/>
        </w:rPr>
        <w:t>Ordinul ministrului finanțelor nr.216 din 28.12.2015</w:t>
      </w:r>
      <w:r w:rsidR="0061789A">
        <w:rPr>
          <w:rFonts w:asciiTheme="majorHAnsi" w:eastAsia="Times New Roman" w:hAnsiTheme="majorHAnsi" w:cstheme="majorHAnsi"/>
          <w:sz w:val="16"/>
          <w:szCs w:val="16"/>
          <w:lang w:val="ro-MD"/>
        </w:rPr>
        <w:t xml:space="preserve"> „Cu privire la aprobarea </w:t>
      </w:r>
      <w:r w:rsidR="0061789A" w:rsidRPr="00B503FD">
        <w:rPr>
          <w:rFonts w:asciiTheme="majorHAnsi" w:eastAsia="Times New Roman" w:hAnsiTheme="majorHAnsi" w:cstheme="majorHAnsi"/>
          <w:sz w:val="16"/>
          <w:szCs w:val="16"/>
          <w:lang w:val="ro-MD"/>
        </w:rPr>
        <w:t>Planul</w:t>
      </w:r>
      <w:r w:rsidR="0061789A">
        <w:rPr>
          <w:rFonts w:asciiTheme="majorHAnsi" w:eastAsia="Times New Roman" w:hAnsiTheme="majorHAnsi" w:cstheme="majorHAnsi"/>
          <w:sz w:val="16"/>
          <w:szCs w:val="16"/>
          <w:lang w:val="ro-MD"/>
        </w:rPr>
        <w:t>ui</w:t>
      </w:r>
      <w:r w:rsidR="0061789A" w:rsidRPr="00B503FD">
        <w:rPr>
          <w:rFonts w:asciiTheme="majorHAnsi" w:eastAsia="Times New Roman" w:hAnsiTheme="majorHAnsi" w:cstheme="majorHAnsi"/>
          <w:sz w:val="16"/>
          <w:szCs w:val="16"/>
          <w:lang w:val="ro-MD"/>
        </w:rPr>
        <w:t xml:space="preserve"> de conturi contabile în sistemul bugetar și </w:t>
      </w:r>
      <w:r w:rsidR="0061789A">
        <w:rPr>
          <w:rFonts w:asciiTheme="majorHAnsi" w:eastAsia="Times New Roman" w:hAnsiTheme="majorHAnsi" w:cstheme="majorHAnsi"/>
          <w:sz w:val="16"/>
          <w:szCs w:val="16"/>
          <w:lang w:val="ro-MD"/>
        </w:rPr>
        <w:t xml:space="preserve">a </w:t>
      </w:r>
      <w:r w:rsidR="0061789A" w:rsidRPr="00B503FD">
        <w:rPr>
          <w:rFonts w:asciiTheme="majorHAnsi" w:eastAsia="Times New Roman" w:hAnsiTheme="majorHAnsi" w:cstheme="majorHAnsi"/>
          <w:sz w:val="16"/>
          <w:szCs w:val="16"/>
          <w:lang w:val="ro-MD"/>
        </w:rPr>
        <w:t>Normel</w:t>
      </w:r>
      <w:r w:rsidR="0061789A">
        <w:rPr>
          <w:rFonts w:asciiTheme="majorHAnsi" w:eastAsia="Times New Roman" w:hAnsiTheme="majorHAnsi" w:cstheme="majorHAnsi"/>
          <w:sz w:val="16"/>
          <w:szCs w:val="16"/>
          <w:lang w:val="ro-MD"/>
        </w:rPr>
        <w:t>or</w:t>
      </w:r>
      <w:r w:rsidR="0061789A" w:rsidRPr="00B503FD">
        <w:rPr>
          <w:rFonts w:asciiTheme="majorHAnsi" w:eastAsia="Times New Roman" w:hAnsiTheme="majorHAnsi" w:cstheme="majorHAnsi"/>
          <w:sz w:val="16"/>
          <w:szCs w:val="16"/>
          <w:lang w:val="ro-MD"/>
        </w:rPr>
        <w:t xml:space="preserve"> metodologice privind evidența contabilă și raportarea financiară în sistemul bugetar</w:t>
      </w:r>
      <w:r w:rsidR="0061789A">
        <w:rPr>
          <w:rFonts w:asciiTheme="majorHAnsi" w:eastAsia="Times New Roman" w:hAnsiTheme="majorHAnsi" w:cstheme="majorHAnsi"/>
          <w:sz w:val="16"/>
          <w:szCs w:val="16"/>
          <w:lang w:val="ro-MD"/>
        </w:rPr>
        <w:t>”.</w:t>
      </w:r>
    </w:p>
  </w:footnote>
  <w:footnote w:id="4">
    <w:p w:rsidR="00125D9C" w:rsidRPr="007F6AED" w:rsidRDefault="00125D9C" w:rsidP="00125D9C">
      <w:pPr>
        <w:pStyle w:val="a7"/>
        <w:jc w:val="both"/>
        <w:rPr>
          <w:rFonts w:asciiTheme="majorHAnsi" w:hAnsiTheme="majorHAnsi" w:cstheme="majorHAnsi"/>
          <w:sz w:val="18"/>
          <w:szCs w:val="18"/>
          <w:lang w:val="ro-MD"/>
        </w:rPr>
      </w:pPr>
      <w:r w:rsidRPr="00067BF1">
        <w:rPr>
          <w:rStyle w:val="a9"/>
          <w:rFonts w:asciiTheme="majorHAnsi" w:hAnsiTheme="majorHAnsi" w:cstheme="majorHAnsi"/>
          <w:sz w:val="16"/>
          <w:szCs w:val="18"/>
          <w:lang w:val="ro-MD"/>
        </w:rPr>
        <w:footnoteRef/>
      </w:r>
      <w:r w:rsidRPr="00067BF1">
        <w:rPr>
          <w:rFonts w:asciiTheme="majorHAnsi" w:hAnsiTheme="majorHAnsi" w:cstheme="majorHAnsi"/>
          <w:sz w:val="16"/>
          <w:szCs w:val="18"/>
          <w:lang w:val="ro-MD"/>
        </w:rPr>
        <w:t xml:space="preserve"> Legea contabilității nr.</w:t>
      </w:r>
      <w:r w:rsidRPr="00067BF1">
        <w:rPr>
          <w:rFonts w:asciiTheme="majorHAnsi" w:eastAsia="Times New Roman" w:hAnsiTheme="majorHAnsi" w:cstheme="majorHAnsi"/>
          <w:sz w:val="16"/>
          <w:szCs w:val="18"/>
          <w:lang w:val="ro-MD"/>
        </w:rPr>
        <w:t>113-XVI din 27.04.2007;</w:t>
      </w:r>
      <w:r w:rsidRPr="00067BF1">
        <w:rPr>
          <w:rFonts w:asciiTheme="majorHAnsi" w:hAnsiTheme="majorHAnsi" w:cstheme="majorHAnsi"/>
          <w:sz w:val="16"/>
          <w:szCs w:val="18"/>
          <w:lang w:val="ro-MD"/>
        </w:rPr>
        <w:t xml:space="preserve"> </w:t>
      </w:r>
      <w:r w:rsidRPr="00067BF1">
        <w:rPr>
          <w:rFonts w:asciiTheme="majorHAnsi" w:eastAsia="Times New Roman" w:hAnsiTheme="majorHAnsi" w:cstheme="majorHAnsi"/>
          <w:sz w:val="16"/>
          <w:szCs w:val="18"/>
          <w:lang w:val="ro-MD"/>
        </w:rPr>
        <w:t>Ordinul ministrului finanțelor nr.216 din 28.12.2015</w:t>
      </w:r>
      <w:r>
        <w:rPr>
          <w:rFonts w:asciiTheme="majorHAnsi" w:eastAsia="Times New Roman" w:hAnsiTheme="majorHAnsi" w:cstheme="majorHAnsi"/>
          <w:sz w:val="16"/>
          <w:szCs w:val="18"/>
          <w:lang w:val="ro-MD"/>
        </w:rPr>
        <w:t xml:space="preserve"> „Cu privire la aprobarea </w:t>
      </w:r>
      <w:r w:rsidRPr="00067BF1">
        <w:rPr>
          <w:rFonts w:asciiTheme="majorHAnsi" w:eastAsia="Times New Roman" w:hAnsiTheme="majorHAnsi" w:cstheme="majorHAnsi"/>
          <w:sz w:val="16"/>
          <w:szCs w:val="18"/>
          <w:lang w:val="ro-MD"/>
        </w:rPr>
        <w:t>Planul</w:t>
      </w:r>
      <w:r>
        <w:rPr>
          <w:rFonts w:asciiTheme="majorHAnsi" w:eastAsia="Times New Roman" w:hAnsiTheme="majorHAnsi" w:cstheme="majorHAnsi"/>
          <w:sz w:val="16"/>
          <w:szCs w:val="18"/>
          <w:lang w:val="ro-MD"/>
        </w:rPr>
        <w:t>ui</w:t>
      </w:r>
      <w:r w:rsidRPr="00067BF1">
        <w:rPr>
          <w:rFonts w:asciiTheme="majorHAnsi" w:eastAsia="Times New Roman" w:hAnsiTheme="majorHAnsi" w:cstheme="majorHAnsi"/>
          <w:sz w:val="16"/>
          <w:szCs w:val="18"/>
          <w:lang w:val="ro-MD"/>
        </w:rPr>
        <w:t xml:space="preserve"> de conturi contabil</w:t>
      </w:r>
      <w:r>
        <w:rPr>
          <w:rFonts w:asciiTheme="majorHAnsi" w:eastAsia="Times New Roman" w:hAnsiTheme="majorHAnsi" w:cstheme="majorHAnsi"/>
          <w:sz w:val="16"/>
          <w:szCs w:val="18"/>
          <w:lang w:val="ro-MD"/>
        </w:rPr>
        <w:t>e în sistemul bugetar și</w:t>
      </w:r>
      <w:r w:rsidR="00923A7D">
        <w:rPr>
          <w:rFonts w:asciiTheme="majorHAnsi" w:eastAsia="Times New Roman" w:hAnsiTheme="majorHAnsi" w:cstheme="majorHAnsi"/>
          <w:sz w:val="16"/>
          <w:szCs w:val="18"/>
          <w:lang w:val="ro-MD"/>
        </w:rPr>
        <w:t xml:space="preserve"> a</w:t>
      </w:r>
      <w:r>
        <w:rPr>
          <w:rFonts w:asciiTheme="majorHAnsi" w:eastAsia="Times New Roman" w:hAnsiTheme="majorHAnsi" w:cstheme="majorHAnsi"/>
          <w:sz w:val="16"/>
          <w:szCs w:val="18"/>
          <w:lang w:val="ro-MD"/>
        </w:rPr>
        <w:t xml:space="preserve"> Normelor</w:t>
      </w:r>
      <w:r w:rsidRPr="00067BF1">
        <w:rPr>
          <w:rFonts w:asciiTheme="majorHAnsi" w:eastAsia="Times New Roman" w:hAnsiTheme="majorHAnsi" w:cstheme="majorHAnsi"/>
          <w:sz w:val="16"/>
          <w:szCs w:val="18"/>
          <w:lang w:val="ro-MD"/>
        </w:rPr>
        <w:t xml:space="preserve"> metodologice privind evidența contabilă și raportarea financiară în sistem</w:t>
      </w:r>
      <w:r>
        <w:rPr>
          <w:rFonts w:asciiTheme="majorHAnsi" w:eastAsia="Times New Roman" w:hAnsiTheme="majorHAnsi" w:cstheme="majorHAnsi"/>
          <w:sz w:val="16"/>
          <w:szCs w:val="18"/>
          <w:lang w:val="ro-MD"/>
        </w:rPr>
        <w:t>ul bugetar</w:t>
      </w:r>
      <w:r w:rsidR="00923A7D">
        <w:rPr>
          <w:rFonts w:asciiTheme="majorHAnsi" w:eastAsia="Times New Roman" w:hAnsiTheme="majorHAnsi" w:cstheme="majorHAnsi"/>
          <w:sz w:val="16"/>
          <w:szCs w:val="18"/>
          <w:lang w:val="ro-MD"/>
        </w:rPr>
        <w:t>”</w:t>
      </w:r>
      <w:r w:rsidRPr="00067BF1">
        <w:rPr>
          <w:rFonts w:asciiTheme="majorHAnsi" w:eastAsia="Times New Roman" w:hAnsiTheme="majorHAnsi" w:cstheme="majorHAnsi"/>
          <w:sz w:val="16"/>
          <w:szCs w:val="18"/>
          <w:lang w:val="ro-MD"/>
        </w:rPr>
        <w:t xml:space="preserve">; </w:t>
      </w:r>
      <w:r w:rsidRPr="00067BF1">
        <w:rPr>
          <w:rFonts w:asciiTheme="majorHAnsi" w:eastAsia="Times New Roman" w:hAnsiTheme="majorHAnsi" w:cstheme="majorHAnsi"/>
          <w:sz w:val="16"/>
          <w:szCs w:val="18"/>
          <w:lang w:val="ro-RO"/>
        </w:rPr>
        <w:t>Ordinul ministrului finanțelor nr.164 din 30.12.2016 „Cu privire la aprobarea Cerințelor la întocmirea Raportului narativ privind executarea bugetelor autorităților/instituțiilor bugetare”</w:t>
      </w:r>
      <w:r w:rsidRPr="00067BF1">
        <w:rPr>
          <w:rFonts w:asciiTheme="majorHAnsi" w:eastAsia="Times New Roman" w:hAnsiTheme="majorHAnsi" w:cstheme="majorHAnsi"/>
          <w:sz w:val="16"/>
          <w:szCs w:val="18"/>
          <w:lang w:val="ro-M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910F5"/>
    <w:multiLevelType w:val="hybridMultilevel"/>
    <w:tmpl w:val="8122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03823"/>
    <w:multiLevelType w:val="hybridMultilevel"/>
    <w:tmpl w:val="85B8699A"/>
    <w:lvl w:ilvl="0" w:tplc="08180019">
      <w:start w:val="1"/>
      <w:numFmt w:val="lowerLetter"/>
      <w:lvlText w:val="%1."/>
      <w:lvlJc w:val="left"/>
      <w:pPr>
        <w:ind w:left="1080" w:hanging="360"/>
      </w:pPr>
    </w:lvl>
    <w:lvl w:ilvl="1" w:tplc="08180019">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 w15:restartNumberingAfterBreak="0">
    <w:nsid w:val="36DE1DB3"/>
    <w:multiLevelType w:val="multilevel"/>
    <w:tmpl w:val="1236F080"/>
    <w:lvl w:ilvl="0">
      <w:start w:val="5"/>
      <w:numFmt w:val="decimal"/>
      <w:lvlText w:val="%1."/>
      <w:lvlJc w:val="left"/>
      <w:pPr>
        <w:ind w:left="360" w:hanging="360"/>
      </w:pPr>
      <w:rPr>
        <w:rFonts w:cstheme="majorHAnsi" w:hint="default"/>
      </w:rPr>
    </w:lvl>
    <w:lvl w:ilvl="1">
      <w:start w:val="1"/>
      <w:numFmt w:val="decimal"/>
      <w:lvlText w:val="%1.%2."/>
      <w:lvlJc w:val="left"/>
      <w:pPr>
        <w:ind w:left="360" w:hanging="360"/>
      </w:pPr>
      <w:rPr>
        <w:rFonts w:cstheme="majorHAnsi" w:hint="default"/>
      </w:rPr>
    </w:lvl>
    <w:lvl w:ilvl="2">
      <w:start w:val="1"/>
      <w:numFmt w:val="decimal"/>
      <w:lvlText w:val="%1.%2.%3."/>
      <w:lvlJc w:val="left"/>
      <w:pPr>
        <w:ind w:left="720" w:hanging="720"/>
      </w:pPr>
      <w:rPr>
        <w:rFonts w:cstheme="majorHAnsi" w:hint="default"/>
      </w:rPr>
    </w:lvl>
    <w:lvl w:ilvl="3">
      <w:start w:val="1"/>
      <w:numFmt w:val="decimal"/>
      <w:lvlText w:val="%1.%2.%3.%4."/>
      <w:lvlJc w:val="left"/>
      <w:pPr>
        <w:ind w:left="720" w:hanging="720"/>
      </w:pPr>
      <w:rPr>
        <w:rFonts w:cstheme="majorHAnsi" w:hint="default"/>
      </w:rPr>
    </w:lvl>
    <w:lvl w:ilvl="4">
      <w:start w:val="1"/>
      <w:numFmt w:val="decimal"/>
      <w:lvlText w:val="%1.%2.%3.%4.%5."/>
      <w:lvlJc w:val="left"/>
      <w:pPr>
        <w:ind w:left="1080" w:hanging="1080"/>
      </w:pPr>
      <w:rPr>
        <w:rFonts w:cstheme="majorHAnsi" w:hint="default"/>
      </w:rPr>
    </w:lvl>
    <w:lvl w:ilvl="5">
      <w:start w:val="1"/>
      <w:numFmt w:val="decimal"/>
      <w:lvlText w:val="%1.%2.%3.%4.%5.%6."/>
      <w:lvlJc w:val="left"/>
      <w:pPr>
        <w:ind w:left="1080" w:hanging="1080"/>
      </w:pPr>
      <w:rPr>
        <w:rFonts w:cstheme="majorHAnsi" w:hint="default"/>
      </w:rPr>
    </w:lvl>
    <w:lvl w:ilvl="6">
      <w:start w:val="1"/>
      <w:numFmt w:val="decimal"/>
      <w:lvlText w:val="%1.%2.%3.%4.%5.%6.%7."/>
      <w:lvlJc w:val="left"/>
      <w:pPr>
        <w:ind w:left="1440" w:hanging="1440"/>
      </w:pPr>
      <w:rPr>
        <w:rFonts w:cstheme="majorHAnsi" w:hint="default"/>
      </w:rPr>
    </w:lvl>
    <w:lvl w:ilvl="7">
      <w:start w:val="1"/>
      <w:numFmt w:val="decimal"/>
      <w:lvlText w:val="%1.%2.%3.%4.%5.%6.%7.%8."/>
      <w:lvlJc w:val="left"/>
      <w:pPr>
        <w:ind w:left="1440" w:hanging="1440"/>
      </w:pPr>
      <w:rPr>
        <w:rFonts w:cstheme="majorHAnsi" w:hint="default"/>
      </w:rPr>
    </w:lvl>
    <w:lvl w:ilvl="8">
      <w:start w:val="1"/>
      <w:numFmt w:val="decimal"/>
      <w:lvlText w:val="%1.%2.%3.%4.%5.%6.%7.%8.%9."/>
      <w:lvlJc w:val="left"/>
      <w:pPr>
        <w:ind w:left="1800" w:hanging="1800"/>
      </w:pPr>
      <w:rPr>
        <w:rFonts w:cstheme="majorHAnsi" w:hint="default"/>
      </w:rPr>
    </w:lvl>
  </w:abstractNum>
  <w:abstractNum w:abstractNumId="3" w15:restartNumberingAfterBreak="0">
    <w:nsid w:val="3FD91B56"/>
    <w:multiLevelType w:val="hybridMultilevel"/>
    <w:tmpl w:val="9D1011DE"/>
    <w:lvl w:ilvl="0" w:tplc="255CB43A">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249BD"/>
    <w:multiLevelType w:val="hybridMultilevel"/>
    <w:tmpl w:val="5BA2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C099F"/>
    <w:multiLevelType w:val="multilevel"/>
    <w:tmpl w:val="8D0CA1C4"/>
    <w:lvl w:ilvl="0">
      <w:start w:val="2"/>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0E6FE1"/>
    <w:multiLevelType w:val="hybridMultilevel"/>
    <w:tmpl w:val="B3EA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F48C3"/>
    <w:multiLevelType w:val="multilevel"/>
    <w:tmpl w:val="2744DE9A"/>
    <w:lvl w:ilvl="0">
      <w:start w:val="1"/>
      <w:numFmt w:val="upperRoman"/>
      <w:lvlText w:val="%1."/>
      <w:lvlJc w:val="right"/>
      <w:pPr>
        <w:ind w:left="502" w:hanging="360"/>
      </w:pPr>
      <w:rPr>
        <w:i w:val="0"/>
      </w:rPr>
    </w:lvl>
    <w:lvl w:ilvl="1">
      <w:start w:val="1"/>
      <w:numFmt w:val="bullet"/>
      <w:lvlText w:val=""/>
      <w:lvlJc w:val="left"/>
      <w:pPr>
        <w:ind w:left="432" w:hanging="432"/>
      </w:pPr>
      <w:rPr>
        <w:rFonts w:ascii="Symbol" w:hAnsi="Symbol" w:hint="default"/>
        <w:b/>
        <w:i w:val="0"/>
        <w:strike w:val="0"/>
        <w:color w:val="auto"/>
        <w:sz w:val="24"/>
        <w:szCs w:val="24"/>
        <w:lang w:val="ro-MD"/>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7"/>
  </w:num>
  <w:num w:numId="2">
    <w:abstractNumId w:val="2"/>
  </w:num>
  <w:num w:numId="3">
    <w:abstractNumId w:val="3"/>
  </w:num>
  <w:num w:numId="4">
    <w:abstractNumId w:val="5"/>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EC"/>
    <w:rsid w:val="00001098"/>
    <w:rsid w:val="00007835"/>
    <w:rsid w:val="00047CEC"/>
    <w:rsid w:val="00050DDE"/>
    <w:rsid w:val="000568BD"/>
    <w:rsid w:val="00061D3B"/>
    <w:rsid w:val="00074CA3"/>
    <w:rsid w:val="00083A24"/>
    <w:rsid w:val="0008557E"/>
    <w:rsid w:val="000A7D63"/>
    <w:rsid w:val="000C096D"/>
    <w:rsid w:val="000C48CC"/>
    <w:rsid w:val="000E0956"/>
    <w:rsid w:val="00100B45"/>
    <w:rsid w:val="00106292"/>
    <w:rsid w:val="00113C19"/>
    <w:rsid w:val="00125D9C"/>
    <w:rsid w:val="00132C7D"/>
    <w:rsid w:val="001334DA"/>
    <w:rsid w:val="001525D2"/>
    <w:rsid w:val="001544A3"/>
    <w:rsid w:val="00157FD2"/>
    <w:rsid w:val="0016053B"/>
    <w:rsid w:val="00173B69"/>
    <w:rsid w:val="00175F91"/>
    <w:rsid w:val="001819BB"/>
    <w:rsid w:val="00187A71"/>
    <w:rsid w:val="001A4506"/>
    <w:rsid w:val="001A51BE"/>
    <w:rsid w:val="001A7556"/>
    <w:rsid w:val="001B1957"/>
    <w:rsid w:val="001D6C36"/>
    <w:rsid w:val="001E0AD8"/>
    <w:rsid w:val="001E2D3C"/>
    <w:rsid w:val="001E66FA"/>
    <w:rsid w:val="001F117A"/>
    <w:rsid w:val="001F4E4A"/>
    <w:rsid w:val="001F6717"/>
    <w:rsid w:val="001F75DB"/>
    <w:rsid w:val="002330D4"/>
    <w:rsid w:val="00244AC9"/>
    <w:rsid w:val="002467AA"/>
    <w:rsid w:val="00250773"/>
    <w:rsid w:val="002553F0"/>
    <w:rsid w:val="0026242A"/>
    <w:rsid w:val="002A606C"/>
    <w:rsid w:val="002B1E80"/>
    <w:rsid w:val="002C76F3"/>
    <w:rsid w:val="002C7E61"/>
    <w:rsid w:val="002D3FAB"/>
    <w:rsid w:val="002D5C45"/>
    <w:rsid w:val="002E03A6"/>
    <w:rsid w:val="002E2CF1"/>
    <w:rsid w:val="002E3B61"/>
    <w:rsid w:val="002F0B68"/>
    <w:rsid w:val="003053B0"/>
    <w:rsid w:val="0033101A"/>
    <w:rsid w:val="00346E3E"/>
    <w:rsid w:val="00363058"/>
    <w:rsid w:val="00382A78"/>
    <w:rsid w:val="003A08D3"/>
    <w:rsid w:val="003A4B95"/>
    <w:rsid w:val="003A5E33"/>
    <w:rsid w:val="003B40AB"/>
    <w:rsid w:val="003B5552"/>
    <w:rsid w:val="003B5F9F"/>
    <w:rsid w:val="003D097B"/>
    <w:rsid w:val="003E1994"/>
    <w:rsid w:val="003E2A41"/>
    <w:rsid w:val="003E33AE"/>
    <w:rsid w:val="003E4DF8"/>
    <w:rsid w:val="003E5814"/>
    <w:rsid w:val="004045B0"/>
    <w:rsid w:val="00415925"/>
    <w:rsid w:val="004173CB"/>
    <w:rsid w:val="00425458"/>
    <w:rsid w:val="0042719A"/>
    <w:rsid w:val="00431598"/>
    <w:rsid w:val="00434866"/>
    <w:rsid w:val="00440F1A"/>
    <w:rsid w:val="004637FE"/>
    <w:rsid w:val="004715E4"/>
    <w:rsid w:val="00477B03"/>
    <w:rsid w:val="0049747C"/>
    <w:rsid w:val="004B07DC"/>
    <w:rsid w:val="004D2886"/>
    <w:rsid w:val="004F2AA3"/>
    <w:rsid w:val="004F56FF"/>
    <w:rsid w:val="005025C5"/>
    <w:rsid w:val="005063C9"/>
    <w:rsid w:val="00507384"/>
    <w:rsid w:val="00514722"/>
    <w:rsid w:val="00521FC1"/>
    <w:rsid w:val="00525684"/>
    <w:rsid w:val="00526429"/>
    <w:rsid w:val="005269A6"/>
    <w:rsid w:val="00534809"/>
    <w:rsid w:val="00535BF6"/>
    <w:rsid w:val="00546162"/>
    <w:rsid w:val="0055194C"/>
    <w:rsid w:val="00552B95"/>
    <w:rsid w:val="00554BD4"/>
    <w:rsid w:val="005618AF"/>
    <w:rsid w:val="005638B6"/>
    <w:rsid w:val="00577587"/>
    <w:rsid w:val="00586F96"/>
    <w:rsid w:val="005B0AA3"/>
    <w:rsid w:val="005B4CA2"/>
    <w:rsid w:val="005B5C14"/>
    <w:rsid w:val="005B637F"/>
    <w:rsid w:val="005B6C5B"/>
    <w:rsid w:val="005C681C"/>
    <w:rsid w:val="005C6A94"/>
    <w:rsid w:val="005C708A"/>
    <w:rsid w:val="005D4D51"/>
    <w:rsid w:val="005E4823"/>
    <w:rsid w:val="005E601C"/>
    <w:rsid w:val="005E64BC"/>
    <w:rsid w:val="006111FC"/>
    <w:rsid w:val="00615974"/>
    <w:rsid w:val="0061789A"/>
    <w:rsid w:val="006202F9"/>
    <w:rsid w:val="00626F4D"/>
    <w:rsid w:val="00654B4E"/>
    <w:rsid w:val="00665398"/>
    <w:rsid w:val="006662FA"/>
    <w:rsid w:val="00666DA3"/>
    <w:rsid w:val="00667747"/>
    <w:rsid w:val="00682AF6"/>
    <w:rsid w:val="00687D34"/>
    <w:rsid w:val="006927BD"/>
    <w:rsid w:val="006B0D9C"/>
    <w:rsid w:val="007076F2"/>
    <w:rsid w:val="00713B47"/>
    <w:rsid w:val="00724D18"/>
    <w:rsid w:val="007356A6"/>
    <w:rsid w:val="00740C72"/>
    <w:rsid w:val="00743129"/>
    <w:rsid w:val="007434CE"/>
    <w:rsid w:val="00743FE4"/>
    <w:rsid w:val="00766247"/>
    <w:rsid w:val="00766C72"/>
    <w:rsid w:val="00771CF5"/>
    <w:rsid w:val="007C4950"/>
    <w:rsid w:val="007C5D08"/>
    <w:rsid w:val="007D27BF"/>
    <w:rsid w:val="007F2C09"/>
    <w:rsid w:val="008114DE"/>
    <w:rsid w:val="00812312"/>
    <w:rsid w:val="00820983"/>
    <w:rsid w:val="00821F6C"/>
    <w:rsid w:val="00825026"/>
    <w:rsid w:val="00837805"/>
    <w:rsid w:val="008400C2"/>
    <w:rsid w:val="00841F57"/>
    <w:rsid w:val="00845A1B"/>
    <w:rsid w:val="00856851"/>
    <w:rsid w:val="008653B9"/>
    <w:rsid w:val="00880E60"/>
    <w:rsid w:val="008A1274"/>
    <w:rsid w:val="008A6964"/>
    <w:rsid w:val="008A6DC9"/>
    <w:rsid w:val="008C6AA5"/>
    <w:rsid w:val="008D323E"/>
    <w:rsid w:val="008E21B7"/>
    <w:rsid w:val="008F0B19"/>
    <w:rsid w:val="009022D9"/>
    <w:rsid w:val="00902E84"/>
    <w:rsid w:val="0090394A"/>
    <w:rsid w:val="009120D4"/>
    <w:rsid w:val="00914602"/>
    <w:rsid w:val="009216ED"/>
    <w:rsid w:val="00923A7D"/>
    <w:rsid w:val="00930CBC"/>
    <w:rsid w:val="009370C4"/>
    <w:rsid w:val="00937DDF"/>
    <w:rsid w:val="00946F42"/>
    <w:rsid w:val="00963391"/>
    <w:rsid w:val="00967B2F"/>
    <w:rsid w:val="00995CCF"/>
    <w:rsid w:val="00995DD2"/>
    <w:rsid w:val="009A51CA"/>
    <w:rsid w:val="009C4B41"/>
    <w:rsid w:val="009C7744"/>
    <w:rsid w:val="009F2D04"/>
    <w:rsid w:val="009F3366"/>
    <w:rsid w:val="009F7FC2"/>
    <w:rsid w:val="00A00CDA"/>
    <w:rsid w:val="00A03FE5"/>
    <w:rsid w:val="00A16EB4"/>
    <w:rsid w:val="00A17B1B"/>
    <w:rsid w:val="00A20A1F"/>
    <w:rsid w:val="00A215B9"/>
    <w:rsid w:val="00A45727"/>
    <w:rsid w:val="00A51996"/>
    <w:rsid w:val="00A534C3"/>
    <w:rsid w:val="00A81EF4"/>
    <w:rsid w:val="00AA2D70"/>
    <w:rsid w:val="00AA7FFE"/>
    <w:rsid w:val="00AB34DC"/>
    <w:rsid w:val="00AC0127"/>
    <w:rsid w:val="00AC5001"/>
    <w:rsid w:val="00AC6D63"/>
    <w:rsid w:val="00AE420A"/>
    <w:rsid w:val="00AF38A5"/>
    <w:rsid w:val="00AF4999"/>
    <w:rsid w:val="00AF6205"/>
    <w:rsid w:val="00B00FBC"/>
    <w:rsid w:val="00B06BE1"/>
    <w:rsid w:val="00B46550"/>
    <w:rsid w:val="00B52B0C"/>
    <w:rsid w:val="00B60131"/>
    <w:rsid w:val="00B66ED1"/>
    <w:rsid w:val="00BB366F"/>
    <w:rsid w:val="00BB5FC3"/>
    <w:rsid w:val="00BC0BE0"/>
    <w:rsid w:val="00BD7B9B"/>
    <w:rsid w:val="00BE759E"/>
    <w:rsid w:val="00BF70CD"/>
    <w:rsid w:val="00C04BF3"/>
    <w:rsid w:val="00C06312"/>
    <w:rsid w:val="00C12E80"/>
    <w:rsid w:val="00C1513B"/>
    <w:rsid w:val="00C22F51"/>
    <w:rsid w:val="00C278FC"/>
    <w:rsid w:val="00C36E09"/>
    <w:rsid w:val="00C45030"/>
    <w:rsid w:val="00C855F3"/>
    <w:rsid w:val="00C860B2"/>
    <w:rsid w:val="00C934FE"/>
    <w:rsid w:val="00CA1B54"/>
    <w:rsid w:val="00CE09A8"/>
    <w:rsid w:val="00CE1EA9"/>
    <w:rsid w:val="00CF7F26"/>
    <w:rsid w:val="00D01D00"/>
    <w:rsid w:val="00D0504E"/>
    <w:rsid w:val="00D268EE"/>
    <w:rsid w:val="00D529D0"/>
    <w:rsid w:val="00D644C6"/>
    <w:rsid w:val="00D7450C"/>
    <w:rsid w:val="00D76589"/>
    <w:rsid w:val="00D76FC0"/>
    <w:rsid w:val="00DA3853"/>
    <w:rsid w:val="00DA59D7"/>
    <w:rsid w:val="00DB0446"/>
    <w:rsid w:val="00DE33CD"/>
    <w:rsid w:val="00DE506D"/>
    <w:rsid w:val="00DE52BB"/>
    <w:rsid w:val="00DF62E7"/>
    <w:rsid w:val="00E07210"/>
    <w:rsid w:val="00E167B3"/>
    <w:rsid w:val="00E16C43"/>
    <w:rsid w:val="00E43BA1"/>
    <w:rsid w:val="00E4413D"/>
    <w:rsid w:val="00E62292"/>
    <w:rsid w:val="00E67D38"/>
    <w:rsid w:val="00E7514B"/>
    <w:rsid w:val="00E7707E"/>
    <w:rsid w:val="00E86677"/>
    <w:rsid w:val="00EA2202"/>
    <w:rsid w:val="00EB18BE"/>
    <w:rsid w:val="00EE581C"/>
    <w:rsid w:val="00EF1A4B"/>
    <w:rsid w:val="00F22819"/>
    <w:rsid w:val="00F25BDB"/>
    <w:rsid w:val="00F266A5"/>
    <w:rsid w:val="00F4473E"/>
    <w:rsid w:val="00F7344A"/>
    <w:rsid w:val="00F775AF"/>
    <w:rsid w:val="00F9581D"/>
    <w:rsid w:val="00FA0BEB"/>
    <w:rsid w:val="00FB2A47"/>
    <w:rsid w:val="00FB5CD4"/>
    <w:rsid w:val="00FD6EC7"/>
    <w:rsid w:val="00FF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13681-AADD-4440-8A9C-561DCF87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25D9C"/>
    <w:rPr>
      <w:color w:val="0563C1" w:themeColor="hyperlink"/>
      <w:u w:val="single"/>
    </w:rPr>
  </w:style>
  <w:style w:type="paragraph" w:styleId="a5">
    <w:name w:val="List Paragraph"/>
    <w:aliases w:val="Scriptoria bullet points,List Paragraph 1,Абзац списка1,Bullets,References,Liste 1,List Paragraph nowy,Numbered List Paragraph,List Paragraph (numbered (a)),Medium Grid 1 - Accent 21,Paragraphe de liste2,Paragraphe de liste1,Dot pt"/>
    <w:basedOn w:val="a"/>
    <w:link w:val="a6"/>
    <w:uiPriority w:val="34"/>
    <w:qFormat/>
    <w:rsid w:val="00125D9C"/>
    <w:pPr>
      <w:ind w:left="720"/>
      <w:contextualSpacing/>
    </w:pPr>
  </w:style>
  <w:style w:type="paragraph" w:styleId="a7">
    <w:name w:val="footnote text"/>
    <w:aliases w:val=" Char,Char,Знак1, Знак1, Знак,Знак,Fußnote Char Char,Fußnote Char,Fußnote Char Car Char Char,Fußnote Char Car Char Char Char Char Char Char Char Char Char Char,single space,fn,FOOTNOTES,A,Footnote Text Char1,Footnote Text Char2 Char,Cha,ft"/>
    <w:basedOn w:val="a"/>
    <w:link w:val="a8"/>
    <w:uiPriority w:val="99"/>
    <w:unhideWhenUsed/>
    <w:qFormat/>
    <w:rsid w:val="00125D9C"/>
    <w:pPr>
      <w:spacing w:after="0" w:line="240" w:lineRule="auto"/>
    </w:pPr>
    <w:rPr>
      <w:sz w:val="20"/>
      <w:szCs w:val="20"/>
    </w:rPr>
  </w:style>
  <w:style w:type="character" w:customStyle="1" w:styleId="a8">
    <w:name w:val="Текст сноски Знак"/>
    <w:aliases w:val=" Char Знак,Char Знак,Знак1 Знак, Знак1 Знак, Знак Знак,Знак Знак,Fußnote Char Char Знак,Fußnote Char Знак,Fußnote Char Car Char Char Знак,Fußnote Char Car Char Char Char Char Char Char Char Char Char Char Знак,single space Знак,fn Знак"/>
    <w:basedOn w:val="a0"/>
    <w:link w:val="a7"/>
    <w:uiPriority w:val="99"/>
    <w:rsid w:val="00125D9C"/>
    <w:rPr>
      <w:sz w:val="20"/>
      <w:szCs w:val="20"/>
    </w:rPr>
  </w:style>
  <w:style w:type="character" w:styleId="a9">
    <w:name w:val="footnote reference"/>
    <w:aliases w:val="ftref,Times 10 Point,Exposant 3 Point,Footnote symbol,Footnote reference number,EN Footnote Reference,note TESI,16 Point,Superscript 6 Point,BVI fnr,Char Char1,FOOTNOTES Char1,fn Char1,single space Char1,ft Char1,Ref,fr"/>
    <w:basedOn w:val="a0"/>
    <w:link w:val="FNRefeCharChar"/>
    <w:uiPriority w:val="99"/>
    <w:unhideWhenUsed/>
    <w:rsid w:val="00125D9C"/>
    <w:rPr>
      <w:vertAlign w:val="superscript"/>
    </w:rPr>
  </w:style>
  <w:style w:type="character" w:customStyle="1" w:styleId="a6">
    <w:name w:val="Абзац списка Знак"/>
    <w:aliases w:val="Scriptoria bullet points Знак,List Paragraph 1 Знак,Абзац списка1 Знак,Bullets Знак,References Знак,Liste 1 Знак,List Paragraph nowy Знак,Numbered List Paragraph Знак,List Paragraph (numbered (a)) Знак,Medium Grid 1 - Accent 21 Знак"/>
    <w:link w:val="a5"/>
    <w:uiPriority w:val="34"/>
    <w:rsid w:val="00125D9C"/>
  </w:style>
  <w:style w:type="paragraph" w:customStyle="1" w:styleId="FNRefeCharChar">
    <w:name w:val="FNRefe Char Char"/>
    <w:aliases w:val="BVI fnr Char Char,BVI fnr Char Char Char,BVI fnr Car Car Char Char Char,BVI fnr Car Char Char Char,BVI fnr Car Car Car Car Char Char Char Char Char, BVI fnr Char Char Char, BVI fnr Car Car Char Char Char"/>
    <w:basedOn w:val="a"/>
    <w:link w:val="a9"/>
    <w:uiPriority w:val="99"/>
    <w:qFormat/>
    <w:rsid w:val="00125D9C"/>
    <w:pPr>
      <w:spacing w:line="240" w:lineRule="exact"/>
    </w:pPr>
    <w:rPr>
      <w:vertAlign w:val="superscript"/>
    </w:rPr>
  </w:style>
  <w:style w:type="paragraph" w:customStyle="1" w:styleId="Default">
    <w:name w:val="Default"/>
    <w:rsid w:val="00125D9C"/>
    <w:pPr>
      <w:autoSpaceDE w:val="0"/>
      <w:autoSpaceDN w:val="0"/>
      <w:adjustRightInd w:val="0"/>
      <w:spacing w:after="0" w:line="240" w:lineRule="auto"/>
    </w:pPr>
    <w:rPr>
      <w:rFonts w:ascii="Arial" w:hAnsi="Arial" w:cs="Arial"/>
      <w:color w:val="000000"/>
      <w:sz w:val="24"/>
      <w:szCs w:val="24"/>
    </w:rPr>
  </w:style>
  <w:style w:type="paragraph" w:styleId="aa">
    <w:name w:val="footer"/>
    <w:basedOn w:val="a"/>
    <w:link w:val="ab"/>
    <w:uiPriority w:val="99"/>
    <w:unhideWhenUsed/>
    <w:rsid w:val="00125D9C"/>
    <w:pPr>
      <w:widowControl w:val="0"/>
      <w:tabs>
        <w:tab w:val="center" w:pos="4153"/>
        <w:tab w:val="right" w:pos="8306"/>
      </w:tabs>
      <w:adjustRightInd w:val="0"/>
      <w:spacing w:after="0" w:line="240" w:lineRule="auto"/>
      <w:jc w:val="both"/>
      <w:textAlignment w:val="baseline"/>
    </w:pPr>
    <w:rPr>
      <w:rFonts w:ascii="Times New Roman" w:eastAsia="Times New Roman" w:hAnsi="Times New Roman" w:cs="Times New Roman"/>
      <w:sz w:val="20"/>
      <w:szCs w:val="20"/>
      <w:lang w:val="lv-LV" w:eastAsia="lv-LV"/>
    </w:rPr>
  </w:style>
  <w:style w:type="character" w:customStyle="1" w:styleId="ab">
    <w:name w:val="Нижний колонтитул Знак"/>
    <w:basedOn w:val="a0"/>
    <w:link w:val="aa"/>
    <w:uiPriority w:val="99"/>
    <w:rsid w:val="00125D9C"/>
    <w:rPr>
      <w:rFonts w:ascii="Times New Roman" w:eastAsia="Times New Roman" w:hAnsi="Times New Roman" w:cs="Times New Roman"/>
      <w:sz w:val="20"/>
      <w:szCs w:val="20"/>
      <w:lang w:val="lv-LV" w:eastAsia="lv-LV"/>
    </w:rPr>
  </w:style>
  <w:style w:type="paragraph" w:styleId="ac">
    <w:name w:val="Normal (Web)"/>
    <w:aliases w:val="Обычный (веб) Знак2,Обычный (веб) Знак1 Знак,Обычный (веб) Знак Знак Знак,Знак Знак Знак Знак,Знак Знак1 Знак,Обычный (веб) Знак Знак1,Знак Знак2"/>
    <w:basedOn w:val="a"/>
    <w:link w:val="ad"/>
    <w:uiPriority w:val="99"/>
    <w:unhideWhenUsed/>
    <w:qFormat/>
    <w:rsid w:val="00125D9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125D9C"/>
    <w:pPr>
      <w:tabs>
        <w:tab w:val="center" w:pos="4677"/>
        <w:tab w:val="right" w:pos="9355"/>
      </w:tabs>
      <w:spacing w:after="0" w:line="240" w:lineRule="auto"/>
    </w:pPr>
    <w:rPr>
      <w:szCs w:val="24"/>
    </w:rPr>
  </w:style>
  <w:style w:type="character" w:customStyle="1" w:styleId="af">
    <w:name w:val="Верхний колонтитул Знак"/>
    <w:basedOn w:val="a0"/>
    <w:link w:val="ae"/>
    <w:uiPriority w:val="99"/>
    <w:rsid w:val="00125D9C"/>
    <w:rPr>
      <w:szCs w:val="24"/>
    </w:rPr>
  </w:style>
  <w:style w:type="character" w:customStyle="1" w:styleId="ad">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
    <w:basedOn w:val="a0"/>
    <w:link w:val="ac"/>
    <w:uiPriority w:val="99"/>
    <w:rsid w:val="00125D9C"/>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E7707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77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4374">
      <w:bodyDiv w:val="1"/>
      <w:marLeft w:val="0"/>
      <w:marRight w:val="0"/>
      <w:marTop w:val="0"/>
      <w:marBottom w:val="0"/>
      <w:divBdr>
        <w:top w:val="none" w:sz="0" w:space="0" w:color="auto"/>
        <w:left w:val="none" w:sz="0" w:space="0" w:color="auto"/>
        <w:bottom w:val="none" w:sz="0" w:space="0" w:color="auto"/>
        <w:right w:val="none" w:sz="0" w:space="0" w:color="auto"/>
      </w:divBdr>
      <w:divsChild>
        <w:div w:id="2003965703">
          <w:marLeft w:val="0"/>
          <w:marRight w:val="0"/>
          <w:marTop w:val="0"/>
          <w:marBottom w:val="0"/>
          <w:divBdr>
            <w:top w:val="none" w:sz="0" w:space="0" w:color="auto"/>
            <w:left w:val="none" w:sz="0" w:space="0" w:color="auto"/>
            <w:bottom w:val="none" w:sz="0" w:space="0" w:color="auto"/>
            <w:right w:val="none" w:sz="0" w:space="0" w:color="auto"/>
          </w:divBdr>
        </w:div>
        <w:div w:id="17239684">
          <w:marLeft w:val="0"/>
          <w:marRight w:val="0"/>
          <w:marTop w:val="0"/>
          <w:marBottom w:val="0"/>
          <w:divBdr>
            <w:top w:val="none" w:sz="0" w:space="0" w:color="auto"/>
            <w:left w:val="none" w:sz="0" w:space="0" w:color="auto"/>
            <w:bottom w:val="none" w:sz="0" w:space="0" w:color="auto"/>
            <w:right w:val="none" w:sz="0" w:space="0" w:color="auto"/>
          </w:divBdr>
        </w:div>
        <w:div w:id="1573544050">
          <w:marLeft w:val="720"/>
          <w:marRight w:val="0"/>
          <w:marTop w:val="0"/>
          <w:marBottom w:val="0"/>
          <w:divBdr>
            <w:top w:val="none" w:sz="0" w:space="0" w:color="auto"/>
            <w:left w:val="none" w:sz="0" w:space="0" w:color="auto"/>
            <w:bottom w:val="none" w:sz="0" w:space="0" w:color="auto"/>
            <w:right w:val="none" w:sz="0" w:space="0" w:color="auto"/>
          </w:divBdr>
        </w:div>
        <w:div w:id="239020523">
          <w:marLeft w:val="720"/>
          <w:marRight w:val="0"/>
          <w:marTop w:val="0"/>
          <w:marBottom w:val="0"/>
          <w:divBdr>
            <w:top w:val="none" w:sz="0" w:space="0" w:color="auto"/>
            <w:left w:val="none" w:sz="0" w:space="0" w:color="auto"/>
            <w:bottom w:val="none" w:sz="0" w:space="0" w:color="auto"/>
            <w:right w:val="none" w:sz="0" w:space="0" w:color="auto"/>
          </w:divBdr>
        </w:div>
        <w:div w:id="765155431">
          <w:marLeft w:val="720"/>
          <w:marRight w:val="0"/>
          <w:marTop w:val="0"/>
          <w:marBottom w:val="0"/>
          <w:divBdr>
            <w:top w:val="none" w:sz="0" w:space="0" w:color="auto"/>
            <w:left w:val="none" w:sz="0" w:space="0" w:color="auto"/>
            <w:bottom w:val="none" w:sz="0" w:space="0" w:color="auto"/>
            <w:right w:val="none" w:sz="0" w:space="0" w:color="auto"/>
          </w:divBdr>
        </w:div>
        <w:div w:id="55904579">
          <w:marLeft w:val="720"/>
          <w:marRight w:val="0"/>
          <w:marTop w:val="0"/>
          <w:marBottom w:val="0"/>
          <w:divBdr>
            <w:top w:val="none" w:sz="0" w:space="0" w:color="auto"/>
            <w:left w:val="none" w:sz="0" w:space="0" w:color="auto"/>
            <w:bottom w:val="none" w:sz="0" w:space="0" w:color="auto"/>
            <w:right w:val="none" w:sz="0" w:space="0" w:color="auto"/>
          </w:divBdr>
        </w:div>
        <w:div w:id="1532763609">
          <w:marLeft w:val="720"/>
          <w:marRight w:val="0"/>
          <w:marTop w:val="0"/>
          <w:marBottom w:val="0"/>
          <w:divBdr>
            <w:top w:val="none" w:sz="0" w:space="0" w:color="auto"/>
            <w:left w:val="none" w:sz="0" w:space="0" w:color="auto"/>
            <w:bottom w:val="none" w:sz="0" w:space="0" w:color="auto"/>
            <w:right w:val="none" w:sz="0" w:space="0" w:color="auto"/>
          </w:divBdr>
        </w:div>
        <w:div w:id="5001257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rm@ccrm.md" TargetMode="External"/><Relationship Id="rId4" Type="http://schemas.openxmlformats.org/officeDocument/2006/relationships/settings" Target="settings.xml"/><Relationship Id="rId9" Type="http://schemas.openxmlformats.org/officeDocument/2006/relationships/hyperlink" Target="http://www.ccrm.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256A-866B-4AD7-B49A-5832EF5E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6668</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Poiană Olga</dc:creator>
  <cp:keywords/>
  <dc:description/>
  <cp:lastModifiedBy>Paiu Eugenia</cp:lastModifiedBy>
  <cp:revision>2</cp:revision>
  <dcterms:created xsi:type="dcterms:W3CDTF">2022-06-03T08:05:00Z</dcterms:created>
  <dcterms:modified xsi:type="dcterms:W3CDTF">2022-06-03T08:05:00Z</dcterms:modified>
</cp:coreProperties>
</file>