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18" w:rsidRPr="002B5866" w:rsidRDefault="00690B18" w:rsidP="00690B18">
      <w:pPr>
        <w:pStyle w:val="cn"/>
        <w:spacing w:line="276" w:lineRule="auto"/>
        <w:rPr>
          <w:rFonts w:asciiTheme="majorHAnsi" w:hAnsiTheme="majorHAnsi" w:cstheme="majorHAnsi"/>
          <w:lang w:val="ro-MD"/>
        </w:rPr>
      </w:pPr>
      <w:r w:rsidRPr="002B5866">
        <w:rPr>
          <w:rFonts w:asciiTheme="majorHAnsi" w:hAnsiTheme="majorHAnsi" w:cstheme="majorHAnsi"/>
          <w:noProof/>
        </w:rPr>
        <w:drawing>
          <wp:inline distT="0" distB="0" distL="0" distR="0" wp14:anchorId="678E83D2" wp14:editId="61640A3F">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690B18" w:rsidRPr="002B5866" w:rsidRDefault="00690B18" w:rsidP="00690B18">
      <w:pPr>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CURTEA DE CONTURI A REPUBLICII MOLDOVA</w:t>
      </w:r>
    </w:p>
    <w:p w:rsidR="00690B18" w:rsidRPr="002B5866" w:rsidRDefault="00690B18" w:rsidP="00690B18">
      <w:pPr>
        <w:shd w:val="clear" w:color="auto" w:fill="FFFFFF" w:themeFill="background1"/>
        <w:spacing w:after="0" w:line="276" w:lineRule="auto"/>
        <w:jc w:val="center"/>
        <w:rPr>
          <w:rFonts w:asciiTheme="majorHAnsi" w:eastAsia="Times New Roman" w:hAnsiTheme="majorHAnsi" w:cstheme="majorHAnsi"/>
          <w:b/>
          <w:bCs/>
          <w:sz w:val="24"/>
          <w:szCs w:val="24"/>
          <w:lang w:val="ro-MD"/>
        </w:rPr>
      </w:pPr>
      <w:bookmarkStart w:id="0" w:name="_Toc450123757"/>
      <w:r w:rsidRPr="002B5866">
        <w:rPr>
          <w:rFonts w:asciiTheme="majorHAnsi" w:eastAsia="Times New Roman" w:hAnsiTheme="majorHAnsi" w:cstheme="majorHAnsi"/>
          <w:b/>
          <w:bCs/>
          <w:sz w:val="24"/>
          <w:szCs w:val="24"/>
          <w:lang w:val="ro-MD"/>
        </w:rPr>
        <w:t>H O T Ă R Â R E A nr.</w:t>
      </w:r>
      <w:bookmarkEnd w:id="0"/>
      <w:r w:rsidRPr="002B5866">
        <w:rPr>
          <w:rFonts w:asciiTheme="majorHAnsi" w:eastAsia="Times New Roman" w:hAnsiTheme="majorHAnsi" w:cstheme="majorHAnsi"/>
          <w:b/>
          <w:bCs/>
          <w:sz w:val="24"/>
          <w:szCs w:val="24"/>
          <w:lang w:val="ro-MD"/>
        </w:rPr>
        <w:t xml:space="preserve"> </w:t>
      </w:r>
      <w:r w:rsidR="005E7A3A">
        <w:rPr>
          <w:rFonts w:asciiTheme="majorHAnsi" w:eastAsia="Times New Roman" w:hAnsiTheme="majorHAnsi" w:cstheme="majorHAnsi"/>
          <w:b/>
          <w:bCs/>
          <w:sz w:val="24"/>
          <w:szCs w:val="24"/>
          <w:lang w:val="ro-MD"/>
        </w:rPr>
        <w:t>36</w:t>
      </w:r>
    </w:p>
    <w:p w:rsidR="00690B18" w:rsidRPr="00851535" w:rsidRDefault="00690B18" w:rsidP="00851535">
      <w:pPr>
        <w:shd w:val="clear" w:color="auto" w:fill="FFFFFF" w:themeFill="background1"/>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din 2</w:t>
      </w:r>
      <w:r>
        <w:rPr>
          <w:rFonts w:asciiTheme="majorHAnsi" w:eastAsia="Times New Roman" w:hAnsiTheme="majorHAnsi" w:cstheme="majorHAnsi"/>
          <w:bCs/>
          <w:sz w:val="24"/>
          <w:szCs w:val="24"/>
          <w:lang w:val="ro-MD"/>
        </w:rPr>
        <w:t>8</w:t>
      </w:r>
      <w:r w:rsidRPr="002B5866">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iulie 2022</w:t>
      </w:r>
    </w:p>
    <w:p w:rsidR="00690B18" w:rsidRPr="00851535" w:rsidRDefault="00690B18" w:rsidP="00851535">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cu privire la Raportul auditului asupra rapoartelor financiare consoli</w:t>
      </w:r>
      <w:r>
        <w:rPr>
          <w:rFonts w:asciiTheme="majorHAnsi" w:eastAsia="Times New Roman" w:hAnsiTheme="majorHAnsi" w:cstheme="majorHAnsi"/>
          <w:b/>
          <w:bCs/>
          <w:sz w:val="24"/>
          <w:szCs w:val="24"/>
          <w:lang w:val="ro-MD" w:eastAsia="ru-RU"/>
        </w:rPr>
        <w:t>date ale Ministerului Sănătății</w:t>
      </w:r>
      <w:r w:rsidRPr="002B5866">
        <w:rPr>
          <w:rFonts w:asciiTheme="majorHAnsi" w:eastAsia="Times New Roman" w:hAnsiTheme="majorHAnsi" w:cstheme="majorHAnsi"/>
          <w:b/>
          <w:bCs/>
          <w:sz w:val="24"/>
          <w:szCs w:val="24"/>
          <w:lang w:val="ro-MD" w:eastAsia="ru-RU"/>
        </w:rPr>
        <w:t xml:space="preserve"> încheiate la </w:t>
      </w:r>
      <w:r>
        <w:rPr>
          <w:rFonts w:asciiTheme="majorHAnsi" w:eastAsia="Times New Roman" w:hAnsiTheme="majorHAnsi" w:cstheme="majorHAnsi"/>
          <w:b/>
          <w:bCs/>
          <w:sz w:val="24"/>
          <w:szCs w:val="24"/>
          <w:lang w:val="ro-MD" w:eastAsia="ru-RU"/>
        </w:rPr>
        <w:t>31 decembrie 2021</w:t>
      </w:r>
      <w:r w:rsidRPr="002B5866">
        <w:rPr>
          <w:rFonts w:asciiTheme="majorHAnsi" w:eastAsia="Times New Roman" w:hAnsiTheme="majorHAnsi" w:cstheme="majorHAnsi"/>
          <w:b/>
          <w:bCs/>
          <w:sz w:val="24"/>
          <w:szCs w:val="24"/>
          <w:lang w:val="ro-MD" w:eastAsia="ru-RU"/>
        </w:rPr>
        <w:t xml:space="preserve"> </w:t>
      </w:r>
    </w:p>
    <w:p w:rsidR="00690B18" w:rsidRPr="00383FBA" w:rsidRDefault="00690B18" w:rsidP="00690B18">
      <w:pPr>
        <w:spacing w:line="276" w:lineRule="auto"/>
        <w:ind w:firstLine="567"/>
        <w:jc w:val="both"/>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Curtea de Conturi, în prezența </w:t>
      </w:r>
      <w:r w:rsidRPr="00F31CFA">
        <w:rPr>
          <w:rFonts w:asciiTheme="majorHAnsi" w:hAnsiTheme="majorHAnsi" w:cstheme="majorHAnsi"/>
          <w:color w:val="000000"/>
          <w:sz w:val="24"/>
          <w:szCs w:val="24"/>
          <w:shd w:val="clear" w:color="auto" w:fill="FFFFFF" w:themeFill="background1"/>
          <w:lang w:val="ro-MD" w:eastAsia="ro-RO"/>
        </w:rPr>
        <w:t>d</w:t>
      </w:r>
      <w:r>
        <w:rPr>
          <w:rFonts w:asciiTheme="majorHAnsi" w:hAnsiTheme="majorHAnsi" w:cstheme="majorHAnsi"/>
          <w:color w:val="000000"/>
          <w:sz w:val="24"/>
          <w:szCs w:val="24"/>
          <w:shd w:val="clear" w:color="auto" w:fill="FFFFFF" w:themeFill="background1"/>
          <w:lang w:val="ro-MD" w:eastAsia="ro-RO"/>
        </w:rPr>
        <w:t>nei</w:t>
      </w:r>
      <w:r w:rsidRPr="00F31CFA">
        <w:rPr>
          <w:rFonts w:asciiTheme="majorHAnsi" w:hAnsiTheme="majorHAnsi" w:cstheme="majorHAnsi"/>
          <w:color w:val="000000"/>
          <w:sz w:val="24"/>
          <w:szCs w:val="24"/>
          <w:shd w:val="clear" w:color="auto" w:fill="FFFFFF" w:themeFill="background1"/>
          <w:lang w:val="ro-MD" w:eastAsia="ro-RO"/>
        </w:rPr>
        <w:t xml:space="preserve"> </w:t>
      </w:r>
      <w:r w:rsidRPr="00F31CFA">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Ala </w:t>
      </w:r>
      <w:proofErr w:type="spellStart"/>
      <w:r>
        <w:rPr>
          <w:rFonts w:asciiTheme="majorHAnsi" w:hAnsiTheme="majorHAnsi" w:cstheme="majorHAnsi"/>
          <w:sz w:val="24"/>
          <w:szCs w:val="24"/>
          <w:lang w:val="ro-MD"/>
        </w:rPr>
        <w:t>Nemerenco</w:t>
      </w:r>
      <w:proofErr w:type="spellEnd"/>
      <w:r w:rsidRPr="00F31CFA">
        <w:rPr>
          <w:rFonts w:asciiTheme="majorHAnsi" w:hAnsiTheme="majorHAnsi" w:cstheme="majorHAnsi"/>
          <w:sz w:val="24"/>
          <w:szCs w:val="24"/>
          <w:lang w:val="ro-MD"/>
        </w:rPr>
        <w:t>,</w:t>
      </w:r>
      <w:r w:rsidRPr="00F31CFA">
        <w:rPr>
          <w:rFonts w:asciiTheme="majorHAnsi" w:hAnsiTheme="majorHAnsi" w:cstheme="majorHAnsi"/>
          <w:sz w:val="24"/>
          <w:szCs w:val="24"/>
          <w:shd w:val="clear" w:color="auto" w:fill="FFFFFF" w:themeFill="background1"/>
          <w:lang w:val="ro-MD" w:eastAsia="ro-RO"/>
        </w:rPr>
        <w:t xml:space="preserve"> </w:t>
      </w:r>
      <w:r>
        <w:rPr>
          <w:rFonts w:asciiTheme="majorHAnsi" w:hAnsiTheme="majorHAnsi" w:cstheme="majorHAnsi"/>
          <w:color w:val="000000" w:themeColor="text1"/>
          <w:sz w:val="24"/>
          <w:szCs w:val="24"/>
          <w:shd w:val="clear" w:color="auto" w:fill="FFFFFF" w:themeFill="background1"/>
          <w:lang w:val="ro-MD" w:eastAsia="ro-RO"/>
        </w:rPr>
        <w:t>ministră</w:t>
      </w:r>
      <w:r w:rsidRPr="00F31CFA">
        <w:rPr>
          <w:rFonts w:asciiTheme="majorHAnsi" w:hAnsiTheme="majorHAnsi" w:cstheme="majorHAnsi"/>
          <w:color w:val="000000" w:themeColor="text1"/>
          <w:sz w:val="24"/>
          <w:szCs w:val="24"/>
          <w:shd w:val="clear" w:color="auto" w:fill="FFFFFF" w:themeFill="background1"/>
          <w:lang w:val="ro-MD" w:eastAsia="ro-RO"/>
        </w:rPr>
        <w:t xml:space="preserve"> a Sănătății</w:t>
      </w:r>
      <w:r w:rsidRPr="00F31CFA">
        <w:rPr>
          <w:rFonts w:asciiTheme="majorHAnsi" w:hAnsiTheme="majorHAnsi" w:cstheme="majorHAnsi"/>
          <w:sz w:val="24"/>
          <w:szCs w:val="24"/>
          <w:shd w:val="clear" w:color="auto" w:fill="FFFFFF" w:themeFill="background1"/>
          <w:lang w:val="ro-MD" w:eastAsia="ro-RO"/>
        </w:rPr>
        <w:t xml:space="preserve">; </w:t>
      </w:r>
      <w:r>
        <w:rPr>
          <w:rFonts w:asciiTheme="majorHAnsi" w:hAnsiTheme="majorHAnsi" w:cstheme="majorHAnsi"/>
          <w:sz w:val="24"/>
          <w:szCs w:val="24"/>
          <w:shd w:val="clear" w:color="auto" w:fill="FFFFFF" w:themeFill="background1"/>
          <w:lang w:val="ro-MD" w:eastAsia="ro-RO"/>
        </w:rPr>
        <w:t>dlui Anatol Gudumac</w:t>
      </w:r>
      <w:r w:rsidRPr="00F31CFA">
        <w:rPr>
          <w:rFonts w:asciiTheme="majorHAnsi" w:hAnsiTheme="majorHAnsi" w:cstheme="majorHAnsi"/>
          <w:sz w:val="24"/>
          <w:szCs w:val="24"/>
          <w:shd w:val="clear" w:color="auto" w:fill="FFFFFF" w:themeFill="background1"/>
          <w:lang w:val="ro-MD" w:eastAsia="ro-RO"/>
        </w:rPr>
        <w:t xml:space="preserve">, </w:t>
      </w:r>
      <w:r>
        <w:rPr>
          <w:rFonts w:asciiTheme="majorHAnsi" w:hAnsiTheme="majorHAnsi" w:cstheme="majorHAnsi"/>
          <w:sz w:val="24"/>
          <w:szCs w:val="24"/>
          <w:shd w:val="clear" w:color="auto" w:fill="FFFFFF" w:themeFill="background1"/>
          <w:lang w:val="ro-MD" w:eastAsia="ro-RO"/>
        </w:rPr>
        <w:t xml:space="preserve">șef </w:t>
      </w:r>
      <w:r w:rsidRPr="009F22B6">
        <w:rPr>
          <w:rFonts w:asciiTheme="majorHAnsi" w:hAnsiTheme="majorHAnsi" w:cstheme="majorHAnsi"/>
          <w:sz w:val="24"/>
          <w:szCs w:val="24"/>
          <w:shd w:val="clear" w:color="auto" w:fill="FFFFFF" w:themeFill="background1"/>
          <w:lang w:val="ro-MD" w:eastAsia="ro-RO"/>
        </w:rPr>
        <w:t xml:space="preserve">al Direcției </w:t>
      </w:r>
      <w:r w:rsidR="003E2DBB">
        <w:rPr>
          <w:rFonts w:asciiTheme="majorHAnsi" w:hAnsiTheme="majorHAnsi" w:cstheme="majorHAnsi"/>
          <w:sz w:val="24"/>
          <w:szCs w:val="24"/>
          <w:shd w:val="clear" w:color="auto" w:fill="FFFFFF" w:themeFill="background1"/>
          <w:lang w:val="ro-MD" w:eastAsia="ro-RO"/>
        </w:rPr>
        <w:t>f</w:t>
      </w:r>
      <w:r w:rsidRPr="009F22B6">
        <w:rPr>
          <w:rFonts w:asciiTheme="majorHAnsi" w:hAnsiTheme="majorHAnsi" w:cstheme="majorHAnsi"/>
          <w:sz w:val="24"/>
          <w:szCs w:val="24"/>
          <w:shd w:val="clear" w:color="auto" w:fill="FFFFFF" w:themeFill="background1"/>
          <w:lang w:val="ro-MD" w:eastAsia="ro-RO"/>
        </w:rPr>
        <w:t>inanciare a</w:t>
      </w:r>
      <w:r w:rsidRPr="00F31CFA">
        <w:rPr>
          <w:rFonts w:asciiTheme="majorHAnsi" w:hAnsiTheme="majorHAnsi" w:cstheme="majorHAnsi"/>
          <w:sz w:val="24"/>
          <w:szCs w:val="24"/>
          <w:shd w:val="clear" w:color="auto" w:fill="FFFFFF" w:themeFill="background1"/>
          <w:lang w:val="ro-MD" w:eastAsia="ro-RO"/>
        </w:rPr>
        <w:t xml:space="preserve"> </w:t>
      </w:r>
      <w:r>
        <w:rPr>
          <w:rFonts w:asciiTheme="majorHAnsi" w:hAnsiTheme="majorHAnsi" w:cstheme="majorHAnsi"/>
          <w:sz w:val="24"/>
          <w:szCs w:val="24"/>
          <w:shd w:val="clear" w:color="auto" w:fill="FFFFFF" w:themeFill="background1"/>
          <w:lang w:val="ro-MD" w:eastAsia="ro-RO"/>
        </w:rPr>
        <w:t>Ministerului Sănătății</w:t>
      </w:r>
      <w:r>
        <w:rPr>
          <w:rFonts w:asciiTheme="majorHAnsi" w:hAnsiTheme="majorHAnsi" w:cstheme="majorHAnsi"/>
          <w:i/>
          <w:color w:val="000000" w:themeColor="text1"/>
          <w:sz w:val="24"/>
          <w:szCs w:val="24"/>
          <w:shd w:val="clear" w:color="auto" w:fill="FFFFFF" w:themeFill="background1"/>
          <w:lang w:val="ro-MD" w:eastAsia="ro-RO"/>
        </w:rPr>
        <w:t>;</w:t>
      </w:r>
      <w:r w:rsidRPr="00A018AD">
        <w:rPr>
          <w:rFonts w:asciiTheme="majorHAnsi" w:hAnsiTheme="majorHAnsi" w:cstheme="majorHAnsi"/>
          <w:sz w:val="24"/>
          <w:szCs w:val="24"/>
          <w:lang w:val="ro-MD"/>
        </w:rPr>
        <w:t xml:space="preserve"> </w:t>
      </w:r>
      <w:r w:rsidRPr="00F31CFA">
        <w:rPr>
          <w:rFonts w:asciiTheme="majorHAnsi" w:hAnsiTheme="majorHAnsi" w:cstheme="majorHAnsi"/>
          <w:sz w:val="24"/>
          <w:szCs w:val="24"/>
          <w:lang w:val="ro-MD" w:eastAsia="ro-RO"/>
        </w:rPr>
        <w:t>dlui</w:t>
      </w:r>
      <w:r w:rsidRPr="00F31CFA">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Nicolae </w:t>
      </w:r>
      <w:proofErr w:type="spellStart"/>
      <w:r>
        <w:rPr>
          <w:rFonts w:asciiTheme="majorHAnsi" w:hAnsiTheme="majorHAnsi" w:cstheme="majorHAnsi"/>
          <w:sz w:val="24"/>
          <w:szCs w:val="24"/>
          <w:lang w:val="ro-MD"/>
        </w:rPr>
        <w:t>Jelamschi</w:t>
      </w:r>
      <w:proofErr w:type="spellEnd"/>
      <w:r w:rsidRPr="00F31CFA">
        <w:rPr>
          <w:rFonts w:asciiTheme="majorHAnsi" w:hAnsiTheme="majorHAnsi" w:cstheme="majorHAnsi"/>
          <w:sz w:val="24"/>
          <w:szCs w:val="24"/>
          <w:lang w:val="ro-MD"/>
        </w:rPr>
        <w:t xml:space="preserve">, director </w:t>
      </w:r>
      <w:r w:rsidRPr="00F31CFA">
        <w:rPr>
          <w:rFonts w:asciiTheme="majorHAnsi" w:hAnsiTheme="majorHAnsi" w:cstheme="majorHAnsi"/>
          <w:sz w:val="24"/>
          <w:szCs w:val="24"/>
          <w:lang w:val="ro-MD" w:eastAsia="ro-RO"/>
        </w:rPr>
        <w:t xml:space="preserve">al </w:t>
      </w:r>
      <w:r w:rsidRPr="00F31CFA">
        <w:rPr>
          <w:rFonts w:asciiTheme="majorHAnsi" w:eastAsia="Times New Roman" w:hAnsiTheme="majorHAnsi" w:cstheme="majorHAnsi"/>
          <w:sz w:val="24"/>
          <w:szCs w:val="24"/>
          <w:lang w:val="ro-MD"/>
        </w:rPr>
        <w:t>Agenției Naționale pentru Sănătate Publică</w:t>
      </w:r>
      <w:r w:rsidRPr="00F31CFA">
        <w:rPr>
          <w:rFonts w:asciiTheme="majorHAnsi" w:hAnsiTheme="majorHAnsi" w:cstheme="majorHAnsi"/>
          <w:color w:val="000000"/>
          <w:sz w:val="24"/>
          <w:szCs w:val="24"/>
          <w:lang w:val="ro-MD" w:eastAsia="ro-RO"/>
        </w:rPr>
        <w:t>;</w:t>
      </w:r>
      <w:r>
        <w:rPr>
          <w:rFonts w:asciiTheme="majorHAnsi" w:hAnsiTheme="majorHAnsi" w:cstheme="majorHAnsi"/>
          <w:color w:val="000000" w:themeColor="text1"/>
          <w:sz w:val="24"/>
          <w:szCs w:val="24"/>
          <w:lang w:val="ro-MD" w:eastAsia="ro-RO"/>
        </w:rPr>
        <w:t xml:space="preserve"> </w:t>
      </w:r>
      <w:r w:rsidR="005E7A3A">
        <w:rPr>
          <w:rFonts w:asciiTheme="majorHAnsi" w:hAnsiTheme="majorHAnsi" w:cstheme="majorHAnsi"/>
          <w:color w:val="000000" w:themeColor="text1"/>
          <w:sz w:val="24"/>
          <w:szCs w:val="24"/>
          <w:lang w:val="ro-MD" w:eastAsia="ro-RO"/>
        </w:rPr>
        <w:t>dnei Mariana Pînzaru, directoare generală adjunctă a</w:t>
      </w:r>
      <w:r>
        <w:rPr>
          <w:rFonts w:asciiTheme="majorHAnsi" w:hAnsiTheme="majorHAnsi" w:cstheme="majorHAnsi"/>
          <w:color w:val="000000" w:themeColor="text1"/>
          <w:sz w:val="24"/>
          <w:szCs w:val="24"/>
          <w:lang w:val="ro-MD" w:eastAsia="ro-RO"/>
        </w:rPr>
        <w:t xml:space="preserve"> Agenției Proprietății Publice; dlui Vasile Șarpe, director al Centrului de Medicină Legală; dlui Vladimir </w:t>
      </w:r>
      <w:proofErr w:type="spellStart"/>
      <w:r>
        <w:rPr>
          <w:rFonts w:asciiTheme="majorHAnsi" w:hAnsiTheme="majorHAnsi" w:cstheme="majorHAnsi"/>
          <w:color w:val="000000" w:themeColor="text1"/>
          <w:sz w:val="24"/>
          <w:szCs w:val="24"/>
          <w:lang w:val="ro-MD" w:eastAsia="ro-RO"/>
        </w:rPr>
        <w:t>Bolocan</w:t>
      </w:r>
      <w:proofErr w:type="spellEnd"/>
      <w:r>
        <w:rPr>
          <w:rFonts w:asciiTheme="majorHAnsi" w:hAnsiTheme="majorHAnsi" w:cstheme="majorHAnsi"/>
          <w:color w:val="000000" w:themeColor="text1"/>
          <w:sz w:val="24"/>
          <w:szCs w:val="24"/>
          <w:lang w:val="ro-MD" w:eastAsia="ro-RO"/>
        </w:rPr>
        <w:t xml:space="preserve">, director al Agenției de Transplant; dlui Gheorghe </w:t>
      </w:r>
      <w:proofErr w:type="spellStart"/>
      <w:r>
        <w:rPr>
          <w:rFonts w:asciiTheme="majorHAnsi" w:hAnsiTheme="majorHAnsi" w:cstheme="majorHAnsi"/>
          <w:color w:val="000000" w:themeColor="text1"/>
          <w:sz w:val="24"/>
          <w:szCs w:val="24"/>
          <w:lang w:val="ro-MD" w:eastAsia="ro-RO"/>
        </w:rPr>
        <w:t>Ștefăneț</w:t>
      </w:r>
      <w:proofErr w:type="spellEnd"/>
      <w:r>
        <w:rPr>
          <w:rFonts w:asciiTheme="majorHAnsi" w:hAnsiTheme="majorHAnsi" w:cstheme="majorHAnsi"/>
          <w:color w:val="000000" w:themeColor="text1"/>
          <w:sz w:val="24"/>
          <w:szCs w:val="24"/>
          <w:lang w:val="ro-MD" w:eastAsia="ro-RO"/>
        </w:rPr>
        <w:t xml:space="preserve">, director al Centrului de Medicină Sportivă </w:t>
      </w:r>
      <w:r w:rsidR="003E2DBB">
        <w:rPr>
          <w:rFonts w:asciiTheme="majorHAnsi" w:hAnsiTheme="majorHAnsi" w:cstheme="majorHAnsi"/>
          <w:color w:val="000000" w:themeColor="text1"/>
          <w:sz w:val="24"/>
          <w:szCs w:val="24"/>
          <w:lang w:val="ro-MD" w:eastAsia="ro-RO"/>
        </w:rPr>
        <w:t>„</w:t>
      </w:r>
      <w:proofErr w:type="spellStart"/>
      <w:r>
        <w:rPr>
          <w:rFonts w:asciiTheme="majorHAnsi" w:hAnsiTheme="majorHAnsi" w:cstheme="majorHAnsi"/>
          <w:color w:val="000000" w:themeColor="text1"/>
          <w:sz w:val="24"/>
          <w:szCs w:val="24"/>
          <w:lang w:val="ro-MD" w:eastAsia="ro-RO"/>
        </w:rPr>
        <w:t>Atletmed</w:t>
      </w:r>
      <w:proofErr w:type="spellEnd"/>
      <w:r>
        <w:rPr>
          <w:rFonts w:asciiTheme="majorHAnsi" w:hAnsiTheme="majorHAnsi" w:cstheme="majorHAnsi"/>
          <w:color w:val="000000" w:themeColor="text1"/>
          <w:sz w:val="24"/>
          <w:szCs w:val="24"/>
          <w:lang w:val="ro-MD" w:eastAsia="ro-RO"/>
        </w:rPr>
        <w:t>”</w:t>
      </w:r>
      <w:r w:rsidRPr="00F31CFA">
        <w:rPr>
          <w:rFonts w:asciiTheme="majorHAnsi" w:hAnsiTheme="majorHAnsi" w:cstheme="majorHAnsi"/>
          <w:color w:val="000000"/>
          <w:sz w:val="24"/>
          <w:szCs w:val="24"/>
          <w:lang w:val="ro-MD"/>
        </w:rPr>
        <w:t xml:space="preserve">, precum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a altor persoane responsabile, în cadrul ședinței video, călăuzindu-se de art.3 alin.(1), art.5 alin.(1) </w:t>
      </w:r>
      <w:proofErr w:type="spellStart"/>
      <w:r w:rsidRPr="00F31CFA">
        <w:rPr>
          <w:rFonts w:asciiTheme="majorHAnsi" w:hAnsiTheme="majorHAnsi" w:cstheme="majorHAnsi"/>
          <w:color w:val="000000"/>
          <w:sz w:val="24"/>
          <w:szCs w:val="24"/>
          <w:lang w:val="ro-MD"/>
        </w:rPr>
        <w:t>lit.a</w:t>
      </w:r>
      <w:proofErr w:type="spellEnd"/>
      <w:r w:rsidRPr="00F31CFA">
        <w:rPr>
          <w:rFonts w:asciiTheme="majorHAnsi" w:hAnsiTheme="majorHAnsi" w:cstheme="majorHAnsi"/>
          <w:color w:val="000000"/>
          <w:sz w:val="24"/>
          <w:szCs w:val="24"/>
          <w:lang w:val="ro-MD"/>
        </w:rPr>
        <w:t xml:space="preserve">)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art.31 alin.(1) </w:t>
      </w:r>
      <w:proofErr w:type="spellStart"/>
      <w:r w:rsidRPr="00F31CFA">
        <w:rPr>
          <w:rFonts w:asciiTheme="majorHAnsi" w:hAnsiTheme="majorHAnsi" w:cstheme="majorHAnsi"/>
          <w:color w:val="000000"/>
          <w:sz w:val="24"/>
          <w:szCs w:val="24"/>
          <w:lang w:val="ro-MD"/>
        </w:rPr>
        <w:t>lit.a</w:t>
      </w:r>
      <w:proofErr w:type="spellEnd"/>
      <w:r w:rsidRPr="00F31CFA">
        <w:rPr>
          <w:rFonts w:asciiTheme="majorHAnsi" w:hAnsiTheme="majorHAnsi" w:cstheme="majorHAnsi"/>
          <w:color w:val="000000"/>
          <w:sz w:val="24"/>
          <w:szCs w:val="24"/>
          <w:lang w:val="ro-MD"/>
        </w:rPr>
        <w:t xml:space="preserve">) din Legea privind organizarea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funcționarea Curții de Conturi a Republicii Moldova</w:t>
      </w:r>
      <w:r w:rsidRPr="00F31CFA">
        <w:rPr>
          <w:rStyle w:val="FootnoteReference"/>
          <w:rFonts w:asciiTheme="majorHAnsi" w:hAnsiTheme="majorHAnsi" w:cstheme="majorHAnsi"/>
          <w:color w:val="000000"/>
          <w:sz w:val="24"/>
          <w:szCs w:val="24"/>
          <w:lang w:val="ro-MD"/>
        </w:rPr>
        <w:footnoteReference w:id="1"/>
      </w:r>
      <w:r w:rsidRPr="00F31CFA">
        <w:rPr>
          <w:rFonts w:asciiTheme="majorHAnsi" w:hAnsiTheme="majorHAnsi" w:cstheme="majorHAnsi"/>
          <w:color w:val="000000"/>
          <w:sz w:val="24"/>
          <w:szCs w:val="24"/>
          <w:lang w:val="ro-MD"/>
        </w:rPr>
        <w:t xml:space="preserve">, </w:t>
      </w:r>
      <w:r w:rsidRPr="00F31CFA">
        <w:rPr>
          <w:rFonts w:asciiTheme="majorHAnsi" w:eastAsia="Times New Roman" w:hAnsiTheme="majorHAnsi" w:cstheme="majorHAnsi"/>
          <w:color w:val="000000"/>
          <w:sz w:val="24"/>
          <w:szCs w:val="24"/>
          <w:lang w:val="ro-MD"/>
        </w:rPr>
        <w:t xml:space="preserve">a examinat Raportul </w:t>
      </w:r>
      <w:r w:rsidRPr="00F31CFA">
        <w:rPr>
          <w:rFonts w:asciiTheme="majorHAnsi" w:eastAsia="Times New Roman" w:hAnsiTheme="majorHAnsi" w:cstheme="majorHAnsi"/>
          <w:bCs/>
          <w:color w:val="000000"/>
          <w:sz w:val="24"/>
          <w:szCs w:val="24"/>
          <w:lang w:val="ro-MD"/>
        </w:rPr>
        <w:t>auditului asupra rapoartelor financiare consolidate ale Ministerului Sănătății încheiate la 31 decembrie 202</w:t>
      </w:r>
      <w:r>
        <w:rPr>
          <w:rFonts w:asciiTheme="majorHAnsi" w:eastAsia="Times New Roman" w:hAnsiTheme="majorHAnsi" w:cstheme="majorHAnsi"/>
          <w:bCs/>
          <w:color w:val="000000"/>
          <w:sz w:val="24"/>
          <w:szCs w:val="24"/>
          <w:lang w:val="ro-MD"/>
        </w:rPr>
        <w:t>1</w:t>
      </w:r>
      <w:r w:rsidRPr="00F31CFA">
        <w:rPr>
          <w:rFonts w:asciiTheme="majorHAnsi" w:eastAsia="Times New Roman" w:hAnsiTheme="majorHAnsi" w:cstheme="majorHAnsi"/>
          <w:bCs/>
          <w:color w:val="000000"/>
          <w:sz w:val="24"/>
          <w:szCs w:val="24"/>
          <w:lang w:val="ro-MD"/>
        </w:rPr>
        <w:t>.</w:t>
      </w:r>
    </w:p>
    <w:p w:rsidR="00690B18" w:rsidRPr="00F31CFA" w:rsidRDefault="00851535" w:rsidP="00690B18">
      <w:pPr>
        <w:spacing w:line="276" w:lineRule="auto"/>
        <w:ind w:firstLine="567"/>
        <w:jc w:val="both"/>
        <w:rPr>
          <w:rFonts w:asciiTheme="majorHAnsi" w:eastAsia="Times New Roman" w:hAnsiTheme="majorHAnsi" w:cstheme="majorHAnsi"/>
          <w:bCs/>
          <w:sz w:val="24"/>
          <w:szCs w:val="24"/>
          <w:lang w:val="ro-MD" w:eastAsia="ru-RU"/>
        </w:rPr>
      </w:pPr>
      <w:r w:rsidRPr="00F31CFA">
        <w:rPr>
          <w:rFonts w:asciiTheme="majorHAnsi" w:eastAsia="Times New Roman" w:hAnsiTheme="majorHAnsi" w:cstheme="majorHAnsi"/>
          <w:sz w:val="24"/>
          <w:szCs w:val="24"/>
          <w:lang w:val="ro-MD" w:eastAsia="ro-MD"/>
        </w:rPr>
        <w:t xml:space="preserve">Misiunea de audit public extern a fost realizată conform </w:t>
      </w:r>
      <w:r w:rsidRPr="00F31CFA">
        <w:rPr>
          <w:rFonts w:asciiTheme="majorHAnsi" w:hAnsiTheme="majorHAnsi" w:cstheme="majorHAnsi"/>
          <w:sz w:val="24"/>
          <w:szCs w:val="24"/>
          <w:lang w:val="ro-MD"/>
        </w:rPr>
        <w:t>Program</w:t>
      </w:r>
      <w:r>
        <w:rPr>
          <w:rFonts w:asciiTheme="majorHAnsi" w:hAnsiTheme="majorHAnsi" w:cstheme="majorHAnsi"/>
          <w:sz w:val="24"/>
          <w:szCs w:val="24"/>
          <w:lang w:val="ro-MD"/>
        </w:rPr>
        <w:t>elor</w:t>
      </w:r>
      <w:r w:rsidRPr="00F31CFA">
        <w:rPr>
          <w:rFonts w:asciiTheme="majorHAnsi" w:hAnsiTheme="majorHAnsi" w:cstheme="majorHAnsi"/>
          <w:sz w:val="24"/>
          <w:szCs w:val="24"/>
          <w:lang w:val="ro-MD"/>
        </w:rPr>
        <w:t xml:space="preserve"> activității de audit a Curții de Conturi </w:t>
      </w:r>
      <w:r w:rsidR="00D07358">
        <w:rPr>
          <w:rFonts w:asciiTheme="majorHAnsi" w:hAnsiTheme="majorHAnsi" w:cstheme="majorHAnsi"/>
          <w:sz w:val="24"/>
          <w:szCs w:val="24"/>
          <w:lang w:val="ro-MD"/>
        </w:rPr>
        <w:t xml:space="preserve">pe anii 2021 </w:t>
      </w:r>
      <w:r w:rsidRPr="00776FDA">
        <w:rPr>
          <w:rFonts w:asciiTheme="majorHAnsi" w:hAnsiTheme="majorHAnsi" w:cstheme="majorHAnsi"/>
          <w:sz w:val="24"/>
          <w:szCs w:val="24"/>
          <w:lang w:val="ro-MD"/>
        </w:rPr>
        <w:t>ș</w:t>
      </w:r>
      <w:r w:rsidR="00D07358">
        <w:rPr>
          <w:rFonts w:asciiTheme="majorHAnsi" w:hAnsiTheme="majorHAnsi" w:cstheme="majorHAnsi"/>
          <w:sz w:val="24"/>
          <w:szCs w:val="24"/>
          <w:lang w:val="ro-MD"/>
        </w:rPr>
        <w:t>i 2022</w:t>
      </w:r>
      <w:bookmarkStart w:id="1" w:name="_GoBack"/>
      <w:bookmarkEnd w:id="1"/>
      <w:r w:rsidR="00690B18" w:rsidRPr="00851535">
        <w:rPr>
          <w:rStyle w:val="FootnoteReference"/>
          <w:rFonts w:asciiTheme="majorHAnsi" w:hAnsiTheme="majorHAnsi" w:cstheme="majorHAnsi"/>
          <w:sz w:val="24"/>
          <w:szCs w:val="24"/>
          <w:lang w:val="ro-MD"/>
        </w:rPr>
        <w:footnoteReference w:id="2"/>
      </w:r>
      <w:r w:rsidR="00690B18" w:rsidRPr="00F31CFA">
        <w:rPr>
          <w:rFonts w:asciiTheme="majorHAnsi" w:hAnsiTheme="majorHAnsi" w:cstheme="majorHAnsi"/>
          <w:sz w:val="24"/>
          <w:szCs w:val="24"/>
          <w:lang w:val="ro-MD"/>
        </w:rPr>
        <w:t xml:space="preserve"> (cu modificările ulterioare), </w:t>
      </w:r>
      <w:r w:rsidR="00690B18" w:rsidRPr="00F31CFA">
        <w:rPr>
          <w:rFonts w:asciiTheme="majorHAnsi" w:eastAsia="Times New Roman" w:hAnsiTheme="majorHAnsi" w:cstheme="majorHAnsi"/>
          <w:sz w:val="24"/>
          <w:szCs w:val="24"/>
          <w:lang w:val="ro-MD"/>
        </w:rPr>
        <w:t xml:space="preserve">având drept scop </w:t>
      </w:r>
      <w:r w:rsidR="00690B18" w:rsidRPr="00F31CFA">
        <w:rPr>
          <w:rFonts w:asciiTheme="majorHAnsi" w:hAnsiTheme="majorHAnsi" w:cstheme="majorHAnsi"/>
          <w:sz w:val="24"/>
          <w:szCs w:val="24"/>
          <w:lang w:val="ro-MD"/>
        </w:rPr>
        <w:t xml:space="preserve">oferirea unei asigurări rezonabile cu privire la faptul că </w:t>
      </w:r>
      <w:r w:rsidR="00690B18" w:rsidRPr="00F31CFA">
        <w:rPr>
          <w:rFonts w:asciiTheme="majorHAnsi" w:eastAsia="Times New Roman" w:hAnsiTheme="majorHAnsi" w:cstheme="majorHAnsi"/>
          <w:bCs/>
          <w:sz w:val="24"/>
          <w:szCs w:val="24"/>
          <w:lang w:val="ro-MD" w:eastAsia="ru-RU"/>
        </w:rPr>
        <w:t>rapoartele financiare consolidate ale Ministerului Sănătății</w:t>
      </w:r>
      <w:r w:rsidR="00690B18">
        <w:rPr>
          <w:rFonts w:asciiTheme="majorHAnsi" w:eastAsia="Times New Roman" w:hAnsiTheme="majorHAnsi" w:cstheme="majorHAnsi"/>
          <w:bCs/>
          <w:sz w:val="24"/>
          <w:szCs w:val="24"/>
          <w:lang w:val="ro-MD" w:eastAsia="ru-RU"/>
        </w:rPr>
        <w:t>,</w:t>
      </w:r>
      <w:r w:rsidR="00690B18" w:rsidRPr="00F31CFA">
        <w:rPr>
          <w:rFonts w:asciiTheme="majorHAnsi" w:eastAsia="Times New Roman" w:hAnsiTheme="majorHAnsi" w:cstheme="majorHAnsi"/>
          <w:bCs/>
          <w:sz w:val="24"/>
          <w:szCs w:val="24"/>
          <w:lang w:val="ro-MD" w:eastAsia="ru-RU"/>
        </w:rPr>
        <w:t xml:space="preserve"> încheiate </w:t>
      </w:r>
      <w:r w:rsidR="00690B18">
        <w:rPr>
          <w:rFonts w:asciiTheme="majorHAnsi" w:eastAsia="Times New Roman" w:hAnsiTheme="majorHAnsi" w:cstheme="majorHAnsi"/>
          <w:bCs/>
          <w:sz w:val="24"/>
          <w:szCs w:val="24"/>
          <w:lang w:val="ro-MD" w:eastAsia="ru-RU"/>
        </w:rPr>
        <w:t>la 31 decembrie 2021</w:t>
      </w:r>
      <w:r w:rsidR="00690B18" w:rsidRPr="00F31CFA">
        <w:rPr>
          <w:rFonts w:asciiTheme="majorHAnsi" w:eastAsia="Times New Roman" w:hAnsiTheme="majorHAnsi" w:cstheme="majorHAnsi"/>
          <w:bCs/>
          <w:sz w:val="24"/>
          <w:szCs w:val="24"/>
          <w:lang w:val="ro-MD" w:eastAsia="ru-RU"/>
        </w:rPr>
        <w:t xml:space="preserve">, </w:t>
      </w:r>
      <w:r w:rsidR="00690B18" w:rsidRPr="00F31CFA">
        <w:rPr>
          <w:rFonts w:asciiTheme="majorHAnsi" w:hAnsiTheme="majorHAnsi" w:cstheme="majorHAnsi"/>
          <w:sz w:val="24"/>
          <w:szCs w:val="24"/>
          <w:lang w:val="ro-MD"/>
        </w:rPr>
        <w:t>nu conțin, în ansamblul lor, denaturări semnificative cauzate de fraude sau erori, precum și emiterea unei opinii.</w:t>
      </w:r>
    </w:p>
    <w:p w:rsidR="00690B18" w:rsidRPr="00F31CFA" w:rsidRDefault="00690B18" w:rsidP="00690B18">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F31CFA">
        <w:rPr>
          <w:rStyle w:val="FootnoteReference"/>
          <w:rFonts w:asciiTheme="majorHAnsi" w:eastAsia="Times New Roman" w:hAnsiTheme="majorHAnsi" w:cstheme="majorHAnsi"/>
          <w:sz w:val="24"/>
          <w:szCs w:val="24"/>
          <w:lang w:val="ro-MD"/>
        </w:rPr>
        <w:footnoteReference w:id="3"/>
      </w:r>
      <w:r w:rsidRPr="00F31CFA">
        <w:rPr>
          <w:rFonts w:asciiTheme="majorHAnsi" w:eastAsia="Times New Roman" w:hAnsiTheme="majorHAnsi" w:cstheme="majorHAnsi"/>
          <w:sz w:val="24"/>
          <w:szCs w:val="24"/>
          <w:lang w:val="ro-MD"/>
        </w:rPr>
        <w:t xml:space="preserve">. </w:t>
      </w:r>
    </w:p>
    <w:p w:rsidR="00690B18" w:rsidRPr="00F31CFA" w:rsidRDefault="00690B18" w:rsidP="00690B18">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 xml:space="preserve">Examinând Raportul de audit, precum și explicațiile persoanelor cu funcții de răspundere prezente la ședința publică, Curtea de Conturi </w:t>
      </w:r>
    </w:p>
    <w:p w:rsidR="00690B18" w:rsidRPr="00F31CFA" w:rsidRDefault="00690B18" w:rsidP="00690B18">
      <w:pPr>
        <w:spacing w:after="0" w:line="276" w:lineRule="auto"/>
        <w:ind w:firstLine="567"/>
        <w:jc w:val="both"/>
        <w:rPr>
          <w:rFonts w:asciiTheme="majorHAnsi" w:eastAsia="Times New Roman" w:hAnsiTheme="majorHAnsi" w:cstheme="majorHAnsi"/>
          <w:sz w:val="24"/>
          <w:szCs w:val="24"/>
          <w:lang w:val="ro-MD"/>
        </w:rPr>
      </w:pPr>
    </w:p>
    <w:p w:rsidR="00690B18" w:rsidRPr="00F31CFA" w:rsidRDefault="00690B18" w:rsidP="00690B18">
      <w:pPr>
        <w:spacing w:after="0" w:line="276" w:lineRule="auto"/>
        <w:jc w:val="center"/>
        <w:rPr>
          <w:rFonts w:asciiTheme="majorHAnsi" w:eastAsia="Times New Roman" w:hAnsiTheme="majorHAnsi" w:cstheme="majorHAnsi"/>
          <w:b/>
          <w:bCs/>
          <w:sz w:val="24"/>
          <w:szCs w:val="24"/>
          <w:lang w:val="ro-MD"/>
        </w:rPr>
      </w:pPr>
      <w:r w:rsidRPr="00F31CFA">
        <w:rPr>
          <w:rFonts w:asciiTheme="majorHAnsi" w:eastAsia="Times New Roman" w:hAnsiTheme="majorHAnsi" w:cstheme="majorHAnsi"/>
          <w:b/>
          <w:bCs/>
          <w:sz w:val="24"/>
          <w:szCs w:val="24"/>
          <w:lang w:val="ro-MD"/>
        </w:rPr>
        <w:t>A CONSTATAT:</w:t>
      </w:r>
    </w:p>
    <w:p w:rsidR="00690B18" w:rsidRPr="00F31CFA" w:rsidRDefault="00690B18" w:rsidP="00690B18">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 xml:space="preserve">Rapoartele financiare consolidate </w:t>
      </w:r>
      <w:r w:rsidRPr="00F31CFA">
        <w:rPr>
          <w:rFonts w:asciiTheme="majorHAnsi" w:hAnsiTheme="majorHAnsi" w:cstheme="majorHAnsi"/>
          <w:color w:val="000000"/>
          <w:lang w:val="ro-MD"/>
        </w:rPr>
        <w:t xml:space="preserve">ale Ministerului Sănătății </w:t>
      </w:r>
      <w:r w:rsidRPr="00F31CFA">
        <w:rPr>
          <w:rFonts w:asciiTheme="majorHAnsi" w:hAnsiTheme="majorHAnsi" w:cstheme="majorHAnsi"/>
          <w:color w:val="000000" w:themeColor="text1"/>
          <w:lang w:val="ro-MD"/>
        </w:rPr>
        <w:t xml:space="preserve">încheiate </w:t>
      </w:r>
      <w:r>
        <w:rPr>
          <w:rFonts w:asciiTheme="majorHAnsi" w:hAnsiTheme="majorHAnsi" w:cstheme="majorHAnsi"/>
          <w:color w:val="000000" w:themeColor="text1"/>
          <w:lang w:val="ro-MD"/>
        </w:rPr>
        <w:t>la 31 decembrie 2021</w:t>
      </w:r>
      <w:r w:rsidRPr="00F31CFA">
        <w:rPr>
          <w:rFonts w:asciiTheme="majorHAnsi" w:hAnsiTheme="majorHAnsi" w:cstheme="majorHAnsi"/>
          <w:color w:val="000000" w:themeColor="text1"/>
          <w:lang w:val="ro-MD"/>
        </w:rPr>
        <w:t>, cu excepția efectelor</w:t>
      </w:r>
      <w:r w:rsidRPr="00F31CFA">
        <w:rPr>
          <w:rFonts w:asciiTheme="majorHAnsi" w:hAnsiTheme="majorHAnsi" w:cstheme="majorHAnsi"/>
          <w:lang w:val="ro-MD"/>
        </w:rPr>
        <w:t xml:space="preserve"> </w:t>
      </w:r>
      <w:r>
        <w:rPr>
          <w:rFonts w:asciiTheme="majorHAnsi" w:hAnsiTheme="majorHAnsi" w:cstheme="majorHAnsi"/>
          <w:lang w:val="ro-MD"/>
        </w:rPr>
        <w:t xml:space="preserve">unor </w:t>
      </w:r>
      <w:r w:rsidRPr="00F31CFA">
        <w:rPr>
          <w:rFonts w:asciiTheme="majorHAnsi" w:hAnsiTheme="majorHAnsi" w:cstheme="majorHAnsi"/>
          <w:lang w:val="ro-MD"/>
        </w:rPr>
        <w:t xml:space="preserve">aspecte </w:t>
      </w:r>
      <w:r w:rsidRPr="00F31CFA">
        <w:rPr>
          <w:rFonts w:asciiTheme="majorHAnsi" w:hAnsiTheme="majorHAnsi" w:cstheme="majorHAnsi"/>
          <w:color w:val="000000" w:themeColor="text1"/>
          <w:lang w:val="ro-MD"/>
        </w:rPr>
        <w:t xml:space="preserve">descrise în secțiunea </w:t>
      </w:r>
      <w:r w:rsidRPr="00746A52">
        <w:rPr>
          <w:rFonts w:asciiTheme="majorHAnsi" w:hAnsiTheme="majorHAnsi" w:cstheme="majorHAnsi"/>
          <w:i/>
          <w:color w:val="000000" w:themeColor="text1"/>
          <w:lang w:val="ro-MD"/>
        </w:rPr>
        <w:t>Baza pentru opinia cu rezerve</w:t>
      </w:r>
      <w:r>
        <w:rPr>
          <w:rFonts w:asciiTheme="majorHAnsi" w:hAnsiTheme="majorHAnsi" w:cstheme="majorHAnsi"/>
          <w:color w:val="000000" w:themeColor="text1"/>
          <w:lang w:val="ro-MD"/>
        </w:rPr>
        <w:t xml:space="preserve"> din Raportul de audit</w:t>
      </w:r>
      <w:r w:rsidRPr="00F31CFA">
        <w:rPr>
          <w:rFonts w:asciiTheme="majorHAnsi" w:hAnsiTheme="majorHAnsi" w:cstheme="majorHAnsi"/>
          <w:color w:val="000000" w:themeColor="text1"/>
          <w:lang w:val="ro-MD"/>
        </w:rPr>
        <w:t>, oferă</w:t>
      </w:r>
      <w:r>
        <w:rPr>
          <w:rFonts w:asciiTheme="majorHAnsi" w:hAnsiTheme="majorHAnsi" w:cstheme="majorHAnsi"/>
          <w:color w:val="000000" w:themeColor="text1"/>
          <w:lang w:val="ro-MD"/>
        </w:rPr>
        <w:t>, sub toate aspectele semnificative,</w:t>
      </w:r>
      <w:r w:rsidRPr="00F31CFA">
        <w:rPr>
          <w:rFonts w:asciiTheme="majorHAnsi" w:hAnsiTheme="majorHAnsi" w:cstheme="majorHAnsi"/>
          <w:color w:val="000000" w:themeColor="text1"/>
          <w:lang w:val="ro-MD"/>
        </w:rPr>
        <w:t xml:space="preserve"> o imagine corectă și fidelă în conformitate cu cerințele normelor de contabilitate și de raportare financiară în sistemul bugetar din Republica Moldova</w:t>
      </w:r>
      <w:r w:rsidRPr="00F31CFA">
        <w:rPr>
          <w:rStyle w:val="FootnoteReference"/>
          <w:rFonts w:asciiTheme="majorHAnsi" w:hAnsiTheme="majorHAnsi" w:cstheme="majorHAnsi"/>
          <w:color w:val="000000" w:themeColor="text1"/>
          <w:lang w:val="ro-MD"/>
        </w:rPr>
        <w:footnoteReference w:id="4"/>
      </w:r>
      <w:r w:rsidRPr="00F31CFA">
        <w:rPr>
          <w:rFonts w:asciiTheme="majorHAnsi" w:hAnsiTheme="majorHAnsi" w:cstheme="majorHAnsi"/>
          <w:color w:val="000000" w:themeColor="text1"/>
          <w:lang w:val="ro-MD"/>
        </w:rPr>
        <w:t>.</w:t>
      </w:r>
    </w:p>
    <w:p w:rsidR="00690B18" w:rsidRDefault="00690B18" w:rsidP="00690B18">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lastRenderedPageBreak/>
        <w:t>Reieșind din cele expuse, în temeiul art.14 alin.(2), art.15 lit. d) și art.37 alin.(2) din Legea nr.260 din 07.12.2017, Curtea de Conturi</w:t>
      </w:r>
    </w:p>
    <w:p w:rsidR="00690B18" w:rsidRDefault="00690B18" w:rsidP="00690B18">
      <w:pPr>
        <w:pStyle w:val="NormalWeb"/>
        <w:spacing w:line="276" w:lineRule="auto"/>
        <w:rPr>
          <w:rFonts w:asciiTheme="majorHAnsi" w:hAnsiTheme="majorHAnsi" w:cstheme="majorHAnsi"/>
          <w:color w:val="000000" w:themeColor="text1"/>
          <w:lang w:val="ro-MD"/>
        </w:rPr>
      </w:pPr>
    </w:p>
    <w:p w:rsidR="00690B18" w:rsidRPr="00F31CFA" w:rsidRDefault="00690B18" w:rsidP="00690B18">
      <w:pPr>
        <w:pStyle w:val="cp"/>
        <w:spacing w:line="276" w:lineRule="auto"/>
        <w:rPr>
          <w:rFonts w:asciiTheme="majorHAnsi" w:hAnsiTheme="majorHAnsi" w:cstheme="majorHAnsi"/>
          <w:lang w:val="ro-MD"/>
        </w:rPr>
      </w:pPr>
      <w:r w:rsidRPr="00F31CFA">
        <w:rPr>
          <w:rFonts w:asciiTheme="majorHAnsi" w:hAnsiTheme="majorHAnsi" w:cstheme="majorHAnsi"/>
          <w:lang w:val="ro-MD"/>
        </w:rPr>
        <w:t>HOTĂRĂŞTE:</w:t>
      </w:r>
    </w:p>
    <w:p w:rsidR="00690B18" w:rsidRPr="003E2DBB" w:rsidRDefault="00690B18" w:rsidP="00851535">
      <w:pPr>
        <w:pStyle w:val="ListParagraph"/>
        <w:numPr>
          <w:ilvl w:val="0"/>
          <w:numId w:val="1"/>
        </w:numPr>
        <w:tabs>
          <w:tab w:val="left" w:pos="900"/>
          <w:tab w:val="left" w:pos="993"/>
        </w:tabs>
        <w:spacing w:after="120" w:line="276" w:lineRule="auto"/>
        <w:ind w:left="0" w:firstLine="567"/>
        <w:jc w:val="both"/>
        <w:rPr>
          <w:rFonts w:asciiTheme="majorHAnsi" w:hAnsiTheme="majorHAnsi" w:cstheme="majorHAnsi"/>
          <w:noProof/>
          <w:sz w:val="24"/>
          <w:szCs w:val="24"/>
          <w:lang w:val="ro-MD"/>
        </w:rPr>
      </w:pPr>
      <w:r w:rsidRPr="003E2DBB">
        <w:rPr>
          <w:rFonts w:asciiTheme="majorHAnsi" w:hAnsiTheme="majorHAnsi" w:cstheme="majorHAnsi"/>
          <w:noProof/>
          <w:sz w:val="24"/>
          <w:szCs w:val="24"/>
          <w:lang w:val="ro-MD"/>
        </w:rPr>
        <w:t xml:space="preserve"> Se aprobă </w:t>
      </w:r>
      <w:r w:rsidRPr="003E2DBB">
        <w:rPr>
          <w:rFonts w:asciiTheme="majorHAnsi" w:hAnsiTheme="majorHAnsi" w:cstheme="majorHAnsi"/>
          <w:noProof/>
          <w:sz w:val="24"/>
          <w:szCs w:val="24"/>
          <w:lang w:val="ro-MD" w:eastAsia="ro-RO"/>
        </w:rPr>
        <w:t>Raportul auditului asupra rapoartelor financiare consolidate ale Ministerului Sănătății încheiate la 31 decembrie</w:t>
      </w:r>
      <w:r w:rsidRPr="0054539D">
        <w:rPr>
          <w:rFonts w:asciiTheme="majorHAnsi" w:hAnsiTheme="majorHAnsi" w:cstheme="majorHAnsi"/>
          <w:noProof/>
          <w:sz w:val="24"/>
          <w:szCs w:val="24"/>
          <w:lang w:val="ro-MD" w:eastAsia="ro-RO"/>
        </w:rPr>
        <w:t xml:space="preserve"> 2021, anexat la prezenta Hotărâre.</w:t>
      </w:r>
    </w:p>
    <w:p w:rsidR="00690B18" w:rsidRPr="003E2DBB" w:rsidRDefault="00690B18" w:rsidP="00D271F9">
      <w:pPr>
        <w:pStyle w:val="ListParagraph"/>
        <w:numPr>
          <w:ilvl w:val="0"/>
          <w:numId w:val="1"/>
        </w:numPr>
        <w:tabs>
          <w:tab w:val="left" w:pos="900"/>
          <w:tab w:val="left" w:pos="993"/>
          <w:tab w:val="left" w:pos="1276"/>
        </w:tabs>
        <w:spacing w:before="120" w:after="0" w:line="276" w:lineRule="auto"/>
        <w:ind w:left="0" w:firstLine="567"/>
        <w:jc w:val="both"/>
        <w:rPr>
          <w:rFonts w:asciiTheme="majorHAnsi" w:hAnsiTheme="majorHAnsi" w:cstheme="majorHAnsi"/>
          <w:bCs/>
          <w:noProof/>
          <w:sz w:val="24"/>
          <w:szCs w:val="24"/>
          <w:lang w:val="ro-MD"/>
        </w:rPr>
      </w:pPr>
      <w:r w:rsidRPr="003E2DBB">
        <w:rPr>
          <w:rFonts w:asciiTheme="majorHAnsi" w:hAnsiTheme="majorHAnsi" w:cstheme="majorHAnsi"/>
          <w:bCs/>
          <w:noProof/>
          <w:sz w:val="24"/>
          <w:szCs w:val="24"/>
          <w:lang w:val="ro-MD"/>
        </w:rPr>
        <w:t xml:space="preserve"> Prezenta Hotărâre și Raportul de audit se remit: </w:t>
      </w:r>
    </w:p>
    <w:p w:rsidR="00690B18" w:rsidRPr="003E2DBB" w:rsidRDefault="00690B18" w:rsidP="00D271F9">
      <w:pPr>
        <w:pStyle w:val="ListParagraph"/>
        <w:tabs>
          <w:tab w:val="left" w:pos="900"/>
          <w:tab w:val="left" w:pos="993"/>
          <w:tab w:val="left" w:pos="1276"/>
        </w:tabs>
        <w:spacing w:before="120" w:after="0" w:line="276" w:lineRule="auto"/>
        <w:ind w:left="0" w:firstLine="567"/>
        <w:jc w:val="both"/>
        <w:rPr>
          <w:rFonts w:asciiTheme="majorHAnsi" w:hAnsiTheme="majorHAnsi" w:cstheme="majorHAnsi"/>
          <w:b/>
          <w:bCs/>
          <w:noProof/>
          <w:sz w:val="24"/>
          <w:szCs w:val="24"/>
          <w:lang w:val="ro-MD"/>
        </w:rPr>
      </w:pPr>
      <w:r w:rsidRPr="003E2DBB">
        <w:rPr>
          <w:rFonts w:asciiTheme="majorHAnsi" w:hAnsiTheme="majorHAnsi" w:cstheme="majorHAnsi"/>
          <w:b/>
          <w:bCs/>
          <w:noProof/>
          <w:sz w:val="24"/>
          <w:szCs w:val="24"/>
          <w:lang w:val="ro-MD"/>
        </w:rPr>
        <w:t>2.1. Parlamentului Republicii Moldova</w:t>
      </w:r>
      <w:r w:rsidRPr="003E2DBB">
        <w:rPr>
          <w:rFonts w:asciiTheme="majorHAnsi" w:hAnsiTheme="majorHAnsi" w:cstheme="majorHAnsi"/>
          <w:bCs/>
          <w:noProof/>
          <w:sz w:val="24"/>
          <w:szCs w:val="24"/>
          <w:lang w:val="ro-MD"/>
        </w:rPr>
        <w:t>, pentru informare şi examinare, după caz, în cadrul Comisiei parlamentare de control al finanțelor publice;</w:t>
      </w:r>
    </w:p>
    <w:p w:rsidR="00690B18" w:rsidRPr="003E2DBB" w:rsidRDefault="00690B18" w:rsidP="00D271F9">
      <w:pPr>
        <w:pStyle w:val="ListParagraph"/>
        <w:tabs>
          <w:tab w:val="left" w:pos="900"/>
          <w:tab w:val="left" w:pos="993"/>
          <w:tab w:val="left" w:pos="1276"/>
        </w:tabs>
        <w:spacing w:before="120" w:after="0" w:line="276" w:lineRule="auto"/>
        <w:ind w:left="0" w:firstLine="567"/>
        <w:jc w:val="both"/>
        <w:rPr>
          <w:rFonts w:asciiTheme="majorHAnsi" w:hAnsiTheme="majorHAnsi" w:cstheme="majorHAnsi"/>
          <w:bCs/>
          <w:noProof/>
          <w:sz w:val="24"/>
          <w:szCs w:val="24"/>
          <w:lang w:val="ro-MD"/>
        </w:rPr>
      </w:pPr>
      <w:r w:rsidRPr="003E2DBB">
        <w:rPr>
          <w:rFonts w:asciiTheme="majorHAnsi" w:hAnsiTheme="majorHAnsi" w:cstheme="majorHAnsi"/>
          <w:b/>
          <w:bCs/>
          <w:noProof/>
          <w:sz w:val="24"/>
          <w:szCs w:val="24"/>
          <w:lang w:val="ro-MD"/>
        </w:rPr>
        <w:t xml:space="preserve"> 2.2. Președintelui Republicii Moldova, </w:t>
      </w:r>
      <w:r w:rsidRPr="003E2DBB">
        <w:rPr>
          <w:rFonts w:asciiTheme="majorHAnsi" w:hAnsiTheme="majorHAnsi" w:cstheme="majorHAnsi"/>
          <w:bCs/>
          <w:noProof/>
          <w:sz w:val="24"/>
          <w:szCs w:val="24"/>
          <w:lang w:val="ro-MD"/>
        </w:rPr>
        <w:t>pentru informare;</w:t>
      </w:r>
    </w:p>
    <w:p w:rsidR="00EC40AF" w:rsidRPr="003E2DBB" w:rsidRDefault="009912E1" w:rsidP="009912E1">
      <w:pPr>
        <w:spacing w:after="0" w:line="276" w:lineRule="auto"/>
        <w:jc w:val="both"/>
        <w:rPr>
          <w:rFonts w:asciiTheme="majorHAnsi" w:hAnsiTheme="majorHAnsi" w:cstheme="majorHAnsi"/>
          <w:bCs/>
          <w:noProof/>
          <w:sz w:val="24"/>
          <w:szCs w:val="24"/>
          <w:lang w:val="ro-RO"/>
        </w:rPr>
      </w:pPr>
      <w:r w:rsidRPr="003E2DBB">
        <w:rPr>
          <w:rFonts w:asciiTheme="majorHAnsi" w:hAnsiTheme="majorHAnsi" w:cstheme="majorHAnsi"/>
          <w:b/>
          <w:bCs/>
          <w:noProof/>
          <w:sz w:val="24"/>
          <w:szCs w:val="24"/>
          <w:lang w:val="ro-MD"/>
        </w:rPr>
        <w:t xml:space="preserve">           </w:t>
      </w:r>
      <w:r w:rsidR="00690B18" w:rsidRPr="003E2DBB">
        <w:rPr>
          <w:rFonts w:asciiTheme="majorHAnsi" w:hAnsiTheme="majorHAnsi" w:cstheme="majorHAnsi"/>
          <w:b/>
          <w:bCs/>
          <w:noProof/>
          <w:sz w:val="24"/>
          <w:szCs w:val="24"/>
          <w:lang w:val="ro-MD"/>
        </w:rPr>
        <w:t xml:space="preserve">2.3. Guvernului Republicii Moldova, </w:t>
      </w:r>
      <w:r w:rsidR="00690B18" w:rsidRPr="003E2DBB">
        <w:rPr>
          <w:rFonts w:asciiTheme="majorHAnsi" w:hAnsiTheme="majorHAnsi" w:cstheme="majorHAnsi"/>
          <w:bCs/>
          <w:noProof/>
          <w:sz w:val="24"/>
          <w:szCs w:val="24"/>
          <w:lang w:val="ro-MD"/>
        </w:rPr>
        <w:t>pentru informare</w:t>
      </w:r>
      <w:r w:rsidR="00EC40AF" w:rsidRPr="003E2DBB">
        <w:rPr>
          <w:rFonts w:asciiTheme="majorHAnsi" w:hAnsiTheme="majorHAnsi" w:cstheme="majorHAnsi"/>
          <w:bCs/>
          <w:noProof/>
          <w:sz w:val="24"/>
          <w:szCs w:val="24"/>
          <w:lang w:val="ro-MD"/>
        </w:rPr>
        <w:t xml:space="preserve"> </w:t>
      </w:r>
      <w:r w:rsidR="00EC40AF" w:rsidRPr="00851535">
        <w:rPr>
          <w:rFonts w:asciiTheme="majorHAnsi" w:hAnsiTheme="majorHAnsi" w:cstheme="majorHAnsi"/>
          <w:noProof/>
          <w:sz w:val="24"/>
          <w:szCs w:val="24"/>
          <w:lang w:val="ro-RO"/>
        </w:rPr>
        <w:t xml:space="preserve">și luare de atitudine în vederea monitorizării asigurării implementării recomandărilor de audit, precum și se recomandă </w:t>
      </w:r>
      <w:r w:rsidR="00EC40AF" w:rsidRPr="003E2DBB">
        <w:rPr>
          <w:rFonts w:asciiTheme="majorHAnsi" w:hAnsiTheme="majorHAnsi" w:cstheme="majorHAnsi"/>
          <w:noProof/>
          <w:sz w:val="24"/>
          <w:szCs w:val="24"/>
          <w:lang w:val="ro-RO"/>
        </w:rPr>
        <w:t>responsabilizarea autorităților publice centrale gestionare a terenurilor proprietate publică a statului, în vederea realizării în termen</w:t>
      </w:r>
      <w:r w:rsidR="003E2DBB">
        <w:rPr>
          <w:rFonts w:asciiTheme="majorHAnsi" w:hAnsiTheme="majorHAnsi" w:cstheme="majorHAnsi"/>
          <w:noProof/>
          <w:sz w:val="24"/>
          <w:szCs w:val="24"/>
          <w:lang w:val="ro-RO"/>
        </w:rPr>
        <w:t>e</w:t>
      </w:r>
      <w:r w:rsidR="00EC40AF" w:rsidRPr="003E2DBB">
        <w:rPr>
          <w:rFonts w:asciiTheme="majorHAnsi" w:hAnsiTheme="majorHAnsi" w:cstheme="majorHAnsi"/>
          <w:noProof/>
          <w:sz w:val="24"/>
          <w:szCs w:val="24"/>
          <w:lang w:val="ro-RO"/>
        </w:rPr>
        <w:t xml:space="preserve"> proxim</w:t>
      </w:r>
      <w:r w:rsidR="003E2DBB">
        <w:rPr>
          <w:rFonts w:asciiTheme="majorHAnsi" w:hAnsiTheme="majorHAnsi" w:cstheme="majorHAnsi"/>
          <w:noProof/>
          <w:sz w:val="24"/>
          <w:szCs w:val="24"/>
          <w:lang w:val="ro-RO"/>
        </w:rPr>
        <w:t>e</w:t>
      </w:r>
      <w:r w:rsidR="00EC40AF" w:rsidRPr="003E2DBB">
        <w:rPr>
          <w:rFonts w:asciiTheme="majorHAnsi" w:hAnsiTheme="majorHAnsi" w:cstheme="majorHAnsi"/>
          <w:noProof/>
          <w:sz w:val="24"/>
          <w:szCs w:val="24"/>
          <w:lang w:val="ro-RO"/>
        </w:rPr>
        <w:t xml:space="preserve"> a prevederilor Hotărârii Guvernului nr.161/2019</w:t>
      </w:r>
      <w:r w:rsidR="00EC40AF" w:rsidRPr="00851535">
        <w:rPr>
          <w:rStyle w:val="FootnoteReference"/>
          <w:rFonts w:asciiTheme="majorHAnsi" w:hAnsiTheme="majorHAnsi" w:cstheme="majorHAnsi"/>
          <w:noProof/>
          <w:sz w:val="24"/>
          <w:szCs w:val="24"/>
          <w:lang w:val="ro-RO"/>
        </w:rPr>
        <w:footnoteReference w:id="5"/>
      </w:r>
      <w:r w:rsidR="00EC40AF" w:rsidRPr="003E2DBB">
        <w:rPr>
          <w:rFonts w:asciiTheme="majorHAnsi" w:hAnsiTheme="majorHAnsi" w:cstheme="majorHAnsi"/>
          <w:noProof/>
          <w:sz w:val="24"/>
          <w:szCs w:val="24"/>
          <w:lang w:val="ro-RO"/>
        </w:rPr>
        <w:t xml:space="preserve"> și asigurării urgentării procesului de transmitere a terenurilor proprietate publică din gestiunea lor în administrarea Agenției Proprietății Publice, cu întocmirea obligatorie a actelor de primire-predare între Agenția Prorpietății Publice și gestionarii terenurilor, </w:t>
      </w:r>
      <w:r w:rsidR="00EC40AF" w:rsidRPr="003E2DBB">
        <w:rPr>
          <w:rFonts w:asciiTheme="majorHAnsi" w:hAnsiTheme="majorHAnsi" w:cstheme="majorHAnsi"/>
          <w:sz w:val="24"/>
          <w:szCs w:val="24"/>
          <w:lang w:val="ro-RO"/>
        </w:rPr>
        <w:t>în conformitate cu prevederile Hotărârii Guvernului nr.901/2015</w:t>
      </w:r>
      <w:r w:rsidR="00EC40AF" w:rsidRPr="00851535">
        <w:rPr>
          <w:rStyle w:val="FootnoteReference"/>
          <w:rFonts w:asciiTheme="majorHAnsi" w:hAnsiTheme="majorHAnsi" w:cstheme="majorHAnsi"/>
          <w:sz w:val="24"/>
          <w:szCs w:val="24"/>
          <w:lang w:val="ro-RO"/>
        </w:rPr>
        <w:footnoteReference w:id="6"/>
      </w:r>
      <w:r w:rsidR="00EC40AF" w:rsidRPr="003E2DBB">
        <w:rPr>
          <w:rFonts w:asciiTheme="majorHAnsi" w:hAnsiTheme="majorHAnsi" w:cstheme="majorHAnsi"/>
          <w:sz w:val="24"/>
          <w:szCs w:val="24"/>
          <w:lang w:val="ro-RO"/>
        </w:rPr>
        <w:t>, cu monitorizarea periodică a procesului de transmitere a terenurilor;</w:t>
      </w:r>
    </w:p>
    <w:p w:rsidR="009912E1" w:rsidRPr="0014196E" w:rsidRDefault="00690B18" w:rsidP="009912E1">
      <w:pPr>
        <w:pStyle w:val="ListParagraph"/>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14196E">
        <w:rPr>
          <w:rFonts w:asciiTheme="majorHAnsi" w:hAnsiTheme="majorHAnsi" w:cstheme="majorHAnsi"/>
          <w:b/>
          <w:noProof/>
          <w:sz w:val="24"/>
          <w:szCs w:val="24"/>
          <w:lang w:val="ro-MD"/>
        </w:rPr>
        <w:t>2.4. Ministerului Sănătății</w:t>
      </w:r>
      <w:r w:rsidR="0014196E">
        <w:rPr>
          <w:rFonts w:asciiTheme="majorHAnsi" w:hAnsiTheme="majorHAnsi" w:cstheme="majorHAnsi"/>
          <w:b/>
          <w:noProof/>
          <w:sz w:val="24"/>
          <w:szCs w:val="24"/>
          <w:lang w:val="ro-MD"/>
        </w:rPr>
        <w:t>,</w:t>
      </w:r>
      <w:r w:rsidR="00AD135B" w:rsidRPr="0014196E">
        <w:rPr>
          <w:rFonts w:asciiTheme="majorHAnsi" w:hAnsiTheme="majorHAnsi" w:cstheme="majorHAnsi"/>
          <w:b/>
          <w:noProof/>
          <w:sz w:val="24"/>
          <w:szCs w:val="24"/>
          <w:lang w:val="ro-MD"/>
        </w:rPr>
        <w:t xml:space="preserve"> </w:t>
      </w:r>
      <w:r w:rsidR="00AD135B" w:rsidRPr="00851535">
        <w:rPr>
          <w:rFonts w:asciiTheme="majorHAnsi" w:hAnsiTheme="majorHAnsi" w:cstheme="majorHAnsi"/>
          <w:noProof/>
          <w:sz w:val="24"/>
          <w:szCs w:val="24"/>
          <w:lang w:val="ro-MD"/>
        </w:rPr>
        <w:t>pentru</w:t>
      </w:r>
      <w:r w:rsidR="00AD135B" w:rsidRPr="0014196E">
        <w:rPr>
          <w:rFonts w:asciiTheme="majorHAnsi" w:hAnsiTheme="majorHAnsi" w:cstheme="majorHAnsi"/>
          <w:sz w:val="24"/>
          <w:szCs w:val="24"/>
          <w:lang w:val="ro-MD"/>
        </w:rPr>
        <w:t xml:space="preserve"> </w:t>
      </w:r>
      <w:r w:rsidRPr="0014196E">
        <w:rPr>
          <w:rFonts w:asciiTheme="majorHAnsi" w:hAnsiTheme="majorHAnsi" w:cstheme="majorHAnsi"/>
          <w:sz w:val="24"/>
          <w:szCs w:val="24"/>
          <w:lang w:val="ro-MD"/>
        </w:rPr>
        <w:t xml:space="preserve">luare de atitudine și </w:t>
      </w:r>
      <w:r w:rsidR="009912E1" w:rsidRPr="0014196E">
        <w:rPr>
          <w:rFonts w:asciiTheme="majorHAnsi" w:hAnsiTheme="majorHAnsi" w:cstheme="majorHAnsi"/>
          <w:sz w:val="24"/>
          <w:szCs w:val="24"/>
          <w:lang w:val="ro-MD"/>
        </w:rPr>
        <w:t>s</w:t>
      </w:r>
      <w:r w:rsidR="009912E1" w:rsidRPr="0014196E">
        <w:rPr>
          <w:rFonts w:asciiTheme="majorHAnsi" w:hAnsiTheme="majorHAnsi" w:cstheme="majorHAnsi"/>
          <w:sz w:val="24"/>
          <w:szCs w:val="24"/>
        </w:rPr>
        <w:t xml:space="preserve">e recomandă, conform competențelor delegate, examinarea rezultatelor auditului, cu aprobarea unui plan de măsuri în vederea întreprinderii acțiunilor </w:t>
      </w:r>
      <w:r w:rsidR="0014196E">
        <w:rPr>
          <w:rFonts w:asciiTheme="majorHAnsi" w:hAnsiTheme="majorHAnsi" w:cstheme="majorHAnsi"/>
          <w:sz w:val="24"/>
          <w:szCs w:val="24"/>
        </w:rPr>
        <w:t>necesare</w:t>
      </w:r>
      <w:r w:rsidR="009912E1" w:rsidRPr="0014196E">
        <w:rPr>
          <w:rFonts w:asciiTheme="majorHAnsi" w:hAnsiTheme="majorHAnsi" w:cstheme="majorHAnsi"/>
          <w:sz w:val="24"/>
          <w:szCs w:val="24"/>
        </w:rPr>
        <w:t xml:space="preserve"> pentru implementarea recomandărilor, după cum urmează: </w:t>
      </w:r>
    </w:p>
    <w:p w:rsidR="009912E1" w:rsidRPr="0014196E" w:rsidRDefault="009912E1" w:rsidP="009912E1">
      <w:pPr>
        <w:pStyle w:val="ListParagraph"/>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14196E">
        <w:rPr>
          <w:rFonts w:asciiTheme="majorHAnsi" w:hAnsiTheme="majorHAnsi" w:cstheme="majorHAnsi"/>
          <w:b/>
          <w:sz w:val="24"/>
          <w:szCs w:val="24"/>
        </w:rPr>
        <w:t xml:space="preserve">2.4.1. </w:t>
      </w:r>
      <w:r w:rsidRPr="0014196E">
        <w:rPr>
          <w:rFonts w:asciiTheme="majorHAnsi" w:hAnsiTheme="majorHAnsi" w:cstheme="majorHAnsi"/>
          <w:sz w:val="24"/>
          <w:szCs w:val="24"/>
        </w:rPr>
        <w:t>să reexamineze</w:t>
      </w:r>
      <w:r w:rsidRPr="0014196E">
        <w:rPr>
          <w:rFonts w:asciiTheme="majorHAnsi" w:hAnsiTheme="majorHAnsi" w:cstheme="majorHAnsi"/>
          <w:color w:val="222222"/>
          <w:sz w:val="24"/>
          <w:szCs w:val="24"/>
        </w:rPr>
        <w:t xml:space="preserve"> situațiile cu înscrisurile din Registrul bunurilor imobile referitor la apartenența bunurilor imobile contabilizate, dar care, conform înscrisurilor din Registru, aparțin terților, cu ajustarea, după caz, </w:t>
      </w:r>
      <w:r w:rsidR="0014196E">
        <w:rPr>
          <w:rFonts w:asciiTheme="majorHAnsi" w:hAnsiTheme="majorHAnsi" w:cstheme="majorHAnsi"/>
          <w:color w:val="222222"/>
          <w:sz w:val="24"/>
          <w:szCs w:val="24"/>
        </w:rPr>
        <w:t>ori</w:t>
      </w:r>
      <w:r w:rsidR="0014196E" w:rsidRPr="0014196E">
        <w:rPr>
          <w:rFonts w:asciiTheme="majorHAnsi" w:hAnsiTheme="majorHAnsi" w:cstheme="majorHAnsi"/>
          <w:color w:val="222222"/>
          <w:sz w:val="24"/>
          <w:szCs w:val="24"/>
        </w:rPr>
        <w:t xml:space="preserve"> </w:t>
      </w:r>
      <w:r w:rsidRPr="0014196E">
        <w:rPr>
          <w:rFonts w:asciiTheme="majorHAnsi" w:hAnsiTheme="majorHAnsi" w:cstheme="majorHAnsi"/>
          <w:color w:val="222222"/>
          <w:sz w:val="24"/>
          <w:szCs w:val="24"/>
        </w:rPr>
        <w:t xml:space="preserve">a înscrisurilor în Registru, </w:t>
      </w:r>
      <w:r w:rsidR="0014196E">
        <w:rPr>
          <w:rFonts w:asciiTheme="majorHAnsi" w:hAnsiTheme="majorHAnsi" w:cstheme="majorHAnsi"/>
          <w:color w:val="222222"/>
          <w:sz w:val="24"/>
          <w:szCs w:val="24"/>
        </w:rPr>
        <w:t>ori</w:t>
      </w:r>
      <w:r w:rsidR="0014196E" w:rsidRPr="0014196E">
        <w:rPr>
          <w:rFonts w:asciiTheme="majorHAnsi" w:hAnsiTheme="majorHAnsi" w:cstheme="majorHAnsi"/>
          <w:color w:val="222222"/>
          <w:sz w:val="24"/>
          <w:szCs w:val="24"/>
        </w:rPr>
        <w:t xml:space="preserve"> </w:t>
      </w:r>
      <w:r w:rsidRPr="0014196E">
        <w:rPr>
          <w:rFonts w:asciiTheme="majorHAnsi" w:hAnsiTheme="majorHAnsi" w:cstheme="majorHAnsi"/>
          <w:color w:val="222222"/>
          <w:sz w:val="24"/>
          <w:szCs w:val="24"/>
        </w:rPr>
        <w:t xml:space="preserve">a soldurilor </w:t>
      </w:r>
      <w:r w:rsidRPr="0014196E">
        <w:rPr>
          <w:rFonts w:asciiTheme="majorHAnsi" w:hAnsiTheme="majorHAnsi" w:cstheme="majorHAnsi"/>
          <w:sz w:val="24"/>
          <w:szCs w:val="24"/>
        </w:rPr>
        <w:t>grupelor de conturi 311 „Clădiri”;</w:t>
      </w:r>
    </w:p>
    <w:p w:rsidR="009912E1" w:rsidRPr="0014196E" w:rsidRDefault="009912E1" w:rsidP="009912E1">
      <w:pPr>
        <w:pStyle w:val="ListParagraph"/>
        <w:spacing w:line="276" w:lineRule="auto"/>
        <w:ind w:left="0"/>
        <w:jc w:val="both"/>
        <w:rPr>
          <w:rFonts w:asciiTheme="majorHAnsi" w:hAnsiTheme="majorHAnsi" w:cstheme="majorHAnsi"/>
          <w:sz w:val="24"/>
          <w:szCs w:val="24"/>
        </w:rPr>
      </w:pPr>
      <w:r w:rsidRPr="0014196E">
        <w:rPr>
          <w:rFonts w:asciiTheme="majorHAnsi" w:hAnsiTheme="majorHAnsi" w:cstheme="majorHAnsi"/>
          <w:b/>
          <w:sz w:val="24"/>
          <w:szCs w:val="24"/>
        </w:rPr>
        <w:t xml:space="preserve">       </w:t>
      </w:r>
      <w:r w:rsidR="0014196E">
        <w:rPr>
          <w:rFonts w:asciiTheme="majorHAnsi" w:hAnsiTheme="majorHAnsi" w:cstheme="majorHAnsi"/>
          <w:b/>
          <w:sz w:val="24"/>
          <w:szCs w:val="24"/>
        </w:rPr>
        <w:tab/>
      </w:r>
      <w:r w:rsidRPr="0014196E">
        <w:rPr>
          <w:rFonts w:asciiTheme="majorHAnsi" w:hAnsiTheme="majorHAnsi" w:cstheme="majorHAnsi"/>
          <w:b/>
          <w:sz w:val="24"/>
          <w:szCs w:val="24"/>
        </w:rPr>
        <w:t xml:space="preserve">2.4.2. </w:t>
      </w:r>
      <w:r w:rsidR="006A221B" w:rsidRPr="0014196E">
        <w:rPr>
          <w:rFonts w:asciiTheme="majorHAnsi" w:hAnsiTheme="majorHAnsi" w:cstheme="majorHAnsi"/>
          <w:sz w:val="24"/>
          <w:szCs w:val="24"/>
        </w:rPr>
        <w:t xml:space="preserve">să întreprindă măsurile de rigoare cu </w:t>
      </w:r>
      <w:r w:rsidR="0014196E">
        <w:rPr>
          <w:rFonts w:asciiTheme="majorHAnsi" w:hAnsiTheme="majorHAnsi" w:cstheme="majorHAnsi"/>
          <w:sz w:val="24"/>
          <w:szCs w:val="24"/>
        </w:rPr>
        <w:t>exercitarea</w:t>
      </w:r>
      <w:r w:rsidR="0014196E" w:rsidRPr="0014196E">
        <w:rPr>
          <w:rFonts w:asciiTheme="majorHAnsi" w:hAnsiTheme="majorHAnsi" w:cstheme="majorHAnsi"/>
          <w:sz w:val="24"/>
          <w:szCs w:val="24"/>
        </w:rPr>
        <w:t xml:space="preserve"> </w:t>
      </w:r>
      <w:r w:rsidR="006A221B" w:rsidRPr="0014196E">
        <w:rPr>
          <w:rFonts w:asciiTheme="majorHAnsi" w:hAnsiTheme="majorHAnsi" w:cstheme="majorHAnsi"/>
          <w:sz w:val="24"/>
          <w:szCs w:val="24"/>
        </w:rPr>
        <w:t xml:space="preserve">atribuțiilor de </w:t>
      </w:r>
      <w:r w:rsidRPr="0014196E">
        <w:rPr>
          <w:rFonts w:asciiTheme="majorHAnsi" w:hAnsiTheme="majorHAnsi" w:cstheme="majorHAnsi"/>
          <w:sz w:val="24"/>
          <w:szCs w:val="24"/>
        </w:rPr>
        <w:t>monitorizare</w:t>
      </w:r>
      <w:r w:rsidR="006A221B" w:rsidRPr="0014196E">
        <w:rPr>
          <w:rFonts w:asciiTheme="majorHAnsi" w:hAnsiTheme="majorHAnsi" w:cstheme="majorHAnsi"/>
          <w:sz w:val="24"/>
          <w:szCs w:val="24"/>
        </w:rPr>
        <w:t xml:space="preserve"> </w:t>
      </w:r>
      <w:r w:rsidRPr="0014196E">
        <w:rPr>
          <w:rFonts w:asciiTheme="majorHAnsi" w:hAnsiTheme="majorHAnsi" w:cstheme="majorHAnsi"/>
          <w:sz w:val="24"/>
          <w:szCs w:val="24"/>
        </w:rPr>
        <w:t>a realizării prevederilor H</w:t>
      </w:r>
      <w:r w:rsidR="0014196E">
        <w:rPr>
          <w:rFonts w:asciiTheme="majorHAnsi" w:hAnsiTheme="majorHAnsi" w:cstheme="majorHAnsi"/>
          <w:sz w:val="24"/>
          <w:szCs w:val="24"/>
        </w:rPr>
        <w:t xml:space="preserve">otărârii </w:t>
      </w:r>
      <w:r w:rsidRPr="0014196E">
        <w:rPr>
          <w:rFonts w:asciiTheme="majorHAnsi" w:hAnsiTheme="majorHAnsi" w:cstheme="majorHAnsi"/>
          <w:sz w:val="24"/>
          <w:szCs w:val="24"/>
        </w:rPr>
        <w:t>G</w:t>
      </w:r>
      <w:r w:rsidR="0014196E">
        <w:rPr>
          <w:rFonts w:asciiTheme="majorHAnsi" w:hAnsiTheme="majorHAnsi" w:cstheme="majorHAnsi"/>
          <w:sz w:val="24"/>
          <w:szCs w:val="24"/>
        </w:rPr>
        <w:t>uvernului</w:t>
      </w:r>
      <w:r w:rsidRPr="0014196E">
        <w:rPr>
          <w:rFonts w:asciiTheme="majorHAnsi" w:hAnsiTheme="majorHAnsi" w:cstheme="majorHAnsi"/>
          <w:sz w:val="24"/>
          <w:szCs w:val="24"/>
        </w:rPr>
        <w:t xml:space="preserve"> nr. 789/2014 </w:t>
      </w:r>
      <w:r w:rsidR="0014196E">
        <w:rPr>
          <w:rFonts w:asciiTheme="majorHAnsi" w:hAnsiTheme="majorHAnsi" w:cstheme="majorHAnsi"/>
          <w:sz w:val="24"/>
          <w:szCs w:val="24"/>
        </w:rPr>
        <w:t xml:space="preserve">„Cu </w:t>
      </w:r>
      <w:r w:rsidRPr="0014196E">
        <w:rPr>
          <w:rFonts w:asciiTheme="majorHAnsi" w:hAnsiTheme="majorHAnsi" w:cstheme="majorHAnsi"/>
          <w:sz w:val="24"/>
          <w:szCs w:val="24"/>
        </w:rPr>
        <w:t>privi</w:t>
      </w:r>
      <w:r w:rsidR="0014196E">
        <w:rPr>
          <w:rFonts w:asciiTheme="majorHAnsi" w:hAnsiTheme="majorHAnsi" w:cstheme="majorHAnsi"/>
          <w:sz w:val="24"/>
          <w:szCs w:val="24"/>
        </w:rPr>
        <w:t>re la</w:t>
      </w:r>
      <w:r w:rsidRPr="0014196E">
        <w:rPr>
          <w:rFonts w:asciiTheme="majorHAnsi" w:hAnsiTheme="majorHAnsi" w:cstheme="majorHAnsi"/>
          <w:sz w:val="24"/>
          <w:szCs w:val="24"/>
        </w:rPr>
        <w:t xml:space="preserve"> dezvoltarea infrastructurii Centrului Național de Medicină Sportivă „</w:t>
      </w:r>
      <w:proofErr w:type="spellStart"/>
      <w:r w:rsidRPr="0014196E">
        <w:rPr>
          <w:rFonts w:asciiTheme="majorHAnsi" w:hAnsiTheme="majorHAnsi" w:cstheme="majorHAnsi"/>
          <w:sz w:val="24"/>
          <w:szCs w:val="24"/>
        </w:rPr>
        <w:t>Atletmed</w:t>
      </w:r>
      <w:proofErr w:type="spellEnd"/>
      <w:r w:rsidRPr="0014196E">
        <w:rPr>
          <w:rFonts w:asciiTheme="majorHAnsi" w:hAnsiTheme="majorHAnsi" w:cstheme="majorHAnsi"/>
          <w:sz w:val="24"/>
          <w:szCs w:val="24"/>
        </w:rPr>
        <w:t>”</w:t>
      </w:r>
      <w:r w:rsidR="0014196E">
        <w:rPr>
          <w:rFonts w:asciiTheme="majorHAnsi" w:hAnsiTheme="majorHAnsi" w:cstheme="majorHAnsi"/>
          <w:sz w:val="24"/>
          <w:szCs w:val="24"/>
        </w:rPr>
        <w:t>”</w:t>
      </w:r>
      <w:r w:rsidR="006A221B" w:rsidRPr="0014196E">
        <w:rPr>
          <w:rFonts w:asciiTheme="majorHAnsi" w:hAnsiTheme="majorHAnsi" w:cstheme="majorHAnsi"/>
          <w:sz w:val="24"/>
          <w:szCs w:val="24"/>
        </w:rPr>
        <w:t>, precum și inf</w:t>
      </w:r>
      <w:r w:rsidR="000703EB" w:rsidRPr="0014196E">
        <w:rPr>
          <w:rFonts w:asciiTheme="majorHAnsi" w:hAnsiTheme="majorHAnsi" w:cstheme="majorHAnsi"/>
          <w:sz w:val="24"/>
          <w:szCs w:val="24"/>
        </w:rPr>
        <w:t>ormarea Guvernului de</w:t>
      </w:r>
      <w:r w:rsidR="0014196E">
        <w:rPr>
          <w:rFonts w:asciiTheme="majorHAnsi" w:hAnsiTheme="majorHAnsi" w:cstheme="majorHAnsi"/>
          <w:sz w:val="24"/>
          <w:szCs w:val="24"/>
        </w:rPr>
        <w:t>spre</w:t>
      </w:r>
      <w:r w:rsidR="000703EB" w:rsidRPr="0014196E">
        <w:rPr>
          <w:rFonts w:asciiTheme="majorHAnsi" w:hAnsiTheme="majorHAnsi" w:cstheme="majorHAnsi"/>
          <w:sz w:val="24"/>
          <w:szCs w:val="24"/>
        </w:rPr>
        <w:t xml:space="preserve"> situațiile create</w:t>
      </w:r>
      <w:r w:rsidR="006911DF" w:rsidRPr="0014196E">
        <w:rPr>
          <w:rFonts w:asciiTheme="majorHAnsi" w:hAnsiTheme="majorHAnsi" w:cstheme="majorHAnsi"/>
          <w:sz w:val="24"/>
          <w:szCs w:val="24"/>
        </w:rPr>
        <w:t xml:space="preserve"> </w:t>
      </w:r>
      <w:r w:rsidR="000A4259">
        <w:rPr>
          <w:rFonts w:asciiTheme="majorHAnsi" w:hAnsiTheme="majorHAnsi" w:cstheme="majorHAnsi"/>
          <w:sz w:val="24"/>
          <w:szCs w:val="24"/>
        </w:rPr>
        <w:t>cu</w:t>
      </w:r>
      <w:r w:rsidR="006911DF" w:rsidRPr="0014196E">
        <w:rPr>
          <w:rFonts w:asciiTheme="majorHAnsi" w:hAnsiTheme="majorHAnsi" w:cstheme="majorHAnsi"/>
          <w:sz w:val="24"/>
          <w:szCs w:val="24"/>
        </w:rPr>
        <w:t xml:space="preserve"> înaintarea</w:t>
      </w:r>
      <w:r w:rsidR="000703EB" w:rsidRPr="0014196E">
        <w:rPr>
          <w:rFonts w:asciiTheme="majorHAnsi" w:hAnsiTheme="majorHAnsi" w:cstheme="majorHAnsi"/>
          <w:sz w:val="24"/>
          <w:szCs w:val="24"/>
        </w:rPr>
        <w:t xml:space="preserve"> propuneri</w:t>
      </w:r>
      <w:r w:rsidR="006911DF" w:rsidRPr="0014196E">
        <w:rPr>
          <w:rFonts w:asciiTheme="majorHAnsi" w:hAnsiTheme="majorHAnsi" w:cstheme="majorHAnsi"/>
          <w:sz w:val="24"/>
          <w:szCs w:val="24"/>
        </w:rPr>
        <w:t>lor</w:t>
      </w:r>
      <w:r w:rsidR="000703EB" w:rsidRPr="0014196E">
        <w:rPr>
          <w:rFonts w:asciiTheme="majorHAnsi" w:hAnsiTheme="majorHAnsi" w:cstheme="majorHAnsi"/>
          <w:sz w:val="24"/>
          <w:szCs w:val="24"/>
        </w:rPr>
        <w:t xml:space="preserve"> de soluționare</w:t>
      </w:r>
      <w:r w:rsidRPr="0014196E">
        <w:rPr>
          <w:rFonts w:asciiTheme="majorHAnsi" w:hAnsiTheme="majorHAnsi" w:cstheme="majorHAnsi"/>
          <w:sz w:val="24"/>
          <w:szCs w:val="24"/>
        </w:rPr>
        <w:t>;</w:t>
      </w:r>
    </w:p>
    <w:p w:rsidR="009912E1" w:rsidRPr="0014196E" w:rsidRDefault="009912E1" w:rsidP="009912E1">
      <w:pPr>
        <w:pStyle w:val="ListParagraph"/>
        <w:spacing w:line="276" w:lineRule="auto"/>
        <w:ind w:left="0"/>
        <w:jc w:val="both"/>
        <w:rPr>
          <w:rFonts w:asciiTheme="majorHAnsi" w:hAnsiTheme="majorHAnsi" w:cstheme="majorHAnsi"/>
          <w:b/>
          <w:sz w:val="24"/>
          <w:szCs w:val="24"/>
          <w:highlight w:val="green"/>
        </w:rPr>
      </w:pPr>
      <w:r w:rsidRPr="0014196E">
        <w:rPr>
          <w:rFonts w:asciiTheme="majorHAnsi" w:hAnsiTheme="majorHAnsi" w:cstheme="majorHAnsi"/>
          <w:b/>
          <w:sz w:val="24"/>
          <w:szCs w:val="24"/>
        </w:rPr>
        <w:t xml:space="preserve">     </w:t>
      </w:r>
      <w:r w:rsidR="0014196E">
        <w:rPr>
          <w:rFonts w:asciiTheme="majorHAnsi" w:hAnsiTheme="majorHAnsi" w:cstheme="majorHAnsi"/>
          <w:b/>
          <w:sz w:val="24"/>
          <w:szCs w:val="24"/>
        </w:rPr>
        <w:tab/>
      </w:r>
      <w:r w:rsidRPr="0014196E">
        <w:rPr>
          <w:rFonts w:asciiTheme="majorHAnsi" w:hAnsiTheme="majorHAnsi" w:cstheme="majorHAnsi"/>
          <w:b/>
          <w:sz w:val="24"/>
          <w:szCs w:val="24"/>
        </w:rPr>
        <w:t xml:space="preserve">2.4.3. </w:t>
      </w:r>
      <w:r w:rsidRPr="0014196E">
        <w:rPr>
          <w:rFonts w:asciiTheme="majorHAnsi" w:hAnsiTheme="majorHAnsi" w:cstheme="majorHAnsi"/>
          <w:color w:val="000000"/>
          <w:sz w:val="24"/>
          <w:szCs w:val="24"/>
        </w:rPr>
        <w:t xml:space="preserve">să </w:t>
      </w:r>
      <w:r w:rsidR="002D0CD6" w:rsidRPr="0014196E">
        <w:rPr>
          <w:rFonts w:asciiTheme="majorHAnsi" w:hAnsiTheme="majorHAnsi" w:cstheme="majorHAnsi"/>
          <w:color w:val="000000"/>
          <w:sz w:val="24"/>
          <w:szCs w:val="24"/>
        </w:rPr>
        <w:t>întreprindă măsuri în vederea clarificării situației existente</w:t>
      </w:r>
      <w:r w:rsidR="00ED2D32" w:rsidRPr="0014196E">
        <w:rPr>
          <w:rFonts w:asciiTheme="majorHAnsi" w:hAnsiTheme="majorHAnsi" w:cstheme="majorHAnsi"/>
          <w:color w:val="000000"/>
          <w:sz w:val="24"/>
          <w:szCs w:val="24"/>
        </w:rPr>
        <w:t xml:space="preserve"> </w:t>
      </w:r>
      <w:r w:rsidR="00CA4CE5">
        <w:rPr>
          <w:rFonts w:asciiTheme="majorHAnsi" w:hAnsiTheme="majorHAnsi" w:cstheme="majorHAnsi"/>
          <w:color w:val="000000"/>
          <w:sz w:val="24"/>
          <w:szCs w:val="24"/>
        </w:rPr>
        <w:t>la „</w:t>
      </w:r>
      <w:r w:rsidRPr="0014196E">
        <w:rPr>
          <w:rFonts w:asciiTheme="majorHAnsi" w:hAnsiTheme="majorHAnsi" w:cstheme="majorHAnsi"/>
          <w:color w:val="000000"/>
          <w:sz w:val="24"/>
          <w:szCs w:val="24"/>
        </w:rPr>
        <w:t xml:space="preserve">Blocul Curativ nr.2 al Spitalului de </w:t>
      </w:r>
      <w:proofErr w:type="spellStart"/>
      <w:r w:rsidRPr="0014196E">
        <w:rPr>
          <w:rFonts w:asciiTheme="majorHAnsi" w:hAnsiTheme="majorHAnsi" w:cstheme="majorHAnsi"/>
          <w:color w:val="000000"/>
          <w:sz w:val="24"/>
          <w:szCs w:val="24"/>
        </w:rPr>
        <w:t>Ftiziopneumonologie</w:t>
      </w:r>
      <w:proofErr w:type="spellEnd"/>
      <w:r w:rsidRPr="0014196E">
        <w:rPr>
          <w:rFonts w:asciiTheme="majorHAnsi" w:hAnsiTheme="majorHAnsi" w:cstheme="majorHAnsi"/>
          <w:color w:val="000000"/>
          <w:sz w:val="24"/>
          <w:szCs w:val="24"/>
        </w:rPr>
        <w:t xml:space="preserve"> din satul Vorniceni” </w:t>
      </w:r>
      <w:r w:rsidR="002D0CD6" w:rsidRPr="0014196E">
        <w:rPr>
          <w:rFonts w:asciiTheme="majorHAnsi" w:hAnsiTheme="majorHAnsi" w:cstheme="majorHAnsi"/>
          <w:color w:val="000000"/>
          <w:sz w:val="24"/>
          <w:szCs w:val="24"/>
        </w:rPr>
        <w:t>și identific</w:t>
      </w:r>
      <w:r w:rsidR="00CA4CE5">
        <w:rPr>
          <w:rFonts w:asciiTheme="majorHAnsi" w:hAnsiTheme="majorHAnsi" w:cstheme="majorHAnsi"/>
          <w:color w:val="000000"/>
          <w:sz w:val="24"/>
          <w:szCs w:val="24"/>
        </w:rPr>
        <w:t>ării</w:t>
      </w:r>
      <w:r w:rsidR="002D0CD6" w:rsidRPr="0014196E">
        <w:rPr>
          <w:rFonts w:asciiTheme="majorHAnsi" w:hAnsiTheme="majorHAnsi" w:cstheme="majorHAnsi"/>
          <w:color w:val="000000"/>
          <w:sz w:val="24"/>
          <w:szCs w:val="24"/>
        </w:rPr>
        <w:t xml:space="preserve"> soluții</w:t>
      </w:r>
      <w:r w:rsidR="00CA4CE5">
        <w:rPr>
          <w:rFonts w:asciiTheme="majorHAnsi" w:hAnsiTheme="majorHAnsi" w:cstheme="majorHAnsi"/>
          <w:color w:val="000000"/>
          <w:sz w:val="24"/>
          <w:szCs w:val="24"/>
        </w:rPr>
        <w:t>lor</w:t>
      </w:r>
      <w:r w:rsidR="002D0CD6" w:rsidRPr="0014196E">
        <w:rPr>
          <w:rFonts w:asciiTheme="majorHAnsi" w:hAnsiTheme="majorHAnsi" w:cstheme="majorHAnsi"/>
          <w:color w:val="000000"/>
          <w:sz w:val="24"/>
          <w:szCs w:val="24"/>
        </w:rPr>
        <w:t xml:space="preserve"> optime</w:t>
      </w:r>
      <w:r w:rsidRPr="0014196E">
        <w:rPr>
          <w:rFonts w:asciiTheme="majorHAnsi" w:hAnsiTheme="majorHAnsi" w:cstheme="majorHAnsi"/>
          <w:color w:val="000000"/>
          <w:sz w:val="24"/>
          <w:szCs w:val="24"/>
        </w:rPr>
        <w:t>;</w:t>
      </w:r>
    </w:p>
    <w:p w:rsidR="009912E1" w:rsidRPr="00851535" w:rsidRDefault="009912E1" w:rsidP="009912E1">
      <w:pPr>
        <w:pStyle w:val="ListParagraph"/>
        <w:tabs>
          <w:tab w:val="left" w:pos="900"/>
          <w:tab w:val="left" w:pos="993"/>
          <w:tab w:val="left" w:pos="1276"/>
        </w:tabs>
        <w:spacing w:before="120" w:after="0" w:line="276" w:lineRule="auto"/>
        <w:ind w:left="0" w:firstLine="567"/>
        <w:jc w:val="both"/>
        <w:rPr>
          <w:rFonts w:asciiTheme="majorHAnsi" w:hAnsiTheme="majorHAnsi" w:cstheme="majorHAnsi"/>
          <w:b/>
          <w:sz w:val="24"/>
          <w:szCs w:val="24"/>
        </w:rPr>
      </w:pPr>
    </w:p>
    <w:p w:rsidR="00AD135B" w:rsidRPr="003E2DBB" w:rsidRDefault="00AD135B" w:rsidP="00D271F9">
      <w:pPr>
        <w:pStyle w:val="ListParagraph"/>
        <w:spacing w:line="276" w:lineRule="auto"/>
        <w:ind w:left="0" w:firstLine="567"/>
        <w:jc w:val="both"/>
        <w:rPr>
          <w:rFonts w:asciiTheme="majorHAnsi" w:hAnsiTheme="majorHAnsi" w:cstheme="majorHAnsi"/>
          <w:bCs/>
          <w:sz w:val="24"/>
          <w:szCs w:val="24"/>
          <w:lang w:val="ro-MD"/>
        </w:rPr>
      </w:pPr>
      <w:r w:rsidRPr="003E2DBB">
        <w:rPr>
          <w:rFonts w:asciiTheme="majorHAnsi" w:hAnsiTheme="majorHAnsi" w:cstheme="majorHAnsi"/>
          <w:b/>
          <w:sz w:val="24"/>
          <w:szCs w:val="24"/>
        </w:rPr>
        <w:t xml:space="preserve">2.5. Ministerului </w:t>
      </w:r>
      <w:r w:rsidR="009912E1" w:rsidRPr="0014196E">
        <w:rPr>
          <w:rFonts w:asciiTheme="majorHAnsi" w:hAnsiTheme="majorHAnsi" w:cstheme="majorHAnsi"/>
          <w:b/>
          <w:sz w:val="24"/>
          <w:szCs w:val="24"/>
        </w:rPr>
        <w:t>S</w:t>
      </w:r>
      <w:r w:rsidRPr="0014196E">
        <w:rPr>
          <w:rFonts w:asciiTheme="majorHAnsi" w:hAnsiTheme="majorHAnsi" w:cstheme="majorHAnsi"/>
          <w:b/>
          <w:sz w:val="24"/>
          <w:szCs w:val="24"/>
        </w:rPr>
        <w:t>ănătății</w:t>
      </w:r>
      <w:r w:rsidR="00CA4CE5">
        <w:rPr>
          <w:rFonts w:asciiTheme="majorHAnsi" w:hAnsiTheme="majorHAnsi" w:cstheme="majorHAnsi"/>
          <w:b/>
          <w:sz w:val="24"/>
          <w:szCs w:val="24"/>
        </w:rPr>
        <w:t>,</w:t>
      </w:r>
      <w:r w:rsidRPr="0014196E">
        <w:rPr>
          <w:rFonts w:asciiTheme="majorHAnsi" w:hAnsiTheme="majorHAnsi" w:cstheme="majorHAnsi"/>
          <w:b/>
          <w:sz w:val="24"/>
          <w:szCs w:val="24"/>
        </w:rPr>
        <w:t xml:space="preserve"> de comun cu Agenți</w:t>
      </w:r>
      <w:r w:rsidR="00D271F9" w:rsidRPr="0014196E">
        <w:rPr>
          <w:rFonts w:asciiTheme="majorHAnsi" w:hAnsiTheme="majorHAnsi" w:cstheme="majorHAnsi"/>
          <w:b/>
          <w:sz w:val="24"/>
          <w:szCs w:val="24"/>
        </w:rPr>
        <w:t>a</w:t>
      </w:r>
      <w:r w:rsidRPr="0014196E">
        <w:rPr>
          <w:rFonts w:asciiTheme="majorHAnsi" w:hAnsiTheme="majorHAnsi" w:cstheme="majorHAnsi"/>
          <w:b/>
          <w:sz w:val="24"/>
          <w:szCs w:val="24"/>
        </w:rPr>
        <w:t xml:space="preserve"> Proprietății Publice</w:t>
      </w:r>
      <w:r w:rsidR="00CA4CE5">
        <w:rPr>
          <w:rFonts w:asciiTheme="majorHAnsi" w:hAnsiTheme="majorHAnsi" w:cstheme="majorHAnsi"/>
          <w:b/>
          <w:sz w:val="24"/>
          <w:szCs w:val="24"/>
        </w:rPr>
        <w:t>,</w:t>
      </w:r>
      <w:r w:rsidRPr="0014196E">
        <w:rPr>
          <w:rFonts w:asciiTheme="majorHAnsi" w:hAnsiTheme="majorHAnsi" w:cstheme="majorHAnsi"/>
          <w:b/>
          <w:sz w:val="24"/>
          <w:szCs w:val="24"/>
        </w:rPr>
        <w:t xml:space="preserve"> </w:t>
      </w:r>
      <w:r w:rsidR="00D271F9" w:rsidRPr="0014196E">
        <w:rPr>
          <w:rFonts w:asciiTheme="majorHAnsi" w:hAnsiTheme="majorHAnsi" w:cstheme="majorHAnsi"/>
          <w:sz w:val="24"/>
          <w:szCs w:val="24"/>
        </w:rPr>
        <w:t>în vederea</w:t>
      </w:r>
      <w:r w:rsidRPr="0014196E">
        <w:rPr>
          <w:rFonts w:asciiTheme="majorHAnsi" w:hAnsiTheme="majorHAnsi" w:cstheme="majorHAnsi"/>
          <w:b/>
          <w:sz w:val="24"/>
          <w:szCs w:val="24"/>
        </w:rPr>
        <w:t xml:space="preserve"> </w:t>
      </w:r>
      <w:r w:rsidRPr="0014196E">
        <w:rPr>
          <w:rFonts w:asciiTheme="majorHAnsi" w:hAnsiTheme="majorHAnsi" w:cstheme="majorHAnsi"/>
          <w:sz w:val="24"/>
          <w:szCs w:val="24"/>
        </w:rPr>
        <w:t xml:space="preserve">asigurării </w:t>
      </w:r>
      <w:r w:rsidRPr="003E2DBB">
        <w:rPr>
          <w:rFonts w:asciiTheme="majorHAnsi" w:hAnsiTheme="majorHAnsi" w:cstheme="majorHAnsi"/>
          <w:noProof/>
          <w:sz w:val="24"/>
          <w:szCs w:val="24"/>
        </w:rPr>
        <w:t>transmiterii terenurilor în administrarea Agenției Proprietății Publice în conformitate cu</w:t>
      </w:r>
      <w:r w:rsidRPr="003E2DBB">
        <w:rPr>
          <w:rFonts w:asciiTheme="majorHAnsi" w:hAnsiTheme="majorHAnsi" w:cstheme="majorHAnsi"/>
          <w:sz w:val="24"/>
          <w:szCs w:val="24"/>
        </w:rPr>
        <w:t xml:space="preserve"> prevederile Hotărârii Guvernului nr.161 din 07.03.2019</w:t>
      </w:r>
      <w:r w:rsidR="000703EB" w:rsidRPr="003E2DBB">
        <w:rPr>
          <w:rFonts w:asciiTheme="majorHAnsi" w:hAnsiTheme="majorHAnsi" w:cstheme="majorHAnsi"/>
          <w:bCs/>
          <w:sz w:val="24"/>
          <w:szCs w:val="24"/>
          <w:lang w:val="ro-MD"/>
        </w:rPr>
        <w:t>;</w:t>
      </w:r>
    </w:p>
    <w:p w:rsidR="000703EB" w:rsidRPr="0014196E" w:rsidRDefault="009912E1" w:rsidP="000703EB">
      <w:pPr>
        <w:pStyle w:val="ListParagraph"/>
        <w:spacing w:line="276" w:lineRule="auto"/>
        <w:ind w:left="0" w:firstLine="567"/>
        <w:jc w:val="both"/>
        <w:rPr>
          <w:rFonts w:asciiTheme="majorHAnsi" w:hAnsiTheme="majorHAnsi" w:cstheme="majorHAnsi"/>
          <w:b/>
          <w:bCs/>
          <w:sz w:val="24"/>
          <w:szCs w:val="24"/>
          <w:lang w:val="ro-MD"/>
        </w:rPr>
      </w:pPr>
      <w:r w:rsidRPr="00CA4CE5">
        <w:rPr>
          <w:rFonts w:asciiTheme="majorHAnsi" w:hAnsiTheme="majorHAnsi" w:cstheme="majorHAnsi"/>
          <w:b/>
          <w:bCs/>
          <w:sz w:val="24"/>
          <w:szCs w:val="24"/>
          <w:lang w:val="ro-MD"/>
        </w:rPr>
        <w:lastRenderedPageBreak/>
        <w:t xml:space="preserve">2.6. </w:t>
      </w:r>
      <w:r w:rsidR="000703EB" w:rsidRPr="00CA4CE5">
        <w:rPr>
          <w:rFonts w:asciiTheme="majorHAnsi" w:hAnsiTheme="majorHAnsi" w:cstheme="majorHAnsi"/>
          <w:b/>
          <w:sz w:val="24"/>
          <w:szCs w:val="24"/>
        </w:rPr>
        <w:t xml:space="preserve">Agenției Proprietății Publice, </w:t>
      </w:r>
      <w:r w:rsidR="000703EB" w:rsidRPr="00CA4CE5">
        <w:rPr>
          <w:rFonts w:asciiTheme="majorHAnsi" w:hAnsiTheme="majorHAnsi" w:cstheme="majorHAnsi"/>
          <w:sz w:val="24"/>
          <w:szCs w:val="24"/>
        </w:rPr>
        <w:t>pentru luare de atitudine și se recomandă să elaboreze și să prezinte Guvernului, spre aprobare, completări exhaustive la Hotărârile Guvernului nr.161/2019</w:t>
      </w:r>
      <w:r w:rsidR="000703EB" w:rsidRPr="003E2DBB">
        <w:rPr>
          <w:rFonts w:asciiTheme="majorHAnsi" w:hAnsiTheme="majorHAnsi" w:cstheme="majorHAnsi"/>
          <w:sz w:val="24"/>
          <w:szCs w:val="24"/>
        </w:rPr>
        <w:t xml:space="preserve"> și nr.91/2018 referitor la modul de transmitere a terenurilor proprietate publică din administrarea autorităților publice centrale în administrarea Agenției Proprietății Publice, în baza prevederilor Hotărârii Guvernului nr.901/2015, cu întocmirea obligatorie a actelor de primire-predare</w:t>
      </w:r>
      <w:r w:rsidR="00CA4CE5">
        <w:rPr>
          <w:rFonts w:asciiTheme="majorHAnsi" w:hAnsiTheme="majorHAnsi" w:cstheme="majorHAnsi"/>
          <w:sz w:val="24"/>
          <w:szCs w:val="24"/>
        </w:rPr>
        <w:t>;</w:t>
      </w:r>
    </w:p>
    <w:p w:rsidR="000703EB" w:rsidRPr="003E2DBB" w:rsidRDefault="009912E1" w:rsidP="000703EB">
      <w:pPr>
        <w:pStyle w:val="ListParagraph"/>
        <w:spacing w:line="276" w:lineRule="auto"/>
        <w:ind w:left="0" w:firstLine="567"/>
        <w:jc w:val="both"/>
        <w:rPr>
          <w:rFonts w:asciiTheme="majorHAnsi" w:hAnsiTheme="majorHAnsi" w:cstheme="majorHAnsi"/>
          <w:sz w:val="24"/>
          <w:szCs w:val="24"/>
        </w:rPr>
      </w:pPr>
      <w:r w:rsidRPr="000A4259">
        <w:rPr>
          <w:rFonts w:asciiTheme="majorHAnsi" w:hAnsiTheme="majorHAnsi" w:cstheme="majorHAnsi"/>
          <w:b/>
          <w:sz w:val="24"/>
          <w:szCs w:val="24"/>
        </w:rPr>
        <w:t xml:space="preserve">2.7. </w:t>
      </w:r>
      <w:r w:rsidR="000703EB" w:rsidRPr="000A4259">
        <w:rPr>
          <w:rFonts w:asciiTheme="majorHAnsi" w:hAnsiTheme="majorHAnsi" w:cstheme="majorHAnsi"/>
          <w:b/>
          <w:sz w:val="24"/>
          <w:szCs w:val="24"/>
        </w:rPr>
        <w:t>Ministerului Finanțelor, în comun cu Agenția Proprietății Publice,</w:t>
      </w:r>
      <w:r w:rsidR="000703EB" w:rsidRPr="000A4259">
        <w:rPr>
          <w:rFonts w:asciiTheme="majorHAnsi" w:hAnsiTheme="majorHAnsi" w:cstheme="majorHAnsi"/>
          <w:sz w:val="24"/>
          <w:szCs w:val="24"/>
        </w:rPr>
        <w:t xml:space="preserve"> pentru luare de atitudine și se recomandă</w:t>
      </w:r>
      <w:r w:rsidR="000703EB" w:rsidRPr="003E2DBB">
        <w:rPr>
          <w:rFonts w:asciiTheme="majorHAnsi" w:hAnsiTheme="majorHAnsi" w:cstheme="majorHAnsi"/>
          <w:b/>
          <w:sz w:val="24"/>
          <w:szCs w:val="24"/>
        </w:rPr>
        <w:t xml:space="preserve"> </w:t>
      </w:r>
      <w:r w:rsidR="000703EB" w:rsidRPr="003E2DBB">
        <w:rPr>
          <w:rFonts w:asciiTheme="majorHAnsi" w:hAnsiTheme="majorHAnsi" w:cstheme="majorHAnsi"/>
          <w:sz w:val="24"/>
          <w:szCs w:val="24"/>
        </w:rPr>
        <w:t>să elaboreze o circulară comună referitor la modul de transmitere, precum și de contabilizare cantitativ-valorică a terenurilor atât de către Agenția Proprietății Publice, cât și de autoritățile publice centrale, inclusiv a terenurilor transmise/primite în comodat;</w:t>
      </w:r>
    </w:p>
    <w:p w:rsidR="00B842A0" w:rsidRPr="0054539D" w:rsidRDefault="00AD135B" w:rsidP="00851535">
      <w:pPr>
        <w:pStyle w:val="ListParagraph"/>
        <w:spacing w:line="276" w:lineRule="auto"/>
        <w:ind w:left="0" w:firstLine="567"/>
        <w:jc w:val="both"/>
        <w:rPr>
          <w:rFonts w:asciiTheme="majorHAnsi" w:hAnsiTheme="majorHAnsi" w:cstheme="majorHAnsi"/>
          <w:bCs/>
          <w:noProof/>
          <w:sz w:val="24"/>
          <w:szCs w:val="24"/>
          <w:lang w:val="ro-MD"/>
        </w:rPr>
      </w:pPr>
      <w:r w:rsidRPr="003E2DBB">
        <w:rPr>
          <w:rFonts w:asciiTheme="majorHAnsi" w:hAnsiTheme="majorHAnsi" w:cstheme="majorHAnsi"/>
          <w:b/>
          <w:bCs/>
          <w:noProof/>
          <w:sz w:val="24"/>
          <w:szCs w:val="24"/>
          <w:lang w:val="ro-MD"/>
        </w:rPr>
        <w:t>2.</w:t>
      </w:r>
      <w:r w:rsidR="009912E1" w:rsidRPr="003E2DBB">
        <w:rPr>
          <w:rFonts w:asciiTheme="majorHAnsi" w:hAnsiTheme="majorHAnsi" w:cstheme="majorHAnsi"/>
          <w:b/>
          <w:bCs/>
          <w:noProof/>
          <w:sz w:val="24"/>
          <w:szCs w:val="24"/>
          <w:lang w:val="ro-MD"/>
        </w:rPr>
        <w:t>8</w:t>
      </w:r>
      <w:r w:rsidRPr="003E2DBB">
        <w:rPr>
          <w:rFonts w:asciiTheme="majorHAnsi" w:hAnsiTheme="majorHAnsi" w:cstheme="majorHAnsi"/>
          <w:b/>
          <w:bCs/>
          <w:noProof/>
          <w:sz w:val="24"/>
          <w:szCs w:val="24"/>
          <w:lang w:val="ro-MD"/>
        </w:rPr>
        <w:t>.</w:t>
      </w:r>
      <w:r w:rsidRPr="003E2DBB">
        <w:rPr>
          <w:rFonts w:asciiTheme="majorHAnsi" w:hAnsiTheme="majorHAnsi" w:cstheme="majorHAnsi"/>
          <w:bCs/>
          <w:noProof/>
          <w:sz w:val="24"/>
          <w:szCs w:val="24"/>
          <w:lang w:val="ro-MD"/>
        </w:rPr>
        <w:t xml:space="preserve"> </w:t>
      </w:r>
      <w:r w:rsidRPr="003E2DBB">
        <w:rPr>
          <w:rFonts w:asciiTheme="majorHAnsi" w:hAnsiTheme="majorHAnsi" w:cstheme="majorHAnsi"/>
          <w:b/>
          <w:bCs/>
          <w:noProof/>
          <w:sz w:val="24"/>
          <w:szCs w:val="24"/>
          <w:lang w:val="ro-MD"/>
        </w:rPr>
        <w:t>Procuraturii Generale</w:t>
      </w:r>
      <w:r w:rsidRPr="003E2DBB">
        <w:rPr>
          <w:rFonts w:asciiTheme="majorHAnsi" w:hAnsiTheme="majorHAnsi" w:cstheme="majorHAnsi"/>
          <w:bCs/>
          <w:noProof/>
          <w:sz w:val="24"/>
          <w:szCs w:val="24"/>
          <w:lang w:val="ro-MD"/>
        </w:rPr>
        <w:t>, în vederea examinării conform competențelor a acțiunilor/inacțiunilor care au generat situațiile expuse în pct. 3.2</w:t>
      </w:r>
      <w:r w:rsidR="00CA4CE5">
        <w:rPr>
          <w:rFonts w:asciiTheme="majorHAnsi" w:hAnsiTheme="majorHAnsi" w:cstheme="majorHAnsi"/>
          <w:bCs/>
          <w:noProof/>
          <w:sz w:val="24"/>
          <w:szCs w:val="24"/>
          <w:lang w:val="ro-MD"/>
        </w:rPr>
        <w:t xml:space="preserve"> și</w:t>
      </w:r>
      <w:r w:rsidRPr="000A4259">
        <w:rPr>
          <w:rFonts w:asciiTheme="majorHAnsi" w:hAnsiTheme="majorHAnsi" w:cstheme="majorHAnsi"/>
          <w:bCs/>
          <w:noProof/>
          <w:sz w:val="24"/>
          <w:szCs w:val="24"/>
          <w:lang w:val="ro-MD"/>
        </w:rPr>
        <w:t xml:space="preserve"> pct. 3.4</w:t>
      </w:r>
      <w:r w:rsidR="00B842A0" w:rsidRPr="000A4259">
        <w:rPr>
          <w:rFonts w:asciiTheme="majorHAnsi" w:hAnsiTheme="majorHAnsi" w:cstheme="majorHAnsi"/>
          <w:bCs/>
          <w:noProof/>
          <w:sz w:val="24"/>
          <w:szCs w:val="24"/>
          <w:lang w:val="ro-MD"/>
        </w:rPr>
        <w:t xml:space="preserve"> din Raportul de audit.</w:t>
      </w:r>
    </w:p>
    <w:p w:rsidR="00B842A0" w:rsidRPr="003E2DBB" w:rsidRDefault="00690B18" w:rsidP="00851535">
      <w:pPr>
        <w:pStyle w:val="NormalWeb"/>
        <w:shd w:val="clear" w:color="auto" w:fill="FFFFFF" w:themeFill="background1"/>
        <w:spacing w:after="120" w:line="276" w:lineRule="auto"/>
        <w:rPr>
          <w:rFonts w:asciiTheme="majorHAnsi" w:hAnsiTheme="majorHAnsi" w:cstheme="majorHAnsi"/>
          <w:lang w:val="ro-MD"/>
        </w:rPr>
      </w:pPr>
      <w:r w:rsidRPr="0054539D">
        <w:rPr>
          <w:rFonts w:asciiTheme="majorHAnsi" w:hAnsiTheme="majorHAnsi" w:cstheme="majorHAnsi"/>
          <w:b/>
          <w:noProof/>
          <w:lang w:val="ro-MD" w:eastAsia="ro-RO"/>
        </w:rPr>
        <w:t>3</w:t>
      </w:r>
      <w:r w:rsidRPr="003E2DBB">
        <w:rPr>
          <w:rFonts w:asciiTheme="majorHAnsi" w:hAnsiTheme="majorHAnsi" w:cstheme="majorHAnsi"/>
          <w:noProof/>
          <w:lang w:val="ro-MD" w:eastAsia="ro-RO"/>
        </w:rPr>
        <w:t xml:space="preserve">. </w:t>
      </w:r>
      <w:r w:rsidRPr="003E2DBB">
        <w:rPr>
          <w:rFonts w:asciiTheme="majorHAnsi" w:hAnsiTheme="majorHAnsi" w:cstheme="majorHAnsi"/>
          <w:lang w:val="ro-MD"/>
        </w:rPr>
        <w:t>Se împuternicește membr</w:t>
      </w:r>
      <w:r w:rsidR="00E12ACA" w:rsidRPr="003E2DBB">
        <w:rPr>
          <w:rFonts w:asciiTheme="majorHAnsi" w:hAnsiTheme="majorHAnsi" w:cstheme="majorHAnsi"/>
          <w:lang w:val="ro-MD"/>
        </w:rPr>
        <w:t>a</w:t>
      </w:r>
      <w:r w:rsidRPr="003E2DBB">
        <w:rPr>
          <w:rFonts w:asciiTheme="majorHAnsi" w:hAnsiTheme="majorHAnsi" w:cstheme="majorHAnsi"/>
          <w:lang w:val="ro-MD"/>
        </w:rPr>
        <w:t xml:space="preserve"> Curții de Conturi, care coordonează sectorul respectiv, cu dreptul de a semna Scrisoarea către conducerea Ministerului Sănătății.</w:t>
      </w:r>
    </w:p>
    <w:p w:rsidR="00B842A0" w:rsidRPr="003E2DBB" w:rsidRDefault="00690B18" w:rsidP="00851535">
      <w:pPr>
        <w:pStyle w:val="NormalWeb"/>
        <w:spacing w:after="120" w:line="276" w:lineRule="auto"/>
        <w:rPr>
          <w:rFonts w:asciiTheme="majorHAnsi" w:hAnsiTheme="majorHAnsi" w:cstheme="majorHAnsi"/>
          <w:lang w:val="ro-MD"/>
        </w:rPr>
      </w:pPr>
      <w:r w:rsidRPr="003E2DBB">
        <w:rPr>
          <w:rFonts w:asciiTheme="majorHAnsi" w:hAnsiTheme="majorHAnsi" w:cstheme="majorHAnsi"/>
          <w:b/>
          <w:lang w:val="ro-MD"/>
        </w:rPr>
        <w:t>4.</w:t>
      </w:r>
      <w:r w:rsidRPr="003E2DBB">
        <w:rPr>
          <w:rFonts w:asciiTheme="majorHAnsi" w:hAnsiTheme="majorHAnsi" w:cstheme="majorHAnsi"/>
          <w:lang w:val="ro-MD"/>
        </w:rPr>
        <w:t xml:space="preserve"> Prezenta Hotărâre intră în vigoare din data publicării 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690B18" w:rsidRPr="003E2DBB" w:rsidRDefault="00690B18" w:rsidP="00851535">
      <w:pPr>
        <w:pStyle w:val="NormalWeb"/>
        <w:spacing w:after="120" w:line="276" w:lineRule="auto"/>
        <w:rPr>
          <w:rFonts w:asciiTheme="majorHAnsi" w:hAnsiTheme="majorHAnsi" w:cstheme="majorHAnsi"/>
          <w:lang w:val="ro-MD"/>
        </w:rPr>
      </w:pPr>
      <w:r w:rsidRPr="003E2DBB">
        <w:rPr>
          <w:rFonts w:asciiTheme="majorHAnsi" w:hAnsiTheme="majorHAnsi" w:cstheme="majorHAnsi"/>
          <w:b/>
          <w:lang w:val="ro-MD"/>
        </w:rPr>
        <w:t>5.</w:t>
      </w:r>
      <w:r w:rsidRPr="003E2DBB">
        <w:rPr>
          <w:rFonts w:asciiTheme="majorHAnsi" w:hAnsiTheme="majorHAnsi" w:cstheme="majorHAnsi"/>
          <w:lang w:val="ro-MD"/>
        </w:rPr>
        <w:t xml:space="preserve"> Despre acțiunile întreprinse pentru executarea subpunct</w:t>
      </w:r>
      <w:r w:rsidR="008050BB" w:rsidRPr="003E2DBB">
        <w:rPr>
          <w:rFonts w:asciiTheme="majorHAnsi" w:hAnsiTheme="majorHAnsi" w:cstheme="majorHAnsi"/>
          <w:lang w:val="ro-MD"/>
        </w:rPr>
        <w:t>elor</w:t>
      </w:r>
      <w:r w:rsidRPr="003E2DBB">
        <w:rPr>
          <w:rFonts w:asciiTheme="majorHAnsi" w:hAnsiTheme="majorHAnsi" w:cstheme="majorHAnsi"/>
          <w:lang w:val="ro-MD"/>
        </w:rPr>
        <w:t xml:space="preserve"> 2.4.</w:t>
      </w:r>
      <w:r w:rsidR="008050BB" w:rsidRPr="003E2DBB">
        <w:rPr>
          <w:rFonts w:asciiTheme="majorHAnsi" w:hAnsiTheme="majorHAnsi" w:cstheme="majorHAnsi"/>
          <w:lang w:val="ro-MD"/>
        </w:rPr>
        <w:t xml:space="preserve"> și 2.5.</w:t>
      </w:r>
      <w:r w:rsidRPr="003E2DBB">
        <w:rPr>
          <w:rFonts w:asciiTheme="majorHAnsi" w:hAnsiTheme="majorHAnsi" w:cstheme="majorHAnsi"/>
          <w:lang w:val="ro-MD"/>
        </w:rPr>
        <w:t xml:space="preserve"> din prezenta Hotărâre, se va informa Curtea de Conturi în termen de până la 6 luni din data intrării în vigoare a acesteia.</w:t>
      </w:r>
    </w:p>
    <w:p w:rsidR="00690B18" w:rsidRPr="003E2DBB" w:rsidRDefault="0064706C" w:rsidP="00690B18">
      <w:pPr>
        <w:pStyle w:val="NormalWeb"/>
        <w:spacing w:line="276" w:lineRule="auto"/>
        <w:rPr>
          <w:rFonts w:asciiTheme="majorHAnsi" w:hAnsiTheme="majorHAnsi" w:cstheme="majorHAnsi"/>
          <w:lang w:val="ro-MD"/>
        </w:rPr>
      </w:pPr>
      <w:r w:rsidRPr="003E2DBB">
        <w:rPr>
          <w:rFonts w:asciiTheme="majorHAnsi" w:hAnsiTheme="majorHAnsi" w:cstheme="majorHAnsi"/>
          <w:b/>
          <w:lang w:val="ro-MD"/>
        </w:rPr>
        <w:t>6</w:t>
      </w:r>
      <w:r w:rsidR="00690B18" w:rsidRPr="003E2DBB">
        <w:rPr>
          <w:rFonts w:asciiTheme="majorHAnsi" w:hAnsiTheme="majorHAnsi" w:cstheme="majorHAnsi"/>
          <w:lang w:val="ro-MD"/>
        </w:rPr>
        <w:t xml:space="preserve">. Hotărârea și </w:t>
      </w:r>
      <w:r w:rsidR="00690B18" w:rsidRPr="003E2DBB">
        <w:rPr>
          <w:rFonts w:asciiTheme="majorHAnsi" w:hAnsiTheme="majorHAnsi" w:cstheme="majorHAnsi"/>
          <w:color w:val="000000"/>
          <w:lang w:val="ro-MD"/>
        </w:rPr>
        <w:t xml:space="preserve">Raportul </w:t>
      </w:r>
      <w:r w:rsidR="00690B18" w:rsidRPr="003E2DBB">
        <w:rPr>
          <w:rFonts w:asciiTheme="majorHAnsi" w:hAnsiTheme="majorHAnsi" w:cstheme="majorHAnsi"/>
          <w:bCs/>
          <w:color w:val="000000"/>
          <w:lang w:val="ro-MD"/>
        </w:rPr>
        <w:t xml:space="preserve">auditului asupra rapoartelor financiare consolidate ale Ministerului Sănătății încheiate la 31 decembrie 2021 </w:t>
      </w:r>
      <w:r w:rsidR="00690B18" w:rsidRPr="003E2DBB">
        <w:rPr>
          <w:rFonts w:asciiTheme="majorHAnsi" w:hAnsiTheme="majorHAnsi" w:cstheme="majorHAnsi"/>
          <w:lang w:val="ro-MD"/>
        </w:rPr>
        <w:t>se plasează pe site-ul oficial al Curții de Conturi (</w:t>
      </w:r>
      <w:hyperlink r:id="rId8" w:history="1">
        <w:r w:rsidR="001D5B56" w:rsidRPr="00DE6403">
          <w:rPr>
            <w:rStyle w:val="Hyperlink"/>
            <w:rFonts w:asciiTheme="majorHAnsi" w:hAnsiTheme="majorHAnsi" w:cstheme="majorHAnsi"/>
          </w:rPr>
          <w:t>https://www.ccrm.md/ro/decisions</w:t>
        </w:r>
      </w:hyperlink>
      <w:r w:rsidR="00690B18" w:rsidRPr="003E2DBB">
        <w:rPr>
          <w:rFonts w:asciiTheme="majorHAnsi" w:hAnsiTheme="majorHAnsi" w:cstheme="majorHAnsi"/>
          <w:lang w:val="ro-MD"/>
        </w:rPr>
        <w:t>).</w:t>
      </w:r>
    </w:p>
    <w:p w:rsidR="000B593C" w:rsidRPr="003E2DBB" w:rsidRDefault="000B593C" w:rsidP="00690B18">
      <w:pPr>
        <w:pStyle w:val="NormalWeb"/>
        <w:spacing w:line="276" w:lineRule="auto"/>
        <w:rPr>
          <w:rFonts w:asciiTheme="majorHAnsi" w:hAnsiTheme="majorHAnsi" w:cstheme="majorHAnsi"/>
          <w:lang w:val="ro-MD"/>
        </w:rPr>
      </w:pPr>
    </w:p>
    <w:p w:rsidR="00690B18" w:rsidRPr="003E2DBB" w:rsidRDefault="0089072D" w:rsidP="00D271F9">
      <w:pPr>
        <w:pStyle w:val="HTMLPreformatted"/>
        <w:spacing w:line="276" w:lineRule="auto"/>
        <w:jc w:val="both"/>
        <w:rPr>
          <w:rFonts w:asciiTheme="majorHAnsi" w:hAnsiTheme="majorHAnsi" w:cstheme="majorHAnsi"/>
          <w:b/>
          <w:sz w:val="24"/>
          <w:szCs w:val="24"/>
          <w:lang w:val="ro-MD"/>
        </w:rPr>
      </w:pPr>
      <w:r w:rsidRPr="003E2DBB">
        <w:rPr>
          <w:rFonts w:asciiTheme="majorHAnsi" w:hAnsiTheme="majorHAnsi" w:cstheme="majorHAnsi"/>
          <w:sz w:val="24"/>
          <w:szCs w:val="24"/>
        </w:rPr>
        <w:t xml:space="preserve">    </w:t>
      </w:r>
      <w:r w:rsidR="000B593C" w:rsidRPr="003E2DBB">
        <w:rPr>
          <w:rFonts w:asciiTheme="majorHAnsi" w:hAnsiTheme="majorHAnsi" w:cstheme="majorHAnsi"/>
          <w:sz w:val="24"/>
          <w:szCs w:val="24"/>
        </w:rPr>
        <w:br/>
      </w:r>
    </w:p>
    <w:p w:rsidR="00690B18" w:rsidRPr="003E2DBB" w:rsidRDefault="00690B18" w:rsidP="00690B18">
      <w:pPr>
        <w:spacing w:after="0" w:line="276" w:lineRule="auto"/>
        <w:jc w:val="right"/>
        <w:rPr>
          <w:rFonts w:asciiTheme="majorHAnsi" w:eastAsia="Times New Roman" w:hAnsiTheme="majorHAnsi" w:cstheme="majorHAnsi"/>
          <w:b/>
          <w:sz w:val="24"/>
          <w:szCs w:val="24"/>
          <w:lang w:val="ro-MD"/>
        </w:rPr>
      </w:pPr>
      <w:r w:rsidRPr="003E2DBB">
        <w:rPr>
          <w:rFonts w:asciiTheme="majorHAnsi" w:eastAsia="Times New Roman" w:hAnsiTheme="majorHAnsi" w:cstheme="majorHAnsi"/>
          <w:b/>
          <w:sz w:val="24"/>
          <w:szCs w:val="24"/>
          <w:lang w:val="ro-MD"/>
        </w:rPr>
        <w:t>Marian LUPU,</w:t>
      </w:r>
    </w:p>
    <w:p w:rsidR="00690B18" w:rsidRPr="003E2DBB" w:rsidRDefault="00690B18" w:rsidP="00690B18">
      <w:pPr>
        <w:spacing w:after="0" w:line="276" w:lineRule="auto"/>
        <w:jc w:val="right"/>
        <w:rPr>
          <w:rFonts w:asciiTheme="majorHAnsi" w:eastAsia="Times New Roman" w:hAnsiTheme="majorHAnsi" w:cstheme="majorHAnsi"/>
          <w:b/>
          <w:sz w:val="24"/>
          <w:szCs w:val="24"/>
          <w:lang w:val="ro-MD"/>
        </w:rPr>
      </w:pPr>
      <w:r w:rsidRPr="003E2DBB">
        <w:rPr>
          <w:rFonts w:asciiTheme="majorHAnsi" w:eastAsia="Times New Roman" w:hAnsiTheme="majorHAnsi" w:cstheme="majorHAnsi"/>
          <w:b/>
          <w:sz w:val="24"/>
          <w:szCs w:val="24"/>
          <w:lang w:val="ro-MD"/>
        </w:rPr>
        <w:t>Președinte</w:t>
      </w:r>
    </w:p>
    <w:p w:rsidR="00D271F9" w:rsidRPr="003E2DBB" w:rsidRDefault="00690B18" w:rsidP="00663B3D">
      <w:pPr>
        <w:spacing w:line="276" w:lineRule="auto"/>
        <w:rPr>
          <w:rFonts w:asciiTheme="majorHAnsi" w:hAnsiTheme="majorHAnsi" w:cstheme="majorHAnsi"/>
          <w:sz w:val="24"/>
          <w:szCs w:val="24"/>
          <w:lang w:val="ro-MD"/>
        </w:rPr>
      </w:pPr>
      <w:r w:rsidRPr="003E2DBB">
        <w:rPr>
          <w:rFonts w:asciiTheme="majorHAnsi" w:hAnsiTheme="majorHAnsi" w:cstheme="majorHAnsi"/>
          <w:sz w:val="24"/>
          <w:szCs w:val="24"/>
          <w:lang w:val="ro-MD"/>
        </w:rPr>
        <w:t xml:space="preserve"> </w:t>
      </w:r>
    </w:p>
    <w:p w:rsidR="00A76BF2" w:rsidRDefault="00A76BF2" w:rsidP="00690B18">
      <w:pPr>
        <w:spacing w:after="0" w:line="276" w:lineRule="auto"/>
        <w:jc w:val="both"/>
        <w:rPr>
          <w:rFonts w:asciiTheme="majorHAnsi" w:hAnsiTheme="majorHAnsi" w:cstheme="majorHAnsi"/>
          <w:sz w:val="24"/>
          <w:szCs w:val="28"/>
          <w:lang w:val="ro-MD"/>
        </w:rPr>
      </w:pPr>
    </w:p>
    <w:p w:rsidR="00A76BF2" w:rsidRDefault="00A76BF2" w:rsidP="00690B18">
      <w:pPr>
        <w:spacing w:after="0" w:line="276" w:lineRule="auto"/>
        <w:jc w:val="both"/>
        <w:rPr>
          <w:rFonts w:asciiTheme="majorHAnsi" w:hAnsiTheme="majorHAnsi" w:cstheme="majorHAnsi"/>
          <w:sz w:val="24"/>
          <w:szCs w:val="28"/>
          <w:lang w:val="ro-MD"/>
        </w:rPr>
      </w:pPr>
    </w:p>
    <w:p w:rsidR="0054539D" w:rsidRDefault="0054539D" w:rsidP="00690B18">
      <w:pPr>
        <w:spacing w:after="0" w:line="276" w:lineRule="auto"/>
        <w:jc w:val="both"/>
        <w:rPr>
          <w:rFonts w:asciiTheme="majorHAnsi" w:hAnsiTheme="majorHAnsi" w:cstheme="majorHAnsi"/>
          <w:sz w:val="24"/>
          <w:szCs w:val="28"/>
          <w:lang w:val="ro-MD"/>
        </w:rPr>
      </w:pPr>
    </w:p>
    <w:p w:rsidR="00851535" w:rsidRDefault="00851535" w:rsidP="00690B18">
      <w:pPr>
        <w:spacing w:after="0" w:line="276" w:lineRule="auto"/>
        <w:jc w:val="both"/>
        <w:rPr>
          <w:rFonts w:asciiTheme="majorHAnsi" w:hAnsiTheme="majorHAnsi" w:cstheme="majorHAnsi"/>
          <w:sz w:val="24"/>
          <w:szCs w:val="28"/>
          <w:lang w:val="ro-MD"/>
        </w:rPr>
      </w:pPr>
    </w:p>
    <w:p w:rsidR="00690B18" w:rsidRPr="00E50FB4" w:rsidRDefault="00690B18" w:rsidP="00690B18">
      <w:pPr>
        <w:spacing w:after="0" w:line="276" w:lineRule="auto"/>
        <w:jc w:val="both"/>
        <w:rPr>
          <w:rFonts w:asciiTheme="majorHAnsi" w:hAnsiTheme="majorHAnsi" w:cstheme="majorHAnsi"/>
          <w:sz w:val="28"/>
          <w:szCs w:val="28"/>
          <w:lang w:val="ro-MD"/>
        </w:rPr>
      </w:pPr>
    </w:p>
    <w:p w:rsidR="004153AD" w:rsidRPr="00690B18" w:rsidRDefault="00E972F5">
      <w:pPr>
        <w:rPr>
          <w:lang w:val="ro-MD"/>
        </w:rPr>
      </w:pPr>
    </w:p>
    <w:sectPr w:rsidR="004153AD" w:rsidRPr="00690B18" w:rsidSect="00524A10">
      <w:headerReference w:type="default" r:id="rId9"/>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F5" w:rsidRDefault="00E972F5" w:rsidP="00690B18">
      <w:pPr>
        <w:spacing w:after="0" w:line="240" w:lineRule="auto"/>
      </w:pPr>
      <w:r>
        <w:separator/>
      </w:r>
    </w:p>
  </w:endnote>
  <w:endnote w:type="continuationSeparator" w:id="0">
    <w:p w:rsidR="00E972F5" w:rsidRDefault="00E972F5" w:rsidP="0069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E26A0D">
        <w:pPr>
          <w:pStyle w:val="Footer"/>
          <w:jc w:val="right"/>
        </w:pPr>
        <w:r>
          <w:fldChar w:fldCharType="begin"/>
        </w:r>
        <w:r>
          <w:instrText xml:space="preserve"> PAGE   \* MERGEFORMAT </w:instrText>
        </w:r>
        <w:r>
          <w:fldChar w:fldCharType="separate"/>
        </w:r>
        <w:r w:rsidR="00D07358">
          <w:rPr>
            <w:noProof/>
          </w:rPr>
          <w:t>2</w:t>
        </w:r>
        <w:r>
          <w:rPr>
            <w:noProof/>
          </w:rPr>
          <w:fldChar w:fldCharType="end"/>
        </w:r>
      </w:p>
    </w:sdtContent>
  </w:sdt>
  <w:p w:rsidR="00D02F43" w:rsidRDefault="00E972F5"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F5" w:rsidRDefault="00E972F5" w:rsidP="00690B18">
      <w:pPr>
        <w:spacing w:after="0" w:line="240" w:lineRule="auto"/>
      </w:pPr>
      <w:r>
        <w:separator/>
      </w:r>
    </w:p>
  </w:footnote>
  <w:footnote w:type="continuationSeparator" w:id="0">
    <w:p w:rsidR="00E972F5" w:rsidRDefault="00E972F5" w:rsidP="00690B18">
      <w:pPr>
        <w:spacing w:after="0" w:line="240" w:lineRule="auto"/>
      </w:pPr>
      <w:r>
        <w:continuationSeparator/>
      </w:r>
    </w:p>
  </w:footnote>
  <w:footnote w:id="1">
    <w:p w:rsidR="00690B18" w:rsidRPr="003E2DBB" w:rsidRDefault="00690B18" w:rsidP="00851535">
      <w:pPr>
        <w:pStyle w:val="FootnoteText"/>
        <w:jc w:val="both"/>
        <w:rPr>
          <w:rFonts w:asciiTheme="majorHAnsi" w:hAnsiTheme="majorHAnsi" w:cstheme="majorHAnsi"/>
          <w:sz w:val="16"/>
          <w:szCs w:val="16"/>
          <w:lang w:val="ro-RO"/>
        </w:rPr>
      </w:pPr>
      <w:r w:rsidRPr="003E2DBB">
        <w:rPr>
          <w:rStyle w:val="FootnoteReference"/>
          <w:rFonts w:asciiTheme="majorHAnsi" w:hAnsiTheme="majorHAnsi" w:cstheme="majorHAnsi"/>
          <w:sz w:val="16"/>
          <w:szCs w:val="16"/>
          <w:lang w:val="ro-RO"/>
        </w:rPr>
        <w:footnoteRef/>
      </w:r>
      <w:r w:rsidRPr="003E2DBB">
        <w:rPr>
          <w:rFonts w:asciiTheme="majorHAnsi" w:hAnsiTheme="majorHAnsi" w:cstheme="majorHAnsi"/>
          <w:sz w:val="16"/>
          <w:szCs w:val="16"/>
          <w:lang w:val="ro-RO"/>
        </w:rPr>
        <w:t xml:space="preserve"> Legea </w:t>
      </w:r>
      <w:r w:rsidR="003E2DBB" w:rsidRPr="003E2DBB">
        <w:rPr>
          <w:rFonts w:asciiTheme="majorHAnsi" w:hAnsiTheme="majorHAnsi" w:cstheme="majorHAnsi"/>
          <w:sz w:val="16"/>
          <w:szCs w:val="16"/>
          <w:lang w:val="ro-RO"/>
        </w:rPr>
        <w:t>nr.260 din 07.12.2017</w:t>
      </w:r>
      <w:r w:rsidR="003E2DBB">
        <w:rPr>
          <w:rFonts w:asciiTheme="majorHAnsi" w:hAnsiTheme="majorHAnsi" w:cstheme="majorHAnsi"/>
          <w:sz w:val="16"/>
          <w:szCs w:val="16"/>
          <w:lang w:val="ro-RO"/>
        </w:rPr>
        <w:t xml:space="preserve"> </w:t>
      </w:r>
      <w:r w:rsidRPr="003E2DBB">
        <w:rPr>
          <w:rFonts w:asciiTheme="majorHAnsi" w:hAnsiTheme="majorHAnsi" w:cstheme="majorHAnsi"/>
          <w:sz w:val="16"/>
          <w:szCs w:val="16"/>
          <w:lang w:val="ro-RO"/>
        </w:rPr>
        <w:t>privind organizarea și funcționarea Curții de Conturi a Republicii Moldova, cu modificările și completările ulterioare (în continuare – Legea nr.260 din 07.12.2017).</w:t>
      </w:r>
    </w:p>
  </w:footnote>
  <w:footnote w:id="2">
    <w:p w:rsidR="00690B18" w:rsidRPr="00851535" w:rsidRDefault="00690B18" w:rsidP="00851535">
      <w:pPr>
        <w:pStyle w:val="FootnoteText"/>
        <w:jc w:val="both"/>
        <w:rPr>
          <w:rFonts w:asciiTheme="majorHAnsi" w:hAnsiTheme="majorHAnsi" w:cstheme="majorHAnsi"/>
          <w:sz w:val="16"/>
          <w:szCs w:val="16"/>
          <w:lang w:val="ro-RO"/>
        </w:rPr>
      </w:pPr>
      <w:r w:rsidRPr="00851535">
        <w:rPr>
          <w:rStyle w:val="FootnoteReference"/>
          <w:rFonts w:asciiTheme="majorHAnsi" w:hAnsiTheme="majorHAnsi" w:cstheme="majorHAnsi"/>
          <w:sz w:val="16"/>
          <w:szCs w:val="16"/>
          <w:lang w:val="ro-RO"/>
        </w:rPr>
        <w:footnoteRef/>
      </w:r>
      <w:r w:rsidRPr="00851535">
        <w:rPr>
          <w:rFonts w:asciiTheme="majorHAnsi" w:hAnsiTheme="majorHAnsi" w:cstheme="majorHAnsi"/>
          <w:sz w:val="16"/>
          <w:szCs w:val="16"/>
          <w:lang w:val="ro-RO"/>
        </w:rPr>
        <w:t xml:space="preserve"> </w:t>
      </w:r>
      <w:r w:rsidR="0064706C" w:rsidRPr="00851535">
        <w:rPr>
          <w:rFonts w:asciiTheme="majorHAnsi" w:hAnsiTheme="majorHAnsi" w:cstheme="majorHAnsi"/>
          <w:sz w:val="16"/>
          <w:szCs w:val="16"/>
          <w:lang w:val="ro-RO"/>
        </w:rPr>
        <w:t xml:space="preserve">Hotărârile Curții de Conturi nr. 62 din 10.12.2020 </w:t>
      </w:r>
      <w:r w:rsidR="003E2DBB" w:rsidRPr="00851535">
        <w:rPr>
          <w:rFonts w:asciiTheme="majorHAnsi" w:hAnsiTheme="majorHAnsi" w:cstheme="majorHAnsi"/>
          <w:sz w:val="16"/>
          <w:szCs w:val="16"/>
          <w:lang w:val="ro-RO"/>
        </w:rPr>
        <w:t>„</w:t>
      </w:r>
      <w:r w:rsidR="0064706C" w:rsidRPr="00851535">
        <w:rPr>
          <w:rFonts w:asciiTheme="majorHAnsi" w:hAnsiTheme="majorHAnsi" w:cstheme="majorHAnsi"/>
          <w:sz w:val="16"/>
          <w:szCs w:val="16"/>
          <w:lang w:val="ro-RO"/>
        </w:rPr>
        <w:t xml:space="preserve">Privind aprobarea Programului activității de audit a Curții de Conturi pe anul 2021” și nr. 75 din 28.12.2021 </w:t>
      </w:r>
      <w:r w:rsidR="003E2DBB" w:rsidRPr="00851535">
        <w:rPr>
          <w:rFonts w:asciiTheme="majorHAnsi" w:hAnsiTheme="majorHAnsi" w:cstheme="majorHAnsi"/>
          <w:sz w:val="16"/>
          <w:szCs w:val="16"/>
          <w:lang w:val="ro-RO"/>
        </w:rPr>
        <w:t>„</w:t>
      </w:r>
      <w:r w:rsidR="0064706C" w:rsidRPr="00851535">
        <w:rPr>
          <w:rFonts w:asciiTheme="majorHAnsi" w:hAnsiTheme="majorHAnsi" w:cstheme="majorHAnsi"/>
          <w:sz w:val="16"/>
          <w:szCs w:val="16"/>
          <w:lang w:val="ro-RO"/>
        </w:rPr>
        <w:t>Privind aprobarea Programului activității de audit a</w:t>
      </w:r>
      <w:r w:rsidR="003E2DBB" w:rsidRPr="00851535">
        <w:rPr>
          <w:rFonts w:asciiTheme="majorHAnsi" w:hAnsiTheme="majorHAnsi" w:cstheme="majorHAnsi"/>
          <w:sz w:val="16"/>
          <w:szCs w:val="16"/>
          <w:lang w:val="ro-RO"/>
        </w:rPr>
        <w:t>l</w:t>
      </w:r>
      <w:r w:rsidR="0064706C" w:rsidRPr="00851535">
        <w:rPr>
          <w:rFonts w:asciiTheme="majorHAnsi" w:hAnsiTheme="majorHAnsi" w:cstheme="majorHAnsi"/>
          <w:sz w:val="16"/>
          <w:szCs w:val="16"/>
          <w:lang w:val="ro-RO"/>
        </w:rPr>
        <w:t xml:space="preserve"> Curții de Conturi pe anul 2022”.</w:t>
      </w:r>
    </w:p>
  </w:footnote>
  <w:footnote w:id="3">
    <w:p w:rsidR="00690B18" w:rsidRPr="003E2DBB" w:rsidRDefault="00690B18" w:rsidP="003E2DBB">
      <w:pPr>
        <w:spacing w:after="0" w:line="240" w:lineRule="auto"/>
        <w:jc w:val="both"/>
        <w:rPr>
          <w:rFonts w:asciiTheme="majorHAnsi" w:eastAsia="Times New Roman" w:hAnsiTheme="majorHAnsi" w:cstheme="majorHAnsi"/>
          <w:sz w:val="16"/>
          <w:szCs w:val="16"/>
          <w:lang w:val="ro-RO"/>
        </w:rPr>
      </w:pPr>
      <w:r w:rsidRPr="00851535">
        <w:rPr>
          <w:rStyle w:val="FootnoteReference"/>
          <w:rFonts w:asciiTheme="majorHAnsi" w:hAnsiTheme="majorHAnsi" w:cstheme="majorHAnsi"/>
          <w:sz w:val="16"/>
          <w:szCs w:val="16"/>
          <w:lang w:val="ro-RO"/>
        </w:rPr>
        <w:footnoteRef/>
      </w:r>
      <w:r w:rsidRPr="00851535">
        <w:rPr>
          <w:rFonts w:asciiTheme="majorHAnsi" w:hAnsiTheme="majorHAnsi" w:cstheme="majorHAnsi"/>
          <w:sz w:val="16"/>
          <w:szCs w:val="16"/>
          <w:lang w:val="ro-RO"/>
        </w:rPr>
        <w:t xml:space="preserve"> Hotărârea Curții de Conturi nr.2 din 24.01.2020 „Cu privire la Cadrul Declarațiilor Profesionale ale INTOSAI</w:t>
      </w:r>
      <w:r w:rsidRPr="003E2DBB">
        <w:rPr>
          <w:rFonts w:asciiTheme="majorHAnsi" w:hAnsiTheme="majorHAnsi" w:cstheme="majorHAnsi"/>
          <w:sz w:val="16"/>
          <w:szCs w:val="16"/>
          <w:lang w:val="ro-RO"/>
        </w:rPr>
        <w:t>”.</w:t>
      </w:r>
    </w:p>
  </w:footnote>
  <w:footnote w:id="4">
    <w:p w:rsidR="00690B18" w:rsidRPr="00DE12C4" w:rsidRDefault="00690B18" w:rsidP="00851535">
      <w:pPr>
        <w:pStyle w:val="FootnoteText"/>
        <w:jc w:val="both"/>
        <w:rPr>
          <w:rFonts w:asciiTheme="majorHAnsi" w:hAnsiTheme="majorHAnsi" w:cstheme="majorHAnsi"/>
          <w:lang w:val="ro-RO"/>
        </w:rPr>
      </w:pPr>
      <w:r w:rsidRPr="00746A52">
        <w:rPr>
          <w:rFonts w:asciiTheme="majorHAnsi" w:eastAsia="Calibri" w:hAnsiTheme="majorHAnsi" w:cstheme="majorHAnsi"/>
          <w:sz w:val="16"/>
          <w:szCs w:val="16"/>
          <w:lang w:val="ro-RO"/>
        </w:rPr>
        <w:t xml:space="preserve"> </w:t>
      </w:r>
      <w:r w:rsidRPr="0064706C">
        <w:rPr>
          <w:rStyle w:val="FootnoteReference"/>
          <w:rFonts w:asciiTheme="majorHAnsi" w:hAnsiTheme="majorHAnsi" w:cstheme="majorHAnsi"/>
          <w:sz w:val="16"/>
          <w:szCs w:val="16"/>
          <w:lang w:val="ro-RO"/>
        </w:rPr>
        <w:footnoteRef/>
      </w:r>
      <w:r w:rsidRPr="0064706C">
        <w:rPr>
          <w:rFonts w:asciiTheme="majorHAnsi" w:eastAsia="Calibri" w:hAnsiTheme="majorHAnsi" w:cstheme="majorHAnsi"/>
          <w:sz w:val="16"/>
          <w:szCs w:val="16"/>
          <w:lang w:val="ro-RO"/>
        </w:rPr>
        <w:t xml:space="preserve"> Legea contabilității nr.</w:t>
      </w:r>
      <w:r w:rsidRPr="0064706C">
        <w:rPr>
          <w:rFonts w:asciiTheme="majorHAnsi" w:hAnsiTheme="majorHAnsi" w:cstheme="majorHAnsi"/>
          <w:sz w:val="16"/>
          <w:szCs w:val="16"/>
          <w:lang w:val="ro-RO"/>
        </w:rPr>
        <w:t>113-XVI din 27.04.2007;</w:t>
      </w:r>
      <w:r w:rsidRPr="0064706C">
        <w:rPr>
          <w:rFonts w:asciiTheme="majorHAnsi" w:eastAsia="Calibri" w:hAnsiTheme="majorHAnsi" w:cstheme="majorHAnsi"/>
          <w:sz w:val="16"/>
          <w:szCs w:val="16"/>
          <w:lang w:val="ro-RO"/>
        </w:rPr>
        <w:t xml:space="preserve"> </w:t>
      </w:r>
      <w:r w:rsidRPr="0064706C">
        <w:rPr>
          <w:rFonts w:asciiTheme="majorHAnsi"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Finanțelor nr.216 din 28.12.2015; Ordinul ministrului Finanțelor </w:t>
      </w:r>
      <w:r w:rsidRPr="0064706C">
        <w:rPr>
          <w:rFonts w:asciiTheme="majorHAnsi" w:hAnsiTheme="majorHAnsi" w:cstheme="majorHAnsi"/>
          <w:sz w:val="16"/>
          <w:szCs w:val="16"/>
          <w:shd w:val="clear" w:color="auto" w:fill="FFFFFF"/>
          <w:lang w:val="ro-RO"/>
        </w:rPr>
        <w:t>nr.164 din 09.12.2019 „Cu privire la aprobarea termenelor de prezentare a rapoartelor financiare pe anul 2019”; Ordinul ministrului Finanțelor nr.164</w:t>
      </w:r>
      <w:r w:rsidRPr="0064706C">
        <w:rPr>
          <w:rFonts w:asciiTheme="majorHAnsi" w:hAnsiTheme="majorHAnsi" w:cstheme="majorHAnsi"/>
          <w:sz w:val="16"/>
          <w:szCs w:val="16"/>
          <w:lang w:val="ro-RO"/>
        </w:rPr>
        <w:t xml:space="preserve"> din 30.12.2016 „Cu privire la aprobarea Cerințelor la întocmirea Raportului narativ privind executarea bugetelor autorităților/instituțiilor bugetare”</w:t>
      </w:r>
      <w:r w:rsidRPr="0064706C">
        <w:rPr>
          <w:rFonts w:asciiTheme="majorHAnsi" w:eastAsia="Calibri" w:hAnsiTheme="majorHAnsi" w:cstheme="majorHAnsi"/>
          <w:sz w:val="16"/>
          <w:szCs w:val="16"/>
          <w:lang w:val="ro-RO"/>
        </w:rPr>
        <w:t>.</w:t>
      </w:r>
    </w:p>
  </w:footnote>
  <w:footnote w:id="5">
    <w:p w:rsidR="00EC40AF" w:rsidRPr="00D861F0" w:rsidRDefault="00EC40AF" w:rsidP="00CA4CE5">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Hotărârea Guvernului nr.161 din 07.03.2019 </w:t>
      </w:r>
      <w:r>
        <w:rPr>
          <w:rFonts w:asciiTheme="majorHAnsi" w:hAnsiTheme="majorHAnsi" w:cstheme="majorHAnsi"/>
          <w:sz w:val="16"/>
          <w:szCs w:val="16"/>
          <w:lang w:val="ro-RO"/>
        </w:rPr>
        <w:t>„C</w:t>
      </w:r>
      <w:r w:rsidRPr="00D861F0">
        <w:rPr>
          <w:rFonts w:asciiTheme="majorHAnsi" w:hAnsiTheme="majorHAnsi" w:cstheme="majorHAnsi"/>
          <w:sz w:val="16"/>
          <w:szCs w:val="16"/>
          <w:lang w:val="ro-RO"/>
        </w:rPr>
        <w:t>u privire la aprobarea listei terenurilo</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 xml:space="preserve"> proprietate publică a stat</w:t>
      </w:r>
      <w:r>
        <w:rPr>
          <w:rFonts w:asciiTheme="majorHAnsi" w:hAnsiTheme="majorHAnsi" w:cstheme="majorHAnsi"/>
          <w:sz w:val="16"/>
          <w:szCs w:val="16"/>
          <w:lang w:val="ro-RO"/>
        </w:rPr>
        <w:t>u</w:t>
      </w:r>
      <w:r w:rsidRPr="00D861F0">
        <w:rPr>
          <w:rFonts w:asciiTheme="majorHAnsi" w:hAnsiTheme="majorHAnsi" w:cstheme="majorHAnsi"/>
          <w:sz w:val="16"/>
          <w:szCs w:val="16"/>
          <w:lang w:val="ro-RO"/>
        </w:rPr>
        <w:t>lui din administrarea Agenției Proprietății Publice</w:t>
      </w:r>
      <w:r>
        <w:rPr>
          <w:rFonts w:asciiTheme="majorHAnsi" w:hAnsiTheme="majorHAnsi" w:cstheme="majorHAnsi"/>
          <w:sz w:val="16"/>
          <w:szCs w:val="16"/>
          <w:lang w:val="ro-RO"/>
        </w:rPr>
        <w:t>”</w:t>
      </w:r>
      <w:r w:rsidR="00CA4CE5">
        <w:rPr>
          <w:rFonts w:asciiTheme="majorHAnsi" w:hAnsiTheme="majorHAnsi" w:cstheme="majorHAnsi"/>
          <w:sz w:val="16"/>
          <w:szCs w:val="16"/>
          <w:lang w:val="ro-RO"/>
        </w:rPr>
        <w:t xml:space="preserve"> (în continuare – </w:t>
      </w:r>
      <w:r w:rsidR="00CA4CE5" w:rsidRPr="00D861F0">
        <w:rPr>
          <w:rFonts w:asciiTheme="majorHAnsi" w:hAnsiTheme="majorHAnsi" w:cstheme="majorHAnsi"/>
          <w:sz w:val="16"/>
          <w:szCs w:val="16"/>
          <w:lang w:val="ro-RO"/>
        </w:rPr>
        <w:t>Hotărârea Guvernului nr.161 din 07.03.2019</w:t>
      </w:r>
      <w:r w:rsidR="00CA4CE5">
        <w:rPr>
          <w:rFonts w:asciiTheme="majorHAnsi" w:hAnsiTheme="majorHAnsi" w:cstheme="majorHAnsi"/>
          <w:sz w:val="16"/>
          <w:szCs w:val="16"/>
          <w:lang w:val="ro-RO"/>
        </w:rPr>
        <w:t>)</w:t>
      </w:r>
      <w:r>
        <w:rPr>
          <w:rFonts w:asciiTheme="majorHAnsi" w:hAnsiTheme="majorHAnsi" w:cstheme="majorHAnsi"/>
          <w:sz w:val="16"/>
          <w:szCs w:val="16"/>
          <w:lang w:val="ro-RO"/>
        </w:rPr>
        <w:t>.</w:t>
      </w:r>
    </w:p>
  </w:footnote>
  <w:footnote w:id="6">
    <w:p w:rsidR="00EC40AF" w:rsidRPr="00D861F0" w:rsidRDefault="00EC40AF" w:rsidP="00CA4CE5">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Hotărârea Guvernului nr.901 din 31.12.2015 </w:t>
      </w:r>
      <w:r>
        <w:rPr>
          <w:rFonts w:asciiTheme="majorHAnsi" w:hAnsiTheme="majorHAnsi" w:cstheme="majorHAnsi"/>
          <w:sz w:val="16"/>
          <w:szCs w:val="16"/>
          <w:lang w:val="ro-RO"/>
        </w:rPr>
        <w:t>„P</w:t>
      </w:r>
      <w:r w:rsidRPr="00D861F0">
        <w:rPr>
          <w:rFonts w:asciiTheme="majorHAnsi" w:hAnsiTheme="majorHAnsi" w:cstheme="majorHAnsi"/>
          <w:sz w:val="16"/>
          <w:szCs w:val="16"/>
          <w:lang w:val="ro-RO"/>
        </w:rPr>
        <w:t xml:space="preserve">entru aprobarea </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egulamentului cu privire la modul de transmitere a bunurilor proprietate publică</w:t>
      </w:r>
      <w:r>
        <w:rPr>
          <w:rFonts w:asciiTheme="majorHAnsi" w:hAnsiTheme="majorHAnsi" w:cstheme="majorHAnsi"/>
          <w:sz w:val="16"/>
          <w:szCs w:val="16"/>
          <w:lang w:val="ro-RO"/>
        </w:rPr>
        <w:t>”</w:t>
      </w:r>
      <w:r w:rsidRPr="00D861F0">
        <w:rPr>
          <w:rFonts w:asciiTheme="majorHAnsi" w:hAnsiTheme="majorHAnsi" w:cstheme="majorHAnsi"/>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4" w:rsidRPr="00E827A4" w:rsidRDefault="00E972F5" w:rsidP="00E50FB4">
    <w:pPr>
      <w:pStyle w:val="Header"/>
      <w:jc w:val="right"/>
      <w:rPr>
        <w:b/>
        <w:sz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7E6"/>
    <w:multiLevelType w:val="hybridMultilevel"/>
    <w:tmpl w:val="E7BCD8C4"/>
    <w:lvl w:ilvl="0" w:tplc="5CA6CDF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F9F"/>
    <w:multiLevelType w:val="hybridMultilevel"/>
    <w:tmpl w:val="76588C24"/>
    <w:lvl w:ilvl="0" w:tplc="DB4EC8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220CF"/>
    <w:multiLevelType w:val="hybridMultilevel"/>
    <w:tmpl w:val="76588C24"/>
    <w:lvl w:ilvl="0" w:tplc="DB4EC8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4" w15:restartNumberingAfterBreak="0">
    <w:nsid w:val="71257595"/>
    <w:multiLevelType w:val="multilevel"/>
    <w:tmpl w:val="51E2B67C"/>
    <w:lvl w:ilvl="0">
      <w:start w:val="2"/>
      <w:numFmt w:val="decimal"/>
      <w:lvlText w:val="%1."/>
      <w:lvlJc w:val="left"/>
      <w:pPr>
        <w:ind w:left="405" w:hanging="405"/>
      </w:pPr>
      <w:rPr>
        <w:rFonts w:hint="default"/>
        <w:b/>
      </w:rPr>
    </w:lvl>
    <w:lvl w:ilvl="1">
      <w:start w:val="6"/>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18"/>
    <w:rsid w:val="00003EC9"/>
    <w:rsid w:val="00004193"/>
    <w:rsid w:val="000703EB"/>
    <w:rsid w:val="000831F8"/>
    <w:rsid w:val="000A4259"/>
    <w:rsid w:val="000B593C"/>
    <w:rsid w:val="00135DC4"/>
    <w:rsid w:val="0014196E"/>
    <w:rsid w:val="001D5B56"/>
    <w:rsid w:val="00224E19"/>
    <w:rsid w:val="002266AA"/>
    <w:rsid w:val="002620CC"/>
    <w:rsid w:val="0027567E"/>
    <w:rsid w:val="002D0CD6"/>
    <w:rsid w:val="00343EAB"/>
    <w:rsid w:val="0034465B"/>
    <w:rsid w:val="003A7696"/>
    <w:rsid w:val="003B7BA5"/>
    <w:rsid w:val="003D56B5"/>
    <w:rsid w:val="003E2DBB"/>
    <w:rsid w:val="00496506"/>
    <w:rsid w:val="0054539D"/>
    <w:rsid w:val="00545A21"/>
    <w:rsid w:val="0058420D"/>
    <w:rsid w:val="005B680B"/>
    <w:rsid w:val="005E7A3A"/>
    <w:rsid w:val="0064706C"/>
    <w:rsid w:val="00663B3D"/>
    <w:rsid w:val="00690B18"/>
    <w:rsid w:val="006911DF"/>
    <w:rsid w:val="006A221B"/>
    <w:rsid w:val="008050BB"/>
    <w:rsid w:val="00851535"/>
    <w:rsid w:val="00887D21"/>
    <w:rsid w:val="0089072D"/>
    <w:rsid w:val="00932EA2"/>
    <w:rsid w:val="009912E1"/>
    <w:rsid w:val="009F2402"/>
    <w:rsid w:val="00A76BF2"/>
    <w:rsid w:val="00AB1F00"/>
    <w:rsid w:val="00AB37C0"/>
    <w:rsid w:val="00AD135B"/>
    <w:rsid w:val="00AE442E"/>
    <w:rsid w:val="00AE4BEE"/>
    <w:rsid w:val="00AF1683"/>
    <w:rsid w:val="00B51F75"/>
    <w:rsid w:val="00B842A0"/>
    <w:rsid w:val="00BE7FE3"/>
    <w:rsid w:val="00C60675"/>
    <w:rsid w:val="00CA4CE5"/>
    <w:rsid w:val="00D07358"/>
    <w:rsid w:val="00D25122"/>
    <w:rsid w:val="00D271F9"/>
    <w:rsid w:val="00D47472"/>
    <w:rsid w:val="00D501FF"/>
    <w:rsid w:val="00D83EDD"/>
    <w:rsid w:val="00DB066A"/>
    <w:rsid w:val="00DC6A04"/>
    <w:rsid w:val="00E12ACA"/>
    <w:rsid w:val="00E26A0D"/>
    <w:rsid w:val="00E316A0"/>
    <w:rsid w:val="00E733AE"/>
    <w:rsid w:val="00E972F5"/>
    <w:rsid w:val="00EC40AF"/>
    <w:rsid w:val="00ED2D32"/>
    <w:rsid w:val="00FA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3712"/>
  <w15:chartTrackingRefBased/>
  <w15:docId w15:val="{F1A81183-F902-4FEE-BB05-CBBFED3F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690B18"/>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690B18"/>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690B18"/>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690B18"/>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690B18"/>
    <w:rPr>
      <w:vertAlign w:val="superscript"/>
    </w:rPr>
  </w:style>
  <w:style w:type="paragraph" w:styleId="Footer">
    <w:name w:val="footer"/>
    <w:basedOn w:val="Normal"/>
    <w:link w:val="FooterChar"/>
    <w:uiPriority w:val="99"/>
    <w:unhideWhenUsed/>
    <w:rsid w:val="00690B18"/>
    <w:pPr>
      <w:tabs>
        <w:tab w:val="center" w:pos="4844"/>
        <w:tab w:val="right" w:pos="9689"/>
      </w:tabs>
      <w:spacing w:after="0" w:line="240" w:lineRule="auto"/>
    </w:pPr>
  </w:style>
  <w:style w:type="character" w:customStyle="1" w:styleId="FooterChar">
    <w:name w:val="Footer Char"/>
    <w:basedOn w:val="DefaultParagraphFont"/>
    <w:link w:val="Footer"/>
    <w:uiPriority w:val="99"/>
    <w:rsid w:val="00690B18"/>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90B18"/>
    <w:pPr>
      <w:spacing w:line="240" w:lineRule="exact"/>
    </w:pPr>
    <w:rPr>
      <w:vertAlign w:val="superscript"/>
    </w:rPr>
  </w:style>
  <w:style w:type="paragraph" w:customStyle="1" w:styleId="cp">
    <w:name w:val="cp"/>
    <w:basedOn w:val="Normal"/>
    <w:rsid w:val="00690B1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90B18"/>
    <w:rPr>
      <w:color w:val="0563C1" w:themeColor="hyperlink"/>
      <w:u w:val="single"/>
    </w:rPr>
  </w:style>
  <w:style w:type="paragraph" w:styleId="Header">
    <w:name w:val="header"/>
    <w:basedOn w:val="Normal"/>
    <w:link w:val="HeaderChar"/>
    <w:uiPriority w:val="99"/>
    <w:unhideWhenUsed/>
    <w:rsid w:val="00690B18"/>
    <w:pPr>
      <w:tabs>
        <w:tab w:val="center" w:pos="4844"/>
        <w:tab w:val="right" w:pos="9689"/>
      </w:tabs>
      <w:spacing w:after="0" w:line="240" w:lineRule="auto"/>
    </w:pPr>
  </w:style>
  <w:style w:type="character" w:customStyle="1" w:styleId="HeaderChar">
    <w:name w:val="Header Char"/>
    <w:basedOn w:val="DefaultParagraphFont"/>
    <w:link w:val="Header"/>
    <w:uiPriority w:val="99"/>
    <w:rsid w:val="00690B18"/>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Dot pt,Stil3"/>
    <w:basedOn w:val="Normal"/>
    <w:link w:val="ListParagraphChar"/>
    <w:uiPriority w:val="34"/>
    <w:qFormat/>
    <w:rsid w:val="00690B18"/>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Dot pt Char"/>
    <w:link w:val="ListParagraph"/>
    <w:uiPriority w:val="34"/>
    <w:rsid w:val="00690B18"/>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690B18"/>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90B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0B18"/>
    <w:rPr>
      <w:i/>
      <w:iCs/>
      <w:color w:val="404040" w:themeColor="text1" w:themeTint="BF"/>
    </w:rPr>
  </w:style>
  <w:style w:type="table" w:styleId="TableGrid">
    <w:name w:val="Table Grid"/>
    <w:basedOn w:val="TableNormal"/>
    <w:uiPriority w:val="39"/>
    <w:rsid w:val="0089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9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07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0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C9"/>
    <w:rPr>
      <w:rFonts w:ascii="Segoe UI" w:hAnsi="Segoe UI" w:cs="Segoe UI"/>
      <w:sz w:val="18"/>
      <w:szCs w:val="18"/>
    </w:rPr>
  </w:style>
  <w:style w:type="paragraph" w:styleId="CommentText">
    <w:name w:val="annotation text"/>
    <w:basedOn w:val="Normal"/>
    <w:link w:val="CommentTextChar"/>
    <w:uiPriority w:val="99"/>
    <w:semiHidden/>
    <w:unhideWhenUsed/>
    <w:rsid w:val="009912E1"/>
    <w:pPr>
      <w:spacing w:line="240" w:lineRule="auto"/>
    </w:pPr>
    <w:rPr>
      <w:sz w:val="20"/>
      <w:szCs w:val="20"/>
    </w:rPr>
  </w:style>
  <w:style w:type="character" w:customStyle="1" w:styleId="CommentTextChar">
    <w:name w:val="Comment Text Char"/>
    <w:basedOn w:val="DefaultParagraphFont"/>
    <w:link w:val="CommentText"/>
    <w:uiPriority w:val="99"/>
    <w:semiHidden/>
    <w:rsid w:val="009912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Lapteanu Gheorghe</dc:creator>
  <cp:keywords/>
  <dc:description/>
  <cp:lastModifiedBy>Paiu Eugenia</cp:lastModifiedBy>
  <cp:revision>5</cp:revision>
  <cp:lastPrinted>2022-07-22T14:10:00Z</cp:lastPrinted>
  <dcterms:created xsi:type="dcterms:W3CDTF">2022-08-10T10:39:00Z</dcterms:created>
  <dcterms:modified xsi:type="dcterms:W3CDTF">2022-08-11T07:02:00Z</dcterms:modified>
</cp:coreProperties>
</file>