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A957C" w14:textId="77777777" w:rsidR="006966B1" w:rsidRPr="00F45A11" w:rsidRDefault="006966B1" w:rsidP="00B548C0">
      <w:pPr>
        <w:spacing w:after="0" w:line="276" w:lineRule="auto"/>
        <w:jc w:val="right"/>
        <w:rPr>
          <w:rFonts w:asciiTheme="majorHAnsi" w:eastAsia="Times New Roman" w:hAnsiTheme="majorHAnsi" w:cstheme="majorHAnsi"/>
          <w:bCs/>
          <w:sz w:val="28"/>
          <w:szCs w:val="28"/>
        </w:rPr>
      </w:pPr>
      <w:bookmarkStart w:id="0" w:name="_GoBack"/>
      <w:bookmarkEnd w:id="0"/>
      <w:r w:rsidRPr="00F45A11">
        <w:rPr>
          <w:rFonts w:asciiTheme="majorHAnsi" w:eastAsia="Times New Roman" w:hAnsiTheme="majorHAnsi" w:cstheme="majorHAnsi"/>
          <w:bCs/>
          <w:sz w:val="28"/>
          <w:szCs w:val="28"/>
        </w:rPr>
        <w:t xml:space="preserve">Anexă </w:t>
      </w:r>
    </w:p>
    <w:p w14:paraId="0C25AF5C" w14:textId="77777777" w:rsidR="006966B1" w:rsidRPr="00F45A11" w:rsidRDefault="006966B1" w:rsidP="00DB2093">
      <w:pPr>
        <w:tabs>
          <w:tab w:val="left" w:pos="720"/>
        </w:tabs>
        <w:spacing w:after="0" w:line="276" w:lineRule="auto"/>
        <w:jc w:val="right"/>
        <w:rPr>
          <w:rFonts w:asciiTheme="majorHAnsi" w:eastAsia="Times New Roman" w:hAnsiTheme="majorHAnsi" w:cstheme="majorHAnsi"/>
          <w:bCs/>
          <w:sz w:val="28"/>
          <w:szCs w:val="28"/>
        </w:rPr>
      </w:pPr>
      <w:r w:rsidRPr="00F45A11">
        <w:rPr>
          <w:rFonts w:asciiTheme="majorHAnsi" w:eastAsia="Times New Roman" w:hAnsiTheme="majorHAnsi" w:cstheme="majorHAnsi"/>
          <w:bCs/>
          <w:sz w:val="28"/>
          <w:szCs w:val="28"/>
        </w:rPr>
        <w:t xml:space="preserve">la Hotărârea Curții de Conturi </w:t>
      </w:r>
    </w:p>
    <w:p w14:paraId="1CC512E6" w14:textId="6DC5971D" w:rsidR="006966B1" w:rsidRPr="00F45A11" w:rsidRDefault="006966B1" w:rsidP="00DB2093">
      <w:pPr>
        <w:tabs>
          <w:tab w:val="left" w:pos="720"/>
        </w:tabs>
        <w:spacing w:after="0" w:line="276" w:lineRule="auto"/>
        <w:jc w:val="right"/>
        <w:rPr>
          <w:rFonts w:asciiTheme="majorHAnsi" w:eastAsia="Times New Roman" w:hAnsiTheme="majorHAnsi" w:cstheme="majorHAnsi"/>
          <w:bCs/>
          <w:sz w:val="28"/>
          <w:szCs w:val="28"/>
        </w:rPr>
      </w:pPr>
      <w:r w:rsidRPr="00F45A11">
        <w:rPr>
          <w:rFonts w:asciiTheme="majorHAnsi" w:eastAsia="Times New Roman" w:hAnsiTheme="majorHAnsi" w:cstheme="majorHAnsi"/>
          <w:bCs/>
          <w:sz w:val="28"/>
          <w:szCs w:val="28"/>
        </w:rPr>
        <w:t>nr.</w:t>
      </w:r>
      <w:r w:rsidR="005B7DDE">
        <w:rPr>
          <w:rFonts w:asciiTheme="majorHAnsi" w:eastAsia="Times New Roman" w:hAnsiTheme="majorHAnsi" w:cstheme="majorHAnsi"/>
          <w:bCs/>
          <w:sz w:val="28"/>
          <w:szCs w:val="28"/>
        </w:rPr>
        <w:t xml:space="preserve">41 </w:t>
      </w:r>
      <w:r w:rsidRPr="00F45A11">
        <w:rPr>
          <w:rFonts w:asciiTheme="majorHAnsi" w:eastAsia="Times New Roman" w:hAnsiTheme="majorHAnsi" w:cstheme="majorHAnsi"/>
          <w:bCs/>
          <w:sz w:val="28"/>
          <w:szCs w:val="28"/>
        </w:rPr>
        <w:t xml:space="preserve">din </w:t>
      </w:r>
      <w:r w:rsidR="00DE2A91" w:rsidRPr="00F45A11">
        <w:rPr>
          <w:rFonts w:asciiTheme="majorHAnsi" w:eastAsia="Times New Roman" w:hAnsiTheme="majorHAnsi" w:cstheme="majorHAnsi"/>
          <w:bCs/>
          <w:sz w:val="28"/>
          <w:szCs w:val="28"/>
        </w:rPr>
        <w:t>2</w:t>
      </w:r>
      <w:r w:rsidR="00DE2A91">
        <w:rPr>
          <w:rFonts w:asciiTheme="majorHAnsi" w:eastAsia="Times New Roman" w:hAnsiTheme="majorHAnsi" w:cstheme="majorHAnsi"/>
          <w:bCs/>
          <w:sz w:val="28"/>
          <w:szCs w:val="28"/>
        </w:rPr>
        <w:t>9</w:t>
      </w:r>
      <w:r w:rsidR="00DE2A91" w:rsidRPr="00F45A11">
        <w:rPr>
          <w:rFonts w:asciiTheme="majorHAnsi" w:eastAsia="Times New Roman" w:hAnsiTheme="majorHAnsi" w:cstheme="majorHAnsi"/>
          <w:bCs/>
          <w:sz w:val="28"/>
          <w:szCs w:val="28"/>
        </w:rPr>
        <w:t xml:space="preserve"> </w:t>
      </w:r>
      <w:r w:rsidRPr="00F45A11">
        <w:rPr>
          <w:rFonts w:asciiTheme="majorHAnsi" w:eastAsia="Times New Roman" w:hAnsiTheme="majorHAnsi" w:cstheme="majorHAnsi"/>
          <w:bCs/>
          <w:sz w:val="28"/>
          <w:szCs w:val="28"/>
        </w:rPr>
        <w:t>iulie 2022</w:t>
      </w:r>
    </w:p>
    <w:p w14:paraId="4F72B70E" w14:textId="77777777" w:rsidR="006966B1" w:rsidRPr="00F45A11" w:rsidRDefault="006966B1" w:rsidP="00DB2093">
      <w:pPr>
        <w:spacing w:after="0" w:line="276" w:lineRule="auto"/>
        <w:rPr>
          <w:rFonts w:asciiTheme="majorHAnsi" w:hAnsiTheme="majorHAnsi" w:cstheme="majorHAnsi"/>
        </w:rPr>
      </w:pPr>
    </w:p>
    <w:p w14:paraId="7EE56215" w14:textId="77777777" w:rsidR="006966B1" w:rsidRPr="00F45A11" w:rsidRDefault="006966B1" w:rsidP="00DB2093">
      <w:pPr>
        <w:spacing w:after="0" w:line="276" w:lineRule="auto"/>
        <w:rPr>
          <w:rFonts w:asciiTheme="majorHAnsi" w:hAnsiTheme="majorHAnsi" w:cstheme="majorHAnsi"/>
        </w:rPr>
      </w:pPr>
    </w:p>
    <w:p w14:paraId="40F0C334" w14:textId="77777777" w:rsidR="006966B1" w:rsidRPr="00F45A11" w:rsidRDefault="006966B1" w:rsidP="00DB2093">
      <w:pPr>
        <w:spacing w:after="0" w:line="276" w:lineRule="auto"/>
        <w:rPr>
          <w:rFonts w:asciiTheme="majorHAnsi" w:hAnsiTheme="majorHAnsi" w:cstheme="majorHAnsi"/>
        </w:rPr>
      </w:pPr>
    </w:p>
    <w:p w14:paraId="6F7D7A3A" w14:textId="77777777" w:rsidR="006966B1" w:rsidRPr="00F45A11" w:rsidRDefault="006966B1" w:rsidP="00DB2093">
      <w:pPr>
        <w:spacing w:after="0" w:line="276" w:lineRule="auto"/>
        <w:rPr>
          <w:rFonts w:asciiTheme="majorHAnsi" w:hAnsiTheme="majorHAnsi" w:cstheme="majorHAnsi"/>
        </w:rPr>
      </w:pPr>
    </w:p>
    <w:p w14:paraId="3BC70931" w14:textId="77777777" w:rsidR="006966B1" w:rsidRPr="00F45A11" w:rsidRDefault="006966B1" w:rsidP="00DB2093">
      <w:pPr>
        <w:spacing w:after="0" w:line="276" w:lineRule="auto"/>
        <w:jc w:val="center"/>
        <w:rPr>
          <w:rFonts w:asciiTheme="majorHAnsi" w:hAnsiTheme="majorHAnsi" w:cstheme="majorHAnsi"/>
          <w:b/>
          <w:sz w:val="28"/>
          <w:szCs w:val="28"/>
        </w:rPr>
      </w:pPr>
    </w:p>
    <w:p w14:paraId="5DB87C08" w14:textId="77777777" w:rsidR="006966B1" w:rsidRPr="00F45A11" w:rsidRDefault="006966B1" w:rsidP="00DB2093">
      <w:pPr>
        <w:spacing w:after="0" w:line="276" w:lineRule="auto"/>
        <w:rPr>
          <w:rFonts w:asciiTheme="majorHAnsi" w:hAnsiTheme="majorHAnsi" w:cstheme="majorHAnsi"/>
          <w:b/>
          <w:sz w:val="28"/>
          <w:szCs w:val="28"/>
        </w:rPr>
      </w:pPr>
      <w:r w:rsidRPr="00F45A11">
        <w:rPr>
          <w:rFonts w:asciiTheme="majorHAnsi" w:hAnsiTheme="majorHAnsi" w:cstheme="majorHAnsi"/>
          <w:b/>
          <w:noProof/>
          <w:sz w:val="28"/>
          <w:szCs w:val="28"/>
          <w:lang w:val="ru-RU" w:eastAsia="ru-RU"/>
        </w:rPr>
        <w:drawing>
          <wp:anchor distT="0" distB="0" distL="114300" distR="114300" simplePos="0" relativeHeight="251659264" behindDoc="0" locked="0" layoutInCell="1" allowOverlap="1" wp14:anchorId="6FE2CD1C" wp14:editId="6AE3944B">
            <wp:simplePos x="0" y="0"/>
            <wp:positionH relativeFrom="column">
              <wp:posOffset>2278380</wp:posOffset>
            </wp:positionH>
            <wp:positionV relativeFrom="paragraph">
              <wp:posOffset>106824</wp:posOffset>
            </wp:positionV>
            <wp:extent cx="1037492" cy="1041795"/>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7492" cy="1041795"/>
                    </a:xfrm>
                    <a:prstGeom prst="rect">
                      <a:avLst/>
                    </a:prstGeom>
                    <a:noFill/>
                  </pic:spPr>
                </pic:pic>
              </a:graphicData>
            </a:graphic>
          </wp:anchor>
        </w:drawing>
      </w:r>
      <w:r w:rsidRPr="00F45A11">
        <w:rPr>
          <w:rFonts w:asciiTheme="majorHAnsi" w:hAnsiTheme="majorHAnsi" w:cstheme="majorHAnsi"/>
          <w:b/>
          <w:sz w:val="28"/>
          <w:szCs w:val="28"/>
        </w:rPr>
        <w:br w:type="textWrapping" w:clear="all"/>
      </w:r>
    </w:p>
    <w:p w14:paraId="097B39F1" w14:textId="77777777" w:rsidR="006966B1" w:rsidRPr="00F45A11" w:rsidRDefault="006966B1" w:rsidP="00DB2093">
      <w:pPr>
        <w:spacing w:after="0" w:line="276" w:lineRule="auto"/>
        <w:jc w:val="center"/>
        <w:rPr>
          <w:rFonts w:asciiTheme="majorHAnsi" w:hAnsiTheme="majorHAnsi" w:cstheme="majorHAnsi"/>
          <w:b/>
          <w:sz w:val="28"/>
          <w:szCs w:val="28"/>
        </w:rPr>
      </w:pPr>
    </w:p>
    <w:p w14:paraId="576A8FC4" w14:textId="77777777" w:rsidR="006966B1" w:rsidRPr="00F45A11" w:rsidRDefault="006966B1" w:rsidP="00DB2093">
      <w:pPr>
        <w:spacing w:after="0" w:line="276" w:lineRule="auto"/>
        <w:jc w:val="center"/>
        <w:rPr>
          <w:rFonts w:asciiTheme="majorHAnsi" w:hAnsiTheme="majorHAnsi" w:cstheme="majorHAnsi"/>
          <w:b/>
          <w:sz w:val="28"/>
          <w:szCs w:val="28"/>
        </w:rPr>
      </w:pPr>
    </w:p>
    <w:p w14:paraId="2E1A3B67" w14:textId="77777777" w:rsidR="006966B1" w:rsidRPr="00F45A11" w:rsidRDefault="006966B1" w:rsidP="00DB2093">
      <w:pPr>
        <w:spacing w:after="0" w:line="276" w:lineRule="auto"/>
        <w:jc w:val="center"/>
        <w:rPr>
          <w:rFonts w:asciiTheme="majorHAnsi" w:hAnsiTheme="majorHAnsi" w:cstheme="majorHAnsi"/>
          <w:b/>
          <w:sz w:val="28"/>
          <w:szCs w:val="28"/>
        </w:rPr>
      </w:pPr>
    </w:p>
    <w:p w14:paraId="3F65B928" w14:textId="77777777" w:rsidR="006966B1" w:rsidRPr="00F45A11" w:rsidRDefault="006966B1" w:rsidP="00DB2093">
      <w:pPr>
        <w:spacing w:after="0" w:line="276" w:lineRule="auto"/>
        <w:jc w:val="center"/>
        <w:rPr>
          <w:rFonts w:asciiTheme="majorHAnsi" w:hAnsiTheme="majorHAnsi" w:cstheme="majorHAnsi"/>
          <w:b/>
          <w:sz w:val="28"/>
          <w:szCs w:val="28"/>
        </w:rPr>
      </w:pPr>
      <w:r w:rsidRPr="00F45A11">
        <w:rPr>
          <w:rFonts w:asciiTheme="majorHAnsi" w:hAnsiTheme="majorHAnsi" w:cstheme="majorHAnsi"/>
          <w:b/>
          <w:sz w:val="28"/>
          <w:szCs w:val="28"/>
        </w:rPr>
        <w:t>CURTEA DE CONTURI A REPUBLICII MOLDOVA</w:t>
      </w:r>
    </w:p>
    <w:tbl>
      <w:tblPr>
        <w:tblStyle w:val="ae"/>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966B1" w:rsidRPr="00F45A11" w14:paraId="2445E962" w14:textId="77777777" w:rsidTr="00437AB2">
        <w:trPr>
          <w:trHeight w:val="435"/>
        </w:trPr>
        <w:tc>
          <w:tcPr>
            <w:tcW w:w="9026" w:type="dxa"/>
          </w:tcPr>
          <w:p w14:paraId="3C7D0C19" w14:textId="77777777" w:rsidR="006966B1" w:rsidRPr="00F42E6E" w:rsidRDefault="006966B1" w:rsidP="00DB2093">
            <w:pPr>
              <w:tabs>
                <w:tab w:val="left" w:pos="0"/>
              </w:tabs>
              <w:spacing w:line="276" w:lineRule="auto"/>
              <w:jc w:val="center"/>
              <w:rPr>
                <w:rFonts w:asciiTheme="majorHAnsi" w:hAnsiTheme="majorHAnsi" w:cstheme="majorHAnsi"/>
                <w:b/>
                <w:sz w:val="28"/>
                <w:szCs w:val="28"/>
              </w:rPr>
            </w:pPr>
            <w:r w:rsidRPr="00F42E6E">
              <w:rPr>
                <w:rFonts w:asciiTheme="majorHAnsi" w:hAnsiTheme="majorHAnsi" w:cstheme="majorHAnsi"/>
                <w:sz w:val="28"/>
                <w:szCs w:val="28"/>
              </w:rPr>
              <w:t xml:space="preserve">MD-2001, mun. Chișinău, bd. Ștefan cel Mare și Sfânt nr.69, tel. (+373 22) 26 60 02, fax: (+373 22) 26 61 00, web: </w:t>
            </w:r>
            <w:hyperlink r:id="rId9" w:history="1">
              <w:r w:rsidRPr="00F42E6E">
                <w:rPr>
                  <w:rStyle w:val="af"/>
                  <w:rFonts w:asciiTheme="majorHAnsi" w:hAnsiTheme="majorHAnsi" w:cstheme="majorHAnsi"/>
                  <w:sz w:val="28"/>
                  <w:szCs w:val="28"/>
                </w:rPr>
                <w:t>www.ccrm.md</w:t>
              </w:r>
            </w:hyperlink>
            <w:r w:rsidRPr="00F42E6E">
              <w:rPr>
                <w:rFonts w:asciiTheme="majorHAnsi" w:hAnsiTheme="majorHAnsi" w:cstheme="majorHAnsi"/>
                <w:sz w:val="28"/>
                <w:szCs w:val="28"/>
              </w:rPr>
              <w:t xml:space="preserve">, e-mail: </w:t>
            </w:r>
            <w:hyperlink r:id="rId10" w:history="1">
              <w:r w:rsidRPr="00F42E6E">
                <w:rPr>
                  <w:rStyle w:val="af"/>
                  <w:rFonts w:asciiTheme="majorHAnsi" w:hAnsiTheme="majorHAnsi" w:cstheme="majorHAnsi"/>
                  <w:sz w:val="28"/>
                  <w:szCs w:val="28"/>
                </w:rPr>
                <w:t>ccrm@ccrm.md</w:t>
              </w:r>
            </w:hyperlink>
          </w:p>
        </w:tc>
      </w:tr>
    </w:tbl>
    <w:p w14:paraId="29172753" w14:textId="77777777" w:rsidR="006966B1" w:rsidRPr="006E5CDC" w:rsidRDefault="006966B1" w:rsidP="00DB2093">
      <w:pPr>
        <w:tabs>
          <w:tab w:val="left" w:pos="720"/>
        </w:tabs>
        <w:spacing w:after="0" w:line="276" w:lineRule="auto"/>
        <w:jc w:val="right"/>
        <w:rPr>
          <w:rFonts w:asciiTheme="majorHAnsi" w:eastAsia="Times New Roman" w:hAnsiTheme="majorHAnsi" w:cstheme="majorHAnsi"/>
          <w:b/>
          <w:bCs/>
          <w:sz w:val="24"/>
          <w:szCs w:val="24"/>
        </w:rPr>
      </w:pPr>
    </w:p>
    <w:p w14:paraId="784C6301" w14:textId="77777777" w:rsidR="006966B1" w:rsidRPr="00DA4A56" w:rsidRDefault="006966B1" w:rsidP="00DB2093">
      <w:pPr>
        <w:tabs>
          <w:tab w:val="left" w:pos="720"/>
        </w:tabs>
        <w:spacing w:after="0" w:line="276" w:lineRule="auto"/>
        <w:jc w:val="right"/>
        <w:rPr>
          <w:rFonts w:asciiTheme="majorHAnsi" w:eastAsia="Times New Roman" w:hAnsiTheme="majorHAnsi" w:cstheme="majorHAnsi"/>
          <w:b/>
          <w:bCs/>
          <w:sz w:val="24"/>
          <w:szCs w:val="24"/>
        </w:rPr>
      </w:pPr>
    </w:p>
    <w:p w14:paraId="257F24FC" w14:textId="77777777" w:rsidR="006966B1" w:rsidRPr="00DA4A56" w:rsidRDefault="006966B1" w:rsidP="00DB2093">
      <w:pPr>
        <w:tabs>
          <w:tab w:val="left" w:pos="720"/>
        </w:tabs>
        <w:spacing w:after="0" w:line="276" w:lineRule="auto"/>
        <w:ind w:firstLine="720"/>
        <w:jc w:val="center"/>
        <w:rPr>
          <w:rFonts w:asciiTheme="majorHAnsi" w:eastAsia="Times New Roman" w:hAnsiTheme="majorHAnsi" w:cstheme="majorHAnsi"/>
          <w:b/>
          <w:bCs/>
          <w:sz w:val="32"/>
          <w:szCs w:val="32"/>
        </w:rPr>
      </w:pPr>
    </w:p>
    <w:p w14:paraId="19BAA8B2" w14:textId="77777777" w:rsidR="006966B1" w:rsidRPr="00DA4A56" w:rsidRDefault="006966B1" w:rsidP="00DB2093">
      <w:pPr>
        <w:tabs>
          <w:tab w:val="left" w:pos="720"/>
        </w:tabs>
        <w:spacing w:after="0" w:line="276" w:lineRule="auto"/>
        <w:ind w:firstLine="720"/>
        <w:jc w:val="center"/>
        <w:rPr>
          <w:rFonts w:asciiTheme="majorHAnsi" w:eastAsia="Times New Roman" w:hAnsiTheme="majorHAnsi" w:cstheme="majorHAnsi"/>
          <w:b/>
          <w:bCs/>
          <w:sz w:val="32"/>
          <w:szCs w:val="32"/>
        </w:rPr>
      </w:pPr>
    </w:p>
    <w:p w14:paraId="28E683A4" w14:textId="77777777" w:rsidR="006966B1" w:rsidRPr="00DA4A56" w:rsidRDefault="006966B1" w:rsidP="00DB2093">
      <w:pPr>
        <w:spacing w:after="0" w:line="276" w:lineRule="auto"/>
        <w:jc w:val="center"/>
        <w:rPr>
          <w:rFonts w:asciiTheme="majorHAnsi" w:eastAsia="Times New Roman" w:hAnsiTheme="majorHAnsi" w:cstheme="majorHAnsi"/>
          <w:b/>
          <w:bCs/>
          <w:sz w:val="28"/>
          <w:szCs w:val="28"/>
        </w:rPr>
      </w:pPr>
      <w:r w:rsidRPr="00DA4A56">
        <w:rPr>
          <w:rFonts w:asciiTheme="majorHAnsi" w:eastAsia="Times New Roman" w:hAnsiTheme="majorHAnsi" w:cstheme="majorHAnsi"/>
          <w:b/>
          <w:bCs/>
          <w:sz w:val="28"/>
          <w:szCs w:val="28"/>
        </w:rPr>
        <w:t xml:space="preserve">RAPORTUL </w:t>
      </w:r>
    </w:p>
    <w:p w14:paraId="2E54EF4A" w14:textId="78BE5C9B" w:rsidR="006966B1" w:rsidRPr="00F42E6E" w:rsidRDefault="006966B1" w:rsidP="00DB2093">
      <w:pPr>
        <w:spacing w:after="0" w:line="276" w:lineRule="auto"/>
        <w:jc w:val="center"/>
        <w:rPr>
          <w:rFonts w:asciiTheme="majorHAnsi" w:eastAsia="Times New Roman" w:hAnsiTheme="majorHAnsi" w:cstheme="majorHAnsi"/>
          <w:b/>
          <w:bCs/>
          <w:sz w:val="28"/>
          <w:szCs w:val="28"/>
        </w:rPr>
      </w:pPr>
      <w:r w:rsidRPr="00F42E6E">
        <w:rPr>
          <w:rFonts w:asciiTheme="majorHAnsi" w:eastAsia="Times New Roman" w:hAnsiTheme="majorHAnsi" w:cstheme="majorHAnsi"/>
          <w:b/>
          <w:bCs/>
          <w:sz w:val="28"/>
          <w:szCs w:val="28"/>
        </w:rPr>
        <w:t>auditului asupra rapoartelor financiare consolidate ale Ministerului</w:t>
      </w:r>
      <w:r w:rsidR="00F7528F" w:rsidRPr="00F42E6E">
        <w:rPr>
          <w:rFonts w:asciiTheme="majorHAnsi" w:eastAsia="Times New Roman" w:hAnsiTheme="majorHAnsi" w:cstheme="majorHAnsi"/>
          <w:b/>
          <w:bCs/>
          <w:sz w:val="28"/>
          <w:szCs w:val="28"/>
        </w:rPr>
        <w:t xml:space="preserve"> Educației </w:t>
      </w:r>
      <w:r w:rsidRPr="00F42E6E">
        <w:rPr>
          <w:rFonts w:asciiTheme="majorHAnsi" w:eastAsia="Times New Roman" w:hAnsiTheme="majorHAnsi" w:cstheme="majorHAnsi"/>
          <w:b/>
          <w:bCs/>
          <w:sz w:val="28"/>
          <w:szCs w:val="28"/>
        </w:rPr>
        <w:t xml:space="preserve">și Cercetării </w:t>
      </w:r>
      <w:r w:rsidR="00483EFF" w:rsidRPr="00F42E6E">
        <w:rPr>
          <w:rFonts w:asciiTheme="majorHAnsi" w:eastAsia="Times New Roman" w:hAnsiTheme="majorHAnsi" w:cstheme="majorHAnsi"/>
          <w:b/>
          <w:bCs/>
          <w:sz w:val="28"/>
          <w:szCs w:val="28"/>
        </w:rPr>
        <w:t xml:space="preserve">încheiate </w:t>
      </w:r>
      <w:r w:rsidRPr="00F42E6E">
        <w:rPr>
          <w:rFonts w:asciiTheme="majorHAnsi" w:eastAsia="Times New Roman" w:hAnsiTheme="majorHAnsi" w:cstheme="majorHAnsi"/>
          <w:b/>
          <w:bCs/>
          <w:sz w:val="28"/>
          <w:szCs w:val="28"/>
        </w:rPr>
        <w:t>la 31 decembrie 2021</w:t>
      </w:r>
    </w:p>
    <w:p w14:paraId="0B6CB304" w14:textId="77777777" w:rsidR="006966B1" w:rsidRPr="00483EFF" w:rsidRDefault="006966B1" w:rsidP="00DB2093">
      <w:pPr>
        <w:spacing w:line="276" w:lineRule="auto"/>
        <w:rPr>
          <w:rFonts w:asciiTheme="majorHAnsi" w:eastAsia="Times New Roman" w:hAnsiTheme="majorHAnsi" w:cstheme="majorHAnsi"/>
          <w:b/>
          <w:bCs/>
          <w:sz w:val="32"/>
          <w:szCs w:val="32"/>
        </w:rPr>
      </w:pPr>
      <w:r w:rsidRPr="00483EFF">
        <w:rPr>
          <w:rFonts w:asciiTheme="majorHAnsi" w:eastAsia="Times New Roman" w:hAnsiTheme="majorHAnsi" w:cstheme="majorHAnsi"/>
          <w:b/>
          <w:bCs/>
          <w:sz w:val="32"/>
          <w:szCs w:val="32"/>
        </w:rPr>
        <w:br w:type="page"/>
      </w:r>
    </w:p>
    <w:p w14:paraId="641C5EB7" w14:textId="62907BA4" w:rsidR="00F718EC" w:rsidRPr="00F34E9D" w:rsidRDefault="00F718EC" w:rsidP="00A75ED2">
      <w:pPr>
        <w:numPr>
          <w:ilvl w:val="0"/>
          <w:numId w:val="2"/>
        </w:numPr>
        <w:tabs>
          <w:tab w:val="left" w:pos="720"/>
        </w:tabs>
        <w:spacing w:after="0" w:line="276" w:lineRule="auto"/>
        <w:ind w:hanging="1080"/>
        <w:contextualSpacing/>
        <w:jc w:val="both"/>
        <w:rPr>
          <w:rFonts w:asciiTheme="majorHAnsi" w:eastAsia="Times New Roman" w:hAnsiTheme="majorHAnsi" w:cstheme="majorHAnsi"/>
          <w:b/>
          <w:i/>
          <w:color w:val="0D0D0D" w:themeColor="text1" w:themeTint="F2"/>
          <w:sz w:val="24"/>
          <w:szCs w:val="24"/>
        </w:rPr>
      </w:pPr>
      <w:r w:rsidRPr="00F34E9D">
        <w:rPr>
          <w:rFonts w:asciiTheme="majorHAnsi" w:hAnsiTheme="majorHAnsi" w:cstheme="majorHAnsi"/>
          <w:b/>
          <w:bCs/>
          <w:color w:val="0D0D0D" w:themeColor="text1" w:themeTint="F2"/>
          <w:sz w:val="24"/>
          <w:szCs w:val="24"/>
        </w:rPr>
        <w:lastRenderedPageBreak/>
        <w:t xml:space="preserve">OPINIE </w:t>
      </w:r>
      <w:r w:rsidR="00DA31F7" w:rsidRPr="00F34E9D">
        <w:rPr>
          <w:rFonts w:asciiTheme="majorHAnsi" w:hAnsiTheme="majorHAnsi" w:cstheme="majorHAnsi"/>
          <w:b/>
          <w:bCs/>
          <w:color w:val="0D0D0D" w:themeColor="text1" w:themeTint="F2"/>
          <w:sz w:val="24"/>
          <w:szCs w:val="24"/>
        </w:rPr>
        <w:t>CONTRARĂ</w:t>
      </w:r>
    </w:p>
    <w:p w14:paraId="0EDE4B48" w14:textId="77777777" w:rsidR="00DA31F7" w:rsidRPr="00F34E9D" w:rsidRDefault="006966B1" w:rsidP="00A75ED2">
      <w:pPr>
        <w:pStyle w:val="a8"/>
        <w:spacing w:before="0" w:beforeAutospacing="0" w:after="0" w:afterAutospacing="0" w:line="276" w:lineRule="auto"/>
        <w:jc w:val="both"/>
        <w:rPr>
          <w:rFonts w:asciiTheme="majorHAnsi" w:hAnsiTheme="majorHAnsi" w:cstheme="majorHAnsi"/>
          <w:color w:val="0D0D0D" w:themeColor="text1" w:themeTint="F2"/>
          <w:lang w:val="ro-MD"/>
        </w:rPr>
      </w:pPr>
      <w:r w:rsidRPr="00F34E9D">
        <w:rPr>
          <w:rFonts w:asciiTheme="majorHAnsi" w:hAnsiTheme="majorHAnsi" w:cstheme="majorHAnsi"/>
          <w:color w:val="0D0D0D" w:themeColor="text1" w:themeTint="F2"/>
          <w:lang w:val="ro-MD"/>
        </w:rPr>
        <w:t>Am auditat rapoartele financiare consolidate ale Ministerului Educației și Cercetării pentru exercițiul bugetar încheiat la 31 decembrie 2021, care cuprind Bilanțul contabil, Raportul privind veniturile și cheltuielile, Raportul privind fluxul mijloacelor bănești, Raportul privind executarea bugetului, Raportul narativ privind executarea bugetului, inclusiv un sumar al politicilor contabile semnificative.</w:t>
      </w:r>
      <w:r w:rsidR="009A1E1B" w:rsidRPr="00F34E9D">
        <w:rPr>
          <w:rFonts w:asciiTheme="majorHAnsi" w:hAnsiTheme="majorHAnsi" w:cstheme="majorHAnsi"/>
          <w:color w:val="0D0D0D" w:themeColor="text1" w:themeTint="F2"/>
          <w:lang w:val="ro-MD"/>
        </w:rPr>
        <w:t xml:space="preserve"> </w:t>
      </w:r>
    </w:p>
    <w:p w14:paraId="3F8E5DA1" w14:textId="53EEE544" w:rsidR="00DA31F7" w:rsidRPr="00F34E9D" w:rsidRDefault="00DA31F7" w:rsidP="00A75ED2">
      <w:pPr>
        <w:pStyle w:val="a8"/>
        <w:spacing w:before="0" w:beforeAutospacing="0" w:after="0" w:afterAutospacing="0" w:line="276" w:lineRule="auto"/>
        <w:rPr>
          <w:rFonts w:asciiTheme="majorHAnsi" w:hAnsiTheme="majorHAnsi" w:cstheme="majorHAnsi"/>
          <w:color w:val="0D0D0D" w:themeColor="text1" w:themeTint="F2"/>
          <w:lang w:val="ro-MD"/>
        </w:rPr>
      </w:pPr>
      <w:r w:rsidRPr="00F34E9D">
        <w:rPr>
          <w:rFonts w:asciiTheme="majorHAnsi" w:hAnsiTheme="majorHAnsi"/>
          <w:color w:val="0D0D0D" w:themeColor="text1" w:themeTint="F2"/>
          <w:lang w:val="ro-MD"/>
        </w:rPr>
        <w:t>În opinia noastră</w:t>
      </w:r>
      <w:r w:rsidRPr="00F34E9D">
        <w:rPr>
          <w:rFonts w:asciiTheme="majorHAnsi" w:hAnsiTheme="majorHAnsi" w:cstheme="minorHAnsi"/>
          <w:color w:val="0D0D0D" w:themeColor="text1" w:themeTint="F2"/>
          <w:lang w:val="ro-MD"/>
        </w:rPr>
        <w:t>,</w:t>
      </w:r>
      <w:r w:rsidRPr="00F34E9D">
        <w:rPr>
          <w:color w:val="0D0D0D" w:themeColor="text1" w:themeTint="F2"/>
          <w:lang w:val="ro-MD"/>
        </w:rPr>
        <w:t xml:space="preserve"> </w:t>
      </w:r>
      <w:r w:rsidRPr="00F34E9D">
        <w:rPr>
          <w:rFonts w:asciiTheme="majorHAnsi" w:hAnsiTheme="majorHAnsi" w:cstheme="minorHAnsi"/>
          <w:color w:val="0D0D0D" w:themeColor="text1" w:themeTint="F2"/>
          <w:lang w:val="ro-MD"/>
        </w:rPr>
        <w:t xml:space="preserve">ținând cont de semnificația aspectelor descrise în secțiunea </w:t>
      </w:r>
      <w:r w:rsidRPr="00F34E9D">
        <w:rPr>
          <w:rFonts w:asciiTheme="majorHAnsi" w:hAnsiTheme="majorHAnsi" w:cstheme="minorHAnsi"/>
          <w:i/>
          <w:color w:val="0D0D0D" w:themeColor="text1" w:themeTint="F2"/>
          <w:lang w:val="ro-MD"/>
        </w:rPr>
        <w:t>Baza pentru opinia contrară</w:t>
      </w:r>
      <w:r w:rsidRPr="00F34E9D">
        <w:rPr>
          <w:rFonts w:asciiTheme="majorHAnsi" w:hAnsiTheme="majorHAnsi" w:cstheme="minorHAnsi"/>
          <w:color w:val="0D0D0D" w:themeColor="text1" w:themeTint="F2"/>
          <w:lang w:val="ro-MD"/>
        </w:rPr>
        <w:t>, rapoartele financiare</w:t>
      </w:r>
      <w:r w:rsidRPr="00F34E9D">
        <w:rPr>
          <w:color w:val="0D0D0D" w:themeColor="text1" w:themeTint="F2"/>
          <w:lang w:val="ro-MD"/>
        </w:rPr>
        <w:t xml:space="preserve"> </w:t>
      </w:r>
      <w:r w:rsidRPr="00F34E9D">
        <w:rPr>
          <w:rFonts w:asciiTheme="majorHAnsi" w:hAnsiTheme="majorHAnsi" w:cstheme="minorHAnsi"/>
          <w:b/>
          <w:i/>
          <w:color w:val="0D0D0D" w:themeColor="text1" w:themeTint="F2"/>
          <w:lang w:val="ro-MD"/>
        </w:rPr>
        <w:t>nu prezintă o imagine corectă</w:t>
      </w:r>
      <w:r w:rsidRPr="00F34E9D">
        <w:rPr>
          <w:b/>
          <w:i/>
          <w:color w:val="0D0D0D" w:themeColor="text1" w:themeTint="F2"/>
          <w:lang w:val="ro-MD"/>
        </w:rPr>
        <w:t xml:space="preserve"> </w:t>
      </w:r>
      <w:r w:rsidRPr="00F34E9D">
        <w:rPr>
          <w:rFonts w:asciiTheme="majorHAnsi" w:hAnsiTheme="majorHAnsi" w:cstheme="minorHAnsi"/>
          <w:b/>
          <w:i/>
          <w:color w:val="0D0D0D" w:themeColor="text1" w:themeTint="F2"/>
          <w:lang w:val="ro-MD"/>
        </w:rPr>
        <w:t>și fidelă</w:t>
      </w:r>
      <w:r w:rsidRPr="00F34E9D">
        <w:rPr>
          <w:rFonts w:asciiTheme="majorHAnsi" w:hAnsiTheme="majorHAnsi" w:cstheme="minorHAnsi"/>
          <w:color w:val="0D0D0D" w:themeColor="text1" w:themeTint="F2"/>
          <w:lang w:val="ro-MD"/>
        </w:rPr>
        <w:t xml:space="preserve"> în conformitate </w:t>
      </w:r>
      <w:r w:rsidRPr="00F34E9D">
        <w:rPr>
          <w:rFonts w:asciiTheme="majorHAnsi" w:hAnsiTheme="majorHAnsi" w:cstheme="majorHAnsi"/>
          <w:color w:val="0D0D0D" w:themeColor="text1" w:themeTint="F2"/>
          <w:lang w:val="ro-MD"/>
        </w:rPr>
        <w:t>cu cadrul de raportare financiară aplicabil</w:t>
      </w:r>
      <w:r w:rsidRPr="00F34E9D">
        <w:rPr>
          <w:rStyle w:val="a7"/>
          <w:rFonts w:asciiTheme="majorHAnsi" w:hAnsiTheme="majorHAnsi" w:cstheme="majorHAnsi"/>
          <w:color w:val="0D0D0D" w:themeColor="text1" w:themeTint="F2"/>
          <w:lang w:val="ro-MD"/>
        </w:rPr>
        <w:footnoteReference w:id="1"/>
      </w:r>
      <w:r w:rsidRPr="00F34E9D">
        <w:rPr>
          <w:rFonts w:asciiTheme="majorHAnsi" w:hAnsiTheme="majorHAnsi" w:cstheme="majorHAnsi"/>
          <w:color w:val="0D0D0D" w:themeColor="text1" w:themeTint="F2"/>
          <w:lang w:val="ro-MD"/>
        </w:rPr>
        <w:t>.</w:t>
      </w:r>
    </w:p>
    <w:p w14:paraId="53AAAD86" w14:textId="77777777" w:rsidR="00DA31F7" w:rsidRPr="00F34E9D" w:rsidRDefault="00DA31F7" w:rsidP="00A75ED2">
      <w:pPr>
        <w:pStyle w:val="a8"/>
        <w:spacing w:before="0" w:beforeAutospacing="0" w:after="0" w:afterAutospacing="0" w:line="276" w:lineRule="auto"/>
        <w:rPr>
          <w:rFonts w:asciiTheme="majorHAnsi" w:hAnsiTheme="majorHAnsi" w:cstheme="majorHAnsi"/>
          <w:color w:val="0D0D0D" w:themeColor="text1" w:themeTint="F2"/>
          <w:sz w:val="16"/>
          <w:szCs w:val="16"/>
          <w:lang w:val="ro-MD"/>
        </w:rPr>
      </w:pPr>
    </w:p>
    <w:p w14:paraId="55CFC4D2" w14:textId="77777777" w:rsidR="00DA31F7" w:rsidRPr="00F34E9D" w:rsidRDefault="00DA31F7" w:rsidP="00A8666C">
      <w:pPr>
        <w:pStyle w:val="a3"/>
        <w:keepNext/>
        <w:keepLines/>
        <w:numPr>
          <w:ilvl w:val="0"/>
          <w:numId w:val="35"/>
        </w:numPr>
        <w:spacing w:after="0" w:line="276" w:lineRule="auto"/>
        <w:ind w:left="0" w:firstLine="0"/>
        <w:outlineLvl w:val="0"/>
        <w:rPr>
          <w:rFonts w:asciiTheme="majorHAnsi" w:eastAsiaTheme="majorEastAsia" w:hAnsiTheme="majorHAnsi" w:cstheme="majorHAnsi"/>
          <w:b/>
          <w:color w:val="0D0D0D" w:themeColor="text1" w:themeTint="F2"/>
          <w:sz w:val="24"/>
          <w:szCs w:val="24"/>
        </w:rPr>
      </w:pPr>
      <w:bookmarkStart w:id="1" w:name="_Toc529544630"/>
      <w:r w:rsidRPr="00F34E9D">
        <w:rPr>
          <w:rFonts w:asciiTheme="majorHAnsi" w:eastAsiaTheme="majorEastAsia" w:hAnsiTheme="majorHAnsi" w:cstheme="majorHAnsi"/>
          <w:b/>
          <w:color w:val="0D0D0D" w:themeColor="text1" w:themeTint="F2"/>
          <w:sz w:val="24"/>
          <w:szCs w:val="24"/>
        </w:rPr>
        <w:t>BAZA PENTRU OPINIA CONTRARĂ</w:t>
      </w:r>
      <w:bookmarkEnd w:id="1"/>
    </w:p>
    <w:p w14:paraId="1A4A1819" w14:textId="30AD1DBA" w:rsidR="000F56A4" w:rsidRPr="00F34E9D" w:rsidRDefault="0096689C" w:rsidP="00F42E6E">
      <w:pPr>
        <w:pStyle w:val="a5"/>
        <w:spacing w:line="276" w:lineRule="auto"/>
        <w:jc w:val="both"/>
        <w:rPr>
          <w:color w:val="0D0D0D" w:themeColor="text1" w:themeTint="F2"/>
        </w:rPr>
      </w:pPr>
      <w:r w:rsidRPr="00F34E9D">
        <w:rPr>
          <w:rFonts w:asciiTheme="majorHAnsi" w:eastAsia="Times New Roman" w:hAnsiTheme="majorHAnsi" w:cstheme="majorHAnsi"/>
          <w:b/>
          <w:bCs/>
          <w:i/>
          <w:iCs/>
          <w:color w:val="0D0D0D" w:themeColor="text1" w:themeTint="F2"/>
          <w:sz w:val="24"/>
          <w:szCs w:val="24"/>
          <w:lang w:val="ro-RO"/>
        </w:rPr>
        <w:t>2.</w:t>
      </w:r>
      <w:r w:rsidR="0013026B" w:rsidRPr="00F34E9D">
        <w:rPr>
          <w:rFonts w:asciiTheme="majorHAnsi" w:eastAsia="Times New Roman" w:hAnsiTheme="majorHAnsi" w:cstheme="majorHAnsi"/>
          <w:b/>
          <w:bCs/>
          <w:i/>
          <w:iCs/>
          <w:color w:val="0D0D0D" w:themeColor="text1" w:themeTint="F2"/>
          <w:sz w:val="24"/>
          <w:szCs w:val="24"/>
          <w:lang w:val="ro-RO"/>
        </w:rPr>
        <w:t>1</w:t>
      </w:r>
      <w:r w:rsidRPr="00F34E9D">
        <w:rPr>
          <w:rFonts w:asciiTheme="majorHAnsi" w:eastAsia="Times New Roman" w:hAnsiTheme="majorHAnsi" w:cstheme="majorHAnsi"/>
          <w:b/>
          <w:bCs/>
          <w:i/>
          <w:iCs/>
          <w:color w:val="0D0D0D" w:themeColor="text1" w:themeTint="F2"/>
          <w:sz w:val="24"/>
          <w:szCs w:val="24"/>
          <w:lang w:val="ro-RO"/>
        </w:rPr>
        <w:t>.</w:t>
      </w:r>
      <w:r w:rsidRPr="00F34E9D">
        <w:rPr>
          <w:rFonts w:asciiTheme="majorHAnsi" w:eastAsia="Times New Roman" w:hAnsiTheme="majorHAnsi" w:cstheme="majorHAnsi"/>
          <w:bCs/>
          <w:i/>
          <w:iCs/>
          <w:color w:val="0D0D0D" w:themeColor="text1" w:themeTint="F2"/>
          <w:sz w:val="24"/>
          <w:szCs w:val="24"/>
          <w:lang w:val="ro-RO"/>
        </w:rPr>
        <w:t xml:space="preserve"> Diminuarea valorii </w:t>
      </w:r>
      <w:r w:rsidRPr="00F34E9D">
        <w:rPr>
          <w:rFonts w:asciiTheme="majorHAnsi" w:hAnsiTheme="majorHAnsi" w:cstheme="majorHAnsi"/>
          <w:i/>
          <w:color w:val="0D0D0D" w:themeColor="text1" w:themeTint="F2"/>
          <w:sz w:val="24"/>
          <w:szCs w:val="24"/>
          <w:lang w:val="ro-RO"/>
        </w:rPr>
        <w:t>contului 371 „T</w:t>
      </w:r>
      <w:r w:rsidRPr="00F34E9D">
        <w:rPr>
          <w:rFonts w:asciiTheme="majorHAnsi" w:eastAsia="Times New Roman" w:hAnsiTheme="majorHAnsi" w:cstheme="majorHAnsi"/>
          <w:bCs/>
          <w:i/>
          <w:iCs/>
          <w:color w:val="0D0D0D" w:themeColor="text1" w:themeTint="F2"/>
          <w:sz w:val="24"/>
          <w:szCs w:val="24"/>
          <w:lang w:val="ro-RO"/>
        </w:rPr>
        <w:t xml:space="preserve">erenuri” cu </w:t>
      </w:r>
      <w:r w:rsidRPr="00F34E9D">
        <w:rPr>
          <w:rFonts w:asciiTheme="majorHAnsi" w:eastAsia="Times New Roman" w:hAnsiTheme="majorHAnsi" w:cstheme="majorHAnsi"/>
          <w:b/>
          <w:bCs/>
          <w:i/>
          <w:iCs/>
          <w:color w:val="0D0D0D" w:themeColor="text1" w:themeTint="F2"/>
          <w:sz w:val="24"/>
          <w:szCs w:val="24"/>
          <w:lang w:val="ro-RO"/>
        </w:rPr>
        <w:t>361,5 mil.lei</w:t>
      </w:r>
      <w:r w:rsidRPr="00F34E9D">
        <w:rPr>
          <w:rFonts w:asciiTheme="majorHAnsi" w:eastAsia="Times New Roman" w:hAnsiTheme="majorHAnsi" w:cstheme="majorHAnsi"/>
          <w:bCs/>
          <w:i/>
          <w:iCs/>
          <w:color w:val="0D0D0D" w:themeColor="text1" w:themeTint="F2"/>
          <w:sz w:val="24"/>
          <w:szCs w:val="24"/>
          <w:lang w:val="ro-RO"/>
        </w:rPr>
        <w:t xml:space="preserve">, </w:t>
      </w:r>
      <w:r w:rsidR="00483EFF" w:rsidRPr="00F34E9D">
        <w:rPr>
          <w:rFonts w:asciiTheme="majorHAnsi" w:eastAsia="Times New Roman" w:hAnsiTheme="majorHAnsi" w:cstheme="majorHAnsi"/>
          <w:bCs/>
          <w:i/>
          <w:iCs/>
          <w:color w:val="0D0D0D" w:themeColor="text1" w:themeTint="F2"/>
          <w:sz w:val="24"/>
          <w:szCs w:val="24"/>
          <w:lang w:val="ro-RO"/>
        </w:rPr>
        <w:t>din cauza:</w:t>
      </w:r>
      <w:r w:rsidRPr="00F34E9D">
        <w:rPr>
          <w:rFonts w:asciiTheme="majorHAnsi" w:eastAsia="Times New Roman" w:hAnsiTheme="majorHAnsi" w:cstheme="majorHAnsi"/>
          <w:bCs/>
          <w:i/>
          <w:iCs/>
          <w:color w:val="0D0D0D" w:themeColor="text1" w:themeTint="F2"/>
          <w:sz w:val="24"/>
          <w:szCs w:val="24"/>
          <w:lang w:val="ro-RO"/>
        </w:rPr>
        <w:t xml:space="preserve"> </w:t>
      </w:r>
      <w:r w:rsidRPr="00F34E9D">
        <w:rPr>
          <w:rFonts w:asciiTheme="majorHAnsi" w:hAnsiTheme="majorHAnsi" w:cstheme="majorHAnsi"/>
          <w:color w:val="0D0D0D" w:themeColor="text1" w:themeTint="F2"/>
          <w:sz w:val="24"/>
          <w:szCs w:val="24"/>
          <w:lang w:val="ro-RO"/>
        </w:rPr>
        <w:t xml:space="preserve">(1) </w:t>
      </w:r>
      <w:r w:rsidR="003826F1" w:rsidRPr="00F34E9D">
        <w:rPr>
          <w:rFonts w:asciiTheme="majorHAnsi" w:hAnsiTheme="majorHAnsi" w:cstheme="majorHAnsi"/>
          <w:color w:val="0D0D0D" w:themeColor="text1" w:themeTint="F2"/>
          <w:sz w:val="24"/>
          <w:szCs w:val="24"/>
        </w:rPr>
        <w:t xml:space="preserve">nerecunoașterii în evidența contabilă a valorii a </w:t>
      </w:r>
      <w:r w:rsidR="00DA31F7" w:rsidRPr="00F34E9D">
        <w:rPr>
          <w:rFonts w:asciiTheme="majorHAnsi" w:hAnsiTheme="majorHAnsi" w:cstheme="majorHAnsi"/>
          <w:color w:val="0D0D0D" w:themeColor="text1" w:themeTint="F2"/>
          <w:sz w:val="24"/>
          <w:szCs w:val="24"/>
        </w:rPr>
        <w:t>14 terenuri cu suprafața de 40,24 ha, proprietate de stat conform Anex</w:t>
      </w:r>
      <w:r w:rsidR="003826F1" w:rsidRPr="00F34E9D">
        <w:rPr>
          <w:rFonts w:asciiTheme="majorHAnsi" w:hAnsiTheme="majorHAnsi" w:cstheme="majorHAnsi"/>
          <w:color w:val="0D0D0D" w:themeColor="text1" w:themeTint="F2"/>
          <w:sz w:val="24"/>
          <w:szCs w:val="24"/>
        </w:rPr>
        <w:t>ei</w:t>
      </w:r>
      <w:r w:rsidR="00DA31F7" w:rsidRPr="00F34E9D">
        <w:rPr>
          <w:rFonts w:asciiTheme="majorHAnsi" w:hAnsiTheme="majorHAnsi" w:cstheme="majorHAnsi"/>
          <w:color w:val="0D0D0D" w:themeColor="text1" w:themeTint="F2"/>
          <w:sz w:val="24"/>
          <w:szCs w:val="24"/>
        </w:rPr>
        <w:t xml:space="preserve"> </w:t>
      </w:r>
      <w:r w:rsidR="00483EFF" w:rsidRPr="00F34E9D">
        <w:rPr>
          <w:rFonts w:asciiTheme="majorHAnsi" w:hAnsiTheme="majorHAnsi" w:cstheme="majorHAnsi"/>
          <w:color w:val="0D0D0D" w:themeColor="text1" w:themeTint="F2"/>
          <w:sz w:val="24"/>
          <w:szCs w:val="24"/>
        </w:rPr>
        <w:t>nr.</w:t>
      </w:r>
      <w:r w:rsidR="00DA31F7" w:rsidRPr="00F34E9D">
        <w:rPr>
          <w:rFonts w:asciiTheme="majorHAnsi" w:hAnsiTheme="majorHAnsi" w:cstheme="majorHAnsi"/>
          <w:color w:val="0D0D0D" w:themeColor="text1" w:themeTint="F2"/>
          <w:sz w:val="24"/>
          <w:szCs w:val="24"/>
        </w:rPr>
        <w:t>1 la HG nr.161/2019,</w:t>
      </w:r>
      <w:r w:rsidR="003826F1" w:rsidRPr="00F34E9D">
        <w:rPr>
          <w:rFonts w:asciiTheme="majorHAnsi" w:hAnsiTheme="majorHAnsi" w:cstheme="majorHAnsi"/>
          <w:color w:val="0D0D0D" w:themeColor="text1" w:themeTint="F2"/>
          <w:sz w:val="24"/>
          <w:szCs w:val="24"/>
        </w:rPr>
        <w:t xml:space="preserve"> în sumă de 146,7 mil.lei</w:t>
      </w:r>
      <w:r w:rsidR="000D5DDD" w:rsidRPr="00F34E9D">
        <w:rPr>
          <w:rFonts w:asciiTheme="majorHAnsi" w:hAnsiTheme="majorHAnsi" w:cstheme="majorHAnsi"/>
          <w:color w:val="0D0D0D" w:themeColor="text1" w:themeTint="F2"/>
          <w:sz w:val="24"/>
          <w:szCs w:val="24"/>
        </w:rPr>
        <w:t xml:space="preserve">; </w:t>
      </w:r>
      <w:r w:rsidRPr="00F34E9D">
        <w:rPr>
          <w:rFonts w:asciiTheme="majorHAnsi" w:hAnsiTheme="majorHAnsi" w:cstheme="majorHAnsi"/>
          <w:iCs/>
          <w:color w:val="0D0D0D" w:themeColor="text1" w:themeTint="F2"/>
          <w:sz w:val="24"/>
          <w:szCs w:val="24"/>
          <w:lang w:val="ro-RO"/>
        </w:rPr>
        <w:t>(2)</w:t>
      </w:r>
      <w:r w:rsidR="00E54B66" w:rsidRPr="00F34E9D">
        <w:rPr>
          <w:rFonts w:asciiTheme="majorHAnsi" w:eastAsia="Times New Roman" w:hAnsiTheme="majorHAnsi" w:cstheme="majorHAnsi"/>
          <w:bCs/>
          <w:iCs/>
          <w:color w:val="0D0D0D" w:themeColor="text1" w:themeTint="F2"/>
          <w:sz w:val="24"/>
          <w:szCs w:val="24"/>
          <w:lang w:val="ro-RO"/>
        </w:rPr>
        <w:t xml:space="preserve"> </w:t>
      </w:r>
      <w:r w:rsidR="00ED3875" w:rsidRPr="00F34E9D">
        <w:rPr>
          <w:rFonts w:asciiTheme="majorHAnsi" w:eastAsia="Times New Roman" w:hAnsiTheme="majorHAnsi" w:cstheme="majorHAnsi"/>
          <w:color w:val="0D0D0D" w:themeColor="text1" w:themeTint="F2"/>
          <w:sz w:val="24"/>
          <w:szCs w:val="24"/>
          <w:lang w:val="ro-RO"/>
        </w:rPr>
        <w:t>nereflectării în evidența contabilă a ministerului conform regulilor de recunoaștere a bunurilor stabilite prin Ordinul MF nr.216/2015,</w:t>
      </w:r>
      <w:r w:rsidR="000D5DDD" w:rsidRPr="00F34E9D">
        <w:rPr>
          <w:rFonts w:asciiTheme="majorHAnsi" w:eastAsia="Times New Roman" w:hAnsiTheme="majorHAnsi" w:cstheme="majorHAnsi"/>
          <w:color w:val="0D0D0D" w:themeColor="text1" w:themeTint="F2"/>
          <w:sz w:val="24"/>
          <w:szCs w:val="24"/>
          <w:lang w:val="ro-RO"/>
        </w:rPr>
        <w:t xml:space="preserve"> a </w:t>
      </w:r>
      <w:r w:rsidR="00435FC1" w:rsidRPr="00F34E9D">
        <w:rPr>
          <w:rFonts w:asciiTheme="majorHAnsi" w:hAnsiTheme="majorHAnsi" w:cstheme="majorHAnsi"/>
          <w:color w:val="0D0D0D" w:themeColor="text1" w:themeTint="F2"/>
          <w:sz w:val="24"/>
          <w:szCs w:val="24"/>
          <w:lang w:val="ro-RO"/>
        </w:rPr>
        <w:t>3 terenuri agricole cu suprafața de 145,7 ha și 23 terenuri pentru construcții/destinație specială/amenajat cu suprafața de 121,21 ha</w:t>
      </w:r>
      <w:r w:rsidR="000D5DDD" w:rsidRPr="00F34E9D">
        <w:rPr>
          <w:rFonts w:asciiTheme="majorHAnsi" w:eastAsia="Times New Roman" w:hAnsiTheme="majorHAnsi" w:cstheme="majorHAnsi"/>
          <w:color w:val="0D0D0D" w:themeColor="text1" w:themeTint="F2"/>
          <w:sz w:val="24"/>
          <w:szCs w:val="24"/>
          <w:lang w:val="ro-RO"/>
        </w:rPr>
        <w:t>, ceea</w:t>
      </w:r>
      <w:r w:rsidR="00435FC1" w:rsidRPr="00F34E9D">
        <w:rPr>
          <w:rFonts w:asciiTheme="majorHAnsi" w:eastAsia="Times New Roman" w:hAnsiTheme="majorHAnsi" w:cstheme="majorHAnsi"/>
          <w:color w:val="0D0D0D" w:themeColor="text1" w:themeTint="F2"/>
          <w:sz w:val="24"/>
          <w:szCs w:val="24"/>
          <w:lang w:val="ro-RO"/>
        </w:rPr>
        <w:t xml:space="preserve"> </w:t>
      </w:r>
      <w:r w:rsidR="00DE5E57" w:rsidRPr="00F34E9D">
        <w:rPr>
          <w:rFonts w:asciiTheme="majorHAnsi" w:eastAsia="Times New Roman" w:hAnsiTheme="majorHAnsi" w:cstheme="majorHAnsi"/>
          <w:color w:val="0D0D0D" w:themeColor="text1" w:themeTint="F2"/>
          <w:sz w:val="24"/>
          <w:szCs w:val="24"/>
          <w:lang w:val="ro-RO"/>
        </w:rPr>
        <w:t>ce a dus la</w:t>
      </w:r>
      <w:r w:rsidR="00435FC1" w:rsidRPr="00F34E9D">
        <w:rPr>
          <w:rFonts w:asciiTheme="majorHAnsi" w:eastAsia="Times New Roman" w:hAnsiTheme="majorHAnsi" w:cstheme="majorHAnsi"/>
          <w:color w:val="0D0D0D" w:themeColor="text1" w:themeTint="F2"/>
          <w:sz w:val="24"/>
          <w:szCs w:val="24"/>
          <w:lang w:val="ro-RO"/>
        </w:rPr>
        <w:t xml:space="preserve"> subevaluarea valorii terenurilor cu 206,</w:t>
      </w:r>
      <w:r w:rsidR="00DB2093" w:rsidRPr="00F34E9D">
        <w:rPr>
          <w:rFonts w:asciiTheme="majorHAnsi" w:eastAsia="Times New Roman" w:hAnsiTheme="majorHAnsi" w:cstheme="majorHAnsi"/>
          <w:color w:val="0D0D0D" w:themeColor="text1" w:themeTint="F2"/>
          <w:sz w:val="24"/>
          <w:szCs w:val="24"/>
          <w:lang w:val="ro-RO"/>
        </w:rPr>
        <w:t>5 mil.</w:t>
      </w:r>
      <w:r w:rsidR="00E54B66" w:rsidRPr="00F34E9D">
        <w:rPr>
          <w:rFonts w:asciiTheme="majorHAnsi" w:eastAsia="Times New Roman" w:hAnsiTheme="majorHAnsi" w:cstheme="majorHAnsi"/>
          <w:color w:val="0D0D0D" w:themeColor="text1" w:themeTint="F2"/>
          <w:sz w:val="24"/>
          <w:szCs w:val="24"/>
          <w:lang w:val="ro-RO"/>
        </w:rPr>
        <w:t>lei</w:t>
      </w:r>
      <w:r w:rsidR="000D5DDD" w:rsidRPr="00F34E9D">
        <w:rPr>
          <w:rFonts w:asciiTheme="majorHAnsi" w:eastAsia="Times New Roman" w:hAnsiTheme="majorHAnsi" w:cstheme="majorHAnsi"/>
          <w:color w:val="0D0D0D" w:themeColor="text1" w:themeTint="F2"/>
          <w:sz w:val="24"/>
          <w:szCs w:val="24"/>
          <w:lang w:val="ro-RO"/>
        </w:rPr>
        <w:t xml:space="preserve">; </w:t>
      </w:r>
      <w:r w:rsidR="00DA31F7" w:rsidRPr="00F34E9D">
        <w:rPr>
          <w:rFonts w:asciiTheme="majorHAnsi" w:eastAsia="Times New Roman" w:hAnsiTheme="majorHAnsi" w:cstheme="majorHAnsi"/>
          <w:color w:val="0D0D0D" w:themeColor="text1" w:themeTint="F2"/>
          <w:sz w:val="24"/>
          <w:szCs w:val="24"/>
        </w:rPr>
        <w:t>(3)</w:t>
      </w:r>
      <w:r w:rsidR="00435FC1" w:rsidRPr="00F34E9D">
        <w:rPr>
          <w:rFonts w:asciiTheme="majorHAnsi" w:eastAsia="Times New Roman" w:hAnsiTheme="majorHAnsi" w:cstheme="majorHAnsi"/>
          <w:color w:val="0D0D0D" w:themeColor="text1" w:themeTint="F2"/>
          <w:sz w:val="24"/>
          <w:szCs w:val="24"/>
        </w:rPr>
        <w:t xml:space="preserve"> </w:t>
      </w:r>
      <w:r w:rsidR="00DA31F7" w:rsidRPr="00F34E9D">
        <w:rPr>
          <w:rFonts w:asciiTheme="majorHAnsi" w:hAnsiTheme="majorHAnsi" w:cstheme="majorHAnsi"/>
          <w:iCs/>
          <w:color w:val="0D0D0D" w:themeColor="text1" w:themeTint="F2"/>
          <w:sz w:val="24"/>
          <w:szCs w:val="24"/>
          <w:lang w:val="ro-RO"/>
        </w:rPr>
        <w:t>lipsei evaluării terenurilor (8,3 mil.lei)</w:t>
      </w:r>
      <w:r w:rsidR="00A41326" w:rsidRPr="00F34E9D">
        <w:rPr>
          <w:rFonts w:asciiTheme="majorHAnsi" w:hAnsiTheme="majorHAnsi" w:cstheme="majorHAnsi"/>
          <w:iCs/>
          <w:color w:val="0D0D0D" w:themeColor="text1" w:themeTint="F2"/>
          <w:sz w:val="24"/>
          <w:szCs w:val="24"/>
          <w:lang w:val="ro-RO"/>
        </w:rPr>
        <w:t>.</w:t>
      </w:r>
      <w:r w:rsidR="00DA31F7" w:rsidRPr="00F34E9D">
        <w:rPr>
          <w:rFonts w:asciiTheme="majorHAnsi" w:hAnsiTheme="majorHAnsi" w:cstheme="majorHAnsi"/>
          <w:iCs/>
          <w:color w:val="0D0D0D" w:themeColor="text1" w:themeTint="F2"/>
          <w:sz w:val="24"/>
          <w:szCs w:val="24"/>
          <w:lang w:val="ro-RO"/>
        </w:rPr>
        <w:t xml:space="preserve"> </w:t>
      </w:r>
    </w:p>
    <w:p w14:paraId="1BFAC6DC" w14:textId="2E959D9A" w:rsidR="0096689C" w:rsidRPr="00F34E9D" w:rsidRDefault="0096689C" w:rsidP="00A8666C">
      <w:pPr>
        <w:spacing w:after="0" w:line="276" w:lineRule="auto"/>
        <w:ind w:right="-35"/>
        <w:contextualSpacing/>
        <w:jc w:val="both"/>
        <w:rPr>
          <w:rFonts w:asciiTheme="majorHAnsi" w:eastAsia="Calibri" w:hAnsiTheme="majorHAnsi" w:cstheme="majorHAnsi"/>
          <w:i/>
          <w:color w:val="0D0D0D" w:themeColor="text1" w:themeTint="F2"/>
          <w:sz w:val="24"/>
          <w:lang w:val="ro-RO"/>
        </w:rPr>
      </w:pPr>
      <w:r w:rsidRPr="00F34E9D">
        <w:rPr>
          <w:rFonts w:asciiTheme="majorHAnsi" w:eastAsia="Times New Roman" w:hAnsiTheme="majorHAnsi" w:cstheme="majorHAnsi"/>
          <w:b/>
          <w:bCs/>
          <w:i/>
          <w:iCs/>
          <w:color w:val="0D0D0D" w:themeColor="text1" w:themeTint="F2"/>
          <w:sz w:val="24"/>
          <w:szCs w:val="24"/>
          <w:lang w:val="ro-RO"/>
        </w:rPr>
        <w:t>2.</w:t>
      </w:r>
      <w:r w:rsidR="0013026B" w:rsidRPr="00F34E9D">
        <w:rPr>
          <w:rFonts w:asciiTheme="majorHAnsi" w:eastAsia="Times New Roman" w:hAnsiTheme="majorHAnsi" w:cstheme="majorHAnsi"/>
          <w:b/>
          <w:bCs/>
          <w:i/>
          <w:iCs/>
          <w:color w:val="0D0D0D" w:themeColor="text1" w:themeTint="F2"/>
          <w:sz w:val="24"/>
          <w:szCs w:val="24"/>
          <w:lang w:val="ro-RO"/>
        </w:rPr>
        <w:t>2</w:t>
      </w:r>
      <w:r w:rsidRPr="00F34E9D">
        <w:rPr>
          <w:rFonts w:asciiTheme="majorHAnsi" w:eastAsia="Times New Roman" w:hAnsiTheme="majorHAnsi" w:cstheme="majorHAnsi"/>
          <w:b/>
          <w:bCs/>
          <w:i/>
          <w:iCs/>
          <w:color w:val="0D0D0D" w:themeColor="text1" w:themeTint="F2"/>
          <w:sz w:val="24"/>
          <w:szCs w:val="24"/>
          <w:lang w:val="ro-RO"/>
        </w:rPr>
        <w:t xml:space="preserve">. </w:t>
      </w:r>
      <w:r w:rsidRPr="00F34E9D">
        <w:rPr>
          <w:rFonts w:asciiTheme="majorHAnsi" w:hAnsiTheme="majorHAnsi" w:cstheme="majorHAnsi"/>
          <w:i/>
          <w:color w:val="0D0D0D" w:themeColor="text1" w:themeTint="F2"/>
          <w:sz w:val="24"/>
          <w:lang w:val="ro-RO"/>
        </w:rPr>
        <w:t xml:space="preserve">Diminuarea valorii contului 311 „Clădiri” </w:t>
      </w:r>
      <w:r w:rsidRPr="00F34E9D">
        <w:rPr>
          <w:rFonts w:asciiTheme="majorHAnsi" w:hAnsiTheme="majorHAnsi" w:cstheme="majorHAnsi"/>
          <w:i/>
          <w:iCs/>
          <w:color w:val="0D0D0D" w:themeColor="text1" w:themeTint="F2"/>
          <w:sz w:val="24"/>
          <w:szCs w:val="24"/>
          <w:lang w:val="ro-RO"/>
        </w:rPr>
        <w:t xml:space="preserve">cu </w:t>
      </w:r>
      <w:r w:rsidR="00D81B46" w:rsidRPr="00F34E9D">
        <w:rPr>
          <w:rFonts w:asciiTheme="majorHAnsi" w:hAnsiTheme="majorHAnsi" w:cstheme="majorHAnsi"/>
          <w:b/>
          <w:i/>
          <w:color w:val="0D0D0D" w:themeColor="text1" w:themeTint="F2"/>
          <w:sz w:val="24"/>
          <w:lang w:val="ro-RO"/>
        </w:rPr>
        <w:t>115,</w:t>
      </w:r>
      <w:r w:rsidR="005B7DDE" w:rsidRPr="00F34E9D">
        <w:rPr>
          <w:rFonts w:asciiTheme="majorHAnsi" w:hAnsiTheme="majorHAnsi" w:cstheme="majorHAnsi"/>
          <w:b/>
          <w:i/>
          <w:color w:val="0D0D0D" w:themeColor="text1" w:themeTint="F2"/>
          <w:sz w:val="24"/>
          <w:lang w:val="ro-RO"/>
        </w:rPr>
        <w:t xml:space="preserve">28 </w:t>
      </w:r>
      <w:r w:rsidRPr="00F34E9D">
        <w:rPr>
          <w:rFonts w:asciiTheme="majorHAnsi" w:hAnsiTheme="majorHAnsi" w:cstheme="majorHAnsi"/>
          <w:b/>
          <w:i/>
          <w:color w:val="0D0D0D" w:themeColor="text1" w:themeTint="F2"/>
          <w:sz w:val="24"/>
          <w:lang w:val="ro-RO"/>
        </w:rPr>
        <w:t>mil.lei,</w:t>
      </w:r>
      <w:r w:rsidRPr="00F34E9D">
        <w:rPr>
          <w:rFonts w:asciiTheme="majorHAnsi" w:hAnsiTheme="majorHAnsi" w:cstheme="majorHAnsi"/>
          <w:i/>
          <w:color w:val="0D0D0D" w:themeColor="text1" w:themeTint="F2"/>
          <w:sz w:val="24"/>
          <w:lang w:val="ro-RO"/>
        </w:rPr>
        <w:t xml:space="preserve"> determinată de:</w:t>
      </w:r>
    </w:p>
    <w:p w14:paraId="7EAB9FFD" w14:textId="74ED2F8A" w:rsidR="0096689C" w:rsidRPr="00F34E9D" w:rsidRDefault="0096689C" w:rsidP="00827278">
      <w:pPr>
        <w:numPr>
          <w:ilvl w:val="0"/>
          <w:numId w:val="30"/>
        </w:numPr>
        <w:spacing w:after="0" w:line="276" w:lineRule="auto"/>
        <w:ind w:left="378"/>
        <w:jc w:val="both"/>
        <w:rPr>
          <w:rFonts w:asciiTheme="majorHAnsi" w:hAnsiTheme="majorHAnsi" w:cstheme="majorHAnsi"/>
          <w:iCs/>
          <w:color w:val="0D0D0D" w:themeColor="text1" w:themeTint="F2"/>
          <w:sz w:val="24"/>
          <w:szCs w:val="24"/>
          <w:lang w:val="ro-RO"/>
        </w:rPr>
      </w:pPr>
      <w:r w:rsidRPr="00F34E9D">
        <w:rPr>
          <w:rFonts w:asciiTheme="majorHAnsi" w:hAnsiTheme="majorHAnsi" w:cstheme="majorHAnsi"/>
          <w:color w:val="0D0D0D" w:themeColor="text1" w:themeTint="F2"/>
          <w:sz w:val="24"/>
          <w:szCs w:val="24"/>
          <w:lang w:val="ro-RO"/>
        </w:rPr>
        <w:t xml:space="preserve">diminuarea </w:t>
      </w:r>
      <w:r w:rsidRPr="00F34E9D">
        <w:rPr>
          <w:rFonts w:asciiTheme="majorHAnsi" w:eastAsia="Times New Roman" w:hAnsiTheme="majorHAnsi" w:cstheme="majorHAnsi"/>
          <w:color w:val="0D0D0D" w:themeColor="text1" w:themeTint="F2"/>
          <w:sz w:val="24"/>
          <w:szCs w:val="24"/>
          <w:lang w:val="ro-RO"/>
        </w:rPr>
        <w:t xml:space="preserve">cu </w:t>
      </w:r>
      <w:r w:rsidR="001607DE" w:rsidRPr="00F34E9D">
        <w:rPr>
          <w:rFonts w:asciiTheme="majorHAnsi" w:eastAsia="Times New Roman" w:hAnsiTheme="majorHAnsi" w:cstheme="majorHAnsi"/>
          <w:color w:val="0D0D0D" w:themeColor="text1" w:themeTint="F2"/>
          <w:sz w:val="24"/>
          <w:szCs w:val="24"/>
          <w:lang w:val="ro-RO"/>
        </w:rPr>
        <w:t>35</w:t>
      </w:r>
      <w:r w:rsidRPr="00F34E9D">
        <w:rPr>
          <w:rFonts w:asciiTheme="majorHAnsi" w:eastAsia="Times New Roman" w:hAnsiTheme="majorHAnsi" w:cstheme="majorHAnsi"/>
          <w:color w:val="0D0D0D" w:themeColor="text1" w:themeTint="F2"/>
          <w:sz w:val="24"/>
          <w:szCs w:val="24"/>
          <w:lang w:val="ro-RO"/>
        </w:rPr>
        <w:t>,</w:t>
      </w:r>
      <w:r w:rsidR="001607DE" w:rsidRPr="00F34E9D">
        <w:rPr>
          <w:rFonts w:asciiTheme="majorHAnsi" w:eastAsia="Times New Roman" w:hAnsiTheme="majorHAnsi" w:cstheme="majorHAnsi"/>
          <w:color w:val="0D0D0D" w:themeColor="text1" w:themeTint="F2"/>
          <w:sz w:val="24"/>
          <w:szCs w:val="24"/>
          <w:lang w:val="ro-RO"/>
        </w:rPr>
        <w:t>4</w:t>
      </w:r>
      <w:r w:rsidRPr="00F34E9D">
        <w:rPr>
          <w:rFonts w:asciiTheme="majorHAnsi" w:eastAsia="Times New Roman" w:hAnsiTheme="majorHAnsi" w:cstheme="majorHAnsi"/>
          <w:color w:val="0D0D0D" w:themeColor="text1" w:themeTint="F2"/>
          <w:sz w:val="24"/>
          <w:szCs w:val="24"/>
          <w:lang w:val="ro-RO"/>
        </w:rPr>
        <w:t xml:space="preserve"> mil.lei, </w:t>
      </w:r>
      <w:r w:rsidRPr="00F34E9D">
        <w:rPr>
          <w:rFonts w:asciiTheme="majorHAnsi" w:hAnsiTheme="majorHAnsi" w:cstheme="majorHAnsi"/>
          <w:color w:val="0D0D0D" w:themeColor="text1" w:themeTint="F2"/>
          <w:sz w:val="24"/>
          <w:szCs w:val="24"/>
          <w:lang w:val="ro-RO"/>
        </w:rPr>
        <w:t xml:space="preserve">ca urmare a neajustării valorii a </w:t>
      </w:r>
      <w:r w:rsidR="001607DE" w:rsidRPr="00F34E9D">
        <w:rPr>
          <w:rFonts w:asciiTheme="majorHAnsi" w:hAnsiTheme="majorHAnsi" w:cstheme="majorHAnsi"/>
          <w:color w:val="0D0D0D" w:themeColor="text1" w:themeTint="F2"/>
          <w:sz w:val="24"/>
          <w:szCs w:val="24"/>
          <w:lang w:val="ro-RO"/>
        </w:rPr>
        <w:t xml:space="preserve">19 </w:t>
      </w:r>
      <w:r w:rsidRPr="00F34E9D">
        <w:rPr>
          <w:rFonts w:asciiTheme="majorHAnsi" w:hAnsiTheme="majorHAnsi" w:cstheme="majorHAnsi"/>
          <w:color w:val="0D0D0D" w:themeColor="text1" w:themeTint="F2"/>
          <w:sz w:val="24"/>
          <w:szCs w:val="24"/>
          <w:lang w:val="ro-RO"/>
        </w:rPr>
        <w:t xml:space="preserve">clădiri administrate de către </w:t>
      </w:r>
      <w:r w:rsidR="001607DE" w:rsidRPr="00F34E9D">
        <w:rPr>
          <w:rFonts w:asciiTheme="majorHAnsi" w:hAnsiTheme="majorHAnsi" w:cstheme="majorHAnsi"/>
          <w:color w:val="0D0D0D" w:themeColor="text1" w:themeTint="F2"/>
          <w:sz w:val="24"/>
          <w:szCs w:val="24"/>
          <w:lang w:val="ro-RO"/>
        </w:rPr>
        <w:t xml:space="preserve">8 </w:t>
      </w:r>
      <w:r w:rsidRPr="00F34E9D">
        <w:rPr>
          <w:rFonts w:asciiTheme="majorHAnsi" w:hAnsiTheme="majorHAnsi" w:cstheme="majorHAnsi"/>
          <w:color w:val="0D0D0D" w:themeColor="text1" w:themeTint="F2"/>
          <w:sz w:val="24"/>
          <w:szCs w:val="24"/>
          <w:lang w:val="ro-RO"/>
        </w:rPr>
        <w:t>instituții din subordinea MEC la valoarea cadastrală</w:t>
      </w:r>
      <w:r w:rsidRPr="00F34E9D">
        <w:rPr>
          <w:rFonts w:asciiTheme="majorHAnsi" w:hAnsiTheme="majorHAnsi" w:cstheme="majorHAnsi"/>
          <w:iCs/>
          <w:color w:val="0D0D0D" w:themeColor="text1" w:themeTint="F2"/>
          <w:sz w:val="24"/>
          <w:szCs w:val="24"/>
          <w:lang w:val="ro-RO"/>
        </w:rPr>
        <w:t xml:space="preserve">, </w:t>
      </w:r>
      <w:r w:rsidR="009C564C" w:rsidRPr="00F34E9D">
        <w:rPr>
          <w:rFonts w:asciiTheme="majorHAnsi" w:hAnsiTheme="majorHAnsi" w:cstheme="majorHAnsi"/>
          <w:iCs/>
          <w:color w:val="0D0D0D" w:themeColor="text1" w:themeTint="F2"/>
          <w:sz w:val="24"/>
          <w:szCs w:val="24"/>
          <w:lang w:val="ro-RO"/>
        </w:rPr>
        <w:t>din cauza</w:t>
      </w:r>
      <w:r w:rsidR="001D50CF" w:rsidRPr="00F34E9D">
        <w:rPr>
          <w:rFonts w:asciiTheme="majorHAnsi" w:hAnsiTheme="majorHAnsi" w:cstheme="majorHAnsi"/>
          <w:iCs/>
          <w:color w:val="0D0D0D" w:themeColor="text1" w:themeTint="F2"/>
          <w:sz w:val="24"/>
          <w:szCs w:val="24"/>
          <w:lang w:val="ro-RO"/>
        </w:rPr>
        <w:t xml:space="preserve"> nerespectării </w:t>
      </w:r>
      <w:r w:rsidR="001D50CF" w:rsidRPr="00F34E9D">
        <w:rPr>
          <w:rFonts w:asciiTheme="majorHAnsi" w:hAnsiTheme="majorHAnsi" w:cstheme="majorHAnsi"/>
          <w:color w:val="0D0D0D" w:themeColor="text1" w:themeTint="F2"/>
          <w:sz w:val="24"/>
          <w:szCs w:val="24"/>
        </w:rPr>
        <w:t>prevederil</w:t>
      </w:r>
      <w:r w:rsidR="009C564C" w:rsidRPr="00F34E9D">
        <w:rPr>
          <w:rFonts w:asciiTheme="majorHAnsi" w:hAnsiTheme="majorHAnsi" w:cstheme="majorHAnsi"/>
          <w:color w:val="0D0D0D" w:themeColor="text1" w:themeTint="F2"/>
          <w:sz w:val="24"/>
          <w:szCs w:val="24"/>
        </w:rPr>
        <w:t>or</w:t>
      </w:r>
      <w:r w:rsidR="001D50CF" w:rsidRPr="00F34E9D">
        <w:rPr>
          <w:rFonts w:asciiTheme="majorHAnsi" w:hAnsiTheme="majorHAnsi" w:cstheme="majorHAnsi"/>
          <w:color w:val="0D0D0D" w:themeColor="text1" w:themeTint="F2"/>
          <w:sz w:val="24"/>
          <w:szCs w:val="24"/>
        </w:rPr>
        <w:t xml:space="preserve"> Ordinului MF nr.216/2015</w:t>
      </w:r>
      <w:r w:rsidR="001D50CF" w:rsidRPr="00F34E9D">
        <w:rPr>
          <w:rFonts w:asciiTheme="majorHAnsi" w:hAnsiTheme="majorHAnsi" w:cstheme="majorHAnsi"/>
          <w:iCs/>
          <w:color w:val="0D0D0D" w:themeColor="text1" w:themeTint="F2"/>
          <w:sz w:val="24"/>
          <w:szCs w:val="24"/>
          <w:lang w:val="ro-RO"/>
        </w:rPr>
        <w:t>;</w:t>
      </w:r>
    </w:p>
    <w:p w14:paraId="0B1B5872" w14:textId="11E8B998" w:rsidR="005A724E" w:rsidRPr="00F34E9D" w:rsidRDefault="005A724E" w:rsidP="00827278">
      <w:pPr>
        <w:numPr>
          <w:ilvl w:val="0"/>
          <w:numId w:val="30"/>
        </w:numPr>
        <w:spacing w:after="0" w:line="276" w:lineRule="auto"/>
        <w:ind w:left="378"/>
        <w:jc w:val="both"/>
        <w:rPr>
          <w:rFonts w:asciiTheme="majorHAnsi" w:hAnsiTheme="majorHAnsi" w:cstheme="majorHAnsi"/>
          <w:iCs/>
          <w:color w:val="0D0D0D" w:themeColor="text1" w:themeTint="F2"/>
          <w:sz w:val="32"/>
          <w:szCs w:val="24"/>
          <w:lang w:val="ro-RO"/>
        </w:rPr>
      </w:pPr>
      <w:r w:rsidRPr="00F34E9D">
        <w:rPr>
          <w:rFonts w:asciiTheme="majorHAnsi" w:hAnsiTheme="majorHAnsi" w:cstheme="majorHAnsi"/>
          <w:color w:val="0D0D0D" w:themeColor="text1" w:themeTint="F2"/>
          <w:sz w:val="24"/>
          <w:szCs w:val="24"/>
        </w:rPr>
        <w:t xml:space="preserve">necapitalizarea de către </w:t>
      </w:r>
      <w:r w:rsidRPr="00F34E9D">
        <w:rPr>
          <w:rFonts w:asciiTheme="majorHAnsi" w:hAnsiTheme="majorHAnsi" w:cstheme="majorHAnsi"/>
          <w:color w:val="0D0D0D" w:themeColor="text1" w:themeTint="F2"/>
          <w:sz w:val="24"/>
        </w:rPr>
        <w:t xml:space="preserve">Liceul teoretic „Aristotel” a </w:t>
      </w:r>
      <w:r w:rsidRPr="00F34E9D">
        <w:rPr>
          <w:rFonts w:asciiTheme="majorHAnsi" w:hAnsiTheme="majorHAnsi" w:cstheme="majorHAnsi"/>
          <w:color w:val="0D0D0D" w:themeColor="text1" w:themeTint="F2"/>
          <w:sz w:val="24"/>
          <w:szCs w:val="24"/>
        </w:rPr>
        <w:t>investițiilor reflectate la contul 319 (78,22</w:t>
      </w:r>
      <w:r w:rsidR="0047719D" w:rsidRPr="00F34E9D">
        <w:rPr>
          <w:rFonts w:asciiTheme="majorHAnsi" w:hAnsiTheme="majorHAnsi" w:cstheme="majorHAnsi"/>
          <w:color w:val="0D0D0D" w:themeColor="text1" w:themeTint="F2"/>
          <w:sz w:val="24"/>
          <w:szCs w:val="24"/>
        </w:rPr>
        <w:t xml:space="preserve"> </w:t>
      </w:r>
      <w:r w:rsidRPr="00F34E9D">
        <w:rPr>
          <w:rFonts w:asciiTheme="majorHAnsi" w:hAnsiTheme="majorHAnsi" w:cstheme="majorHAnsi"/>
          <w:color w:val="0D0D0D" w:themeColor="text1" w:themeTint="F2"/>
          <w:sz w:val="24"/>
          <w:szCs w:val="24"/>
        </w:rPr>
        <w:t>mil.lei)</w:t>
      </w:r>
      <w:r w:rsidR="0047719D" w:rsidRPr="00F34E9D">
        <w:rPr>
          <w:rFonts w:asciiTheme="majorHAnsi" w:hAnsiTheme="majorHAnsi" w:cstheme="majorHAnsi"/>
          <w:color w:val="0D0D0D" w:themeColor="text1" w:themeTint="F2"/>
          <w:sz w:val="24"/>
          <w:szCs w:val="24"/>
        </w:rPr>
        <w:t>;</w:t>
      </w:r>
    </w:p>
    <w:p w14:paraId="2659A57F" w14:textId="6CE98219" w:rsidR="00A05F5B" w:rsidRPr="00F34E9D" w:rsidRDefault="003410B3" w:rsidP="00827278">
      <w:pPr>
        <w:numPr>
          <w:ilvl w:val="0"/>
          <w:numId w:val="30"/>
        </w:numPr>
        <w:spacing w:after="0" w:line="276" w:lineRule="auto"/>
        <w:ind w:left="378"/>
        <w:jc w:val="both"/>
        <w:rPr>
          <w:rFonts w:asciiTheme="majorHAnsi" w:hAnsiTheme="majorHAnsi" w:cstheme="majorHAnsi"/>
          <w:iCs/>
          <w:color w:val="0D0D0D" w:themeColor="text1" w:themeTint="F2"/>
          <w:sz w:val="32"/>
          <w:szCs w:val="24"/>
          <w:lang w:val="ro-RO"/>
        </w:rPr>
      </w:pPr>
      <w:r w:rsidRPr="00F34E9D">
        <w:rPr>
          <w:rFonts w:asciiTheme="majorHAnsi" w:hAnsiTheme="majorHAnsi" w:cstheme="majorHAnsi"/>
          <w:color w:val="0D0D0D" w:themeColor="text1" w:themeTint="F2"/>
          <w:sz w:val="24"/>
          <w:szCs w:val="24"/>
          <w:lang w:val="ro-RO"/>
        </w:rPr>
        <w:t>n</w:t>
      </w:r>
      <w:r w:rsidR="00BD5633" w:rsidRPr="00F34E9D">
        <w:rPr>
          <w:rFonts w:asciiTheme="majorHAnsi" w:hAnsiTheme="majorHAnsi" w:cstheme="majorHAnsi"/>
          <w:color w:val="0D0D0D" w:themeColor="text1" w:themeTint="F2"/>
          <w:sz w:val="24"/>
          <w:szCs w:val="24"/>
          <w:lang w:val="ro-RO"/>
        </w:rPr>
        <w:t>e</w:t>
      </w:r>
      <w:r w:rsidRPr="00F34E9D">
        <w:rPr>
          <w:rFonts w:asciiTheme="majorHAnsi" w:hAnsiTheme="majorHAnsi" w:cstheme="majorHAnsi"/>
          <w:bCs/>
          <w:iCs/>
          <w:color w:val="0D0D0D" w:themeColor="text1" w:themeTint="F2"/>
          <w:sz w:val="24"/>
          <w:szCs w:val="24"/>
          <w:lang w:val="ro-RO"/>
        </w:rPr>
        <w:t>înregistr</w:t>
      </w:r>
      <w:r w:rsidR="009C564C" w:rsidRPr="00F34E9D">
        <w:rPr>
          <w:rFonts w:asciiTheme="majorHAnsi" w:hAnsiTheme="majorHAnsi" w:cstheme="majorHAnsi"/>
          <w:bCs/>
          <w:iCs/>
          <w:color w:val="0D0D0D" w:themeColor="text1" w:themeTint="F2"/>
          <w:sz w:val="24"/>
          <w:szCs w:val="24"/>
          <w:lang w:val="ro-RO"/>
        </w:rPr>
        <w:t>area</w:t>
      </w:r>
      <w:r w:rsidRPr="00F34E9D">
        <w:rPr>
          <w:rFonts w:asciiTheme="majorHAnsi" w:hAnsiTheme="majorHAnsi" w:cstheme="majorHAnsi"/>
          <w:bCs/>
          <w:iCs/>
          <w:color w:val="0D0D0D" w:themeColor="text1" w:themeTint="F2"/>
          <w:sz w:val="24"/>
          <w:szCs w:val="24"/>
          <w:lang w:val="ro-RO"/>
        </w:rPr>
        <w:t xml:space="preserve"> în evidența contabilă</w:t>
      </w:r>
      <w:r w:rsidR="00BD5633" w:rsidRPr="00F34E9D">
        <w:rPr>
          <w:rFonts w:asciiTheme="majorHAnsi" w:hAnsiTheme="majorHAnsi" w:cstheme="majorHAnsi"/>
          <w:bCs/>
          <w:iCs/>
          <w:color w:val="0D0D0D" w:themeColor="text1" w:themeTint="F2"/>
          <w:sz w:val="24"/>
          <w:szCs w:val="24"/>
          <w:lang w:val="ro-RO"/>
        </w:rPr>
        <w:t xml:space="preserve"> a</w:t>
      </w:r>
      <w:r w:rsidRPr="00F34E9D">
        <w:rPr>
          <w:rFonts w:asciiTheme="majorHAnsi" w:hAnsiTheme="majorHAnsi" w:cstheme="majorHAnsi"/>
          <w:bCs/>
          <w:iCs/>
          <w:color w:val="0D0D0D" w:themeColor="text1" w:themeTint="F2"/>
          <w:sz w:val="24"/>
          <w:szCs w:val="24"/>
          <w:lang w:val="ro-RO"/>
        </w:rPr>
        <w:t xml:space="preserve"> 7 clădiri în valoare de 10,2</w:t>
      </w:r>
      <w:r w:rsidR="00BD5633" w:rsidRPr="00F34E9D">
        <w:rPr>
          <w:rFonts w:asciiTheme="majorHAnsi" w:hAnsiTheme="majorHAnsi" w:cstheme="majorHAnsi"/>
          <w:bCs/>
          <w:iCs/>
          <w:color w:val="0D0D0D" w:themeColor="text1" w:themeTint="F2"/>
          <w:sz w:val="24"/>
          <w:szCs w:val="24"/>
          <w:lang w:val="ro-RO"/>
        </w:rPr>
        <w:t>2</w:t>
      </w:r>
      <w:r w:rsidRPr="00F34E9D">
        <w:rPr>
          <w:rFonts w:asciiTheme="majorHAnsi" w:hAnsiTheme="majorHAnsi" w:cstheme="majorHAnsi"/>
          <w:bCs/>
          <w:iCs/>
          <w:color w:val="0D0D0D" w:themeColor="text1" w:themeTint="F2"/>
          <w:sz w:val="24"/>
          <w:szCs w:val="24"/>
          <w:lang w:val="ro-RO"/>
        </w:rPr>
        <w:t xml:space="preserve"> mil. lei</w:t>
      </w:r>
      <w:r w:rsidR="00BD5633" w:rsidRPr="00F34E9D">
        <w:rPr>
          <w:rStyle w:val="a7"/>
          <w:rFonts w:asciiTheme="majorHAnsi" w:hAnsiTheme="majorHAnsi" w:cstheme="majorHAnsi"/>
          <w:bCs/>
          <w:iCs/>
          <w:color w:val="0D0D0D" w:themeColor="text1" w:themeTint="F2"/>
          <w:sz w:val="24"/>
          <w:szCs w:val="24"/>
          <w:lang w:val="ro-RO"/>
        </w:rPr>
        <w:footnoteReference w:id="2"/>
      </w:r>
      <w:r w:rsidR="0047719D" w:rsidRPr="00F34E9D">
        <w:rPr>
          <w:rFonts w:asciiTheme="majorHAnsi" w:hAnsiTheme="majorHAnsi" w:cstheme="majorHAnsi"/>
          <w:bCs/>
          <w:iCs/>
          <w:color w:val="0D0D0D" w:themeColor="text1" w:themeTint="F2"/>
          <w:sz w:val="24"/>
          <w:szCs w:val="24"/>
          <w:lang w:val="ro-RO"/>
        </w:rPr>
        <w:t>;</w:t>
      </w:r>
    </w:p>
    <w:p w14:paraId="2831E7C1" w14:textId="4DD910E4" w:rsidR="00D81B46" w:rsidRPr="00F34E9D" w:rsidRDefault="009C564C" w:rsidP="00827278">
      <w:pPr>
        <w:pStyle w:val="a3"/>
        <w:numPr>
          <w:ilvl w:val="0"/>
          <w:numId w:val="30"/>
        </w:numPr>
        <w:spacing w:after="0" w:line="276" w:lineRule="auto"/>
        <w:ind w:left="378"/>
        <w:contextualSpacing w:val="0"/>
        <w:jc w:val="both"/>
        <w:rPr>
          <w:rFonts w:asciiTheme="majorHAnsi" w:hAnsiTheme="majorHAnsi" w:cstheme="majorHAnsi"/>
          <w:color w:val="0D0D0D" w:themeColor="text1" w:themeTint="F2"/>
          <w:sz w:val="24"/>
          <w:szCs w:val="24"/>
        </w:rPr>
      </w:pPr>
      <w:r w:rsidRPr="00F34E9D">
        <w:rPr>
          <w:rFonts w:asciiTheme="majorHAnsi" w:hAnsiTheme="majorHAnsi" w:cstheme="majorHAnsi"/>
          <w:color w:val="0D0D0D" w:themeColor="text1" w:themeTint="F2"/>
          <w:sz w:val="24"/>
          <w:szCs w:val="24"/>
        </w:rPr>
        <w:t>n</w:t>
      </w:r>
      <w:r w:rsidR="003E7904" w:rsidRPr="00F34E9D">
        <w:rPr>
          <w:rFonts w:asciiTheme="majorHAnsi" w:hAnsiTheme="majorHAnsi" w:cstheme="majorHAnsi"/>
          <w:color w:val="0D0D0D" w:themeColor="text1" w:themeTint="F2"/>
          <w:sz w:val="24"/>
          <w:szCs w:val="24"/>
        </w:rPr>
        <w:t>e</w:t>
      </w:r>
      <w:r w:rsidR="00D81B46" w:rsidRPr="00F34E9D">
        <w:rPr>
          <w:rFonts w:asciiTheme="majorHAnsi" w:hAnsiTheme="majorHAnsi" w:cstheme="majorHAnsi"/>
          <w:color w:val="0D0D0D" w:themeColor="text1" w:themeTint="F2"/>
          <w:sz w:val="24"/>
          <w:szCs w:val="24"/>
        </w:rPr>
        <w:t>evalua</w:t>
      </w:r>
      <w:r w:rsidR="003E7904" w:rsidRPr="00F34E9D">
        <w:rPr>
          <w:rFonts w:asciiTheme="majorHAnsi" w:hAnsiTheme="majorHAnsi" w:cstheme="majorHAnsi"/>
          <w:color w:val="0D0D0D" w:themeColor="text1" w:themeTint="F2"/>
          <w:sz w:val="24"/>
          <w:szCs w:val="24"/>
        </w:rPr>
        <w:t xml:space="preserve">rea </w:t>
      </w:r>
      <w:r w:rsidR="00D81B46" w:rsidRPr="00F34E9D">
        <w:rPr>
          <w:rFonts w:asciiTheme="majorHAnsi" w:hAnsiTheme="majorHAnsi" w:cstheme="majorHAnsi"/>
          <w:color w:val="0D0D0D" w:themeColor="text1" w:themeTint="F2"/>
          <w:sz w:val="24"/>
          <w:szCs w:val="24"/>
        </w:rPr>
        <w:t xml:space="preserve">și </w:t>
      </w:r>
      <w:r w:rsidR="003E7904" w:rsidRPr="00F34E9D">
        <w:rPr>
          <w:rFonts w:asciiTheme="majorHAnsi" w:hAnsiTheme="majorHAnsi" w:cstheme="majorHAnsi"/>
          <w:color w:val="0D0D0D" w:themeColor="text1" w:themeTint="F2"/>
          <w:sz w:val="24"/>
          <w:szCs w:val="24"/>
        </w:rPr>
        <w:t>ne</w:t>
      </w:r>
      <w:r w:rsidR="00D81B46" w:rsidRPr="00F34E9D">
        <w:rPr>
          <w:rFonts w:asciiTheme="majorHAnsi" w:hAnsiTheme="majorHAnsi" w:cstheme="majorHAnsi"/>
          <w:color w:val="0D0D0D" w:themeColor="text1" w:themeTint="F2"/>
          <w:sz w:val="24"/>
          <w:szCs w:val="24"/>
        </w:rPr>
        <w:t>înregistra</w:t>
      </w:r>
      <w:r w:rsidR="003E7904" w:rsidRPr="00F34E9D">
        <w:rPr>
          <w:rFonts w:asciiTheme="majorHAnsi" w:hAnsiTheme="majorHAnsi" w:cstheme="majorHAnsi"/>
          <w:color w:val="0D0D0D" w:themeColor="text1" w:themeTint="F2"/>
          <w:sz w:val="24"/>
          <w:szCs w:val="24"/>
        </w:rPr>
        <w:t xml:space="preserve">rea </w:t>
      </w:r>
      <w:r w:rsidR="00D81B46" w:rsidRPr="00F34E9D">
        <w:rPr>
          <w:rFonts w:asciiTheme="majorHAnsi" w:hAnsiTheme="majorHAnsi" w:cstheme="majorHAnsi"/>
          <w:color w:val="0D0D0D" w:themeColor="text1" w:themeTint="F2"/>
          <w:sz w:val="24"/>
          <w:szCs w:val="24"/>
        </w:rPr>
        <w:t xml:space="preserve">în evidența contabilă </w:t>
      </w:r>
      <w:r w:rsidR="003E7904" w:rsidRPr="00F34E9D">
        <w:rPr>
          <w:rFonts w:asciiTheme="majorHAnsi" w:eastAsia="Times New Roman" w:hAnsiTheme="majorHAnsi" w:cstheme="majorHAnsi"/>
          <w:color w:val="0D0D0D" w:themeColor="text1" w:themeTint="F2"/>
          <w:sz w:val="24"/>
          <w:szCs w:val="24"/>
        </w:rPr>
        <w:t>a 2 construcții</w:t>
      </w:r>
      <w:r w:rsidR="003E7904" w:rsidRPr="00F34E9D">
        <w:rPr>
          <w:rStyle w:val="a7"/>
          <w:rFonts w:asciiTheme="majorHAnsi" w:hAnsiTheme="majorHAnsi" w:cstheme="majorHAnsi"/>
          <w:color w:val="0D0D0D" w:themeColor="text1" w:themeTint="F2"/>
          <w:sz w:val="24"/>
          <w:szCs w:val="24"/>
        </w:rPr>
        <w:footnoteReference w:id="3"/>
      </w:r>
      <w:r w:rsidR="003E7904" w:rsidRPr="00F34E9D">
        <w:rPr>
          <w:rFonts w:asciiTheme="majorHAnsi" w:eastAsia="Times New Roman" w:hAnsiTheme="majorHAnsi" w:cstheme="majorHAnsi"/>
          <w:color w:val="0D0D0D" w:themeColor="text1" w:themeTint="F2"/>
          <w:sz w:val="24"/>
          <w:szCs w:val="24"/>
        </w:rPr>
        <w:t xml:space="preserve"> </w:t>
      </w:r>
      <w:r w:rsidR="003E7904" w:rsidRPr="00F34E9D">
        <w:rPr>
          <w:rFonts w:asciiTheme="majorHAnsi" w:hAnsiTheme="majorHAnsi" w:cstheme="majorHAnsi"/>
          <w:color w:val="0D0D0D" w:themeColor="text1" w:themeTint="F2"/>
          <w:sz w:val="24"/>
          <w:szCs w:val="24"/>
        </w:rPr>
        <w:t>(circa 1</w:t>
      </w:r>
      <w:r w:rsidRPr="00F34E9D">
        <w:rPr>
          <w:rFonts w:asciiTheme="majorHAnsi" w:hAnsiTheme="majorHAnsi" w:cstheme="majorHAnsi"/>
          <w:color w:val="0D0D0D" w:themeColor="text1" w:themeTint="F2"/>
          <w:sz w:val="24"/>
          <w:szCs w:val="24"/>
        </w:rPr>
        <w:t>.</w:t>
      </w:r>
      <w:r w:rsidR="003E7904" w:rsidRPr="00F34E9D">
        <w:rPr>
          <w:rFonts w:asciiTheme="majorHAnsi" w:hAnsiTheme="majorHAnsi" w:cstheme="majorHAnsi"/>
          <w:color w:val="0D0D0D" w:themeColor="text1" w:themeTint="F2"/>
          <w:sz w:val="24"/>
          <w:szCs w:val="24"/>
        </w:rPr>
        <w:t>390 m</w:t>
      </w:r>
      <w:r w:rsidR="003E7904" w:rsidRPr="00F34E9D">
        <w:rPr>
          <w:rFonts w:asciiTheme="majorHAnsi" w:hAnsiTheme="majorHAnsi" w:cstheme="majorHAnsi"/>
          <w:color w:val="0D0D0D" w:themeColor="text1" w:themeTint="F2"/>
          <w:sz w:val="24"/>
          <w:szCs w:val="24"/>
          <w:vertAlign w:val="superscript"/>
        </w:rPr>
        <w:t>2</w:t>
      </w:r>
      <w:r w:rsidR="003E7904" w:rsidRPr="00F34E9D">
        <w:rPr>
          <w:rFonts w:asciiTheme="majorHAnsi" w:hAnsiTheme="majorHAnsi" w:cstheme="majorHAnsi"/>
          <w:color w:val="0D0D0D" w:themeColor="text1" w:themeTint="F2"/>
          <w:sz w:val="24"/>
          <w:szCs w:val="24"/>
        </w:rPr>
        <w:t>) cu valoare</w:t>
      </w:r>
      <w:r w:rsidRPr="00F34E9D">
        <w:rPr>
          <w:rFonts w:asciiTheme="majorHAnsi" w:hAnsiTheme="majorHAnsi" w:cstheme="majorHAnsi"/>
          <w:color w:val="0D0D0D" w:themeColor="text1" w:themeTint="F2"/>
          <w:sz w:val="24"/>
          <w:szCs w:val="24"/>
        </w:rPr>
        <w:t>a</w:t>
      </w:r>
      <w:r w:rsidR="003E7904" w:rsidRPr="00F34E9D">
        <w:rPr>
          <w:rFonts w:asciiTheme="majorHAnsi" w:hAnsiTheme="majorHAnsi" w:cstheme="majorHAnsi"/>
          <w:color w:val="0D0D0D" w:themeColor="text1" w:themeTint="F2"/>
          <w:sz w:val="24"/>
          <w:szCs w:val="24"/>
        </w:rPr>
        <w:t xml:space="preserve"> </w:t>
      </w:r>
      <w:r w:rsidR="00D81B46" w:rsidRPr="00F34E9D">
        <w:rPr>
          <w:rFonts w:asciiTheme="majorHAnsi" w:hAnsiTheme="majorHAnsi" w:cstheme="majorHAnsi"/>
          <w:color w:val="0D0D0D" w:themeColor="text1" w:themeTint="F2"/>
          <w:sz w:val="24"/>
          <w:szCs w:val="24"/>
        </w:rPr>
        <w:t>estimat</w:t>
      </w:r>
      <w:r w:rsidRPr="00F34E9D">
        <w:rPr>
          <w:rFonts w:asciiTheme="majorHAnsi" w:hAnsiTheme="majorHAnsi" w:cstheme="majorHAnsi"/>
          <w:color w:val="0D0D0D" w:themeColor="text1" w:themeTint="F2"/>
          <w:sz w:val="24"/>
          <w:szCs w:val="24"/>
        </w:rPr>
        <w:t>ă</w:t>
      </w:r>
      <w:r w:rsidR="003E7904" w:rsidRPr="00F34E9D">
        <w:rPr>
          <w:rFonts w:asciiTheme="majorHAnsi" w:hAnsiTheme="majorHAnsi" w:cstheme="majorHAnsi"/>
          <w:color w:val="0D0D0D" w:themeColor="text1" w:themeTint="F2"/>
          <w:sz w:val="24"/>
          <w:szCs w:val="24"/>
        </w:rPr>
        <w:t xml:space="preserve"> la</w:t>
      </w:r>
      <w:r w:rsidR="00D81B46" w:rsidRPr="00F34E9D">
        <w:rPr>
          <w:rFonts w:asciiTheme="majorHAnsi" w:hAnsiTheme="majorHAnsi" w:cstheme="majorHAnsi"/>
          <w:color w:val="0D0D0D" w:themeColor="text1" w:themeTint="F2"/>
          <w:sz w:val="24"/>
          <w:szCs w:val="24"/>
        </w:rPr>
        <w:t xml:space="preserve"> 1,4 mil. lei</w:t>
      </w:r>
      <w:r w:rsidR="0047719D" w:rsidRPr="00F34E9D">
        <w:rPr>
          <w:rFonts w:asciiTheme="majorHAnsi" w:hAnsiTheme="majorHAnsi" w:cstheme="majorHAnsi"/>
          <w:color w:val="0D0D0D" w:themeColor="text1" w:themeTint="F2"/>
          <w:sz w:val="24"/>
          <w:szCs w:val="24"/>
        </w:rPr>
        <w:t>;</w:t>
      </w:r>
    </w:p>
    <w:p w14:paraId="26C1BC68" w14:textId="083E7380" w:rsidR="003410B3" w:rsidRPr="00F34E9D" w:rsidRDefault="00A05F5B" w:rsidP="00827278">
      <w:pPr>
        <w:numPr>
          <w:ilvl w:val="0"/>
          <w:numId w:val="30"/>
        </w:numPr>
        <w:spacing w:after="0" w:line="276" w:lineRule="auto"/>
        <w:ind w:left="378"/>
        <w:jc w:val="both"/>
        <w:rPr>
          <w:rFonts w:asciiTheme="majorHAnsi" w:hAnsiTheme="majorHAnsi" w:cstheme="majorHAnsi"/>
          <w:iCs/>
          <w:color w:val="0D0D0D" w:themeColor="text1" w:themeTint="F2"/>
          <w:sz w:val="32"/>
          <w:szCs w:val="24"/>
          <w:lang w:val="ro-RO"/>
        </w:rPr>
      </w:pPr>
      <w:r w:rsidRPr="00F34E9D">
        <w:rPr>
          <w:rFonts w:asciiTheme="majorHAnsi" w:hAnsiTheme="majorHAnsi" w:cstheme="majorHAnsi"/>
          <w:bCs/>
          <w:iCs/>
          <w:color w:val="0D0D0D" w:themeColor="text1" w:themeTint="F2"/>
          <w:sz w:val="24"/>
          <w:szCs w:val="24"/>
          <w:lang w:val="ro-RO"/>
        </w:rPr>
        <w:t xml:space="preserve">majorarea </w:t>
      </w:r>
      <w:r w:rsidR="003410B3" w:rsidRPr="00F34E9D">
        <w:rPr>
          <w:rFonts w:asciiTheme="majorHAnsi" w:hAnsiTheme="majorHAnsi" w:cstheme="majorHAnsi"/>
          <w:bCs/>
          <w:iCs/>
          <w:color w:val="0D0D0D" w:themeColor="text1" w:themeTint="F2"/>
          <w:sz w:val="24"/>
          <w:szCs w:val="24"/>
          <w:lang w:val="ro-RO"/>
        </w:rPr>
        <w:t>valor</w:t>
      </w:r>
      <w:r w:rsidRPr="00F34E9D">
        <w:rPr>
          <w:rFonts w:asciiTheme="majorHAnsi" w:hAnsiTheme="majorHAnsi" w:cstheme="majorHAnsi"/>
          <w:bCs/>
          <w:iCs/>
          <w:color w:val="0D0D0D" w:themeColor="text1" w:themeTint="F2"/>
          <w:sz w:val="24"/>
          <w:szCs w:val="24"/>
          <w:lang w:val="ro-RO"/>
        </w:rPr>
        <w:t>ii</w:t>
      </w:r>
      <w:r w:rsidR="003410B3" w:rsidRPr="00F34E9D">
        <w:rPr>
          <w:rFonts w:asciiTheme="majorHAnsi" w:hAnsiTheme="majorHAnsi" w:cstheme="majorHAnsi"/>
          <w:bCs/>
          <w:iCs/>
          <w:color w:val="0D0D0D" w:themeColor="text1" w:themeTint="F2"/>
          <w:sz w:val="24"/>
          <w:szCs w:val="24"/>
          <w:lang w:val="ro-RO"/>
        </w:rPr>
        <w:t xml:space="preserve"> clădirilor cu </w:t>
      </w:r>
      <w:r w:rsidR="00405EA7" w:rsidRPr="00F34E9D">
        <w:rPr>
          <w:rFonts w:asciiTheme="majorHAnsi" w:hAnsiTheme="majorHAnsi" w:cstheme="majorHAnsi"/>
          <w:bCs/>
          <w:iCs/>
          <w:color w:val="0D0D0D" w:themeColor="text1" w:themeTint="F2"/>
          <w:sz w:val="24"/>
          <w:szCs w:val="24"/>
          <w:lang w:val="ro-RO"/>
        </w:rPr>
        <w:t>5,44</w:t>
      </w:r>
      <w:r w:rsidR="003410B3" w:rsidRPr="00F34E9D">
        <w:rPr>
          <w:rFonts w:asciiTheme="majorHAnsi" w:hAnsiTheme="majorHAnsi" w:cstheme="majorHAnsi"/>
          <w:bCs/>
          <w:iCs/>
          <w:color w:val="0D0D0D" w:themeColor="text1" w:themeTint="F2"/>
          <w:sz w:val="24"/>
          <w:szCs w:val="24"/>
          <w:lang w:val="ro-RO"/>
        </w:rPr>
        <w:t xml:space="preserve"> mil. lei </w:t>
      </w:r>
      <w:r w:rsidR="009C564C" w:rsidRPr="00F34E9D">
        <w:rPr>
          <w:rFonts w:asciiTheme="majorHAnsi" w:hAnsiTheme="majorHAnsi" w:cstheme="majorHAnsi"/>
          <w:bCs/>
          <w:iCs/>
          <w:color w:val="0D0D0D" w:themeColor="text1" w:themeTint="F2"/>
          <w:sz w:val="24"/>
          <w:szCs w:val="24"/>
          <w:lang w:val="ro-RO"/>
        </w:rPr>
        <w:t>ca</w:t>
      </w:r>
      <w:r w:rsidR="003410B3" w:rsidRPr="00F34E9D">
        <w:rPr>
          <w:rFonts w:asciiTheme="majorHAnsi" w:hAnsiTheme="majorHAnsi" w:cstheme="majorHAnsi"/>
          <w:bCs/>
          <w:iCs/>
          <w:color w:val="0D0D0D" w:themeColor="text1" w:themeTint="F2"/>
          <w:sz w:val="24"/>
          <w:szCs w:val="24"/>
          <w:lang w:val="ro-RO"/>
        </w:rPr>
        <w:t xml:space="preserve"> rezultat</w:t>
      </w:r>
      <w:r w:rsidR="009C564C" w:rsidRPr="00F34E9D">
        <w:rPr>
          <w:rFonts w:asciiTheme="majorHAnsi" w:hAnsiTheme="majorHAnsi" w:cstheme="majorHAnsi"/>
          <w:bCs/>
          <w:iCs/>
          <w:color w:val="0D0D0D" w:themeColor="text1" w:themeTint="F2"/>
          <w:sz w:val="24"/>
          <w:szCs w:val="24"/>
          <w:lang w:val="ro-RO"/>
        </w:rPr>
        <w:t xml:space="preserve"> a</w:t>
      </w:r>
      <w:r w:rsidR="003410B3" w:rsidRPr="00F34E9D">
        <w:rPr>
          <w:rFonts w:asciiTheme="majorHAnsi" w:hAnsiTheme="majorHAnsi" w:cstheme="majorHAnsi"/>
          <w:bCs/>
          <w:iCs/>
          <w:color w:val="0D0D0D" w:themeColor="text1" w:themeTint="F2"/>
          <w:sz w:val="24"/>
          <w:szCs w:val="24"/>
          <w:lang w:val="ro-RO"/>
        </w:rPr>
        <w:t xml:space="preserve">l recunoașterii </w:t>
      </w:r>
      <w:r w:rsidR="003410B3" w:rsidRPr="00F34E9D">
        <w:rPr>
          <w:rFonts w:asciiTheme="majorHAnsi" w:hAnsiTheme="majorHAnsi" w:cstheme="majorHAnsi"/>
          <w:color w:val="0D0D0D" w:themeColor="text1" w:themeTint="F2"/>
          <w:sz w:val="24"/>
          <w:szCs w:val="24"/>
        </w:rPr>
        <w:t>valorii reparațiilor capitale efectuate la clădirile ca</w:t>
      </w:r>
      <w:r w:rsidR="00FC35C1" w:rsidRPr="00F34E9D">
        <w:rPr>
          <w:rFonts w:asciiTheme="majorHAnsi" w:hAnsiTheme="majorHAnsi" w:cstheme="majorHAnsi"/>
          <w:color w:val="0D0D0D" w:themeColor="text1" w:themeTint="F2"/>
          <w:sz w:val="24"/>
          <w:szCs w:val="24"/>
        </w:rPr>
        <w:t>re aparțin APL din Transnistria</w:t>
      </w:r>
      <w:r w:rsidRPr="00F34E9D">
        <w:rPr>
          <w:rFonts w:asciiTheme="majorHAnsi" w:hAnsiTheme="majorHAnsi" w:cstheme="majorHAnsi"/>
          <w:color w:val="0D0D0D" w:themeColor="text1" w:themeTint="F2"/>
          <w:sz w:val="24"/>
          <w:szCs w:val="24"/>
        </w:rPr>
        <w:t>, din care 0,9</w:t>
      </w:r>
      <w:r w:rsidR="00997B76" w:rsidRPr="00F34E9D">
        <w:rPr>
          <w:rFonts w:asciiTheme="majorHAnsi" w:hAnsiTheme="majorHAnsi" w:cstheme="majorHAnsi"/>
          <w:color w:val="0D0D0D" w:themeColor="text1" w:themeTint="F2"/>
          <w:sz w:val="24"/>
          <w:szCs w:val="24"/>
        </w:rPr>
        <w:t>7</w:t>
      </w:r>
      <w:r w:rsidRPr="00F34E9D">
        <w:rPr>
          <w:rFonts w:asciiTheme="majorHAnsi" w:hAnsiTheme="majorHAnsi" w:cstheme="majorHAnsi"/>
          <w:color w:val="0D0D0D" w:themeColor="text1" w:themeTint="F2"/>
          <w:sz w:val="24"/>
          <w:szCs w:val="24"/>
        </w:rPr>
        <w:t xml:space="preserve"> mil</w:t>
      </w:r>
      <w:r w:rsidR="009C564C" w:rsidRPr="00F34E9D">
        <w:rPr>
          <w:rFonts w:asciiTheme="majorHAnsi" w:hAnsiTheme="majorHAnsi" w:cstheme="majorHAnsi"/>
          <w:color w:val="0D0D0D" w:themeColor="text1" w:themeTint="F2"/>
          <w:sz w:val="24"/>
          <w:szCs w:val="24"/>
        </w:rPr>
        <w:t>.</w:t>
      </w:r>
      <w:r w:rsidRPr="00F34E9D">
        <w:rPr>
          <w:rFonts w:asciiTheme="majorHAnsi" w:hAnsiTheme="majorHAnsi" w:cstheme="majorHAnsi"/>
          <w:color w:val="0D0D0D" w:themeColor="text1" w:themeTint="F2"/>
          <w:sz w:val="24"/>
          <w:szCs w:val="24"/>
        </w:rPr>
        <w:t xml:space="preserve"> lei în anul 2021 și 3,02 mil.lei în anii precedenți</w:t>
      </w:r>
      <w:r w:rsidR="00F12409" w:rsidRPr="00F34E9D">
        <w:rPr>
          <w:rFonts w:asciiTheme="majorHAnsi" w:hAnsiTheme="majorHAnsi" w:cstheme="majorHAnsi"/>
          <w:color w:val="0D0D0D" w:themeColor="text1" w:themeTint="F2"/>
          <w:sz w:val="24"/>
          <w:szCs w:val="24"/>
        </w:rPr>
        <w:t xml:space="preserve"> </w:t>
      </w:r>
      <w:r w:rsidR="00F12409" w:rsidRPr="00F34E9D">
        <w:rPr>
          <w:rFonts w:asciiTheme="majorHAnsi" w:eastAsia="Times New Roman" w:hAnsiTheme="majorHAnsi" w:cstheme="majorHAnsi"/>
          <w:color w:val="0D0D0D" w:themeColor="text1" w:themeTint="F2"/>
          <w:sz w:val="24"/>
          <w:szCs w:val="24"/>
        </w:rPr>
        <w:t>și Î.S. „Centrul republican de reabilitare a invalizilor, veteranilor muncii și de război” din s. Cocieri (1,45 mil.lei)</w:t>
      </w:r>
      <w:r w:rsidR="00FC35C1" w:rsidRPr="00F34E9D">
        <w:rPr>
          <w:rFonts w:asciiTheme="majorHAnsi" w:hAnsiTheme="majorHAnsi" w:cstheme="majorHAnsi"/>
          <w:color w:val="0D0D0D" w:themeColor="text1" w:themeTint="F2"/>
          <w:sz w:val="24"/>
          <w:szCs w:val="24"/>
        </w:rPr>
        <w:t>;</w:t>
      </w:r>
    </w:p>
    <w:p w14:paraId="541EB27D" w14:textId="32AF9C96" w:rsidR="00D25D3B" w:rsidRPr="00F34E9D" w:rsidRDefault="00DF21AC" w:rsidP="00827278">
      <w:pPr>
        <w:numPr>
          <w:ilvl w:val="0"/>
          <w:numId w:val="30"/>
        </w:numPr>
        <w:spacing w:after="0" w:line="276" w:lineRule="auto"/>
        <w:ind w:left="378"/>
        <w:jc w:val="both"/>
        <w:rPr>
          <w:rFonts w:asciiTheme="majorHAnsi" w:hAnsiTheme="majorHAnsi" w:cstheme="majorHAnsi"/>
          <w:iCs/>
          <w:color w:val="0D0D0D" w:themeColor="text1" w:themeTint="F2"/>
          <w:sz w:val="24"/>
          <w:szCs w:val="24"/>
          <w:lang w:val="ro-RO"/>
        </w:rPr>
      </w:pPr>
      <w:r w:rsidRPr="00F34E9D">
        <w:rPr>
          <w:rFonts w:asciiTheme="majorHAnsi" w:eastAsia="Times New Roman" w:hAnsiTheme="majorHAnsi" w:cstheme="majorHAnsi"/>
          <w:color w:val="0D0D0D" w:themeColor="text1" w:themeTint="F2"/>
          <w:sz w:val="24"/>
          <w:szCs w:val="24"/>
        </w:rPr>
        <w:t xml:space="preserve">majorarea </w:t>
      </w:r>
      <w:r w:rsidR="003410B3" w:rsidRPr="00F34E9D">
        <w:rPr>
          <w:rFonts w:asciiTheme="majorHAnsi" w:hAnsiTheme="majorHAnsi" w:cstheme="majorHAnsi"/>
          <w:color w:val="0D0D0D" w:themeColor="text1" w:themeTint="F2"/>
          <w:sz w:val="24"/>
          <w:szCs w:val="24"/>
        </w:rPr>
        <w:t xml:space="preserve">contului cu 4,52 mil.lei, </w:t>
      </w:r>
      <w:r w:rsidR="00D25D3B" w:rsidRPr="00F34E9D">
        <w:rPr>
          <w:rFonts w:asciiTheme="majorHAnsi" w:eastAsia="Times New Roman" w:hAnsiTheme="majorHAnsi" w:cstheme="majorHAnsi"/>
          <w:color w:val="0D0D0D" w:themeColor="text1" w:themeTint="F2"/>
          <w:sz w:val="24"/>
          <w:szCs w:val="24"/>
        </w:rPr>
        <w:t>ca rezultat a</w:t>
      </w:r>
      <w:r w:rsidR="009C564C" w:rsidRPr="00F34E9D">
        <w:rPr>
          <w:rFonts w:asciiTheme="majorHAnsi" w:eastAsia="Times New Roman" w:hAnsiTheme="majorHAnsi" w:cstheme="majorHAnsi"/>
          <w:color w:val="0D0D0D" w:themeColor="text1" w:themeTint="F2"/>
          <w:sz w:val="24"/>
          <w:szCs w:val="24"/>
        </w:rPr>
        <w:t>l</w:t>
      </w:r>
      <w:r w:rsidR="00D25D3B" w:rsidRPr="00F34E9D">
        <w:rPr>
          <w:rFonts w:asciiTheme="majorHAnsi" w:eastAsia="Times New Roman" w:hAnsiTheme="majorHAnsi" w:cstheme="majorHAnsi"/>
          <w:color w:val="0D0D0D" w:themeColor="text1" w:themeTint="F2"/>
          <w:sz w:val="24"/>
          <w:szCs w:val="24"/>
        </w:rPr>
        <w:t xml:space="preserve"> nedecontării bunurilor care </w:t>
      </w:r>
      <w:r w:rsidR="00D25D3B" w:rsidRPr="00F34E9D">
        <w:rPr>
          <w:rFonts w:asciiTheme="majorHAnsi" w:hAnsiTheme="majorHAnsi" w:cstheme="majorHAnsi"/>
          <w:color w:val="0D0D0D" w:themeColor="text1" w:themeTint="F2"/>
          <w:sz w:val="24"/>
          <w:szCs w:val="24"/>
        </w:rPr>
        <w:t>nu aparțin instituțiilor și/sau au fost privatizate</w:t>
      </w:r>
      <w:r w:rsidR="00D25D3B" w:rsidRPr="00F34E9D">
        <w:rPr>
          <w:rStyle w:val="a7"/>
          <w:rFonts w:asciiTheme="majorHAnsi" w:hAnsiTheme="majorHAnsi" w:cstheme="majorHAnsi"/>
          <w:color w:val="0D0D0D" w:themeColor="text1" w:themeTint="F2"/>
          <w:sz w:val="24"/>
          <w:szCs w:val="24"/>
        </w:rPr>
        <w:footnoteReference w:id="4"/>
      </w:r>
      <w:r w:rsidR="0047719D" w:rsidRPr="00F34E9D">
        <w:rPr>
          <w:rFonts w:asciiTheme="majorHAnsi" w:hAnsiTheme="majorHAnsi" w:cstheme="majorHAnsi"/>
          <w:color w:val="0D0D0D" w:themeColor="text1" w:themeTint="F2"/>
          <w:sz w:val="24"/>
          <w:szCs w:val="24"/>
        </w:rPr>
        <w:t>.</w:t>
      </w:r>
    </w:p>
    <w:p w14:paraId="2E8C6F2A" w14:textId="14CE3175" w:rsidR="00DF21AC" w:rsidRPr="00F34E9D" w:rsidRDefault="0005120D">
      <w:pPr>
        <w:spacing w:after="0" w:line="276" w:lineRule="auto"/>
        <w:ind w:right="-35"/>
        <w:contextualSpacing/>
        <w:jc w:val="both"/>
        <w:rPr>
          <w:rFonts w:asciiTheme="majorHAnsi" w:eastAsia="Calibri" w:hAnsiTheme="majorHAnsi" w:cstheme="majorHAnsi"/>
          <w:color w:val="0D0D0D" w:themeColor="text1" w:themeTint="F2"/>
          <w:sz w:val="24"/>
          <w:szCs w:val="24"/>
        </w:rPr>
      </w:pPr>
      <w:r w:rsidRPr="00F34E9D">
        <w:rPr>
          <w:rFonts w:asciiTheme="majorHAnsi" w:eastAsia="Times New Roman" w:hAnsiTheme="majorHAnsi" w:cstheme="majorHAnsi"/>
          <w:b/>
          <w:bCs/>
          <w:i/>
          <w:iCs/>
          <w:color w:val="0D0D0D" w:themeColor="text1" w:themeTint="F2"/>
          <w:sz w:val="24"/>
          <w:szCs w:val="24"/>
          <w:lang w:val="ro-RO"/>
        </w:rPr>
        <w:t xml:space="preserve">2.3. </w:t>
      </w:r>
      <w:r w:rsidR="00DF21AC" w:rsidRPr="00F34E9D">
        <w:rPr>
          <w:rFonts w:asciiTheme="majorHAnsi" w:eastAsia="Calibri" w:hAnsiTheme="majorHAnsi" w:cstheme="majorHAnsi"/>
          <w:color w:val="0D0D0D" w:themeColor="text1" w:themeTint="F2"/>
          <w:sz w:val="24"/>
          <w:szCs w:val="24"/>
        </w:rPr>
        <w:t xml:space="preserve">La </w:t>
      </w:r>
      <w:r w:rsidR="00437A5D" w:rsidRPr="00F34E9D">
        <w:rPr>
          <w:rFonts w:asciiTheme="majorHAnsi" w:hAnsiTheme="majorHAnsi" w:cstheme="majorHAnsi"/>
          <w:color w:val="0D0D0D" w:themeColor="text1" w:themeTint="F2"/>
          <w:sz w:val="24"/>
          <w:szCs w:val="24"/>
        </w:rPr>
        <w:t>contul</w:t>
      </w:r>
      <w:r w:rsidR="005E6055" w:rsidRPr="00F34E9D">
        <w:rPr>
          <w:rFonts w:asciiTheme="majorHAnsi" w:hAnsiTheme="majorHAnsi" w:cstheme="majorHAnsi"/>
          <w:color w:val="0D0D0D" w:themeColor="text1" w:themeTint="F2"/>
          <w:sz w:val="24"/>
          <w:szCs w:val="24"/>
        </w:rPr>
        <w:t xml:space="preserve"> 312 </w:t>
      </w:r>
      <w:r w:rsidR="009C564C" w:rsidRPr="00F34E9D">
        <w:rPr>
          <w:rFonts w:asciiTheme="majorHAnsi" w:eastAsia="Calibri" w:hAnsiTheme="majorHAnsi" w:cstheme="majorHAnsi"/>
          <w:color w:val="0D0D0D" w:themeColor="text1" w:themeTint="F2"/>
          <w:sz w:val="24"/>
          <w:szCs w:val="24"/>
        </w:rPr>
        <w:t>di</w:t>
      </w:r>
      <w:r w:rsidR="00541FDA" w:rsidRPr="00F34E9D">
        <w:rPr>
          <w:rFonts w:asciiTheme="majorHAnsi" w:eastAsia="Calibri" w:hAnsiTheme="majorHAnsi" w:cstheme="majorHAnsi"/>
          <w:color w:val="0D0D0D" w:themeColor="text1" w:themeTint="F2"/>
          <w:sz w:val="24"/>
          <w:szCs w:val="24"/>
        </w:rPr>
        <w:t>n evidența unei instituții</w:t>
      </w:r>
      <w:r w:rsidR="00541FDA" w:rsidRPr="00F34E9D">
        <w:rPr>
          <w:rStyle w:val="a7"/>
          <w:rFonts w:asciiTheme="majorHAnsi" w:eastAsia="Calibri" w:hAnsiTheme="majorHAnsi" w:cstheme="majorHAnsi"/>
          <w:color w:val="0D0D0D" w:themeColor="text1" w:themeTint="F2"/>
          <w:sz w:val="24"/>
          <w:szCs w:val="24"/>
        </w:rPr>
        <w:footnoteReference w:id="5"/>
      </w:r>
      <w:r w:rsidR="00541FDA" w:rsidRPr="00F34E9D">
        <w:rPr>
          <w:rFonts w:asciiTheme="majorHAnsi" w:eastAsia="Calibri" w:hAnsiTheme="majorHAnsi" w:cstheme="majorHAnsi"/>
          <w:color w:val="0D0D0D" w:themeColor="text1" w:themeTint="F2"/>
          <w:sz w:val="24"/>
          <w:szCs w:val="24"/>
        </w:rPr>
        <w:t xml:space="preserve"> este înregistrată</w:t>
      </w:r>
      <w:r w:rsidR="00541FDA" w:rsidRPr="00F34E9D">
        <w:rPr>
          <w:rFonts w:asciiTheme="majorHAnsi" w:hAnsiTheme="majorHAnsi" w:cstheme="majorHAnsi"/>
          <w:color w:val="0D0D0D" w:themeColor="text1" w:themeTint="F2"/>
          <w:sz w:val="24"/>
          <w:szCs w:val="24"/>
        </w:rPr>
        <w:t xml:space="preserve"> </w:t>
      </w:r>
      <w:r w:rsidR="00602900" w:rsidRPr="00F34E9D">
        <w:rPr>
          <w:rFonts w:asciiTheme="majorHAnsi" w:hAnsiTheme="majorHAnsi" w:cstheme="majorHAnsi"/>
          <w:color w:val="0D0D0D" w:themeColor="text1" w:themeTint="F2"/>
          <w:sz w:val="24"/>
          <w:szCs w:val="24"/>
        </w:rPr>
        <w:t xml:space="preserve">o </w:t>
      </w:r>
      <w:r w:rsidR="005E6055" w:rsidRPr="00F34E9D">
        <w:rPr>
          <w:rFonts w:asciiTheme="majorHAnsi" w:hAnsiTheme="majorHAnsi" w:cstheme="majorHAnsi"/>
          <w:color w:val="0D0D0D" w:themeColor="text1" w:themeTint="F2"/>
          <w:sz w:val="24"/>
          <w:szCs w:val="24"/>
        </w:rPr>
        <w:t>c</w:t>
      </w:r>
      <w:r w:rsidR="00DF21AC" w:rsidRPr="00F34E9D">
        <w:rPr>
          <w:rFonts w:asciiTheme="majorHAnsi" w:hAnsiTheme="majorHAnsi" w:cstheme="majorHAnsi"/>
          <w:color w:val="0D0D0D" w:themeColor="text1" w:themeTint="F2"/>
          <w:sz w:val="24"/>
          <w:szCs w:val="24"/>
        </w:rPr>
        <w:t>onstrucți</w:t>
      </w:r>
      <w:r w:rsidR="00602900" w:rsidRPr="00F34E9D">
        <w:rPr>
          <w:rFonts w:asciiTheme="majorHAnsi" w:hAnsiTheme="majorHAnsi" w:cstheme="majorHAnsi"/>
          <w:color w:val="0D0D0D" w:themeColor="text1" w:themeTint="F2"/>
          <w:sz w:val="24"/>
          <w:szCs w:val="24"/>
        </w:rPr>
        <w:t>e</w:t>
      </w:r>
      <w:r w:rsidR="00DF21AC" w:rsidRPr="00F34E9D">
        <w:rPr>
          <w:rFonts w:asciiTheme="majorHAnsi" w:hAnsiTheme="majorHAnsi" w:cstheme="majorHAnsi"/>
          <w:color w:val="0D0D0D" w:themeColor="text1" w:themeTint="F2"/>
          <w:sz w:val="24"/>
          <w:szCs w:val="24"/>
        </w:rPr>
        <w:t xml:space="preserve"> special</w:t>
      </w:r>
      <w:r w:rsidR="00602900" w:rsidRPr="00F34E9D">
        <w:rPr>
          <w:rFonts w:asciiTheme="majorHAnsi" w:hAnsiTheme="majorHAnsi" w:cstheme="majorHAnsi"/>
          <w:color w:val="0D0D0D" w:themeColor="text1" w:themeTint="F2"/>
          <w:sz w:val="24"/>
          <w:szCs w:val="24"/>
        </w:rPr>
        <w:t>ă</w:t>
      </w:r>
      <w:r w:rsidR="00DF21AC" w:rsidRPr="00F34E9D">
        <w:rPr>
          <w:rFonts w:asciiTheme="majorHAnsi" w:hAnsiTheme="majorHAnsi" w:cstheme="majorHAnsi"/>
          <w:color w:val="0D0D0D" w:themeColor="text1" w:themeTint="F2"/>
          <w:sz w:val="24"/>
          <w:szCs w:val="24"/>
        </w:rPr>
        <w:t xml:space="preserve"> </w:t>
      </w:r>
      <w:r w:rsidR="005E6055" w:rsidRPr="00F34E9D">
        <w:rPr>
          <w:rFonts w:asciiTheme="majorHAnsi" w:hAnsiTheme="majorHAnsi" w:cstheme="majorHAnsi"/>
          <w:color w:val="0D0D0D" w:themeColor="text1" w:themeTint="F2"/>
          <w:sz w:val="24"/>
          <w:szCs w:val="24"/>
        </w:rPr>
        <w:t xml:space="preserve">în sumă </w:t>
      </w:r>
      <w:r w:rsidR="00DF21AC" w:rsidRPr="00F34E9D">
        <w:rPr>
          <w:rFonts w:asciiTheme="majorHAnsi" w:eastAsia="Calibri" w:hAnsiTheme="majorHAnsi" w:cstheme="majorHAnsi"/>
          <w:color w:val="0D0D0D" w:themeColor="text1" w:themeTint="F2"/>
          <w:sz w:val="24"/>
          <w:szCs w:val="24"/>
        </w:rPr>
        <w:t xml:space="preserve">de </w:t>
      </w:r>
      <w:r w:rsidR="00437A5D" w:rsidRPr="00F34E9D">
        <w:rPr>
          <w:rFonts w:asciiTheme="majorHAnsi" w:eastAsia="Calibri" w:hAnsiTheme="majorHAnsi" w:cstheme="majorHAnsi"/>
          <w:b/>
          <w:color w:val="0D0D0D" w:themeColor="text1" w:themeTint="F2"/>
          <w:sz w:val="24"/>
          <w:szCs w:val="24"/>
        </w:rPr>
        <w:t xml:space="preserve">2,53 mil. </w:t>
      </w:r>
      <w:r w:rsidR="00DF21AC" w:rsidRPr="00F34E9D">
        <w:rPr>
          <w:rFonts w:asciiTheme="majorHAnsi" w:eastAsia="Calibri" w:hAnsiTheme="majorHAnsi" w:cstheme="majorHAnsi"/>
          <w:b/>
          <w:color w:val="0D0D0D" w:themeColor="text1" w:themeTint="F2"/>
          <w:sz w:val="24"/>
          <w:szCs w:val="24"/>
        </w:rPr>
        <w:t>lei</w:t>
      </w:r>
      <w:r w:rsidR="00E37BEF" w:rsidRPr="00F34E9D">
        <w:rPr>
          <w:rFonts w:asciiTheme="majorHAnsi" w:hAnsiTheme="majorHAnsi" w:cstheme="majorHAnsi"/>
          <w:color w:val="0D0D0D" w:themeColor="text1" w:themeTint="F2"/>
          <w:sz w:val="24"/>
          <w:szCs w:val="24"/>
        </w:rPr>
        <w:t xml:space="preserve"> și uzura calculată de </w:t>
      </w:r>
      <w:r w:rsidR="00E37BEF" w:rsidRPr="00F34E9D">
        <w:rPr>
          <w:rFonts w:asciiTheme="majorHAnsi" w:hAnsiTheme="majorHAnsi" w:cstheme="majorHAnsi"/>
          <w:b/>
          <w:color w:val="0D0D0D" w:themeColor="text1" w:themeTint="F2"/>
          <w:sz w:val="24"/>
          <w:szCs w:val="24"/>
        </w:rPr>
        <w:t>0,97 mil. lei</w:t>
      </w:r>
      <w:r w:rsidR="00602900" w:rsidRPr="00F34E9D">
        <w:rPr>
          <w:rFonts w:asciiTheme="majorHAnsi" w:eastAsia="Calibri" w:hAnsiTheme="majorHAnsi" w:cstheme="majorHAnsi"/>
          <w:color w:val="0D0D0D" w:themeColor="text1" w:themeTint="F2"/>
          <w:sz w:val="24"/>
          <w:szCs w:val="24"/>
        </w:rPr>
        <w:t xml:space="preserve">, pentru care nu </w:t>
      </w:r>
      <w:r w:rsidR="00541FDA" w:rsidRPr="00F34E9D">
        <w:rPr>
          <w:rFonts w:asciiTheme="majorHAnsi" w:eastAsia="Calibri" w:hAnsiTheme="majorHAnsi" w:cstheme="majorHAnsi"/>
          <w:color w:val="0D0D0D" w:themeColor="text1" w:themeTint="F2"/>
          <w:sz w:val="24"/>
          <w:szCs w:val="24"/>
        </w:rPr>
        <w:t xml:space="preserve">se dețin documente confirmative </w:t>
      </w:r>
      <w:r w:rsidR="008175DD" w:rsidRPr="00F34E9D">
        <w:rPr>
          <w:rFonts w:asciiTheme="majorHAnsi" w:eastAsia="Calibri" w:hAnsiTheme="majorHAnsi" w:cstheme="majorHAnsi"/>
          <w:color w:val="0D0D0D" w:themeColor="text1" w:themeTint="F2"/>
          <w:sz w:val="24"/>
          <w:szCs w:val="24"/>
        </w:rPr>
        <w:t>și care nu a putut fi identificată în natură</w:t>
      </w:r>
      <w:r w:rsidR="00DF21AC" w:rsidRPr="00F34E9D">
        <w:rPr>
          <w:rFonts w:asciiTheme="majorHAnsi" w:eastAsia="Calibri" w:hAnsiTheme="majorHAnsi" w:cstheme="majorHAnsi"/>
          <w:color w:val="0D0D0D" w:themeColor="text1" w:themeTint="F2"/>
          <w:sz w:val="24"/>
          <w:szCs w:val="24"/>
        </w:rPr>
        <w:t>.</w:t>
      </w:r>
      <w:r w:rsidR="00E37BEF" w:rsidRPr="00F34E9D">
        <w:rPr>
          <w:rFonts w:asciiTheme="majorHAnsi" w:eastAsia="Calibri" w:hAnsiTheme="majorHAnsi" w:cstheme="majorHAnsi"/>
          <w:color w:val="0D0D0D" w:themeColor="text1" w:themeTint="F2"/>
          <w:sz w:val="24"/>
          <w:szCs w:val="24"/>
        </w:rPr>
        <w:t xml:space="preserve"> </w:t>
      </w:r>
    </w:p>
    <w:p w14:paraId="51E1BDF6" w14:textId="43D5DFF2" w:rsidR="00215412" w:rsidRPr="00F34E9D" w:rsidRDefault="00E96123" w:rsidP="00A8666C">
      <w:pPr>
        <w:spacing w:after="0" w:line="276" w:lineRule="auto"/>
        <w:jc w:val="both"/>
        <w:rPr>
          <w:rFonts w:asciiTheme="majorHAnsi" w:hAnsiTheme="majorHAnsi" w:cstheme="majorHAnsi"/>
          <w:i/>
          <w:color w:val="0D0D0D" w:themeColor="text1" w:themeTint="F2"/>
          <w:sz w:val="24"/>
          <w:szCs w:val="24"/>
        </w:rPr>
      </w:pPr>
      <w:r w:rsidRPr="00F34E9D">
        <w:rPr>
          <w:rFonts w:asciiTheme="majorHAnsi" w:hAnsiTheme="majorHAnsi" w:cstheme="majorHAnsi"/>
          <w:b/>
          <w:iCs/>
          <w:color w:val="0D0D0D" w:themeColor="text1" w:themeTint="F2"/>
          <w:sz w:val="24"/>
          <w:szCs w:val="24"/>
          <w:lang w:val="ro-RO"/>
        </w:rPr>
        <w:t>2.</w:t>
      </w:r>
      <w:r w:rsidR="00E56BC4" w:rsidRPr="00F34E9D">
        <w:rPr>
          <w:rFonts w:asciiTheme="majorHAnsi" w:hAnsiTheme="majorHAnsi" w:cstheme="majorHAnsi"/>
          <w:b/>
          <w:iCs/>
          <w:color w:val="0D0D0D" w:themeColor="text1" w:themeTint="F2"/>
          <w:sz w:val="24"/>
          <w:szCs w:val="24"/>
          <w:lang w:val="ro-RO"/>
        </w:rPr>
        <w:t>4</w:t>
      </w:r>
      <w:r w:rsidRPr="00F34E9D">
        <w:rPr>
          <w:rFonts w:asciiTheme="majorHAnsi" w:hAnsiTheme="majorHAnsi" w:cstheme="majorHAnsi"/>
          <w:b/>
          <w:iCs/>
          <w:color w:val="0D0D0D" w:themeColor="text1" w:themeTint="F2"/>
          <w:sz w:val="24"/>
          <w:szCs w:val="24"/>
          <w:lang w:val="ro-RO"/>
        </w:rPr>
        <w:t>.</w:t>
      </w:r>
      <w:r w:rsidRPr="00F34E9D">
        <w:rPr>
          <w:rFonts w:asciiTheme="majorHAnsi" w:hAnsiTheme="majorHAnsi" w:cstheme="majorHAnsi"/>
          <w:i/>
          <w:iCs/>
          <w:color w:val="0D0D0D" w:themeColor="text1" w:themeTint="F2"/>
          <w:sz w:val="24"/>
          <w:szCs w:val="24"/>
          <w:lang w:val="ro-RO"/>
        </w:rPr>
        <w:t xml:space="preserve"> </w:t>
      </w:r>
      <w:r w:rsidR="004E38B4" w:rsidRPr="00F34E9D">
        <w:rPr>
          <w:rFonts w:asciiTheme="majorHAnsi" w:hAnsiTheme="majorHAnsi" w:cstheme="majorHAnsi"/>
          <w:i/>
          <w:iCs/>
          <w:color w:val="0D0D0D" w:themeColor="text1" w:themeTint="F2"/>
          <w:sz w:val="24"/>
          <w:szCs w:val="24"/>
        </w:rPr>
        <w:t>Diminuarea</w:t>
      </w:r>
      <w:r w:rsidR="004E38B4" w:rsidRPr="00F34E9D">
        <w:rPr>
          <w:rFonts w:asciiTheme="majorHAnsi" w:hAnsiTheme="majorHAnsi" w:cstheme="majorHAnsi"/>
          <w:i/>
          <w:color w:val="0D0D0D" w:themeColor="text1" w:themeTint="F2"/>
          <w:sz w:val="24"/>
          <w:szCs w:val="24"/>
        </w:rPr>
        <w:t xml:space="preserve"> valorii contului </w:t>
      </w:r>
      <w:r w:rsidR="004E38B4" w:rsidRPr="00F34E9D">
        <w:rPr>
          <w:rFonts w:asciiTheme="majorHAnsi" w:hAnsiTheme="majorHAnsi" w:cstheme="majorHAnsi"/>
          <w:i/>
          <w:iCs/>
          <w:color w:val="0D0D0D" w:themeColor="text1" w:themeTint="F2"/>
          <w:sz w:val="24"/>
          <w:szCs w:val="24"/>
        </w:rPr>
        <w:t>415</w:t>
      </w:r>
      <w:r w:rsidR="004E38B4" w:rsidRPr="00F34E9D">
        <w:rPr>
          <w:rFonts w:asciiTheme="majorHAnsi" w:hAnsiTheme="majorHAnsi" w:cstheme="majorHAnsi"/>
          <w:i/>
          <w:color w:val="0D0D0D" w:themeColor="text1" w:themeTint="F2"/>
          <w:sz w:val="24"/>
          <w:szCs w:val="24"/>
        </w:rPr>
        <w:t xml:space="preserve"> „</w:t>
      </w:r>
      <w:r w:rsidR="004E38B4" w:rsidRPr="00F34E9D">
        <w:rPr>
          <w:rFonts w:asciiTheme="majorHAnsi" w:hAnsiTheme="majorHAnsi" w:cstheme="majorHAnsi"/>
          <w:i/>
          <w:iCs/>
          <w:color w:val="0D0D0D" w:themeColor="text1" w:themeTint="F2"/>
          <w:sz w:val="24"/>
          <w:szCs w:val="24"/>
        </w:rPr>
        <w:t xml:space="preserve">Acțiuni și alte forme de participare în capital în interiorul țării” cu </w:t>
      </w:r>
      <w:r w:rsidR="000C7BAF" w:rsidRPr="00F34E9D">
        <w:rPr>
          <w:rFonts w:asciiTheme="majorHAnsi" w:hAnsiTheme="majorHAnsi" w:cstheme="majorHAnsi"/>
          <w:b/>
          <w:i/>
          <w:iCs/>
          <w:color w:val="0D0D0D" w:themeColor="text1" w:themeTint="F2"/>
          <w:sz w:val="24"/>
          <w:szCs w:val="24"/>
        </w:rPr>
        <w:t>4.37</w:t>
      </w:r>
      <w:r w:rsidR="00AF1F02" w:rsidRPr="00F34E9D">
        <w:rPr>
          <w:rFonts w:asciiTheme="majorHAnsi" w:hAnsiTheme="majorHAnsi" w:cstheme="majorHAnsi"/>
          <w:b/>
          <w:i/>
          <w:iCs/>
          <w:color w:val="0D0D0D" w:themeColor="text1" w:themeTint="F2"/>
          <w:sz w:val="24"/>
          <w:szCs w:val="24"/>
        </w:rPr>
        <w:t>7</w:t>
      </w:r>
      <w:r w:rsidR="000C7BAF" w:rsidRPr="00F34E9D">
        <w:rPr>
          <w:rFonts w:asciiTheme="majorHAnsi" w:hAnsiTheme="majorHAnsi" w:cstheme="majorHAnsi"/>
          <w:b/>
          <w:i/>
          <w:iCs/>
          <w:color w:val="0D0D0D" w:themeColor="text1" w:themeTint="F2"/>
          <w:sz w:val="24"/>
          <w:szCs w:val="24"/>
        </w:rPr>
        <w:t>,</w:t>
      </w:r>
      <w:r w:rsidR="00AF1F02" w:rsidRPr="00F34E9D">
        <w:rPr>
          <w:rFonts w:asciiTheme="majorHAnsi" w:hAnsiTheme="majorHAnsi" w:cstheme="majorHAnsi"/>
          <w:b/>
          <w:i/>
          <w:iCs/>
          <w:color w:val="0D0D0D" w:themeColor="text1" w:themeTint="F2"/>
          <w:sz w:val="24"/>
          <w:szCs w:val="24"/>
        </w:rPr>
        <w:t>5</w:t>
      </w:r>
      <w:r w:rsidR="000C7BAF" w:rsidRPr="00F34E9D">
        <w:rPr>
          <w:rFonts w:asciiTheme="majorHAnsi" w:hAnsiTheme="majorHAnsi" w:cstheme="majorHAnsi"/>
          <w:b/>
          <w:i/>
          <w:iCs/>
          <w:color w:val="0D0D0D" w:themeColor="text1" w:themeTint="F2"/>
          <w:sz w:val="24"/>
          <w:szCs w:val="24"/>
        </w:rPr>
        <w:t>8</w:t>
      </w:r>
      <w:r w:rsidR="000C7BAF" w:rsidRPr="00F34E9D">
        <w:rPr>
          <w:rFonts w:asciiTheme="majorHAnsi" w:hAnsiTheme="majorHAnsi" w:cstheme="majorHAnsi"/>
          <w:i/>
          <w:iCs/>
          <w:color w:val="0D0D0D" w:themeColor="text1" w:themeTint="F2"/>
          <w:sz w:val="24"/>
          <w:szCs w:val="24"/>
        </w:rPr>
        <w:t xml:space="preserve"> </w:t>
      </w:r>
      <w:r w:rsidR="004E38B4" w:rsidRPr="00F34E9D">
        <w:rPr>
          <w:rFonts w:asciiTheme="majorHAnsi" w:hAnsiTheme="majorHAnsi" w:cstheme="majorHAnsi"/>
          <w:b/>
          <w:i/>
          <w:iCs/>
          <w:color w:val="0D0D0D" w:themeColor="text1" w:themeTint="F2"/>
          <w:sz w:val="24"/>
          <w:szCs w:val="24"/>
        </w:rPr>
        <w:t xml:space="preserve"> mil. lei</w:t>
      </w:r>
      <w:r w:rsidR="004E38B4" w:rsidRPr="00F34E9D">
        <w:rPr>
          <w:rFonts w:asciiTheme="majorHAnsi" w:hAnsiTheme="majorHAnsi" w:cstheme="majorHAnsi"/>
          <w:b/>
          <w:i/>
          <w:color w:val="0D0D0D" w:themeColor="text1" w:themeTint="F2"/>
          <w:sz w:val="24"/>
          <w:szCs w:val="24"/>
        </w:rPr>
        <w:t>,</w:t>
      </w:r>
      <w:r w:rsidR="004E38B4" w:rsidRPr="00F34E9D">
        <w:rPr>
          <w:rFonts w:asciiTheme="majorHAnsi" w:hAnsiTheme="majorHAnsi" w:cstheme="majorHAnsi"/>
          <w:i/>
          <w:color w:val="0D0D0D" w:themeColor="text1" w:themeTint="F2"/>
          <w:sz w:val="24"/>
          <w:szCs w:val="24"/>
        </w:rPr>
        <w:t xml:space="preserve"> determinată de:</w:t>
      </w:r>
    </w:p>
    <w:p w14:paraId="5C6E1B59" w14:textId="12320926" w:rsidR="00232418" w:rsidRPr="00F34E9D" w:rsidRDefault="00215412">
      <w:pPr>
        <w:spacing w:after="0" w:line="276" w:lineRule="auto"/>
        <w:jc w:val="both"/>
        <w:rPr>
          <w:rFonts w:asciiTheme="majorHAnsi" w:eastAsia="Calibri" w:hAnsiTheme="majorHAnsi" w:cstheme="majorHAnsi"/>
          <w:color w:val="0D0D0D" w:themeColor="text1" w:themeTint="F2"/>
          <w:sz w:val="24"/>
          <w:szCs w:val="24"/>
        </w:rPr>
      </w:pPr>
      <w:r w:rsidRPr="00F34E9D">
        <w:rPr>
          <w:rFonts w:asciiTheme="majorHAnsi" w:hAnsiTheme="majorHAnsi" w:cstheme="majorHAnsi"/>
          <w:color w:val="0D0D0D" w:themeColor="text1" w:themeTint="F2"/>
          <w:sz w:val="24"/>
          <w:szCs w:val="24"/>
        </w:rPr>
        <w:t xml:space="preserve">- </w:t>
      </w:r>
      <w:r w:rsidR="00AF1F02" w:rsidRPr="00F34E9D">
        <w:rPr>
          <w:rFonts w:asciiTheme="majorHAnsi" w:hAnsiTheme="majorHAnsi" w:cstheme="majorHAnsi"/>
          <w:color w:val="0D0D0D" w:themeColor="text1" w:themeTint="F2"/>
          <w:sz w:val="24"/>
          <w:szCs w:val="24"/>
        </w:rPr>
        <w:t>necapitalizarea investițiilor efectuate în anii anterior</w:t>
      </w:r>
      <w:r w:rsidR="00A32611" w:rsidRPr="00F34E9D">
        <w:rPr>
          <w:rFonts w:asciiTheme="majorHAnsi" w:hAnsiTheme="majorHAnsi" w:cstheme="majorHAnsi"/>
          <w:color w:val="0D0D0D" w:themeColor="text1" w:themeTint="F2"/>
          <w:sz w:val="24"/>
          <w:szCs w:val="24"/>
        </w:rPr>
        <w:t>i</w:t>
      </w:r>
      <w:r w:rsidR="00AF1F02" w:rsidRPr="00F34E9D">
        <w:rPr>
          <w:rFonts w:asciiTheme="majorHAnsi" w:hAnsiTheme="majorHAnsi" w:cstheme="majorHAnsi"/>
          <w:color w:val="0D0D0D" w:themeColor="text1" w:themeTint="F2"/>
          <w:sz w:val="24"/>
          <w:szCs w:val="24"/>
        </w:rPr>
        <w:t xml:space="preserve"> și </w:t>
      </w:r>
      <w:r w:rsidR="00FC35C1" w:rsidRPr="00F34E9D">
        <w:rPr>
          <w:rFonts w:asciiTheme="majorHAnsi" w:eastAsia="Calibri" w:hAnsiTheme="majorHAnsi" w:cstheme="majorHAnsi"/>
          <w:color w:val="0D0D0D" w:themeColor="text1" w:themeTint="F2"/>
          <w:sz w:val="24"/>
          <w:szCs w:val="24"/>
        </w:rPr>
        <w:t>nereflectarea în evidența contabilă a MEC a clădirilor și terenurilor proprietate publică din domeniul public</w:t>
      </w:r>
      <w:r w:rsidR="00FC35C1" w:rsidRPr="00F34E9D">
        <w:rPr>
          <w:rFonts w:asciiTheme="majorHAnsi" w:hAnsiTheme="majorHAnsi" w:cstheme="majorHAnsi"/>
          <w:color w:val="0D0D0D" w:themeColor="text1" w:themeTint="F2"/>
          <w:sz w:val="24"/>
          <w:szCs w:val="24"/>
        </w:rPr>
        <w:t xml:space="preserve"> </w:t>
      </w:r>
      <w:r w:rsidR="00AF1F02" w:rsidRPr="00F34E9D">
        <w:rPr>
          <w:rFonts w:asciiTheme="majorHAnsi" w:hAnsiTheme="majorHAnsi" w:cstheme="majorHAnsi"/>
          <w:color w:val="0D0D0D" w:themeColor="text1" w:themeTint="F2"/>
          <w:sz w:val="24"/>
          <w:szCs w:val="24"/>
        </w:rPr>
        <w:t>transmise în gestiune entitățil</w:t>
      </w:r>
      <w:r w:rsidR="00A32611" w:rsidRPr="00F34E9D">
        <w:rPr>
          <w:rFonts w:asciiTheme="majorHAnsi" w:hAnsiTheme="majorHAnsi" w:cstheme="majorHAnsi"/>
          <w:color w:val="0D0D0D" w:themeColor="text1" w:themeTint="F2"/>
          <w:sz w:val="24"/>
          <w:szCs w:val="24"/>
        </w:rPr>
        <w:t>or</w:t>
      </w:r>
      <w:r w:rsidR="00AF1F02" w:rsidRPr="00F34E9D">
        <w:rPr>
          <w:rFonts w:asciiTheme="majorHAnsi" w:hAnsiTheme="majorHAnsi" w:cstheme="majorHAnsi"/>
          <w:color w:val="0D0D0D" w:themeColor="text1" w:themeTint="F2"/>
          <w:sz w:val="24"/>
          <w:szCs w:val="24"/>
        </w:rPr>
        <w:t xml:space="preserve"> la autogestiune </w:t>
      </w:r>
      <w:r w:rsidR="00A32611" w:rsidRPr="00F34E9D">
        <w:rPr>
          <w:rFonts w:asciiTheme="majorHAnsi" w:hAnsiTheme="majorHAnsi" w:cstheme="majorHAnsi"/>
          <w:color w:val="0D0D0D" w:themeColor="text1" w:themeTint="F2"/>
          <w:sz w:val="24"/>
          <w:szCs w:val="24"/>
        </w:rPr>
        <w:t xml:space="preserve">în sumă </w:t>
      </w:r>
      <w:r w:rsidR="00FC35C1" w:rsidRPr="00F34E9D">
        <w:rPr>
          <w:rFonts w:asciiTheme="majorHAnsi" w:hAnsiTheme="majorHAnsi" w:cstheme="majorHAnsi"/>
          <w:color w:val="0D0D0D" w:themeColor="text1" w:themeTint="F2"/>
          <w:sz w:val="24"/>
          <w:szCs w:val="24"/>
        </w:rPr>
        <w:t>de</w:t>
      </w:r>
      <w:r w:rsidR="000C70A8" w:rsidRPr="00F34E9D">
        <w:rPr>
          <w:rFonts w:asciiTheme="majorHAnsi" w:eastAsia="Calibri" w:hAnsiTheme="majorHAnsi" w:cstheme="majorHAnsi"/>
          <w:color w:val="0D0D0D" w:themeColor="text1" w:themeTint="F2"/>
          <w:sz w:val="24"/>
          <w:szCs w:val="24"/>
        </w:rPr>
        <w:t xml:space="preserve"> </w:t>
      </w:r>
      <w:r w:rsidR="0040711E" w:rsidRPr="00F34E9D">
        <w:rPr>
          <w:rFonts w:asciiTheme="majorHAnsi" w:hAnsiTheme="majorHAnsi" w:cstheme="majorHAnsi"/>
          <w:b/>
          <w:iCs/>
          <w:color w:val="0D0D0D" w:themeColor="text1" w:themeTint="F2"/>
          <w:sz w:val="24"/>
          <w:szCs w:val="24"/>
        </w:rPr>
        <w:t>4</w:t>
      </w:r>
      <w:r w:rsidR="00A32611" w:rsidRPr="00F34E9D">
        <w:rPr>
          <w:rFonts w:asciiTheme="majorHAnsi" w:hAnsiTheme="majorHAnsi" w:cstheme="majorHAnsi"/>
          <w:b/>
          <w:iCs/>
          <w:color w:val="0D0D0D" w:themeColor="text1" w:themeTint="F2"/>
          <w:sz w:val="24"/>
          <w:szCs w:val="24"/>
        </w:rPr>
        <w:t>.</w:t>
      </w:r>
      <w:r w:rsidR="0040711E" w:rsidRPr="00F34E9D">
        <w:rPr>
          <w:rFonts w:asciiTheme="majorHAnsi" w:hAnsiTheme="majorHAnsi" w:cstheme="majorHAnsi"/>
          <w:b/>
          <w:iCs/>
          <w:color w:val="0D0D0D" w:themeColor="text1" w:themeTint="F2"/>
          <w:sz w:val="24"/>
          <w:szCs w:val="24"/>
        </w:rPr>
        <w:t xml:space="preserve">805,97 </w:t>
      </w:r>
      <w:r w:rsidR="000C70A8" w:rsidRPr="00F34E9D">
        <w:rPr>
          <w:rFonts w:asciiTheme="majorHAnsi" w:eastAsia="Calibri" w:hAnsiTheme="majorHAnsi" w:cstheme="majorHAnsi"/>
          <w:b/>
          <w:color w:val="0D0D0D" w:themeColor="text1" w:themeTint="F2"/>
          <w:sz w:val="24"/>
          <w:szCs w:val="24"/>
        </w:rPr>
        <w:t>mil.lei</w:t>
      </w:r>
      <w:r w:rsidR="00AF1F02" w:rsidRPr="00F34E9D">
        <w:rPr>
          <w:rFonts w:asciiTheme="majorHAnsi" w:eastAsia="Calibri" w:hAnsiTheme="majorHAnsi" w:cstheme="majorHAnsi"/>
          <w:color w:val="0D0D0D" w:themeColor="text1" w:themeTint="F2"/>
          <w:sz w:val="24"/>
          <w:szCs w:val="24"/>
        </w:rPr>
        <w:t>;</w:t>
      </w:r>
    </w:p>
    <w:p w14:paraId="73FC2E78" w14:textId="049F69A2" w:rsidR="00232418" w:rsidRPr="00F34E9D" w:rsidRDefault="00232418">
      <w:pPr>
        <w:spacing w:after="0" w:line="276" w:lineRule="auto"/>
        <w:jc w:val="both"/>
        <w:rPr>
          <w:rFonts w:asciiTheme="majorHAnsi" w:eastAsiaTheme="minorEastAsia" w:hAnsiTheme="majorHAnsi" w:cstheme="majorHAnsi"/>
          <w:color w:val="0D0D0D" w:themeColor="text1" w:themeTint="F2"/>
          <w:sz w:val="24"/>
          <w:szCs w:val="24"/>
          <w:lang w:val="ro-RO"/>
        </w:rPr>
      </w:pPr>
      <w:r w:rsidRPr="00F34E9D">
        <w:rPr>
          <w:rFonts w:asciiTheme="majorHAnsi" w:eastAsiaTheme="minorEastAsia" w:hAnsiTheme="majorHAnsi" w:cstheme="majorHAnsi"/>
          <w:color w:val="0D0D0D" w:themeColor="text1" w:themeTint="F2"/>
          <w:sz w:val="24"/>
          <w:szCs w:val="24"/>
          <w:lang w:val="ro-RO"/>
        </w:rPr>
        <w:t xml:space="preserve">- </w:t>
      </w:r>
      <w:r w:rsidR="00A32611" w:rsidRPr="00F34E9D">
        <w:rPr>
          <w:rFonts w:asciiTheme="majorHAnsi" w:eastAsiaTheme="minorEastAsia" w:hAnsiTheme="majorHAnsi" w:cstheme="majorHAnsi"/>
          <w:color w:val="0D0D0D" w:themeColor="text1" w:themeTint="F2"/>
          <w:sz w:val="24"/>
          <w:szCs w:val="24"/>
          <w:lang w:val="ro-RO"/>
        </w:rPr>
        <w:t xml:space="preserve">clasificarea necorespunzătoare a alocațiilor bugetare ce țin de finanțarea instituțională a cercetărilor științifice utilizate pentru cheltuieli curente în sumă de </w:t>
      </w:r>
      <w:r w:rsidR="00A40EF7" w:rsidRPr="00F34E9D">
        <w:rPr>
          <w:rFonts w:asciiTheme="majorHAnsi" w:eastAsiaTheme="minorEastAsia" w:hAnsiTheme="majorHAnsi" w:cstheme="majorHAnsi"/>
          <w:color w:val="0D0D0D" w:themeColor="text1" w:themeTint="F2"/>
          <w:sz w:val="24"/>
          <w:szCs w:val="24"/>
          <w:lang w:val="ro-RO"/>
        </w:rPr>
        <w:t>6,6</w:t>
      </w:r>
      <w:r w:rsidRPr="00F34E9D">
        <w:rPr>
          <w:rFonts w:asciiTheme="majorHAnsi" w:eastAsiaTheme="minorEastAsia" w:hAnsiTheme="majorHAnsi" w:cstheme="majorHAnsi"/>
          <w:color w:val="0D0D0D" w:themeColor="text1" w:themeTint="F2"/>
          <w:sz w:val="24"/>
          <w:szCs w:val="24"/>
          <w:lang w:val="ro-RO"/>
        </w:rPr>
        <w:t xml:space="preserve"> mil.lei</w:t>
      </w:r>
      <w:r w:rsidR="002F7FD5" w:rsidRPr="00F34E9D">
        <w:rPr>
          <w:rStyle w:val="a7"/>
          <w:rFonts w:asciiTheme="majorHAnsi" w:eastAsiaTheme="minorEastAsia" w:hAnsiTheme="majorHAnsi" w:cstheme="majorHAnsi"/>
          <w:color w:val="0D0D0D" w:themeColor="text1" w:themeTint="F2"/>
          <w:sz w:val="24"/>
          <w:szCs w:val="24"/>
          <w:lang w:val="ro-RO"/>
        </w:rPr>
        <w:footnoteReference w:id="6"/>
      </w:r>
      <w:r w:rsidRPr="00F34E9D">
        <w:rPr>
          <w:rFonts w:asciiTheme="majorHAnsi" w:eastAsiaTheme="minorEastAsia" w:hAnsiTheme="majorHAnsi" w:cstheme="majorHAnsi"/>
          <w:color w:val="0D0D0D" w:themeColor="text1" w:themeTint="F2"/>
          <w:sz w:val="24"/>
          <w:szCs w:val="24"/>
          <w:lang w:val="ro-RO"/>
        </w:rPr>
        <w:t xml:space="preserve"> </w:t>
      </w:r>
      <w:r w:rsidR="00A40EF7" w:rsidRPr="00F34E9D">
        <w:rPr>
          <w:rFonts w:asciiTheme="majorHAnsi" w:eastAsiaTheme="minorEastAsia" w:hAnsiTheme="majorHAnsi" w:cstheme="majorHAnsi"/>
          <w:color w:val="0D0D0D" w:themeColor="text1" w:themeTint="F2"/>
          <w:sz w:val="24"/>
          <w:szCs w:val="24"/>
          <w:lang w:val="ro-RO"/>
        </w:rPr>
        <w:t>(2,25 mil</w:t>
      </w:r>
      <w:r w:rsidR="00BC3AB9" w:rsidRPr="00F34E9D">
        <w:rPr>
          <w:rFonts w:asciiTheme="majorHAnsi" w:eastAsiaTheme="minorEastAsia" w:hAnsiTheme="majorHAnsi" w:cstheme="majorHAnsi"/>
          <w:color w:val="0D0D0D" w:themeColor="text1" w:themeTint="F2"/>
          <w:sz w:val="24"/>
          <w:szCs w:val="24"/>
          <w:lang w:val="ro-RO"/>
        </w:rPr>
        <w:t>.</w:t>
      </w:r>
      <w:r w:rsidR="00A40EF7" w:rsidRPr="00F34E9D">
        <w:rPr>
          <w:rFonts w:asciiTheme="majorHAnsi" w:eastAsiaTheme="minorEastAsia" w:hAnsiTheme="majorHAnsi" w:cstheme="majorHAnsi"/>
          <w:color w:val="0D0D0D" w:themeColor="text1" w:themeTint="F2"/>
          <w:sz w:val="24"/>
          <w:szCs w:val="24"/>
          <w:lang w:val="ro-RO"/>
        </w:rPr>
        <w:t>lei în a</w:t>
      </w:r>
      <w:r w:rsidR="00A32611" w:rsidRPr="00F34E9D">
        <w:rPr>
          <w:rFonts w:asciiTheme="majorHAnsi" w:eastAsiaTheme="minorEastAsia" w:hAnsiTheme="majorHAnsi" w:cstheme="majorHAnsi"/>
          <w:color w:val="0D0D0D" w:themeColor="text1" w:themeTint="F2"/>
          <w:sz w:val="24"/>
          <w:szCs w:val="24"/>
          <w:lang w:val="ro-RO"/>
        </w:rPr>
        <w:t xml:space="preserve">nul </w:t>
      </w:r>
      <w:r w:rsidR="00A40EF7" w:rsidRPr="00F34E9D">
        <w:rPr>
          <w:rFonts w:asciiTheme="majorHAnsi" w:eastAsiaTheme="minorEastAsia" w:hAnsiTheme="majorHAnsi" w:cstheme="majorHAnsi"/>
          <w:color w:val="0D0D0D" w:themeColor="text1" w:themeTint="F2"/>
          <w:sz w:val="24"/>
          <w:szCs w:val="24"/>
          <w:lang w:val="ro-RO"/>
        </w:rPr>
        <w:t>2021 și 4,35 mil.lei în anul 2020)</w:t>
      </w:r>
      <w:r w:rsidR="0047719D" w:rsidRPr="00F34E9D">
        <w:rPr>
          <w:rFonts w:asciiTheme="majorHAnsi" w:eastAsiaTheme="minorEastAsia" w:hAnsiTheme="majorHAnsi" w:cstheme="majorHAnsi"/>
          <w:color w:val="0D0D0D" w:themeColor="text1" w:themeTint="F2"/>
          <w:sz w:val="24"/>
          <w:szCs w:val="24"/>
          <w:lang w:val="ro-RO"/>
        </w:rPr>
        <w:t>;</w:t>
      </w:r>
    </w:p>
    <w:p w14:paraId="62FF7197" w14:textId="2B2F9069" w:rsidR="00215412" w:rsidRPr="00F34E9D" w:rsidRDefault="00A40EF7">
      <w:pPr>
        <w:spacing w:after="0" w:line="276" w:lineRule="auto"/>
        <w:jc w:val="both"/>
        <w:rPr>
          <w:rFonts w:asciiTheme="majorHAnsi" w:eastAsiaTheme="minorEastAsia" w:hAnsiTheme="majorHAnsi" w:cstheme="majorHAnsi"/>
          <w:color w:val="0D0D0D" w:themeColor="text1" w:themeTint="F2"/>
          <w:sz w:val="16"/>
          <w:szCs w:val="24"/>
          <w:lang w:val="ro-RO"/>
        </w:rPr>
      </w:pPr>
      <w:r w:rsidRPr="00F34E9D">
        <w:rPr>
          <w:rFonts w:asciiTheme="majorHAnsi" w:eastAsiaTheme="minorEastAsia" w:hAnsiTheme="majorHAnsi" w:cstheme="majorHAnsi"/>
          <w:color w:val="0D0D0D" w:themeColor="text1" w:themeTint="F2"/>
          <w:sz w:val="24"/>
          <w:szCs w:val="24"/>
          <w:lang w:val="ro-RO"/>
        </w:rPr>
        <w:t>- netransmiterea la balanța MC a investițiilor aferente instituțiil</w:t>
      </w:r>
      <w:r w:rsidR="00A41326" w:rsidRPr="00F34E9D">
        <w:rPr>
          <w:rFonts w:asciiTheme="majorHAnsi" w:eastAsiaTheme="minorEastAsia" w:hAnsiTheme="majorHAnsi" w:cstheme="majorHAnsi"/>
          <w:color w:val="0D0D0D" w:themeColor="text1" w:themeTint="F2"/>
          <w:sz w:val="24"/>
          <w:szCs w:val="24"/>
          <w:lang w:val="ro-RO"/>
        </w:rPr>
        <w:t>or</w:t>
      </w:r>
      <w:r w:rsidRPr="00F34E9D">
        <w:rPr>
          <w:rFonts w:asciiTheme="majorHAnsi" w:eastAsiaTheme="minorEastAsia" w:hAnsiTheme="majorHAnsi" w:cstheme="majorHAnsi"/>
          <w:color w:val="0D0D0D" w:themeColor="text1" w:themeTint="F2"/>
          <w:sz w:val="24"/>
          <w:szCs w:val="24"/>
          <w:lang w:val="ro-RO"/>
        </w:rPr>
        <w:t xml:space="preserve"> fondate de acesta</w:t>
      </w:r>
      <w:r w:rsidR="00A41326" w:rsidRPr="00F34E9D">
        <w:rPr>
          <w:rFonts w:asciiTheme="majorHAnsi" w:eastAsiaTheme="minorEastAsia" w:hAnsiTheme="majorHAnsi" w:cstheme="majorHAnsi"/>
          <w:color w:val="0D0D0D" w:themeColor="text1" w:themeTint="F2"/>
          <w:sz w:val="24"/>
          <w:szCs w:val="24"/>
          <w:lang w:val="ro-RO"/>
        </w:rPr>
        <w:t>,</w:t>
      </w:r>
      <w:r w:rsidRPr="00F34E9D">
        <w:rPr>
          <w:rFonts w:asciiTheme="majorHAnsi" w:eastAsiaTheme="minorEastAsia" w:hAnsiTheme="majorHAnsi" w:cstheme="majorHAnsi"/>
          <w:color w:val="0D0D0D" w:themeColor="text1" w:themeTint="F2"/>
          <w:sz w:val="24"/>
          <w:szCs w:val="24"/>
          <w:lang w:val="ro-RO"/>
        </w:rPr>
        <w:t xml:space="preserve"> în sumă de </w:t>
      </w:r>
      <w:r w:rsidR="002251ED" w:rsidRPr="00F34E9D">
        <w:rPr>
          <w:rFonts w:asciiTheme="majorHAnsi" w:eastAsiaTheme="minorEastAsia" w:hAnsiTheme="majorHAnsi" w:cstheme="majorHAnsi"/>
          <w:color w:val="0D0D0D" w:themeColor="text1" w:themeTint="F2"/>
          <w:sz w:val="24"/>
          <w:szCs w:val="24"/>
          <w:lang w:val="ro-RO"/>
        </w:rPr>
        <w:t xml:space="preserve">434,98 </w:t>
      </w:r>
      <w:r w:rsidR="00232418" w:rsidRPr="00F34E9D">
        <w:rPr>
          <w:rFonts w:asciiTheme="majorHAnsi" w:eastAsiaTheme="minorEastAsia" w:hAnsiTheme="majorHAnsi" w:cstheme="majorHAnsi"/>
          <w:color w:val="0D0D0D" w:themeColor="text1" w:themeTint="F2"/>
          <w:sz w:val="24"/>
          <w:szCs w:val="24"/>
          <w:lang w:val="ro-RO"/>
        </w:rPr>
        <w:t>mil.lei</w:t>
      </w:r>
      <w:r w:rsidR="00A64D8A" w:rsidRPr="00F34E9D">
        <w:rPr>
          <w:rFonts w:asciiTheme="majorHAnsi" w:hAnsiTheme="majorHAnsi" w:cstheme="majorHAnsi"/>
          <w:color w:val="0D0D0D" w:themeColor="text1" w:themeTint="F2"/>
          <w:sz w:val="24"/>
          <w:szCs w:val="24"/>
          <w:lang w:val="ro-RO"/>
        </w:rPr>
        <w:t xml:space="preserve">, </w:t>
      </w:r>
      <w:r w:rsidR="00A64D8A" w:rsidRPr="00F34E9D">
        <w:rPr>
          <w:rFonts w:asciiTheme="majorHAnsi" w:eastAsiaTheme="minorEastAsia" w:hAnsiTheme="majorHAnsi" w:cstheme="majorHAnsi"/>
          <w:color w:val="0D0D0D" w:themeColor="text1" w:themeTint="F2"/>
          <w:sz w:val="24"/>
          <w:szCs w:val="24"/>
          <w:lang w:val="ro-RO"/>
        </w:rPr>
        <w:t xml:space="preserve">cu 42,03 mil.lei mai mult </w:t>
      </w:r>
      <w:r w:rsidR="002251ED" w:rsidRPr="00F34E9D">
        <w:rPr>
          <w:rFonts w:asciiTheme="majorHAnsi" w:eastAsiaTheme="minorEastAsia" w:hAnsiTheme="majorHAnsi" w:cstheme="majorHAnsi"/>
          <w:color w:val="0D0D0D" w:themeColor="text1" w:themeTint="F2"/>
          <w:sz w:val="24"/>
          <w:szCs w:val="24"/>
          <w:lang w:val="ro-RO"/>
        </w:rPr>
        <w:t>decât în actele perfectate spre transmitere</w:t>
      </w:r>
      <w:r w:rsidR="00667633" w:rsidRPr="00F34E9D">
        <w:rPr>
          <w:rFonts w:asciiTheme="majorHAnsi" w:eastAsiaTheme="minorEastAsia" w:hAnsiTheme="majorHAnsi" w:cstheme="majorHAnsi"/>
          <w:color w:val="0D0D0D" w:themeColor="text1" w:themeTint="F2"/>
          <w:sz w:val="24"/>
          <w:szCs w:val="24"/>
          <w:lang w:val="ro-RO"/>
        </w:rPr>
        <w:t xml:space="preserve"> (392,95 mil.lei)</w:t>
      </w:r>
      <w:r w:rsidR="00A64D8A" w:rsidRPr="00F34E9D">
        <w:rPr>
          <w:rFonts w:asciiTheme="majorHAnsi" w:eastAsiaTheme="minorEastAsia" w:hAnsiTheme="majorHAnsi" w:cstheme="majorHAnsi"/>
          <w:color w:val="0D0D0D" w:themeColor="text1" w:themeTint="F2"/>
          <w:sz w:val="24"/>
          <w:szCs w:val="24"/>
          <w:lang w:val="ro-RO"/>
        </w:rPr>
        <w:t xml:space="preserve">. </w:t>
      </w:r>
    </w:p>
    <w:p w14:paraId="12280B92" w14:textId="0480F1CD" w:rsidR="00005DC4" w:rsidRPr="00F34E9D" w:rsidRDefault="00005DC4">
      <w:pPr>
        <w:spacing w:after="0" w:line="276" w:lineRule="auto"/>
        <w:jc w:val="both"/>
        <w:rPr>
          <w:rFonts w:asciiTheme="majorHAnsi" w:hAnsiTheme="majorHAnsi" w:cstheme="majorHAnsi"/>
          <w:iCs/>
          <w:color w:val="0D0D0D" w:themeColor="text1" w:themeTint="F2"/>
          <w:sz w:val="24"/>
          <w:szCs w:val="24"/>
        </w:rPr>
      </w:pPr>
      <w:r w:rsidRPr="00F34E9D">
        <w:rPr>
          <w:rFonts w:asciiTheme="majorHAnsi" w:hAnsiTheme="majorHAnsi" w:cstheme="majorHAnsi"/>
          <w:b/>
          <w:i/>
          <w:iCs/>
          <w:color w:val="0D0D0D" w:themeColor="text1" w:themeTint="F2"/>
          <w:sz w:val="24"/>
          <w:szCs w:val="24"/>
        </w:rPr>
        <w:t>2.</w:t>
      </w:r>
      <w:r w:rsidR="00E56BC4" w:rsidRPr="00F34E9D">
        <w:rPr>
          <w:rFonts w:asciiTheme="majorHAnsi" w:hAnsiTheme="majorHAnsi" w:cstheme="majorHAnsi"/>
          <w:b/>
          <w:i/>
          <w:iCs/>
          <w:color w:val="0D0D0D" w:themeColor="text1" w:themeTint="F2"/>
          <w:sz w:val="24"/>
          <w:szCs w:val="24"/>
        </w:rPr>
        <w:t>5</w:t>
      </w:r>
      <w:r w:rsidRPr="00F34E9D">
        <w:rPr>
          <w:rFonts w:asciiTheme="majorHAnsi" w:hAnsiTheme="majorHAnsi" w:cstheme="majorHAnsi"/>
          <w:b/>
          <w:iCs/>
          <w:color w:val="0D0D0D" w:themeColor="text1" w:themeTint="F2"/>
          <w:sz w:val="24"/>
          <w:szCs w:val="24"/>
        </w:rPr>
        <w:t>.</w:t>
      </w:r>
      <w:r w:rsidRPr="00F34E9D">
        <w:rPr>
          <w:rFonts w:asciiTheme="majorHAnsi" w:hAnsiTheme="majorHAnsi" w:cstheme="majorHAnsi"/>
          <w:iCs/>
          <w:color w:val="0D0D0D" w:themeColor="text1" w:themeTint="F2"/>
          <w:sz w:val="24"/>
          <w:szCs w:val="24"/>
        </w:rPr>
        <w:t xml:space="preserve"> Diminuarea valorii contului „Active nemateriale” cu cel puțin</w:t>
      </w:r>
      <w:r w:rsidRPr="00F34E9D">
        <w:rPr>
          <w:rFonts w:asciiTheme="majorHAnsi" w:hAnsiTheme="majorHAnsi" w:cstheme="majorHAnsi"/>
          <w:b/>
          <w:iCs/>
          <w:color w:val="0D0D0D" w:themeColor="text1" w:themeTint="F2"/>
          <w:sz w:val="24"/>
          <w:szCs w:val="24"/>
        </w:rPr>
        <w:t xml:space="preserve"> 47,28 mil.lei, </w:t>
      </w:r>
      <w:r w:rsidR="00A41326" w:rsidRPr="00F34E9D">
        <w:rPr>
          <w:rFonts w:asciiTheme="majorHAnsi" w:hAnsiTheme="majorHAnsi" w:cstheme="majorHAnsi"/>
          <w:iCs/>
          <w:color w:val="0D0D0D" w:themeColor="text1" w:themeTint="F2"/>
          <w:sz w:val="24"/>
          <w:szCs w:val="24"/>
        </w:rPr>
        <w:t>din cauza</w:t>
      </w:r>
      <w:r w:rsidRPr="00F34E9D">
        <w:rPr>
          <w:rFonts w:asciiTheme="majorHAnsi" w:hAnsiTheme="majorHAnsi" w:cstheme="majorHAnsi"/>
          <w:iCs/>
          <w:color w:val="0D0D0D" w:themeColor="text1" w:themeTint="F2"/>
          <w:sz w:val="24"/>
          <w:szCs w:val="24"/>
        </w:rPr>
        <w:t xml:space="preserve"> neînregistrării în anii precedenți ca active nemateriale a rezultatelor cercetărilor științifice (32,84 mil.lei), web-site-urilor și programelor create (0,2 mil.lei), precum și elaborării produselor curriculare (14,24 mil.lei)</w:t>
      </w:r>
      <w:r w:rsidR="002C0DDF" w:rsidRPr="00F34E9D">
        <w:rPr>
          <w:rFonts w:asciiTheme="majorHAnsi" w:hAnsiTheme="majorHAnsi" w:cstheme="majorHAnsi"/>
          <w:iCs/>
          <w:color w:val="0D0D0D" w:themeColor="text1" w:themeTint="F2"/>
          <w:sz w:val="24"/>
          <w:szCs w:val="24"/>
        </w:rPr>
        <w:t>.</w:t>
      </w:r>
    </w:p>
    <w:p w14:paraId="7CB5A37D" w14:textId="3F416BC9" w:rsidR="00215412" w:rsidRPr="00F34E9D" w:rsidRDefault="003723D7">
      <w:pPr>
        <w:spacing w:after="0" w:line="276" w:lineRule="auto"/>
        <w:jc w:val="both"/>
        <w:rPr>
          <w:rFonts w:asciiTheme="majorHAnsi" w:hAnsiTheme="majorHAnsi" w:cstheme="majorHAnsi"/>
          <w:i/>
          <w:iCs/>
          <w:color w:val="0D0D0D" w:themeColor="text1" w:themeTint="F2"/>
          <w:sz w:val="24"/>
          <w:szCs w:val="24"/>
        </w:rPr>
      </w:pPr>
      <w:r w:rsidRPr="00F34E9D">
        <w:rPr>
          <w:rFonts w:asciiTheme="majorHAnsi" w:hAnsiTheme="majorHAnsi" w:cstheme="majorHAnsi"/>
          <w:b/>
          <w:i/>
          <w:iCs/>
          <w:color w:val="0D0D0D" w:themeColor="text1" w:themeTint="F2"/>
          <w:sz w:val="24"/>
          <w:szCs w:val="24"/>
        </w:rPr>
        <w:t>2.</w:t>
      </w:r>
      <w:r w:rsidR="003E0BD4" w:rsidRPr="00F34E9D">
        <w:rPr>
          <w:rFonts w:asciiTheme="majorHAnsi" w:hAnsiTheme="majorHAnsi" w:cstheme="majorHAnsi"/>
          <w:b/>
          <w:i/>
          <w:iCs/>
          <w:color w:val="0D0D0D" w:themeColor="text1" w:themeTint="F2"/>
          <w:sz w:val="24"/>
          <w:szCs w:val="24"/>
        </w:rPr>
        <w:t>6</w:t>
      </w:r>
      <w:r w:rsidRPr="00F34E9D">
        <w:rPr>
          <w:rFonts w:asciiTheme="majorHAnsi" w:hAnsiTheme="majorHAnsi" w:cstheme="majorHAnsi"/>
          <w:b/>
          <w:i/>
          <w:iCs/>
          <w:color w:val="0D0D0D" w:themeColor="text1" w:themeTint="F2"/>
          <w:sz w:val="24"/>
          <w:szCs w:val="24"/>
        </w:rPr>
        <w:t>.</w:t>
      </w:r>
      <w:r w:rsidRPr="00F34E9D">
        <w:rPr>
          <w:rFonts w:asciiTheme="majorHAnsi" w:hAnsiTheme="majorHAnsi" w:cstheme="majorHAnsi"/>
          <w:i/>
          <w:iCs/>
          <w:color w:val="0D0D0D" w:themeColor="text1" w:themeTint="F2"/>
          <w:sz w:val="24"/>
          <w:szCs w:val="24"/>
        </w:rPr>
        <w:t xml:space="preserve"> </w:t>
      </w:r>
      <w:r w:rsidR="00215412" w:rsidRPr="00F34E9D">
        <w:rPr>
          <w:rFonts w:asciiTheme="majorHAnsi" w:hAnsiTheme="majorHAnsi" w:cstheme="majorHAnsi"/>
          <w:i/>
          <w:iCs/>
          <w:color w:val="0D0D0D" w:themeColor="text1" w:themeTint="F2"/>
          <w:sz w:val="24"/>
          <w:szCs w:val="24"/>
        </w:rPr>
        <w:t xml:space="preserve">Diminuarea valorii contului 319 „Investiții capitale în active în curs de execuție” cu </w:t>
      </w:r>
      <w:r w:rsidR="00830B52" w:rsidRPr="00F34E9D">
        <w:rPr>
          <w:rFonts w:asciiTheme="majorHAnsi" w:hAnsiTheme="majorHAnsi" w:cstheme="majorHAnsi"/>
          <w:b/>
          <w:i/>
          <w:iCs/>
          <w:color w:val="0D0D0D" w:themeColor="text1" w:themeTint="F2"/>
          <w:sz w:val="24"/>
          <w:szCs w:val="24"/>
        </w:rPr>
        <w:t>34,68</w:t>
      </w:r>
      <w:r w:rsidR="00830B52" w:rsidRPr="00F34E9D">
        <w:rPr>
          <w:rFonts w:asciiTheme="majorHAnsi" w:hAnsiTheme="majorHAnsi" w:cstheme="majorHAnsi"/>
          <w:i/>
          <w:iCs/>
          <w:color w:val="0D0D0D" w:themeColor="text1" w:themeTint="F2"/>
          <w:sz w:val="24"/>
          <w:szCs w:val="24"/>
        </w:rPr>
        <w:t xml:space="preserve"> </w:t>
      </w:r>
      <w:r w:rsidR="00215412" w:rsidRPr="00F34E9D">
        <w:rPr>
          <w:rFonts w:asciiTheme="majorHAnsi" w:hAnsiTheme="majorHAnsi" w:cstheme="majorHAnsi"/>
          <w:b/>
          <w:i/>
          <w:iCs/>
          <w:color w:val="0D0D0D" w:themeColor="text1" w:themeTint="F2"/>
          <w:sz w:val="24"/>
          <w:szCs w:val="24"/>
        </w:rPr>
        <w:t>mi</w:t>
      </w:r>
      <w:r w:rsidR="00DB0440" w:rsidRPr="00F34E9D">
        <w:rPr>
          <w:rFonts w:asciiTheme="majorHAnsi" w:hAnsiTheme="majorHAnsi" w:cstheme="majorHAnsi"/>
          <w:b/>
          <w:i/>
          <w:iCs/>
          <w:color w:val="0D0D0D" w:themeColor="text1" w:themeTint="F2"/>
          <w:sz w:val="24"/>
          <w:szCs w:val="24"/>
        </w:rPr>
        <w:t>l.</w:t>
      </w:r>
      <w:r w:rsidR="00215412" w:rsidRPr="00F34E9D">
        <w:rPr>
          <w:rFonts w:asciiTheme="majorHAnsi" w:hAnsiTheme="majorHAnsi" w:cstheme="majorHAnsi"/>
          <w:i/>
          <w:iCs/>
          <w:color w:val="0D0D0D" w:themeColor="text1" w:themeTint="F2"/>
          <w:sz w:val="24"/>
          <w:szCs w:val="24"/>
        </w:rPr>
        <w:t xml:space="preserve"> lei</w:t>
      </w:r>
      <w:r w:rsidR="002C0DDF" w:rsidRPr="00F34E9D">
        <w:rPr>
          <w:rFonts w:asciiTheme="majorHAnsi" w:hAnsiTheme="majorHAnsi" w:cstheme="majorHAnsi"/>
          <w:i/>
          <w:iCs/>
          <w:color w:val="0D0D0D" w:themeColor="text1" w:themeTint="F2"/>
          <w:sz w:val="24"/>
          <w:szCs w:val="24"/>
        </w:rPr>
        <w:t>,</w:t>
      </w:r>
      <w:r w:rsidR="00215412" w:rsidRPr="00F34E9D">
        <w:rPr>
          <w:rFonts w:asciiTheme="majorHAnsi" w:hAnsiTheme="majorHAnsi" w:cstheme="majorHAnsi"/>
          <w:i/>
          <w:iCs/>
          <w:color w:val="0D0D0D" w:themeColor="text1" w:themeTint="F2"/>
          <w:sz w:val="24"/>
          <w:szCs w:val="24"/>
        </w:rPr>
        <w:t xml:space="preserve"> determinată de:</w:t>
      </w:r>
    </w:p>
    <w:p w14:paraId="5F4DF95B" w14:textId="00F777AF" w:rsidR="00215412" w:rsidRPr="00F34E9D" w:rsidRDefault="00215412">
      <w:pPr>
        <w:spacing w:after="0" w:line="276" w:lineRule="auto"/>
        <w:jc w:val="both"/>
        <w:rPr>
          <w:rFonts w:asciiTheme="majorHAnsi" w:hAnsiTheme="majorHAnsi" w:cstheme="majorHAnsi"/>
          <w:iCs/>
          <w:color w:val="0D0D0D" w:themeColor="text1" w:themeTint="F2"/>
          <w:sz w:val="24"/>
          <w:szCs w:val="24"/>
        </w:rPr>
      </w:pPr>
      <w:r w:rsidRPr="00F34E9D">
        <w:rPr>
          <w:rFonts w:asciiTheme="majorHAnsi" w:hAnsiTheme="majorHAnsi" w:cstheme="majorHAnsi"/>
          <w:iCs/>
          <w:color w:val="0D0D0D" w:themeColor="text1" w:themeTint="F2"/>
          <w:sz w:val="24"/>
          <w:szCs w:val="24"/>
        </w:rPr>
        <w:t xml:space="preserve">- </w:t>
      </w:r>
      <w:r w:rsidR="00740C13" w:rsidRPr="00F34E9D">
        <w:rPr>
          <w:rFonts w:asciiTheme="majorHAnsi" w:hAnsiTheme="majorHAnsi" w:cstheme="majorHAnsi"/>
          <w:iCs/>
          <w:color w:val="0D0D0D" w:themeColor="text1" w:themeTint="F2"/>
          <w:sz w:val="24"/>
          <w:szCs w:val="24"/>
        </w:rPr>
        <w:t>neînregistr</w:t>
      </w:r>
      <w:r w:rsidR="002C0DDF" w:rsidRPr="00F34E9D">
        <w:rPr>
          <w:rFonts w:asciiTheme="majorHAnsi" w:hAnsiTheme="majorHAnsi" w:cstheme="majorHAnsi"/>
          <w:iCs/>
          <w:color w:val="0D0D0D" w:themeColor="text1" w:themeTint="F2"/>
          <w:sz w:val="24"/>
          <w:szCs w:val="24"/>
        </w:rPr>
        <w:t>area</w:t>
      </w:r>
      <w:r w:rsidR="00740C13" w:rsidRPr="00F34E9D">
        <w:rPr>
          <w:rFonts w:asciiTheme="majorHAnsi" w:hAnsiTheme="majorHAnsi" w:cstheme="majorHAnsi"/>
          <w:iCs/>
          <w:color w:val="0D0D0D" w:themeColor="text1" w:themeTint="F2"/>
          <w:sz w:val="24"/>
          <w:szCs w:val="24"/>
        </w:rPr>
        <w:t xml:space="preserve"> ca active nemateriale </w:t>
      </w:r>
      <w:r w:rsidR="00E4538A" w:rsidRPr="00F34E9D">
        <w:rPr>
          <w:rFonts w:asciiTheme="majorHAnsi" w:hAnsiTheme="majorHAnsi" w:cstheme="majorHAnsi"/>
          <w:iCs/>
          <w:color w:val="0D0D0D" w:themeColor="text1" w:themeTint="F2"/>
          <w:sz w:val="24"/>
          <w:szCs w:val="24"/>
        </w:rPr>
        <w:t xml:space="preserve">în curs de execuție </w:t>
      </w:r>
      <w:r w:rsidR="00740C13" w:rsidRPr="00F34E9D">
        <w:rPr>
          <w:rFonts w:asciiTheme="majorHAnsi" w:hAnsiTheme="majorHAnsi" w:cstheme="majorHAnsi"/>
          <w:iCs/>
          <w:color w:val="0D0D0D" w:themeColor="text1" w:themeTint="F2"/>
          <w:sz w:val="24"/>
          <w:szCs w:val="24"/>
        </w:rPr>
        <w:t xml:space="preserve">a </w:t>
      </w:r>
      <w:r w:rsidR="004C5CC2" w:rsidRPr="00F34E9D">
        <w:rPr>
          <w:rFonts w:asciiTheme="majorHAnsi" w:hAnsiTheme="majorHAnsi" w:cstheme="majorHAnsi"/>
          <w:iCs/>
          <w:color w:val="0D0D0D" w:themeColor="text1" w:themeTint="F2"/>
          <w:sz w:val="24"/>
          <w:szCs w:val="24"/>
        </w:rPr>
        <w:t xml:space="preserve">cheltuielilor suportate </w:t>
      </w:r>
      <w:r w:rsidR="00740C13" w:rsidRPr="00F34E9D">
        <w:rPr>
          <w:rFonts w:asciiTheme="majorHAnsi" w:hAnsiTheme="majorHAnsi" w:cstheme="majorHAnsi"/>
          <w:iCs/>
          <w:color w:val="0D0D0D" w:themeColor="text1" w:themeTint="F2"/>
          <w:sz w:val="24"/>
          <w:szCs w:val="24"/>
        </w:rPr>
        <w:t xml:space="preserve">pentru efectuarea cercetărilor științifice de către instituțiile de cercetări din subordine </w:t>
      </w:r>
      <w:r w:rsidR="002C0DDF" w:rsidRPr="00F34E9D">
        <w:rPr>
          <w:rFonts w:asciiTheme="majorHAnsi" w:hAnsiTheme="majorHAnsi" w:cstheme="majorHAnsi"/>
          <w:iCs/>
          <w:color w:val="0D0D0D" w:themeColor="text1" w:themeTint="F2"/>
          <w:sz w:val="24"/>
          <w:szCs w:val="24"/>
        </w:rPr>
        <w:t xml:space="preserve">în sumă de </w:t>
      </w:r>
      <w:r w:rsidR="002C0DDF" w:rsidRPr="00F34E9D">
        <w:rPr>
          <w:rFonts w:asciiTheme="majorHAnsi" w:hAnsiTheme="majorHAnsi" w:cstheme="majorHAnsi"/>
          <w:b/>
          <w:i/>
          <w:iCs/>
          <w:color w:val="0D0D0D" w:themeColor="text1" w:themeTint="F2"/>
          <w:sz w:val="24"/>
          <w:szCs w:val="24"/>
        </w:rPr>
        <w:t>214,09 mil.lei</w:t>
      </w:r>
      <w:r w:rsidR="002C0DDF" w:rsidRPr="00F34E9D">
        <w:rPr>
          <w:rFonts w:asciiTheme="majorHAnsi" w:hAnsiTheme="majorHAnsi" w:cstheme="majorHAnsi"/>
          <w:iCs/>
          <w:color w:val="0D0D0D" w:themeColor="text1" w:themeTint="F2"/>
          <w:sz w:val="24"/>
          <w:szCs w:val="24"/>
        </w:rPr>
        <w:t xml:space="preserve"> (</w:t>
      </w:r>
      <w:r w:rsidR="00740C13" w:rsidRPr="00F34E9D">
        <w:rPr>
          <w:rFonts w:asciiTheme="majorHAnsi" w:hAnsiTheme="majorHAnsi" w:cstheme="majorHAnsi"/>
          <w:iCs/>
          <w:color w:val="0D0D0D" w:themeColor="text1" w:themeTint="F2"/>
          <w:sz w:val="24"/>
          <w:szCs w:val="24"/>
        </w:rPr>
        <w:t xml:space="preserve">în anul 2021 </w:t>
      </w:r>
      <w:r w:rsidR="002C0DDF" w:rsidRPr="00F34E9D">
        <w:rPr>
          <w:rFonts w:asciiTheme="majorHAnsi" w:hAnsiTheme="majorHAnsi" w:cstheme="majorHAnsi"/>
          <w:iCs/>
          <w:color w:val="0D0D0D" w:themeColor="text1" w:themeTint="F2"/>
          <w:sz w:val="24"/>
          <w:szCs w:val="24"/>
        </w:rPr>
        <w:t xml:space="preserve">– </w:t>
      </w:r>
      <w:r w:rsidR="00740C13" w:rsidRPr="00F34E9D">
        <w:rPr>
          <w:rFonts w:asciiTheme="majorHAnsi" w:hAnsiTheme="majorHAnsi" w:cstheme="majorHAnsi"/>
          <w:iCs/>
          <w:color w:val="0D0D0D" w:themeColor="text1" w:themeTint="F2"/>
          <w:sz w:val="24"/>
          <w:szCs w:val="24"/>
        </w:rPr>
        <w:t>108,37 mil.lei</w:t>
      </w:r>
      <w:r w:rsidR="002C0DDF" w:rsidRPr="00F34E9D">
        <w:rPr>
          <w:rFonts w:asciiTheme="majorHAnsi" w:hAnsiTheme="majorHAnsi" w:cstheme="majorHAnsi"/>
          <w:iCs/>
          <w:color w:val="0D0D0D" w:themeColor="text1" w:themeTint="F2"/>
          <w:sz w:val="24"/>
          <w:szCs w:val="24"/>
        </w:rPr>
        <w:t>,</w:t>
      </w:r>
      <w:r w:rsidR="00740C13" w:rsidRPr="00F34E9D">
        <w:rPr>
          <w:rFonts w:asciiTheme="majorHAnsi" w:hAnsiTheme="majorHAnsi" w:cstheme="majorHAnsi"/>
          <w:iCs/>
          <w:color w:val="0D0D0D" w:themeColor="text1" w:themeTint="F2"/>
          <w:sz w:val="24"/>
          <w:szCs w:val="24"/>
        </w:rPr>
        <w:t xml:space="preserve"> și în anul </w:t>
      </w:r>
      <w:r w:rsidR="00CF5642" w:rsidRPr="00F34E9D">
        <w:rPr>
          <w:rFonts w:asciiTheme="majorHAnsi" w:hAnsiTheme="majorHAnsi" w:cstheme="majorHAnsi"/>
          <w:iCs/>
          <w:color w:val="0D0D0D" w:themeColor="text1" w:themeTint="F2"/>
          <w:sz w:val="24"/>
          <w:szCs w:val="24"/>
        </w:rPr>
        <w:t xml:space="preserve">2020 </w:t>
      </w:r>
      <w:r w:rsidR="002C0DDF" w:rsidRPr="00F34E9D">
        <w:rPr>
          <w:rFonts w:asciiTheme="majorHAnsi" w:hAnsiTheme="majorHAnsi" w:cstheme="majorHAnsi"/>
          <w:iCs/>
          <w:color w:val="0D0D0D" w:themeColor="text1" w:themeTint="F2"/>
          <w:sz w:val="24"/>
          <w:szCs w:val="24"/>
        </w:rPr>
        <w:t xml:space="preserve">– </w:t>
      </w:r>
      <w:r w:rsidR="00CF5642" w:rsidRPr="00F34E9D">
        <w:rPr>
          <w:rFonts w:asciiTheme="majorHAnsi" w:hAnsiTheme="majorHAnsi" w:cstheme="majorHAnsi"/>
          <w:iCs/>
          <w:color w:val="0D0D0D" w:themeColor="text1" w:themeTint="F2"/>
          <w:sz w:val="24"/>
          <w:szCs w:val="24"/>
        </w:rPr>
        <w:t>105,72 mil.lei)</w:t>
      </w:r>
      <w:r w:rsidR="004A08DA" w:rsidRPr="00F34E9D">
        <w:rPr>
          <w:rFonts w:asciiTheme="majorHAnsi" w:hAnsiTheme="majorHAnsi" w:cstheme="majorHAnsi"/>
          <w:iCs/>
          <w:color w:val="0D0D0D" w:themeColor="text1" w:themeTint="F2"/>
          <w:sz w:val="24"/>
          <w:szCs w:val="24"/>
        </w:rPr>
        <w:t>;</w:t>
      </w:r>
    </w:p>
    <w:p w14:paraId="4D63F724" w14:textId="6603AF57" w:rsidR="004E38B4" w:rsidRPr="00F34E9D" w:rsidRDefault="00215412" w:rsidP="00A75ED2">
      <w:pPr>
        <w:spacing w:after="0" w:line="276" w:lineRule="auto"/>
        <w:jc w:val="both"/>
        <w:rPr>
          <w:rFonts w:asciiTheme="majorHAnsi" w:hAnsiTheme="majorHAnsi" w:cstheme="majorHAnsi"/>
          <w:color w:val="0D0D0D" w:themeColor="text1" w:themeTint="F2"/>
          <w:sz w:val="24"/>
          <w:szCs w:val="24"/>
        </w:rPr>
      </w:pPr>
      <w:r w:rsidRPr="00F34E9D">
        <w:rPr>
          <w:rFonts w:asciiTheme="majorHAnsi" w:hAnsiTheme="majorHAnsi" w:cstheme="majorHAnsi"/>
          <w:iCs/>
          <w:color w:val="0D0D0D" w:themeColor="text1" w:themeTint="F2"/>
          <w:sz w:val="24"/>
          <w:szCs w:val="24"/>
        </w:rPr>
        <w:t xml:space="preserve">- </w:t>
      </w:r>
      <w:r w:rsidRPr="00F34E9D">
        <w:rPr>
          <w:rFonts w:asciiTheme="majorHAnsi" w:hAnsiTheme="majorHAnsi" w:cstheme="majorHAnsi"/>
          <w:i/>
          <w:iCs/>
          <w:color w:val="0D0D0D" w:themeColor="text1" w:themeTint="F2"/>
          <w:sz w:val="24"/>
          <w:szCs w:val="24"/>
        </w:rPr>
        <w:t>m</w:t>
      </w:r>
      <w:r w:rsidR="003723D7" w:rsidRPr="00F34E9D">
        <w:rPr>
          <w:rFonts w:asciiTheme="majorHAnsi" w:hAnsiTheme="majorHAnsi" w:cstheme="majorHAnsi"/>
          <w:i/>
          <w:iCs/>
          <w:color w:val="0D0D0D" w:themeColor="text1" w:themeTint="F2"/>
          <w:sz w:val="24"/>
          <w:szCs w:val="24"/>
        </w:rPr>
        <w:t>ajorarea</w:t>
      </w:r>
      <w:r w:rsidR="003723D7" w:rsidRPr="00F34E9D">
        <w:rPr>
          <w:rFonts w:asciiTheme="majorHAnsi" w:hAnsiTheme="majorHAnsi" w:cstheme="majorHAnsi"/>
          <w:i/>
          <w:color w:val="0D0D0D" w:themeColor="text1" w:themeTint="F2"/>
          <w:sz w:val="24"/>
          <w:szCs w:val="24"/>
        </w:rPr>
        <w:t xml:space="preserve"> </w:t>
      </w:r>
      <w:r w:rsidR="003723D7" w:rsidRPr="00F34E9D">
        <w:rPr>
          <w:rFonts w:asciiTheme="majorHAnsi" w:hAnsiTheme="majorHAnsi" w:cstheme="majorHAnsi"/>
          <w:i/>
          <w:iCs/>
          <w:color w:val="0D0D0D" w:themeColor="text1" w:themeTint="F2"/>
          <w:sz w:val="24"/>
          <w:szCs w:val="24"/>
        </w:rPr>
        <w:t xml:space="preserve">cu </w:t>
      </w:r>
      <w:r w:rsidR="00E4538A" w:rsidRPr="00F34E9D">
        <w:rPr>
          <w:rFonts w:asciiTheme="majorHAnsi" w:hAnsiTheme="majorHAnsi" w:cstheme="majorHAnsi"/>
          <w:b/>
          <w:i/>
          <w:iCs/>
          <w:color w:val="0D0D0D" w:themeColor="text1" w:themeTint="F2"/>
          <w:sz w:val="24"/>
          <w:szCs w:val="24"/>
        </w:rPr>
        <w:t>179</w:t>
      </w:r>
      <w:r w:rsidR="00740C13" w:rsidRPr="00F34E9D">
        <w:rPr>
          <w:rFonts w:asciiTheme="majorHAnsi" w:hAnsiTheme="majorHAnsi" w:cstheme="majorHAnsi"/>
          <w:b/>
          <w:i/>
          <w:iCs/>
          <w:color w:val="0D0D0D" w:themeColor="text1" w:themeTint="F2"/>
          <w:sz w:val="24"/>
          <w:szCs w:val="24"/>
        </w:rPr>
        <w:t>,</w:t>
      </w:r>
      <w:r w:rsidR="00E4538A" w:rsidRPr="00F34E9D">
        <w:rPr>
          <w:rFonts w:asciiTheme="majorHAnsi" w:hAnsiTheme="majorHAnsi" w:cstheme="majorHAnsi"/>
          <w:b/>
          <w:i/>
          <w:iCs/>
          <w:color w:val="0D0D0D" w:themeColor="text1" w:themeTint="F2"/>
          <w:sz w:val="24"/>
          <w:szCs w:val="24"/>
        </w:rPr>
        <w:t>4</w:t>
      </w:r>
      <w:r w:rsidR="00740C13" w:rsidRPr="00F34E9D">
        <w:rPr>
          <w:rFonts w:asciiTheme="majorHAnsi" w:hAnsiTheme="majorHAnsi" w:cstheme="majorHAnsi"/>
          <w:b/>
          <w:i/>
          <w:iCs/>
          <w:color w:val="0D0D0D" w:themeColor="text1" w:themeTint="F2"/>
          <w:sz w:val="24"/>
          <w:szCs w:val="24"/>
        </w:rPr>
        <w:t>1</w:t>
      </w:r>
      <w:r w:rsidR="003723D7" w:rsidRPr="00F34E9D">
        <w:rPr>
          <w:rFonts w:asciiTheme="majorHAnsi" w:hAnsiTheme="majorHAnsi" w:cstheme="majorHAnsi"/>
          <w:b/>
          <w:i/>
          <w:iCs/>
          <w:color w:val="0D0D0D" w:themeColor="text1" w:themeTint="F2"/>
          <w:sz w:val="24"/>
          <w:szCs w:val="24"/>
        </w:rPr>
        <w:t xml:space="preserve"> mil.lei</w:t>
      </w:r>
      <w:r w:rsidR="003723D7" w:rsidRPr="00F34E9D">
        <w:rPr>
          <w:rFonts w:asciiTheme="majorHAnsi" w:hAnsiTheme="majorHAnsi" w:cstheme="majorHAnsi"/>
          <w:color w:val="0D0D0D" w:themeColor="text1" w:themeTint="F2"/>
          <w:sz w:val="24"/>
          <w:szCs w:val="24"/>
        </w:rPr>
        <w:t xml:space="preserve"> a valorii contului </w:t>
      </w:r>
      <w:r w:rsidR="003723D7" w:rsidRPr="00F34E9D">
        <w:rPr>
          <w:rFonts w:asciiTheme="majorHAnsi" w:hAnsiTheme="majorHAnsi" w:cstheme="majorHAnsi"/>
          <w:iCs/>
          <w:color w:val="0D0D0D" w:themeColor="text1" w:themeTint="F2"/>
          <w:sz w:val="24"/>
          <w:szCs w:val="24"/>
        </w:rPr>
        <w:t>319 „Investiții capitale în active în curs de execuție”, ca urmare a evidenței duble a investițiilor realizate la 7 obiecte (14,</w:t>
      </w:r>
      <w:r w:rsidR="00DB0440" w:rsidRPr="00F34E9D">
        <w:rPr>
          <w:rFonts w:asciiTheme="majorHAnsi" w:hAnsiTheme="majorHAnsi" w:cstheme="majorHAnsi"/>
          <w:iCs/>
          <w:color w:val="0D0D0D" w:themeColor="text1" w:themeTint="F2"/>
          <w:sz w:val="24"/>
          <w:szCs w:val="24"/>
        </w:rPr>
        <w:t>48</w:t>
      </w:r>
      <w:r w:rsidR="003723D7" w:rsidRPr="00F34E9D">
        <w:rPr>
          <w:rFonts w:asciiTheme="majorHAnsi" w:hAnsiTheme="majorHAnsi" w:cstheme="majorHAnsi"/>
          <w:iCs/>
          <w:color w:val="0D0D0D" w:themeColor="text1" w:themeTint="F2"/>
          <w:sz w:val="24"/>
          <w:szCs w:val="24"/>
        </w:rPr>
        <w:t xml:space="preserve"> mil.lei)</w:t>
      </w:r>
      <w:r w:rsidR="003723D7" w:rsidRPr="00F34E9D">
        <w:rPr>
          <w:rFonts w:asciiTheme="majorHAnsi" w:hAnsiTheme="majorHAnsi" w:cstheme="majorHAnsi"/>
          <w:iCs/>
          <w:color w:val="0D0D0D" w:themeColor="text1" w:themeTint="F2"/>
          <w:sz w:val="24"/>
          <w:szCs w:val="24"/>
          <w:vertAlign w:val="superscript"/>
        </w:rPr>
        <w:footnoteReference w:id="7"/>
      </w:r>
      <w:r w:rsidR="003723D7" w:rsidRPr="00F34E9D">
        <w:rPr>
          <w:rFonts w:asciiTheme="majorHAnsi" w:hAnsiTheme="majorHAnsi" w:cstheme="majorHAnsi"/>
          <w:iCs/>
          <w:color w:val="0D0D0D" w:themeColor="text1" w:themeTint="F2"/>
          <w:sz w:val="24"/>
          <w:szCs w:val="24"/>
        </w:rPr>
        <w:t xml:space="preserve"> înregistrate și în evidența contabilă a APL, și la 3 obiecte, vândute de APL (15,47 mil.lei)</w:t>
      </w:r>
      <w:r w:rsidR="003723D7" w:rsidRPr="00F34E9D">
        <w:rPr>
          <w:rFonts w:asciiTheme="majorHAnsi" w:hAnsiTheme="majorHAnsi" w:cstheme="majorHAnsi"/>
          <w:iCs/>
          <w:color w:val="0D0D0D" w:themeColor="text1" w:themeTint="F2"/>
          <w:sz w:val="24"/>
          <w:szCs w:val="24"/>
          <w:vertAlign w:val="superscript"/>
        </w:rPr>
        <w:footnoteReference w:id="8"/>
      </w:r>
      <w:r w:rsidR="003723D7" w:rsidRPr="00F34E9D">
        <w:rPr>
          <w:rFonts w:asciiTheme="majorHAnsi" w:hAnsiTheme="majorHAnsi" w:cstheme="majorHAnsi"/>
          <w:iCs/>
          <w:color w:val="0D0D0D" w:themeColor="text1" w:themeTint="F2"/>
          <w:sz w:val="24"/>
          <w:szCs w:val="24"/>
        </w:rPr>
        <w:t xml:space="preserve">; </w:t>
      </w:r>
      <w:r w:rsidR="003723D7" w:rsidRPr="00F34E9D">
        <w:rPr>
          <w:rFonts w:asciiTheme="majorHAnsi" w:hAnsiTheme="majorHAnsi" w:cstheme="majorHAnsi"/>
          <w:color w:val="0D0D0D" w:themeColor="text1" w:themeTint="F2"/>
          <w:sz w:val="24"/>
          <w:szCs w:val="24"/>
        </w:rPr>
        <w:t>necapitalizării investițiilor realizate la Liceul teoretic „Aristotel” (</w:t>
      </w:r>
      <w:r w:rsidR="00740C13" w:rsidRPr="00F34E9D">
        <w:rPr>
          <w:rFonts w:asciiTheme="majorHAnsi" w:hAnsiTheme="majorHAnsi" w:cstheme="majorHAnsi"/>
          <w:color w:val="0D0D0D" w:themeColor="text1" w:themeTint="F2"/>
          <w:sz w:val="24"/>
          <w:szCs w:val="24"/>
        </w:rPr>
        <w:t xml:space="preserve">78,22 </w:t>
      </w:r>
      <w:r w:rsidR="003723D7" w:rsidRPr="00F34E9D">
        <w:rPr>
          <w:rFonts w:asciiTheme="majorHAnsi" w:hAnsiTheme="majorHAnsi" w:cstheme="majorHAnsi"/>
          <w:color w:val="0D0D0D" w:themeColor="text1" w:themeTint="F2"/>
          <w:sz w:val="24"/>
          <w:szCs w:val="24"/>
        </w:rPr>
        <w:t>mil.lei)</w:t>
      </w:r>
      <w:r w:rsidR="00FD4DB3" w:rsidRPr="00F34E9D">
        <w:rPr>
          <w:rFonts w:asciiTheme="majorHAnsi" w:hAnsiTheme="majorHAnsi" w:cstheme="majorHAnsi"/>
          <w:color w:val="0D0D0D" w:themeColor="text1" w:themeTint="F2"/>
          <w:sz w:val="24"/>
          <w:szCs w:val="24"/>
        </w:rPr>
        <w:t xml:space="preserve"> și la 2 </w:t>
      </w:r>
      <w:r w:rsidR="00A465CE" w:rsidRPr="00F34E9D">
        <w:rPr>
          <w:rFonts w:asciiTheme="majorHAnsi" w:hAnsiTheme="majorHAnsi" w:cstheme="majorHAnsi"/>
          <w:color w:val="0D0D0D" w:themeColor="text1" w:themeTint="F2"/>
          <w:sz w:val="24"/>
          <w:szCs w:val="24"/>
        </w:rPr>
        <w:t>c</w:t>
      </w:r>
      <w:r w:rsidR="00FD4DB3" w:rsidRPr="00F34E9D">
        <w:rPr>
          <w:rFonts w:asciiTheme="majorHAnsi" w:hAnsiTheme="majorHAnsi" w:cstheme="majorHAnsi"/>
          <w:color w:val="0D0D0D" w:themeColor="text1" w:themeTint="F2"/>
          <w:sz w:val="24"/>
          <w:szCs w:val="24"/>
        </w:rPr>
        <w:t xml:space="preserve">entre de </w:t>
      </w:r>
      <w:r w:rsidR="00A465CE" w:rsidRPr="00F34E9D">
        <w:rPr>
          <w:rFonts w:asciiTheme="majorHAnsi" w:hAnsiTheme="majorHAnsi" w:cstheme="majorHAnsi"/>
          <w:color w:val="0D0D0D" w:themeColor="text1" w:themeTint="F2"/>
          <w:sz w:val="24"/>
          <w:szCs w:val="24"/>
        </w:rPr>
        <w:t>e</w:t>
      </w:r>
      <w:r w:rsidR="00FD4DB3" w:rsidRPr="00F34E9D">
        <w:rPr>
          <w:rFonts w:asciiTheme="majorHAnsi" w:hAnsiTheme="majorHAnsi" w:cstheme="majorHAnsi"/>
          <w:color w:val="0D0D0D" w:themeColor="text1" w:themeTint="F2"/>
          <w:sz w:val="24"/>
          <w:szCs w:val="24"/>
        </w:rPr>
        <w:t>xcelență</w:t>
      </w:r>
      <w:r w:rsidR="00FD4DB3" w:rsidRPr="00F34E9D">
        <w:rPr>
          <w:rStyle w:val="a7"/>
          <w:rFonts w:asciiTheme="majorHAnsi" w:hAnsiTheme="majorHAnsi" w:cstheme="majorHAnsi"/>
          <w:color w:val="0D0D0D" w:themeColor="text1" w:themeTint="F2"/>
          <w:sz w:val="24"/>
          <w:szCs w:val="24"/>
        </w:rPr>
        <w:footnoteReference w:id="9"/>
      </w:r>
      <w:r w:rsidR="00FD4DB3" w:rsidRPr="00F34E9D">
        <w:rPr>
          <w:rFonts w:asciiTheme="majorHAnsi" w:hAnsiTheme="majorHAnsi" w:cstheme="majorHAnsi"/>
          <w:color w:val="0D0D0D" w:themeColor="text1" w:themeTint="F2"/>
          <w:sz w:val="24"/>
          <w:szCs w:val="24"/>
        </w:rPr>
        <w:t xml:space="preserve"> (65,4 mil.lei)</w:t>
      </w:r>
      <w:r w:rsidR="003723D7" w:rsidRPr="00F34E9D">
        <w:rPr>
          <w:rFonts w:asciiTheme="majorHAnsi" w:hAnsiTheme="majorHAnsi" w:cstheme="majorHAnsi"/>
          <w:color w:val="0D0D0D" w:themeColor="text1" w:themeTint="F2"/>
          <w:sz w:val="24"/>
          <w:szCs w:val="24"/>
        </w:rPr>
        <w:t xml:space="preserve">; </w:t>
      </w:r>
      <w:r w:rsidR="003723D7" w:rsidRPr="00F34E9D">
        <w:rPr>
          <w:rFonts w:asciiTheme="majorHAnsi" w:hAnsiTheme="majorHAnsi" w:cstheme="majorHAnsi"/>
          <w:iCs/>
          <w:color w:val="0D0D0D" w:themeColor="text1" w:themeTint="F2"/>
          <w:sz w:val="24"/>
          <w:szCs w:val="24"/>
        </w:rPr>
        <w:t>neexecutării lucrărilor de construcție facturate (5,84 mil.lei).</w:t>
      </w:r>
    </w:p>
    <w:p w14:paraId="3F3746D2" w14:textId="116B78A4" w:rsidR="00740C13" w:rsidRPr="00F34E9D" w:rsidRDefault="00740C13" w:rsidP="00F42E6E">
      <w:pPr>
        <w:spacing w:after="0"/>
        <w:jc w:val="both"/>
        <w:rPr>
          <w:rFonts w:asciiTheme="majorHAnsi" w:hAnsiTheme="majorHAnsi" w:cstheme="majorHAnsi"/>
          <w:i/>
          <w:iCs/>
          <w:color w:val="0D0D0D" w:themeColor="text1" w:themeTint="F2"/>
          <w:sz w:val="24"/>
          <w:szCs w:val="24"/>
        </w:rPr>
      </w:pPr>
      <w:r w:rsidRPr="00F34E9D">
        <w:rPr>
          <w:rFonts w:asciiTheme="majorHAnsi" w:eastAsia="Times New Roman" w:hAnsiTheme="majorHAnsi" w:cstheme="majorHAnsi"/>
          <w:b/>
          <w:bCs/>
          <w:i/>
          <w:color w:val="0D0D0D" w:themeColor="text1" w:themeTint="F2"/>
          <w:sz w:val="24"/>
          <w:szCs w:val="24"/>
          <w:lang w:val="ro-RO"/>
        </w:rPr>
        <w:t xml:space="preserve">2.7. </w:t>
      </w:r>
      <w:r w:rsidRPr="00F34E9D">
        <w:rPr>
          <w:rFonts w:asciiTheme="majorHAnsi" w:hAnsiTheme="majorHAnsi" w:cstheme="majorHAnsi"/>
          <w:i/>
          <w:color w:val="0D0D0D" w:themeColor="text1" w:themeTint="F2"/>
          <w:sz w:val="24"/>
          <w:szCs w:val="24"/>
        </w:rPr>
        <w:t xml:space="preserve">Diminuarea valorii contului „Alte mijloace fixe” cu cel puțin </w:t>
      </w:r>
      <w:r w:rsidR="00E4538A" w:rsidRPr="00F34E9D">
        <w:rPr>
          <w:rFonts w:asciiTheme="majorHAnsi" w:hAnsiTheme="majorHAnsi" w:cstheme="majorHAnsi"/>
          <w:b/>
          <w:i/>
          <w:color w:val="0D0D0D" w:themeColor="text1" w:themeTint="F2"/>
          <w:sz w:val="24"/>
          <w:szCs w:val="24"/>
        </w:rPr>
        <w:t>149</w:t>
      </w:r>
      <w:r w:rsidRPr="00F34E9D">
        <w:rPr>
          <w:rFonts w:asciiTheme="majorHAnsi" w:hAnsiTheme="majorHAnsi" w:cstheme="majorHAnsi"/>
          <w:b/>
          <w:i/>
          <w:color w:val="0D0D0D" w:themeColor="text1" w:themeTint="F2"/>
          <w:sz w:val="24"/>
          <w:szCs w:val="24"/>
        </w:rPr>
        <w:t>,</w:t>
      </w:r>
      <w:r w:rsidR="00E4538A" w:rsidRPr="00F34E9D">
        <w:rPr>
          <w:rFonts w:asciiTheme="majorHAnsi" w:hAnsiTheme="majorHAnsi" w:cstheme="majorHAnsi"/>
          <w:b/>
          <w:i/>
          <w:color w:val="0D0D0D" w:themeColor="text1" w:themeTint="F2"/>
          <w:sz w:val="24"/>
          <w:szCs w:val="24"/>
        </w:rPr>
        <w:t>15</w:t>
      </w:r>
      <w:r w:rsidRPr="00F34E9D">
        <w:rPr>
          <w:rFonts w:asciiTheme="majorHAnsi" w:hAnsiTheme="majorHAnsi" w:cstheme="majorHAnsi"/>
          <w:b/>
          <w:i/>
          <w:color w:val="0D0D0D" w:themeColor="text1" w:themeTint="F2"/>
          <w:sz w:val="24"/>
          <w:szCs w:val="24"/>
        </w:rPr>
        <w:t xml:space="preserve"> mil.lei</w:t>
      </w:r>
      <w:r w:rsidRPr="00F34E9D">
        <w:rPr>
          <w:rFonts w:asciiTheme="majorHAnsi" w:hAnsiTheme="majorHAnsi" w:cstheme="majorHAnsi"/>
          <w:i/>
          <w:color w:val="0D0D0D" w:themeColor="text1" w:themeTint="F2"/>
          <w:sz w:val="24"/>
          <w:szCs w:val="24"/>
        </w:rPr>
        <w:t>, determinată de:</w:t>
      </w:r>
      <w:r w:rsidR="00E4538A" w:rsidRPr="00F34E9D">
        <w:rPr>
          <w:rFonts w:asciiTheme="majorHAnsi" w:hAnsiTheme="majorHAnsi" w:cstheme="majorHAnsi"/>
          <w:i/>
          <w:color w:val="0D0D0D" w:themeColor="text1" w:themeTint="F2"/>
          <w:sz w:val="24"/>
          <w:szCs w:val="24"/>
        </w:rPr>
        <w:t xml:space="preserve"> </w:t>
      </w:r>
      <w:r w:rsidRPr="00F34E9D">
        <w:rPr>
          <w:rFonts w:asciiTheme="majorHAnsi" w:hAnsiTheme="majorHAnsi" w:cstheme="majorHAnsi"/>
          <w:color w:val="0D0D0D" w:themeColor="text1" w:themeTint="F2"/>
          <w:sz w:val="24"/>
          <w:szCs w:val="24"/>
        </w:rPr>
        <w:t>(1) neînregistr</w:t>
      </w:r>
      <w:r w:rsidR="00A465CE" w:rsidRPr="00F34E9D">
        <w:rPr>
          <w:rFonts w:asciiTheme="majorHAnsi" w:hAnsiTheme="majorHAnsi" w:cstheme="majorHAnsi"/>
          <w:color w:val="0D0D0D" w:themeColor="text1" w:themeTint="F2"/>
          <w:sz w:val="24"/>
          <w:szCs w:val="24"/>
        </w:rPr>
        <w:t>area</w:t>
      </w:r>
      <w:r w:rsidRPr="00F34E9D">
        <w:rPr>
          <w:rFonts w:asciiTheme="majorHAnsi" w:hAnsiTheme="majorHAnsi" w:cstheme="majorHAnsi"/>
          <w:color w:val="0D0D0D" w:themeColor="text1" w:themeTint="F2"/>
          <w:sz w:val="24"/>
          <w:szCs w:val="24"/>
        </w:rPr>
        <w:t xml:space="preserve"> ca proprietate a MEC a fondului de manuale încadrat în schema de închiriere (145,89 mil.lei);</w:t>
      </w:r>
      <w:r w:rsidRPr="00F34E9D">
        <w:rPr>
          <w:rFonts w:asciiTheme="majorHAnsi" w:hAnsiTheme="majorHAnsi" w:cstheme="majorHAnsi"/>
          <w:iCs/>
          <w:color w:val="0D0D0D" w:themeColor="text1" w:themeTint="F2"/>
          <w:sz w:val="24"/>
          <w:szCs w:val="24"/>
        </w:rPr>
        <w:t xml:space="preserve"> (2) clasific</w:t>
      </w:r>
      <w:r w:rsidR="00A465CE" w:rsidRPr="00F34E9D">
        <w:rPr>
          <w:rFonts w:asciiTheme="majorHAnsi" w:hAnsiTheme="majorHAnsi" w:cstheme="majorHAnsi"/>
          <w:iCs/>
          <w:color w:val="0D0D0D" w:themeColor="text1" w:themeTint="F2"/>
          <w:sz w:val="24"/>
          <w:szCs w:val="24"/>
        </w:rPr>
        <w:t>area</w:t>
      </w:r>
      <w:r w:rsidRPr="00F34E9D">
        <w:rPr>
          <w:rFonts w:asciiTheme="majorHAnsi" w:hAnsiTheme="majorHAnsi" w:cstheme="majorHAnsi"/>
          <w:iCs/>
          <w:color w:val="0D0D0D" w:themeColor="text1" w:themeTint="F2"/>
          <w:sz w:val="24"/>
          <w:szCs w:val="24"/>
        </w:rPr>
        <w:t xml:space="preserve"> și raport</w:t>
      </w:r>
      <w:r w:rsidR="00A465CE" w:rsidRPr="00F34E9D">
        <w:rPr>
          <w:rFonts w:asciiTheme="majorHAnsi" w:hAnsiTheme="majorHAnsi" w:cstheme="majorHAnsi"/>
          <w:iCs/>
          <w:color w:val="0D0D0D" w:themeColor="text1" w:themeTint="F2"/>
          <w:sz w:val="24"/>
          <w:szCs w:val="24"/>
        </w:rPr>
        <w:t>area</w:t>
      </w:r>
      <w:r w:rsidRPr="00F34E9D">
        <w:rPr>
          <w:rFonts w:asciiTheme="majorHAnsi" w:hAnsiTheme="majorHAnsi" w:cstheme="majorHAnsi"/>
          <w:iCs/>
          <w:color w:val="0D0D0D" w:themeColor="text1" w:themeTint="F2"/>
          <w:sz w:val="24"/>
          <w:szCs w:val="24"/>
        </w:rPr>
        <w:t xml:space="preserve"> ca cheltuieli a produselor curriculare tipărite (1,62 mil.lei); (3) neînregistr</w:t>
      </w:r>
      <w:r w:rsidR="00A465CE" w:rsidRPr="00F34E9D">
        <w:rPr>
          <w:rFonts w:asciiTheme="majorHAnsi" w:hAnsiTheme="majorHAnsi" w:cstheme="majorHAnsi"/>
          <w:iCs/>
          <w:color w:val="0D0D0D" w:themeColor="text1" w:themeTint="F2"/>
          <w:sz w:val="24"/>
          <w:szCs w:val="24"/>
        </w:rPr>
        <w:t>area</w:t>
      </w:r>
      <w:r w:rsidRPr="00F34E9D">
        <w:rPr>
          <w:rFonts w:asciiTheme="majorHAnsi" w:hAnsiTheme="majorHAnsi" w:cstheme="majorHAnsi"/>
          <w:iCs/>
          <w:color w:val="0D0D0D" w:themeColor="text1" w:themeTint="F2"/>
          <w:sz w:val="24"/>
          <w:szCs w:val="24"/>
        </w:rPr>
        <w:t xml:space="preserve"> ca mijloace fixe a materialului bibliografic tipărit în cadrul efectuării cercetărilor științifice de către instituțiile de cercetări din subordinea MEC (1,65 mil.lei);</w:t>
      </w:r>
    </w:p>
    <w:p w14:paraId="6ED86F20" w14:textId="3584A57B" w:rsidR="003F70ED" w:rsidRPr="00F34E9D" w:rsidRDefault="00740C13" w:rsidP="0007105E">
      <w:pPr>
        <w:pStyle w:val="a3"/>
        <w:spacing w:after="0" w:line="276" w:lineRule="auto"/>
        <w:ind w:left="0"/>
        <w:jc w:val="both"/>
        <w:rPr>
          <w:rFonts w:asciiTheme="majorHAnsi" w:hAnsiTheme="majorHAnsi" w:cstheme="majorHAnsi"/>
          <w:i/>
          <w:iCs/>
          <w:color w:val="0D0D0D" w:themeColor="text1" w:themeTint="F2"/>
          <w:sz w:val="24"/>
          <w:szCs w:val="24"/>
        </w:rPr>
      </w:pPr>
      <w:r w:rsidRPr="00F34E9D">
        <w:rPr>
          <w:rFonts w:asciiTheme="majorHAnsi" w:eastAsia="Times New Roman" w:hAnsiTheme="majorHAnsi" w:cstheme="majorHAnsi"/>
          <w:b/>
          <w:bCs/>
          <w:i/>
          <w:color w:val="0D0D0D" w:themeColor="text1" w:themeTint="F2"/>
          <w:sz w:val="24"/>
          <w:szCs w:val="24"/>
          <w:lang w:val="ro-RO"/>
        </w:rPr>
        <w:t>2.</w:t>
      </w:r>
      <w:r w:rsidR="00E56BC4" w:rsidRPr="00F34E9D">
        <w:rPr>
          <w:rFonts w:asciiTheme="majorHAnsi" w:eastAsia="Times New Roman" w:hAnsiTheme="majorHAnsi" w:cstheme="majorHAnsi"/>
          <w:b/>
          <w:bCs/>
          <w:i/>
          <w:color w:val="0D0D0D" w:themeColor="text1" w:themeTint="F2"/>
          <w:sz w:val="24"/>
          <w:szCs w:val="24"/>
          <w:lang w:val="ro-RO"/>
        </w:rPr>
        <w:t>8</w:t>
      </w:r>
      <w:r w:rsidRPr="00F34E9D">
        <w:rPr>
          <w:rFonts w:asciiTheme="majorHAnsi" w:eastAsia="Times New Roman" w:hAnsiTheme="majorHAnsi" w:cstheme="majorHAnsi"/>
          <w:b/>
          <w:bCs/>
          <w:i/>
          <w:color w:val="0D0D0D" w:themeColor="text1" w:themeTint="F2"/>
          <w:sz w:val="24"/>
          <w:szCs w:val="24"/>
          <w:lang w:val="ro-RO"/>
        </w:rPr>
        <w:t>.</w:t>
      </w:r>
      <w:r w:rsidR="000F35E4" w:rsidRPr="00F34E9D">
        <w:rPr>
          <w:rFonts w:asciiTheme="majorHAnsi" w:eastAsia="Times New Roman" w:hAnsiTheme="majorHAnsi" w:cstheme="majorHAnsi"/>
          <w:bCs/>
          <w:i/>
          <w:color w:val="0D0D0D" w:themeColor="text1" w:themeTint="F2"/>
          <w:sz w:val="24"/>
          <w:szCs w:val="24"/>
          <w:lang w:val="ro-RO"/>
        </w:rPr>
        <w:t xml:space="preserve"> Diminuarea valorii contului 419</w:t>
      </w:r>
      <w:r w:rsidR="00E670FA" w:rsidRPr="00F34E9D">
        <w:rPr>
          <w:rFonts w:asciiTheme="majorHAnsi" w:eastAsia="Times New Roman" w:hAnsiTheme="majorHAnsi" w:cstheme="majorHAnsi"/>
          <w:bCs/>
          <w:i/>
          <w:color w:val="0D0D0D" w:themeColor="text1" w:themeTint="F2"/>
          <w:sz w:val="24"/>
          <w:szCs w:val="24"/>
          <w:lang w:val="ro-RO"/>
        </w:rPr>
        <w:t xml:space="preserve"> </w:t>
      </w:r>
      <w:r w:rsidR="000F35E4" w:rsidRPr="00F34E9D">
        <w:rPr>
          <w:rFonts w:asciiTheme="majorHAnsi" w:eastAsia="Times New Roman" w:hAnsiTheme="majorHAnsi" w:cstheme="majorHAnsi"/>
          <w:bCs/>
          <w:i/>
          <w:color w:val="0D0D0D" w:themeColor="text1" w:themeTint="F2"/>
          <w:sz w:val="24"/>
          <w:szCs w:val="24"/>
        </w:rPr>
        <w:t xml:space="preserve">„Alte creanțe” ale instituțiilor bugetare cu </w:t>
      </w:r>
      <w:r w:rsidR="002C6BF7" w:rsidRPr="00F34E9D">
        <w:rPr>
          <w:rFonts w:asciiTheme="majorHAnsi" w:eastAsia="Times New Roman" w:hAnsiTheme="majorHAnsi" w:cstheme="majorHAnsi"/>
          <w:b/>
          <w:bCs/>
          <w:i/>
          <w:color w:val="0D0D0D" w:themeColor="text1" w:themeTint="F2"/>
          <w:sz w:val="24"/>
          <w:szCs w:val="24"/>
        </w:rPr>
        <w:t>97</w:t>
      </w:r>
      <w:r w:rsidR="00C3688E" w:rsidRPr="00F34E9D">
        <w:rPr>
          <w:rFonts w:asciiTheme="majorHAnsi" w:eastAsia="Times New Roman" w:hAnsiTheme="majorHAnsi" w:cstheme="majorHAnsi"/>
          <w:b/>
          <w:bCs/>
          <w:i/>
          <w:color w:val="0D0D0D" w:themeColor="text1" w:themeTint="F2"/>
          <w:sz w:val="24"/>
          <w:szCs w:val="24"/>
        </w:rPr>
        <w:t>,</w:t>
      </w:r>
      <w:r w:rsidR="005B7DDE" w:rsidRPr="00F34E9D">
        <w:rPr>
          <w:rFonts w:asciiTheme="majorHAnsi" w:eastAsia="Times New Roman" w:hAnsiTheme="majorHAnsi" w:cstheme="majorHAnsi"/>
          <w:b/>
          <w:bCs/>
          <w:i/>
          <w:color w:val="0D0D0D" w:themeColor="text1" w:themeTint="F2"/>
          <w:sz w:val="24"/>
          <w:szCs w:val="24"/>
        </w:rPr>
        <w:t xml:space="preserve">15 </w:t>
      </w:r>
      <w:r w:rsidR="00C3688E" w:rsidRPr="00F34E9D">
        <w:rPr>
          <w:rFonts w:asciiTheme="majorHAnsi" w:eastAsia="Times New Roman" w:hAnsiTheme="majorHAnsi" w:cstheme="majorHAnsi"/>
          <w:b/>
          <w:bCs/>
          <w:i/>
          <w:color w:val="0D0D0D" w:themeColor="text1" w:themeTint="F2"/>
          <w:sz w:val="24"/>
          <w:szCs w:val="24"/>
        </w:rPr>
        <w:t>mil.</w:t>
      </w:r>
      <w:r w:rsidR="000F35E4" w:rsidRPr="00F34E9D">
        <w:rPr>
          <w:rFonts w:asciiTheme="majorHAnsi" w:eastAsia="Times New Roman" w:hAnsiTheme="majorHAnsi" w:cstheme="majorHAnsi"/>
          <w:b/>
          <w:bCs/>
          <w:i/>
          <w:color w:val="0D0D0D" w:themeColor="text1" w:themeTint="F2"/>
          <w:sz w:val="24"/>
          <w:szCs w:val="24"/>
        </w:rPr>
        <w:t xml:space="preserve"> lei,</w:t>
      </w:r>
      <w:r w:rsidR="000F35E4" w:rsidRPr="00F34E9D">
        <w:rPr>
          <w:rFonts w:asciiTheme="majorHAnsi" w:eastAsia="Times New Roman" w:hAnsiTheme="majorHAnsi" w:cstheme="majorHAnsi"/>
          <w:bCs/>
          <w:i/>
          <w:color w:val="0D0D0D" w:themeColor="text1" w:themeTint="F2"/>
          <w:sz w:val="24"/>
          <w:szCs w:val="24"/>
        </w:rPr>
        <w:t xml:space="preserve"> determinată de:</w:t>
      </w:r>
      <w:r w:rsidR="00A75ED2" w:rsidRPr="00F34E9D">
        <w:rPr>
          <w:rFonts w:asciiTheme="majorHAnsi" w:eastAsia="Times New Roman" w:hAnsiTheme="majorHAnsi" w:cstheme="majorHAnsi"/>
          <w:bCs/>
          <w:i/>
          <w:color w:val="0D0D0D" w:themeColor="text1" w:themeTint="F2"/>
          <w:sz w:val="24"/>
          <w:szCs w:val="24"/>
        </w:rPr>
        <w:t xml:space="preserve"> </w:t>
      </w:r>
      <w:r w:rsidR="003A0E04" w:rsidRPr="00F34E9D">
        <w:rPr>
          <w:rFonts w:asciiTheme="majorHAnsi" w:eastAsia="Times New Roman" w:hAnsiTheme="majorHAnsi" w:cstheme="majorHAnsi"/>
          <w:bCs/>
          <w:color w:val="0D0D0D" w:themeColor="text1" w:themeTint="F2"/>
          <w:sz w:val="24"/>
          <w:szCs w:val="24"/>
        </w:rPr>
        <w:t>(</w:t>
      </w:r>
      <w:r w:rsidR="000B0182" w:rsidRPr="00F34E9D">
        <w:rPr>
          <w:rFonts w:asciiTheme="majorHAnsi" w:eastAsia="Times New Roman" w:hAnsiTheme="majorHAnsi" w:cstheme="majorHAnsi"/>
          <w:bCs/>
          <w:color w:val="0D0D0D" w:themeColor="text1" w:themeTint="F2"/>
          <w:sz w:val="24"/>
          <w:szCs w:val="24"/>
        </w:rPr>
        <w:t>1</w:t>
      </w:r>
      <w:r w:rsidR="003A0E04" w:rsidRPr="00F34E9D">
        <w:rPr>
          <w:rFonts w:asciiTheme="majorHAnsi" w:eastAsia="Times New Roman" w:hAnsiTheme="majorHAnsi" w:cstheme="majorHAnsi"/>
          <w:bCs/>
          <w:color w:val="0D0D0D" w:themeColor="text1" w:themeTint="F2"/>
          <w:sz w:val="24"/>
          <w:szCs w:val="24"/>
        </w:rPr>
        <w:t xml:space="preserve">) </w:t>
      </w:r>
      <w:r w:rsidR="00A75ED2" w:rsidRPr="00F34E9D">
        <w:rPr>
          <w:rFonts w:asciiTheme="majorHAnsi" w:eastAsia="Times New Roman" w:hAnsiTheme="majorHAnsi" w:cstheme="majorHAnsi"/>
          <w:bCs/>
          <w:color w:val="0D0D0D" w:themeColor="text1" w:themeTint="F2"/>
          <w:sz w:val="24"/>
          <w:szCs w:val="24"/>
        </w:rPr>
        <w:t xml:space="preserve">raportarea </w:t>
      </w:r>
      <w:r w:rsidR="000F35E4" w:rsidRPr="00F34E9D">
        <w:rPr>
          <w:rFonts w:asciiTheme="majorHAnsi" w:eastAsia="Times New Roman" w:hAnsiTheme="majorHAnsi" w:cstheme="majorHAnsi"/>
          <w:bCs/>
          <w:color w:val="0D0D0D" w:themeColor="text1" w:themeTint="F2"/>
          <w:sz w:val="24"/>
          <w:szCs w:val="24"/>
        </w:rPr>
        <w:t>de către instituțiile de învățăm</w:t>
      </w:r>
      <w:r w:rsidR="00A465CE" w:rsidRPr="00F34E9D">
        <w:rPr>
          <w:rFonts w:asciiTheme="majorHAnsi" w:eastAsia="Times New Roman" w:hAnsiTheme="majorHAnsi" w:cstheme="majorHAnsi"/>
          <w:bCs/>
          <w:color w:val="0D0D0D" w:themeColor="text1" w:themeTint="F2"/>
          <w:sz w:val="24"/>
          <w:szCs w:val="24"/>
        </w:rPr>
        <w:t>â</w:t>
      </w:r>
      <w:r w:rsidR="000F35E4" w:rsidRPr="00F34E9D">
        <w:rPr>
          <w:rFonts w:asciiTheme="majorHAnsi" w:eastAsia="Times New Roman" w:hAnsiTheme="majorHAnsi" w:cstheme="majorHAnsi"/>
          <w:bCs/>
          <w:color w:val="0D0D0D" w:themeColor="text1" w:themeTint="F2"/>
          <w:sz w:val="24"/>
          <w:szCs w:val="24"/>
        </w:rPr>
        <w:t xml:space="preserve">nt a </w:t>
      </w:r>
      <w:r w:rsidR="008860B5" w:rsidRPr="00F34E9D">
        <w:rPr>
          <w:rFonts w:asciiTheme="majorHAnsi" w:eastAsia="Times New Roman" w:hAnsiTheme="majorHAnsi" w:cstheme="majorHAnsi"/>
          <w:bCs/>
          <w:color w:val="0D0D0D" w:themeColor="text1" w:themeTint="F2"/>
          <w:sz w:val="24"/>
          <w:szCs w:val="24"/>
        </w:rPr>
        <w:t xml:space="preserve">31,9 mil. lei </w:t>
      </w:r>
      <w:r w:rsidR="008860B5" w:rsidRPr="00F34E9D">
        <w:rPr>
          <w:rStyle w:val="a7"/>
          <w:rFonts w:asciiTheme="majorHAnsi" w:eastAsia="Times New Roman" w:hAnsiTheme="majorHAnsi" w:cstheme="majorHAnsi"/>
          <w:bCs/>
          <w:color w:val="0D0D0D" w:themeColor="text1" w:themeTint="F2"/>
          <w:sz w:val="24"/>
          <w:szCs w:val="24"/>
        </w:rPr>
        <w:footnoteReference w:id="10"/>
      </w:r>
      <w:r w:rsidR="008860B5" w:rsidRPr="00F34E9D">
        <w:rPr>
          <w:rFonts w:asciiTheme="majorHAnsi" w:eastAsia="Times New Roman" w:hAnsiTheme="majorHAnsi" w:cstheme="majorHAnsi"/>
          <w:bCs/>
          <w:color w:val="0D0D0D" w:themeColor="text1" w:themeTint="F2"/>
          <w:sz w:val="24"/>
          <w:szCs w:val="24"/>
        </w:rPr>
        <w:t xml:space="preserve"> </w:t>
      </w:r>
      <w:r w:rsidR="000B0182" w:rsidRPr="00F34E9D">
        <w:rPr>
          <w:rFonts w:asciiTheme="majorHAnsi" w:eastAsia="Times New Roman" w:hAnsiTheme="majorHAnsi" w:cstheme="majorHAnsi"/>
          <w:bCs/>
          <w:color w:val="0D0D0D" w:themeColor="text1" w:themeTint="F2"/>
          <w:sz w:val="24"/>
          <w:szCs w:val="24"/>
        </w:rPr>
        <w:t xml:space="preserve">ca utilizate, dar </w:t>
      </w:r>
      <w:r w:rsidR="000F35E4" w:rsidRPr="00F34E9D">
        <w:rPr>
          <w:rFonts w:asciiTheme="majorHAnsi" w:eastAsia="Times New Roman" w:hAnsiTheme="majorHAnsi" w:cstheme="majorHAnsi"/>
          <w:bCs/>
          <w:color w:val="0D0D0D" w:themeColor="text1" w:themeTint="F2"/>
          <w:sz w:val="24"/>
          <w:szCs w:val="24"/>
        </w:rPr>
        <w:t>nevalorificate de către acestea p</w:t>
      </w:r>
      <w:r w:rsidR="00A465CE" w:rsidRPr="00F34E9D">
        <w:rPr>
          <w:rFonts w:asciiTheme="majorHAnsi" w:eastAsia="Times New Roman" w:hAnsiTheme="majorHAnsi" w:cstheme="majorHAnsi"/>
          <w:bCs/>
          <w:color w:val="0D0D0D" w:themeColor="text1" w:themeTint="F2"/>
          <w:sz w:val="24"/>
          <w:szCs w:val="24"/>
        </w:rPr>
        <w:t>â</w:t>
      </w:r>
      <w:r w:rsidR="000F35E4" w:rsidRPr="00F34E9D">
        <w:rPr>
          <w:rFonts w:asciiTheme="majorHAnsi" w:eastAsia="Times New Roman" w:hAnsiTheme="majorHAnsi" w:cstheme="majorHAnsi"/>
          <w:bCs/>
          <w:color w:val="0D0D0D" w:themeColor="text1" w:themeTint="F2"/>
          <w:sz w:val="24"/>
          <w:szCs w:val="24"/>
        </w:rPr>
        <w:t>nă la 31.12.2021</w:t>
      </w:r>
      <w:r w:rsidR="00E472C6" w:rsidRPr="00F34E9D">
        <w:rPr>
          <w:rFonts w:asciiTheme="majorHAnsi" w:eastAsia="Times New Roman" w:hAnsiTheme="majorHAnsi" w:cstheme="majorHAnsi"/>
          <w:bCs/>
          <w:color w:val="0D0D0D" w:themeColor="text1" w:themeTint="F2"/>
          <w:sz w:val="24"/>
          <w:szCs w:val="24"/>
        </w:rPr>
        <w:t xml:space="preserve">, </w:t>
      </w:r>
      <w:r w:rsidR="000B0182" w:rsidRPr="00F34E9D">
        <w:rPr>
          <w:rFonts w:asciiTheme="majorHAnsi" w:eastAsia="Times New Roman" w:hAnsiTheme="majorHAnsi" w:cstheme="majorHAnsi"/>
          <w:bCs/>
          <w:color w:val="0D0D0D" w:themeColor="text1" w:themeTint="F2"/>
          <w:sz w:val="24"/>
          <w:szCs w:val="24"/>
        </w:rPr>
        <w:t>din care 12,1 mil. lei</w:t>
      </w:r>
      <w:r w:rsidR="000B0182" w:rsidRPr="00F34E9D">
        <w:rPr>
          <w:rStyle w:val="a7"/>
          <w:rFonts w:asciiTheme="majorHAnsi" w:eastAsia="Times New Roman" w:hAnsiTheme="majorHAnsi" w:cstheme="majorHAnsi"/>
          <w:bCs/>
          <w:color w:val="0D0D0D" w:themeColor="text1" w:themeTint="F2"/>
          <w:sz w:val="24"/>
          <w:szCs w:val="24"/>
        </w:rPr>
        <w:footnoteReference w:id="11"/>
      </w:r>
      <w:r w:rsidR="00E472C6" w:rsidRPr="00F34E9D">
        <w:rPr>
          <w:rFonts w:asciiTheme="majorHAnsi" w:eastAsia="Times New Roman" w:hAnsiTheme="majorHAnsi" w:cstheme="majorHAnsi"/>
          <w:bCs/>
          <w:color w:val="0D0D0D" w:themeColor="text1" w:themeTint="F2"/>
          <w:sz w:val="24"/>
          <w:szCs w:val="24"/>
        </w:rPr>
        <w:t xml:space="preserve"> </w:t>
      </w:r>
      <w:r w:rsidR="000B0182" w:rsidRPr="00F34E9D">
        <w:rPr>
          <w:rFonts w:asciiTheme="majorHAnsi" w:eastAsia="Times New Roman" w:hAnsiTheme="majorHAnsi" w:cstheme="majorHAnsi"/>
          <w:bCs/>
          <w:color w:val="0D0D0D" w:themeColor="text1" w:themeTint="F2"/>
          <w:sz w:val="24"/>
          <w:szCs w:val="24"/>
        </w:rPr>
        <w:t xml:space="preserve">reprezintă </w:t>
      </w:r>
      <w:r w:rsidR="00E472C6" w:rsidRPr="00F34E9D">
        <w:rPr>
          <w:rFonts w:asciiTheme="majorHAnsi" w:eastAsia="Times New Roman" w:hAnsiTheme="majorHAnsi" w:cstheme="majorHAnsi"/>
          <w:bCs/>
          <w:color w:val="0D0D0D" w:themeColor="text1" w:themeTint="F2"/>
          <w:sz w:val="24"/>
          <w:szCs w:val="24"/>
        </w:rPr>
        <w:t xml:space="preserve">alocații </w:t>
      </w:r>
      <w:r w:rsidR="000B0182" w:rsidRPr="00F34E9D">
        <w:rPr>
          <w:rFonts w:asciiTheme="majorHAnsi" w:eastAsia="Times New Roman" w:hAnsiTheme="majorHAnsi" w:cstheme="majorHAnsi"/>
          <w:bCs/>
          <w:color w:val="0D0D0D" w:themeColor="text1" w:themeTint="F2"/>
          <w:sz w:val="24"/>
          <w:szCs w:val="24"/>
        </w:rPr>
        <w:t xml:space="preserve">suplimentare acordate </w:t>
      </w:r>
      <w:r w:rsidR="008860B5" w:rsidRPr="00F34E9D">
        <w:rPr>
          <w:rFonts w:asciiTheme="majorHAnsi" w:hAnsiTheme="majorHAnsi" w:cstheme="majorHAnsi"/>
          <w:color w:val="0D0D0D" w:themeColor="text1" w:themeTint="F2"/>
          <w:sz w:val="24"/>
          <w:szCs w:val="24"/>
          <w:lang w:val="ro-RO"/>
        </w:rPr>
        <w:t xml:space="preserve">contrar formulei de finanțare stabilită prin </w:t>
      </w:r>
      <w:r w:rsidR="008860B5" w:rsidRPr="00F34E9D">
        <w:rPr>
          <w:rFonts w:asciiTheme="majorHAnsi" w:eastAsia="Times New Roman" w:hAnsiTheme="majorHAnsi" w:cstheme="majorHAnsi"/>
          <w:color w:val="0D0D0D" w:themeColor="text1" w:themeTint="F2"/>
          <w:sz w:val="24"/>
          <w:szCs w:val="24"/>
        </w:rPr>
        <w:t>HG nr.1077 din 23.09.2016</w:t>
      </w:r>
      <w:r w:rsidR="00E45D29" w:rsidRPr="00F34E9D">
        <w:rPr>
          <w:rStyle w:val="a7"/>
          <w:rFonts w:asciiTheme="majorHAnsi" w:eastAsia="Times New Roman" w:hAnsiTheme="majorHAnsi" w:cstheme="majorHAnsi"/>
          <w:color w:val="0D0D0D" w:themeColor="text1" w:themeTint="F2"/>
          <w:sz w:val="24"/>
          <w:szCs w:val="24"/>
        </w:rPr>
        <w:footnoteReference w:id="12"/>
      </w:r>
      <w:r w:rsidR="008860B5" w:rsidRPr="00F34E9D">
        <w:rPr>
          <w:rFonts w:asciiTheme="majorHAnsi" w:eastAsia="Times New Roman" w:hAnsiTheme="majorHAnsi" w:cstheme="majorHAnsi"/>
          <w:color w:val="0D0D0D" w:themeColor="text1" w:themeTint="F2"/>
          <w:sz w:val="24"/>
          <w:szCs w:val="24"/>
        </w:rPr>
        <w:t xml:space="preserve"> </w:t>
      </w:r>
      <w:r w:rsidR="00E472C6" w:rsidRPr="00F34E9D">
        <w:rPr>
          <w:rFonts w:asciiTheme="majorHAnsi" w:eastAsia="Times New Roman" w:hAnsiTheme="majorHAnsi" w:cstheme="majorHAnsi"/>
          <w:bCs/>
          <w:color w:val="0D0D0D" w:themeColor="text1" w:themeTint="F2"/>
          <w:sz w:val="24"/>
          <w:szCs w:val="24"/>
        </w:rPr>
        <w:t>aferente costului programelor de studiu în cadrul învățăm</w:t>
      </w:r>
      <w:r w:rsidR="00A465CE" w:rsidRPr="00F34E9D">
        <w:rPr>
          <w:rFonts w:asciiTheme="majorHAnsi" w:eastAsia="Times New Roman" w:hAnsiTheme="majorHAnsi" w:cstheme="majorHAnsi"/>
          <w:bCs/>
          <w:color w:val="0D0D0D" w:themeColor="text1" w:themeTint="F2"/>
          <w:sz w:val="24"/>
          <w:szCs w:val="24"/>
        </w:rPr>
        <w:t>â</w:t>
      </w:r>
      <w:r w:rsidR="00E472C6" w:rsidRPr="00F34E9D">
        <w:rPr>
          <w:rFonts w:asciiTheme="majorHAnsi" w:eastAsia="Times New Roman" w:hAnsiTheme="majorHAnsi" w:cstheme="majorHAnsi"/>
          <w:bCs/>
          <w:color w:val="0D0D0D" w:themeColor="text1" w:themeTint="F2"/>
          <w:sz w:val="24"/>
          <w:szCs w:val="24"/>
        </w:rPr>
        <w:t>ntului profesional tehnic</w:t>
      </w:r>
      <w:r w:rsidR="00804731" w:rsidRPr="00F34E9D">
        <w:rPr>
          <w:rFonts w:asciiTheme="majorHAnsi" w:eastAsia="Times New Roman" w:hAnsiTheme="majorHAnsi" w:cstheme="majorHAnsi"/>
          <w:bCs/>
          <w:color w:val="0D0D0D" w:themeColor="text1" w:themeTint="F2"/>
          <w:sz w:val="24"/>
          <w:szCs w:val="24"/>
        </w:rPr>
        <w:t>;</w:t>
      </w:r>
      <w:r w:rsidR="008860B5" w:rsidRPr="00F34E9D">
        <w:rPr>
          <w:rFonts w:asciiTheme="majorHAnsi" w:eastAsia="Times New Roman" w:hAnsiTheme="majorHAnsi" w:cstheme="majorHAnsi"/>
          <w:bCs/>
          <w:color w:val="0D0D0D" w:themeColor="text1" w:themeTint="F2"/>
          <w:sz w:val="24"/>
          <w:szCs w:val="24"/>
        </w:rPr>
        <w:t xml:space="preserve"> (2)</w:t>
      </w:r>
      <w:r w:rsidR="0010322C" w:rsidRPr="00F34E9D">
        <w:rPr>
          <w:rFonts w:asciiTheme="majorHAnsi" w:eastAsia="Times New Roman" w:hAnsiTheme="majorHAnsi" w:cstheme="majorHAnsi"/>
          <w:bCs/>
          <w:color w:val="0D0D0D" w:themeColor="text1" w:themeTint="F2"/>
          <w:sz w:val="24"/>
          <w:szCs w:val="24"/>
        </w:rPr>
        <w:t xml:space="preserve"> </w:t>
      </w:r>
      <w:r w:rsidR="008860B5" w:rsidRPr="00F34E9D">
        <w:rPr>
          <w:rFonts w:asciiTheme="majorHAnsi" w:hAnsiTheme="majorHAnsi" w:cstheme="majorHAnsi"/>
          <w:i/>
          <w:iCs/>
          <w:color w:val="0D0D0D" w:themeColor="text1" w:themeTint="F2"/>
          <w:sz w:val="24"/>
          <w:szCs w:val="24"/>
        </w:rPr>
        <w:t xml:space="preserve">majorării neregulamentare a alocațiilor bugetare aferente costului programelor de studiu </w:t>
      </w:r>
      <w:r w:rsidR="008860B5" w:rsidRPr="00F34E9D">
        <w:rPr>
          <w:rFonts w:asciiTheme="majorHAnsi" w:hAnsiTheme="majorHAnsi" w:cstheme="majorHAnsi"/>
          <w:i/>
          <w:color w:val="0D0D0D" w:themeColor="text1" w:themeTint="F2"/>
          <w:sz w:val="24"/>
          <w:szCs w:val="24"/>
        </w:rPr>
        <w:t xml:space="preserve">în cadrul învățământului profesional tehnic în anul 2020 </w:t>
      </w:r>
      <w:r w:rsidR="008860B5" w:rsidRPr="00F34E9D">
        <w:rPr>
          <w:rFonts w:asciiTheme="majorHAnsi" w:hAnsiTheme="majorHAnsi" w:cstheme="majorHAnsi"/>
          <w:i/>
          <w:iCs/>
          <w:color w:val="0D0D0D" w:themeColor="text1" w:themeTint="F2"/>
          <w:sz w:val="24"/>
          <w:szCs w:val="24"/>
        </w:rPr>
        <w:t>(</w:t>
      </w:r>
      <w:r w:rsidR="008860B5" w:rsidRPr="00F34E9D">
        <w:rPr>
          <w:rFonts w:asciiTheme="majorHAnsi" w:hAnsiTheme="majorHAnsi" w:cstheme="majorHAnsi"/>
          <w:bCs/>
          <w:i/>
          <w:iCs/>
          <w:color w:val="0D0D0D" w:themeColor="text1" w:themeTint="F2"/>
          <w:sz w:val="24"/>
          <w:szCs w:val="24"/>
        </w:rPr>
        <w:t>54,99 mil.lei</w:t>
      </w:r>
      <w:r w:rsidR="008860B5" w:rsidRPr="00F34E9D">
        <w:rPr>
          <w:rFonts w:asciiTheme="majorHAnsi" w:hAnsiTheme="majorHAnsi" w:cstheme="majorHAnsi"/>
          <w:i/>
          <w:iCs/>
          <w:color w:val="0D0D0D" w:themeColor="text1" w:themeTint="F2"/>
          <w:sz w:val="24"/>
          <w:szCs w:val="24"/>
        </w:rPr>
        <w:t>);</w:t>
      </w:r>
      <w:r w:rsidR="008860B5" w:rsidRPr="00F34E9D">
        <w:rPr>
          <w:rFonts w:asciiTheme="majorHAnsi" w:eastAsia="Times New Roman" w:hAnsiTheme="majorHAnsi" w:cstheme="majorHAnsi"/>
          <w:bCs/>
          <w:color w:val="0D0D0D" w:themeColor="text1" w:themeTint="F2"/>
          <w:sz w:val="24"/>
          <w:szCs w:val="24"/>
        </w:rPr>
        <w:t xml:space="preserve"> </w:t>
      </w:r>
      <w:r w:rsidR="003A0E04" w:rsidRPr="00F34E9D">
        <w:rPr>
          <w:rFonts w:asciiTheme="majorHAnsi" w:eastAsia="Times New Roman" w:hAnsiTheme="majorHAnsi" w:cstheme="majorHAnsi"/>
          <w:bCs/>
          <w:color w:val="0D0D0D" w:themeColor="text1" w:themeTint="F2"/>
          <w:sz w:val="24"/>
          <w:szCs w:val="24"/>
        </w:rPr>
        <w:t>(</w:t>
      </w:r>
      <w:r w:rsidR="00734D04" w:rsidRPr="00F34E9D">
        <w:rPr>
          <w:rFonts w:asciiTheme="majorHAnsi" w:eastAsia="Times New Roman" w:hAnsiTheme="majorHAnsi" w:cstheme="majorHAnsi"/>
          <w:bCs/>
          <w:color w:val="0D0D0D" w:themeColor="text1" w:themeTint="F2"/>
          <w:sz w:val="24"/>
          <w:szCs w:val="24"/>
        </w:rPr>
        <w:t>3</w:t>
      </w:r>
      <w:r w:rsidR="003A0E04" w:rsidRPr="00F34E9D">
        <w:rPr>
          <w:rFonts w:asciiTheme="majorHAnsi" w:eastAsia="Times New Roman" w:hAnsiTheme="majorHAnsi" w:cstheme="majorHAnsi"/>
          <w:bCs/>
          <w:color w:val="0D0D0D" w:themeColor="text1" w:themeTint="F2"/>
          <w:sz w:val="24"/>
          <w:szCs w:val="24"/>
        </w:rPr>
        <w:t xml:space="preserve">) </w:t>
      </w:r>
      <w:r w:rsidR="0010322C" w:rsidRPr="00F34E9D">
        <w:rPr>
          <w:rFonts w:asciiTheme="majorHAnsi" w:eastAsia="Times New Roman" w:hAnsiTheme="majorHAnsi" w:cstheme="majorHAnsi"/>
          <w:bCs/>
          <w:color w:val="0D0D0D" w:themeColor="text1" w:themeTint="F2"/>
          <w:sz w:val="24"/>
          <w:szCs w:val="24"/>
        </w:rPr>
        <w:t xml:space="preserve">nereflectării calculelor plăților de folosință </w:t>
      </w:r>
      <w:r w:rsidR="00DB19E7" w:rsidRPr="00F34E9D">
        <w:rPr>
          <w:rFonts w:asciiTheme="majorHAnsi" w:eastAsia="Times New Roman" w:hAnsiTheme="majorHAnsi" w:cstheme="majorHAnsi"/>
          <w:bCs/>
          <w:color w:val="0D0D0D" w:themeColor="text1" w:themeTint="F2"/>
          <w:sz w:val="24"/>
          <w:szCs w:val="24"/>
        </w:rPr>
        <w:t xml:space="preserve">neautorizată </w:t>
      </w:r>
      <w:r w:rsidR="0010322C" w:rsidRPr="00F34E9D">
        <w:rPr>
          <w:rFonts w:asciiTheme="majorHAnsi" w:eastAsia="Times New Roman" w:hAnsiTheme="majorHAnsi" w:cstheme="majorHAnsi"/>
          <w:bCs/>
          <w:color w:val="0D0D0D" w:themeColor="text1" w:themeTint="F2"/>
          <w:sz w:val="24"/>
          <w:szCs w:val="24"/>
        </w:rPr>
        <w:t xml:space="preserve">a proprietății </w:t>
      </w:r>
      <w:r w:rsidR="008860B5" w:rsidRPr="00F34E9D">
        <w:rPr>
          <w:rFonts w:asciiTheme="majorHAnsi" w:eastAsia="Times New Roman" w:hAnsiTheme="majorHAnsi" w:cstheme="majorHAnsi"/>
          <w:bCs/>
          <w:color w:val="0D0D0D" w:themeColor="text1" w:themeTint="F2"/>
          <w:sz w:val="24"/>
          <w:szCs w:val="24"/>
        </w:rPr>
        <w:t xml:space="preserve">în anii 2019-2021 de </w:t>
      </w:r>
      <w:r w:rsidR="003F70ED" w:rsidRPr="00F34E9D">
        <w:rPr>
          <w:rFonts w:asciiTheme="majorHAnsi" w:eastAsia="Times New Roman" w:hAnsiTheme="majorHAnsi" w:cstheme="majorHAnsi"/>
          <w:bCs/>
          <w:color w:val="0D0D0D" w:themeColor="text1" w:themeTint="F2"/>
          <w:sz w:val="24"/>
          <w:szCs w:val="24"/>
        </w:rPr>
        <w:t>2,</w:t>
      </w:r>
      <w:r w:rsidR="005A11E0" w:rsidRPr="00F34E9D">
        <w:rPr>
          <w:rFonts w:asciiTheme="majorHAnsi" w:eastAsia="Times New Roman" w:hAnsiTheme="majorHAnsi" w:cstheme="majorHAnsi"/>
          <w:bCs/>
          <w:color w:val="0D0D0D" w:themeColor="text1" w:themeTint="F2"/>
          <w:sz w:val="24"/>
          <w:szCs w:val="24"/>
        </w:rPr>
        <w:t>1</w:t>
      </w:r>
      <w:r w:rsidR="003F70ED" w:rsidRPr="00F34E9D">
        <w:rPr>
          <w:rFonts w:asciiTheme="majorHAnsi" w:eastAsia="Times New Roman" w:hAnsiTheme="majorHAnsi" w:cstheme="majorHAnsi"/>
          <w:bCs/>
          <w:color w:val="0D0D0D" w:themeColor="text1" w:themeTint="F2"/>
          <w:sz w:val="24"/>
          <w:szCs w:val="24"/>
        </w:rPr>
        <w:t>6</w:t>
      </w:r>
      <w:r w:rsidR="008860B5" w:rsidRPr="00F34E9D">
        <w:rPr>
          <w:rFonts w:asciiTheme="majorHAnsi" w:eastAsia="Times New Roman" w:hAnsiTheme="majorHAnsi" w:cstheme="majorHAnsi"/>
          <w:bCs/>
          <w:color w:val="0D0D0D" w:themeColor="text1" w:themeTint="F2"/>
          <w:sz w:val="24"/>
          <w:szCs w:val="24"/>
        </w:rPr>
        <w:t xml:space="preserve"> mil.lei</w:t>
      </w:r>
      <w:r w:rsidR="00F9434B" w:rsidRPr="00F34E9D">
        <w:rPr>
          <w:rStyle w:val="a7"/>
          <w:rFonts w:asciiTheme="majorHAnsi" w:eastAsia="Times New Roman" w:hAnsiTheme="majorHAnsi" w:cstheme="majorHAnsi"/>
          <w:bCs/>
          <w:color w:val="0D0D0D" w:themeColor="text1" w:themeTint="F2"/>
          <w:sz w:val="24"/>
          <w:szCs w:val="24"/>
        </w:rPr>
        <w:footnoteReference w:id="13"/>
      </w:r>
      <w:r w:rsidR="008860B5" w:rsidRPr="00F34E9D">
        <w:rPr>
          <w:rFonts w:asciiTheme="majorHAnsi" w:eastAsia="Times New Roman" w:hAnsiTheme="majorHAnsi" w:cstheme="majorHAnsi"/>
          <w:bCs/>
          <w:color w:val="0D0D0D" w:themeColor="text1" w:themeTint="F2"/>
          <w:sz w:val="24"/>
          <w:szCs w:val="24"/>
        </w:rPr>
        <w:t xml:space="preserve"> </w:t>
      </w:r>
      <w:r w:rsidR="0010322C" w:rsidRPr="00F34E9D">
        <w:rPr>
          <w:rFonts w:asciiTheme="majorHAnsi" w:eastAsia="Times New Roman" w:hAnsiTheme="majorHAnsi" w:cstheme="majorHAnsi"/>
          <w:bCs/>
          <w:color w:val="0D0D0D" w:themeColor="text1" w:themeTint="F2"/>
          <w:sz w:val="24"/>
          <w:szCs w:val="24"/>
        </w:rPr>
        <w:t>(</w:t>
      </w:r>
      <w:r w:rsidR="003F70ED" w:rsidRPr="00F34E9D">
        <w:rPr>
          <w:rFonts w:asciiTheme="majorHAnsi" w:eastAsia="Times New Roman" w:hAnsiTheme="majorHAnsi" w:cstheme="majorHAnsi"/>
          <w:bCs/>
          <w:color w:val="0D0D0D" w:themeColor="text1" w:themeTint="F2"/>
          <w:sz w:val="24"/>
          <w:szCs w:val="24"/>
        </w:rPr>
        <w:t xml:space="preserve">din care </w:t>
      </w:r>
      <w:r w:rsidR="00215412" w:rsidRPr="00F34E9D">
        <w:rPr>
          <w:rFonts w:asciiTheme="majorHAnsi" w:eastAsia="Times New Roman" w:hAnsiTheme="majorHAnsi" w:cstheme="majorHAnsi"/>
          <w:bCs/>
          <w:color w:val="0D0D0D" w:themeColor="text1" w:themeTint="F2"/>
          <w:sz w:val="24"/>
          <w:szCs w:val="24"/>
        </w:rPr>
        <w:t>0,19</w:t>
      </w:r>
      <w:r w:rsidR="0010322C" w:rsidRPr="00F34E9D">
        <w:rPr>
          <w:rFonts w:asciiTheme="majorHAnsi" w:eastAsia="Times New Roman" w:hAnsiTheme="majorHAnsi" w:cstheme="majorHAnsi"/>
          <w:bCs/>
          <w:color w:val="0D0D0D" w:themeColor="text1" w:themeTint="F2"/>
          <w:sz w:val="24"/>
          <w:szCs w:val="24"/>
        </w:rPr>
        <w:t xml:space="preserve"> mil.lei</w:t>
      </w:r>
      <w:r w:rsidR="003F70ED" w:rsidRPr="00F34E9D">
        <w:rPr>
          <w:rFonts w:asciiTheme="majorHAnsi" w:eastAsia="Times New Roman" w:hAnsiTheme="majorHAnsi" w:cstheme="majorHAnsi"/>
          <w:bCs/>
          <w:color w:val="0D0D0D" w:themeColor="text1" w:themeTint="F2"/>
          <w:sz w:val="24"/>
          <w:szCs w:val="24"/>
        </w:rPr>
        <w:t xml:space="preserve"> în 4 luni </w:t>
      </w:r>
      <w:r w:rsidR="00A465CE" w:rsidRPr="00F34E9D">
        <w:rPr>
          <w:rFonts w:asciiTheme="majorHAnsi" w:eastAsia="Times New Roman" w:hAnsiTheme="majorHAnsi" w:cstheme="majorHAnsi"/>
          <w:bCs/>
          <w:color w:val="0D0D0D" w:themeColor="text1" w:themeTint="F2"/>
          <w:sz w:val="24"/>
          <w:szCs w:val="24"/>
        </w:rPr>
        <w:t xml:space="preserve">ale anului </w:t>
      </w:r>
      <w:r w:rsidR="003F70ED" w:rsidRPr="00F34E9D">
        <w:rPr>
          <w:rFonts w:asciiTheme="majorHAnsi" w:eastAsia="Times New Roman" w:hAnsiTheme="majorHAnsi" w:cstheme="majorHAnsi"/>
          <w:bCs/>
          <w:color w:val="0D0D0D" w:themeColor="text1" w:themeTint="F2"/>
          <w:sz w:val="24"/>
          <w:szCs w:val="24"/>
        </w:rPr>
        <w:t>2021</w:t>
      </w:r>
      <w:r w:rsidR="0010322C" w:rsidRPr="00F34E9D">
        <w:rPr>
          <w:rFonts w:asciiTheme="majorHAnsi" w:eastAsia="Times New Roman" w:hAnsiTheme="majorHAnsi" w:cstheme="majorHAnsi"/>
          <w:bCs/>
          <w:color w:val="0D0D0D" w:themeColor="text1" w:themeTint="F2"/>
          <w:sz w:val="24"/>
          <w:szCs w:val="24"/>
        </w:rPr>
        <w:t>);</w:t>
      </w:r>
      <w:r w:rsidR="00C3688E" w:rsidRPr="00F34E9D">
        <w:rPr>
          <w:rFonts w:asciiTheme="majorHAnsi" w:eastAsia="Times New Roman" w:hAnsiTheme="majorHAnsi" w:cstheme="majorHAnsi"/>
          <w:color w:val="0D0D0D" w:themeColor="text1" w:themeTint="F2"/>
          <w:sz w:val="24"/>
          <w:szCs w:val="24"/>
        </w:rPr>
        <w:t xml:space="preserve"> </w:t>
      </w:r>
      <w:r w:rsidR="003F70ED" w:rsidRPr="00F34E9D">
        <w:rPr>
          <w:rFonts w:asciiTheme="majorHAnsi" w:hAnsiTheme="majorHAnsi" w:cstheme="majorHAnsi"/>
          <w:iCs/>
          <w:color w:val="0D0D0D" w:themeColor="text1" w:themeTint="F2"/>
          <w:sz w:val="24"/>
          <w:szCs w:val="24"/>
        </w:rPr>
        <w:t>(</w:t>
      </w:r>
      <w:r w:rsidR="007A6E88" w:rsidRPr="00F34E9D">
        <w:rPr>
          <w:rFonts w:asciiTheme="majorHAnsi" w:hAnsiTheme="majorHAnsi" w:cstheme="majorHAnsi"/>
          <w:iCs/>
          <w:color w:val="0D0D0D" w:themeColor="text1" w:themeTint="F2"/>
          <w:sz w:val="24"/>
          <w:szCs w:val="24"/>
        </w:rPr>
        <w:t>4</w:t>
      </w:r>
      <w:r w:rsidR="003F70ED" w:rsidRPr="00F34E9D">
        <w:rPr>
          <w:rFonts w:asciiTheme="majorHAnsi" w:hAnsiTheme="majorHAnsi" w:cstheme="majorHAnsi"/>
          <w:iCs/>
          <w:color w:val="0D0D0D" w:themeColor="text1" w:themeTint="F2"/>
          <w:sz w:val="24"/>
          <w:szCs w:val="24"/>
        </w:rPr>
        <w:t>) neînregistrării în evidența contabilă a Institutului de Energetică a obligațiilor contractuale (0,66 mil.lei); (</w:t>
      </w:r>
      <w:r w:rsidR="007A6E88" w:rsidRPr="00F34E9D">
        <w:rPr>
          <w:rFonts w:asciiTheme="majorHAnsi" w:hAnsiTheme="majorHAnsi" w:cstheme="majorHAnsi"/>
          <w:iCs/>
          <w:color w:val="0D0D0D" w:themeColor="text1" w:themeTint="F2"/>
          <w:sz w:val="24"/>
          <w:szCs w:val="24"/>
        </w:rPr>
        <w:t>5</w:t>
      </w:r>
      <w:r w:rsidR="003F70ED" w:rsidRPr="00F34E9D">
        <w:rPr>
          <w:rFonts w:asciiTheme="majorHAnsi" w:hAnsiTheme="majorHAnsi" w:cstheme="majorHAnsi"/>
          <w:iCs/>
          <w:color w:val="0D0D0D" w:themeColor="text1" w:themeTint="F2"/>
          <w:sz w:val="24"/>
          <w:szCs w:val="24"/>
        </w:rPr>
        <w:t>) suportării cheltuielilor neregulamentare aferente retribuirii muncii (0,36 mil.lei</w:t>
      </w:r>
      <w:r w:rsidR="00347C3D" w:rsidRPr="00F34E9D">
        <w:rPr>
          <w:rFonts w:asciiTheme="majorHAnsi" w:hAnsiTheme="majorHAnsi" w:cstheme="majorHAnsi"/>
          <w:iCs/>
          <w:color w:val="0D0D0D" w:themeColor="text1" w:themeTint="F2"/>
          <w:sz w:val="24"/>
          <w:szCs w:val="24"/>
        </w:rPr>
        <w:t xml:space="preserve"> în anul 2020 și </w:t>
      </w:r>
      <w:r w:rsidR="001C1152" w:rsidRPr="00F34E9D">
        <w:rPr>
          <w:rFonts w:asciiTheme="majorHAnsi" w:hAnsiTheme="majorHAnsi" w:cstheme="majorHAnsi"/>
          <w:iCs/>
          <w:color w:val="0D0D0D" w:themeColor="text1" w:themeTint="F2"/>
          <w:sz w:val="24"/>
          <w:szCs w:val="24"/>
        </w:rPr>
        <w:t>1,24 mil. lei în anul 2021</w:t>
      </w:r>
      <w:r w:rsidR="003F70ED" w:rsidRPr="00F34E9D">
        <w:rPr>
          <w:rFonts w:asciiTheme="majorHAnsi" w:hAnsiTheme="majorHAnsi" w:cstheme="majorHAnsi"/>
          <w:iCs/>
          <w:color w:val="0D0D0D" w:themeColor="text1" w:themeTint="F2"/>
          <w:sz w:val="24"/>
          <w:szCs w:val="24"/>
        </w:rPr>
        <w:t>); (</w:t>
      </w:r>
      <w:r w:rsidR="007A6E88" w:rsidRPr="00F34E9D">
        <w:rPr>
          <w:rFonts w:asciiTheme="majorHAnsi" w:hAnsiTheme="majorHAnsi" w:cstheme="majorHAnsi"/>
          <w:iCs/>
          <w:color w:val="0D0D0D" w:themeColor="text1" w:themeTint="F2"/>
          <w:sz w:val="24"/>
          <w:szCs w:val="24"/>
        </w:rPr>
        <w:t>6</w:t>
      </w:r>
      <w:r w:rsidR="003F70ED" w:rsidRPr="00F34E9D">
        <w:rPr>
          <w:rFonts w:asciiTheme="majorHAnsi" w:hAnsiTheme="majorHAnsi" w:cstheme="majorHAnsi"/>
          <w:iCs/>
          <w:color w:val="0D0D0D" w:themeColor="text1" w:themeTint="F2"/>
          <w:sz w:val="24"/>
          <w:szCs w:val="24"/>
        </w:rPr>
        <w:t>) neexecutării lucrărilor de construcție facturate (5,84 mil.lei</w:t>
      </w:r>
      <w:r w:rsidR="002C6BF7" w:rsidRPr="00F34E9D">
        <w:rPr>
          <w:rFonts w:asciiTheme="majorHAnsi" w:hAnsiTheme="majorHAnsi" w:cstheme="majorHAnsi"/>
          <w:iCs/>
          <w:color w:val="0D0D0D" w:themeColor="text1" w:themeTint="F2"/>
          <w:sz w:val="24"/>
          <w:szCs w:val="24"/>
        </w:rPr>
        <w:t xml:space="preserve">), inclusiv a </w:t>
      </w:r>
      <w:r w:rsidR="00D770E0" w:rsidRPr="00F34E9D">
        <w:rPr>
          <w:rFonts w:asciiTheme="majorHAnsi" w:eastAsia="Times New Roman" w:hAnsiTheme="majorHAnsi" w:cstheme="majorHAnsi"/>
          <w:color w:val="0D0D0D" w:themeColor="text1" w:themeTint="F2"/>
          <w:sz w:val="24"/>
          <w:szCs w:val="24"/>
        </w:rPr>
        <w:t xml:space="preserve">nerespectării principiilor contabile privind recuperarea daunei materiale şi lipsurilor depistate în cadrul </w:t>
      </w:r>
      <w:r w:rsidR="00D770E0" w:rsidRPr="00F34E9D">
        <w:rPr>
          <w:rFonts w:asciiTheme="majorHAnsi" w:eastAsia="MS Mincho" w:hAnsiTheme="majorHAnsi" w:cstheme="majorHAnsi"/>
          <w:color w:val="0D0D0D" w:themeColor="text1" w:themeTint="F2"/>
          <w:sz w:val="24"/>
          <w:szCs w:val="24"/>
          <w:lang w:eastAsia="ja-JP"/>
        </w:rPr>
        <w:t>controlului suplimentar de către Agenția Supraveghere Tehnică pentru volumele și costurile lucrărilor de const</w:t>
      </w:r>
      <w:r w:rsidR="002C6BF7" w:rsidRPr="00F34E9D">
        <w:rPr>
          <w:rFonts w:asciiTheme="majorHAnsi" w:eastAsia="MS Mincho" w:hAnsiTheme="majorHAnsi" w:cstheme="majorHAnsi"/>
          <w:color w:val="0D0D0D" w:themeColor="text1" w:themeTint="F2"/>
          <w:sz w:val="24"/>
          <w:szCs w:val="24"/>
          <w:lang w:eastAsia="ja-JP"/>
        </w:rPr>
        <w:t xml:space="preserve">rucție neexecutate la obiectiv de </w:t>
      </w:r>
      <w:r w:rsidR="00D770E0" w:rsidRPr="00F34E9D">
        <w:rPr>
          <w:rFonts w:asciiTheme="majorHAnsi" w:eastAsia="MS Mincho" w:hAnsiTheme="majorHAnsi" w:cstheme="majorHAnsi"/>
          <w:color w:val="0D0D0D" w:themeColor="text1" w:themeTint="F2"/>
          <w:sz w:val="24"/>
          <w:szCs w:val="24"/>
          <w:lang w:eastAsia="ja-JP"/>
        </w:rPr>
        <w:t>5,6 mil. lei</w:t>
      </w:r>
      <w:r w:rsidR="00D770E0" w:rsidRPr="00F34E9D">
        <w:rPr>
          <w:rFonts w:asciiTheme="majorHAnsi" w:eastAsia="Times New Roman" w:hAnsiTheme="majorHAnsi" w:cstheme="majorHAnsi"/>
          <w:color w:val="0D0D0D" w:themeColor="text1" w:themeTint="F2"/>
          <w:sz w:val="24"/>
          <w:szCs w:val="24"/>
        </w:rPr>
        <w:t>.</w:t>
      </w:r>
    </w:p>
    <w:p w14:paraId="5558F813" w14:textId="18543BD9" w:rsidR="00190E60" w:rsidRPr="00F34E9D" w:rsidRDefault="00FD175D" w:rsidP="00A75ED2">
      <w:pPr>
        <w:pStyle w:val="a3"/>
        <w:spacing w:after="0" w:line="276" w:lineRule="auto"/>
        <w:ind w:left="0"/>
        <w:jc w:val="both"/>
        <w:rPr>
          <w:rFonts w:asciiTheme="majorHAnsi" w:hAnsiTheme="majorHAnsi" w:cstheme="majorHAnsi"/>
          <w:color w:val="0D0D0D" w:themeColor="text1" w:themeTint="F2"/>
          <w:sz w:val="24"/>
          <w:szCs w:val="24"/>
        </w:rPr>
      </w:pPr>
      <w:r w:rsidRPr="00F34E9D">
        <w:rPr>
          <w:rFonts w:asciiTheme="majorHAnsi" w:eastAsia="Times New Roman" w:hAnsiTheme="majorHAnsi" w:cstheme="majorHAnsi"/>
          <w:b/>
          <w:iCs/>
          <w:color w:val="0D0D0D" w:themeColor="text1" w:themeTint="F2"/>
          <w:sz w:val="24"/>
          <w:szCs w:val="24"/>
        </w:rPr>
        <w:t>2.</w:t>
      </w:r>
      <w:r w:rsidR="00347C3D" w:rsidRPr="00F34E9D">
        <w:rPr>
          <w:rFonts w:asciiTheme="majorHAnsi" w:eastAsia="Times New Roman" w:hAnsiTheme="majorHAnsi" w:cstheme="majorHAnsi"/>
          <w:b/>
          <w:iCs/>
          <w:color w:val="0D0D0D" w:themeColor="text1" w:themeTint="F2"/>
          <w:sz w:val="24"/>
          <w:szCs w:val="24"/>
        </w:rPr>
        <w:t>9</w:t>
      </w:r>
      <w:r w:rsidRPr="00F34E9D">
        <w:rPr>
          <w:rFonts w:asciiTheme="majorHAnsi" w:eastAsia="Times New Roman" w:hAnsiTheme="majorHAnsi" w:cstheme="majorHAnsi"/>
          <w:b/>
          <w:iCs/>
          <w:color w:val="0D0D0D" w:themeColor="text1" w:themeTint="F2"/>
          <w:sz w:val="24"/>
          <w:szCs w:val="24"/>
        </w:rPr>
        <w:t xml:space="preserve">. </w:t>
      </w:r>
      <w:r w:rsidR="00190E60" w:rsidRPr="00F34E9D">
        <w:rPr>
          <w:rFonts w:asciiTheme="majorHAnsi" w:hAnsiTheme="majorHAnsi" w:cstheme="majorHAnsi"/>
          <w:iCs/>
          <w:color w:val="0D0D0D" w:themeColor="text1" w:themeTint="F2"/>
          <w:sz w:val="24"/>
          <w:szCs w:val="24"/>
        </w:rPr>
        <w:t>M</w:t>
      </w:r>
      <w:r w:rsidR="00190E60" w:rsidRPr="00F34E9D">
        <w:rPr>
          <w:rFonts w:asciiTheme="majorHAnsi" w:hAnsiTheme="majorHAnsi" w:cstheme="majorHAnsi"/>
          <w:color w:val="0D0D0D" w:themeColor="text1" w:themeTint="F2"/>
          <w:sz w:val="24"/>
          <w:szCs w:val="24"/>
        </w:rPr>
        <w:t xml:space="preserve">ajorarea cheltuielilor aferente serviciilor educaționale (comanda de stat) cu </w:t>
      </w:r>
      <w:r w:rsidR="00190E60" w:rsidRPr="00F34E9D">
        <w:rPr>
          <w:rFonts w:asciiTheme="majorHAnsi" w:hAnsiTheme="majorHAnsi" w:cstheme="majorHAnsi"/>
          <w:b/>
          <w:color w:val="0D0D0D" w:themeColor="text1" w:themeTint="F2"/>
          <w:sz w:val="24"/>
          <w:szCs w:val="24"/>
        </w:rPr>
        <w:t>12,1</w:t>
      </w:r>
      <w:r w:rsidR="00190E60" w:rsidRPr="00F34E9D">
        <w:rPr>
          <w:rFonts w:asciiTheme="majorHAnsi" w:hAnsiTheme="majorHAnsi" w:cstheme="majorHAnsi"/>
          <w:i/>
          <w:color w:val="0D0D0D" w:themeColor="text1" w:themeTint="F2"/>
          <w:sz w:val="24"/>
          <w:szCs w:val="24"/>
        </w:rPr>
        <w:t xml:space="preserve"> </w:t>
      </w:r>
      <w:r w:rsidR="00190E60" w:rsidRPr="00F34E9D">
        <w:rPr>
          <w:rFonts w:asciiTheme="majorHAnsi" w:hAnsiTheme="majorHAnsi" w:cstheme="majorHAnsi"/>
          <w:b/>
          <w:color w:val="0D0D0D" w:themeColor="text1" w:themeTint="F2"/>
          <w:sz w:val="24"/>
          <w:szCs w:val="24"/>
        </w:rPr>
        <w:t>mil.lei</w:t>
      </w:r>
      <w:r w:rsidR="00A465CE" w:rsidRPr="00F34E9D">
        <w:rPr>
          <w:rFonts w:asciiTheme="majorHAnsi" w:hAnsiTheme="majorHAnsi" w:cstheme="majorHAnsi"/>
          <w:b/>
          <w:color w:val="0D0D0D" w:themeColor="text1" w:themeTint="F2"/>
          <w:sz w:val="24"/>
          <w:szCs w:val="24"/>
        </w:rPr>
        <w:t>,</w:t>
      </w:r>
      <w:r w:rsidR="00190E60" w:rsidRPr="00F34E9D">
        <w:rPr>
          <w:rFonts w:asciiTheme="majorHAnsi" w:hAnsiTheme="majorHAnsi" w:cstheme="majorHAnsi"/>
          <w:color w:val="0D0D0D" w:themeColor="text1" w:themeTint="F2"/>
          <w:sz w:val="24"/>
          <w:szCs w:val="24"/>
        </w:rPr>
        <w:t xml:space="preserve"> ca rezultat al majorării neregulamentare a alocațiilor bugetare aferente costului programelor de studiu în cadrul învățământului profesional tehnic.</w:t>
      </w:r>
    </w:p>
    <w:p w14:paraId="3434FA94" w14:textId="3CCD3CF8" w:rsidR="00A95FBC" w:rsidRPr="00F34E9D" w:rsidRDefault="001C1152" w:rsidP="00A75ED2">
      <w:pPr>
        <w:pStyle w:val="a3"/>
        <w:tabs>
          <w:tab w:val="left" w:pos="0"/>
        </w:tabs>
        <w:spacing w:line="276" w:lineRule="auto"/>
        <w:ind w:left="0"/>
        <w:jc w:val="both"/>
        <w:rPr>
          <w:rFonts w:asciiTheme="majorHAnsi" w:hAnsiTheme="majorHAnsi" w:cstheme="majorHAnsi"/>
          <w:iCs/>
          <w:color w:val="0D0D0D" w:themeColor="text1" w:themeTint="F2"/>
          <w:sz w:val="24"/>
          <w:szCs w:val="24"/>
        </w:rPr>
      </w:pPr>
      <w:r w:rsidRPr="00F34E9D">
        <w:rPr>
          <w:rFonts w:asciiTheme="majorHAnsi" w:hAnsiTheme="majorHAnsi" w:cstheme="majorHAnsi"/>
          <w:b/>
          <w:bCs/>
          <w:iCs/>
          <w:color w:val="0D0D0D" w:themeColor="text1" w:themeTint="F2"/>
          <w:sz w:val="24"/>
          <w:szCs w:val="24"/>
        </w:rPr>
        <w:t>2.1</w:t>
      </w:r>
      <w:r w:rsidR="00A95FBC" w:rsidRPr="00F34E9D">
        <w:rPr>
          <w:rFonts w:asciiTheme="majorHAnsi" w:hAnsiTheme="majorHAnsi" w:cstheme="majorHAnsi"/>
          <w:b/>
          <w:bCs/>
          <w:iCs/>
          <w:color w:val="0D0D0D" w:themeColor="text1" w:themeTint="F2"/>
          <w:sz w:val="24"/>
          <w:szCs w:val="24"/>
        </w:rPr>
        <w:t>0</w:t>
      </w:r>
      <w:r w:rsidRPr="00F34E9D">
        <w:rPr>
          <w:rFonts w:asciiTheme="majorHAnsi" w:hAnsiTheme="majorHAnsi" w:cstheme="majorHAnsi"/>
          <w:b/>
          <w:bCs/>
          <w:iCs/>
          <w:color w:val="0D0D0D" w:themeColor="text1" w:themeTint="F2"/>
          <w:sz w:val="24"/>
          <w:szCs w:val="24"/>
        </w:rPr>
        <w:t>.</w:t>
      </w:r>
      <w:r w:rsidRPr="00F34E9D">
        <w:rPr>
          <w:rFonts w:asciiTheme="majorHAnsi" w:hAnsiTheme="majorHAnsi" w:cstheme="majorHAnsi"/>
          <w:color w:val="0D0D0D" w:themeColor="text1" w:themeTint="F2"/>
        </w:rPr>
        <w:t xml:space="preserve"> </w:t>
      </w:r>
      <w:r w:rsidR="00A95FBC" w:rsidRPr="00F34E9D">
        <w:rPr>
          <w:rFonts w:asciiTheme="majorHAnsi" w:hAnsiTheme="majorHAnsi" w:cstheme="majorHAnsi"/>
          <w:color w:val="0D0D0D" w:themeColor="text1" w:themeTint="F2"/>
          <w:sz w:val="24"/>
          <w:szCs w:val="24"/>
        </w:rPr>
        <w:t xml:space="preserve">Auditul a fost limitat în determinarea majorării cheltuielilor </w:t>
      </w:r>
      <w:r w:rsidR="00A95FBC" w:rsidRPr="00F34E9D">
        <w:rPr>
          <w:rFonts w:asciiTheme="majorHAnsi" w:hAnsiTheme="majorHAnsi" w:cstheme="majorHAnsi"/>
          <w:iCs/>
          <w:color w:val="0D0D0D" w:themeColor="text1" w:themeTint="F2"/>
          <w:sz w:val="24"/>
          <w:szCs w:val="24"/>
        </w:rPr>
        <w:t xml:space="preserve">aferente serviciilor </w:t>
      </w:r>
      <w:r w:rsidR="00A95FBC" w:rsidRPr="00F34E9D">
        <w:rPr>
          <w:rFonts w:asciiTheme="majorHAnsi" w:hAnsiTheme="majorHAnsi" w:cstheme="majorHAnsi"/>
          <w:color w:val="0D0D0D" w:themeColor="text1" w:themeTint="F2"/>
          <w:sz w:val="24"/>
          <w:szCs w:val="24"/>
        </w:rPr>
        <w:t>pentru perioada septembrie-decembrie 2021</w:t>
      </w:r>
      <w:r w:rsidR="00A465CE" w:rsidRPr="00F34E9D">
        <w:rPr>
          <w:rFonts w:asciiTheme="majorHAnsi" w:hAnsiTheme="majorHAnsi" w:cstheme="majorHAnsi"/>
          <w:color w:val="0D0D0D" w:themeColor="text1" w:themeTint="F2"/>
          <w:sz w:val="24"/>
          <w:szCs w:val="24"/>
        </w:rPr>
        <w:t>,</w:t>
      </w:r>
      <w:r w:rsidR="00A95FBC" w:rsidRPr="00F34E9D">
        <w:rPr>
          <w:rFonts w:asciiTheme="majorHAnsi" w:hAnsiTheme="majorHAnsi" w:cstheme="majorHAnsi"/>
          <w:iCs/>
          <w:color w:val="0D0D0D" w:themeColor="text1" w:themeTint="F2"/>
          <w:sz w:val="24"/>
          <w:szCs w:val="24"/>
        </w:rPr>
        <w:t xml:space="preserve"> ca urmare a neînregistrării ca active nemateriale a cheltuielilor suportate pentru efectuarea cercetărilor științifice de către instituțiile de cercetări din subordine</w:t>
      </w:r>
      <w:r w:rsidR="00A95FBC" w:rsidRPr="00F34E9D">
        <w:rPr>
          <w:rFonts w:asciiTheme="majorHAnsi" w:hAnsiTheme="majorHAnsi" w:cstheme="majorHAnsi"/>
          <w:color w:val="0D0D0D" w:themeColor="text1" w:themeTint="F2"/>
          <w:sz w:val="24"/>
          <w:szCs w:val="24"/>
        </w:rPr>
        <w:t xml:space="preserve">, însă pentru </w:t>
      </w:r>
      <w:r w:rsidR="00A95FBC" w:rsidRPr="00F34E9D">
        <w:rPr>
          <w:rFonts w:asciiTheme="majorHAnsi" w:hAnsiTheme="majorHAnsi" w:cstheme="majorHAnsi"/>
          <w:iCs/>
          <w:color w:val="0D0D0D" w:themeColor="text1" w:themeTint="F2"/>
          <w:sz w:val="24"/>
          <w:szCs w:val="24"/>
        </w:rPr>
        <w:t xml:space="preserve">anul </w:t>
      </w:r>
      <w:r w:rsidR="00D76248" w:rsidRPr="00F34E9D">
        <w:rPr>
          <w:rFonts w:asciiTheme="majorHAnsi" w:hAnsiTheme="majorHAnsi" w:cstheme="majorHAnsi"/>
          <w:iCs/>
          <w:color w:val="0D0D0D" w:themeColor="text1" w:themeTint="F2"/>
          <w:sz w:val="24"/>
          <w:szCs w:val="24"/>
        </w:rPr>
        <w:t xml:space="preserve">integral de raportare </w:t>
      </w:r>
      <w:r w:rsidR="00A95FBC" w:rsidRPr="00F34E9D">
        <w:rPr>
          <w:rFonts w:asciiTheme="majorHAnsi" w:hAnsiTheme="majorHAnsi" w:cstheme="majorHAnsi"/>
          <w:iCs/>
          <w:color w:val="0D0D0D" w:themeColor="text1" w:themeTint="F2"/>
          <w:sz w:val="24"/>
          <w:szCs w:val="24"/>
        </w:rPr>
        <w:t xml:space="preserve">aceste cheltuieli au constituit </w:t>
      </w:r>
      <w:r w:rsidR="00A95FBC" w:rsidRPr="00F34E9D">
        <w:rPr>
          <w:rFonts w:asciiTheme="majorHAnsi" w:hAnsiTheme="majorHAnsi" w:cstheme="majorHAnsi"/>
          <w:b/>
          <w:iCs/>
          <w:color w:val="0D0D0D" w:themeColor="text1" w:themeTint="F2"/>
          <w:sz w:val="24"/>
          <w:szCs w:val="24"/>
        </w:rPr>
        <w:t xml:space="preserve">108,37 mil.lei. </w:t>
      </w:r>
      <w:r w:rsidR="00A95FBC" w:rsidRPr="00F34E9D">
        <w:rPr>
          <w:rFonts w:asciiTheme="majorHAnsi" w:hAnsiTheme="majorHAnsi" w:cstheme="majorHAnsi"/>
          <w:color w:val="0D0D0D" w:themeColor="text1" w:themeTint="F2"/>
          <w:sz w:val="24"/>
          <w:szCs w:val="24"/>
        </w:rPr>
        <w:t>Considerăm că majorarea cheltuielilor pentru perioada indicată este substanțială.</w:t>
      </w:r>
    </w:p>
    <w:p w14:paraId="51EB0F7B" w14:textId="7B30DB14" w:rsidR="00FD175D" w:rsidRPr="00F34E9D" w:rsidRDefault="00DB19E7" w:rsidP="00827278">
      <w:pPr>
        <w:pStyle w:val="a3"/>
        <w:tabs>
          <w:tab w:val="left" w:pos="0"/>
        </w:tabs>
        <w:spacing w:after="120" w:line="276" w:lineRule="auto"/>
        <w:ind w:left="0"/>
        <w:contextualSpacing w:val="0"/>
        <w:jc w:val="both"/>
        <w:rPr>
          <w:rFonts w:asciiTheme="majorHAnsi" w:eastAsia="Times New Roman" w:hAnsiTheme="majorHAnsi" w:cstheme="majorHAnsi"/>
          <w:bCs/>
          <w:color w:val="0D0D0D" w:themeColor="text1" w:themeTint="F2"/>
          <w:sz w:val="24"/>
          <w:szCs w:val="24"/>
        </w:rPr>
      </w:pPr>
      <w:r w:rsidRPr="00F34E9D">
        <w:rPr>
          <w:rFonts w:asciiTheme="majorHAnsi" w:hAnsiTheme="majorHAnsi" w:cstheme="majorHAnsi"/>
          <w:b/>
          <w:bCs/>
          <w:iCs/>
          <w:color w:val="0D0D0D" w:themeColor="text1" w:themeTint="F2"/>
          <w:sz w:val="24"/>
          <w:szCs w:val="24"/>
        </w:rPr>
        <w:t>2.11.</w:t>
      </w:r>
      <w:r w:rsidRPr="00F34E9D">
        <w:rPr>
          <w:rFonts w:asciiTheme="majorHAnsi" w:hAnsiTheme="majorHAnsi" w:cstheme="majorHAnsi"/>
          <w:color w:val="0D0D0D" w:themeColor="text1" w:themeTint="F2"/>
        </w:rPr>
        <w:t xml:space="preserve"> </w:t>
      </w:r>
      <w:r w:rsidRPr="00F34E9D">
        <w:rPr>
          <w:rFonts w:asciiTheme="majorHAnsi" w:hAnsiTheme="majorHAnsi" w:cstheme="majorHAnsi"/>
          <w:i/>
          <w:iCs/>
          <w:color w:val="0D0D0D" w:themeColor="text1" w:themeTint="F2"/>
          <w:sz w:val="24"/>
          <w:szCs w:val="24"/>
        </w:rPr>
        <w:t xml:space="preserve"> </w:t>
      </w:r>
      <w:r w:rsidR="00DE4130" w:rsidRPr="00F34E9D">
        <w:rPr>
          <w:rFonts w:asciiTheme="majorHAnsi" w:eastAsia="Times New Roman" w:hAnsiTheme="majorHAnsi" w:cstheme="majorHAnsi"/>
          <w:color w:val="0D0D0D" w:themeColor="text1" w:themeTint="F2"/>
          <w:sz w:val="24"/>
          <w:szCs w:val="24"/>
        </w:rPr>
        <w:t>C</w:t>
      </w:r>
      <w:r w:rsidR="00056010" w:rsidRPr="00F34E9D">
        <w:rPr>
          <w:rFonts w:asciiTheme="majorHAnsi" w:eastAsia="Times New Roman" w:hAnsiTheme="majorHAnsi" w:cstheme="majorHAnsi"/>
          <w:color w:val="0D0D0D" w:themeColor="text1" w:themeTint="F2"/>
          <w:sz w:val="24"/>
          <w:szCs w:val="24"/>
        </w:rPr>
        <w:t xml:space="preserve">a </w:t>
      </w:r>
      <w:r w:rsidR="00FD175D" w:rsidRPr="00F34E9D">
        <w:rPr>
          <w:rFonts w:asciiTheme="majorHAnsi" w:eastAsia="Times New Roman" w:hAnsiTheme="majorHAnsi" w:cstheme="majorHAnsi"/>
          <w:color w:val="0D0D0D" w:themeColor="text1" w:themeTint="F2"/>
          <w:sz w:val="24"/>
          <w:szCs w:val="24"/>
        </w:rPr>
        <w:t xml:space="preserve">urmare a </w:t>
      </w:r>
      <w:r w:rsidR="00056010" w:rsidRPr="00F34E9D">
        <w:rPr>
          <w:rFonts w:asciiTheme="majorHAnsi" w:eastAsia="Times New Roman" w:hAnsiTheme="majorHAnsi" w:cstheme="majorHAnsi"/>
          <w:color w:val="0D0D0D" w:themeColor="text1" w:themeTint="F2"/>
          <w:sz w:val="24"/>
          <w:szCs w:val="24"/>
        </w:rPr>
        <w:t>reorganizării/</w:t>
      </w:r>
      <w:r w:rsidR="00FD175D" w:rsidRPr="00F34E9D">
        <w:rPr>
          <w:rFonts w:asciiTheme="majorHAnsi" w:eastAsia="Times New Roman" w:hAnsiTheme="majorHAnsi" w:cstheme="majorHAnsi"/>
          <w:color w:val="0D0D0D" w:themeColor="text1" w:themeTint="F2"/>
          <w:sz w:val="24"/>
          <w:szCs w:val="24"/>
        </w:rPr>
        <w:t xml:space="preserve">divizării </w:t>
      </w:r>
      <w:r w:rsidR="007C7DB7" w:rsidRPr="00F34E9D">
        <w:rPr>
          <w:rFonts w:asciiTheme="majorHAnsi" w:eastAsia="Times New Roman" w:hAnsiTheme="majorHAnsi" w:cstheme="majorHAnsi"/>
          <w:color w:val="0D0D0D" w:themeColor="text1" w:themeTint="F2"/>
          <w:sz w:val="24"/>
          <w:szCs w:val="24"/>
        </w:rPr>
        <w:t>Ministerului Educației, Culturii și Cercetării (</w:t>
      </w:r>
      <w:r w:rsidR="00FD175D" w:rsidRPr="00F34E9D">
        <w:rPr>
          <w:rFonts w:asciiTheme="majorHAnsi" w:eastAsia="Times New Roman" w:hAnsiTheme="majorHAnsi" w:cstheme="majorHAnsi"/>
          <w:color w:val="0D0D0D" w:themeColor="text1" w:themeTint="F2"/>
          <w:sz w:val="24"/>
          <w:szCs w:val="24"/>
        </w:rPr>
        <w:t>MECC</w:t>
      </w:r>
      <w:r w:rsidR="007C7DB7" w:rsidRPr="00F34E9D">
        <w:rPr>
          <w:rFonts w:asciiTheme="majorHAnsi" w:eastAsia="Times New Roman" w:hAnsiTheme="majorHAnsi" w:cstheme="majorHAnsi"/>
          <w:color w:val="0D0D0D" w:themeColor="text1" w:themeTint="F2"/>
          <w:sz w:val="24"/>
          <w:szCs w:val="24"/>
        </w:rPr>
        <w:t>)</w:t>
      </w:r>
      <w:r w:rsidR="00FD175D" w:rsidRPr="00F34E9D">
        <w:rPr>
          <w:rStyle w:val="a7"/>
          <w:rFonts w:asciiTheme="majorHAnsi" w:hAnsiTheme="majorHAnsi" w:cstheme="majorHAnsi"/>
          <w:color w:val="0D0D0D" w:themeColor="text1" w:themeTint="F2"/>
          <w:sz w:val="24"/>
          <w:szCs w:val="24"/>
        </w:rPr>
        <w:footnoteReference w:id="14"/>
      </w:r>
      <w:r w:rsidR="00FD175D" w:rsidRPr="00F34E9D">
        <w:rPr>
          <w:rFonts w:asciiTheme="majorHAnsi" w:eastAsia="Times New Roman" w:hAnsiTheme="majorHAnsi" w:cstheme="majorHAnsi"/>
          <w:color w:val="0D0D0D" w:themeColor="text1" w:themeTint="F2"/>
          <w:sz w:val="24"/>
          <w:szCs w:val="24"/>
        </w:rPr>
        <w:t xml:space="preserve">, </w:t>
      </w:r>
      <w:r w:rsidR="00DE4130" w:rsidRPr="00F34E9D">
        <w:rPr>
          <w:rFonts w:asciiTheme="majorHAnsi" w:eastAsia="Times New Roman" w:hAnsiTheme="majorHAnsi" w:cstheme="majorHAnsi"/>
          <w:color w:val="0D0D0D" w:themeColor="text1" w:themeTint="F2"/>
          <w:sz w:val="24"/>
          <w:szCs w:val="24"/>
        </w:rPr>
        <w:t>MEC este succesor de drept</w:t>
      </w:r>
      <w:r w:rsidR="00D76248" w:rsidRPr="00F34E9D">
        <w:rPr>
          <w:rFonts w:asciiTheme="majorHAnsi" w:eastAsia="Times New Roman" w:hAnsiTheme="majorHAnsi" w:cstheme="majorHAnsi"/>
          <w:color w:val="0D0D0D" w:themeColor="text1" w:themeTint="F2"/>
          <w:sz w:val="24"/>
          <w:szCs w:val="24"/>
        </w:rPr>
        <w:t>uri</w:t>
      </w:r>
      <w:r w:rsidR="00DE4130" w:rsidRPr="00F34E9D">
        <w:rPr>
          <w:rFonts w:asciiTheme="majorHAnsi" w:eastAsia="Times New Roman" w:hAnsiTheme="majorHAnsi" w:cstheme="majorHAnsi"/>
          <w:color w:val="0D0D0D" w:themeColor="text1" w:themeTint="F2"/>
          <w:sz w:val="24"/>
          <w:szCs w:val="24"/>
        </w:rPr>
        <w:t xml:space="preserve"> al acestuia, </w:t>
      </w:r>
      <w:r w:rsidR="00FD175D" w:rsidRPr="00F34E9D">
        <w:rPr>
          <w:rFonts w:asciiTheme="majorHAnsi" w:eastAsia="Times New Roman" w:hAnsiTheme="majorHAnsi" w:cstheme="majorHAnsi"/>
          <w:color w:val="0D0D0D" w:themeColor="text1" w:themeTint="F2"/>
          <w:sz w:val="24"/>
          <w:szCs w:val="24"/>
        </w:rPr>
        <w:t xml:space="preserve">însă procesul de transmitere a activelor și pasivelor </w:t>
      </w:r>
      <w:r w:rsidR="00DE4130" w:rsidRPr="00F34E9D">
        <w:rPr>
          <w:rFonts w:asciiTheme="majorHAnsi" w:eastAsia="Times New Roman" w:hAnsiTheme="majorHAnsi" w:cstheme="majorHAnsi"/>
          <w:color w:val="0D0D0D" w:themeColor="text1" w:themeTint="F2"/>
          <w:sz w:val="24"/>
          <w:szCs w:val="24"/>
        </w:rPr>
        <w:t xml:space="preserve">către MC </w:t>
      </w:r>
      <w:r w:rsidR="00FD175D" w:rsidRPr="00F34E9D">
        <w:rPr>
          <w:rFonts w:asciiTheme="majorHAnsi" w:eastAsia="Times New Roman" w:hAnsiTheme="majorHAnsi" w:cstheme="majorHAnsi"/>
          <w:color w:val="0D0D0D" w:themeColor="text1" w:themeTint="F2"/>
          <w:sz w:val="24"/>
          <w:szCs w:val="24"/>
        </w:rPr>
        <w:t>nu a fost realizat de către conducerea ministerului vechi (MECC) și ministerul</w:t>
      </w:r>
      <w:r w:rsidR="00D76248" w:rsidRPr="00F34E9D">
        <w:rPr>
          <w:rFonts w:asciiTheme="majorHAnsi" w:eastAsia="Times New Roman" w:hAnsiTheme="majorHAnsi" w:cstheme="majorHAnsi"/>
          <w:color w:val="0D0D0D" w:themeColor="text1" w:themeTint="F2"/>
          <w:sz w:val="24"/>
          <w:szCs w:val="24"/>
        </w:rPr>
        <w:t>ui</w:t>
      </w:r>
      <w:r w:rsidR="00FD175D" w:rsidRPr="00F34E9D">
        <w:rPr>
          <w:rFonts w:asciiTheme="majorHAnsi" w:eastAsia="Times New Roman" w:hAnsiTheme="majorHAnsi" w:cstheme="majorHAnsi"/>
          <w:color w:val="0D0D0D" w:themeColor="text1" w:themeTint="F2"/>
          <w:sz w:val="24"/>
          <w:szCs w:val="24"/>
        </w:rPr>
        <w:t xml:space="preserve"> reorganizat (MEC). M</w:t>
      </w:r>
      <w:r w:rsidR="00056010" w:rsidRPr="00F34E9D">
        <w:rPr>
          <w:rFonts w:asciiTheme="majorHAnsi" w:eastAsia="Times New Roman" w:hAnsiTheme="majorHAnsi" w:cstheme="majorHAnsi"/>
          <w:color w:val="0D0D0D" w:themeColor="text1" w:themeTint="F2"/>
          <w:sz w:val="24"/>
          <w:szCs w:val="24"/>
        </w:rPr>
        <w:t>E</w:t>
      </w:r>
      <w:r w:rsidR="00FD175D" w:rsidRPr="00F34E9D">
        <w:rPr>
          <w:rFonts w:asciiTheme="majorHAnsi" w:eastAsia="Times New Roman" w:hAnsiTheme="majorHAnsi" w:cstheme="majorHAnsi"/>
          <w:color w:val="0D0D0D" w:themeColor="text1" w:themeTint="F2"/>
          <w:sz w:val="24"/>
          <w:szCs w:val="24"/>
        </w:rPr>
        <w:t xml:space="preserve">C </w:t>
      </w:r>
      <w:r w:rsidR="00056010" w:rsidRPr="00F34E9D">
        <w:rPr>
          <w:rFonts w:asciiTheme="majorHAnsi" w:eastAsia="Times New Roman" w:hAnsiTheme="majorHAnsi" w:cstheme="majorHAnsi"/>
          <w:color w:val="0D0D0D" w:themeColor="text1" w:themeTint="F2"/>
          <w:sz w:val="24"/>
          <w:szCs w:val="24"/>
        </w:rPr>
        <w:t xml:space="preserve">nu </w:t>
      </w:r>
      <w:r w:rsidR="00FD175D" w:rsidRPr="00F34E9D">
        <w:rPr>
          <w:rFonts w:asciiTheme="majorHAnsi" w:eastAsia="Times New Roman" w:hAnsiTheme="majorHAnsi" w:cstheme="majorHAnsi"/>
          <w:color w:val="0D0D0D" w:themeColor="text1" w:themeTint="F2"/>
          <w:sz w:val="24"/>
          <w:szCs w:val="24"/>
        </w:rPr>
        <w:t xml:space="preserve">gestionează </w:t>
      </w:r>
      <w:r w:rsidR="00FD175D" w:rsidRPr="00F34E9D">
        <w:rPr>
          <w:rFonts w:asciiTheme="majorHAnsi" w:eastAsia="Times New Roman" w:hAnsiTheme="majorHAnsi" w:cstheme="majorHAnsi"/>
          <w:bCs/>
          <w:color w:val="0D0D0D" w:themeColor="text1" w:themeTint="F2"/>
          <w:sz w:val="24"/>
          <w:szCs w:val="24"/>
        </w:rPr>
        <w:t>active și pasive cu valoare</w:t>
      </w:r>
      <w:r w:rsidR="00D76248" w:rsidRPr="00F34E9D">
        <w:rPr>
          <w:rFonts w:asciiTheme="majorHAnsi" w:eastAsia="Times New Roman" w:hAnsiTheme="majorHAnsi" w:cstheme="majorHAnsi"/>
          <w:bCs/>
          <w:color w:val="0D0D0D" w:themeColor="text1" w:themeTint="F2"/>
          <w:sz w:val="24"/>
          <w:szCs w:val="24"/>
        </w:rPr>
        <w:t>a</w:t>
      </w:r>
      <w:r w:rsidR="00FD175D" w:rsidRPr="00F34E9D">
        <w:rPr>
          <w:rFonts w:asciiTheme="majorHAnsi" w:eastAsia="Times New Roman" w:hAnsiTheme="majorHAnsi" w:cstheme="majorHAnsi"/>
          <w:bCs/>
          <w:color w:val="0D0D0D" w:themeColor="text1" w:themeTint="F2"/>
          <w:sz w:val="24"/>
          <w:szCs w:val="24"/>
        </w:rPr>
        <w:t xml:space="preserve"> de bilanț de 485,2 mil.lei</w:t>
      </w:r>
      <w:r w:rsidR="00FD175D" w:rsidRPr="00F34E9D">
        <w:rPr>
          <w:rStyle w:val="a7"/>
          <w:rFonts w:asciiTheme="majorHAnsi" w:eastAsia="Times New Roman" w:hAnsiTheme="majorHAnsi" w:cstheme="majorHAnsi"/>
          <w:bCs/>
          <w:color w:val="0D0D0D" w:themeColor="text1" w:themeTint="F2"/>
          <w:sz w:val="24"/>
          <w:szCs w:val="24"/>
        </w:rPr>
        <w:footnoteReference w:id="15"/>
      </w:r>
      <w:r w:rsidR="004975A7" w:rsidRPr="00F34E9D">
        <w:rPr>
          <w:rFonts w:asciiTheme="majorHAnsi" w:eastAsia="Times New Roman" w:hAnsiTheme="majorHAnsi" w:cstheme="majorHAnsi"/>
          <w:bCs/>
          <w:color w:val="0D0D0D" w:themeColor="text1" w:themeTint="F2"/>
          <w:sz w:val="24"/>
          <w:szCs w:val="24"/>
        </w:rPr>
        <w:t>,</w:t>
      </w:r>
      <w:r w:rsidR="00056010" w:rsidRPr="00F34E9D">
        <w:rPr>
          <w:rFonts w:asciiTheme="majorHAnsi" w:eastAsia="Times New Roman" w:hAnsiTheme="majorHAnsi" w:cstheme="majorHAnsi"/>
          <w:bCs/>
          <w:color w:val="0D0D0D" w:themeColor="text1" w:themeTint="F2"/>
          <w:sz w:val="24"/>
          <w:szCs w:val="24"/>
        </w:rPr>
        <w:t xml:space="preserve"> fără a dispune de drepturi și obligații</w:t>
      </w:r>
      <w:r w:rsidR="00FD175D" w:rsidRPr="00F34E9D">
        <w:rPr>
          <w:rFonts w:asciiTheme="majorHAnsi" w:eastAsia="Times New Roman" w:hAnsiTheme="majorHAnsi" w:cstheme="majorHAnsi"/>
          <w:bCs/>
          <w:color w:val="0D0D0D" w:themeColor="text1" w:themeTint="F2"/>
          <w:sz w:val="24"/>
          <w:szCs w:val="24"/>
        </w:rPr>
        <w:t>, acestea nu au fost transmise conform actelor de primire-predare cu anexarea documentelor în termen</w:t>
      </w:r>
      <w:r w:rsidR="00D76248" w:rsidRPr="00F34E9D">
        <w:rPr>
          <w:rFonts w:asciiTheme="majorHAnsi" w:eastAsia="Times New Roman" w:hAnsiTheme="majorHAnsi" w:cstheme="majorHAnsi"/>
          <w:bCs/>
          <w:color w:val="0D0D0D" w:themeColor="text1" w:themeTint="F2"/>
          <w:sz w:val="24"/>
          <w:szCs w:val="24"/>
        </w:rPr>
        <w:t>ele</w:t>
      </w:r>
      <w:r w:rsidR="00FD175D" w:rsidRPr="00F34E9D">
        <w:rPr>
          <w:rFonts w:asciiTheme="majorHAnsi" w:eastAsia="Times New Roman" w:hAnsiTheme="majorHAnsi" w:cstheme="majorHAnsi"/>
          <w:bCs/>
          <w:color w:val="0D0D0D" w:themeColor="text1" w:themeTint="F2"/>
          <w:sz w:val="24"/>
          <w:szCs w:val="24"/>
        </w:rPr>
        <w:t xml:space="preserve"> limită stabili</w:t>
      </w:r>
      <w:r w:rsidR="00D76248" w:rsidRPr="00F34E9D">
        <w:rPr>
          <w:rFonts w:asciiTheme="majorHAnsi" w:eastAsia="Times New Roman" w:hAnsiTheme="majorHAnsi" w:cstheme="majorHAnsi"/>
          <w:bCs/>
          <w:color w:val="0D0D0D" w:themeColor="text1" w:themeTint="F2"/>
          <w:sz w:val="24"/>
          <w:szCs w:val="24"/>
        </w:rPr>
        <w:t>te</w:t>
      </w:r>
      <w:r w:rsidR="00FD175D" w:rsidRPr="00F34E9D">
        <w:rPr>
          <w:rFonts w:asciiTheme="majorHAnsi" w:eastAsia="Times New Roman" w:hAnsiTheme="majorHAnsi" w:cstheme="majorHAnsi"/>
          <w:bCs/>
          <w:color w:val="0D0D0D" w:themeColor="text1" w:themeTint="F2"/>
          <w:sz w:val="24"/>
          <w:szCs w:val="24"/>
        </w:rPr>
        <w:t xml:space="preserve"> regulamentar. </w:t>
      </w:r>
      <w:r w:rsidR="00FD175D" w:rsidRPr="00F34E9D">
        <w:rPr>
          <w:rFonts w:asciiTheme="majorHAnsi" w:eastAsia="Times New Roman" w:hAnsiTheme="majorHAnsi" w:cstheme="majorHAnsi"/>
          <w:color w:val="0D0D0D" w:themeColor="text1" w:themeTint="F2"/>
          <w:sz w:val="24"/>
          <w:szCs w:val="24"/>
        </w:rPr>
        <w:t>Ca urmare,</w:t>
      </w:r>
      <w:r w:rsidR="00FD175D" w:rsidRPr="00F34E9D">
        <w:rPr>
          <w:rFonts w:asciiTheme="majorHAnsi" w:eastAsia="Times New Roman" w:hAnsiTheme="majorHAnsi" w:cstheme="majorHAnsi"/>
          <w:bCs/>
          <w:color w:val="0D0D0D" w:themeColor="text1" w:themeTint="F2"/>
          <w:sz w:val="24"/>
          <w:szCs w:val="24"/>
        </w:rPr>
        <w:t xml:space="preserve"> la 31.12.2021 Bilanțul contabil a</w:t>
      </w:r>
      <w:r w:rsidR="00D76248" w:rsidRPr="00F34E9D">
        <w:rPr>
          <w:rFonts w:asciiTheme="majorHAnsi" w:eastAsia="Times New Roman" w:hAnsiTheme="majorHAnsi" w:cstheme="majorHAnsi"/>
          <w:bCs/>
          <w:color w:val="0D0D0D" w:themeColor="text1" w:themeTint="F2"/>
          <w:sz w:val="24"/>
          <w:szCs w:val="24"/>
        </w:rPr>
        <w:t>l</w:t>
      </w:r>
      <w:r w:rsidR="00FD175D" w:rsidRPr="00F34E9D">
        <w:rPr>
          <w:rFonts w:asciiTheme="majorHAnsi" w:eastAsia="Times New Roman" w:hAnsiTheme="majorHAnsi" w:cstheme="majorHAnsi"/>
          <w:bCs/>
          <w:color w:val="0D0D0D" w:themeColor="text1" w:themeTint="F2"/>
          <w:sz w:val="24"/>
          <w:szCs w:val="24"/>
        </w:rPr>
        <w:t xml:space="preserve"> </w:t>
      </w:r>
      <w:r w:rsidR="00056010" w:rsidRPr="00F34E9D">
        <w:rPr>
          <w:rFonts w:asciiTheme="majorHAnsi" w:eastAsia="Times New Roman" w:hAnsiTheme="majorHAnsi" w:cstheme="majorHAnsi"/>
          <w:bCs/>
          <w:color w:val="0D0D0D" w:themeColor="text1" w:themeTint="F2"/>
          <w:sz w:val="24"/>
          <w:szCs w:val="24"/>
        </w:rPr>
        <w:t>MEC</w:t>
      </w:r>
      <w:r w:rsidR="00FD175D" w:rsidRPr="00F34E9D">
        <w:rPr>
          <w:rFonts w:asciiTheme="majorHAnsi" w:eastAsia="Times New Roman" w:hAnsiTheme="majorHAnsi" w:cstheme="majorHAnsi"/>
          <w:bCs/>
          <w:color w:val="0D0D0D" w:themeColor="text1" w:themeTint="F2"/>
          <w:sz w:val="24"/>
          <w:szCs w:val="24"/>
        </w:rPr>
        <w:t xml:space="preserve"> </w:t>
      </w:r>
      <w:r w:rsidR="00D76248" w:rsidRPr="00F34E9D">
        <w:rPr>
          <w:rFonts w:asciiTheme="majorHAnsi" w:eastAsia="Times New Roman" w:hAnsiTheme="majorHAnsi" w:cstheme="majorHAnsi"/>
          <w:bCs/>
          <w:color w:val="0D0D0D" w:themeColor="text1" w:themeTint="F2"/>
          <w:sz w:val="24"/>
          <w:szCs w:val="24"/>
        </w:rPr>
        <w:t>era</w:t>
      </w:r>
      <w:r w:rsidR="00FD175D" w:rsidRPr="00F34E9D">
        <w:rPr>
          <w:rFonts w:asciiTheme="majorHAnsi" w:eastAsia="Times New Roman" w:hAnsiTheme="majorHAnsi" w:cstheme="majorHAnsi"/>
          <w:bCs/>
          <w:color w:val="0D0D0D" w:themeColor="text1" w:themeTint="F2"/>
          <w:sz w:val="24"/>
          <w:szCs w:val="24"/>
        </w:rPr>
        <w:t xml:space="preserve"> afectat de erori în ace</w:t>
      </w:r>
      <w:r w:rsidR="00D76248" w:rsidRPr="00F34E9D">
        <w:rPr>
          <w:rFonts w:asciiTheme="majorHAnsi" w:eastAsia="Times New Roman" w:hAnsiTheme="majorHAnsi" w:cstheme="majorHAnsi"/>
          <w:bCs/>
          <w:color w:val="0D0D0D" w:themeColor="text1" w:themeTint="F2"/>
          <w:sz w:val="24"/>
          <w:szCs w:val="24"/>
        </w:rPr>
        <w:t>e</w:t>
      </w:r>
      <w:r w:rsidR="00FD175D" w:rsidRPr="00F34E9D">
        <w:rPr>
          <w:rFonts w:asciiTheme="majorHAnsi" w:eastAsia="Times New Roman" w:hAnsiTheme="majorHAnsi" w:cstheme="majorHAnsi"/>
          <w:bCs/>
          <w:color w:val="0D0D0D" w:themeColor="text1" w:themeTint="F2"/>
          <w:sz w:val="24"/>
          <w:szCs w:val="24"/>
        </w:rPr>
        <w:t>ași sumă at</w:t>
      </w:r>
      <w:r w:rsidR="00D76248" w:rsidRPr="00F34E9D">
        <w:rPr>
          <w:rFonts w:asciiTheme="majorHAnsi" w:eastAsia="Times New Roman" w:hAnsiTheme="majorHAnsi" w:cstheme="majorHAnsi"/>
          <w:bCs/>
          <w:color w:val="0D0D0D" w:themeColor="text1" w:themeTint="F2"/>
          <w:sz w:val="24"/>
          <w:szCs w:val="24"/>
        </w:rPr>
        <w:t>â</w:t>
      </w:r>
      <w:r w:rsidR="00FD175D" w:rsidRPr="00F34E9D">
        <w:rPr>
          <w:rFonts w:asciiTheme="majorHAnsi" w:eastAsia="Times New Roman" w:hAnsiTheme="majorHAnsi" w:cstheme="majorHAnsi"/>
          <w:bCs/>
          <w:color w:val="0D0D0D" w:themeColor="text1" w:themeTint="F2"/>
          <w:sz w:val="24"/>
          <w:szCs w:val="24"/>
        </w:rPr>
        <w:t>t la partea de activ</w:t>
      </w:r>
      <w:r w:rsidR="00D76248" w:rsidRPr="00F34E9D">
        <w:rPr>
          <w:rFonts w:asciiTheme="majorHAnsi" w:eastAsia="Times New Roman" w:hAnsiTheme="majorHAnsi" w:cstheme="majorHAnsi"/>
          <w:bCs/>
          <w:color w:val="0D0D0D" w:themeColor="text1" w:themeTint="F2"/>
          <w:sz w:val="24"/>
          <w:szCs w:val="24"/>
        </w:rPr>
        <w:t>,</w:t>
      </w:r>
      <w:r w:rsidR="00FD175D" w:rsidRPr="00F34E9D">
        <w:rPr>
          <w:rFonts w:asciiTheme="majorHAnsi" w:eastAsia="Times New Roman" w:hAnsiTheme="majorHAnsi" w:cstheme="majorHAnsi"/>
          <w:bCs/>
          <w:color w:val="0D0D0D" w:themeColor="text1" w:themeTint="F2"/>
          <w:sz w:val="24"/>
          <w:szCs w:val="24"/>
        </w:rPr>
        <w:t xml:space="preserve"> c</w:t>
      </w:r>
      <w:r w:rsidR="00D76248" w:rsidRPr="00F34E9D">
        <w:rPr>
          <w:rFonts w:asciiTheme="majorHAnsi" w:eastAsia="Times New Roman" w:hAnsiTheme="majorHAnsi" w:cstheme="majorHAnsi"/>
          <w:bCs/>
          <w:color w:val="0D0D0D" w:themeColor="text1" w:themeTint="F2"/>
          <w:sz w:val="24"/>
          <w:szCs w:val="24"/>
        </w:rPr>
        <w:t>â</w:t>
      </w:r>
      <w:r w:rsidR="00FD175D" w:rsidRPr="00F34E9D">
        <w:rPr>
          <w:rFonts w:asciiTheme="majorHAnsi" w:eastAsia="Times New Roman" w:hAnsiTheme="majorHAnsi" w:cstheme="majorHAnsi"/>
          <w:bCs/>
          <w:color w:val="0D0D0D" w:themeColor="text1" w:themeTint="F2"/>
          <w:sz w:val="24"/>
          <w:szCs w:val="24"/>
        </w:rPr>
        <w:t>t și la partea de pasiv.</w:t>
      </w:r>
    </w:p>
    <w:p w14:paraId="04D23164" w14:textId="1C51888D" w:rsidR="00C67356" w:rsidRPr="00F34E9D" w:rsidRDefault="00C67356" w:rsidP="005B1FEF">
      <w:pPr>
        <w:spacing w:after="120" w:line="276" w:lineRule="auto"/>
        <w:jc w:val="both"/>
        <w:rPr>
          <w:rFonts w:asciiTheme="majorHAnsi" w:eastAsia="Times New Roman" w:hAnsiTheme="majorHAnsi" w:cstheme="majorHAnsi"/>
          <w:color w:val="0D0D0D" w:themeColor="text1" w:themeTint="F2"/>
          <w:sz w:val="24"/>
          <w:szCs w:val="24"/>
        </w:rPr>
      </w:pPr>
      <w:r w:rsidRPr="00F34E9D">
        <w:rPr>
          <w:rFonts w:asciiTheme="majorHAnsi" w:eastAsia="Times New Roman" w:hAnsiTheme="majorHAnsi" w:cstheme="majorHAnsi"/>
          <w:color w:val="0D0D0D" w:themeColor="text1" w:themeTint="F2"/>
          <w:sz w:val="24"/>
          <w:szCs w:val="24"/>
        </w:rPr>
        <w:t>Am realizat misiunea de audit în conformitate cu Standardele Internaționale ale Instituțiilor Supreme de Audit aplicate de Curtea de Conturi</w:t>
      </w:r>
      <w:r w:rsidRPr="00F34E9D">
        <w:rPr>
          <w:rStyle w:val="a7"/>
          <w:rFonts w:asciiTheme="majorHAnsi" w:eastAsia="Times New Roman" w:hAnsiTheme="majorHAnsi" w:cstheme="majorHAnsi"/>
          <w:color w:val="0D0D0D" w:themeColor="text1" w:themeTint="F2"/>
          <w:sz w:val="24"/>
          <w:szCs w:val="24"/>
        </w:rPr>
        <w:footnoteReference w:id="16"/>
      </w:r>
      <w:r w:rsidRPr="00F34E9D">
        <w:rPr>
          <w:rFonts w:asciiTheme="majorHAnsi" w:eastAsia="Times New Roman" w:hAnsiTheme="majorHAnsi" w:cstheme="majorHAnsi"/>
          <w:color w:val="0D0D0D" w:themeColor="text1" w:themeTint="F2"/>
          <w:sz w:val="24"/>
          <w:szCs w:val="24"/>
        </w:rPr>
        <w:t xml:space="preserve">. Responsabilitățile noastre, potrivit standardelor respective, sunt expuse în secțiunea </w:t>
      </w:r>
      <w:r w:rsidRPr="00F34E9D">
        <w:rPr>
          <w:rFonts w:asciiTheme="majorHAnsi" w:eastAsia="Times New Roman" w:hAnsiTheme="majorHAnsi" w:cstheme="majorHAnsi"/>
          <w:i/>
          <w:color w:val="0D0D0D" w:themeColor="text1" w:themeTint="F2"/>
          <w:sz w:val="24"/>
          <w:szCs w:val="24"/>
        </w:rPr>
        <w:t>Responsabilitățile auditorului într-un audit al situațiilor financiare consolidate</w:t>
      </w:r>
      <w:r w:rsidRPr="00F34E9D">
        <w:rPr>
          <w:rFonts w:asciiTheme="majorHAnsi" w:eastAsia="Times New Roman" w:hAnsiTheme="majorHAnsi" w:cstheme="majorHAnsi"/>
          <w:color w:val="0D0D0D" w:themeColor="text1" w:themeTint="F2"/>
          <w:sz w:val="24"/>
          <w:szCs w:val="24"/>
        </w:rPr>
        <w:t xml:space="preserve"> din prezentul Raport. Suntem independenți față de instituția auditată și am îndeplinit responsabilitățile de etică conform cerințelor Codului etic al Curții de Conturi. Considerăm că probele de audit pe care le-am obținut sunt suficiente și adecvate pentru a furniza o bază pentru opinia noastră.</w:t>
      </w:r>
    </w:p>
    <w:p w14:paraId="0EBD8AD2" w14:textId="77777777" w:rsidR="00C15DC2" w:rsidRPr="00F34E9D" w:rsidRDefault="00F718EC" w:rsidP="005B1FEF">
      <w:pPr>
        <w:numPr>
          <w:ilvl w:val="0"/>
          <w:numId w:val="36"/>
        </w:numPr>
        <w:tabs>
          <w:tab w:val="left" w:pos="720"/>
        </w:tabs>
        <w:spacing w:after="120" w:line="276" w:lineRule="auto"/>
        <w:ind w:left="709"/>
        <w:jc w:val="both"/>
        <w:rPr>
          <w:rFonts w:asciiTheme="majorHAnsi" w:hAnsiTheme="majorHAnsi" w:cstheme="majorHAnsi"/>
          <w:color w:val="0D0D0D" w:themeColor="text1" w:themeTint="F2"/>
          <w:sz w:val="24"/>
          <w:szCs w:val="24"/>
        </w:rPr>
      </w:pPr>
      <w:r w:rsidRPr="00F34E9D">
        <w:rPr>
          <w:rFonts w:asciiTheme="majorHAnsi" w:hAnsiTheme="majorHAnsi" w:cstheme="majorHAnsi"/>
          <w:b/>
          <w:bCs/>
          <w:color w:val="0D0D0D" w:themeColor="text1" w:themeTint="F2"/>
          <w:sz w:val="24"/>
          <w:szCs w:val="24"/>
        </w:rPr>
        <w:t>PARAGRAF DE EVIDENȚIERE</w:t>
      </w:r>
      <w:r w:rsidR="00392EE0" w:rsidRPr="00F34E9D">
        <w:rPr>
          <w:rFonts w:asciiTheme="majorHAnsi" w:hAnsiTheme="majorHAnsi" w:cstheme="majorHAnsi"/>
          <w:b/>
          <w:bCs/>
          <w:color w:val="0D0D0D" w:themeColor="text1" w:themeTint="F2"/>
          <w:sz w:val="24"/>
          <w:szCs w:val="24"/>
        </w:rPr>
        <w:t xml:space="preserve"> </w:t>
      </w:r>
    </w:p>
    <w:p w14:paraId="2B8432FB" w14:textId="7EF04D7B" w:rsidR="006E68BE" w:rsidRPr="00F34E9D" w:rsidRDefault="006E68BE" w:rsidP="00F42E6E">
      <w:pPr>
        <w:spacing w:after="0" w:line="276" w:lineRule="auto"/>
        <w:jc w:val="both"/>
        <w:rPr>
          <w:rFonts w:asciiTheme="majorHAnsi" w:hAnsiTheme="majorHAnsi" w:cstheme="majorHAnsi"/>
          <w:color w:val="0D0D0D" w:themeColor="text1" w:themeTint="F2"/>
          <w:sz w:val="24"/>
          <w:szCs w:val="24"/>
        </w:rPr>
      </w:pPr>
      <w:r w:rsidRPr="00F34E9D">
        <w:rPr>
          <w:rFonts w:asciiTheme="majorHAnsi" w:hAnsiTheme="majorHAnsi" w:cstheme="majorHAnsi"/>
          <w:color w:val="0D0D0D" w:themeColor="text1" w:themeTint="F2"/>
          <w:sz w:val="24"/>
          <w:szCs w:val="24"/>
        </w:rPr>
        <w:t xml:space="preserve">Atragem atenția asupra faptului că Normele metodologice privind evidența contabilă și raportarea financiară în sistemul bugetar, aprobate </w:t>
      </w:r>
      <w:r w:rsidRPr="00F34E9D">
        <w:rPr>
          <w:rFonts w:asciiTheme="majorHAnsi" w:eastAsia="Times New Roman" w:hAnsiTheme="majorHAnsi" w:cstheme="majorHAnsi"/>
          <w:color w:val="0D0D0D" w:themeColor="text1" w:themeTint="F2"/>
          <w:sz w:val="24"/>
          <w:szCs w:val="24"/>
        </w:rPr>
        <w:t xml:space="preserve">prin Ordinul ministrului </w:t>
      </w:r>
      <w:r w:rsidR="00D02297" w:rsidRPr="00F34E9D">
        <w:rPr>
          <w:rFonts w:asciiTheme="majorHAnsi" w:eastAsia="Times New Roman" w:hAnsiTheme="majorHAnsi" w:cstheme="majorHAnsi"/>
          <w:color w:val="0D0D0D" w:themeColor="text1" w:themeTint="F2"/>
          <w:sz w:val="24"/>
          <w:szCs w:val="24"/>
        </w:rPr>
        <w:t>F</w:t>
      </w:r>
      <w:r w:rsidRPr="00F34E9D">
        <w:rPr>
          <w:rFonts w:asciiTheme="majorHAnsi" w:eastAsia="Times New Roman" w:hAnsiTheme="majorHAnsi" w:cstheme="majorHAnsi"/>
          <w:color w:val="0D0D0D" w:themeColor="text1" w:themeTint="F2"/>
          <w:sz w:val="24"/>
          <w:szCs w:val="24"/>
        </w:rPr>
        <w:t>inanțelor nr.216 din 28.12.2015,</w:t>
      </w:r>
      <w:r w:rsidRPr="00F34E9D">
        <w:rPr>
          <w:rFonts w:asciiTheme="majorHAnsi" w:hAnsiTheme="majorHAnsi" w:cstheme="majorHAnsi"/>
          <w:color w:val="0D0D0D" w:themeColor="text1" w:themeTint="F2"/>
          <w:sz w:val="24"/>
          <w:szCs w:val="24"/>
        </w:rPr>
        <w:t xml:space="preserve"> sunt contradictorii în ceea ce privește modul de ținere a evidenței bunurilor transmise în gestiune economică</w:t>
      </w:r>
      <w:r w:rsidRPr="00F34E9D">
        <w:rPr>
          <w:rStyle w:val="a7"/>
          <w:rFonts w:asciiTheme="majorHAnsi" w:hAnsiTheme="majorHAnsi" w:cstheme="majorHAnsi"/>
          <w:color w:val="0D0D0D" w:themeColor="text1" w:themeTint="F2"/>
          <w:sz w:val="24"/>
          <w:szCs w:val="24"/>
        </w:rPr>
        <w:footnoteReference w:id="17"/>
      </w:r>
      <w:r w:rsidRPr="00F34E9D">
        <w:rPr>
          <w:rFonts w:asciiTheme="majorHAnsi" w:hAnsiTheme="majorHAnsi" w:cstheme="majorHAnsi"/>
          <w:color w:val="0D0D0D" w:themeColor="text1" w:themeTint="F2"/>
          <w:sz w:val="24"/>
          <w:szCs w:val="24"/>
        </w:rPr>
        <w:t>.</w:t>
      </w:r>
      <w:r w:rsidR="00D90F71" w:rsidRPr="00F34E9D">
        <w:rPr>
          <w:rFonts w:asciiTheme="majorHAnsi" w:hAnsiTheme="majorHAnsi" w:cstheme="majorHAnsi"/>
          <w:color w:val="0D0D0D" w:themeColor="text1" w:themeTint="F2"/>
          <w:sz w:val="24"/>
          <w:szCs w:val="24"/>
        </w:rPr>
        <w:t xml:space="preserve"> De asemenea</w:t>
      </w:r>
      <w:r w:rsidR="00D02297" w:rsidRPr="00F34E9D">
        <w:rPr>
          <w:rFonts w:asciiTheme="majorHAnsi" w:hAnsiTheme="majorHAnsi" w:cstheme="majorHAnsi"/>
          <w:color w:val="0D0D0D" w:themeColor="text1" w:themeTint="F2"/>
          <w:sz w:val="24"/>
          <w:szCs w:val="24"/>
        </w:rPr>
        <w:t>,</w:t>
      </w:r>
      <w:r w:rsidR="00D90F71" w:rsidRPr="00F34E9D">
        <w:rPr>
          <w:rFonts w:asciiTheme="majorHAnsi" w:hAnsiTheme="majorHAnsi" w:cstheme="majorHAnsi"/>
          <w:color w:val="0D0D0D" w:themeColor="text1" w:themeTint="F2"/>
          <w:sz w:val="24"/>
          <w:szCs w:val="24"/>
        </w:rPr>
        <w:t xml:space="preserve"> acestea nu </w:t>
      </w:r>
      <w:r w:rsidRPr="00F34E9D">
        <w:rPr>
          <w:rFonts w:asciiTheme="majorHAnsi" w:hAnsiTheme="majorHAnsi" w:cstheme="majorHAnsi"/>
          <w:color w:val="0D0D0D" w:themeColor="text1" w:themeTint="F2"/>
          <w:sz w:val="24"/>
          <w:szCs w:val="24"/>
        </w:rPr>
        <w:t xml:space="preserve">fac distincție între bunurile </w:t>
      </w:r>
      <w:r w:rsidR="00D90F71" w:rsidRPr="00F34E9D">
        <w:rPr>
          <w:rFonts w:asciiTheme="majorHAnsi" w:hAnsiTheme="majorHAnsi" w:cstheme="majorHAnsi"/>
          <w:color w:val="0D0D0D" w:themeColor="text1" w:themeTint="F2"/>
          <w:sz w:val="24"/>
          <w:szCs w:val="24"/>
        </w:rPr>
        <w:t xml:space="preserve">proprietate publică din domeniul public și </w:t>
      </w:r>
      <w:r w:rsidR="00D02297" w:rsidRPr="00F34E9D">
        <w:rPr>
          <w:rFonts w:asciiTheme="majorHAnsi" w:hAnsiTheme="majorHAnsi" w:cstheme="majorHAnsi"/>
          <w:color w:val="0D0D0D" w:themeColor="text1" w:themeTint="F2"/>
          <w:sz w:val="24"/>
          <w:szCs w:val="24"/>
        </w:rPr>
        <w:t xml:space="preserve">bunurile </w:t>
      </w:r>
      <w:r w:rsidR="00D90F71" w:rsidRPr="00F34E9D">
        <w:rPr>
          <w:rFonts w:asciiTheme="majorHAnsi" w:hAnsiTheme="majorHAnsi" w:cstheme="majorHAnsi"/>
          <w:color w:val="0D0D0D" w:themeColor="text1" w:themeTint="F2"/>
          <w:sz w:val="24"/>
          <w:szCs w:val="24"/>
        </w:rPr>
        <w:t xml:space="preserve">din domeniul privat </w:t>
      </w:r>
      <w:r w:rsidRPr="00F34E9D">
        <w:rPr>
          <w:rFonts w:asciiTheme="majorHAnsi" w:hAnsiTheme="majorHAnsi" w:cstheme="majorHAnsi"/>
          <w:color w:val="0D0D0D" w:themeColor="text1" w:themeTint="F2"/>
          <w:sz w:val="24"/>
          <w:szCs w:val="24"/>
        </w:rPr>
        <w:t>care au fost transmise de către fondator unei entități cu titlu de proprietate</w:t>
      </w:r>
      <w:r w:rsidR="00E71BC1" w:rsidRPr="00F34E9D">
        <w:rPr>
          <w:rFonts w:asciiTheme="majorHAnsi" w:hAnsiTheme="majorHAnsi" w:cstheme="majorHAnsi"/>
          <w:color w:val="0D0D0D" w:themeColor="text1" w:themeTint="F2"/>
          <w:sz w:val="24"/>
          <w:szCs w:val="24"/>
        </w:rPr>
        <w:t>,</w:t>
      </w:r>
      <w:r w:rsidRPr="00F34E9D">
        <w:rPr>
          <w:rFonts w:asciiTheme="majorHAnsi" w:hAnsiTheme="majorHAnsi" w:cstheme="majorHAnsi"/>
          <w:color w:val="0D0D0D" w:themeColor="text1" w:themeTint="F2"/>
          <w:sz w:val="24"/>
          <w:szCs w:val="24"/>
        </w:rPr>
        <w:t xml:space="preserve"> în gestiune, folosință sau comodat, ai căror proprietari reali sunt fondatorul sau alte persoane terțe. Ca urmare, până în prezent nu există o reglementare privind executarea prevederilor art.11 alin.(2) din Legea nr.121-XVI din 04.05.2007</w:t>
      </w:r>
      <w:r w:rsidR="00EC44BB" w:rsidRPr="00F34E9D">
        <w:rPr>
          <w:rStyle w:val="a7"/>
          <w:rFonts w:asciiTheme="majorHAnsi" w:hAnsiTheme="majorHAnsi" w:cstheme="majorHAnsi"/>
          <w:color w:val="0D0D0D" w:themeColor="text1" w:themeTint="F2"/>
          <w:sz w:val="24"/>
          <w:szCs w:val="24"/>
        </w:rPr>
        <w:footnoteReference w:id="18"/>
      </w:r>
      <w:r w:rsidRPr="00F34E9D">
        <w:rPr>
          <w:rFonts w:asciiTheme="majorHAnsi" w:hAnsiTheme="majorHAnsi" w:cstheme="majorHAnsi"/>
          <w:color w:val="0D0D0D" w:themeColor="text1" w:themeTint="F2"/>
          <w:sz w:val="24"/>
          <w:szCs w:val="24"/>
        </w:rPr>
        <w:t xml:space="preserve">, prin care urmează a fi asigurată o evidență contabilă distinctă a bunurilor proprietate publică din domeniul public aflate în gestiunea entităților (instituțiilor publice și întreprinderilor) la autogestiune, precum și modul de înregistrare în evidența contabilă la fondator a tranzacțiilor respective.  </w:t>
      </w:r>
    </w:p>
    <w:p w14:paraId="2974A075" w14:textId="5F523DDF" w:rsidR="006E68BE" w:rsidRPr="00827278" w:rsidRDefault="00E71BC1" w:rsidP="00827278">
      <w:pPr>
        <w:pStyle w:val="a8"/>
        <w:spacing w:before="0" w:beforeAutospacing="0" w:after="160" w:afterAutospacing="0" w:line="276" w:lineRule="auto"/>
        <w:jc w:val="both"/>
        <w:rPr>
          <w:rFonts w:asciiTheme="majorHAnsi" w:hAnsiTheme="majorHAnsi" w:cstheme="majorHAnsi"/>
          <w:color w:val="0D0D0D" w:themeColor="text1" w:themeTint="F2"/>
        </w:rPr>
      </w:pPr>
      <w:r w:rsidRPr="00F34E9D">
        <w:rPr>
          <w:rFonts w:asciiTheme="majorHAnsi" w:hAnsiTheme="majorHAnsi" w:cstheme="majorHAnsi"/>
          <w:color w:val="0D0D0D" w:themeColor="text1" w:themeTint="F2"/>
          <w:lang w:val="ro-MD"/>
        </w:rPr>
        <w:t>De asemenea, MEC nu deține o informație exhaustivă și completă privind clădirile și terenurile proprietate publică de stat din domeniul public transmise în gestiune instituțiilor din subordine, care, potrivit art.5 alin.(2) lit. a) din Legea nr.29 din 05.04.2018</w:t>
      </w:r>
      <w:r w:rsidRPr="00F34E9D">
        <w:rPr>
          <w:rFonts w:asciiTheme="majorHAnsi" w:hAnsiTheme="majorHAnsi" w:cstheme="majorHAnsi"/>
          <w:color w:val="0D0D0D" w:themeColor="text1" w:themeTint="F2"/>
          <w:vertAlign w:val="superscript"/>
          <w:lang w:val="ro-MD"/>
        </w:rPr>
        <w:footnoteReference w:id="19"/>
      </w:r>
      <w:r w:rsidRPr="00F34E9D">
        <w:rPr>
          <w:rFonts w:asciiTheme="majorHAnsi" w:hAnsiTheme="majorHAnsi" w:cstheme="majorHAnsi"/>
          <w:color w:val="0D0D0D" w:themeColor="text1" w:themeTint="F2"/>
          <w:lang w:val="ro-MD"/>
        </w:rPr>
        <w:t>, urmau a fi reflectate în evidenț</w:t>
      </w:r>
      <w:r w:rsidR="00D02297" w:rsidRPr="00F34E9D">
        <w:rPr>
          <w:rFonts w:asciiTheme="majorHAnsi" w:hAnsiTheme="majorHAnsi" w:cstheme="majorHAnsi"/>
          <w:color w:val="0D0D0D" w:themeColor="text1" w:themeTint="F2"/>
          <w:lang w:val="ro-MD"/>
        </w:rPr>
        <w:t>ele</w:t>
      </w:r>
      <w:r w:rsidRPr="00F34E9D">
        <w:rPr>
          <w:rFonts w:asciiTheme="majorHAnsi" w:hAnsiTheme="majorHAnsi" w:cstheme="majorHAnsi"/>
          <w:color w:val="0D0D0D" w:themeColor="text1" w:themeTint="F2"/>
          <w:lang w:val="ro-MD"/>
        </w:rPr>
        <w:t xml:space="preserve"> contabil</w:t>
      </w:r>
      <w:r w:rsidR="00D02297" w:rsidRPr="00F34E9D">
        <w:rPr>
          <w:rFonts w:asciiTheme="majorHAnsi" w:hAnsiTheme="majorHAnsi" w:cstheme="majorHAnsi"/>
          <w:color w:val="0D0D0D" w:themeColor="text1" w:themeTint="F2"/>
          <w:lang w:val="ro-MD"/>
        </w:rPr>
        <w:t>e</w:t>
      </w:r>
      <w:r w:rsidRPr="00F34E9D">
        <w:rPr>
          <w:rFonts w:asciiTheme="majorHAnsi" w:hAnsiTheme="majorHAnsi" w:cstheme="majorHAnsi"/>
          <w:color w:val="0D0D0D" w:themeColor="text1" w:themeTint="F2"/>
          <w:lang w:val="ro-MD"/>
        </w:rPr>
        <w:t xml:space="preserve"> a</w:t>
      </w:r>
      <w:r w:rsidR="00D02297" w:rsidRPr="00F34E9D">
        <w:rPr>
          <w:rFonts w:asciiTheme="majorHAnsi" w:hAnsiTheme="majorHAnsi" w:cstheme="majorHAnsi"/>
          <w:color w:val="0D0D0D" w:themeColor="text1" w:themeTint="F2"/>
          <w:lang w:val="ro-MD"/>
        </w:rPr>
        <w:t>le</w:t>
      </w:r>
      <w:r w:rsidRPr="00F34E9D">
        <w:rPr>
          <w:rFonts w:asciiTheme="majorHAnsi" w:hAnsiTheme="majorHAnsi" w:cstheme="majorHAnsi"/>
          <w:color w:val="0D0D0D" w:themeColor="text1" w:themeTint="F2"/>
          <w:lang w:val="ro-MD"/>
        </w:rPr>
        <w:t xml:space="preserve"> MEC și</w:t>
      </w:r>
      <w:r w:rsidR="00D02297" w:rsidRPr="00F34E9D">
        <w:rPr>
          <w:rFonts w:asciiTheme="majorHAnsi" w:hAnsiTheme="majorHAnsi" w:cstheme="majorHAnsi"/>
          <w:color w:val="0D0D0D" w:themeColor="text1" w:themeTint="F2"/>
          <w:lang w:val="ro-MD"/>
        </w:rPr>
        <w:t>, respectiv</w:t>
      </w:r>
      <w:r w:rsidRPr="00F34E9D">
        <w:rPr>
          <w:rFonts w:asciiTheme="majorHAnsi" w:hAnsiTheme="majorHAnsi" w:cstheme="majorHAnsi"/>
          <w:color w:val="0D0D0D" w:themeColor="text1" w:themeTint="F2"/>
          <w:lang w:val="ro-MD"/>
        </w:rPr>
        <w:t xml:space="preserve"> MC. </w:t>
      </w:r>
      <w:r w:rsidR="006E68BE" w:rsidRPr="00F34E9D">
        <w:rPr>
          <w:rFonts w:asciiTheme="majorHAnsi" w:eastAsiaTheme="minorEastAsia" w:hAnsiTheme="majorHAnsi" w:cstheme="majorHAnsi"/>
          <w:color w:val="0D0D0D" w:themeColor="text1" w:themeTint="F2"/>
          <w:lang w:val="ro-RO"/>
        </w:rPr>
        <w:t>În cadrul auditului s-a constat</w:t>
      </w:r>
      <w:r w:rsidR="00EC44BB" w:rsidRPr="00F34E9D">
        <w:rPr>
          <w:rFonts w:asciiTheme="majorHAnsi" w:eastAsiaTheme="minorEastAsia" w:hAnsiTheme="majorHAnsi" w:cstheme="majorHAnsi"/>
          <w:color w:val="0D0D0D" w:themeColor="text1" w:themeTint="F2"/>
          <w:lang w:val="ro-RO"/>
        </w:rPr>
        <w:t>at</w:t>
      </w:r>
      <w:r w:rsidR="006E68BE" w:rsidRPr="00F34E9D">
        <w:rPr>
          <w:rFonts w:asciiTheme="majorHAnsi" w:eastAsiaTheme="minorEastAsia" w:hAnsiTheme="majorHAnsi" w:cstheme="majorHAnsi"/>
          <w:color w:val="0D0D0D" w:themeColor="text1" w:themeTint="F2"/>
          <w:lang w:val="ro-RO"/>
        </w:rPr>
        <w:t xml:space="preserve"> că MEC nu are o evidență analitică a bunurilor transmise în gestiune economică la nivel de entitate.</w:t>
      </w:r>
      <w:r w:rsidRPr="00F34E9D">
        <w:rPr>
          <w:rFonts w:asciiTheme="majorHAnsi" w:eastAsiaTheme="minorEastAsia" w:hAnsiTheme="majorHAnsi" w:cstheme="majorHAnsi"/>
          <w:color w:val="0D0D0D" w:themeColor="text1" w:themeTint="F2"/>
          <w:lang w:val="ro-RO"/>
        </w:rPr>
        <w:t xml:space="preserve"> </w:t>
      </w:r>
      <w:r w:rsidR="006E68BE" w:rsidRPr="00F34E9D">
        <w:rPr>
          <w:rFonts w:asciiTheme="majorHAnsi" w:hAnsiTheme="majorHAnsi" w:cstheme="majorHAnsi"/>
          <w:color w:val="0D0D0D" w:themeColor="text1" w:themeTint="F2"/>
          <w:lang w:val="ro-MD"/>
        </w:rPr>
        <w:t xml:space="preserve">Astfel, auditul </w:t>
      </w:r>
      <w:r w:rsidR="00D02297" w:rsidRPr="00F34E9D">
        <w:rPr>
          <w:rFonts w:asciiTheme="majorHAnsi" w:hAnsiTheme="majorHAnsi" w:cstheme="majorHAnsi"/>
          <w:color w:val="0D0D0D" w:themeColor="text1" w:themeTint="F2"/>
          <w:lang w:val="ro-MD"/>
        </w:rPr>
        <w:t>relevă</w:t>
      </w:r>
      <w:r w:rsidR="006E68BE" w:rsidRPr="00F34E9D">
        <w:rPr>
          <w:rFonts w:asciiTheme="majorHAnsi" w:hAnsiTheme="majorHAnsi" w:cstheme="majorHAnsi"/>
          <w:color w:val="0D0D0D" w:themeColor="text1" w:themeTint="F2"/>
          <w:lang w:val="ro-MD"/>
        </w:rPr>
        <w:t xml:space="preserve"> că entitățile la autogestiune din subordinea MEC </w:t>
      </w:r>
      <w:r w:rsidRPr="00F34E9D">
        <w:rPr>
          <w:rFonts w:asciiTheme="majorHAnsi" w:hAnsiTheme="majorHAnsi" w:cstheme="majorHAnsi"/>
          <w:color w:val="0D0D0D" w:themeColor="text1" w:themeTint="F2"/>
        </w:rPr>
        <w:t xml:space="preserve">și MC </w:t>
      </w:r>
      <w:r w:rsidR="006E68BE" w:rsidRPr="00F34E9D">
        <w:rPr>
          <w:rFonts w:asciiTheme="majorHAnsi" w:hAnsiTheme="majorHAnsi" w:cstheme="majorHAnsi"/>
          <w:color w:val="0D0D0D" w:themeColor="text1" w:themeTint="F2"/>
          <w:lang w:val="ro-MD"/>
        </w:rPr>
        <w:t>au în folosință 1</w:t>
      </w:r>
      <w:r w:rsidR="00D02297" w:rsidRPr="00F34E9D">
        <w:rPr>
          <w:rFonts w:asciiTheme="majorHAnsi" w:hAnsiTheme="majorHAnsi" w:cstheme="majorHAnsi"/>
          <w:color w:val="0D0D0D" w:themeColor="text1" w:themeTint="F2"/>
          <w:lang w:val="ro-MD"/>
        </w:rPr>
        <w:t>.</w:t>
      </w:r>
      <w:r w:rsidR="006E68BE" w:rsidRPr="00F34E9D">
        <w:rPr>
          <w:rFonts w:asciiTheme="majorHAnsi" w:hAnsiTheme="majorHAnsi" w:cstheme="majorHAnsi"/>
          <w:color w:val="0D0D0D" w:themeColor="text1" w:themeTint="F2"/>
          <w:lang w:val="ro-MD"/>
        </w:rPr>
        <w:t>109 clădiri cu valoarea inițială de 5</w:t>
      </w:r>
      <w:r w:rsidR="00EC0425" w:rsidRPr="00F34E9D">
        <w:rPr>
          <w:rFonts w:asciiTheme="majorHAnsi" w:hAnsiTheme="majorHAnsi" w:cstheme="majorHAnsi"/>
          <w:color w:val="0D0D0D" w:themeColor="text1" w:themeTint="F2"/>
          <w:lang w:val="ro-MD"/>
        </w:rPr>
        <w:t>.</w:t>
      </w:r>
      <w:r w:rsidR="006E68BE" w:rsidRPr="00F34E9D">
        <w:rPr>
          <w:rFonts w:asciiTheme="majorHAnsi" w:hAnsiTheme="majorHAnsi" w:cstheme="majorHAnsi"/>
          <w:color w:val="0D0D0D" w:themeColor="text1" w:themeTint="F2"/>
          <w:lang w:val="ro-MD"/>
        </w:rPr>
        <w:t>281,36</w:t>
      </w:r>
      <w:r w:rsidR="00EC44BB" w:rsidRPr="00F34E9D">
        <w:rPr>
          <w:rFonts w:asciiTheme="majorHAnsi" w:hAnsiTheme="majorHAnsi" w:cstheme="majorHAnsi"/>
          <w:color w:val="0D0D0D" w:themeColor="text1" w:themeTint="F2"/>
          <w:lang w:val="ro-MD"/>
        </w:rPr>
        <w:t xml:space="preserve"> mil.lei</w:t>
      </w:r>
      <w:r w:rsidR="006E68BE" w:rsidRPr="00F34E9D">
        <w:rPr>
          <w:rFonts w:asciiTheme="majorHAnsi" w:hAnsiTheme="majorHAnsi" w:cstheme="majorHAnsi"/>
          <w:color w:val="0D0D0D" w:themeColor="text1" w:themeTint="F2"/>
          <w:lang w:val="ro-MD"/>
        </w:rPr>
        <w:t>, precum și 310 terenuri cu suprafața de 2</w:t>
      </w:r>
      <w:r w:rsidR="00D02297" w:rsidRPr="00F34E9D">
        <w:rPr>
          <w:rFonts w:asciiTheme="majorHAnsi" w:hAnsiTheme="majorHAnsi" w:cstheme="majorHAnsi"/>
          <w:color w:val="0D0D0D" w:themeColor="text1" w:themeTint="F2"/>
          <w:lang w:val="ro-MD"/>
        </w:rPr>
        <w:t>.</w:t>
      </w:r>
      <w:r w:rsidR="006E68BE" w:rsidRPr="00F34E9D">
        <w:rPr>
          <w:rFonts w:asciiTheme="majorHAnsi" w:hAnsiTheme="majorHAnsi" w:cstheme="majorHAnsi"/>
          <w:color w:val="0D0D0D" w:themeColor="text1" w:themeTint="F2"/>
          <w:lang w:val="ro-MD"/>
        </w:rPr>
        <w:t>260,62 ha, în valoare de cel puțin 1</w:t>
      </w:r>
      <w:r w:rsidR="00EC0425" w:rsidRPr="00F34E9D">
        <w:rPr>
          <w:rFonts w:asciiTheme="majorHAnsi" w:hAnsiTheme="majorHAnsi" w:cstheme="majorHAnsi"/>
          <w:color w:val="0D0D0D" w:themeColor="text1" w:themeTint="F2"/>
          <w:lang w:val="ro-MD"/>
        </w:rPr>
        <w:t>.</w:t>
      </w:r>
      <w:r w:rsidR="006E68BE" w:rsidRPr="00F34E9D">
        <w:rPr>
          <w:rFonts w:asciiTheme="majorHAnsi" w:hAnsiTheme="majorHAnsi" w:cstheme="majorHAnsi"/>
          <w:color w:val="0D0D0D" w:themeColor="text1" w:themeTint="F2"/>
          <w:lang w:val="ro-MD"/>
        </w:rPr>
        <w:t>811,22 mil.lei, din care la contul 415300 sunt reflectate clădiri și terenuri în valoare de circa 1</w:t>
      </w:r>
      <w:r w:rsidR="00EC0425" w:rsidRPr="00F34E9D">
        <w:rPr>
          <w:rFonts w:asciiTheme="majorHAnsi" w:hAnsiTheme="majorHAnsi" w:cstheme="majorHAnsi"/>
          <w:color w:val="0D0D0D" w:themeColor="text1" w:themeTint="F2"/>
          <w:lang w:val="ro-MD"/>
        </w:rPr>
        <w:t>.</w:t>
      </w:r>
      <w:r w:rsidR="006E68BE" w:rsidRPr="00F34E9D">
        <w:rPr>
          <w:rFonts w:asciiTheme="majorHAnsi" w:hAnsiTheme="majorHAnsi" w:cstheme="majorHAnsi"/>
          <w:color w:val="0D0D0D" w:themeColor="text1" w:themeTint="F2"/>
          <w:lang w:val="ro-MD"/>
        </w:rPr>
        <w:t>778,42 mil.lei, care nu pot fi identificate și, respectiv, inventariate.  </w:t>
      </w:r>
    </w:p>
    <w:p w14:paraId="0E7B66F5" w14:textId="77777777" w:rsidR="00F718EC" w:rsidRPr="00F34E9D" w:rsidRDefault="00F718EC" w:rsidP="00827278">
      <w:pPr>
        <w:numPr>
          <w:ilvl w:val="0"/>
          <w:numId w:val="36"/>
        </w:numPr>
        <w:tabs>
          <w:tab w:val="left" w:pos="720"/>
        </w:tabs>
        <w:spacing w:after="120" w:line="276" w:lineRule="auto"/>
        <w:ind w:left="709"/>
        <w:jc w:val="both"/>
        <w:rPr>
          <w:rFonts w:asciiTheme="majorHAnsi" w:hAnsiTheme="majorHAnsi" w:cstheme="majorHAnsi"/>
          <w:b/>
          <w:bCs/>
          <w:color w:val="0D0D0D" w:themeColor="text1" w:themeTint="F2"/>
          <w:sz w:val="24"/>
          <w:szCs w:val="24"/>
        </w:rPr>
      </w:pPr>
      <w:r w:rsidRPr="00F34E9D">
        <w:rPr>
          <w:rFonts w:asciiTheme="majorHAnsi" w:hAnsiTheme="majorHAnsi" w:cstheme="majorHAnsi"/>
          <w:b/>
          <w:bCs/>
          <w:color w:val="0D0D0D" w:themeColor="text1" w:themeTint="F2"/>
          <w:sz w:val="24"/>
          <w:szCs w:val="24"/>
        </w:rPr>
        <w:t>ASPECTE-CHEIE DE AUDIT</w:t>
      </w:r>
    </w:p>
    <w:p w14:paraId="2F298718" w14:textId="57CB6515" w:rsidR="00F7528F" w:rsidRPr="00F34E9D" w:rsidRDefault="00F7528F" w:rsidP="00A8666C">
      <w:pPr>
        <w:spacing w:line="276" w:lineRule="auto"/>
        <w:jc w:val="both"/>
        <w:rPr>
          <w:rFonts w:asciiTheme="majorHAnsi" w:hAnsiTheme="majorHAnsi" w:cstheme="majorHAnsi"/>
          <w:color w:val="0D0D0D" w:themeColor="text1" w:themeTint="F2"/>
          <w:sz w:val="24"/>
          <w:szCs w:val="24"/>
        </w:rPr>
      </w:pPr>
      <w:r w:rsidRPr="00F34E9D">
        <w:rPr>
          <w:rFonts w:asciiTheme="majorHAnsi" w:hAnsiTheme="majorHAnsi" w:cstheme="majorHAnsi"/>
          <w:color w:val="0D0D0D" w:themeColor="text1" w:themeTint="F2"/>
          <w:sz w:val="24"/>
          <w:szCs w:val="24"/>
        </w:rPr>
        <w:t xml:space="preserve">Aspectele-cheie de audit sunt acele aspecte care, în baza raționamentului nostru profesional, au avut cea mai mare importanță pentru auditul rapoartelor financiare ale Ministerului Educației și Cercetării încheiate la 31 decembrie 2021. Aceste aspecte au fost abordate în contextul auditului rapoartelor financiare în ansamblu și nu oferim o opinie separată cu privire la acestea. Cu excepția aspectului descris în secțiunea Baza pentru opinia </w:t>
      </w:r>
      <w:r w:rsidR="0041177B" w:rsidRPr="00F34E9D">
        <w:rPr>
          <w:rFonts w:asciiTheme="majorHAnsi" w:hAnsiTheme="majorHAnsi" w:cstheme="majorHAnsi"/>
          <w:color w:val="0D0D0D" w:themeColor="text1" w:themeTint="F2"/>
          <w:sz w:val="24"/>
          <w:szCs w:val="24"/>
        </w:rPr>
        <w:t>contrară</w:t>
      </w:r>
      <w:r w:rsidRPr="00F34E9D">
        <w:rPr>
          <w:rFonts w:asciiTheme="majorHAnsi" w:hAnsiTheme="majorHAnsi" w:cstheme="majorHAnsi"/>
          <w:color w:val="0D0D0D" w:themeColor="text1" w:themeTint="F2"/>
          <w:sz w:val="24"/>
          <w:szCs w:val="24"/>
        </w:rPr>
        <w:t>, am determinat că nu mai există alte aspecte-cheie de audit ce trebuie comunicate în Raportul de audit.</w:t>
      </w:r>
    </w:p>
    <w:p w14:paraId="67305F23" w14:textId="77777777" w:rsidR="006E5CDC" w:rsidRPr="00F34E9D" w:rsidRDefault="00F718EC" w:rsidP="00827278">
      <w:pPr>
        <w:numPr>
          <w:ilvl w:val="0"/>
          <w:numId w:val="36"/>
        </w:numPr>
        <w:tabs>
          <w:tab w:val="left" w:pos="720"/>
        </w:tabs>
        <w:spacing w:after="120" w:line="276" w:lineRule="auto"/>
        <w:ind w:left="709"/>
        <w:jc w:val="both"/>
        <w:rPr>
          <w:rFonts w:asciiTheme="majorHAnsi" w:hAnsiTheme="majorHAnsi" w:cstheme="majorHAnsi"/>
          <w:b/>
          <w:bCs/>
          <w:color w:val="0D0D0D" w:themeColor="text1" w:themeTint="F2"/>
          <w:sz w:val="24"/>
          <w:szCs w:val="24"/>
        </w:rPr>
      </w:pPr>
      <w:r w:rsidRPr="00F34E9D">
        <w:rPr>
          <w:rFonts w:asciiTheme="majorHAnsi" w:hAnsiTheme="majorHAnsi" w:cstheme="majorHAnsi"/>
          <w:b/>
          <w:bCs/>
          <w:color w:val="0D0D0D" w:themeColor="text1" w:themeTint="F2"/>
          <w:sz w:val="24"/>
          <w:szCs w:val="24"/>
        </w:rPr>
        <w:t xml:space="preserve">ALTE INFORMAȚII </w:t>
      </w:r>
    </w:p>
    <w:p w14:paraId="45BE9D21" w14:textId="6E80848F" w:rsidR="00207B46" w:rsidRPr="00F34E9D" w:rsidRDefault="00291A5B" w:rsidP="0007105E">
      <w:pPr>
        <w:spacing w:after="0" w:line="276" w:lineRule="auto"/>
        <w:jc w:val="both"/>
        <w:rPr>
          <w:rFonts w:asciiTheme="majorHAnsi" w:eastAsia="Times New Roman" w:hAnsiTheme="majorHAnsi" w:cstheme="majorHAnsi"/>
          <w:color w:val="0D0D0D" w:themeColor="text1" w:themeTint="F2"/>
          <w:sz w:val="24"/>
          <w:szCs w:val="24"/>
        </w:rPr>
      </w:pPr>
      <w:r w:rsidRPr="00F34E9D">
        <w:rPr>
          <w:rFonts w:asciiTheme="majorHAnsi" w:hAnsiTheme="majorHAnsi" w:cstheme="majorHAnsi"/>
          <w:b/>
          <w:color w:val="0D0D0D" w:themeColor="text1" w:themeTint="F2"/>
          <w:sz w:val="24"/>
          <w:szCs w:val="24"/>
        </w:rPr>
        <w:t>5</w:t>
      </w:r>
      <w:r w:rsidR="000238E3" w:rsidRPr="00F34E9D">
        <w:rPr>
          <w:rFonts w:asciiTheme="majorHAnsi" w:hAnsiTheme="majorHAnsi" w:cstheme="majorHAnsi"/>
          <w:b/>
          <w:color w:val="0D0D0D" w:themeColor="text1" w:themeTint="F2"/>
          <w:sz w:val="24"/>
          <w:szCs w:val="24"/>
        </w:rPr>
        <w:t>.1</w:t>
      </w:r>
      <w:r w:rsidR="0006531F" w:rsidRPr="00F34E9D">
        <w:rPr>
          <w:rFonts w:asciiTheme="majorHAnsi" w:hAnsiTheme="majorHAnsi" w:cstheme="majorHAnsi"/>
          <w:color w:val="0D0D0D" w:themeColor="text1" w:themeTint="F2"/>
          <w:sz w:val="24"/>
          <w:szCs w:val="24"/>
        </w:rPr>
        <w:t>.</w:t>
      </w:r>
      <w:r w:rsidR="00D91283" w:rsidRPr="00F34E9D">
        <w:rPr>
          <w:rFonts w:asciiTheme="majorHAnsi" w:hAnsiTheme="majorHAnsi" w:cstheme="majorHAnsi"/>
          <w:color w:val="0D0D0D" w:themeColor="text1" w:themeTint="F2"/>
          <w:sz w:val="24"/>
          <w:szCs w:val="24"/>
        </w:rPr>
        <w:t xml:space="preserve"> </w:t>
      </w:r>
      <w:r w:rsidR="00207B46" w:rsidRPr="00F34E9D">
        <w:rPr>
          <w:rFonts w:asciiTheme="majorHAnsi" w:hAnsiTheme="majorHAnsi" w:cstheme="majorHAnsi"/>
          <w:color w:val="0D0D0D" w:themeColor="text1" w:themeTint="F2"/>
          <w:sz w:val="24"/>
          <w:szCs w:val="24"/>
          <w:lang w:val="ro-RO"/>
        </w:rPr>
        <w:t>ȘRSHPM</w:t>
      </w:r>
      <w:r w:rsidR="00207B46" w:rsidRPr="00F34E9D">
        <w:rPr>
          <w:rStyle w:val="a7"/>
          <w:rFonts w:asciiTheme="majorHAnsi" w:hAnsiTheme="majorHAnsi" w:cstheme="majorHAnsi"/>
          <w:color w:val="0D0D0D" w:themeColor="text1" w:themeTint="F2"/>
          <w:sz w:val="24"/>
          <w:szCs w:val="24"/>
          <w:lang w:val="ro-RO"/>
        </w:rPr>
        <w:footnoteReference w:id="20"/>
      </w:r>
      <w:r w:rsidR="00207B46" w:rsidRPr="00F34E9D">
        <w:rPr>
          <w:rFonts w:asciiTheme="majorHAnsi" w:hAnsiTheme="majorHAnsi" w:cstheme="majorHAnsi"/>
          <w:color w:val="0D0D0D" w:themeColor="text1" w:themeTint="F2"/>
          <w:sz w:val="24"/>
          <w:szCs w:val="24"/>
          <w:lang w:val="ro-RO"/>
        </w:rPr>
        <w:t xml:space="preserve"> nu a generalizat </w:t>
      </w:r>
      <w:r w:rsidR="0069374B" w:rsidRPr="00F34E9D">
        <w:rPr>
          <w:rFonts w:asciiTheme="majorHAnsi" w:hAnsiTheme="majorHAnsi" w:cstheme="majorHAnsi"/>
          <w:color w:val="0D0D0D" w:themeColor="text1" w:themeTint="F2"/>
          <w:sz w:val="24"/>
          <w:szCs w:val="24"/>
          <w:lang w:val="ro-RO"/>
        </w:rPr>
        <w:t>regulamentar</w:t>
      </w:r>
      <w:r w:rsidR="0069374B" w:rsidRPr="00F34E9D">
        <w:rPr>
          <w:rStyle w:val="a7"/>
          <w:rFonts w:asciiTheme="majorHAnsi" w:hAnsiTheme="majorHAnsi" w:cstheme="majorHAnsi"/>
          <w:color w:val="0D0D0D" w:themeColor="text1" w:themeTint="F2"/>
          <w:sz w:val="24"/>
          <w:szCs w:val="24"/>
          <w:lang w:val="ro-RO"/>
        </w:rPr>
        <w:footnoteReference w:id="21"/>
      </w:r>
      <w:r w:rsidR="0069374B" w:rsidRPr="00F34E9D">
        <w:rPr>
          <w:rFonts w:asciiTheme="majorHAnsi" w:hAnsiTheme="majorHAnsi" w:cstheme="majorHAnsi"/>
          <w:color w:val="0D0D0D" w:themeColor="text1" w:themeTint="F2"/>
          <w:sz w:val="24"/>
          <w:szCs w:val="24"/>
          <w:lang w:val="ro-RO"/>
        </w:rPr>
        <w:t xml:space="preserve"> </w:t>
      </w:r>
      <w:r w:rsidR="00207B46" w:rsidRPr="00F34E9D">
        <w:rPr>
          <w:rFonts w:asciiTheme="majorHAnsi" w:hAnsiTheme="majorHAnsi" w:cstheme="majorHAnsi"/>
          <w:color w:val="0D0D0D" w:themeColor="text1" w:themeTint="F2"/>
          <w:sz w:val="24"/>
          <w:szCs w:val="24"/>
          <w:lang w:val="ro-RO"/>
        </w:rPr>
        <w:t xml:space="preserve">informația privind cheltuielile </w:t>
      </w:r>
      <w:r w:rsidR="0091544B" w:rsidRPr="00F34E9D">
        <w:rPr>
          <w:rFonts w:asciiTheme="majorHAnsi" w:hAnsiTheme="majorHAnsi" w:cstheme="majorHAnsi"/>
          <w:color w:val="0D0D0D" w:themeColor="text1" w:themeTint="F2"/>
          <w:sz w:val="24"/>
          <w:szCs w:val="24"/>
          <w:lang w:val="ro-RO"/>
        </w:rPr>
        <w:t>gospodăriei agricole auxiliare</w:t>
      </w:r>
      <w:r w:rsidR="0091544B" w:rsidRPr="00F34E9D">
        <w:rPr>
          <w:rFonts w:asciiTheme="majorHAnsi" w:hAnsiTheme="majorHAnsi" w:cstheme="majorHAnsi"/>
          <w:color w:val="0D0D0D" w:themeColor="text1" w:themeTint="F2"/>
          <w:sz w:val="24"/>
          <w:szCs w:val="24"/>
        </w:rPr>
        <w:t xml:space="preserve"> </w:t>
      </w:r>
      <w:r w:rsidR="00207B46" w:rsidRPr="00F34E9D">
        <w:rPr>
          <w:rFonts w:asciiTheme="majorHAnsi" w:hAnsiTheme="majorHAnsi" w:cstheme="majorHAnsi"/>
          <w:color w:val="0D0D0D" w:themeColor="text1" w:themeTint="F2"/>
          <w:sz w:val="24"/>
          <w:szCs w:val="24"/>
          <w:lang w:val="ro-RO"/>
        </w:rPr>
        <w:t xml:space="preserve">legate </w:t>
      </w:r>
      <w:r w:rsidR="00700286" w:rsidRPr="00F34E9D">
        <w:rPr>
          <w:rFonts w:asciiTheme="majorHAnsi" w:hAnsiTheme="majorHAnsi" w:cstheme="majorHAnsi"/>
          <w:color w:val="0D0D0D" w:themeColor="text1" w:themeTint="F2"/>
          <w:sz w:val="24"/>
          <w:szCs w:val="24"/>
          <w:lang w:val="ro-RO"/>
        </w:rPr>
        <w:t xml:space="preserve">de creșterea </w:t>
      </w:r>
      <w:r w:rsidR="00165FB0" w:rsidRPr="00F34E9D">
        <w:rPr>
          <w:rFonts w:asciiTheme="majorHAnsi" w:hAnsiTheme="majorHAnsi" w:cstheme="majorHAnsi"/>
          <w:color w:val="0D0D0D" w:themeColor="text1" w:themeTint="F2"/>
          <w:sz w:val="24"/>
          <w:szCs w:val="24"/>
          <w:lang w:val="ro-RO"/>
        </w:rPr>
        <w:t>culturilor</w:t>
      </w:r>
      <w:r w:rsidR="00700286" w:rsidRPr="00F34E9D">
        <w:rPr>
          <w:rStyle w:val="a7"/>
          <w:rFonts w:asciiTheme="majorHAnsi" w:eastAsia="Times New Roman" w:hAnsiTheme="majorHAnsi" w:cstheme="majorHAnsi"/>
          <w:color w:val="0D0D0D" w:themeColor="text1" w:themeTint="F2"/>
          <w:sz w:val="24"/>
          <w:szCs w:val="24"/>
        </w:rPr>
        <w:footnoteReference w:id="22"/>
      </w:r>
      <w:r w:rsidR="00165FB0" w:rsidRPr="00F34E9D">
        <w:rPr>
          <w:rFonts w:asciiTheme="majorHAnsi" w:eastAsia="Times New Roman" w:hAnsiTheme="majorHAnsi" w:cstheme="majorHAnsi"/>
          <w:color w:val="0D0D0D" w:themeColor="text1" w:themeTint="F2"/>
          <w:sz w:val="24"/>
          <w:szCs w:val="24"/>
        </w:rPr>
        <w:t xml:space="preserve"> </w:t>
      </w:r>
      <w:r w:rsidR="00207B46" w:rsidRPr="00F34E9D">
        <w:rPr>
          <w:rFonts w:asciiTheme="majorHAnsi" w:eastAsia="Times New Roman" w:hAnsiTheme="majorHAnsi" w:cstheme="majorHAnsi"/>
          <w:color w:val="0D0D0D" w:themeColor="text1" w:themeTint="F2"/>
          <w:sz w:val="24"/>
          <w:szCs w:val="24"/>
        </w:rPr>
        <w:t xml:space="preserve">de </w:t>
      </w:r>
      <w:r w:rsidR="009D360A" w:rsidRPr="00F34E9D">
        <w:rPr>
          <w:rFonts w:asciiTheme="majorHAnsi" w:eastAsia="Times New Roman" w:hAnsiTheme="majorHAnsi" w:cstheme="majorHAnsi"/>
          <w:color w:val="0D0D0D" w:themeColor="text1" w:themeTint="F2"/>
          <w:sz w:val="24"/>
          <w:szCs w:val="24"/>
        </w:rPr>
        <w:t xml:space="preserve">pe 117 ha </w:t>
      </w:r>
      <w:r w:rsidR="00D02297" w:rsidRPr="00F34E9D">
        <w:rPr>
          <w:rFonts w:asciiTheme="majorHAnsi" w:eastAsia="Times New Roman" w:hAnsiTheme="majorHAnsi" w:cstheme="majorHAnsi"/>
          <w:color w:val="0D0D0D" w:themeColor="text1" w:themeTint="F2"/>
          <w:sz w:val="24"/>
          <w:szCs w:val="24"/>
        </w:rPr>
        <w:t xml:space="preserve">de </w:t>
      </w:r>
      <w:r w:rsidR="00207B46" w:rsidRPr="00F34E9D">
        <w:rPr>
          <w:rFonts w:asciiTheme="majorHAnsi" w:eastAsia="Times New Roman" w:hAnsiTheme="majorHAnsi" w:cstheme="majorHAnsi"/>
          <w:color w:val="0D0D0D" w:themeColor="text1" w:themeTint="F2"/>
          <w:sz w:val="24"/>
          <w:szCs w:val="24"/>
        </w:rPr>
        <w:t xml:space="preserve">teren agricol, fapt ce a condiționat neraportarea </w:t>
      </w:r>
      <w:r w:rsidR="00165FB0" w:rsidRPr="00F34E9D">
        <w:rPr>
          <w:rFonts w:asciiTheme="majorHAnsi" w:eastAsia="Times New Roman" w:hAnsiTheme="majorHAnsi" w:cstheme="majorHAnsi"/>
          <w:color w:val="0D0D0D" w:themeColor="text1" w:themeTint="F2"/>
          <w:sz w:val="24"/>
          <w:szCs w:val="24"/>
        </w:rPr>
        <w:t xml:space="preserve">la 31.12.2021 la valoarea </w:t>
      </w:r>
      <w:r w:rsidR="00207B46" w:rsidRPr="00F34E9D">
        <w:rPr>
          <w:rFonts w:asciiTheme="majorHAnsi" w:eastAsia="Times New Roman" w:hAnsiTheme="majorHAnsi" w:cstheme="majorHAnsi"/>
          <w:color w:val="0D0D0D" w:themeColor="text1" w:themeTint="F2"/>
          <w:sz w:val="24"/>
          <w:szCs w:val="24"/>
        </w:rPr>
        <w:t xml:space="preserve">producției în curs de execuție </w:t>
      </w:r>
      <w:r w:rsidR="00165FB0" w:rsidRPr="00F34E9D">
        <w:rPr>
          <w:rFonts w:asciiTheme="majorHAnsi" w:eastAsia="Times New Roman" w:hAnsiTheme="majorHAnsi" w:cstheme="majorHAnsi"/>
          <w:color w:val="0D0D0D" w:themeColor="text1" w:themeTint="F2"/>
          <w:sz w:val="24"/>
          <w:szCs w:val="24"/>
        </w:rPr>
        <w:t xml:space="preserve">a cheltuielilor suportate </w:t>
      </w:r>
      <w:r w:rsidR="00207B46" w:rsidRPr="00F34E9D">
        <w:rPr>
          <w:rFonts w:asciiTheme="majorHAnsi" w:eastAsia="Times New Roman" w:hAnsiTheme="majorHAnsi" w:cstheme="majorHAnsi"/>
          <w:color w:val="0D0D0D" w:themeColor="text1" w:themeTint="F2"/>
          <w:sz w:val="24"/>
          <w:szCs w:val="24"/>
        </w:rPr>
        <w:t xml:space="preserve">în sumă </w:t>
      </w:r>
      <w:r w:rsidR="0091544B" w:rsidRPr="00F34E9D">
        <w:rPr>
          <w:rFonts w:asciiTheme="majorHAnsi" w:eastAsia="Times New Roman" w:hAnsiTheme="majorHAnsi" w:cstheme="majorHAnsi"/>
          <w:color w:val="0D0D0D" w:themeColor="text1" w:themeTint="F2"/>
          <w:sz w:val="24"/>
          <w:szCs w:val="24"/>
        </w:rPr>
        <w:t xml:space="preserve">totală de </w:t>
      </w:r>
      <w:r w:rsidR="00194ADA" w:rsidRPr="00F34E9D">
        <w:rPr>
          <w:rFonts w:asciiTheme="majorHAnsi" w:eastAsia="Times New Roman" w:hAnsiTheme="majorHAnsi" w:cstheme="majorHAnsi"/>
          <w:color w:val="0D0D0D" w:themeColor="text1" w:themeTint="F2"/>
          <w:sz w:val="24"/>
          <w:szCs w:val="24"/>
        </w:rPr>
        <w:t>653,0</w:t>
      </w:r>
      <w:r w:rsidR="00944E0B" w:rsidRPr="00F34E9D">
        <w:rPr>
          <w:rFonts w:asciiTheme="majorHAnsi" w:eastAsia="Times New Roman" w:hAnsiTheme="majorHAnsi" w:cstheme="majorHAnsi"/>
          <w:color w:val="0D0D0D" w:themeColor="text1" w:themeTint="F2"/>
          <w:sz w:val="24"/>
          <w:szCs w:val="24"/>
        </w:rPr>
        <w:t xml:space="preserve"> mii </w:t>
      </w:r>
      <w:r w:rsidR="0091544B" w:rsidRPr="00F34E9D">
        <w:rPr>
          <w:rFonts w:asciiTheme="majorHAnsi" w:eastAsia="Times New Roman" w:hAnsiTheme="majorHAnsi" w:cstheme="majorHAnsi"/>
          <w:color w:val="0D0D0D" w:themeColor="text1" w:themeTint="F2"/>
          <w:sz w:val="24"/>
          <w:szCs w:val="24"/>
        </w:rPr>
        <w:t>lei</w:t>
      </w:r>
      <w:r w:rsidR="00EC0425" w:rsidRPr="00F34E9D">
        <w:rPr>
          <w:rFonts w:asciiTheme="majorHAnsi" w:eastAsia="Times New Roman" w:hAnsiTheme="majorHAnsi" w:cstheme="majorHAnsi"/>
          <w:color w:val="0D0D0D" w:themeColor="text1" w:themeTint="F2"/>
          <w:sz w:val="24"/>
          <w:szCs w:val="24"/>
        </w:rPr>
        <w:t xml:space="preserve"> (88 ha porumb)</w:t>
      </w:r>
      <w:r w:rsidR="0091544B" w:rsidRPr="00F34E9D">
        <w:rPr>
          <w:rFonts w:asciiTheme="majorHAnsi" w:eastAsia="Times New Roman" w:hAnsiTheme="majorHAnsi" w:cstheme="majorHAnsi"/>
          <w:color w:val="0D0D0D" w:themeColor="text1" w:themeTint="F2"/>
          <w:sz w:val="24"/>
          <w:szCs w:val="24"/>
        </w:rPr>
        <w:t xml:space="preserve">, inclusiv cheltuieli directe </w:t>
      </w:r>
      <w:r w:rsidR="00207B46" w:rsidRPr="00F34E9D">
        <w:rPr>
          <w:rFonts w:asciiTheme="majorHAnsi" w:eastAsia="Times New Roman" w:hAnsiTheme="majorHAnsi" w:cstheme="majorHAnsi"/>
          <w:color w:val="0D0D0D" w:themeColor="text1" w:themeTint="F2"/>
          <w:sz w:val="24"/>
          <w:szCs w:val="24"/>
        </w:rPr>
        <w:t xml:space="preserve">de </w:t>
      </w:r>
      <w:r w:rsidR="00944E0B" w:rsidRPr="00F34E9D">
        <w:rPr>
          <w:rFonts w:asciiTheme="majorHAnsi" w:eastAsia="Times New Roman" w:hAnsiTheme="majorHAnsi" w:cstheme="majorHAnsi"/>
          <w:color w:val="0D0D0D" w:themeColor="text1" w:themeTint="F2"/>
          <w:sz w:val="24"/>
          <w:szCs w:val="24"/>
        </w:rPr>
        <w:t>494,5 mii</w:t>
      </w:r>
      <w:r w:rsidR="0091544B" w:rsidRPr="00F34E9D">
        <w:rPr>
          <w:rFonts w:asciiTheme="majorHAnsi" w:eastAsia="Times New Roman" w:hAnsiTheme="majorHAnsi" w:cstheme="majorHAnsi"/>
          <w:color w:val="0D0D0D" w:themeColor="text1" w:themeTint="F2"/>
          <w:sz w:val="24"/>
          <w:szCs w:val="24"/>
        </w:rPr>
        <w:t xml:space="preserve"> lei</w:t>
      </w:r>
      <w:r w:rsidR="00207B46" w:rsidRPr="00F34E9D">
        <w:rPr>
          <w:rFonts w:asciiTheme="majorHAnsi" w:eastAsia="Times New Roman" w:hAnsiTheme="majorHAnsi" w:cstheme="majorHAnsi"/>
          <w:color w:val="0D0D0D" w:themeColor="text1" w:themeTint="F2"/>
          <w:sz w:val="24"/>
          <w:szCs w:val="24"/>
        </w:rPr>
        <w:t xml:space="preserve"> și indirecte de </w:t>
      </w:r>
      <w:r w:rsidR="00944E0B" w:rsidRPr="00F34E9D">
        <w:rPr>
          <w:rFonts w:asciiTheme="majorHAnsi" w:eastAsia="Times New Roman" w:hAnsiTheme="majorHAnsi" w:cstheme="majorHAnsi"/>
          <w:color w:val="0D0D0D" w:themeColor="text1" w:themeTint="F2"/>
          <w:sz w:val="24"/>
          <w:szCs w:val="24"/>
        </w:rPr>
        <w:t xml:space="preserve">circa </w:t>
      </w:r>
      <w:r w:rsidR="00194ADA" w:rsidRPr="00F34E9D">
        <w:rPr>
          <w:rFonts w:asciiTheme="majorHAnsi" w:eastAsia="Times New Roman" w:hAnsiTheme="majorHAnsi" w:cstheme="majorHAnsi"/>
          <w:color w:val="0D0D0D" w:themeColor="text1" w:themeTint="F2"/>
          <w:sz w:val="24"/>
          <w:szCs w:val="24"/>
        </w:rPr>
        <w:t>158,5</w:t>
      </w:r>
      <w:r w:rsidR="00944E0B" w:rsidRPr="00F34E9D">
        <w:rPr>
          <w:rFonts w:asciiTheme="majorHAnsi" w:eastAsia="Times New Roman" w:hAnsiTheme="majorHAnsi" w:cstheme="majorHAnsi"/>
          <w:color w:val="0D0D0D" w:themeColor="text1" w:themeTint="F2"/>
          <w:sz w:val="24"/>
          <w:szCs w:val="24"/>
        </w:rPr>
        <w:t xml:space="preserve"> mii</w:t>
      </w:r>
      <w:r w:rsidR="0091544B" w:rsidRPr="00F34E9D">
        <w:rPr>
          <w:rFonts w:asciiTheme="majorHAnsi" w:eastAsia="Times New Roman" w:hAnsiTheme="majorHAnsi" w:cstheme="majorHAnsi"/>
          <w:color w:val="0D0D0D" w:themeColor="text1" w:themeTint="F2"/>
          <w:sz w:val="24"/>
          <w:szCs w:val="24"/>
        </w:rPr>
        <w:t xml:space="preserve"> lei.</w:t>
      </w:r>
    </w:p>
    <w:p w14:paraId="3C9EC58B" w14:textId="1B86B42C" w:rsidR="006A271D" w:rsidRPr="00F34E9D" w:rsidRDefault="00207B46" w:rsidP="00A75ED2">
      <w:pPr>
        <w:spacing w:after="0" w:line="276" w:lineRule="auto"/>
        <w:jc w:val="both"/>
        <w:rPr>
          <w:rFonts w:asciiTheme="majorHAnsi" w:eastAsia="Times New Roman" w:hAnsiTheme="majorHAnsi" w:cstheme="majorHAnsi"/>
          <w:color w:val="0D0D0D" w:themeColor="text1" w:themeTint="F2"/>
          <w:sz w:val="24"/>
          <w:szCs w:val="24"/>
        </w:rPr>
      </w:pPr>
      <w:r w:rsidRPr="00F34E9D">
        <w:rPr>
          <w:rFonts w:asciiTheme="majorHAnsi" w:eastAsia="Times New Roman" w:hAnsiTheme="majorHAnsi" w:cstheme="majorHAnsi"/>
          <w:color w:val="0D0D0D" w:themeColor="text1" w:themeTint="F2"/>
          <w:sz w:val="24"/>
          <w:szCs w:val="24"/>
        </w:rPr>
        <w:t>Ca rezultat a</w:t>
      </w:r>
      <w:r w:rsidR="007D51B9" w:rsidRPr="00F34E9D">
        <w:rPr>
          <w:rFonts w:asciiTheme="majorHAnsi" w:eastAsia="Times New Roman" w:hAnsiTheme="majorHAnsi" w:cstheme="majorHAnsi"/>
          <w:color w:val="0D0D0D" w:themeColor="text1" w:themeTint="F2"/>
          <w:sz w:val="24"/>
          <w:szCs w:val="24"/>
        </w:rPr>
        <w:t>l</w:t>
      </w:r>
      <w:r w:rsidRPr="00F34E9D">
        <w:rPr>
          <w:rFonts w:asciiTheme="majorHAnsi" w:eastAsia="Times New Roman" w:hAnsiTheme="majorHAnsi" w:cstheme="majorHAnsi"/>
          <w:color w:val="0D0D0D" w:themeColor="text1" w:themeTint="F2"/>
          <w:sz w:val="24"/>
          <w:szCs w:val="24"/>
        </w:rPr>
        <w:t xml:space="preserve"> necontabilizării conforme a producției </w:t>
      </w:r>
      <w:r w:rsidR="007D51B9" w:rsidRPr="00F34E9D">
        <w:rPr>
          <w:rFonts w:asciiTheme="majorHAnsi" w:eastAsia="Times New Roman" w:hAnsiTheme="majorHAnsi" w:cstheme="majorHAnsi"/>
          <w:color w:val="0D0D0D" w:themeColor="text1" w:themeTint="F2"/>
          <w:sz w:val="24"/>
          <w:szCs w:val="24"/>
        </w:rPr>
        <w:t xml:space="preserve">de </w:t>
      </w:r>
      <w:r w:rsidR="00FB4D17" w:rsidRPr="00F34E9D">
        <w:rPr>
          <w:rFonts w:asciiTheme="majorHAnsi" w:hAnsiTheme="majorHAnsi" w:cstheme="majorHAnsi"/>
          <w:color w:val="0D0D0D" w:themeColor="text1" w:themeTint="F2"/>
          <w:sz w:val="24"/>
          <w:szCs w:val="24"/>
          <w:lang w:val="ro-RO"/>
        </w:rPr>
        <w:t>culturi furajere</w:t>
      </w:r>
      <w:r w:rsidRPr="00F34E9D">
        <w:rPr>
          <w:rFonts w:asciiTheme="majorHAnsi" w:eastAsia="Times New Roman" w:hAnsiTheme="majorHAnsi" w:cstheme="majorHAnsi"/>
          <w:color w:val="0D0D0D" w:themeColor="text1" w:themeTint="F2"/>
          <w:sz w:val="24"/>
          <w:szCs w:val="24"/>
        </w:rPr>
        <w:t xml:space="preserve">, </w:t>
      </w:r>
      <w:r w:rsidR="00165FB0" w:rsidRPr="00F34E9D">
        <w:rPr>
          <w:rFonts w:asciiTheme="majorHAnsi" w:eastAsia="Times New Roman" w:hAnsiTheme="majorHAnsi" w:cstheme="majorHAnsi"/>
          <w:color w:val="0D0D0D" w:themeColor="text1" w:themeTint="F2"/>
          <w:sz w:val="24"/>
          <w:szCs w:val="24"/>
        </w:rPr>
        <w:t xml:space="preserve">în anul 2022 </w:t>
      </w:r>
      <w:r w:rsidR="00FB4D17" w:rsidRPr="00F34E9D">
        <w:rPr>
          <w:rFonts w:asciiTheme="majorHAnsi" w:eastAsia="Times New Roman" w:hAnsiTheme="majorHAnsi" w:cstheme="majorHAnsi"/>
          <w:color w:val="0D0D0D" w:themeColor="text1" w:themeTint="F2"/>
          <w:sz w:val="24"/>
          <w:szCs w:val="24"/>
        </w:rPr>
        <w:t xml:space="preserve">valoarea </w:t>
      </w:r>
      <w:r w:rsidR="00165FB0" w:rsidRPr="00F34E9D">
        <w:rPr>
          <w:rFonts w:asciiTheme="majorHAnsi" w:eastAsia="Times New Roman" w:hAnsiTheme="majorHAnsi" w:cstheme="majorHAnsi"/>
          <w:color w:val="0D0D0D" w:themeColor="text1" w:themeTint="F2"/>
          <w:sz w:val="24"/>
          <w:szCs w:val="24"/>
        </w:rPr>
        <w:t>acest</w:t>
      </w:r>
      <w:r w:rsidR="00FB4D17" w:rsidRPr="00F34E9D">
        <w:rPr>
          <w:rFonts w:asciiTheme="majorHAnsi" w:eastAsia="Times New Roman" w:hAnsiTheme="majorHAnsi" w:cstheme="majorHAnsi"/>
          <w:color w:val="0D0D0D" w:themeColor="text1" w:themeTint="F2"/>
          <w:sz w:val="24"/>
          <w:szCs w:val="24"/>
        </w:rPr>
        <w:t>ei</w:t>
      </w:r>
      <w:r w:rsidR="00165FB0" w:rsidRPr="00F34E9D">
        <w:rPr>
          <w:rFonts w:asciiTheme="majorHAnsi" w:eastAsia="Times New Roman" w:hAnsiTheme="majorHAnsi" w:cstheme="majorHAnsi"/>
          <w:color w:val="0D0D0D" w:themeColor="text1" w:themeTint="F2"/>
          <w:sz w:val="24"/>
          <w:szCs w:val="24"/>
        </w:rPr>
        <w:t xml:space="preserve">a </w:t>
      </w:r>
      <w:r w:rsidR="00FB4D17" w:rsidRPr="00F34E9D">
        <w:rPr>
          <w:rFonts w:asciiTheme="majorHAnsi" w:eastAsia="Times New Roman" w:hAnsiTheme="majorHAnsi" w:cstheme="majorHAnsi"/>
          <w:color w:val="0D0D0D" w:themeColor="text1" w:themeTint="F2"/>
          <w:sz w:val="24"/>
          <w:szCs w:val="24"/>
        </w:rPr>
        <w:t xml:space="preserve">a fost </w:t>
      </w:r>
      <w:r w:rsidR="00165FB0" w:rsidRPr="00F34E9D">
        <w:rPr>
          <w:rFonts w:asciiTheme="majorHAnsi" w:eastAsia="Times New Roman" w:hAnsiTheme="majorHAnsi" w:cstheme="majorHAnsi"/>
          <w:color w:val="0D0D0D" w:themeColor="text1" w:themeTint="F2"/>
          <w:sz w:val="24"/>
          <w:szCs w:val="24"/>
        </w:rPr>
        <w:t>înregistrată</w:t>
      </w:r>
      <w:r w:rsidRPr="00F34E9D">
        <w:rPr>
          <w:rFonts w:asciiTheme="majorHAnsi" w:eastAsia="Times New Roman" w:hAnsiTheme="majorHAnsi" w:cstheme="majorHAnsi"/>
          <w:color w:val="0D0D0D" w:themeColor="text1" w:themeTint="F2"/>
          <w:sz w:val="24"/>
          <w:szCs w:val="24"/>
        </w:rPr>
        <w:t xml:space="preserve"> la </w:t>
      </w:r>
      <w:r w:rsidR="0044536C" w:rsidRPr="00F34E9D">
        <w:rPr>
          <w:rFonts w:asciiTheme="majorHAnsi" w:eastAsia="Times New Roman" w:hAnsiTheme="majorHAnsi" w:cstheme="majorHAnsi"/>
          <w:color w:val="0D0D0D" w:themeColor="text1" w:themeTint="F2"/>
          <w:sz w:val="24"/>
          <w:szCs w:val="24"/>
        </w:rPr>
        <w:t>venituri</w:t>
      </w:r>
      <w:r w:rsidRPr="00F34E9D">
        <w:rPr>
          <w:rFonts w:asciiTheme="majorHAnsi" w:eastAsia="Times New Roman" w:hAnsiTheme="majorHAnsi" w:cstheme="majorHAnsi"/>
          <w:color w:val="0D0D0D" w:themeColor="text1" w:themeTint="F2"/>
          <w:sz w:val="24"/>
          <w:szCs w:val="24"/>
        </w:rPr>
        <w:t xml:space="preserve"> în sum</w:t>
      </w:r>
      <w:r w:rsidR="007D51B9" w:rsidRPr="00F34E9D">
        <w:rPr>
          <w:rFonts w:asciiTheme="majorHAnsi" w:eastAsia="Times New Roman" w:hAnsiTheme="majorHAnsi" w:cstheme="majorHAnsi"/>
          <w:color w:val="0D0D0D" w:themeColor="text1" w:themeTint="F2"/>
          <w:sz w:val="24"/>
          <w:szCs w:val="24"/>
        </w:rPr>
        <w:t>ă</w:t>
      </w:r>
      <w:r w:rsidRPr="00F34E9D">
        <w:rPr>
          <w:rFonts w:asciiTheme="majorHAnsi" w:eastAsia="Times New Roman" w:hAnsiTheme="majorHAnsi" w:cstheme="majorHAnsi"/>
          <w:color w:val="0D0D0D" w:themeColor="text1" w:themeTint="F2"/>
          <w:sz w:val="24"/>
          <w:szCs w:val="24"/>
        </w:rPr>
        <w:t xml:space="preserve"> de </w:t>
      </w:r>
      <w:r w:rsidR="004220E1" w:rsidRPr="00F34E9D">
        <w:rPr>
          <w:rFonts w:asciiTheme="majorHAnsi" w:eastAsia="Times New Roman" w:hAnsiTheme="majorHAnsi" w:cstheme="majorHAnsi"/>
          <w:color w:val="0D0D0D" w:themeColor="text1" w:themeTint="F2"/>
          <w:sz w:val="24"/>
          <w:szCs w:val="24"/>
        </w:rPr>
        <w:t>824,0</w:t>
      </w:r>
      <w:r w:rsidR="0091544B" w:rsidRPr="00F34E9D">
        <w:rPr>
          <w:rFonts w:asciiTheme="majorHAnsi" w:eastAsia="Times New Roman" w:hAnsiTheme="majorHAnsi" w:cstheme="majorHAnsi"/>
          <w:color w:val="0D0D0D" w:themeColor="text1" w:themeTint="F2"/>
          <w:sz w:val="24"/>
          <w:szCs w:val="24"/>
        </w:rPr>
        <w:t xml:space="preserve"> mi</w:t>
      </w:r>
      <w:r w:rsidR="00944E0B" w:rsidRPr="00F34E9D">
        <w:rPr>
          <w:rFonts w:asciiTheme="majorHAnsi" w:eastAsia="Times New Roman" w:hAnsiTheme="majorHAnsi" w:cstheme="majorHAnsi"/>
          <w:color w:val="0D0D0D" w:themeColor="text1" w:themeTint="F2"/>
          <w:sz w:val="24"/>
          <w:szCs w:val="24"/>
        </w:rPr>
        <w:t>i</w:t>
      </w:r>
      <w:r w:rsidRPr="00F34E9D">
        <w:rPr>
          <w:rFonts w:asciiTheme="majorHAnsi" w:eastAsia="Times New Roman" w:hAnsiTheme="majorHAnsi" w:cstheme="majorHAnsi"/>
          <w:color w:val="0D0D0D" w:themeColor="text1" w:themeTint="F2"/>
          <w:sz w:val="24"/>
          <w:szCs w:val="24"/>
        </w:rPr>
        <w:t xml:space="preserve"> lei, </w:t>
      </w:r>
      <w:r w:rsidR="00165FB0" w:rsidRPr="00F34E9D">
        <w:rPr>
          <w:rFonts w:asciiTheme="majorHAnsi" w:eastAsia="Times New Roman" w:hAnsiTheme="majorHAnsi" w:cstheme="majorHAnsi"/>
          <w:color w:val="0D0D0D" w:themeColor="text1" w:themeTint="F2"/>
          <w:sz w:val="24"/>
          <w:szCs w:val="24"/>
        </w:rPr>
        <w:t>deși</w:t>
      </w:r>
      <w:r w:rsidRPr="00F34E9D">
        <w:rPr>
          <w:rFonts w:asciiTheme="majorHAnsi" w:eastAsia="Times New Roman" w:hAnsiTheme="majorHAnsi" w:cstheme="majorHAnsi"/>
          <w:color w:val="0D0D0D" w:themeColor="text1" w:themeTint="F2"/>
          <w:sz w:val="24"/>
          <w:szCs w:val="24"/>
        </w:rPr>
        <w:t xml:space="preserve"> urma a fi </w:t>
      </w:r>
      <w:r w:rsidR="00FB4D17" w:rsidRPr="00F34E9D">
        <w:rPr>
          <w:rFonts w:asciiTheme="majorHAnsi" w:eastAsia="Times New Roman" w:hAnsiTheme="majorHAnsi" w:cstheme="majorHAnsi"/>
          <w:color w:val="0D0D0D" w:themeColor="text1" w:themeTint="F2"/>
          <w:sz w:val="24"/>
          <w:szCs w:val="24"/>
        </w:rPr>
        <w:t xml:space="preserve">înregistrată </w:t>
      </w:r>
      <w:r w:rsidRPr="00F34E9D">
        <w:rPr>
          <w:rFonts w:asciiTheme="majorHAnsi" w:eastAsia="Times New Roman" w:hAnsiTheme="majorHAnsi" w:cstheme="majorHAnsi"/>
          <w:color w:val="0D0D0D" w:themeColor="text1" w:themeTint="F2"/>
          <w:sz w:val="24"/>
          <w:szCs w:val="24"/>
        </w:rPr>
        <w:t xml:space="preserve">la valoarea de </w:t>
      </w:r>
      <w:r w:rsidR="007D51B9" w:rsidRPr="00F34E9D">
        <w:rPr>
          <w:rFonts w:asciiTheme="majorHAnsi" w:eastAsia="Times New Roman" w:hAnsiTheme="majorHAnsi" w:cstheme="majorHAnsi"/>
          <w:color w:val="0D0D0D" w:themeColor="text1" w:themeTint="F2"/>
          <w:sz w:val="24"/>
          <w:szCs w:val="24"/>
        </w:rPr>
        <w:t xml:space="preserve">comercializare </w:t>
      </w:r>
      <w:r w:rsidRPr="00F34E9D">
        <w:rPr>
          <w:rFonts w:asciiTheme="majorHAnsi" w:eastAsia="Times New Roman" w:hAnsiTheme="majorHAnsi" w:cstheme="majorHAnsi"/>
          <w:color w:val="0D0D0D" w:themeColor="text1" w:themeTint="F2"/>
          <w:sz w:val="24"/>
          <w:szCs w:val="24"/>
        </w:rPr>
        <w:t xml:space="preserve">estimată </w:t>
      </w:r>
      <w:r w:rsidR="00FB4D17" w:rsidRPr="00F34E9D">
        <w:rPr>
          <w:rFonts w:asciiTheme="majorHAnsi" w:eastAsia="Times New Roman" w:hAnsiTheme="majorHAnsi" w:cstheme="majorHAnsi"/>
          <w:color w:val="0D0D0D" w:themeColor="text1" w:themeTint="F2"/>
          <w:sz w:val="24"/>
          <w:szCs w:val="24"/>
        </w:rPr>
        <w:t xml:space="preserve">la </w:t>
      </w:r>
      <w:r w:rsidRPr="00F34E9D">
        <w:rPr>
          <w:rFonts w:asciiTheme="majorHAnsi" w:eastAsia="Times New Roman" w:hAnsiTheme="majorHAnsi" w:cstheme="majorHAnsi"/>
          <w:color w:val="0D0D0D" w:themeColor="text1" w:themeTint="F2"/>
          <w:sz w:val="24"/>
          <w:szCs w:val="24"/>
        </w:rPr>
        <w:t>2,7 mil. lei.</w:t>
      </w:r>
    </w:p>
    <w:p w14:paraId="46BE6AED" w14:textId="50A82B37" w:rsidR="006E7718" w:rsidRPr="00F34E9D" w:rsidRDefault="00E441FB" w:rsidP="009B2AD6">
      <w:pPr>
        <w:spacing w:after="0" w:line="276" w:lineRule="auto"/>
        <w:jc w:val="both"/>
        <w:rPr>
          <w:rFonts w:asciiTheme="majorHAnsi" w:eastAsia="Times New Roman" w:hAnsiTheme="majorHAnsi" w:cstheme="majorHAnsi"/>
          <w:color w:val="0D0D0D" w:themeColor="text1" w:themeTint="F2"/>
          <w:sz w:val="24"/>
          <w:szCs w:val="24"/>
        </w:rPr>
      </w:pPr>
      <w:r w:rsidRPr="00F34E9D">
        <w:rPr>
          <w:rFonts w:asciiTheme="majorHAnsi" w:hAnsiTheme="majorHAnsi" w:cstheme="majorHAnsi"/>
          <w:color w:val="0D0D0D" w:themeColor="text1" w:themeTint="F2"/>
          <w:sz w:val="24"/>
          <w:szCs w:val="24"/>
          <w:lang w:val="ro-RO"/>
        </w:rPr>
        <w:t>ȘRSHPM</w:t>
      </w:r>
      <w:r w:rsidRPr="00F34E9D">
        <w:rPr>
          <w:rFonts w:asciiTheme="majorHAnsi" w:eastAsia="Times New Roman" w:hAnsiTheme="majorHAnsi" w:cstheme="majorHAnsi"/>
          <w:color w:val="0D0D0D" w:themeColor="text1" w:themeTint="F2"/>
          <w:sz w:val="24"/>
          <w:szCs w:val="24"/>
        </w:rPr>
        <w:t xml:space="preserve"> n</w:t>
      </w:r>
      <w:r w:rsidR="006E7718" w:rsidRPr="00F34E9D">
        <w:rPr>
          <w:rFonts w:asciiTheme="majorHAnsi" w:eastAsia="Times New Roman" w:hAnsiTheme="majorHAnsi" w:cstheme="majorHAnsi"/>
          <w:color w:val="0D0D0D" w:themeColor="text1" w:themeTint="F2"/>
          <w:sz w:val="24"/>
          <w:szCs w:val="24"/>
        </w:rPr>
        <w:t xml:space="preserve">u </w:t>
      </w:r>
      <w:r w:rsidR="007D51B9" w:rsidRPr="00F34E9D">
        <w:rPr>
          <w:rFonts w:asciiTheme="majorHAnsi" w:eastAsia="Times New Roman" w:hAnsiTheme="majorHAnsi" w:cstheme="majorHAnsi"/>
          <w:color w:val="0D0D0D" w:themeColor="text1" w:themeTint="F2"/>
          <w:sz w:val="24"/>
          <w:szCs w:val="24"/>
        </w:rPr>
        <w:t xml:space="preserve">a </w:t>
      </w:r>
      <w:r w:rsidR="006E7718" w:rsidRPr="00F34E9D">
        <w:rPr>
          <w:rFonts w:asciiTheme="majorHAnsi" w:eastAsia="Times New Roman" w:hAnsiTheme="majorHAnsi" w:cstheme="majorHAnsi"/>
          <w:color w:val="0D0D0D" w:themeColor="text1" w:themeTint="F2"/>
          <w:sz w:val="24"/>
          <w:szCs w:val="24"/>
        </w:rPr>
        <w:t xml:space="preserve">înregistrat în evidență </w:t>
      </w:r>
      <w:r w:rsidRPr="00F34E9D">
        <w:rPr>
          <w:rFonts w:asciiTheme="majorHAnsi" w:eastAsia="Times New Roman" w:hAnsiTheme="majorHAnsi" w:cstheme="majorHAnsi"/>
          <w:color w:val="0D0D0D" w:themeColor="text1" w:themeTint="F2"/>
          <w:sz w:val="24"/>
          <w:szCs w:val="24"/>
        </w:rPr>
        <w:t>creanțele</w:t>
      </w:r>
      <w:r w:rsidR="006E7718" w:rsidRPr="00F34E9D">
        <w:rPr>
          <w:rFonts w:asciiTheme="majorHAnsi" w:eastAsia="Times New Roman" w:hAnsiTheme="majorHAnsi" w:cstheme="majorHAnsi"/>
          <w:color w:val="0D0D0D" w:themeColor="text1" w:themeTint="F2"/>
          <w:sz w:val="24"/>
          <w:szCs w:val="24"/>
        </w:rPr>
        <w:t xml:space="preserve"> în sumă de 34,4 mii lei aferente prejudiciului admis de responsabilii din cadrul Colegiului Agroindustrial Ungheni </w:t>
      </w:r>
      <w:r w:rsidRPr="00F34E9D">
        <w:rPr>
          <w:rFonts w:asciiTheme="majorHAnsi" w:eastAsia="Times New Roman" w:hAnsiTheme="majorHAnsi" w:cstheme="majorHAnsi"/>
          <w:color w:val="0D0D0D" w:themeColor="text1" w:themeTint="F2"/>
          <w:sz w:val="24"/>
          <w:szCs w:val="24"/>
        </w:rPr>
        <w:t>privind</w:t>
      </w:r>
      <w:r w:rsidR="006E7718" w:rsidRPr="00F34E9D">
        <w:rPr>
          <w:rFonts w:asciiTheme="majorHAnsi" w:eastAsia="Times New Roman" w:hAnsiTheme="majorHAnsi" w:cstheme="majorHAnsi"/>
          <w:color w:val="0D0D0D" w:themeColor="text1" w:themeTint="F2"/>
          <w:sz w:val="24"/>
          <w:szCs w:val="24"/>
        </w:rPr>
        <w:t xml:space="preserve"> deteriorarea suprafeței de </w:t>
      </w:r>
      <w:r w:rsidR="00172664" w:rsidRPr="00F34E9D">
        <w:rPr>
          <w:rFonts w:asciiTheme="majorHAnsi" w:eastAsia="Times New Roman" w:hAnsiTheme="majorHAnsi" w:cstheme="majorHAnsi"/>
          <w:color w:val="0D0D0D" w:themeColor="text1" w:themeTint="F2"/>
          <w:sz w:val="24"/>
          <w:szCs w:val="24"/>
        </w:rPr>
        <w:t xml:space="preserve">circa 2 ha cu </w:t>
      </w:r>
      <w:r w:rsidR="006E7718" w:rsidRPr="00F34E9D">
        <w:rPr>
          <w:rFonts w:asciiTheme="majorHAnsi" w:eastAsia="Times New Roman" w:hAnsiTheme="majorHAnsi" w:cstheme="majorHAnsi"/>
          <w:color w:val="0D0D0D" w:themeColor="text1" w:themeTint="F2"/>
          <w:sz w:val="24"/>
          <w:szCs w:val="24"/>
        </w:rPr>
        <w:t xml:space="preserve">semănături </w:t>
      </w:r>
      <w:r w:rsidR="00172664" w:rsidRPr="00F34E9D">
        <w:rPr>
          <w:rFonts w:asciiTheme="majorHAnsi" w:eastAsia="Times New Roman" w:hAnsiTheme="majorHAnsi" w:cstheme="majorHAnsi"/>
          <w:color w:val="0D0D0D" w:themeColor="text1" w:themeTint="F2"/>
          <w:sz w:val="24"/>
          <w:szCs w:val="24"/>
        </w:rPr>
        <w:t>de</w:t>
      </w:r>
      <w:r w:rsidR="006E7718" w:rsidRPr="00F34E9D">
        <w:rPr>
          <w:rFonts w:asciiTheme="majorHAnsi" w:eastAsia="Times New Roman" w:hAnsiTheme="majorHAnsi" w:cstheme="majorHAnsi"/>
          <w:color w:val="0D0D0D" w:themeColor="text1" w:themeTint="F2"/>
          <w:sz w:val="24"/>
          <w:szCs w:val="24"/>
        </w:rPr>
        <w:t xml:space="preserve"> porumb, cauză remisă spre examinare în instanțele de judecată și de drept.</w:t>
      </w:r>
    </w:p>
    <w:p w14:paraId="320D3512" w14:textId="0D5511FC" w:rsidR="009B6CCB" w:rsidRPr="00F34E9D" w:rsidRDefault="009B6CCB" w:rsidP="00A75ED2">
      <w:pPr>
        <w:spacing w:after="0" w:line="276" w:lineRule="auto"/>
        <w:jc w:val="both"/>
        <w:rPr>
          <w:rFonts w:asciiTheme="majorHAnsi" w:hAnsiTheme="majorHAnsi" w:cstheme="majorHAnsi"/>
          <w:color w:val="0D0D0D" w:themeColor="text1" w:themeTint="F2"/>
          <w:sz w:val="24"/>
          <w:szCs w:val="24"/>
        </w:rPr>
      </w:pPr>
      <w:r w:rsidRPr="00F34E9D">
        <w:rPr>
          <w:rFonts w:asciiTheme="majorHAnsi" w:hAnsiTheme="majorHAnsi" w:cstheme="majorHAnsi"/>
          <w:b/>
          <w:color w:val="0D0D0D" w:themeColor="text1" w:themeTint="F2"/>
          <w:sz w:val="24"/>
          <w:szCs w:val="24"/>
        </w:rPr>
        <w:t>5.2.</w:t>
      </w:r>
      <w:r w:rsidRPr="00F34E9D">
        <w:rPr>
          <w:rFonts w:asciiTheme="majorHAnsi" w:hAnsiTheme="majorHAnsi" w:cstheme="majorHAnsi"/>
          <w:color w:val="0D0D0D" w:themeColor="text1" w:themeTint="F2"/>
          <w:sz w:val="24"/>
          <w:szCs w:val="24"/>
        </w:rPr>
        <w:t xml:space="preserve"> Prezentarea neveridică a stocurilor în evidența contabilă a condus la majorarea valorii </w:t>
      </w:r>
      <w:r w:rsidR="00BB282B">
        <w:rPr>
          <w:rFonts w:asciiTheme="majorHAnsi" w:hAnsiTheme="majorHAnsi" w:cstheme="majorHAnsi"/>
          <w:color w:val="0D0D0D" w:themeColor="text1" w:themeTint="F2"/>
          <w:sz w:val="24"/>
          <w:szCs w:val="24"/>
        </w:rPr>
        <w:t>subclasei</w:t>
      </w:r>
      <w:r w:rsidRPr="00F34E9D">
        <w:rPr>
          <w:rFonts w:asciiTheme="majorHAnsi" w:hAnsiTheme="majorHAnsi" w:cstheme="majorHAnsi"/>
          <w:color w:val="0D0D0D" w:themeColor="text1" w:themeTint="F2"/>
          <w:sz w:val="24"/>
          <w:szCs w:val="24"/>
        </w:rPr>
        <w:t xml:space="preserve"> 33 „Stocuri materiale circulante” cu </w:t>
      </w:r>
      <w:r w:rsidR="00384A48" w:rsidRPr="00F34E9D">
        <w:rPr>
          <w:rFonts w:asciiTheme="majorHAnsi" w:eastAsia="Calibri" w:hAnsiTheme="majorHAnsi" w:cstheme="majorHAnsi"/>
          <w:color w:val="0D0D0D" w:themeColor="text1" w:themeTint="F2"/>
          <w:sz w:val="24"/>
          <w:szCs w:val="24"/>
        </w:rPr>
        <w:t>699,8 mii lei</w:t>
      </w:r>
      <w:r w:rsidR="00384A48" w:rsidRPr="00F34E9D">
        <w:rPr>
          <w:rStyle w:val="a7"/>
          <w:rFonts w:asciiTheme="majorHAnsi" w:eastAsia="Calibri" w:hAnsiTheme="majorHAnsi" w:cstheme="majorHAnsi"/>
          <w:color w:val="0D0D0D" w:themeColor="text1" w:themeTint="F2"/>
          <w:sz w:val="24"/>
          <w:szCs w:val="24"/>
        </w:rPr>
        <w:footnoteReference w:id="23"/>
      </w:r>
      <w:r w:rsidR="00384A48" w:rsidRPr="00F34E9D">
        <w:rPr>
          <w:rFonts w:asciiTheme="majorHAnsi" w:eastAsia="Calibri" w:hAnsiTheme="majorHAnsi" w:cstheme="majorHAnsi"/>
          <w:b/>
          <w:color w:val="0D0D0D" w:themeColor="text1" w:themeTint="F2"/>
          <w:sz w:val="24"/>
          <w:szCs w:val="24"/>
        </w:rPr>
        <w:t xml:space="preserve"> </w:t>
      </w:r>
      <w:r w:rsidRPr="00F34E9D">
        <w:rPr>
          <w:rFonts w:asciiTheme="majorHAnsi" w:hAnsiTheme="majorHAnsi" w:cstheme="majorHAnsi"/>
          <w:color w:val="0D0D0D" w:themeColor="text1" w:themeTint="F2"/>
          <w:sz w:val="24"/>
          <w:szCs w:val="24"/>
        </w:rPr>
        <w:t>și subevaluarea cheltuielilor anilor precedenți în ace</w:t>
      </w:r>
      <w:r w:rsidR="007D51B9" w:rsidRPr="00F34E9D">
        <w:rPr>
          <w:rFonts w:asciiTheme="majorHAnsi" w:hAnsiTheme="majorHAnsi" w:cstheme="majorHAnsi"/>
          <w:color w:val="0D0D0D" w:themeColor="text1" w:themeTint="F2"/>
          <w:sz w:val="24"/>
          <w:szCs w:val="24"/>
        </w:rPr>
        <w:t>e</w:t>
      </w:r>
      <w:r w:rsidRPr="00F34E9D">
        <w:rPr>
          <w:rFonts w:asciiTheme="majorHAnsi" w:hAnsiTheme="majorHAnsi" w:cstheme="majorHAnsi"/>
          <w:color w:val="0D0D0D" w:themeColor="text1" w:themeTint="F2"/>
          <w:sz w:val="24"/>
          <w:szCs w:val="24"/>
        </w:rPr>
        <w:t>ași mărime</w:t>
      </w:r>
      <w:r w:rsidR="00C975D3" w:rsidRPr="00F34E9D">
        <w:rPr>
          <w:rFonts w:asciiTheme="majorHAnsi" w:hAnsiTheme="majorHAnsi" w:cstheme="majorHAnsi"/>
          <w:color w:val="0D0D0D" w:themeColor="text1" w:themeTint="F2"/>
          <w:sz w:val="24"/>
          <w:szCs w:val="24"/>
        </w:rPr>
        <w:t>, ca rezultat a</w:t>
      </w:r>
      <w:r w:rsidR="007D51B9" w:rsidRPr="00F34E9D">
        <w:rPr>
          <w:rFonts w:asciiTheme="majorHAnsi" w:hAnsiTheme="majorHAnsi" w:cstheme="majorHAnsi"/>
          <w:color w:val="0D0D0D" w:themeColor="text1" w:themeTint="F2"/>
          <w:sz w:val="24"/>
          <w:szCs w:val="24"/>
        </w:rPr>
        <w:t>l</w:t>
      </w:r>
      <w:r w:rsidR="00C975D3" w:rsidRPr="00F34E9D">
        <w:rPr>
          <w:rFonts w:asciiTheme="majorHAnsi" w:hAnsiTheme="majorHAnsi" w:cstheme="majorHAnsi"/>
          <w:color w:val="0D0D0D" w:themeColor="text1" w:themeTint="F2"/>
          <w:sz w:val="24"/>
          <w:szCs w:val="24"/>
        </w:rPr>
        <w:t xml:space="preserve"> neînregistrării operațiunilor de utilizare/consum a</w:t>
      </w:r>
      <w:r w:rsidR="007D51B9" w:rsidRPr="00F34E9D">
        <w:rPr>
          <w:rFonts w:asciiTheme="majorHAnsi" w:hAnsiTheme="majorHAnsi" w:cstheme="majorHAnsi"/>
          <w:color w:val="0D0D0D" w:themeColor="text1" w:themeTint="F2"/>
          <w:sz w:val="24"/>
          <w:szCs w:val="24"/>
        </w:rPr>
        <w:t>l</w:t>
      </w:r>
      <w:r w:rsidR="00C975D3" w:rsidRPr="00F34E9D">
        <w:rPr>
          <w:rFonts w:asciiTheme="majorHAnsi" w:hAnsiTheme="majorHAnsi" w:cstheme="majorHAnsi"/>
          <w:color w:val="0D0D0D" w:themeColor="text1" w:themeTint="F2"/>
          <w:sz w:val="24"/>
          <w:szCs w:val="24"/>
        </w:rPr>
        <w:t xml:space="preserve"> materialelor și/sau neconfirmarea efectivă a acestora</w:t>
      </w:r>
      <w:r w:rsidRPr="00F34E9D">
        <w:rPr>
          <w:rFonts w:asciiTheme="majorHAnsi" w:hAnsiTheme="majorHAnsi" w:cstheme="majorHAnsi"/>
          <w:color w:val="0D0D0D" w:themeColor="text1" w:themeTint="F2"/>
          <w:sz w:val="24"/>
          <w:szCs w:val="24"/>
        </w:rPr>
        <w:t>.</w:t>
      </w:r>
    </w:p>
    <w:p w14:paraId="72D73347" w14:textId="56F5E1B9" w:rsidR="00864E49" w:rsidRPr="00F34E9D" w:rsidRDefault="00864E49" w:rsidP="00A75ED2">
      <w:pPr>
        <w:spacing w:after="0" w:line="276" w:lineRule="auto"/>
        <w:jc w:val="both"/>
        <w:rPr>
          <w:rFonts w:asciiTheme="majorHAnsi" w:hAnsiTheme="majorHAnsi" w:cstheme="majorHAnsi"/>
          <w:color w:val="0D0D0D" w:themeColor="text1" w:themeTint="F2"/>
          <w:sz w:val="24"/>
          <w:szCs w:val="24"/>
        </w:rPr>
      </w:pPr>
      <w:r w:rsidRPr="00F34E9D">
        <w:rPr>
          <w:rFonts w:asciiTheme="majorHAnsi" w:eastAsia="Times New Roman" w:hAnsiTheme="majorHAnsi" w:cstheme="majorHAnsi"/>
          <w:color w:val="0D0D0D" w:themeColor="text1" w:themeTint="F2"/>
          <w:sz w:val="24"/>
          <w:szCs w:val="24"/>
        </w:rPr>
        <w:t xml:space="preserve">Institutul </w:t>
      </w:r>
      <w:r w:rsidR="007D51B9" w:rsidRPr="00F34E9D">
        <w:rPr>
          <w:rFonts w:asciiTheme="majorHAnsi" w:eastAsia="Times New Roman" w:hAnsiTheme="majorHAnsi" w:cstheme="majorHAnsi"/>
          <w:color w:val="0D0D0D" w:themeColor="text1" w:themeTint="F2"/>
          <w:sz w:val="24"/>
          <w:szCs w:val="24"/>
        </w:rPr>
        <w:t xml:space="preserve">de </w:t>
      </w:r>
      <w:r w:rsidRPr="00F34E9D">
        <w:rPr>
          <w:rFonts w:asciiTheme="majorHAnsi" w:eastAsia="Times New Roman" w:hAnsiTheme="majorHAnsi" w:cstheme="majorHAnsi"/>
          <w:color w:val="0D0D0D" w:themeColor="text1" w:themeTint="F2"/>
          <w:sz w:val="24"/>
          <w:szCs w:val="24"/>
        </w:rPr>
        <w:t xml:space="preserve">Geologie și Seismologie nu a evaluat și </w:t>
      </w:r>
      <w:r w:rsidR="007D51B9" w:rsidRPr="00F34E9D">
        <w:rPr>
          <w:rFonts w:asciiTheme="majorHAnsi" w:eastAsia="Times New Roman" w:hAnsiTheme="majorHAnsi" w:cstheme="majorHAnsi"/>
          <w:color w:val="0D0D0D" w:themeColor="text1" w:themeTint="F2"/>
          <w:sz w:val="24"/>
          <w:szCs w:val="24"/>
        </w:rPr>
        <w:t xml:space="preserve">nu a </w:t>
      </w:r>
      <w:r w:rsidRPr="00F34E9D">
        <w:rPr>
          <w:rFonts w:asciiTheme="majorHAnsi" w:eastAsia="Times New Roman" w:hAnsiTheme="majorHAnsi" w:cstheme="majorHAnsi"/>
          <w:color w:val="0D0D0D" w:themeColor="text1" w:themeTint="F2"/>
          <w:sz w:val="24"/>
          <w:szCs w:val="24"/>
        </w:rPr>
        <w:t>înregistrat în evidența contabilă 1,1 t de metal uzat (ECO 14 și 33) de circa 5,5 mii lei. C</w:t>
      </w:r>
      <w:r w:rsidRPr="00F34E9D">
        <w:rPr>
          <w:rFonts w:asciiTheme="majorHAnsi" w:hAnsiTheme="majorHAnsi" w:cstheme="majorHAnsi"/>
          <w:color w:val="0D0D0D" w:themeColor="text1" w:themeTint="F2"/>
          <w:sz w:val="24"/>
          <w:szCs w:val="24"/>
        </w:rPr>
        <w:t>lasificarea neconformă de către Institut a mijloacelor fixe</w:t>
      </w:r>
      <w:r w:rsidRPr="00F34E9D">
        <w:rPr>
          <w:rStyle w:val="a7"/>
          <w:rFonts w:asciiTheme="majorHAnsi" w:hAnsiTheme="majorHAnsi" w:cstheme="majorHAnsi"/>
          <w:color w:val="0D0D0D" w:themeColor="text1" w:themeTint="F2"/>
          <w:sz w:val="24"/>
          <w:szCs w:val="24"/>
        </w:rPr>
        <w:footnoteReference w:id="24"/>
      </w:r>
      <w:r w:rsidRPr="00F34E9D">
        <w:rPr>
          <w:rFonts w:asciiTheme="majorHAnsi" w:hAnsiTheme="majorHAnsi" w:cstheme="majorHAnsi"/>
          <w:color w:val="0D0D0D" w:themeColor="text1" w:themeTint="F2"/>
          <w:sz w:val="24"/>
          <w:szCs w:val="24"/>
        </w:rPr>
        <w:t xml:space="preserve"> a dus la subevaluarea subclasei 33 „Stocuri” cu suma de 90,8 mii lei (mese, scaune etc</w:t>
      </w:r>
      <w:r w:rsidR="007D51B9" w:rsidRPr="00F34E9D">
        <w:rPr>
          <w:rFonts w:asciiTheme="majorHAnsi" w:hAnsiTheme="majorHAnsi" w:cstheme="majorHAnsi"/>
          <w:color w:val="0D0D0D" w:themeColor="text1" w:themeTint="F2"/>
          <w:sz w:val="24"/>
          <w:szCs w:val="24"/>
        </w:rPr>
        <w:t>.</w:t>
      </w:r>
      <w:r w:rsidRPr="00F34E9D">
        <w:rPr>
          <w:rFonts w:asciiTheme="majorHAnsi" w:hAnsiTheme="majorHAnsi" w:cstheme="majorHAnsi"/>
          <w:color w:val="0D0D0D" w:themeColor="text1" w:themeTint="F2"/>
          <w:sz w:val="24"/>
          <w:szCs w:val="24"/>
        </w:rPr>
        <w:t>).</w:t>
      </w:r>
    </w:p>
    <w:p w14:paraId="415B01E7" w14:textId="74944810" w:rsidR="00864E49" w:rsidRPr="00F34E9D" w:rsidRDefault="00864E49" w:rsidP="00A75ED2">
      <w:pPr>
        <w:spacing w:after="0" w:line="276" w:lineRule="auto"/>
        <w:jc w:val="both"/>
        <w:rPr>
          <w:rFonts w:asciiTheme="majorHAnsi" w:eastAsia="Times New Roman" w:hAnsiTheme="majorHAnsi" w:cstheme="majorHAnsi"/>
          <w:color w:val="0D0D0D" w:themeColor="text1" w:themeTint="F2"/>
          <w:sz w:val="24"/>
          <w:szCs w:val="24"/>
          <w:lang w:val="en-US"/>
        </w:rPr>
      </w:pPr>
      <w:r w:rsidRPr="00F34E9D">
        <w:rPr>
          <w:rFonts w:asciiTheme="majorHAnsi" w:hAnsiTheme="majorHAnsi" w:cstheme="majorHAnsi"/>
          <w:color w:val="0D0D0D" w:themeColor="text1" w:themeTint="F2"/>
          <w:sz w:val="24"/>
          <w:szCs w:val="24"/>
        </w:rPr>
        <w:t xml:space="preserve">LTR </w:t>
      </w:r>
      <w:r w:rsidR="00892B7A" w:rsidRPr="00F34E9D">
        <w:rPr>
          <w:rFonts w:asciiTheme="majorHAnsi" w:hAnsiTheme="majorHAnsi" w:cstheme="majorHAnsi"/>
          <w:color w:val="0D0D0D" w:themeColor="text1" w:themeTint="F2"/>
          <w:sz w:val="24"/>
          <w:szCs w:val="24"/>
        </w:rPr>
        <w:t>„</w:t>
      </w:r>
      <w:r w:rsidRPr="00F34E9D">
        <w:rPr>
          <w:rFonts w:asciiTheme="majorHAnsi" w:hAnsiTheme="majorHAnsi" w:cstheme="majorHAnsi"/>
          <w:color w:val="0D0D0D" w:themeColor="text1" w:themeTint="F2"/>
          <w:sz w:val="24"/>
          <w:szCs w:val="24"/>
        </w:rPr>
        <w:t>Ciprian Porumbescu</w:t>
      </w:r>
      <w:r w:rsidR="00892B7A" w:rsidRPr="00F34E9D">
        <w:rPr>
          <w:rFonts w:asciiTheme="majorHAnsi" w:hAnsiTheme="majorHAnsi" w:cstheme="majorHAnsi"/>
          <w:color w:val="0D0D0D" w:themeColor="text1" w:themeTint="F2"/>
          <w:sz w:val="24"/>
          <w:szCs w:val="24"/>
        </w:rPr>
        <w:t>”</w:t>
      </w:r>
      <w:r w:rsidRPr="00F34E9D">
        <w:rPr>
          <w:rFonts w:asciiTheme="majorHAnsi" w:hAnsiTheme="majorHAnsi" w:cstheme="majorHAnsi"/>
          <w:color w:val="0D0D0D" w:themeColor="text1" w:themeTint="F2"/>
          <w:sz w:val="24"/>
          <w:szCs w:val="24"/>
        </w:rPr>
        <w:t xml:space="preserve"> a supraevaluat contul 337 „</w:t>
      </w:r>
      <w:r w:rsidRPr="00F34E9D">
        <w:rPr>
          <w:rFonts w:asciiTheme="majorHAnsi" w:eastAsia="Times New Roman" w:hAnsiTheme="majorHAnsi" w:cstheme="majorHAnsi"/>
          <w:color w:val="0D0D0D" w:themeColor="text1" w:themeTint="F2"/>
          <w:sz w:val="24"/>
          <w:szCs w:val="24"/>
        </w:rPr>
        <w:t xml:space="preserve">Materiale de construcție” în valoare de 190,3 mii lei, ca urmare a neatribuirii consumurilor la cheltuieli efective. De asemenea, Liceul înregistrează eronat 51 poziții (1 acordeon, 50 </w:t>
      </w:r>
      <w:r w:rsidR="00892B7A" w:rsidRPr="00F34E9D">
        <w:rPr>
          <w:rFonts w:asciiTheme="majorHAnsi" w:eastAsia="Times New Roman" w:hAnsiTheme="majorHAnsi" w:cstheme="majorHAnsi"/>
          <w:color w:val="0D0D0D" w:themeColor="text1" w:themeTint="F2"/>
          <w:sz w:val="24"/>
          <w:szCs w:val="24"/>
        </w:rPr>
        <w:t xml:space="preserve">de </w:t>
      </w:r>
      <w:r w:rsidRPr="00F34E9D">
        <w:rPr>
          <w:rFonts w:asciiTheme="majorHAnsi" w:eastAsia="Times New Roman" w:hAnsiTheme="majorHAnsi" w:cstheme="majorHAnsi"/>
          <w:color w:val="0D0D0D" w:themeColor="text1" w:themeTint="F2"/>
          <w:sz w:val="24"/>
          <w:szCs w:val="24"/>
        </w:rPr>
        <w:t>pl</w:t>
      </w:r>
      <w:r w:rsidR="00892B7A" w:rsidRPr="00F34E9D">
        <w:rPr>
          <w:rFonts w:asciiTheme="majorHAnsi" w:eastAsia="Times New Roman" w:hAnsiTheme="majorHAnsi" w:cstheme="majorHAnsi"/>
          <w:color w:val="0D0D0D" w:themeColor="text1" w:themeTint="F2"/>
          <w:sz w:val="24"/>
          <w:szCs w:val="24"/>
        </w:rPr>
        <w:t>ă</w:t>
      </w:r>
      <w:r w:rsidRPr="00F34E9D">
        <w:rPr>
          <w:rFonts w:asciiTheme="majorHAnsi" w:eastAsia="Times New Roman" w:hAnsiTheme="majorHAnsi" w:cstheme="majorHAnsi"/>
          <w:color w:val="0D0D0D" w:themeColor="text1" w:themeTint="F2"/>
          <w:sz w:val="24"/>
          <w:szCs w:val="24"/>
        </w:rPr>
        <w:t>pum</w:t>
      </w:r>
      <w:r w:rsidR="00892B7A" w:rsidRPr="00F34E9D">
        <w:rPr>
          <w:rFonts w:asciiTheme="majorHAnsi" w:eastAsia="Times New Roman" w:hAnsiTheme="majorHAnsi" w:cstheme="majorHAnsi"/>
          <w:color w:val="0D0D0D" w:themeColor="text1" w:themeTint="F2"/>
          <w:sz w:val="24"/>
          <w:szCs w:val="24"/>
        </w:rPr>
        <w:t>i</w:t>
      </w:r>
      <w:r w:rsidRPr="00F34E9D">
        <w:rPr>
          <w:rFonts w:asciiTheme="majorHAnsi" w:eastAsia="Times New Roman" w:hAnsiTheme="majorHAnsi" w:cstheme="majorHAnsi"/>
          <w:color w:val="0D0D0D" w:themeColor="text1" w:themeTint="F2"/>
          <w:sz w:val="24"/>
          <w:szCs w:val="24"/>
        </w:rPr>
        <w:t>)</w:t>
      </w:r>
      <w:r w:rsidR="00507E25" w:rsidRPr="00F34E9D">
        <w:rPr>
          <w:rFonts w:asciiTheme="majorHAnsi" w:eastAsia="Times New Roman" w:hAnsiTheme="majorHAnsi" w:cstheme="majorHAnsi"/>
          <w:color w:val="0D0D0D" w:themeColor="text1" w:themeTint="F2"/>
          <w:sz w:val="24"/>
          <w:szCs w:val="24"/>
        </w:rPr>
        <w:t>,</w:t>
      </w:r>
      <w:r w:rsidRPr="00F34E9D">
        <w:rPr>
          <w:rFonts w:asciiTheme="majorHAnsi" w:eastAsia="Times New Roman" w:hAnsiTheme="majorHAnsi" w:cstheme="majorHAnsi"/>
          <w:color w:val="0D0D0D" w:themeColor="text1" w:themeTint="F2"/>
          <w:sz w:val="24"/>
          <w:szCs w:val="24"/>
        </w:rPr>
        <w:t xml:space="preserve"> </w:t>
      </w:r>
      <w:r w:rsidR="000B463C" w:rsidRPr="00F34E9D">
        <w:rPr>
          <w:rFonts w:asciiTheme="majorHAnsi" w:eastAsia="Times New Roman" w:hAnsiTheme="majorHAnsi" w:cstheme="majorHAnsi"/>
          <w:color w:val="0D0D0D" w:themeColor="text1" w:themeTint="F2"/>
          <w:sz w:val="24"/>
          <w:szCs w:val="24"/>
        </w:rPr>
        <w:t xml:space="preserve">bunuri </w:t>
      </w:r>
      <w:r w:rsidRPr="00F34E9D">
        <w:rPr>
          <w:rFonts w:asciiTheme="majorHAnsi" w:eastAsia="Times New Roman" w:hAnsiTheme="majorHAnsi" w:cstheme="majorHAnsi"/>
          <w:color w:val="0D0D0D" w:themeColor="text1" w:themeTint="F2"/>
          <w:sz w:val="24"/>
          <w:szCs w:val="24"/>
        </w:rPr>
        <w:t xml:space="preserve">nedisponibile </w:t>
      </w:r>
      <w:r w:rsidR="00DE0FF0" w:rsidRPr="00F34E9D">
        <w:rPr>
          <w:rFonts w:asciiTheme="majorHAnsi" w:eastAsia="Times New Roman" w:hAnsiTheme="majorHAnsi" w:cstheme="majorHAnsi"/>
          <w:color w:val="0D0D0D" w:themeColor="text1" w:themeTint="F2"/>
          <w:sz w:val="24"/>
          <w:szCs w:val="24"/>
        </w:rPr>
        <w:t xml:space="preserve">dar </w:t>
      </w:r>
      <w:r w:rsidRPr="00F34E9D">
        <w:rPr>
          <w:rFonts w:asciiTheme="majorHAnsi" w:eastAsia="Times New Roman" w:hAnsiTheme="majorHAnsi" w:cstheme="majorHAnsi"/>
          <w:color w:val="0D0D0D" w:themeColor="text1" w:themeTint="F2"/>
          <w:sz w:val="24"/>
          <w:szCs w:val="24"/>
        </w:rPr>
        <w:t>înregistrate în evidența analitică fără valoare.</w:t>
      </w:r>
    </w:p>
    <w:p w14:paraId="3D2C4FCF" w14:textId="437E81ED" w:rsidR="00FB4D17" w:rsidRPr="00F34E9D" w:rsidRDefault="00F45A11" w:rsidP="00F42E6E">
      <w:pPr>
        <w:spacing w:after="0" w:line="276" w:lineRule="auto"/>
        <w:jc w:val="both"/>
        <w:rPr>
          <w:rFonts w:ascii="Calibri Light" w:hAnsi="Calibri Light" w:cs="Calibri Light"/>
          <w:color w:val="0D0D0D" w:themeColor="text1" w:themeTint="F2"/>
          <w:sz w:val="24"/>
          <w:szCs w:val="24"/>
          <w:lang w:val="en-US"/>
        </w:rPr>
      </w:pPr>
      <w:r w:rsidRPr="00F34E9D">
        <w:rPr>
          <w:rFonts w:asciiTheme="majorHAnsi" w:eastAsia="Times New Roman" w:hAnsiTheme="majorHAnsi" w:cstheme="majorHAnsi"/>
          <w:b/>
          <w:color w:val="0D0D0D" w:themeColor="text1" w:themeTint="F2"/>
          <w:sz w:val="24"/>
          <w:szCs w:val="24"/>
        </w:rPr>
        <w:t>5.</w:t>
      </w:r>
      <w:r w:rsidR="009B6CCB" w:rsidRPr="00F34E9D">
        <w:rPr>
          <w:rFonts w:asciiTheme="majorHAnsi" w:eastAsia="Times New Roman" w:hAnsiTheme="majorHAnsi" w:cstheme="majorHAnsi"/>
          <w:b/>
          <w:color w:val="0D0D0D" w:themeColor="text1" w:themeTint="F2"/>
          <w:sz w:val="24"/>
          <w:szCs w:val="24"/>
        </w:rPr>
        <w:t>3</w:t>
      </w:r>
      <w:r w:rsidRPr="00F34E9D">
        <w:rPr>
          <w:rFonts w:asciiTheme="majorHAnsi" w:eastAsia="Times New Roman" w:hAnsiTheme="majorHAnsi" w:cstheme="majorHAnsi"/>
          <w:b/>
          <w:color w:val="0D0D0D" w:themeColor="text1" w:themeTint="F2"/>
          <w:sz w:val="24"/>
          <w:szCs w:val="24"/>
        </w:rPr>
        <w:t>.</w:t>
      </w:r>
      <w:r w:rsidRPr="00F34E9D">
        <w:rPr>
          <w:rFonts w:asciiTheme="majorHAnsi" w:eastAsia="Times New Roman" w:hAnsiTheme="majorHAnsi" w:cstheme="majorHAnsi"/>
          <w:color w:val="0D0D0D" w:themeColor="text1" w:themeTint="F2"/>
          <w:sz w:val="24"/>
          <w:szCs w:val="24"/>
        </w:rPr>
        <w:t xml:space="preserve"> </w:t>
      </w:r>
      <w:r w:rsidR="00FB4D17" w:rsidRPr="00F34E9D">
        <w:rPr>
          <w:rFonts w:ascii="Calibri Light" w:hAnsi="Calibri Light" w:cs="Calibri Light"/>
          <w:color w:val="0D0D0D" w:themeColor="text1" w:themeTint="F2"/>
          <w:sz w:val="24"/>
          <w:szCs w:val="24"/>
        </w:rPr>
        <w:t xml:space="preserve">Executarea necorespunzătoare a contractului </w:t>
      </w:r>
      <w:r w:rsidR="00FB4D17" w:rsidRPr="00F34E9D">
        <w:rPr>
          <w:rFonts w:ascii="Calibri Light" w:hAnsi="Calibri Light" w:cs="Calibri Light"/>
          <w:i/>
          <w:iCs/>
          <w:color w:val="0D0D0D" w:themeColor="text1" w:themeTint="F2"/>
          <w:sz w:val="24"/>
          <w:szCs w:val="24"/>
        </w:rPr>
        <w:t xml:space="preserve">„Servicii de cercetări </w:t>
      </w:r>
      <w:r w:rsidR="002363C3" w:rsidRPr="00F34E9D">
        <w:rPr>
          <w:rFonts w:ascii="Calibri Light" w:hAnsi="Calibri Light" w:cs="Calibri Light"/>
          <w:i/>
          <w:iCs/>
          <w:color w:val="0D0D0D" w:themeColor="text1" w:themeTint="F2"/>
          <w:sz w:val="24"/>
          <w:szCs w:val="24"/>
        </w:rPr>
        <w:t>științifice</w:t>
      </w:r>
      <w:r w:rsidR="00FB4D17" w:rsidRPr="00F34E9D">
        <w:rPr>
          <w:rFonts w:ascii="Calibri Light" w:hAnsi="Calibri Light" w:cs="Calibri Light"/>
          <w:i/>
          <w:iCs/>
          <w:color w:val="0D0D0D" w:themeColor="text1" w:themeTint="F2"/>
          <w:sz w:val="24"/>
          <w:szCs w:val="24"/>
        </w:rPr>
        <w:t xml:space="preserve"> contractate”, </w:t>
      </w:r>
      <w:r w:rsidR="00FB4D17" w:rsidRPr="00F34E9D">
        <w:rPr>
          <w:rFonts w:ascii="Calibri Light" w:hAnsi="Calibri Light" w:cs="Calibri Light"/>
          <w:color w:val="0D0D0D" w:themeColor="text1" w:themeTint="F2"/>
          <w:sz w:val="24"/>
          <w:szCs w:val="24"/>
        </w:rPr>
        <w:t>semnat de către minister și universități</w:t>
      </w:r>
      <w:r w:rsidR="00BC6305" w:rsidRPr="00F34E9D">
        <w:rPr>
          <w:rStyle w:val="a7"/>
          <w:rFonts w:asciiTheme="majorHAnsi" w:hAnsiTheme="majorHAnsi" w:cstheme="majorHAnsi"/>
          <w:color w:val="0D0D0D" w:themeColor="text1" w:themeTint="F2"/>
          <w:sz w:val="24"/>
          <w:szCs w:val="24"/>
        </w:rPr>
        <w:footnoteReference w:id="25"/>
      </w:r>
      <w:r w:rsidR="00437AB2" w:rsidRPr="00F34E9D">
        <w:rPr>
          <w:rFonts w:ascii="Calibri Light" w:hAnsi="Calibri Light" w:cs="Calibri Light"/>
          <w:i/>
          <w:iCs/>
          <w:color w:val="0D0D0D" w:themeColor="text1" w:themeTint="F2"/>
          <w:sz w:val="24"/>
          <w:szCs w:val="24"/>
        </w:rPr>
        <w:t xml:space="preserve"> privind finanțarea instituțională a entităților din domeniul cercetărilor științifice</w:t>
      </w:r>
      <w:r w:rsidR="00BC6305" w:rsidRPr="00F34E9D">
        <w:rPr>
          <w:rStyle w:val="a7"/>
          <w:rFonts w:asciiTheme="majorHAnsi" w:hAnsiTheme="majorHAnsi" w:cstheme="majorHAnsi"/>
          <w:color w:val="0D0D0D" w:themeColor="text1" w:themeTint="F2"/>
          <w:sz w:val="24"/>
          <w:szCs w:val="24"/>
        </w:rPr>
        <w:footnoteReference w:id="26"/>
      </w:r>
      <w:r w:rsidR="00FB4D17" w:rsidRPr="00F34E9D">
        <w:rPr>
          <w:rFonts w:ascii="Calibri Light" w:hAnsi="Calibri Light" w:cs="Calibri Light"/>
          <w:color w:val="0D0D0D" w:themeColor="text1" w:themeTint="F2"/>
          <w:sz w:val="24"/>
          <w:szCs w:val="24"/>
        </w:rPr>
        <w:t xml:space="preserve">, </w:t>
      </w:r>
      <w:r w:rsidR="00FB4D17" w:rsidRPr="00F34E9D">
        <w:rPr>
          <w:rFonts w:ascii="Calibri Light" w:hAnsi="Calibri Light" w:cs="Calibri Light"/>
          <w:iCs/>
          <w:color w:val="0D0D0D" w:themeColor="text1" w:themeTint="F2"/>
          <w:sz w:val="24"/>
          <w:szCs w:val="24"/>
        </w:rPr>
        <w:t xml:space="preserve">inclusiv </w:t>
      </w:r>
      <w:r w:rsidR="00437AB2" w:rsidRPr="00F34E9D">
        <w:rPr>
          <w:rFonts w:ascii="Calibri Light" w:hAnsi="Calibri Light" w:cs="Calibri Light"/>
          <w:iCs/>
          <w:color w:val="0D0D0D" w:themeColor="text1" w:themeTint="F2"/>
          <w:sz w:val="24"/>
          <w:szCs w:val="24"/>
        </w:rPr>
        <w:t>clasific</w:t>
      </w:r>
      <w:r w:rsidR="00FB4D17" w:rsidRPr="00F34E9D">
        <w:rPr>
          <w:rFonts w:ascii="Calibri Light" w:hAnsi="Calibri Light" w:cs="Calibri Light"/>
          <w:iCs/>
          <w:color w:val="0D0D0D" w:themeColor="text1" w:themeTint="F2"/>
          <w:sz w:val="24"/>
          <w:szCs w:val="24"/>
        </w:rPr>
        <w:t>area eronată a cheltuielilor aferente acestuia în sumă de</w:t>
      </w:r>
      <w:r w:rsidR="00FB4D17" w:rsidRPr="00F34E9D">
        <w:rPr>
          <w:rFonts w:ascii="Calibri Light" w:hAnsi="Calibri Light" w:cs="Calibri Light"/>
          <w:i/>
          <w:iCs/>
          <w:color w:val="0D0D0D" w:themeColor="text1" w:themeTint="F2"/>
          <w:sz w:val="24"/>
          <w:szCs w:val="24"/>
        </w:rPr>
        <w:t xml:space="preserve"> </w:t>
      </w:r>
      <w:r w:rsidR="00FB4D17" w:rsidRPr="00F34E9D">
        <w:rPr>
          <w:rFonts w:asciiTheme="majorHAnsi" w:hAnsiTheme="majorHAnsi" w:cstheme="majorHAnsi"/>
          <w:color w:val="0D0D0D" w:themeColor="text1" w:themeTint="F2"/>
          <w:sz w:val="24"/>
          <w:szCs w:val="24"/>
        </w:rPr>
        <w:t>5,98 mil.lei</w:t>
      </w:r>
      <w:r w:rsidR="00FB4D17" w:rsidRPr="00F34E9D">
        <w:rPr>
          <w:rFonts w:ascii="Calibri Light" w:hAnsi="Calibri Light" w:cs="Calibri Light"/>
          <w:iCs/>
          <w:color w:val="0D0D0D" w:themeColor="text1" w:themeTint="F2"/>
          <w:sz w:val="24"/>
          <w:szCs w:val="24"/>
        </w:rPr>
        <w:t>,</w:t>
      </w:r>
      <w:r w:rsidR="00FB4D17" w:rsidRPr="00F34E9D">
        <w:rPr>
          <w:rFonts w:ascii="Calibri Light" w:hAnsi="Calibri Light" w:cs="Calibri Light"/>
          <w:color w:val="0D0D0D" w:themeColor="text1" w:themeTint="F2"/>
          <w:sz w:val="24"/>
          <w:szCs w:val="24"/>
        </w:rPr>
        <w:t xml:space="preserve"> a determinat reflectarea eronată a mijloacelor alocate </w:t>
      </w:r>
      <w:r w:rsidR="00437AB2" w:rsidRPr="00F34E9D">
        <w:rPr>
          <w:rFonts w:asciiTheme="majorHAnsi" w:eastAsia="Times New Roman" w:hAnsiTheme="majorHAnsi" w:cstheme="majorHAnsi"/>
          <w:color w:val="0D0D0D" w:themeColor="text1" w:themeTint="F2"/>
          <w:sz w:val="24"/>
          <w:szCs w:val="24"/>
        </w:rPr>
        <w:t>la contul 222930 „Servicii de cercetări științifice contractate”</w:t>
      </w:r>
      <w:r w:rsidR="00FB4D17" w:rsidRPr="00F34E9D">
        <w:rPr>
          <w:rFonts w:ascii="Calibri Light" w:hAnsi="Calibri Light" w:cs="Calibri Light"/>
          <w:color w:val="0D0D0D" w:themeColor="text1" w:themeTint="F2"/>
          <w:sz w:val="24"/>
          <w:szCs w:val="24"/>
        </w:rPr>
        <w:t>, deși</w:t>
      </w:r>
      <w:r w:rsidR="00507E25" w:rsidRPr="00F34E9D">
        <w:rPr>
          <w:rFonts w:ascii="Calibri Light" w:hAnsi="Calibri Light" w:cs="Calibri Light"/>
          <w:color w:val="0D0D0D" w:themeColor="text1" w:themeTint="F2"/>
          <w:sz w:val="24"/>
          <w:szCs w:val="24"/>
        </w:rPr>
        <w:t>,</w:t>
      </w:r>
      <w:r w:rsidR="00FB4D17" w:rsidRPr="00F34E9D">
        <w:rPr>
          <w:rFonts w:ascii="Calibri Light" w:hAnsi="Calibri Light" w:cs="Calibri Light"/>
          <w:color w:val="0D0D0D" w:themeColor="text1" w:themeTint="F2"/>
          <w:sz w:val="24"/>
          <w:szCs w:val="24"/>
        </w:rPr>
        <w:t xml:space="preserve"> ca esență economică</w:t>
      </w:r>
      <w:r w:rsidR="00507E25" w:rsidRPr="00F34E9D">
        <w:rPr>
          <w:rFonts w:ascii="Calibri Light" w:hAnsi="Calibri Light" w:cs="Calibri Light"/>
          <w:color w:val="0D0D0D" w:themeColor="text1" w:themeTint="F2"/>
          <w:sz w:val="24"/>
          <w:szCs w:val="24"/>
        </w:rPr>
        <w:t>,</w:t>
      </w:r>
      <w:r w:rsidR="00FB4D17" w:rsidRPr="00F34E9D">
        <w:rPr>
          <w:rFonts w:ascii="Calibri Light" w:hAnsi="Calibri Light" w:cs="Calibri Light"/>
          <w:color w:val="0D0D0D" w:themeColor="text1" w:themeTint="F2"/>
          <w:sz w:val="24"/>
          <w:szCs w:val="24"/>
        </w:rPr>
        <w:t xml:space="preserve"> urmau a fi reflectate </w:t>
      </w:r>
      <w:r w:rsidR="00507E25" w:rsidRPr="00F34E9D">
        <w:rPr>
          <w:rFonts w:ascii="Calibri Light" w:hAnsi="Calibri Light" w:cs="Calibri Light"/>
          <w:color w:val="0D0D0D" w:themeColor="text1" w:themeTint="F2"/>
          <w:sz w:val="24"/>
          <w:szCs w:val="24"/>
        </w:rPr>
        <w:t>drept</w:t>
      </w:r>
      <w:r w:rsidR="00FB4D17" w:rsidRPr="00F34E9D">
        <w:rPr>
          <w:rFonts w:ascii="Calibri Light" w:hAnsi="Calibri Light" w:cs="Calibri Light"/>
          <w:color w:val="0D0D0D" w:themeColor="text1" w:themeTint="F2"/>
          <w:sz w:val="24"/>
          <w:szCs w:val="24"/>
        </w:rPr>
        <w:t xml:space="preserve"> granturi pentru cheltuieli curente (</w:t>
      </w:r>
      <w:r w:rsidR="00FB4D17" w:rsidRPr="00F34E9D">
        <w:rPr>
          <w:rFonts w:asciiTheme="majorHAnsi" w:eastAsia="Times New Roman" w:hAnsiTheme="majorHAnsi" w:cstheme="majorHAnsi"/>
          <w:color w:val="0D0D0D" w:themeColor="text1" w:themeTint="F2"/>
          <w:sz w:val="24"/>
          <w:szCs w:val="24"/>
        </w:rPr>
        <w:t xml:space="preserve">5,78 mil.lei) </w:t>
      </w:r>
      <w:r w:rsidR="00FB4D17" w:rsidRPr="00F34E9D">
        <w:rPr>
          <w:rFonts w:ascii="Calibri Light" w:hAnsi="Calibri Light" w:cs="Calibri Light"/>
          <w:color w:val="0D0D0D" w:themeColor="text1" w:themeTint="F2"/>
          <w:sz w:val="24"/>
          <w:szCs w:val="24"/>
        </w:rPr>
        <w:t>și granturi pentru cheltuieli capitale (0,</w:t>
      </w:r>
      <w:r w:rsidR="00FB4D17" w:rsidRPr="00F34E9D">
        <w:rPr>
          <w:rFonts w:asciiTheme="majorHAnsi" w:eastAsia="Times New Roman" w:hAnsiTheme="majorHAnsi" w:cstheme="majorHAnsi"/>
          <w:color w:val="0D0D0D" w:themeColor="text1" w:themeTint="F2"/>
          <w:sz w:val="24"/>
          <w:szCs w:val="24"/>
        </w:rPr>
        <w:t>2</w:t>
      </w:r>
      <w:r w:rsidR="004C17B1" w:rsidRPr="00F34E9D">
        <w:rPr>
          <w:rFonts w:asciiTheme="majorHAnsi" w:eastAsia="Times New Roman" w:hAnsiTheme="majorHAnsi" w:cstheme="majorHAnsi"/>
          <w:color w:val="0D0D0D" w:themeColor="text1" w:themeTint="F2"/>
          <w:sz w:val="24"/>
          <w:szCs w:val="24"/>
        </w:rPr>
        <w:t>1</w:t>
      </w:r>
      <w:r w:rsidR="00FB4D17" w:rsidRPr="00F34E9D">
        <w:rPr>
          <w:rFonts w:asciiTheme="majorHAnsi" w:eastAsia="Times New Roman" w:hAnsiTheme="majorHAnsi" w:cstheme="majorHAnsi"/>
          <w:color w:val="0D0D0D" w:themeColor="text1" w:themeTint="F2"/>
          <w:sz w:val="24"/>
          <w:szCs w:val="24"/>
        </w:rPr>
        <w:t xml:space="preserve"> mil.lei)</w:t>
      </w:r>
      <w:r w:rsidR="00BC6305" w:rsidRPr="00F34E9D">
        <w:rPr>
          <w:rStyle w:val="a7"/>
          <w:rFonts w:asciiTheme="majorHAnsi" w:hAnsiTheme="majorHAnsi" w:cstheme="majorHAnsi"/>
          <w:color w:val="0D0D0D" w:themeColor="text1" w:themeTint="F2"/>
          <w:sz w:val="24"/>
          <w:szCs w:val="24"/>
        </w:rPr>
        <w:footnoteReference w:id="27"/>
      </w:r>
      <w:r w:rsidR="004C17B1" w:rsidRPr="00F34E9D">
        <w:rPr>
          <w:rFonts w:ascii="Calibri Light" w:hAnsi="Calibri Light" w:cs="Calibri Light"/>
          <w:color w:val="0D0D0D" w:themeColor="text1" w:themeTint="F2"/>
          <w:sz w:val="24"/>
          <w:szCs w:val="24"/>
        </w:rPr>
        <w:t xml:space="preserve">, </w:t>
      </w:r>
      <w:r w:rsidR="002C5AC0" w:rsidRPr="00F34E9D">
        <w:rPr>
          <w:rFonts w:ascii="Calibri Light" w:hAnsi="Calibri Light" w:cs="Calibri Light"/>
          <w:color w:val="0D0D0D" w:themeColor="text1" w:themeTint="F2"/>
          <w:sz w:val="24"/>
          <w:szCs w:val="24"/>
        </w:rPr>
        <w:t xml:space="preserve">cu </w:t>
      </w:r>
      <w:r w:rsidR="00FB4D17" w:rsidRPr="00F34E9D">
        <w:rPr>
          <w:rFonts w:ascii="Calibri Light" w:hAnsi="Calibri Light" w:cs="Calibri Light"/>
          <w:color w:val="0D0D0D" w:themeColor="text1" w:themeTint="F2"/>
          <w:sz w:val="24"/>
          <w:szCs w:val="24"/>
        </w:rPr>
        <w:t>reflecta</w:t>
      </w:r>
      <w:r w:rsidR="002C5AC0" w:rsidRPr="00F34E9D">
        <w:rPr>
          <w:rFonts w:ascii="Calibri Light" w:hAnsi="Calibri Light" w:cs="Calibri Light"/>
          <w:color w:val="0D0D0D" w:themeColor="text1" w:themeTint="F2"/>
          <w:sz w:val="24"/>
          <w:szCs w:val="24"/>
        </w:rPr>
        <w:t>rea ulterioară</w:t>
      </w:r>
      <w:r w:rsidR="00FB4D17" w:rsidRPr="00F34E9D">
        <w:rPr>
          <w:rFonts w:ascii="Calibri Light" w:hAnsi="Calibri Light" w:cs="Calibri Light"/>
          <w:color w:val="0D0D0D" w:themeColor="text1" w:themeTint="F2"/>
          <w:sz w:val="24"/>
          <w:szCs w:val="24"/>
        </w:rPr>
        <w:t xml:space="preserve"> ca majorare a contului 415 „Investiţii în părţi legate şi nelegate”</w:t>
      </w:r>
      <w:r w:rsidR="00BC6305" w:rsidRPr="00F34E9D">
        <w:rPr>
          <w:rStyle w:val="a7"/>
          <w:rFonts w:asciiTheme="majorHAnsi" w:hAnsiTheme="majorHAnsi" w:cstheme="majorHAnsi"/>
          <w:color w:val="0D0D0D" w:themeColor="text1" w:themeTint="F2"/>
          <w:sz w:val="24"/>
          <w:szCs w:val="24"/>
        </w:rPr>
        <w:t xml:space="preserve"> </w:t>
      </w:r>
      <w:r w:rsidR="00BC6305" w:rsidRPr="00F34E9D">
        <w:rPr>
          <w:rStyle w:val="a7"/>
          <w:rFonts w:asciiTheme="majorHAnsi" w:hAnsiTheme="majorHAnsi" w:cstheme="majorHAnsi"/>
          <w:color w:val="0D0D0D" w:themeColor="text1" w:themeTint="F2"/>
          <w:sz w:val="24"/>
          <w:szCs w:val="24"/>
        </w:rPr>
        <w:footnoteReference w:id="28"/>
      </w:r>
      <w:r w:rsidR="00FB4D17" w:rsidRPr="00F34E9D">
        <w:rPr>
          <w:rFonts w:ascii="Calibri Light" w:hAnsi="Calibri Light" w:cs="Calibri Light"/>
          <w:color w:val="0D0D0D" w:themeColor="text1" w:themeTint="F2"/>
          <w:sz w:val="24"/>
          <w:szCs w:val="24"/>
        </w:rPr>
        <w:t>.</w:t>
      </w:r>
    </w:p>
    <w:p w14:paraId="5AE882D8" w14:textId="7645288E" w:rsidR="008D4A5A" w:rsidRPr="00F34E9D" w:rsidRDefault="005147AC" w:rsidP="00F42E6E">
      <w:pPr>
        <w:spacing w:after="0" w:line="276" w:lineRule="auto"/>
        <w:jc w:val="both"/>
        <w:rPr>
          <w:rFonts w:asciiTheme="majorHAnsi" w:eastAsia="Times New Roman" w:hAnsiTheme="majorHAnsi" w:cstheme="majorHAnsi"/>
          <w:color w:val="0D0D0D" w:themeColor="text1" w:themeTint="F2"/>
          <w:sz w:val="24"/>
          <w:szCs w:val="24"/>
        </w:rPr>
      </w:pPr>
      <w:r w:rsidRPr="00F34E9D">
        <w:rPr>
          <w:rFonts w:asciiTheme="majorHAnsi" w:hAnsiTheme="majorHAnsi" w:cstheme="majorHAnsi"/>
          <w:b/>
          <w:color w:val="0D0D0D" w:themeColor="text1" w:themeTint="F2"/>
          <w:sz w:val="24"/>
          <w:szCs w:val="24"/>
          <w:lang w:val="ro-RO"/>
        </w:rPr>
        <w:t>5.</w:t>
      </w:r>
      <w:r w:rsidR="009B6CCB" w:rsidRPr="00F34E9D">
        <w:rPr>
          <w:rFonts w:asciiTheme="majorHAnsi" w:hAnsiTheme="majorHAnsi" w:cstheme="majorHAnsi"/>
          <w:b/>
          <w:color w:val="0D0D0D" w:themeColor="text1" w:themeTint="F2"/>
          <w:sz w:val="24"/>
          <w:szCs w:val="24"/>
          <w:lang w:val="ro-RO"/>
        </w:rPr>
        <w:t>4</w:t>
      </w:r>
      <w:r w:rsidRPr="00F34E9D">
        <w:rPr>
          <w:rFonts w:asciiTheme="majorHAnsi" w:hAnsiTheme="majorHAnsi" w:cstheme="majorHAnsi"/>
          <w:b/>
          <w:color w:val="0D0D0D" w:themeColor="text1" w:themeTint="F2"/>
          <w:sz w:val="24"/>
          <w:szCs w:val="24"/>
          <w:lang w:val="ro-RO"/>
        </w:rPr>
        <w:t xml:space="preserve">. </w:t>
      </w:r>
      <w:r w:rsidR="00FD175D" w:rsidRPr="00F34E9D">
        <w:rPr>
          <w:rFonts w:asciiTheme="majorHAnsi" w:eastAsia="Times New Roman" w:hAnsiTheme="majorHAnsi" w:cstheme="majorHAnsi"/>
          <w:color w:val="0D0D0D" w:themeColor="text1" w:themeTint="F2"/>
          <w:sz w:val="24"/>
          <w:szCs w:val="24"/>
        </w:rPr>
        <w:t>Politicile de contabilitate a</w:t>
      </w:r>
      <w:r w:rsidR="00507E25" w:rsidRPr="00F34E9D">
        <w:rPr>
          <w:rFonts w:asciiTheme="majorHAnsi" w:eastAsia="Times New Roman" w:hAnsiTheme="majorHAnsi" w:cstheme="majorHAnsi"/>
          <w:color w:val="0D0D0D" w:themeColor="text1" w:themeTint="F2"/>
          <w:sz w:val="24"/>
          <w:szCs w:val="24"/>
        </w:rPr>
        <w:t>le</w:t>
      </w:r>
      <w:r w:rsidR="00FD175D" w:rsidRPr="00F34E9D">
        <w:rPr>
          <w:rFonts w:asciiTheme="majorHAnsi" w:eastAsia="Times New Roman" w:hAnsiTheme="majorHAnsi" w:cstheme="majorHAnsi"/>
          <w:color w:val="0D0D0D" w:themeColor="text1" w:themeTint="F2"/>
          <w:sz w:val="24"/>
          <w:szCs w:val="24"/>
        </w:rPr>
        <w:t xml:space="preserve"> </w:t>
      </w:r>
      <w:r w:rsidR="00546881" w:rsidRPr="00F34E9D">
        <w:rPr>
          <w:rFonts w:asciiTheme="majorHAnsi" w:eastAsia="Times New Roman" w:hAnsiTheme="majorHAnsi" w:cstheme="majorHAnsi"/>
          <w:color w:val="0D0D0D" w:themeColor="text1" w:themeTint="F2"/>
          <w:sz w:val="24"/>
          <w:szCs w:val="24"/>
        </w:rPr>
        <w:t>m</w:t>
      </w:r>
      <w:r w:rsidR="00FD175D" w:rsidRPr="00F34E9D">
        <w:rPr>
          <w:rFonts w:asciiTheme="majorHAnsi" w:eastAsia="Times New Roman" w:hAnsiTheme="majorHAnsi" w:cstheme="majorHAnsi"/>
          <w:color w:val="0D0D0D" w:themeColor="text1" w:themeTint="F2"/>
          <w:sz w:val="24"/>
          <w:szCs w:val="24"/>
        </w:rPr>
        <w:t>inisterului și a</w:t>
      </w:r>
      <w:r w:rsidR="00507E25" w:rsidRPr="00F34E9D">
        <w:rPr>
          <w:rFonts w:asciiTheme="majorHAnsi" w:eastAsia="Times New Roman" w:hAnsiTheme="majorHAnsi" w:cstheme="majorHAnsi"/>
          <w:color w:val="0D0D0D" w:themeColor="text1" w:themeTint="F2"/>
          <w:sz w:val="24"/>
          <w:szCs w:val="24"/>
        </w:rPr>
        <w:t>le</w:t>
      </w:r>
      <w:r w:rsidR="00FD175D" w:rsidRPr="00F34E9D">
        <w:rPr>
          <w:rFonts w:asciiTheme="majorHAnsi" w:eastAsia="Times New Roman" w:hAnsiTheme="majorHAnsi" w:cstheme="majorHAnsi"/>
          <w:color w:val="0D0D0D" w:themeColor="text1" w:themeTint="F2"/>
          <w:sz w:val="24"/>
          <w:szCs w:val="24"/>
        </w:rPr>
        <w:t xml:space="preserve"> entităților din subordine nu specifică criterii și modalități uniforme de atribuire/clasificare a bunurilor ca mijloace fixe sau ca stocuri de materiale circulante, în </w:t>
      </w:r>
      <w:r w:rsidR="00507E25" w:rsidRPr="00F34E9D">
        <w:rPr>
          <w:rFonts w:asciiTheme="majorHAnsi" w:eastAsia="Times New Roman" w:hAnsiTheme="majorHAnsi" w:cstheme="majorHAnsi"/>
          <w:color w:val="0D0D0D" w:themeColor="text1" w:themeTint="F2"/>
          <w:sz w:val="24"/>
          <w:szCs w:val="24"/>
        </w:rPr>
        <w:t xml:space="preserve">funcție </w:t>
      </w:r>
      <w:r w:rsidR="00FD175D" w:rsidRPr="00F34E9D">
        <w:rPr>
          <w:rFonts w:asciiTheme="majorHAnsi" w:eastAsia="Times New Roman" w:hAnsiTheme="majorHAnsi" w:cstheme="majorHAnsi"/>
          <w:color w:val="0D0D0D" w:themeColor="text1" w:themeTint="F2"/>
          <w:sz w:val="24"/>
          <w:szCs w:val="24"/>
        </w:rPr>
        <w:t>de criterii</w:t>
      </w:r>
      <w:r w:rsidR="00507E25" w:rsidRPr="00F34E9D">
        <w:rPr>
          <w:rFonts w:asciiTheme="majorHAnsi" w:eastAsia="Times New Roman" w:hAnsiTheme="majorHAnsi" w:cstheme="majorHAnsi"/>
          <w:color w:val="0D0D0D" w:themeColor="text1" w:themeTint="F2"/>
          <w:sz w:val="24"/>
          <w:szCs w:val="24"/>
        </w:rPr>
        <w:t>le</w:t>
      </w:r>
      <w:r w:rsidR="00FD175D" w:rsidRPr="00F34E9D">
        <w:rPr>
          <w:rFonts w:asciiTheme="majorHAnsi" w:eastAsia="Times New Roman" w:hAnsiTheme="majorHAnsi" w:cstheme="majorHAnsi"/>
          <w:color w:val="0D0D0D" w:themeColor="text1" w:themeTint="F2"/>
          <w:sz w:val="24"/>
          <w:szCs w:val="24"/>
        </w:rPr>
        <w:t xml:space="preserve"> valoare și/sau durata de utilizare, tipul bunului potrivit unui nomenclator etc., ceea ce afectează raportarea financiară și rezultatul financiar. </w:t>
      </w:r>
      <w:r w:rsidR="008D4A5A" w:rsidRPr="00F34E9D">
        <w:rPr>
          <w:rFonts w:asciiTheme="majorHAnsi" w:eastAsia="Times New Roman" w:hAnsiTheme="majorHAnsi" w:cstheme="majorHAnsi"/>
          <w:color w:val="0D0D0D" w:themeColor="text1" w:themeTint="F2"/>
          <w:sz w:val="24"/>
          <w:szCs w:val="24"/>
        </w:rPr>
        <w:t xml:space="preserve">Ca urmare </w:t>
      </w:r>
      <w:r w:rsidR="008D4A5A" w:rsidRPr="00F34E9D">
        <w:rPr>
          <w:rFonts w:asciiTheme="majorHAnsi" w:hAnsiTheme="majorHAnsi" w:cstheme="majorHAnsi"/>
          <w:color w:val="0D0D0D" w:themeColor="text1" w:themeTint="F2"/>
          <w:sz w:val="24"/>
          <w:szCs w:val="24"/>
        </w:rPr>
        <w:t>a atribuirii eronate a materialelor circulante la categoria de mijloace fixe</w:t>
      </w:r>
      <w:r w:rsidR="00507E25" w:rsidRPr="00F34E9D">
        <w:rPr>
          <w:rFonts w:asciiTheme="majorHAnsi" w:hAnsiTheme="majorHAnsi" w:cstheme="majorHAnsi"/>
          <w:color w:val="0D0D0D" w:themeColor="text1" w:themeTint="F2"/>
          <w:sz w:val="24"/>
          <w:szCs w:val="24"/>
        </w:rPr>
        <w:t>,</w:t>
      </w:r>
      <w:r w:rsidR="008D4A5A" w:rsidRPr="00F34E9D">
        <w:rPr>
          <w:rFonts w:asciiTheme="majorHAnsi" w:hAnsiTheme="majorHAnsi" w:cstheme="majorHAnsi"/>
          <w:color w:val="0D0D0D" w:themeColor="text1" w:themeTint="F2"/>
          <w:sz w:val="24"/>
          <w:szCs w:val="24"/>
        </w:rPr>
        <w:t xml:space="preserve"> </w:t>
      </w:r>
      <w:r w:rsidR="008D4A5A" w:rsidRPr="00F34E9D">
        <w:rPr>
          <w:rFonts w:asciiTheme="majorHAnsi" w:eastAsia="Times New Roman" w:hAnsiTheme="majorHAnsi" w:cstheme="majorHAnsi"/>
          <w:color w:val="0D0D0D" w:themeColor="text1" w:themeTint="F2"/>
          <w:sz w:val="24"/>
          <w:szCs w:val="24"/>
        </w:rPr>
        <w:t xml:space="preserve">a fost </w:t>
      </w:r>
      <w:r w:rsidR="008D4A5A" w:rsidRPr="00F34E9D">
        <w:rPr>
          <w:rFonts w:asciiTheme="majorHAnsi" w:hAnsiTheme="majorHAnsi" w:cstheme="majorHAnsi"/>
          <w:color w:val="0D0D0D" w:themeColor="text1" w:themeTint="F2"/>
          <w:sz w:val="24"/>
          <w:szCs w:val="24"/>
        </w:rPr>
        <w:t>diminuat contul 336 și, respectiv, supraevaluat contul 316 „</w:t>
      </w:r>
      <w:r w:rsidR="008D4A5A" w:rsidRPr="00F34E9D">
        <w:rPr>
          <w:rFonts w:asciiTheme="majorHAnsi" w:hAnsiTheme="majorHAnsi" w:cstheme="majorHAnsi"/>
          <w:iCs/>
          <w:color w:val="0D0D0D" w:themeColor="text1" w:themeTint="F2"/>
          <w:sz w:val="24"/>
          <w:szCs w:val="24"/>
        </w:rPr>
        <w:t>Unelte şi scule, inventar de producere şi gospodăresc</w:t>
      </w:r>
      <w:r w:rsidR="008D4A5A" w:rsidRPr="00F34E9D">
        <w:rPr>
          <w:rFonts w:asciiTheme="majorHAnsi" w:hAnsiTheme="majorHAnsi" w:cstheme="majorHAnsi"/>
          <w:color w:val="0D0D0D" w:themeColor="text1" w:themeTint="F2"/>
          <w:sz w:val="24"/>
          <w:szCs w:val="24"/>
        </w:rPr>
        <w:t xml:space="preserve">” cu 0,4 mil.lei și contul 391 „Uzura </w:t>
      </w:r>
      <w:r w:rsidR="00507E25" w:rsidRPr="00F34E9D">
        <w:rPr>
          <w:rFonts w:asciiTheme="majorHAnsi" w:hAnsiTheme="majorHAnsi" w:cstheme="majorHAnsi"/>
          <w:color w:val="0D0D0D" w:themeColor="text1" w:themeTint="F2"/>
          <w:sz w:val="24"/>
          <w:szCs w:val="24"/>
        </w:rPr>
        <w:t>m</w:t>
      </w:r>
      <w:r w:rsidR="008D4A5A" w:rsidRPr="00F34E9D">
        <w:rPr>
          <w:rFonts w:asciiTheme="majorHAnsi" w:hAnsiTheme="majorHAnsi" w:cstheme="majorHAnsi"/>
          <w:color w:val="0D0D0D" w:themeColor="text1" w:themeTint="F2"/>
          <w:sz w:val="24"/>
          <w:szCs w:val="24"/>
        </w:rPr>
        <w:t xml:space="preserve">ijloacelor fixe” </w:t>
      </w:r>
      <w:r w:rsidR="00507E25" w:rsidRPr="00F34E9D">
        <w:rPr>
          <w:rFonts w:asciiTheme="majorHAnsi" w:hAnsiTheme="majorHAnsi" w:cstheme="majorHAnsi"/>
          <w:color w:val="0D0D0D" w:themeColor="text1" w:themeTint="F2"/>
          <w:sz w:val="24"/>
          <w:szCs w:val="24"/>
        </w:rPr>
        <w:t xml:space="preserve">– </w:t>
      </w:r>
      <w:r w:rsidR="008D4A5A" w:rsidRPr="00F34E9D">
        <w:rPr>
          <w:rFonts w:asciiTheme="majorHAnsi" w:hAnsiTheme="majorHAnsi" w:cstheme="majorHAnsi"/>
          <w:color w:val="0D0D0D" w:themeColor="text1" w:themeTint="F2"/>
          <w:sz w:val="24"/>
          <w:szCs w:val="24"/>
        </w:rPr>
        <w:t>cu 0,2 mil.lei</w:t>
      </w:r>
      <w:r w:rsidR="008D4A5A" w:rsidRPr="00F34E9D">
        <w:rPr>
          <w:rFonts w:asciiTheme="majorHAnsi" w:hAnsiTheme="majorHAnsi" w:cstheme="majorHAnsi"/>
          <w:iCs/>
          <w:color w:val="0D0D0D" w:themeColor="text1" w:themeTint="F2"/>
          <w:sz w:val="24"/>
          <w:szCs w:val="24"/>
        </w:rPr>
        <w:t>.</w:t>
      </w:r>
    </w:p>
    <w:p w14:paraId="6B4D5C5B" w14:textId="5D25E919" w:rsidR="008C1B57" w:rsidRPr="00F34E9D" w:rsidRDefault="00186DD1" w:rsidP="00F42E6E">
      <w:pPr>
        <w:spacing w:after="0" w:line="276" w:lineRule="auto"/>
        <w:jc w:val="both"/>
        <w:rPr>
          <w:rFonts w:asciiTheme="majorHAnsi" w:eastAsia="Times New Roman" w:hAnsiTheme="majorHAnsi" w:cstheme="majorHAnsi"/>
          <w:b/>
          <w:color w:val="0D0D0D" w:themeColor="text1" w:themeTint="F2"/>
          <w:sz w:val="24"/>
          <w:szCs w:val="24"/>
        </w:rPr>
      </w:pPr>
      <w:r w:rsidRPr="00F34E9D">
        <w:rPr>
          <w:rFonts w:asciiTheme="majorHAnsi" w:eastAsia="Times New Roman" w:hAnsiTheme="majorHAnsi" w:cstheme="majorHAnsi"/>
          <w:b/>
          <w:color w:val="0D0D0D" w:themeColor="text1" w:themeTint="F2"/>
          <w:sz w:val="24"/>
          <w:szCs w:val="24"/>
        </w:rPr>
        <w:t>5</w:t>
      </w:r>
      <w:r w:rsidR="001E3592" w:rsidRPr="00F34E9D">
        <w:rPr>
          <w:rFonts w:asciiTheme="majorHAnsi" w:eastAsia="Times New Roman" w:hAnsiTheme="majorHAnsi" w:cstheme="majorHAnsi"/>
          <w:b/>
          <w:color w:val="0D0D0D" w:themeColor="text1" w:themeTint="F2"/>
          <w:sz w:val="24"/>
          <w:szCs w:val="24"/>
        </w:rPr>
        <w:t>.</w:t>
      </w:r>
      <w:r w:rsidR="007D6551" w:rsidRPr="00F34E9D">
        <w:rPr>
          <w:rFonts w:asciiTheme="majorHAnsi" w:eastAsia="Times New Roman" w:hAnsiTheme="majorHAnsi" w:cstheme="majorHAnsi"/>
          <w:b/>
          <w:color w:val="0D0D0D" w:themeColor="text1" w:themeTint="F2"/>
          <w:sz w:val="24"/>
          <w:szCs w:val="24"/>
        </w:rPr>
        <w:t>5</w:t>
      </w:r>
      <w:r w:rsidR="001E3592" w:rsidRPr="00F34E9D">
        <w:rPr>
          <w:rFonts w:asciiTheme="majorHAnsi" w:eastAsia="Times New Roman" w:hAnsiTheme="majorHAnsi" w:cstheme="majorHAnsi"/>
          <w:b/>
          <w:color w:val="0D0D0D" w:themeColor="text1" w:themeTint="F2"/>
          <w:sz w:val="24"/>
          <w:szCs w:val="24"/>
        </w:rPr>
        <w:t xml:space="preserve">. </w:t>
      </w:r>
      <w:r w:rsidR="00DB0B3C" w:rsidRPr="00F34E9D">
        <w:rPr>
          <w:rFonts w:asciiTheme="majorHAnsi" w:eastAsia="Times New Roman" w:hAnsiTheme="majorHAnsi" w:cstheme="majorHAnsi"/>
          <w:b/>
          <w:color w:val="0D0D0D" w:themeColor="text1" w:themeTint="F2"/>
          <w:sz w:val="24"/>
          <w:szCs w:val="24"/>
        </w:rPr>
        <w:t>La r</w:t>
      </w:r>
      <w:r w:rsidR="00F10C87" w:rsidRPr="00F34E9D">
        <w:rPr>
          <w:rFonts w:asciiTheme="majorHAnsi" w:eastAsia="Times New Roman" w:hAnsiTheme="majorHAnsi" w:cstheme="majorHAnsi"/>
          <w:b/>
          <w:color w:val="0D0D0D" w:themeColor="text1" w:themeTint="F2"/>
          <w:sz w:val="24"/>
          <w:szCs w:val="24"/>
        </w:rPr>
        <w:t>emunerarea</w:t>
      </w:r>
      <w:r w:rsidR="0006531F" w:rsidRPr="00F34E9D">
        <w:rPr>
          <w:rFonts w:asciiTheme="majorHAnsi" w:eastAsia="Times New Roman" w:hAnsiTheme="majorHAnsi" w:cstheme="majorHAnsi"/>
          <w:b/>
          <w:color w:val="0D0D0D" w:themeColor="text1" w:themeTint="F2"/>
          <w:sz w:val="24"/>
          <w:szCs w:val="24"/>
        </w:rPr>
        <w:t xml:space="preserve"> muncii</w:t>
      </w:r>
      <w:r w:rsidR="00DB0B3C" w:rsidRPr="00F34E9D">
        <w:rPr>
          <w:rFonts w:asciiTheme="majorHAnsi" w:eastAsia="Times New Roman" w:hAnsiTheme="majorHAnsi" w:cstheme="majorHAnsi"/>
          <w:b/>
          <w:color w:val="0D0D0D" w:themeColor="text1" w:themeTint="F2"/>
          <w:sz w:val="24"/>
          <w:szCs w:val="24"/>
        </w:rPr>
        <w:t xml:space="preserve"> s-au constatat </w:t>
      </w:r>
      <w:r w:rsidR="00151108" w:rsidRPr="00F34E9D">
        <w:rPr>
          <w:rFonts w:asciiTheme="majorHAnsi" w:eastAsia="Times New Roman" w:hAnsiTheme="majorHAnsi" w:cstheme="majorHAnsi"/>
          <w:b/>
          <w:color w:val="0D0D0D" w:themeColor="text1" w:themeTint="F2"/>
          <w:sz w:val="24"/>
          <w:szCs w:val="24"/>
        </w:rPr>
        <w:t xml:space="preserve">abateri </w:t>
      </w:r>
      <w:r w:rsidR="00DB0B3C" w:rsidRPr="00F34E9D">
        <w:rPr>
          <w:rFonts w:asciiTheme="majorHAnsi" w:eastAsia="Times New Roman" w:hAnsiTheme="majorHAnsi" w:cstheme="majorHAnsi"/>
          <w:b/>
          <w:color w:val="0D0D0D" w:themeColor="text1" w:themeTint="F2"/>
          <w:sz w:val="24"/>
          <w:szCs w:val="24"/>
        </w:rPr>
        <w:t xml:space="preserve">de la cadrul normativ, în unele cazuri cu impact asupra </w:t>
      </w:r>
      <w:r w:rsidR="00072883" w:rsidRPr="00F34E9D">
        <w:rPr>
          <w:rFonts w:asciiTheme="majorHAnsi" w:eastAsia="Times New Roman" w:hAnsiTheme="majorHAnsi" w:cstheme="majorHAnsi"/>
          <w:b/>
          <w:color w:val="0D0D0D" w:themeColor="text1" w:themeTint="F2"/>
          <w:sz w:val="24"/>
          <w:szCs w:val="24"/>
        </w:rPr>
        <w:t>rapoartelor</w:t>
      </w:r>
      <w:r w:rsidR="00333DA9" w:rsidRPr="00F34E9D">
        <w:rPr>
          <w:rFonts w:asciiTheme="majorHAnsi" w:eastAsia="Times New Roman" w:hAnsiTheme="majorHAnsi" w:cstheme="majorHAnsi"/>
          <w:b/>
          <w:color w:val="0D0D0D" w:themeColor="text1" w:themeTint="F2"/>
          <w:sz w:val="24"/>
          <w:szCs w:val="24"/>
        </w:rPr>
        <w:t xml:space="preserve"> </w:t>
      </w:r>
      <w:r w:rsidR="00072883" w:rsidRPr="00F34E9D">
        <w:rPr>
          <w:rFonts w:asciiTheme="majorHAnsi" w:eastAsia="Times New Roman" w:hAnsiTheme="majorHAnsi" w:cstheme="majorHAnsi"/>
          <w:b/>
          <w:color w:val="0D0D0D" w:themeColor="text1" w:themeTint="F2"/>
          <w:sz w:val="24"/>
          <w:szCs w:val="24"/>
        </w:rPr>
        <w:t>financiare</w:t>
      </w:r>
      <w:r w:rsidR="00DB0B3C" w:rsidRPr="00F34E9D">
        <w:rPr>
          <w:rFonts w:asciiTheme="majorHAnsi" w:eastAsia="Times New Roman" w:hAnsiTheme="majorHAnsi" w:cstheme="majorHAnsi"/>
          <w:b/>
          <w:color w:val="0D0D0D" w:themeColor="text1" w:themeTint="F2"/>
          <w:sz w:val="24"/>
          <w:szCs w:val="24"/>
        </w:rPr>
        <w:t xml:space="preserve">. </w:t>
      </w:r>
    </w:p>
    <w:p w14:paraId="11DCF171" w14:textId="574B9FDD" w:rsidR="008C1B57" w:rsidRPr="00F34E9D" w:rsidRDefault="00615579" w:rsidP="00F42E6E">
      <w:pPr>
        <w:pStyle w:val="a3"/>
        <w:widowControl w:val="0"/>
        <w:shd w:val="clear" w:color="auto" w:fill="FFFFFF"/>
        <w:tabs>
          <w:tab w:val="left" w:pos="0"/>
          <w:tab w:val="left" w:pos="567"/>
        </w:tabs>
        <w:spacing w:after="0" w:line="276" w:lineRule="auto"/>
        <w:ind w:left="0"/>
        <w:contextualSpacing w:val="0"/>
        <w:jc w:val="both"/>
        <w:rPr>
          <w:rFonts w:asciiTheme="majorHAnsi" w:eastAsia="Times New Roman" w:hAnsiTheme="majorHAnsi" w:cstheme="majorHAnsi"/>
          <w:bCs/>
          <w:color w:val="0D0D0D" w:themeColor="text1" w:themeTint="F2"/>
          <w:sz w:val="24"/>
          <w:szCs w:val="24"/>
        </w:rPr>
      </w:pPr>
      <w:r w:rsidRPr="00F34E9D">
        <w:rPr>
          <w:rFonts w:asciiTheme="majorHAnsi" w:eastAsia="Times New Roman" w:hAnsiTheme="majorHAnsi" w:cstheme="majorHAnsi"/>
          <w:b/>
          <w:color w:val="0D0D0D" w:themeColor="text1" w:themeTint="F2"/>
          <w:sz w:val="24"/>
          <w:szCs w:val="24"/>
        </w:rPr>
        <w:t>5.</w:t>
      </w:r>
      <w:r w:rsidR="007D6551" w:rsidRPr="00F34E9D">
        <w:rPr>
          <w:rFonts w:asciiTheme="majorHAnsi" w:eastAsia="Times New Roman" w:hAnsiTheme="majorHAnsi" w:cstheme="majorHAnsi"/>
          <w:b/>
          <w:color w:val="0D0D0D" w:themeColor="text1" w:themeTint="F2"/>
          <w:sz w:val="24"/>
          <w:szCs w:val="24"/>
        </w:rPr>
        <w:t>5</w:t>
      </w:r>
      <w:r w:rsidRPr="00F34E9D">
        <w:rPr>
          <w:rFonts w:asciiTheme="majorHAnsi" w:eastAsia="Times New Roman" w:hAnsiTheme="majorHAnsi" w:cstheme="majorHAnsi"/>
          <w:b/>
          <w:color w:val="0D0D0D" w:themeColor="text1" w:themeTint="F2"/>
          <w:sz w:val="24"/>
          <w:szCs w:val="24"/>
        </w:rPr>
        <w:t>.1.</w:t>
      </w:r>
      <w:r w:rsidRPr="00F34E9D">
        <w:rPr>
          <w:rFonts w:asciiTheme="majorHAnsi" w:eastAsia="Times New Roman" w:hAnsiTheme="majorHAnsi" w:cstheme="majorHAnsi"/>
          <w:color w:val="0D0D0D" w:themeColor="text1" w:themeTint="F2"/>
          <w:sz w:val="24"/>
          <w:szCs w:val="24"/>
        </w:rPr>
        <w:t xml:space="preserve"> </w:t>
      </w:r>
      <w:r w:rsidR="008C1B57" w:rsidRPr="00F34E9D">
        <w:rPr>
          <w:rFonts w:asciiTheme="majorHAnsi" w:eastAsia="Times New Roman" w:hAnsiTheme="majorHAnsi" w:cstheme="majorHAnsi"/>
          <w:color w:val="0D0D0D" w:themeColor="text1" w:themeTint="F2"/>
          <w:sz w:val="24"/>
          <w:szCs w:val="24"/>
        </w:rPr>
        <w:t>MEC și unele entități publice subordonate, prin aplicarea eronată a prevederilor normative</w:t>
      </w:r>
      <w:r w:rsidR="008C1B57" w:rsidRPr="00F34E9D">
        <w:rPr>
          <w:rFonts w:asciiTheme="majorHAnsi" w:hAnsiTheme="majorHAnsi" w:cstheme="majorHAnsi"/>
          <w:color w:val="0D0D0D" w:themeColor="text1" w:themeTint="F2"/>
          <w:sz w:val="24"/>
          <w:szCs w:val="24"/>
          <w:vertAlign w:val="superscript"/>
        </w:rPr>
        <w:footnoteReference w:id="29"/>
      </w:r>
      <w:r w:rsidR="008C1B57" w:rsidRPr="00F34E9D">
        <w:rPr>
          <w:rFonts w:asciiTheme="majorHAnsi" w:eastAsia="Times New Roman" w:hAnsiTheme="majorHAnsi" w:cstheme="majorHAnsi"/>
          <w:color w:val="0D0D0D" w:themeColor="text1" w:themeTint="F2"/>
          <w:sz w:val="24"/>
          <w:szCs w:val="24"/>
        </w:rPr>
        <w:t xml:space="preserve">, au acordat drepturi salariale neconforme, peste limitele reglementate, care </w:t>
      </w:r>
      <w:r w:rsidR="0021050D" w:rsidRPr="00F34E9D">
        <w:rPr>
          <w:rFonts w:asciiTheme="majorHAnsi" w:eastAsia="Times New Roman" w:hAnsiTheme="majorHAnsi" w:cstheme="majorHAnsi"/>
          <w:color w:val="0D0D0D" w:themeColor="text1" w:themeTint="F2"/>
          <w:sz w:val="24"/>
          <w:szCs w:val="24"/>
        </w:rPr>
        <w:t>s-au referit la partea variabilă a salariilor pentru cumularea funcțiilor</w:t>
      </w:r>
      <w:r w:rsidR="008C1B57" w:rsidRPr="00F34E9D">
        <w:rPr>
          <w:rFonts w:asciiTheme="majorHAnsi" w:eastAsia="Times New Roman" w:hAnsiTheme="majorHAnsi" w:cstheme="majorHAnsi"/>
          <w:color w:val="0D0D0D" w:themeColor="text1" w:themeTint="F2"/>
          <w:sz w:val="24"/>
          <w:szCs w:val="24"/>
        </w:rPr>
        <w:t xml:space="preserve">, </w:t>
      </w:r>
      <w:r w:rsidR="008C1B57" w:rsidRPr="00F34E9D">
        <w:rPr>
          <w:rFonts w:asciiTheme="majorHAnsi" w:eastAsia="Times New Roman" w:hAnsiTheme="majorHAnsi" w:cstheme="majorHAnsi"/>
          <w:bCs/>
          <w:color w:val="0D0D0D" w:themeColor="text1" w:themeTint="F2"/>
          <w:sz w:val="24"/>
          <w:szCs w:val="24"/>
          <w:lang w:val="ro-RO"/>
        </w:rPr>
        <w:t>sporul pentru performanță, premiile unice cu ocazia zilelor de sărbătoare nelucrătoare și sărbătorilor profesionale</w:t>
      </w:r>
      <w:r w:rsidR="008C1B57" w:rsidRPr="00F34E9D">
        <w:rPr>
          <w:rFonts w:asciiTheme="majorHAnsi" w:eastAsia="Times New Roman" w:hAnsiTheme="majorHAnsi" w:cstheme="majorHAnsi"/>
          <w:color w:val="0D0D0D" w:themeColor="text1" w:themeTint="F2"/>
          <w:sz w:val="24"/>
          <w:szCs w:val="24"/>
        </w:rPr>
        <w:t xml:space="preserve"> </w:t>
      </w:r>
      <w:r w:rsidR="008C1B57" w:rsidRPr="00F34E9D">
        <w:rPr>
          <w:rFonts w:asciiTheme="majorHAnsi" w:eastAsia="Times New Roman" w:hAnsiTheme="majorHAnsi" w:cstheme="majorHAnsi"/>
          <w:bCs/>
          <w:color w:val="0D0D0D" w:themeColor="text1" w:themeTint="F2"/>
          <w:sz w:val="24"/>
          <w:szCs w:val="24"/>
          <w:lang w:val="ro-RO"/>
        </w:rPr>
        <w:t>și majorarea claselor de salarizare pentru activitatea de elaborare a politicilor</w:t>
      </w:r>
      <w:r w:rsidR="008C1B57" w:rsidRPr="00F34E9D">
        <w:rPr>
          <w:rStyle w:val="a7"/>
          <w:rFonts w:asciiTheme="majorHAnsi" w:eastAsia="Times New Roman" w:hAnsiTheme="majorHAnsi" w:cstheme="majorHAnsi"/>
          <w:bCs/>
          <w:color w:val="0D0D0D" w:themeColor="text1" w:themeTint="F2"/>
          <w:sz w:val="24"/>
          <w:szCs w:val="24"/>
          <w:lang w:val="ro-RO"/>
        </w:rPr>
        <w:footnoteReference w:id="30"/>
      </w:r>
      <w:r w:rsidR="008C1B57" w:rsidRPr="00F34E9D">
        <w:rPr>
          <w:rFonts w:asciiTheme="majorHAnsi" w:eastAsia="Times New Roman" w:hAnsiTheme="majorHAnsi" w:cstheme="majorHAnsi"/>
          <w:color w:val="0D0D0D" w:themeColor="text1" w:themeTint="F2"/>
          <w:sz w:val="24"/>
          <w:szCs w:val="24"/>
          <w:lang w:val="ro-RO"/>
        </w:rPr>
        <w:t>.</w:t>
      </w:r>
      <w:r w:rsidR="008C1B57" w:rsidRPr="00F34E9D">
        <w:rPr>
          <w:rFonts w:asciiTheme="majorHAnsi" w:eastAsia="Times New Roman" w:hAnsiTheme="majorHAnsi" w:cstheme="majorHAnsi"/>
          <w:color w:val="0D0D0D" w:themeColor="text1" w:themeTint="F2"/>
          <w:sz w:val="24"/>
          <w:szCs w:val="24"/>
        </w:rPr>
        <w:t xml:space="preserve"> Această deficiență a dus la majorarea nejustificată a cheltuielilor </w:t>
      </w:r>
      <w:r w:rsidR="00BA7803" w:rsidRPr="00F34E9D">
        <w:rPr>
          <w:rFonts w:asciiTheme="majorHAnsi" w:eastAsia="Times New Roman" w:hAnsiTheme="majorHAnsi" w:cstheme="majorHAnsi"/>
          <w:color w:val="0D0D0D" w:themeColor="text1" w:themeTint="F2"/>
          <w:sz w:val="24"/>
          <w:szCs w:val="24"/>
        </w:rPr>
        <w:t>înregistrate la</w:t>
      </w:r>
      <w:r w:rsidR="008C1B57" w:rsidRPr="00F34E9D">
        <w:rPr>
          <w:rFonts w:asciiTheme="majorHAnsi" w:eastAsia="Times New Roman" w:hAnsiTheme="majorHAnsi" w:cstheme="majorHAnsi"/>
          <w:bCs/>
          <w:color w:val="0D0D0D" w:themeColor="text1" w:themeTint="F2"/>
          <w:sz w:val="24"/>
          <w:szCs w:val="24"/>
        </w:rPr>
        <w:t xml:space="preserve"> contul 211 „Remunerarea muncii” </w:t>
      </w:r>
      <w:r w:rsidR="00270FD6" w:rsidRPr="00F34E9D">
        <w:rPr>
          <w:rFonts w:asciiTheme="majorHAnsi" w:eastAsia="Times New Roman" w:hAnsiTheme="majorHAnsi" w:cstheme="majorHAnsi"/>
          <w:bCs/>
          <w:color w:val="0D0D0D" w:themeColor="text1" w:themeTint="F2"/>
          <w:sz w:val="24"/>
          <w:szCs w:val="24"/>
          <w:lang w:val="ro-RO"/>
        </w:rPr>
        <w:t>și diminuarea creanțelor</w:t>
      </w:r>
      <w:r w:rsidR="00270FD6" w:rsidRPr="00F34E9D">
        <w:rPr>
          <w:rFonts w:asciiTheme="majorHAnsi" w:eastAsia="Times New Roman" w:hAnsiTheme="majorHAnsi" w:cstheme="majorHAnsi"/>
          <w:b/>
          <w:bCs/>
          <w:color w:val="0D0D0D" w:themeColor="text1" w:themeTint="F2"/>
          <w:sz w:val="24"/>
          <w:szCs w:val="24"/>
          <w:lang w:val="ro-RO"/>
        </w:rPr>
        <w:t xml:space="preserve"> </w:t>
      </w:r>
      <w:r w:rsidR="008C1B57" w:rsidRPr="00F34E9D">
        <w:rPr>
          <w:rFonts w:asciiTheme="majorHAnsi" w:eastAsia="Times New Roman" w:hAnsiTheme="majorHAnsi" w:cstheme="majorHAnsi"/>
          <w:bCs/>
          <w:color w:val="0D0D0D" w:themeColor="text1" w:themeTint="F2"/>
          <w:sz w:val="24"/>
          <w:szCs w:val="24"/>
        </w:rPr>
        <w:t xml:space="preserve">cu suma totală de </w:t>
      </w:r>
      <w:r w:rsidR="008C1B57" w:rsidRPr="00F34E9D">
        <w:rPr>
          <w:rFonts w:asciiTheme="majorHAnsi" w:eastAsia="Times New Roman" w:hAnsiTheme="majorHAnsi" w:cstheme="majorHAnsi"/>
          <w:b/>
          <w:bCs/>
          <w:color w:val="0D0D0D" w:themeColor="text1" w:themeTint="F2"/>
          <w:sz w:val="24"/>
          <w:szCs w:val="24"/>
        </w:rPr>
        <w:t>768</w:t>
      </w:r>
      <w:r w:rsidR="00486E08" w:rsidRPr="00F34E9D">
        <w:rPr>
          <w:rFonts w:asciiTheme="majorHAnsi" w:eastAsia="Times New Roman" w:hAnsiTheme="majorHAnsi" w:cstheme="majorHAnsi"/>
          <w:b/>
          <w:bCs/>
          <w:color w:val="0D0D0D" w:themeColor="text1" w:themeTint="F2"/>
          <w:sz w:val="24"/>
          <w:szCs w:val="24"/>
        </w:rPr>
        <w:t>,</w:t>
      </w:r>
      <w:r w:rsidR="008C1B57" w:rsidRPr="00F34E9D">
        <w:rPr>
          <w:rFonts w:asciiTheme="majorHAnsi" w:eastAsia="Times New Roman" w:hAnsiTheme="majorHAnsi" w:cstheme="majorHAnsi"/>
          <w:b/>
          <w:bCs/>
          <w:color w:val="0D0D0D" w:themeColor="text1" w:themeTint="F2"/>
          <w:sz w:val="24"/>
          <w:szCs w:val="24"/>
        </w:rPr>
        <w:t>6</w:t>
      </w:r>
      <w:r w:rsidR="00486E08" w:rsidRPr="00F34E9D">
        <w:rPr>
          <w:rFonts w:asciiTheme="majorHAnsi" w:eastAsia="Times New Roman" w:hAnsiTheme="majorHAnsi" w:cstheme="majorHAnsi"/>
          <w:b/>
          <w:bCs/>
          <w:color w:val="0D0D0D" w:themeColor="text1" w:themeTint="F2"/>
          <w:sz w:val="24"/>
          <w:szCs w:val="24"/>
        </w:rPr>
        <w:t xml:space="preserve"> mii</w:t>
      </w:r>
      <w:r w:rsidR="008C1B57" w:rsidRPr="00F34E9D">
        <w:rPr>
          <w:rFonts w:asciiTheme="majorHAnsi" w:eastAsia="Times New Roman" w:hAnsiTheme="majorHAnsi" w:cstheme="majorHAnsi"/>
          <w:b/>
          <w:bCs/>
          <w:color w:val="0D0D0D" w:themeColor="text1" w:themeTint="F2"/>
          <w:sz w:val="24"/>
          <w:szCs w:val="24"/>
          <w:lang w:val="ro-RO"/>
        </w:rPr>
        <w:t xml:space="preserve"> lei</w:t>
      </w:r>
      <w:r w:rsidR="008C1B57" w:rsidRPr="00F34E9D">
        <w:rPr>
          <w:rFonts w:asciiTheme="majorHAnsi" w:hAnsiTheme="majorHAnsi" w:cstheme="majorHAnsi"/>
          <w:bCs/>
          <w:color w:val="0D0D0D" w:themeColor="text1" w:themeTint="F2"/>
          <w:sz w:val="24"/>
          <w:szCs w:val="24"/>
          <w:vertAlign w:val="superscript"/>
          <w:lang w:val="ro-RO"/>
        </w:rPr>
        <w:footnoteReference w:id="31"/>
      </w:r>
      <w:r w:rsidR="00270FD6" w:rsidRPr="00F34E9D">
        <w:rPr>
          <w:rFonts w:asciiTheme="majorHAnsi" w:eastAsia="Times New Roman" w:hAnsiTheme="majorHAnsi" w:cstheme="majorHAnsi"/>
          <w:bCs/>
          <w:color w:val="0D0D0D" w:themeColor="text1" w:themeTint="F2"/>
          <w:sz w:val="24"/>
          <w:szCs w:val="24"/>
          <w:lang w:val="ro-RO"/>
        </w:rPr>
        <w:t>.</w:t>
      </w:r>
      <w:r w:rsidR="006C453B" w:rsidRPr="00F34E9D">
        <w:rPr>
          <w:rFonts w:asciiTheme="majorHAnsi" w:eastAsia="Times New Roman" w:hAnsiTheme="majorHAnsi" w:cstheme="majorHAnsi"/>
          <w:b/>
          <w:bCs/>
          <w:color w:val="0D0D0D" w:themeColor="text1" w:themeTint="F2"/>
          <w:sz w:val="24"/>
          <w:szCs w:val="24"/>
          <w:lang w:val="ro-RO"/>
        </w:rPr>
        <w:t xml:space="preserve"> </w:t>
      </w:r>
    </w:p>
    <w:p w14:paraId="2DFE03AA" w14:textId="365CC405" w:rsidR="008C1B57" w:rsidRPr="00F34E9D" w:rsidRDefault="00615579" w:rsidP="00F42E6E">
      <w:pPr>
        <w:pStyle w:val="a3"/>
        <w:widowControl w:val="0"/>
        <w:shd w:val="clear" w:color="auto" w:fill="FFFFFF"/>
        <w:tabs>
          <w:tab w:val="left" w:pos="0"/>
        </w:tabs>
        <w:spacing w:after="0" w:line="276" w:lineRule="auto"/>
        <w:ind w:left="0"/>
        <w:contextualSpacing w:val="0"/>
        <w:jc w:val="both"/>
        <w:rPr>
          <w:rFonts w:asciiTheme="majorHAnsi" w:eastAsia="Times New Roman" w:hAnsiTheme="majorHAnsi" w:cstheme="majorHAnsi"/>
          <w:color w:val="0D0D0D" w:themeColor="text1" w:themeTint="F2"/>
          <w:sz w:val="24"/>
          <w:szCs w:val="24"/>
        </w:rPr>
      </w:pPr>
      <w:r w:rsidRPr="00F34E9D">
        <w:rPr>
          <w:rFonts w:asciiTheme="majorHAnsi" w:eastAsia="Times New Roman" w:hAnsiTheme="majorHAnsi" w:cstheme="majorHAnsi"/>
          <w:b/>
          <w:color w:val="0D0D0D" w:themeColor="text1" w:themeTint="F2"/>
          <w:sz w:val="24"/>
          <w:szCs w:val="24"/>
        </w:rPr>
        <w:t>5.</w:t>
      </w:r>
      <w:r w:rsidR="007D6551" w:rsidRPr="00F34E9D">
        <w:rPr>
          <w:rFonts w:asciiTheme="majorHAnsi" w:eastAsia="Times New Roman" w:hAnsiTheme="majorHAnsi" w:cstheme="majorHAnsi"/>
          <w:b/>
          <w:color w:val="0D0D0D" w:themeColor="text1" w:themeTint="F2"/>
          <w:sz w:val="24"/>
          <w:szCs w:val="24"/>
        </w:rPr>
        <w:t>5</w:t>
      </w:r>
      <w:r w:rsidRPr="00F34E9D">
        <w:rPr>
          <w:rFonts w:asciiTheme="majorHAnsi" w:eastAsia="Times New Roman" w:hAnsiTheme="majorHAnsi" w:cstheme="majorHAnsi"/>
          <w:b/>
          <w:color w:val="0D0D0D" w:themeColor="text1" w:themeTint="F2"/>
          <w:sz w:val="24"/>
          <w:szCs w:val="24"/>
        </w:rPr>
        <w:t>.</w:t>
      </w:r>
      <w:r w:rsidR="00BA7803" w:rsidRPr="00F34E9D">
        <w:rPr>
          <w:rFonts w:asciiTheme="majorHAnsi" w:eastAsia="Times New Roman" w:hAnsiTheme="majorHAnsi" w:cstheme="majorHAnsi"/>
          <w:b/>
          <w:color w:val="0D0D0D" w:themeColor="text1" w:themeTint="F2"/>
          <w:sz w:val="24"/>
          <w:szCs w:val="24"/>
        </w:rPr>
        <w:t>2</w:t>
      </w:r>
      <w:r w:rsidRPr="00F34E9D">
        <w:rPr>
          <w:rFonts w:asciiTheme="majorHAnsi" w:eastAsia="Times New Roman" w:hAnsiTheme="majorHAnsi" w:cstheme="majorHAnsi"/>
          <w:b/>
          <w:color w:val="0D0D0D" w:themeColor="text1" w:themeTint="F2"/>
          <w:sz w:val="24"/>
          <w:szCs w:val="24"/>
        </w:rPr>
        <w:t>.</w:t>
      </w:r>
      <w:r w:rsidRPr="00F34E9D">
        <w:rPr>
          <w:rFonts w:asciiTheme="majorHAnsi" w:eastAsia="Times New Roman" w:hAnsiTheme="majorHAnsi" w:cstheme="majorHAnsi"/>
          <w:color w:val="0D0D0D" w:themeColor="text1" w:themeTint="F2"/>
          <w:sz w:val="24"/>
          <w:szCs w:val="24"/>
        </w:rPr>
        <w:t xml:space="preserve"> </w:t>
      </w:r>
      <w:r w:rsidR="008C1B57" w:rsidRPr="00F34E9D">
        <w:rPr>
          <w:rFonts w:asciiTheme="majorHAnsi" w:eastAsia="Times New Roman" w:hAnsiTheme="majorHAnsi" w:cstheme="majorHAnsi"/>
          <w:bCs/>
          <w:color w:val="0D0D0D" w:themeColor="text1" w:themeTint="F2"/>
          <w:sz w:val="24"/>
          <w:szCs w:val="24"/>
          <w:lang w:val="ro-RO"/>
        </w:rPr>
        <w:t xml:space="preserve">Valoarea grupei de conturi 211 </w:t>
      </w:r>
      <w:r w:rsidR="008C1B57" w:rsidRPr="00F34E9D">
        <w:rPr>
          <w:rFonts w:asciiTheme="majorHAnsi" w:eastAsia="Times New Roman" w:hAnsiTheme="majorHAnsi" w:cstheme="majorHAnsi"/>
          <w:bCs/>
          <w:color w:val="0D0D0D" w:themeColor="text1" w:themeTint="F2"/>
          <w:sz w:val="24"/>
          <w:szCs w:val="24"/>
        </w:rPr>
        <w:t>„Remunerarea muncii”</w:t>
      </w:r>
      <w:r w:rsidR="008C1B57" w:rsidRPr="00F34E9D">
        <w:rPr>
          <w:rFonts w:asciiTheme="majorHAnsi" w:eastAsia="Times New Roman" w:hAnsiTheme="majorHAnsi" w:cstheme="majorHAnsi"/>
          <w:bCs/>
          <w:color w:val="0D0D0D" w:themeColor="text1" w:themeTint="F2"/>
          <w:sz w:val="24"/>
          <w:szCs w:val="24"/>
          <w:lang w:val="ro-RO"/>
        </w:rPr>
        <w:t xml:space="preserve"> a fost supraevaluată cu suma de </w:t>
      </w:r>
      <w:r w:rsidR="002223E2" w:rsidRPr="00F34E9D">
        <w:rPr>
          <w:rFonts w:asciiTheme="majorHAnsi" w:eastAsia="Times New Roman" w:hAnsiTheme="majorHAnsi" w:cstheme="majorHAnsi"/>
          <w:b/>
          <w:bCs/>
          <w:color w:val="0D0D0D" w:themeColor="text1" w:themeTint="F2"/>
          <w:sz w:val="24"/>
          <w:szCs w:val="24"/>
          <w:lang w:val="ro-RO"/>
        </w:rPr>
        <w:t>40,2 mii</w:t>
      </w:r>
      <w:r w:rsidR="008C1B57" w:rsidRPr="00F34E9D">
        <w:rPr>
          <w:rFonts w:asciiTheme="majorHAnsi" w:eastAsia="Times New Roman" w:hAnsiTheme="majorHAnsi" w:cstheme="majorHAnsi"/>
          <w:b/>
          <w:bCs/>
          <w:color w:val="0D0D0D" w:themeColor="text1" w:themeTint="F2"/>
          <w:sz w:val="24"/>
          <w:szCs w:val="24"/>
          <w:lang w:val="ro-RO"/>
        </w:rPr>
        <w:t xml:space="preserve"> lei</w:t>
      </w:r>
      <w:r w:rsidR="008C1B57" w:rsidRPr="00F34E9D">
        <w:rPr>
          <w:rStyle w:val="a7"/>
          <w:rFonts w:asciiTheme="majorHAnsi" w:eastAsia="Times New Roman" w:hAnsiTheme="majorHAnsi" w:cstheme="majorHAnsi"/>
          <w:bCs/>
          <w:color w:val="0D0D0D" w:themeColor="text1" w:themeTint="F2"/>
          <w:sz w:val="24"/>
          <w:szCs w:val="24"/>
          <w:lang w:val="ro-RO"/>
        </w:rPr>
        <w:footnoteReference w:id="32"/>
      </w:r>
      <w:r w:rsidR="008C1B57" w:rsidRPr="00F34E9D">
        <w:rPr>
          <w:rFonts w:asciiTheme="majorHAnsi" w:eastAsia="Times New Roman" w:hAnsiTheme="majorHAnsi" w:cstheme="majorHAnsi"/>
          <w:bCs/>
          <w:color w:val="0D0D0D" w:themeColor="text1" w:themeTint="F2"/>
          <w:sz w:val="24"/>
          <w:szCs w:val="24"/>
          <w:lang w:val="ro-RO"/>
        </w:rPr>
        <w:t>, din cauza neaplicării conforme a regulilor de clasificare și înregistrare</w:t>
      </w:r>
      <w:r w:rsidR="003F3417" w:rsidRPr="00F34E9D">
        <w:rPr>
          <w:rFonts w:asciiTheme="majorHAnsi" w:eastAsia="Times New Roman" w:hAnsiTheme="majorHAnsi" w:cstheme="majorHAnsi"/>
          <w:bCs/>
          <w:color w:val="0D0D0D" w:themeColor="text1" w:themeTint="F2"/>
          <w:sz w:val="24"/>
          <w:szCs w:val="24"/>
          <w:lang w:val="ro-RO"/>
        </w:rPr>
        <w:t xml:space="preserve"> stabilite în O</w:t>
      </w:r>
      <w:r w:rsidR="00151108" w:rsidRPr="00F34E9D">
        <w:rPr>
          <w:rFonts w:asciiTheme="majorHAnsi" w:eastAsia="Times New Roman" w:hAnsiTheme="majorHAnsi" w:cstheme="majorHAnsi"/>
          <w:bCs/>
          <w:color w:val="0D0D0D" w:themeColor="text1" w:themeTint="F2"/>
          <w:sz w:val="24"/>
          <w:szCs w:val="24"/>
          <w:lang w:val="ro-RO"/>
        </w:rPr>
        <w:t xml:space="preserve">rdinul </w:t>
      </w:r>
      <w:r w:rsidR="003F3417" w:rsidRPr="00F34E9D">
        <w:rPr>
          <w:rFonts w:asciiTheme="majorHAnsi" w:eastAsia="Times New Roman" w:hAnsiTheme="majorHAnsi" w:cstheme="majorHAnsi"/>
          <w:bCs/>
          <w:color w:val="0D0D0D" w:themeColor="text1" w:themeTint="F2"/>
          <w:sz w:val="24"/>
          <w:szCs w:val="24"/>
          <w:lang w:val="ro-RO"/>
        </w:rPr>
        <w:t xml:space="preserve">MF </w:t>
      </w:r>
      <w:r w:rsidR="00EC44BB" w:rsidRPr="00F34E9D">
        <w:rPr>
          <w:rFonts w:asciiTheme="majorHAnsi" w:eastAsia="Times New Roman" w:hAnsiTheme="majorHAnsi" w:cstheme="majorHAnsi"/>
          <w:bCs/>
          <w:color w:val="0D0D0D" w:themeColor="text1" w:themeTint="F2"/>
          <w:sz w:val="24"/>
          <w:szCs w:val="24"/>
          <w:lang w:val="ro-RO"/>
        </w:rPr>
        <w:t>nr.</w:t>
      </w:r>
      <w:r w:rsidR="003F3417" w:rsidRPr="00F34E9D">
        <w:rPr>
          <w:rFonts w:asciiTheme="majorHAnsi" w:eastAsia="Times New Roman" w:hAnsiTheme="majorHAnsi" w:cstheme="majorHAnsi"/>
          <w:bCs/>
          <w:color w:val="0D0D0D" w:themeColor="text1" w:themeTint="F2"/>
          <w:sz w:val="24"/>
          <w:szCs w:val="24"/>
          <w:lang w:val="ro-RO"/>
        </w:rPr>
        <w:t>216/2015</w:t>
      </w:r>
      <w:r w:rsidR="008C1B57" w:rsidRPr="00F34E9D">
        <w:rPr>
          <w:rFonts w:asciiTheme="majorHAnsi" w:eastAsia="Times New Roman" w:hAnsiTheme="majorHAnsi" w:cstheme="majorHAnsi"/>
          <w:bCs/>
          <w:color w:val="0D0D0D" w:themeColor="text1" w:themeTint="F2"/>
          <w:sz w:val="24"/>
          <w:szCs w:val="24"/>
          <w:vertAlign w:val="superscript"/>
          <w:lang w:val="ro-RO"/>
        </w:rPr>
        <w:t xml:space="preserve"> </w:t>
      </w:r>
      <w:r w:rsidR="008C1B57" w:rsidRPr="00F34E9D">
        <w:rPr>
          <w:rFonts w:asciiTheme="majorHAnsi" w:eastAsia="Times New Roman" w:hAnsiTheme="majorHAnsi" w:cstheme="majorHAnsi"/>
          <w:bCs/>
          <w:color w:val="0D0D0D" w:themeColor="text1" w:themeTint="F2"/>
          <w:sz w:val="24"/>
          <w:szCs w:val="24"/>
          <w:lang w:val="ro-RO"/>
        </w:rPr>
        <w:t>de către o entitate bugetar</w:t>
      </w:r>
      <w:r w:rsidR="008C1B57" w:rsidRPr="00F34E9D">
        <w:rPr>
          <w:rFonts w:asciiTheme="majorHAnsi" w:eastAsia="Times New Roman" w:hAnsiTheme="majorHAnsi" w:cstheme="majorHAnsi"/>
          <w:bCs/>
          <w:color w:val="0D0D0D" w:themeColor="text1" w:themeTint="F2"/>
          <w:sz w:val="24"/>
          <w:szCs w:val="24"/>
        </w:rPr>
        <w:t>ă</w:t>
      </w:r>
      <w:r w:rsidR="008C1B57" w:rsidRPr="00F34E9D">
        <w:rPr>
          <w:rFonts w:asciiTheme="majorHAnsi" w:eastAsia="Times New Roman" w:hAnsiTheme="majorHAnsi" w:cstheme="majorHAnsi"/>
          <w:bCs/>
          <w:color w:val="0D0D0D" w:themeColor="text1" w:themeTint="F2"/>
          <w:sz w:val="24"/>
          <w:szCs w:val="24"/>
          <w:lang w:val="ro-RO"/>
        </w:rPr>
        <w:t xml:space="preserve"> a tranzacțiilor de prestare a serviciilor/lucrărilor, ceea ce a determinat subevaluarea valorii grupei de conturi 311 „Clădiri” </w:t>
      </w:r>
      <w:r w:rsidR="00A4364A" w:rsidRPr="00F34E9D">
        <w:rPr>
          <w:rFonts w:asciiTheme="majorHAnsi" w:eastAsia="Times New Roman" w:hAnsiTheme="majorHAnsi" w:cstheme="majorHAnsi"/>
          <w:bCs/>
          <w:color w:val="0D0D0D" w:themeColor="text1" w:themeTint="F2"/>
          <w:sz w:val="24"/>
          <w:szCs w:val="24"/>
          <w:lang w:val="ro-RO"/>
        </w:rPr>
        <w:t>în ace</w:t>
      </w:r>
      <w:r w:rsidR="00151108" w:rsidRPr="00F34E9D">
        <w:rPr>
          <w:rFonts w:asciiTheme="majorHAnsi" w:eastAsia="Times New Roman" w:hAnsiTheme="majorHAnsi" w:cstheme="majorHAnsi"/>
          <w:bCs/>
          <w:color w:val="0D0D0D" w:themeColor="text1" w:themeTint="F2"/>
          <w:sz w:val="24"/>
          <w:szCs w:val="24"/>
          <w:lang w:val="ro-RO"/>
        </w:rPr>
        <w:t>e</w:t>
      </w:r>
      <w:r w:rsidR="00A4364A" w:rsidRPr="00F34E9D">
        <w:rPr>
          <w:rFonts w:asciiTheme="majorHAnsi" w:eastAsia="Times New Roman" w:hAnsiTheme="majorHAnsi" w:cstheme="majorHAnsi"/>
          <w:bCs/>
          <w:color w:val="0D0D0D" w:themeColor="text1" w:themeTint="F2"/>
          <w:sz w:val="24"/>
          <w:szCs w:val="24"/>
          <w:lang w:val="ro-RO"/>
        </w:rPr>
        <w:t>ași sumă</w:t>
      </w:r>
      <w:r w:rsidR="008C1B57" w:rsidRPr="00F34E9D">
        <w:rPr>
          <w:rStyle w:val="a7"/>
          <w:rFonts w:asciiTheme="majorHAnsi" w:eastAsia="Times New Roman" w:hAnsiTheme="majorHAnsi" w:cstheme="majorHAnsi"/>
          <w:bCs/>
          <w:color w:val="0D0D0D" w:themeColor="text1" w:themeTint="F2"/>
          <w:sz w:val="24"/>
          <w:szCs w:val="24"/>
          <w:lang w:val="ro-RO"/>
        </w:rPr>
        <w:footnoteReference w:id="33"/>
      </w:r>
      <w:r w:rsidR="008C1B57" w:rsidRPr="00F34E9D">
        <w:rPr>
          <w:rFonts w:asciiTheme="majorHAnsi" w:eastAsia="Times New Roman" w:hAnsiTheme="majorHAnsi" w:cstheme="majorHAnsi"/>
          <w:bCs/>
          <w:color w:val="0D0D0D" w:themeColor="text1" w:themeTint="F2"/>
          <w:sz w:val="24"/>
          <w:szCs w:val="24"/>
          <w:lang w:val="ro-RO"/>
        </w:rPr>
        <w:t>.</w:t>
      </w:r>
    </w:p>
    <w:p w14:paraId="05E490FB" w14:textId="602E7FCF" w:rsidR="008C1B57" w:rsidRPr="00F34E9D" w:rsidRDefault="00615579" w:rsidP="00F42E6E">
      <w:pPr>
        <w:pStyle w:val="a3"/>
        <w:widowControl w:val="0"/>
        <w:shd w:val="clear" w:color="auto" w:fill="FFFFFF"/>
        <w:tabs>
          <w:tab w:val="left" w:pos="0"/>
          <w:tab w:val="left" w:pos="426"/>
        </w:tabs>
        <w:spacing w:after="0" w:line="276" w:lineRule="auto"/>
        <w:ind w:left="0"/>
        <w:contextualSpacing w:val="0"/>
        <w:jc w:val="both"/>
        <w:rPr>
          <w:rFonts w:asciiTheme="majorHAnsi" w:eastAsia="Times New Roman" w:hAnsiTheme="majorHAnsi" w:cstheme="majorHAnsi"/>
          <w:color w:val="0D0D0D" w:themeColor="text1" w:themeTint="F2"/>
          <w:sz w:val="24"/>
          <w:szCs w:val="24"/>
          <w:lang w:val="ro-RO"/>
        </w:rPr>
      </w:pPr>
      <w:r w:rsidRPr="00F34E9D">
        <w:rPr>
          <w:rFonts w:asciiTheme="majorHAnsi" w:eastAsia="Times New Roman" w:hAnsiTheme="majorHAnsi" w:cstheme="majorHAnsi"/>
          <w:b/>
          <w:color w:val="0D0D0D" w:themeColor="text1" w:themeTint="F2"/>
          <w:sz w:val="24"/>
          <w:szCs w:val="24"/>
        </w:rPr>
        <w:t>5.</w:t>
      </w:r>
      <w:r w:rsidR="007D6551" w:rsidRPr="00F34E9D">
        <w:rPr>
          <w:rFonts w:asciiTheme="majorHAnsi" w:eastAsia="Times New Roman" w:hAnsiTheme="majorHAnsi" w:cstheme="majorHAnsi"/>
          <w:b/>
          <w:color w:val="0D0D0D" w:themeColor="text1" w:themeTint="F2"/>
          <w:sz w:val="24"/>
          <w:szCs w:val="24"/>
        </w:rPr>
        <w:t>5</w:t>
      </w:r>
      <w:r w:rsidRPr="00F34E9D">
        <w:rPr>
          <w:rFonts w:asciiTheme="majorHAnsi" w:eastAsia="Times New Roman" w:hAnsiTheme="majorHAnsi" w:cstheme="majorHAnsi"/>
          <w:b/>
          <w:color w:val="0D0D0D" w:themeColor="text1" w:themeTint="F2"/>
          <w:sz w:val="24"/>
          <w:szCs w:val="24"/>
        </w:rPr>
        <w:t>.</w:t>
      </w:r>
      <w:r w:rsidR="003F3417" w:rsidRPr="00F34E9D">
        <w:rPr>
          <w:rFonts w:asciiTheme="majorHAnsi" w:eastAsia="Times New Roman" w:hAnsiTheme="majorHAnsi" w:cstheme="majorHAnsi"/>
          <w:b/>
          <w:color w:val="0D0D0D" w:themeColor="text1" w:themeTint="F2"/>
          <w:sz w:val="24"/>
          <w:szCs w:val="24"/>
        </w:rPr>
        <w:t>3</w:t>
      </w:r>
      <w:r w:rsidRPr="00F34E9D">
        <w:rPr>
          <w:rFonts w:asciiTheme="majorHAnsi" w:eastAsia="Times New Roman" w:hAnsiTheme="majorHAnsi" w:cstheme="majorHAnsi"/>
          <w:b/>
          <w:color w:val="0D0D0D" w:themeColor="text1" w:themeTint="F2"/>
          <w:sz w:val="24"/>
          <w:szCs w:val="24"/>
        </w:rPr>
        <w:t>.</w:t>
      </w:r>
      <w:r w:rsidRPr="00F34E9D">
        <w:rPr>
          <w:rFonts w:asciiTheme="majorHAnsi" w:eastAsia="Times New Roman" w:hAnsiTheme="majorHAnsi" w:cstheme="majorHAnsi"/>
          <w:color w:val="0D0D0D" w:themeColor="text1" w:themeTint="F2"/>
          <w:sz w:val="24"/>
          <w:szCs w:val="24"/>
        </w:rPr>
        <w:t xml:space="preserve"> </w:t>
      </w:r>
      <w:r w:rsidR="008C1B57" w:rsidRPr="00F34E9D">
        <w:rPr>
          <w:rFonts w:asciiTheme="majorHAnsi" w:eastAsia="Times New Roman" w:hAnsiTheme="majorHAnsi" w:cstheme="majorHAnsi"/>
          <w:color w:val="0D0D0D" w:themeColor="text1" w:themeTint="F2"/>
          <w:sz w:val="24"/>
          <w:szCs w:val="24"/>
          <w:lang w:val="ro-RO"/>
        </w:rPr>
        <w:t>Interpretarea și aplicarea eronată a prevederilor normative</w:t>
      </w:r>
      <w:r w:rsidR="008C1B57" w:rsidRPr="00F34E9D">
        <w:rPr>
          <w:rFonts w:asciiTheme="majorHAnsi" w:hAnsiTheme="majorHAnsi" w:cstheme="majorHAnsi"/>
          <w:color w:val="0D0D0D" w:themeColor="text1" w:themeTint="F2"/>
          <w:vertAlign w:val="superscript"/>
          <w:lang w:val="ro-RO"/>
        </w:rPr>
        <w:footnoteReference w:id="34"/>
      </w:r>
      <w:r w:rsidR="008C1B57" w:rsidRPr="00F34E9D">
        <w:rPr>
          <w:rFonts w:asciiTheme="majorHAnsi" w:eastAsia="Times New Roman" w:hAnsiTheme="majorHAnsi" w:cstheme="majorHAnsi"/>
          <w:color w:val="0D0D0D" w:themeColor="text1" w:themeTint="F2"/>
          <w:sz w:val="24"/>
          <w:szCs w:val="24"/>
        </w:rPr>
        <w:t xml:space="preserve"> de către persoanele responsabile</w:t>
      </w:r>
      <w:r w:rsidR="008C1B57" w:rsidRPr="00F34E9D">
        <w:rPr>
          <w:rFonts w:asciiTheme="majorHAnsi" w:eastAsia="Times New Roman" w:hAnsiTheme="majorHAnsi" w:cstheme="majorHAnsi"/>
          <w:color w:val="0D0D0D" w:themeColor="text1" w:themeTint="F2"/>
          <w:sz w:val="24"/>
          <w:szCs w:val="24"/>
          <w:lang w:val="ro-RO"/>
        </w:rPr>
        <w:t xml:space="preserve"> a condiționat clasificarea și raportarea incorectă în evidența contabilă a unor cheltuieli</w:t>
      </w:r>
      <w:r w:rsidR="008C1B57" w:rsidRPr="00F34E9D">
        <w:rPr>
          <w:rFonts w:asciiTheme="majorHAnsi" w:eastAsia="Times New Roman" w:hAnsiTheme="majorHAnsi" w:cstheme="majorHAnsi"/>
          <w:bCs/>
          <w:color w:val="0D0D0D" w:themeColor="text1" w:themeTint="F2"/>
          <w:sz w:val="24"/>
          <w:szCs w:val="24"/>
          <w:lang w:val="ro-RO"/>
        </w:rPr>
        <w:t xml:space="preserve"> ce țin de efectuarea lucrărilor/muncilor</w:t>
      </w:r>
      <w:r w:rsidR="008C1B57" w:rsidRPr="00F34E9D">
        <w:rPr>
          <w:rStyle w:val="a7"/>
          <w:rFonts w:asciiTheme="majorHAnsi" w:eastAsia="Times New Roman" w:hAnsiTheme="majorHAnsi" w:cstheme="majorHAnsi"/>
          <w:color w:val="0D0D0D" w:themeColor="text1" w:themeTint="F2"/>
          <w:sz w:val="24"/>
          <w:szCs w:val="24"/>
          <w:lang w:val="ro-RO"/>
        </w:rPr>
        <w:footnoteReference w:id="35"/>
      </w:r>
      <w:r w:rsidR="008C1B57" w:rsidRPr="00F34E9D">
        <w:rPr>
          <w:rFonts w:asciiTheme="majorHAnsi" w:eastAsia="Times New Roman" w:hAnsiTheme="majorHAnsi" w:cstheme="majorHAnsi"/>
          <w:color w:val="0D0D0D" w:themeColor="text1" w:themeTint="F2"/>
          <w:sz w:val="24"/>
          <w:szCs w:val="24"/>
          <w:lang w:val="ro-RO"/>
        </w:rPr>
        <w:t xml:space="preserve">, </w:t>
      </w:r>
      <w:r w:rsidR="008C1B57" w:rsidRPr="00F34E9D">
        <w:rPr>
          <w:rFonts w:asciiTheme="majorHAnsi" w:eastAsia="Times New Roman" w:hAnsiTheme="majorHAnsi" w:cstheme="majorHAnsi"/>
          <w:color w:val="0D0D0D" w:themeColor="text1" w:themeTint="F2"/>
          <w:sz w:val="24"/>
          <w:szCs w:val="24"/>
        </w:rPr>
        <w:t xml:space="preserve">ceea ce a determinat subevaluarea valorii </w:t>
      </w:r>
      <w:r w:rsidR="008C1B57" w:rsidRPr="00F34E9D">
        <w:rPr>
          <w:rFonts w:asciiTheme="majorHAnsi" w:eastAsia="Times New Roman" w:hAnsiTheme="majorHAnsi" w:cstheme="majorHAnsi"/>
          <w:color w:val="0D0D0D" w:themeColor="text1" w:themeTint="F2"/>
          <w:sz w:val="24"/>
          <w:szCs w:val="24"/>
          <w:lang w:val="ro-RO"/>
        </w:rPr>
        <w:t>subcontului 281600 „Alte cheltuieli în bază de contracte cu persoane fizice” și, respectiv, supraevaluarea valorii subcontului 222990 „Servicii neatribuite altor alineate”</w:t>
      </w:r>
      <w:r w:rsidR="008C1B57" w:rsidRPr="00F34E9D">
        <w:rPr>
          <w:rStyle w:val="a7"/>
          <w:rFonts w:asciiTheme="majorHAnsi" w:eastAsia="Times New Roman" w:hAnsiTheme="majorHAnsi" w:cstheme="majorHAnsi"/>
          <w:color w:val="0D0D0D" w:themeColor="text1" w:themeTint="F2"/>
          <w:sz w:val="24"/>
          <w:szCs w:val="24"/>
          <w:lang w:val="ro-RO"/>
        </w:rPr>
        <w:footnoteReference w:id="36"/>
      </w:r>
      <w:r w:rsidR="008C1B57" w:rsidRPr="00F34E9D">
        <w:rPr>
          <w:rFonts w:asciiTheme="majorHAnsi" w:eastAsia="Times New Roman" w:hAnsiTheme="majorHAnsi" w:cstheme="majorHAnsi"/>
          <w:color w:val="0D0D0D" w:themeColor="text1" w:themeTint="F2"/>
          <w:sz w:val="24"/>
          <w:szCs w:val="24"/>
          <w:lang w:val="ro-RO"/>
        </w:rPr>
        <w:t xml:space="preserve"> cu suma de </w:t>
      </w:r>
      <w:r w:rsidR="00486E08" w:rsidRPr="00F34E9D">
        <w:rPr>
          <w:rFonts w:asciiTheme="majorHAnsi" w:eastAsia="Times New Roman" w:hAnsiTheme="majorHAnsi" w:cstheme="majorHAnsi"/>
          <w:b/>
          <w:color w:val="0D0D0D" w:themeColor="text1" w:themeTint="F2"/>
          <w:sz w:val="24"/>
          <w:szCs w:val="24"/>
          <w:lang w:val="ro-RO"/>
        </w:rPr>
        <w:t>97,2 mii</w:t>
      </w:r>
      <w:r w:rsidR="008C1B57" w:rsidRPr="00F34E9D">
        <w:rPr>
          <w:rFonts w:asciiTheme="majorHAnsi" w:eastAsia="Times New Roman" w:hAnsiTheme="majorHAnsi" w:cstheme="majorHAnsi"/>
          <w:b/>
          <w:color w:val="0D0D0D" w:themeColor="text1" w:themeTint="F2"/>
          <w:sz w:val="24"/>
          <w:szCs w:val="24"/>
          <w:lang w:val="ro-RO"/>
        </w:rPr>
        <w:t xml:space="preserve"> lei</w:t>
      </w:r>
      <w:r w:rsidR="008C1B57" w:rsidRPr="00F34E9D">
        <w:rPr>
          <w:rFonts w:asciiTheme="majorHAnsi" w:eastAsia="Times New Roman" w:hAnsiTheme="majorHAnsi" w:cstheme="majorHAnsi"/>
          <w:color w:val="0D0D0D" w:themeColor="text1" w:themeTint="F2"/>
          <w:sz w:val="24"/>
          <w:szCs w:val="24"/>
          <w:lang w:val="ro-RO"/>
        </w:rPr>
        <w:t>.</w:t>
      </w:r>
    </w:p>
    <w:p w14:paraId="2C9A9259" w14:textId="72EA2387" w:rsidR="00F718EC" w:rsidRPr="00F34E9D" w:rsidRDefault="006822EA" w:rsidP="00F42E6E">
      <w:pPr>
        <w:pStyle w:val="a3"/>
        <w:tabs>
          <w:tab w:val="left" w:pos="0"/>
        </w:tabs>
        <w:spacing w:after="0" w:line="276" w:lineRule="auto"/>
        <w:ind w:left="0"/>
        <w:contextualSpacing w:val="0"/>
        <w:jc w:val="both"/>
        <w:rPr>
          <w:rFonts w:asciiTheme="majorHAnsi" w:hAnsiTheme="majorHAnsi" w:cstheme="majorHAnsi"/>
          <w:color w:val="0D0D0D" w:themeColor="text1" w:themeTint="F2"/>
          <w:sz w:val="24"/>
          <w:szCs w:val="24"/>
          <w:lang w:val="ro-RO"/>
        </w:rPr>
      </w:pPr>
      <w:r w:rsidRPr="00F34E9D">
        <w:rPr>
          <w:rFonts w:asciiTheme="majorHAnsi" w:eastAsia="Times New Roman" w:hAnsiTheme="majorHAnsi" w:cstheme="majorHAnsi"/>
          <w:b/>
          <w:color w:val="0D0D0D" w:themeColor="text1" w:themeTint="F2"/>
          <w:sz w:val="24"/>
          <w:szCs w:val="24"/>
        </w:rPr>
        <w:t>5.</w:t>
      </w:r>
      <w:r w:rsidR="007D6551" w:rsidRPr="00F34E9D">
        <w:rPr>
          <w:rFonts w:asciiTheme="majorHAnsi" w:eastAsia="Times New Roman" w:hAnsiTheme="majorHAnsi" w:cstheme="majorHAnsi"/>
          <w:b/>
          <w:color w:val="0D0D0D" w:themeColor="text1" w:themeTint="F2"/>
          <w:sz w:val="24"/>
          <w:szCs w:val="24"/>
        </w:rPr>
        <w:t>5</w:t>
      </w:r>
      <w:r w:rsidRPr="00F34E9D">
        <w:rPr>
          <w:rFonts w:asciiTheme="majorHAnsi" w:eastAsia="Times New Roman" w:hAnsiTheme="majorHAnsi" w:cstheme="majorHAnsi"/>
          <w:b/>
          <w:color w:val="0D0D0D" w:themeColor="text1" w:themeTint="F2"/>
          <w:sz w:val="24"/>
          <w:szCs w:val="24"/>
        </w:rPr>
        <w:t>.4.</w:t>
      </w:r>
      <w:r w:rsidRPr="00F34E9D">
        <w:rPr>
          <w:rFonts w:asciiTheme="majorHAnsi" w:eastAsia="Times New Roman" w:hAnsiTheme="majorHAnsi" w:cstheme="majorHAnsi"/>
          <w:color w:val="0D0D0D" w:themeColor="text1" w:themeTint="F2"/>
          <w:sz w:val="24"/>
          <w:szCs w:val="24"/>
        </w:rPr>
        <w:t xml:space="preserve"> </w:t>
      </w:r>
      <w:r w:rsidRPr="00F34E9D">
        <w:rPr>
          <w:rFonts w:asciiTheme="majorHAnsi" w:eastAsia="Times New Roman" w:hAnsiTheme="majorHAnsi" w:cstheme="majorHAnsi"/>
          <w:bCs/>
          <w:color w:val="0D0D0D" w:themeColor="text1" w:themeTint="F2"/>
          <w:sz w:val="24"/>
          <w:szCs w:val="24"/>
          <w:lang w:val="ro-RO"/>
        </w:rPr>
        <w:t>R</w:t>
      </w:r>
      <w:r w:rsidR="008C1B57" w:rsidRPr="00F34E9D">
        <w:rPr>
          <w:rFonts w:asciiTheme="majorHAnsi" w:eastAsia="Times New Roman" w:hAnsiTheme="majorHAnsi" w:cstheme="majorHAnsi"/>
          <w:bCs/>
          <w:color w:val="0D0D0D" w:themeColor="text1" w:themeTint="F2"/>
          <w:sz w:val="24"/>
          <w:szCs w:val="24"/>
          <w:lang w:val="ro-RO"/>
        </w:rPr>
        <w:t>aportarea</w:t>
      </w:r>
      <w:r w:rsidR="008C1B57" w:rsidRPr="00F34E9D">
        <w:rPr>
          <w:rFonts w:asciiTheme="majorHAnsi" w:eastAsia="Times New Roman" w:hAnsiTheme="majorHAnsi" w:cstheme="majorHAnsi"/>
          <w:color w:val="0D0D0D" w:themeColor="text1" w:themeTint="F2"/>
          <w:sz w:val="24"/>
          <w:szCs w:val="24"/>
          <w:lang w:val="ro-RO"/>
        </w:rPr>
        <w:t xml:space="preserve"> </w:t>
      </w:r>
      <w:r w:rsidR="003F3417" w:rsidRPr="00F34E9D">
        <w:rPr>
          <w:rFonts w:asciiTheme="majorHAnsi" w:eastAsia="Times New Roman" w:hAnsiTheme="majorHAnsi" w:cstheme="majorHAnsi"/>
          <w:color w:val="0D0D0D" w:themeColor="text1" w:themeTint="F2"/>
          <w:sz w:val="24"/>
          <w:szCs w:val="24"/>
          <w:lang w:val="ro-RO"/>
        </w:rPr>
        <w:t xml:space="preserve">neconformă a </w:t>
      </w:r>
      <w:r w:rsidR="008C1B57" w:rsidRPr="00F34E9D">
        <w:rPr>
          <w:rFonts w:asciiTheme="majorHAnsi" w:eastAsia="Times New Roman" w:hAnsiTheme="majorHAnsi" w:cstheme="majorHAnsi"/>
          <w:bCs/>
          <w:color w:val="0D0D0D" w:themeColor="text1" w:themeTint="F2"/>
          <w:sz w:val="24"/>
          <w:szCs w:val="24"/>
          <w:lang w:val="ro-RO"/>
        </w:rPr>
        <w:t>unor cheltuieli executate în raport cu personalul</w:t>
      </w:r>
      <w:r w:rsidR="003F3417" w:rsidRPr="00F34E9D">
        <w:rPr>
          <w:rStyle w:val="a7"/>
          <w:rFonts w:asciiTheme="majorHAnsi" w:eastAsia="Times New Roman" w:hAnsiTheme="majorHAnsi" w:cstheme="majorHAnsi"/>
          <w:bCs/>
          <w:color w:val="0D0D0D" w:themeColor="text1" w:themeTint="F2"/>
          <w:sz w:val="24"/>
          <w:szCs w:val="24"/>
        </w:rPr>
        <w:footnoteReference w:id="37"/>
      </w:r>
      <w:r w:rsidR="008C1B57" w:rsidRPr="00F34E9D">
        <w:rPr>
          <w:rFonts w:asciiTheme="majorHAnsi" w:eastAsia="Times New Roman" w:hAnsiTheme="majorHAnsi" w:cstheme="majorHAnsi"/>
          <w:bCs/>
          <w:color w:val="0D0D0D" w:themeColor="text1" w:themeTint="F2"/>
          <w:sz w:val="24"/>
          <w:szCs w:val="24"/>
          <w:lang w:val="ro-RO"/>
        </w:rPr>
        <w:t xml:space="preserve">, </w:t>
      </w:r>
      <w:r w:rsidR="008C1B57" w:rsidRPr="00F34E9D">
        <w:rPr>
          <w:rFonts w:asciiTheme="majorHAnsi" w:eastAsia="Times New Roman" w:hAnsiTheme="majorHAnsi" w:cstheme="majorHAnsi"/>
          <w:bCs/>
          <w:color w:val="0D0D0D" w:themeColor="text1" w:themeTint="F2"/>
          <w:sz w:val="24"/>
          <w:szCs w:val="24"/>
        </w:rPr>
        <w:t xml:space="preserve">a condiționat </w:t>
      </w:r>
      <w:r w:rsidR="008C1B57" w:rsidRPr="00F34E9D">
        <w:rPr>
          <w:rFonts w:asciiTheme="majorHAnsi" w:eastAsia="Times New Roman" w:hAnsiTheme="majorHAnsi" w:cstheme="majorHAnsi"/>
          <w:bCs/>
          <w:color w:val="0D0D0D" w:themeColor="text1" w:themeTint="F2"/>
          <w:sz w:val="24"/>
          <w:szCs w:val="24"/>
          <w:lang w:val="ro-RO"/>
        </w:rPr>
        <w:t>subevaluarea valorii subcontului 273500 „Indemnizații pentru incapacitatea temporară de muncă achitate din mijloacele financiare ale angajatorului” cu suma de</w:t>
      </w:r>
      <w:r w:rsidR="008C1B57" w:rsidRPr="00F34E9D">
        <w:rPr>
          <w:rFonts w:asciiTheme="majorHAnsi" w:eastAsia="Times New Roman" w:hAnsiTheme="majorHAnsi" w:cstheme="majorHAnsi"/>
          <w:b/>
          <w:bCs/>
          <w:color w:val="0D0D0D" w:themeColor="text1" w:themeTint="F2"/>
          <w:sz w:val="24"/>
          <w:szCs w:val="24"/>
          <w:lang w:val="ro-RO"/>
        </w:rPr>
        <w:t xml:space="preserve"> </w:t>
      </w:r>
      <w:r w:rsidR="00486E08" w:rsidRPr="00F34E9D">
        <w:rPr>
          <w:rFonts w:asciiTheme="majorHAnsi" w:eastAsia="Times New Roman" w:hAnsiTheme="majorHAnsi" w:cstheme="majorHAnsi"/>
          <w:b/>
          <w:bCs/>
          <w:color w:val="0D0D0D" w:themeColor="text1" w:themeTint="F2"/>
          <w:sz w:val="24"/>
          <w:szCs w:val="24"/>
          <w:lang w:val="ro-RO"/>
        </w:rPr>
        <w:t>4,2 mii</w:t>
      </w:r>
      <w:r w:rsidR="008C1B57" w:rsidRPr="00F34E9D">
        <w:rPr>
          <w:rFonts w:asciiTheme="majorHAnsi" w:eastAsia="Times New Roman" w:hAnsiTheme="majorHAnsi" w:cstheme="majorHAnsi"/>
          <w:b/>
          <w:bCs/>
          <w:color w:val="0D0D0D" w:themeColor="text1" w:themeTint="F2"/>
          <w:sz w:val="24"/>
          <w:szCs w:val="24"/>
          <w:lang w:val="ro-RO"/>
        </w:rPr>
        <w:t xml:space="preserve"> </w:t>
      </w:r>
      <w:r w:rsidR="008C1B57" w:rsidRPr="00F34E9D">
        <w:rPr>
          <w:rFonts w:asciiTheme="majorHAnsi" w:eastAsia="Times New Roman" w:hAnsiTheme="majorHAnsi" w:cstheme="majorHAnsi"/>
          <w:b/>
          <w:bCs/>
          <w:color w:val="0D0D0D" w:themeColor="text1" w:themeTint="F2"/>
          <w:sz w:val="24"/>
          <w:szCs w:val="24"/>
        </w:rPr>
        <w:t>lei</w:t>
      </w:r>
      <w:r w:rsidR="008C1B57" w:rsidRPr="00F34E9D">
        <w:rPr>
          <w:rStyle w:val="a7"/>
          <w:rFonts w:asciiTheme="majorHAnsi" w:eastAsia="Times New Roman" w:hAnsiTheme="majorHAnsi" w:cstheme="majorHAnsi"/>
          <w:bCs/>
          <w:color w:val="0D0D0D" w:themeColor="text1" w:themeTint="F2"/>
          <w:sz w:val="24"/>
          <w:szCs w:val="24"/>
        </w:rPr>
        <w:footnoteReference w:id="38"/>
      </w:r>
      <w:r w:rsidR="00E817A5" w:rsidRPr="00F34E9D">
        <w:rPr>
          <w:rFonts w:asciiTheme="majorHAnsi" w:eastAsia="Times New Roman" w:hAnsiTheme="majorHAnsi" w:cstheme="majorHAnsi"/>
          <w:b/>
          <w:bCs/>
          <w:color w:val="0D0D0D" w:themeColor="text1" w:themeTint="F2"/>
          <w:sz w:val="24"/>
          <w:szCs w:val="24"/>
        </w:rPr>
        <w:t xml:space="preserve"> </w:t>
      </w:r>
      <w:r w:rsidR="00E817A5" w:rsidRPr="00F34E9D">
        <w:rPr>
          <w:rFonts w:asciiTheme="majorHAnsi" w:eastAsia="Times New Roman" w:hAnsiTheme="majorHAnsi" w:cstheme="majorHAnsi"/>
          <w:bCs/>
          <w:color w:val="0D0D0D" w:themeColor="text1" w:themeTint="F2"/>
          <w:sz w:val="24"/>
          <w:szCs w:val="24"/>
        </w:rPr>
        <w:t>fiind diminuate datoriile față de BASS</w:t>
      </w:r>
      <w:r w:rsidR="008C1B57" w:rsidRPr="00F34E9D">
        <w:rPr>
          <w:rFonts w:asciiTheme="majorHAnsi" w:eastAsia="Times New Roman" w:hAnsiTheme="majorHAnsi" w:cstheme="majorHAnsi"/>
          <w:bCs/>
          <w:color w:val="0D0D0D" w:themeColor="text1" w:themeTint="F2"/>
          <w:sz w:val="24"/>
          <w:szCs w:val="24"/>
        </w:rPr>
        <w:t>.</w:t>
      </w:r>
    </w:p>
    <w:p w14:paraId="746E330B" w14:textId="52C9D5F5" w:rsidR="00BA7803" w:rsidRPr="00F34E9D" w:rsidRDefault="00BA7803" w:rsidP="00F42E6E">
      <w:pPr>
        <w:pStyle w:val="a3"/>
        <w:spacing w:after="0" w:line="276" w:lineRule="auto"/>
        <w:ind w:left="0"/>
        <w:contextualSpacing w:val="0"/>
        <w:jc w:val="both"/>
        <w:rPr>
          <w:rFonts w:asciiTheme="majorHAnsi" w:eastAsia="Times New Roman" w:hAnsiTheme="majorHAnsi" w:cstheme="majorHAnsi"/>
          <w:color w:val="0D0D0D" w:themeColor="text1" w:themeTint="F2"/>
          <w:sz w:val="24"/>
          <w:szCs w:val="24"/>
          <w:lang w:val="ro-RO"/>
        </w:rPr>
      </w:pPr>
      <w:r w:rsidRPr="00F34E9D">
        <w:rPr>
          <w:rFonts w:asciiTheme="majorHAnsi" w:eastAsia="Times New Roman" w:hAnsiTheme="majorHAnsi" w:cstheme="majorHAnsi"/>
          <w:b/>
          <w:color w:val="0D0D0D" w:themeColor="text1" w:themeTint="F2"/>
          <w:sz w:val="24"/>
          <w:szCs w:val="24"/>
        </w:rPr>
        <w:t>5.</w:t>
      </w:r>
      <w:r w:rsidR="007D6551" w:rsidRPr="00F34E9D">
        <w:rPr>
          <w:rFonts w:asciiTheme="majorHAnsi" w:eastAsia="Times New Roman" w:hAnsiTheme="majorHAnsi" w:cstheme="majorHAnsi"/>
          <w:b/>
          <w:color w:val="0D0D0D" w:themeColor="text1" w:themeTint="F2"/>
          <w:sz w:val="24"/>
          <w:szCs w:val="24"/>
        </w:rPr>
        <w:t>6</w:t>
      </w:r>
      <w:r w:rsidRPr="00F34E9D">
        <w:rPr>
          <w:rFonts w:asciiTheme="majorHAnsi" w:eastAsia="Times New Roman" w:hAnsiTheme="majorHAnsi" w:cstheme="majorHAnsi"/>
          <w:b/>
          <w:color w:val="0D0D0D" w:themeColor="text1" w:themeTint="F2"/>
          <w:sz w:val="24"/>
          <w:szCs w:val="24"/>
        </w:rPr>
        <w:t>.</w:t>
      </w:r>
      <w:r w:rsidRPr="00F34E9D">
        <w:rPr>
          <w:rFonts w:asciiTheme="majorHAnsi" w:eastAsia="Times New Roman" w:hAnsiTheme="majorHAnsi" w:cstheme="majorHAnsi"/>
          <w:color w:val="0D0D0D" w:themeColor="text1" w:themeTint="F2"/>
          <w:sz w:val="24"/>
          <w:szCs w:val="24"/>
        </w:rPr>
        <w:t xml:space="preserve"> </w:t>
      </w:r>
      <w:r w:rsidR="00EF45CF" w:rsidRPr="00F34E9D">
        <w:rPr>
          <w:rFonts w:asciiTheme="majorHAnsi" w:eastAsia="Times New Roman" w:hAnsiTheme="majorHAnsi" w:cstheme="majorHAnsi"/>
          <w:color w:val="0D0D0D" w:themeColor="text1" w:themeTint="F2"/>
          <w:sz w:val="24"/>
          <w:szCs w:val="24"/>
          <w:lang w:val="ro-RO"/>
        </w:rPr>
        <w:t xml:space="preserve">Prezența </w:t>
      </w:r>
      <w:r w:rsidRPr="00F34E9D">
        <w:rPr>
          <w:rFonts w:asciiTheme="majorHAnsi" w:eastAsia="Times New Roman" w:hAnsiTheme="majorHAnsi" w:cstheme="majorHAnsi"/>
          <w:color w:val="0D0D0D" w:themeColor="text1" w:themeTint="F2"/>
          <w:sz w:val="24"/>
          <w:szCs w:val="24"/>
          <w:lang w:val="ro-RO"/>
        </w:rPr>
        <w:t>erorilor de evidență contabilă ce țin de raportarea unor drepturi și obligații financiare aferente decontărilor cu personalul,</w:t>
      </w:r>
      <w:r w:rsidR="00A4364A" w:rsidRPr="00F34E9D">
        <w:rPr>
          <w:color w:val="0D0D0D" w:themeColor="text1" w:themeTint="F2"/>
        </w:rPr>
        <w:t xml:space="preserve"> </w:t>
      </w:r>
      <w:r w:rsidR="00A4364A" w:rsidRPr="00F34E9D">
        <w:rPr>
          <w:rFonts w:asciiTheme="majorHAnsi" w:eastAsia="Times New Roman" w:hAnsiTheme="majorHAnsi" w:cstheme="majorHAnsi"/>
          <w:color w:val="0D0D0D" w:themeColor="text1" w:themeTint="F2"/>
          <w:sz w:val="24"/>
          <w:szCs w:val="24"/>
          <w:lang w:val="ro-RO"/>
        </w:rPr>
        <w:t>neconfirmate prin documente primare de evidență contabilă,</w:t>
      </w:r>
      <w:r w:rsidRPr="00F34E9D">
        <w:rPr>
          <w:rFonts w:asciiTheme="majorHAnsi" w:eastAsia="Times New Roman" w:hAnsiTheme="majorHAnsi" w:cstheme="majorHAnsi"/>
          <w:color w:val="0D0D0D" w:themeColor="text1" w:themeTint="F2"/>
          <w:sz w:val="24"/>
          <w:szCs w:val="24"/>
          <w:lang w:val="ro-RO"/>
        </w:rPr>
        <w:t xml:space="preserve"> a condiționat supraevaluarea grupei de conturi 419 „Alte creanțe ale autorităților/instituțiilor bugetare” și, respectiv, </w:t>
      </w:r>
      <w:r w:rsidRPr="00F34E9D">
        <w:rPr>
          <w:rFonts w:asciiTheme="majorHAnsi" w:eastAsia="Times New Roman" w:hAnsiTheme="majorHAnsi" w:cstheme="majorHAnsi"/>
          <w:color w:val="0D0D0D" w:themeColor="text1" w:themeTint="F2"/>
          <w:sz w:val="24"/>
          <w:szCs w:val="24"/>
        </w:rPr>
        <w:t>grupei de conturi 519 „</w:t>
      </w:r>
      <w:r w:rsidRPr="00F34E9D">
        <w:rPr>
          <w:rFonts w:asciiTheme="majorHAnsi" w:eastAsia="Times New Roman" w:hAnsiTheme="majorHAnsi" w:cstheme="majorHAnsi"/>
          <w:color w:val="0D0D0D" w:themeColor="text1" w:themeTint="F2"/>
          <w:sz w:val="24"/>
          <w:szCs w:val="24"/>
          <w:lang w:val="ro-RO"/>
        </w:rPr>
        <w:t xml:space="preserve">Alte datorii ale autorităților/instituțiilor bugetare” cu suma de </w:t>
      </w:r>
      <w:r w:rsidRPr="00F34E9D">
        <w:rPr>
          <w:rFonts w:asciiTheme="majorHAnsi" w:eastAsia="Times New Roman" w:hAnsiTheme="majorHAnsi" w:cstheme="majorHAnsi"/>
          <w:b/>
          <w:color w:val="0D0D0D" w:themeColor="text1" w:themeTint="F2"/>
          <w:sz w:val="24"/>
          <w:szCs w:val="24"/>
          <w:lang w:val="ro-RO"/>
        </w:rPr>
        <w:t>632,7 mii lei</w:t>
      </w:r>
      <w:r w:rsidRPr="00F34E9D">
        <w:rPr>
          <w:rFonts w:asciiTheme="majorHAnsi" w:eastAsia="Times New Roman" w:hAnsiTheme="majorHAnsi" w:cstheme="majorHAnsi"/>
          <w:bCs/>
          <w:color w:val="0D0D0D" w:themeColor="text1" w:themeTint="F2"/>
          <w:sz w:val="24"/>
          <w:szCs w:val="24"/>
          <w:vertAlign w:val="superscript"/>
          <w:lang w:val="ro-RO"/>
        </w:rPr>
        <w:footnoteReference w:id="39"/>
      </w:r>
      <w:r w:rsidRPr="00F34E9D">
        <w:rPr>
          <w:rFonts w:asciiTheme="majorHAnsi" w:eastAsia="Times New Roman" w:hAnsiTheme="majorHAnsi" w:cstheme="majorHAnsi"/>
          <w:bCs/>
          <w:color w:val="0D0D0D" w:themeColor="text1" w:themeTint="F2"/>
          <w:sz w:val="24"/>
          <w:szCs w:val="24"/>
          <w:lang w:val="ro-RO"/>
        </w:rPr>
        <w:t>.</w:t>
      </w:r>
    </w:p>
    <w:p w14:paraId="78C7AB3F" w14:textId="2421F9CA" w:rsidR="001D7BAD" w:rsidRPr="00F34E9D" w:rsidRDefault="001D7BAD" w:rsidP="0007105E">
      <w:pPr>
        <w:spacing w:after="0" w:line="276" w:lineRule="auto"/>
        <w:jc w:val="both"/>
        <w:rPr>
          <w:rFonts w:asciiTheme="majorHAnsi" w:eastAsia="Calibri" w:hAnsiTheme="majorHAnsi" w:cstheme="majorHAnsi"/>
          <w:color w:val="0D0D0D" w:themeColor="text1" w:themeTint="F2"/>
          <w:sz w:val="24"/>
          <w:szCs w:val="24"/>
        </w:rPr>
      </w:pPr>
      <w:r w:rsidRPr="00F34E9D">
        <w:rPr>
          <w:rFonts w:asciiTheme="majorHAnsi" w:hAnsiTheme="majorHAnsi" w:cstheme="majorHAnsi"/>
          <w:b/>
          <w:color w:val="0D0D0D" w:themeColor="text1" w:themeTint="F2"/>
          <w:sz w:val="24"/>
          <w:szCs w:val="24"/>
        </w:rPr>
        <w:t>5.</w:t>
      </w:r>
      <w:r w:rsidR="007D6551" w:rsidRPr="00F34E9D">
        <w:rPr>
          <w:rFonts w:asciiTheme="majorHAnsi" w:hAnsiTheme="majorHAnsi" w:cstheme="majorHAnsi"/>
          <w:b/>
          <w:color w:val="0D0D0D" w:themeColor="text1" w:themeTint="F2"/>
          <w:sz w:val="24"/>
          <w:szCs w:val="24"/>
        </w:rPr>
        <w:t>7</w:t>
      </w:r>
      <w:r w:rsidRPr="00F34E9D">
        <w:rPr>
          <w:rFonts w:asciiTheme="majorHAnsi" w:hAnsiTheme="majorHAnsi" w:cstheme="majorHAnsi"/>
          <w:b/>
          <w:color w:val="0D0D0D" w:themeColor="text1" w:themeTint="F2"/>
          <w:sz w:val="24"/>
          <w:szCs w:val="24"/>
        </w:rPr>
        <w:t>.</w:t>
      </w:r>
      <w:r w:rsidRPr="00F34E9D">
        <w:rPr>
          <w:rFonts w:asciiTheme="majorHAnsi" w:hAnsiTheme="majorHAnsi" w:cstheme="majorHAnsi"/>
          <w:color w:val="0D0D0D" w:themeColor="text1" w:themeTint="F2"/>
          <w:sz w:val="24"/>
          <w:szCs w:val="24"/>
        </w:rPr>
        <w:t xml:space="preserve"> </w:t>
      </w:r>
      <w:r w:rsidR="00AC454F" w:rsidRPr="00F34E9D">
        <w:rPr>
          <w:rFonts w:asciiTheme="majorHAnsi" w:hAnsiTheme="majorHAnsi" w:cstheme="majorHAnsi"/>
          <w:color w:val="0D0D0D" w:themeColor="text1" w:themeTint="F2"/>
          <w:sz w:val="24"/>
          <w:szCs w:val="24"/>
        </w:rPr>
        <w:t xml:space="preserve"> </w:t>
      </w:r>
      <w:r w:rsidRPr="00F34E9D">
        <w:rPr>
          <w:rFonts w:asciiTheme="majorHAnsi" w:eastAsia="Calibri" w:hAnsiTheme="majorHAnsi" w:cstheme="majorHAnsi"/>
          <w:color w:val="0D0D0D" w:themeColor="text1" w:themeTint="F2"/>
          <w:sz w:val="24"/>
          <w:szCs w:val="24"/>
        </w:rPr>
        <w:t>Institutul de Geologie nu a asigurat evidența vegetației forestiere, respectiv lipsesc unele date a</w:t>
      </w:r>
      <w:r w:rsidR="00EF45CF" w:rsidRPr="00F34E9D">
        <w:rPr>
          <w:rFonts w:asciiTheme="majorHAnsi" w:eastAsia="Calibri" w:hAnsiTheme="majorHAnsi" w:cstheme="majorHAnsi"/>
          <w:color w:val="0D0D0D" w:themeColor="text1" w:themeTint="F2"/>
          <w:sz w:val="24"/>
          <w:szCs w:val="24"/>
        </w:rPr>
        <w:t>le</w:t>
      </w:r>
      <w:r w:rsidRPr="00F34E9D">
        <w:rPr>
          <w:rFonts w:asciiTheme="majorHAnsi" w:eastAsia="Calibri" w:hAnsiTheme="majorHAnsi" w:cstheme="majorHAnsi"/>
          <w:color w:val="0D0D0D" w:themeColor="text1" w:themeTint="F2"/>
          <w:sz w:val="24"/>
          <w:szCs w:val="24"/>
        </w:rPr>
        <w:t xml:space="preserve"> inventarierii silvice, fapt ce a condiționat subevaluarea resurselor naturale (ECO 372) amplasate pe terenurile din gestiune (1,09 ha</w:t>
      </w:r>
      <w:r w:rsidRPr="00F34E9D">
        <w:rPr>
          <w:rStyle w:val="a7"/>
          <w:rFonts w:asciiTheme="majorHAnsi" w:hAnsiTheme="majorHAnsi" w:cstheme="majorHAnsi"/>
          <w:color w:val="0D0D0D" w:themeColor="text1" w:themeTint="F2"/>
          <w:sz w:val="24"/>
          <w:szCs w:val="24"/>
        </w:rPr>
        <w:footnoteReference w:id="40"/>
      </w:r>
      <w:r w:rsidRPr="00F34E9D">
        <w:rPr>
          <w:rFonts w:asciiTheme="majorHAnsi" w:eastAsia="Calibri" w:hAnsiTheme="majorHAnsi" w:cstheme="majorHAnsi"/>
          <w:color w:val="0D0D0D" w:themeColor="text1" w:themeTint="F2"/>
          <w:sz w:val="24"/>
          <w:szCs w:val="24"/>
        </w:rPr>
        <w:t>).</w:t>
      </w:r>
    </w:p>
    <w:p w14:paraId="1F017DF5" w14:textId="5A751ECF" w:rsidR="00F718EC" w:rsidRPr="00F34E9D" w:rsidRDefault="00F718EC">
      <w:pPr>
        <w:spacing w:after="0" w:line="276" w:lineRule="auto"/>
        <w:rPr>
          <w:rFonts w:asciiTheme="majorHAnsi" w:hAnsiTheme="majorHAnsi" w:cstheme="majorHAnsi"/>
          <w:color w:val="0D0D0D" w:themeColor="text1" w:themeTint="F2"/>
          <w:sz w:val="24"/>
          <w:szCs w:val="24"/>
          <w:lang w:val="ro-RO"/>
        </w:rPr>
      </w:pPr>
    </w:p>
    <w:p w14:paraId="1749F367" w14:textId="77777777" w:rsidR="00F718EC" w:rsidRPr="00F34E9D" w:rsidRDefault="00F718EC" w:rsidP="0053186E">
      <w:pPr>
        <w:numPr>
          <w:ilvl w:val="0"/>
          <w:numId w:val="36"/>
        </w:numPr>
        <w:tabs>
          <w:tab w:val="left" w:pos="720"/>
        </w:tabs>
        <w:spacing w:after="120" w:line="276" w:lineRule="auto"/>
        <w:ind w:left="709"/>
        <w:jc w:val="both"/>
        <w:rPr>
          <w:rFonts w:asciiTheme="majorHAnsi" w:hAnsiTheme="majorHAnsi" w:cstheme="majorHAnsi"/>
          <w:b/>
          <w:bCs/>
          <w:color w:val="0D0D0D" w:themeColor="text1" w:themeTint="F2"/>
          <w:sz w:val="24"/>
          <w:szCs w:val="24"/>
        </w:rPr>
      </w:pPr>
      <w:r w:rsidRPr="00F34E9D">
        <w:rPr>
          <w:rFonts w:asciiTheme="majorHAnsi" w:hAnsiTheme="majorHAnsi" w:cstheme="majorHAnsi"/>
          <w:b/>
          <w:bCs/>
          <w:color w:val="0D0D0D" w:themeColor="text1" w:themeTint="F2"/>
          <w:sz w:val="24"/>
          <w:szCs w:val="24"/>
        </w:rPr>
        <w:t>BUNA GUVERNANȚĂ</w:t>
      </w:r>
    </w:p>
    <w:p w14:paraId="0B0B7044" w14:textId="3382AECE" w:rsidR="00833495" w:rsidRPr="00F34E9D" w:rsidRDefault="005E1A43" w:rsidP="00A8666C">
      <w:pPr>
        <w:pStyle w:val="a3"/>
        <w:shd w:val="clear" w:color="auto" w:fill="FFFFFF" w:themeFill="background1"/>
        <w:spacing w:after="60" w:line="276" w:lineRule="auto"/>
        <w:ind w:left="0"/>
        <w:contextualSpacing w:val="0"/>
        <w:jc w:val="both"/>
        <w:rPr>
          <w:rFonts w:asciiTheme="majorHAnsi" w:hAnsiTheme="majorHAnsi" w:cstheme="majorHAnsi"/>
          <w:color w:val="0D0D0D" w:themeColor="text1" w:themeTint="F2"/>
          <w:sz w:val="24"/>
          <w:szCs w:val="24"/>
        </w:rPr>
      </w:pPr>
      <w:r w:rsidRPr="00F34E9D">
        <w:rPr>
          <w:rFonts w:asciiTheme="majorHAnsi" w:hAnsiTheme="majorHAnsi" w:cstheme="majorHAnsi"/>
          <w:b/>
          <w:color w:val="0D0D0D" w:themeColor="text1" w:themeTint="F2"/>
          <w:sz w:val="24"/>
          <w:szCs w:val="24"/>
          <w:lang w:val="ro-RO"/>
        </w:rPr>
        <w:t>6.1</w:t>
      </w:r>
      <w:r w:rsidR="00DE0FF0" w:rsidRPr="00F34E9D">
        <w:rPr>
          <w:rFonts w:asciiTheme="majorHAnsi" w:hAnsiTheme="majorHAnsi" w:cstheme="majorHAnsi"/>
          <w:b/>
          <w:color w:val="0D0D0D" w:themeColor="text1" w:themeTint="F2"/>
          <w:sz w:val="24"/>
          <w:szCs w:val="24"/>
          <w:lang w:val="ro-RO"/>
        </w:rPr>
        <w:t>.</w:t>
      </w:r>
      <w:r w:rsidRPr="00F34E9D">
        <w:rPr>
          <w:rFonts w:asciiTheme="majorHAnsi" w:hAnsiTheme="majorHAnsi" w:cstheme="majorHAnsi"/>
          <w:color w:val="0D0D0D" w:themeColor="text1" w:themeTint="F2"/>
          <w:sz w:val="24"/>
          <w:szCs w:val="24"/>
          <w:lang w:val="ro-RO"/>
        </w:rPr>
        <w:t xml:space="preserve"> </w:t>
      </w:r>
      <w:r w:rsidR="00594FB8" w:rsidRPr="00F34E9D">
        <w:rPr>
          <w:rFonts w:asciiTheme="majorHAnsi" w:hAnsiTheme="majorHAnsi" w:cstheme="majorHAnsi"/>
          <w:color w:val="0D0D0D" w:themeColor="text1" w:themeTint="F2"/>
          <w:sz w:val="24"/>
          <w:szCs w:val="24"/>
          <w:lang w:val="ro-RO"/>
        </w:rPr>
        <w:t xml:space="preserve">  </w:t>
      </w:r>
      <w:r w:rsidR="00833495" w:rsidRPr="00F34E9D">
        <w:rPr>
          <w:rFonts w:asciiTheme="majorHAnsi" w:hAnsiTheme="majorHAnsi" w:cstheme="majorHAnsi"/>
          <w:color w:val="0D0D0D" w:themeColor="text1" w:themeTint="F2"/>
          <w:sz w:val="24"/>
          <w:szCs w:val="24"/>
        </w:rPr>
        <w:t xml:space="preserve">HG nr.117 din 12.08.2021 „Cu privire la restructurarea administrației publice centrale de specialitate” a stabilit </w:t>
      </w:r>
      <w:r w:rsidR="008A015C" w:rsidRPr="00F34E9D">
        <w:rPr>
          <w:rFonts w:asciiTheme="majorHAnsi" w:hAnsiTheme="majorHAnsi" w:cstheme="majorHAnsi"/>
          <w:color w:val="0D0D0D" w:themeColor="text1" w:themeTint="F2"/>
          <w:sz w:val="24"/>
          <w:szCs w:val="24"/>
        </w:rPr>
        <w:t xml:space="preserve">divizarea </w:t>
      </w:r>
      <w:r w:rsidR="00833495" w:rsidRPr="00F34E9D">
        <w:rPr>
          <w:rFonts w:asciiTheme="majorHAnsi" w:hAnsiTheme="majorHAnsi" w:cstheme="majorHAnsi"/>
          <w:color w:val="0D0D0D" w:themeColor="text1" w:themeTint="F2"/>
          <w:sz w:val="24"/>
          <w:szCs w:val="24"/>
        </w:rPr>
        <w:t>MECC în MEC și MC din 01.09.2021. MF a reglementat prin circulare interne, modul și termenele de desfășurare a procesului de reorganizare a ministerului. Conform cerințelor stipulate de MF,</w:t>
      </w:r>
      <w:r w:rsidR="00833495" w:rsidRPr="00F34E9D">
        <w:rPr>
          <w:rFonts w:asciiTheme="majorHAnsi" w:eastAsia="Times New Roman" w:hAnsiTheme="majorHAnsi" w:cstheme="majorHAnsi"/>
          <w:color w:val="0D0D0D" w:themeColor="text1" w:themeTint="F2"/>
          <w:sz w:val="24"/>
          <w:szCs w:val="24"/>
          <w:lang w:val="ro-RO" w:eastAsia="ru-RU"/>
        </w:rPr>
        <w:t xml:space="preserve"> aparatul central </w:t>
      </w:r>
      <w:r w:rsidR="00EF45CF" w:rsidRPr="00F34E9D">
        <w:rPr>
          <w:rFonts w:asciiTheme="majorHAnsi" w:eastAsia="Times New Roman" w:hAnsiTheme="majorHAnsi" w:cstheme="majorHAnsi"/>
          <w:color w:val="0D0D0D" w:themeColor="text1" w:themeTint="F2"/>
          <w:sz w:val="24"/>
          <w:szCs w:val="24"/>
          <w:lang w:val="ro-RO" w:eastAsia="ru-RU"/>
        </w:rPr>
        <w:t xml:space="preserve">al </w:t>
      </w:r>
      <w:r w:rsidR="00833495" w:rsidRPr="00F34E9D">
        <w:rPr>
          <w:rFonts w:asciiTheme="majorHAnsi" w:eastAsia="Times New Roman" w:hAnsiTheme="majorHAnsi" w:cstheme="majorHAnsi"/>
          <w:color w:val="0D0D0D" w:themeColor="text1" w:themeTint="F2"/>
          <w:sz w:val="24"/>
          <w:szCs w:val="24"/>
          <w:lang w:val="ro-RO" w:eastAsia="ru-RU"/>
        </w:rPr>
        <w:t xml:space="preserve">MEC trebuia să transmită aparatului central </w:t>
      </w:r>
      <w:r w:rsidR="00EF45CF" w:rsidRPr="00F34E9D">
        <w:rPr>
          <w:rFonts w:asciiTheme="majorHAnsi" w:eastAsia="Times New Roman" w:hAnsiTheme="majorHAnsi" w:cstheme="majorHAnsi"/>
          <w:color w:val="0D0D0D" w:themeColor="text1" w:themeTint="F2"/>
          <w:sz w:val="24"/>
          <w:szCs w:val="24"/>
          <w:lang w:val="ro-RO" w:eastAsia="ru-RU"/>
        </w:rPr>
        <w:t xml:space="preserve">al </w:t>
      </w:r>
      <w:r w:rsidR="00833495" w:rsidRPr="00F34E9D">
        <w:rPr>
          <w:rFonts w:asciiTheme="majorHAnsi" w:eastAsia="Times New Roman" w:hAnsiTheme="majorHAnsi" w:cstheme="majorHAnsi"/>
          <w:color w:val="0D0D0D" w:themeColor="text1" w:themeTint="F2"/>
          <w:sz w:val="24"/>
          <w:szCs w:val="24"/>
          <w:lang w:val="ro-RO" w:eastAsia="ru-RU"/>
        </w:rPr>
        <w:t>MC activele și pasivele care</w:t>
      </w:r>
      <w:r w:rsidR="00EF45CF" w:rsidRPr="00F34E9D">
        <w:rPr>
          <w:rFonts w:asciiTheme="majorHAnsi" w:eastAsia="Times New Roman" w:hAnsiTheme="majorHAnsi" w:cstheme="majorHAnsi"/>
          <w:color w:val="0D0D0D" w:themeColor="text1" w:themeTint="F2"/>
          <w:sz w:val="24"/>
          <w:szCs w:val="24"/>
          <w:lang w:val="ro-RO" w:eastAsia="ru-RU"/>
        </w:rPr>
        <w:t>,</w:t>
      </w:r>
      <w:r w:rsidR="00833495" w:rsidRPr="00F34E9D">
        <w:rPr>
          <w:rFonts w:asciiTheme="majorHAnsi" w:eastAsia="Times New Roman" w:hAnsiTheme="majorHAnsi" w:cstheme="majorHAnsi"/>
          <w:color w:val="0D0D0D" w:themeColor="text1" w:themeTint="F2"/>
          <w:sz w:val="24"/>
          <w:szCs w:val="24"/>
          <w:lang w:val="ro-RO" w:eastAsia="ru-RU"/>
        </w:rPr>
        <w:t xml:space="preserve"> conform HG </w:t>
      </w:r>
      <w:r w:rsidR="00345251" w:rsidRPr="00F34E9D">
        <w:rPr>
          <w:rFonts w:asciiTheme="majorHAnsi" w:eastAsia="Times New Roman" w:hAnsiTheme="majorHAnsi" w:cstheme="majorHAnsi"/>
          <w:color w:val="0D0D0D" w:themeColor="text1" w:themeTint="F2"/>
          <w:sz w:val="24"/>
          <w:szCs w:val="24"/>
          <w:lang w:val="ro-RO" w:eastAsia="ru-RU"/>
        </w:rPr>
        <w:t>nr.</w:t>
      </w:r>
      <w:r w:rsidR="00833495" w:rsidRPr="00F34E9D">
        <w:rPr>
          <w:rFonts w:asciiTheme="majorHAnsi" w:eastAsia="Times New Roman" w:hAnsiTheme="majorHAnsi" w:cstheme="majorHAnsi"/>
          <w:color w:val="0D0D0D" w:themeColor="text1" w:themeTint="F2"/>
          <w:sz w:val="24"/>
          <w:szCs w:val="24"/>
          <w:lang w:val="ro-RO" w:eastAsia="ru-RU"/>
        </w:rPr>
        <w:t>147/2021</w:t>
      </w:r>
      <w:r w:rsidR="00EF45CF" w:rsidRPr="00F34E9D">
        <w:rPr>
          <w:rFonts w:asciiTheme="majorHAnsi" w:eastAsia="Times New Roman" w:hAnsiTheme="majorHAnsi" w:cstheme="majorHAnsi"/>
          <w:color w:val="0D0D0D" w:themeColor="text1" w:themeTint="F2"/>
          <w:sz w:val="24"/>
          <w:szCs w:val="24"/>
          <w:lang w:val="ro-RO" w:eastAsia="ru-RU"/>
        </w:rPr>
        <w:t>,</w:t>
      </w:r>
      <w:r w:rsidR="00833495" w:rsidRPr="00F34E9D">
        <w:rPr>
          <w:rFonts w:asciiTheme="majorHAnsi" w:eastAsia="Times New Roman" w:hAnsiTheme="majorHAnsi" w:cstheme="majorHAnsi"/>
          <w:color w:val="0D0D0D" w:themeColor="text1" w:themeTint="F2"/>
          <w:sz w:val="24"/>
          <w:szCs w:val="24"/>
          <w:lang w:val="ro-RO" w:eastAsia="ru-RU"/>
        </w:rPr>
        <w:t xml:space="preserve"> au trecut în gestiunea MC, precum și mijloacele fixe care ar fi trebuit să asigure activitatea aparatului central al MC. Persoanele însărcinate cu guvernanța din </w:t>
      </w:r>
      <w:r w:rsidR="00EF45CF" w:rsidRPr="00F34E9D">
        <w:rPr>
          <w:rFonts w:asciiTheme="majorHAnsi" w:eastAsia="Times New Roman" w:hAnsiTheme="majorHAnsi" w:cstheme="majorHAnsi"/>
          <w:color w:val="0D0D0D" w:themeColor="text1" w:themeTint="F2"/>
          <w:sz w:val="24"/>
          <w:szCs w:val="24"/>
          <w:lang w:val="ro-RO" w:eastAsia="ru-RU"/>
        </w:rPr>
        <w:t xml:space="preserve">cadrul </w:t>
      </w:r>
      <w:r w:rsidR="00833495" w:rsidRPr="00F34E9D">
        <w:rPr>
          <w:rFonts w:asciiTheme="majorHAnsi" w:eastAsia="Times New Roman" w:hAnsiTheme="majorHAnsi" w:cstheme="majorHAnsi"/>
          <w:color w:val="0D0D0D" w:themeColor="text1" w:themeTint="F2"/>
          <w:sz w:val="24"/>
          <w:szCs w:val="24"/>
          <w:lang w:val="ro-RO" w:eastAsia="ru-RU"/>
        </w:rPr>
        <w:t>MEC și MC nu s-au conformat cerințelor MF, care reglementau</w:t>
      </w:r>
      <w:r w:rsidR="00833495" w:rsidRPr="00F34E9D">
        <w:rPr>
          <w:rFonts w:asciiTheme="majorHAnsi" w:hAnsiTheme="majorHAnsi" w:cstheme="majorHAnsi"/>
          <w:color w:val="0D0D0D" w:themeColor="text1" w:themeTint="F2"/>
          <w:sz w:val="24"/>
          <w:szCs w:val="24"/>
        </w:rPr>
        <w:t xml:space="preserve"> aspectele importante de respectat de către managementul APC reorganizate, și anume, nu a fost instituită comisia de restructurare a APC în termene proxime din data intrării în vigoare a HG </w:t>
      </w:r>
      <w:r w:rsidR="00345251" w:rsidRPr="00F34E9D">
        <w:rPr>
          <w:rFonts w:asciiTheme="majorHAnsi" w:hAnsiTheme="majorHAnsi" w:cstheme="majorHAnsi"/>
          <w:color w:val="0D0D0D" w:themeColor="text1" w:themeTint="F2"/>
          <w:sz w:val="24"/>
          <w:szCs w:val="24"/>
        </w:rPr>
        <w:t>nr.</w:t>
      </w:r>
      <w:r w:rsidR="00833495" w:rsidRPr="00F34E9D">
        <w:rPr>
          <w:rFonts w:asciiTheme="majorHAnsi" w:hAnsiTheme="majorHAnsi" w:cstheme="majorHAnsi"/>
          <w:color w:val="0D0D0D" w:themeColor="text1" w:themeTint="F2"/>
          <w:sz w:val="24"/>
          <w:szCs w:val="24"/>
        </w:rPr>
        <w:t>117</w:t>
      </w:r>
      <w:r w:rsidR="00DB7396" w:rsidRPr="00F34E9D">
        <w:rPr>
          <w:rFonts w:asciiTheme="majorHAnsi" w:hAnsiTheme="majorHAnsi" w:cstheme="majorHAnsi"/>
          <w:color w:val="0D0D0D" w:themeColor="text1" w:themeTint="F2"/>
          <w:sz w:val="24"/>
          <w:szCs w:val="24"/>
        </w:rPr>
        <w:t xml:space="preserve"> din 12.08.</w:t>
      </w:r>
      <w:r w:rsidR="00833495" w:rsidRPr="00F34E9D">
        <w:rPr>
          <w:rFonts w:asciiTheme="majorHAnsi" w:hAnsiTheme="majorHAnsi" w:cstheme="majorHAnsi"/>
          <w:color w:val="0D0D0D" w:themeColor="text1" w:themeTint="F2"/>
          <w:sz w:val="24"/>
          <w:szCs w:val="24"/>
        </w:rPr>
        <w:t xml:space="preserve">2021, nu a fost efectuată inventarierea patrimoniului și transmiterea activelor și pasivelor până la 30.11.2021, nu au fost transmise activele și pasivele între aparatele centrale ale MEC și MC. </w:t>
      </w:r>
      <w:r w:rsidR="00EF45CF" w:rsidRPr="00F34E9D">
        <w:rPr>
          <w:rFonts w:asciiTheme="majorHAnsi" w:hAnsiTheme="majorHAnsi" w:cstheme="majorHAnsi"/>
          <w:color w:val="0D0D0D" w:themeColor="text1" w:themeTint="F2"/>
          <w:sz w:val="24"/>
          <w:szCs w:val="24"/>
        </w:rPr>
        <w:t>Ca</w:t>
      </w:r>
      <w:r w:rsidR="00833495" w:rsidRPr="00F34E9D">
        <w:rPr>
          <w:rFonts w:asciiTheme="majorHAnsi" w:hAnsiTheme="majorHAnsi" w:cstheme="majorHAnsi"/>
          <w:color w:val="0D0D0D" w:themeColor="text1" w:themeTint="F2"/>
          <w:sz w:val="24"/>
          <w:szCs w:val="24"/>
        </w:rPr>
        <w:t xml:space="preserve"> rezultat a fost perturbat procesul de reorganizare a ministerului și au fost afectate semnificativ rapoartele financiare consolidate ale </w:t>
      </w:r>
      <w:r w:rsidR="00EF45CF" w:rsidRPr="00F34E9D">
        <w:rPr>
          <w:rFonts w:asciiTheme="majorHAnsi" w:hAnsiTheme="majorHAnsi" w:cstheme="majorHAnsi"/>
          <w:color w:val="0D0D0D" w:themeColor="text1" w:themeTint="F2"/>
          <w:sz w:val="24"/>
          <w:szCs w:val="24"/>
        </w:rPr>
        <w:t>acestuia</w:t>
      </w:r>
      <w:r w:rsidR="00833495" w:rsidRPr="00F34E9D">
        <w:rPr>
          <w:rFonts w:asciiTheme="majorHAnsi" w:hAnsiTheme="majorHAnsi" w:cstheme="majorHAnsi"/>
          <w:color w:val="0D0D0D" w:themeColor="text1" w:themeTint="F2"/>
          <w:sz w:val="24"/>
          <w:szCs w:val="24"/>
        </w:rPr>
        <w:t xml:space="preserve">. </w:t>
      </w:r>
    </w:p>
    <w:p w14:paraId="50DE9CDF" w14:textId="3B637D8D" w:rsidR="00DD0526" w:rsidRPr="00F34E9D" w:rsidRDefault="00833495">
      <w:pPr>
        <w:pStyle w:val="a3"/>
        <w:shd w:val="clear" w:color="auto" w:fill="FFFFFF" w:themeFill="background1"/>
        <w:spacing w:after="0" w:line="276" w:lineRule="auto"/>
        <w:ind w:left="0"/>
        <w:jc w:val="both"/>
        <w:rPr>
          <w:rFonts w:asciiTheme="majorHAnsi" w:hAnsiTheme="majorHAnsi" w:cstheme="majorHAnsi"/>
          <w:color w:val="0D0D0D" w:themeColor="text1" w:themeTint="F2"/>
          <w:sz w:val="24"/>
          <w:szCs w:val="24"/>
        </w:rPr>
      </w:pPr>
      <w:r w:rsidRPr="00F34E9D">
        <w:rPr>
          <w:rFonts w:asciiTheme="majorHAnsi" w:hAnsiTheme="majorHAnsi" w:cstheme="majorHAnsi"/>
          <w:b/>
          <w:color w:val="0D0D0D" w:themeColor="text1" w:themeTint="F2"/>
          <w:sz w:val="24"/>
          <w:szCs w:val="24"/>
          <w:lang w:val="ro-RO"/>
        </w:rPr>
        <w:t>6.</w:t>
      </w:r>
      <w:r w:rsidR="00ED2D9E" w:rsidRPr="00F34E9D">
        <w:rPr>
          <w:rFonts w:asciiTheme="majorHAnsi" w:hAnsiTheme="majorHAnsi" w:cstheme="majorHAnsi"/>
          <w:b/>
          <w:color w:val="0D0D0D" w:themeColor="text1" w:themeTint="F2"/>
          <w:sz w:val="24"/>
          <w:szCs w:val="24"/>
          <w:lang w:val="ro-RO"/>
        </w:rPr>
        <w:t>2</w:t>
      </w:r>
      <w:r w:rsidR="00DE0FF0" w:rsidRPr="00F34E9D">
        <w:rPr>
          <w:rFonts w:asciiTheme="majorHAnsi" w:hAnsiTheme="majorHAnsi" w:cstheme="majorHAnsi"/>
          <w:b/>
          <w:color w:val="0D0D0D" w:themeColor="text1" w:themeTint="F2"/>
          <w:sz w:val="24"/>
          <w:szCs w:val="24"/>
          <w:lang w:val="ro-RO"/>
        </w:rPr>
        <w:t>.</w:t>
      </w:r>
      <w:r w:rsidRPr="00F34E9D">
        <w:rPr>
          <w:rFonts w:asciiTheme="majorHAnsi" w:hAnsiTheme="majorHAnsi" w:cstheme="majorHAnsi"/>
          <w:color w:val="0D0D0D" w:themeColor="text1" w:themeTint="F2"/>
          <w:sz w:val="24"/>
          <w:szCs w:val="24"/>
          <w:lang w:val="ro-RO"/>
        </w:rPr>
        <w:t xml:space="preserve"> </w:t>
      </w:r>
      <w:r w:rsidR="008A015C" w:rsidRPr="00F34E9D">
        <w:rPr>
          <w:rFonts w:asciiTheme="majorHAnsi" w:hAnsiTheme="majorHAnsi" w:cstheme="majorHAnsi"/>
          <w:color w:val="0D0D0D" w:themeColor="text1" w:themeTint="F2"/>
          <w:sz w:val="24"/>
          <w:szCs w:val="24"/>
          <w:lang w:val="ro-RO"/>
        </w:rPr>
        <w:t xml:space="preserve">MEC </w:t>
      </w:r>
      <w:r w:rsidR="005E1A43" w:rsidRPr="00F34E9D">
        <w:rPr>
          <w:rFonts w:asciiTheme="majorHAnsi" w:hAnsiTheme="majorHAnsi" w:cstheme="majorHAnsi"/>
          <w:color w:val="0D0D0D" w:themeColor="text1" w:themeTint="F2"/>
          <w:sz w:val="24"/>
          <w:szCs w:val="24"/>
          <w:lang w:val="ro-RO"/>
        </w:rPr>
        <w:t xml:space="preserve">în perioada auditată a întreprins </w:t>
      </w:r>
      <w:r w:rsidR="008A015C" w:rsidRPr="00F34E9D">
        <w:rPr>
          <w:rFonts w:asciiTheme="majorHAnsi" w:hAnsiTheme="majorHAnsi" w:cstheme="majorHAnsi"/>
          <w:color w:val="0D0D0D" w:themeColor="text1" w:themeTint="F2"/>
          <w:sz w:val="24"/>
          <w:szCs w:val="24"/>
          <w:lang w:val="ro-RO"/>
        </w:rPr>
        <w:t xml:space="preserve">unele </w:t>
      </w:r>
      <w:r w:rsidR="005E1A43" w:rsidRPr="00F34E9D">
        <w:rPr>
          <w:rFonts w:asciiTheme="majorHAnsi" w:hAnsiTheme="majorHAnsi" w:cstheme="majorHAnsi"/>
          <w:color w:val="0D0D0D" w:themeColor="text1" w:themeTint="F2"/>
          <w:sz w:val="24"/>
          <w:szCs w:val="24"/>
          <w:lang w:val="ro-RO"/>
        </w:rPr>
        <w:t xml:space="preserve">acțiuni care au dus la îmbunătățirea </w:t>
      </w:r>
      <w:r w:rsidR="005E1A43" w:rsidRPr="00F34E9D">
        <w:rPr>
          <w:rFonts w:asciiTheme="majorHAnsi" w:hAnsiTheme="majorHAnsi" w:cstheme="majorHAnsi"/>
          <w:i/>
          <w:color w:val="0D0D0D" w:themeColor="text1" w:themeTint="F2"/>
          <w:sz w:val="24"/>
          <w:szCs w:val="24"/>
          <w:lang w:val="ro-RO"/>
        </w:rPr>
        <w:t xml:space="preserve">sistemului </w:t>
      </w:r>
      <w:r w:rsidR="001A1A53" w:rsidRPr="00F34E9D">
        <w:rPr>
          <w:rFonts w:asciiTheme="majorHAnsi" w:hAnsiTheme="majorHAnsi" w:cstheme="majorHAnsi"/>
          <w:i/>
          <w:color w:val="0D0D0D" w:themeColor="text1" w:themeTint="F2"/>
          <w:sz w:val="24"/>
          <w:szCs w:val="24"/>
          <w:lang w:val="ro-RO"/>
        </w:rPr>
        <w:t xml:space="preserve">de </w:t>
      </w:r>
      <w:r w:rsidR="005E1A43" w:rsidRPr="00F34E9D">
        <w:rPr>
          <w:rFonts w:asciiTheme="majorHAnsi" w:hAnsiTheme="majorHAnsi" w:cstheme="majorHAnsi"/>
          <w:i/>
          <w:color w:val="0D0D0D" w:themeColor="text1" w:themeTint="F2"/>
          <w:sz w:val="24"/>
          <w:szCs w:val="24"/>
          <w:lang w:val="ro-RO"/>
        </w:rPr>
        <w:t>control intern managerial</w:t>
      </w:r>
      <w:r w:rsidR="005E1A43" w:rsidRPr="00F34E9D">
        <w:rPr>
          <w:rFonts w:asciiTheme="majorHAnsi" w:hAnsiTheme="majorHAnsi" w:cstheme="majorHAnsi"/>
          <w:color w:val="0D0D0D" w:themeColor="text1" w:themeTint="F2"/>
          <w:sz w:val="24"/>
          <w:szCs w:val="24"/>
          <w:lang w:val="ro-RO"/>
        </w:rPr>
        <w:t>. A dezvoltat u</w:t>
      </w:r>
      <w:r w:rsidR="005E1A43" w:rsidRPr="00F34E9D">
        <w:rPr>
          <w:rFonts w:asciiTheme="majorHAnsi" w:hAnsiTheme="majorHAnsi" w:cstheme="majorHAnsi"/>
          <w:color w:val="0D0D0D" w:themeColor="text1" w:themeTint="F2"/>
          <w:sz w:val="24"/>
          <w:szCs w:val="24"/>
        </w:rPr>
        <w:t xml:space="preserve">n ansamblu de instrumente prin care aliniază controlul intern managerial instituit în cadrul ministerului la cerințele Legii </w:t>
      </w:r>
      <w:r w:rsidR="00EC44BB" w:rsidRPr="00F34E9D">
        <w:rPr>
          <w:rFonts w:asciiTheme="majorHAnsi" w:hAnsiTheme="majorHAnsi" w:cstheme="majorHAnsi"/>
          <w:color w:val="0D0D0D" w:themeColor="text1" w:themeTint="F2"/>
          <w:sz w:val="24"/>
          <w:szCs w:val="24"/>
        </w:rPr>
        <w:t>nr.</w:t>
      </w:r>
      <w:r w:rsidR="005E1A43" w:rsidRPr="00F34E9D">
        <w:rPr>
          <w:rFonts w:asciiTheme="majorHAnsi" w:hAnsiTheme="majorHAnsi" w:cstheme="majorHAnsi"/>
          <w:color w:val="0D0D0D" w:themeColor="text1" w:themeTint="F2"/>
          <w:sz w:val="24"/>
          <w:szCs w:val="24"/>
        </w:rPr>
        <w:t>229/2010</w:t>
      </w:r>
      <w:r w:rsidR="00DD0526" w:rsidRPr="00F34E9D">
        <w:rPr>
          <w:rFonts w:asciiTheme="majorHAnsi" w:hAnsiTheme="majorHAnsi" w:cstheme="majorHAnsi"/>
          <w:color w:val="0D0D0D" w:themeColor="text1" w:themeTint="F2"/>
          <w:sz w:val="24"/>
          <w:szCs w:val="24"/>
          <w:lang w:val="ro-RO"/>
        </w:rPr>
        <w:t>:</w:t>
      </w:r>
    </w:p>
    <w:p w14:paraId="0734EB63" w14:textId="21D169CE" w:rsidR="00DD0526" w:rsidRPr="00F34E9D" w:rsidRDefault="00DD0526">
      <w:pPr>
        <w:pStyle w:val="a3"/>
        <w:numPr>
          <w:ilvl w:val="0"/>
          <w:numId w:val="10"/>
        </w:numPr>
        <w:shd w:val="clear" w:color="auto" w:fill="FFFFFF" w:themeFill="background1"/>
        <w:spacing w:after="0" w:line="276" w:lineRule="auto"/>
        <w:ind w:left="406"/>
        <w:jc w:val="both"/>
        <w:rPr>
          <w:rFonts w:asciiTheme="majorHAnsi" w:hAnsiTheme="majorHAnsi" w:cstheme="majorHAnsi"/>
          <w:color w:val="0D0D0D" w:themeColor="text1" w:themeTint="F2"/>
          <w:sz w:val="24"/>
          <w:szCs w:val="24"/>
          <w:lang w:val="ro-RO"/>
        </w:rPr>
      </w:pPr>
      <w:r w:rsidRPr="00F34E9D">
        <w:rPr>
          <w:rFonts w:asciiTheme="majorHAnsi" w:hAnsiTheme="majorHAnsi" w:cstheme="majorHAnsi"/>
          <w:color w:val="0D0D0D" w:themeColor="text1" w:themeTint="F2"/>
          <w:sz w:val="24"/>
          <w:szCs w:val="24"/>
          <w:lang w:val="ro-RO"/>
        </w:rPr>
        <w:t xml:space="preserve">la </w:t>
      </w:r>
      <w:r w:rsidR="005E1A43" w:rsidRPr="00F34E9D">
        <w:rPr>
          <w:rFonts w:asciiTheme="majorHAnsi" w:hAnsiTheme="majorHAnsi" w:cstheme="majorHAnsi"/>
          <w:color w:val="0D0D0D" w:themeColor="text1" w:themeTint="F2"/>
          <w:sz w:val="24"/>
          <w:szCs w:val="24"/>
        </w:rPr>
        <w:t xml:space="preserve"> componenta </w:t>
      </w:r>
      <w:r w:rsidR="005E1A43" w:rsidRPr="00F34E9D">
        <w:rPr>
          <w:rFonts w:asciiTheme="majorHAnsi" w:hAnsiTheme="majorHAnsi" w:cstheme="majorHAnsi"/>
          <w:color w:val="0D0D0D" w:themeColor="text1" w:themeTint="F2"/>
          <w:sz w:val="24"/>
          <w:szCs w:val="24"/>
          <w:shd w:val="clear" w:color="auto" w:fill="FFFFFF"/>
        </w:rPr>
        <w:t>managementul performanțelor și al riscurilor</w:t>
      </w:r>
      <w:r w:rsidR="00E95E30" w:rsidRPr="00F34E9D">
        <w:rPr>
          <w:rFonts w:asciiTheme="majorHAnsi" w:hAnsiTheme="majorHAnsi" w:cstheme="majorHAnsi"/>
          <w:color w:val="0D0D0D" w:themeColor="text1" w:themeTint="F2"/>
          <w:sz w:val="24"/>
          <w:szCs w:val="24"/>
          <w:shd w:val="clear" w:color="auto" w:fill="FFFFFF"/>
        </w:rPr>
        <w:t>,</w:t>
      </w:r>
      <w:r w:rsidR="005E1A43" w:rsidRPr="00F34E9D">
        <w:rPr>
          <w:rFonts w:asciiTheme="majorHAnsi" w:hAnsiTheme="majorHAnsi" w:cstheme="majorHAnsi"/>
          <w:color w:val="0D0D0D" w:themeColor="text1" w:themeTint="F2"/>
          <w:sz w:val="24"/>
          <w:szCs w:val="24"/>
          <w:shd w:val="clear" w:color="auto" w:fill="FFFFFF"/>
        </w:rPr>
        <w:t xml:space="preserve"> a fost </w:t>
      </w:r>
      <w:r w:rsidR="005E1A43" w:rsidRPr="00F34E9D">
        <w:rPr>
          <w:rFonts w:asciiTheme="majorHAnsi" w:hAnsiTheme="majorHAnsi" w:cstheme="majorHAnsi"/>
          <w:color w:val="0D0D0D" w:themeColor="text1" w:themeTint="F2"/>
          <w:sz w:val="24"/>
          <w:szCs w:val="24"/>
          <w:lang w:val="ro-RO"/>
        </w:rPr>
        <w:t>dezvoltat Registrul riscurilor.</w:t>
      </w:r>
      <w:r w:rsidR="005E1A43" w:rsidRPr="00F34E9D">
        <w:rPr>
          <w:rFonts w:asciiTheme="majorHAnsi" w:hAnsiTheme="majorHAnsi" w:cstheme="majorHAnsi"/>
          <w:color w:val="0D0D0D" w:themeColor="text1" w:themeTint="F2"/>
        </w:rPr>
        <w:t xml:space="preserve"> </w:t>
      </w:r>
      <w:r w:rsidR="005E1A43" w:rsidRPr="00F34E9D">
        <w:rPr>
          <w:rFonts w:asciiTheme="majorHAnsi" w:hAnsiTheme="majorHAnsi" w:cstheme="majorHAnsi"/>
          <w:color w:val="0D0D0D" w:themeColor="text1" w:themeTint="F2"/>
          <w:sz w:val="24"/>
          <w:szCs w:val="24"/>
        </w:rPr>
        <w:t>S</w:t>
      </w:r>
      <w:r w:rsidR="005E1A43" w:rsidRPr="00F34E9D">
        <w:rPr>
          <w:rFonts w:asciiTheme="majorHAnsi" w:hAnsiTheme="majorHAnsi" w:cstheme="majorHAnsi"/>
          <w:color w:val="0D0D0D" w:themeColor="text1" w:themeTint="F2"/>
          <w:sz w:val="24"/>
          <w:szCs w:val="24"/>
          <w:lang w:val="ro-RO"/>
        </w:rPr>
        <w:t xml:space="preserve">unt planificate activități de control pentru gestionarea riscurilor identificate și </w:t>
      </w:r>
      <w:r w:rsidR="00E95E30" w:rsidRPr="00F34E9D">
        <w:rPr>
          <w:rFonts w:asciiTheme="majorHAnsi" w:hAnsiTheme="majorHAnsi" w:cstheme="majorHAnsi"/>
          <w:color w:val="0D0D0D" w:themeColor="text1" w:themeTint="F2"/>
          <w:sz w:val="24"/>
          <w:szCs w:val="24"/>
          <w:lang w:val="ro-RO"/>
        </w:rPr>
        <w:t xml:space="preserve">sunt </w:t>
      </w:r>
      <w:r w:rsidR="005E1A43" w:rsidRPr="00F34E9D">
        <w:rPr>
          <w:rFonts w:asciiTheme="majorHAnsi" w:hAnsiTheme="majorHAnsi" w:cstheme="majorHAnsi"/>
          <w:color w:val="0D0D0D" w:themeColor="text1" w:themeTint="F2"/>
          <w:sz w:val="24"/>
          <w:szCs w:val="24"/>
          <w:lang w:val="ro-RO"/>
        </w:rPr>
        <w:t>delegate persoane responsabile de gestionarea acestor riscuri</w:t>
      </w:r>
      <w:r w:rsidRPr="00F34E9D">
        <w:rPr>
          <w:rFonts w:asciiTheme="majorHAnsi" w:hAnsiTheme="majorHAnsi" w:cstheme="majorHAnsi"/>
          <w:color w:val="0D0D0D" w:themeColor="text1" w:themeTint="F2"/>
          <w:sz w:val="24"/>
          <w:szCs w:val="24"/>
          <w:shd w:val="clear" w:color="auto" w:fill="FFFFFF"/>
        </w:rPr>
        <w:t>;</w:t>
      </w:r>
    </w:p>
    <w:p w14:paraId="1436D650" w14:textId="75A71E73" w:rsidR="005E1A43" w:rsidRPr="00F34E9D" w:rsidRDefault="00DD0526">
      <w:pPr>
        <w:pStyle w:val="a3"/>
        <w:numPr>
          <w:ilvl w:val="0"/>
          <w:numId w:val="10"/>
        </w:numPr>
        <w:shd w:val="clear" w:color="auto" w:fill="FFFFFF" w:themeFill="background1"/>
        <w:spacing w:after="0" w:line="276" w:lineRule="auto"/>
        <w:ind w:left="406"/>
        <w:jc w:val="both"/>
        <w:rPr>
          <w:rFonts w:asciiTheme="majorHAnsi" w:hAnsiTheme="majorHAnsi" w:cstheme="majorHAnsi"/>
          <w:color w:val="0D0D0D" w:themeColor="text1" w:themeTint="F2"/>
          <w:sz w:val="24"/>
          <w:szCs w:val="24"/>
          <w:lang w:val="ro-RO"/>
        </w:rPr>
      </w:pPr>
      <w:r w:rsidRPr="00F34E9D">
        <w:rPr>
          <w:rFonts w:asciiTheme="majorHAnsi" w:hAnsiTheme="majorHAnsi" w:cstheme="majorHAnsi"/>
          <w:color w:val="0D0D0D" w:themeColor="text1" w:themeTint="F2"/>
          <w:sz w:val="24"/>
          <w:szCs w:val="24"/>
          <w:shd w:val="clear" w:color="auto" w:fill="FFFFFF"/>
          <w:lang w:val="ro-RO"/>
        </w:rPr>
        <w:t>la</w:t>
      </w:r>
      <w:r w:rsidR="005E1A43" w:rsidRPr="00F34E9D">
        <w:rPr>
          <w:rFonts w:asciiTheme="majorHAnsi" w:hAnsiTheme="majorHAnsi" w:cstheme="majorHAnsi"/>
          <w:color w:val="0D0D0D" w:themeColor="text1" w:themeTint="F2"/>
          <w:sz w:val="24"/>
          <w:szCs w:val="24"/>
          <w:shd w:val="clear" w:color="auto" w:fill="FFFFFF"/>
        </w:rPr>
        <w:t xml:space="preserve"> componenta acțiuni de control</w:t>
      </w:r>
      <w:r w:rsidR="00E95E30" w:rsidRPr="00F34E9D">
        <w:rPr>
          <w:rFonts w:asciiTheme="majorHAnsi" w:hAnsiTheme="majorHAnsi" w:cstheme="majorHAnsi"/>
          <w:color w:val="0D0D0D" w:themeColor="text1" w:themeTint="F2"/>
          <w:sz w:val="24"/>
          <w:szCs w:val="24"/>
          <w:shd w:val="clear" w:color="auto" w:fill="FFFFFF"/>
        </w:rPr>
        <w:t>,</w:t>
      </w:r>
      <w:r w:rsidR="005E1A43" w:rsidRPr="00F34E9D">
        <w:rPr>
          <w:rFonts w:asciiTheme="majorHAnsi" w:hAnsiTheme="majorHAnsi" w:cstheme="majorHAnsi"/>
          <w:color w:val="0D0D0D" w:themeColor="text1" w:themeTint="F2"/>
          <w:sz w:val="24"/>
          <w:szCs w:val="24"/>
          <w:shd w:val="clear" w:color="auto" w:fill="FFFFFF"/>
        </w:rPr>
        <w:t xml:space="preserve"> </w:t>
      </w:r>
      <w:r w:rsidR="005E1A43" w:rsidRPr="00F34E9D">
        <w:rPr>
          <w:rFonts w:asciiTheme="majorHAnsi" w:hAnsiTheme="majorHAnsi" w:cstheme="majorHAnsi"/>
          <w:color w:val="0D0D0D" w:themeColor="text1" w:themeTint="F2"/>
          <w:sz w:val="24"/>
          <w:szCs w:val="24"/>
          <w:lang w:val="ro-RO"/>
        </w:rPr>
        <w:t>au fost descrise narativ și grafic procese</w:t>
      </w:r>
      <w:r w:rsidR="00E95E30" w:rsidRPr="00F34E9D">
        <w:rPr>
          <w:rFonts w:asciiTheme="majorHAnsi" w:hAnsiTheme="majorHAnsi" w:cstheme="majorHAnsi"/>
          <w:color w:val="0D0D0D" w:themeColor="text1" w:themeTint="F2"/>
          <w:sz w:val="24"/>
          <w:szCs w:val="24"/>
          <w:lang w:val="ro-RO"/>
        </w:rPr>
        <w:t>le</w:t>
      </w:r>
      <w:r w:rsidR="005E1A43" w:rsidRPr="00F34E9D">
        <w:rPr>
          <w:rFonts w:asciiTheme="majorHAnsi" w:hAnsiTheme="majorHAnsi" w:cstheme="majorHAnsi"/>
          <w:color w:val="0D0D0D" w:themeColor="text1" w:themeTint="F2"/>
          <w:sz w:val="24"/>
          <w:szCs w:val="24"/>
          <w:lang w:val="ro-RO"/>
        </w:rPr>
        <w:t xml:space="preserve"> operaționale ale subdiviziunilor </w:t>
      </w:r>
      <w:r w:rsidR="000E54CD" w:rsidRPr="00F34E9D">
        <w:rPr>
          <w:rFonts w:asciiTheme="majorHAnsi" w:hAnsiTheme="majorHAnsi" w:cstheme="majorHAnsi"/>
          <w:color w:val="0D0D0D" w:themeColor="text1" w:themeTint="F2"/>
          <w:sz w:val="24"/>
          <w:szCs w:val="24"/>
          <w:lang w:val="ro-RO"/>
        </w:rPr>
        <w:t xml:space="preserve">aparatului central </w:t>
      </w:r>
      <w:r w:rsidR="005E1A43" w:rsidRPr="00F34E9D">
        <w:rPr>
          <w:rFonts w:asciiTheme="majorHAnsi" w:hAnsiTheme="majorHAnsi" w:cstheme="majorHAnsi"/>
          <w:color w:val="0D0D0D" w:themeColor="text1" w:themeTint="F2"/>
          <w:sz w:val="24"/>
          <w:szCs w:val="24"/>
          <w:lang w:val="ro-RO"/>
        </w:rPr>
        <w:t xml:space="preserve">al </w:t>
      </w:r>
      <w:r w:rsidR="00546881" w:rsidRPr="00F34E9D">
        <w:rPr>
          <w:rFonts w:asciiTheme="majorHAnsi" w:hAnsiTheme="majorHAnsi" w:cstheme="majorHAnsi"/>
          <w:color w:val="0D0D0D" w:themeColor="text1" w:themeTint="F2"/>
          <w:sz w:val="24"/>
          <w:szCs w:val="24"/>
          <w:lang w:val="ro-RO"/>
        </w:rPr>
        <w:t>m</w:t>
      </w:r>
      <w:r w:rsidR="005E1A43" w:rsidRPr="00F34E9D">
        <w:rPr>
          <w:rFonts w:asciiTheme="majorHAnsi" w:hAnsiTheme="majorHAnsi" w:cstheme="majorHAnsi"/>
          <w:color w:val="0D0D0D" w:themeColor="text1" w:themeTint="F2"/>
          <w:sz w:val="24"/>
          <w:szCs w:val="24"/>
          <w:lang w:val="ro-RO"/>
        </w:rPr>
        <w:t>inisterului. De menționat că descrierea proceselor operaționale ale secției financiar administrative este în proces</w:t>
      </w:r>
      <w:r w:rsidRPr="00F34E9D">
        <w:rPr>
          <w:rFonts w:asciiTheme="majorHAnsi" w:hAnsiTheme="majorHAnsi" w:cstheme="majorHAnsi"/>
          <w:color w:val="0D0D0D" w:themeColor="text1" w:themeTint="F2"/>
          <w:sz w:val="24"/>
          <w:szCs w:val="24"/>
          <w:lang w:val="ro-RO"/>
        </w:rPr>
        <w:t xml:space="preserve"> de elaborare</w:t>
      </w:r>
      <w:r w:rsidR="005E1A43" w:rsidRPr="00F34E9D">
        <w:rPr>
          <w:rFonts w:asciiTheme="majorHAnsi" w:hAnsiTheme="majorHAnsi" w:cstheme="majorHAnsi"/>
          <w:color w:val="0D0D0D" w:themeColor="text1" w:themeTint="F2"/>
          <w:sz w:val="24"/>
          <w:szCs w:val="24"/>
          <w:lang w:val="ro-RO"/>
        </w:rPr>
        <w:t>.</w:t>
      </w:r>
    </w:p>
    <w:p w14:paraId="16C86806" w14:textId="3A39E8E1" w:rsidR="005E1A43" w:rsidRPr="00F34E9D" w:rsidRDefault="005E1A43" w:rsidP="00F42E6E">
      <w:pPr>
        <w:shd w:val="clear" w:color="auto" w:fill="FFFFFF" w:themeFill="background1"/>
        <w:spacing w:after="0" w:line="276" w:lineRule="auto"/>
        <w:jc w:val="both"/>
        <w:rPr>
          <w:rFonts w:asciiTheme="majorHAnsi" w:hAnsiTheme="majorHAnsi" w:cstheme="majorHAnsi"/>
          <w:color w:val="0D0D0D" w:themeColor="text1" w:themeTint="F2"/>
          <w:sz w:val="24"/>
          <w:szCs w:val="24"/>
          <w:lang w:val="ro-RO"/>
        </w:rPr>
      </w:pPr>
      <w:r w:rsidRPr="00F34E9D">
        <w:rPr>
          <w:rFonts w:asciiTheme="majorHAnsi" w:hAnsiTheme="majorHAnsi" w:cstheme="majorHAnsi"/>
          <w:color w:val="0D0D0D" w:themeColor="text1" w:themeTint="F2"/>
          <w:sz w:val="24"/>
          <w:szCs w:val="24"/>
          <w:lang w:val="ro-RO"/>
        </w:rPr>
        <w:t>Cu toate acestea, în evaluarea sistemul</w:t>
      </w:r>
      <w:r w:rsidR="00E95E30" w:rsidRPr="00F34E9D">
        <w:rPr>
          <w:rFonts w:asciiTheme="majorHAnsi" w:hAnsiTheme="majorHAnsi" w:cstheme="majorHAnsi"/>
          <w:color w:val="0D0D0D" w:themeColor="text1" w:themeTint="F2"/>
          <w:sz w:val="24"/>
          <w:szCs w:val="24"/>
          <w:lang w:val="ro-RO"/>
        </w:rPr>
        <w:t>ui</w:t>
      </w:r>
      <w:r w:rsidRPr="00F34E9D">
        <w:rPr>
          <w:rFonts w:asciiTheme="majorHAnsi" w:hAnsiTheme="majorHAnsi" w:cstheme="majorHAnsi"/>
          <w:color w:val="0D0D0D" w:themeColor="text1" w:themeTint="F2"/>
          <w:sz w:val="24"/>
          <w:szCs w:val="24"/>
          <w:lang w:val="ro-RO"/>
        </w:rPr>
        <w:t xml:space="preserve"> CIM instituit au fost constatate lacune esențiale, și anume:</w:t>
      </w:r>
    </w:p>
    <w:p w14:paraId="214B610F" w14:textId="66A04121" w:rsidR="006054C8" w:rsidRPr="00F34E9D" w:rsidRDefault="00E95E30">
      <w:pPr>
        <w:pStyle w:val="a3"/>
        <w:numPr>
          <w:ilvl w:val="0"/>
          <w:numId w:val="11"/>
        </w:numPr>
        <w:shd w:val="clear" w:color="auto" w:fill="FFFFFF" w:themeFill="background1"/>
        <w:spacing w:after="0" w:line="276" w:lineRule="auto"/>
        <w:ind w:left="426"/>
        <w:jc w:val="both"/>
        <w:rPr>
          <w:rFonts w:asciiTheme="majorHAnsi" w:hAnsiTheme="majorHAnsi" w:cstheme="majorHAnsi"/>
          <w:color w:val="0D0D0D" w:themeColor="text1" w:themeTint="F2"/>
          <w:sz w:val="24"/>
          <w:szCs w:val="24"/>
          <w:lang w:val="ro-RO"/>
        </w:rPr>
      </w:pPr>
      <w:r w:rsidRPr="00F34E9D">
        <w:rPr>
          <w:rFonts w:asciiTheme="majorHAnsi" w:hAnsiTheme="majorHAnsi" w:cstheme="majorHAnsi"/>
          <w:color w:val="0D0D0D" w:themeColor="text1" w:themeTint="F2"/>
          <w:sz w:val="24"/>
          <w:szCs w:val="24"/>
          <w:lang w:val="ro-RO"/>
        </w:rPr>
        <w:t>î</w:t>
      </w:r>
      <w:r w:rsidR="005E1A43" w:rsidRPr="00F34E9D">
        <w:rPr>
          <w:rFonts w:asciiTheme="majorHAnsi" w:hAnsiTheme="majorHAnsi" w:cstheme="majorHAnsi"/>
          <w:color w:val="0D0D0D" w:themeColor="text1" w:themeTint="F2"/>
          <w:sz w:val="24"/>
          <w:szCs w:val="24"/>
          <w:lang w:val="ro-RO"/>
        </w:rPr>
        <w:t xml:space="preserve">n conformitate cu art. 4 al Legii </w:t>
      </w:r>
      <w:r w:rsidR="00EC44BB" w:rsidRPr="00F34E9D">
        <w:rPr>
          <w:rFonts w:asciiTheme="majorHAnsi" w:hAnsiTheme="majorHAnsi" w:cstheme="majorHAnsi"/>
          <w:color w:val="0D0D0D" w:themeColor="text1" w:themeTint="F2"/>
          <w:sz w:val="24"/>
          <w:szCs w:val="24"/>
          <w:lang w:val="ro-RO"/>
        </w:rPr>
        <w:t>nr.</w:t>
      </w:r>
      <w:r w:rsidR="005E1A43" w:rsidRPr="00F34E9D">
        <w:rPr>
          <w:rFonts w:asciiTheme="majorHAnsi" w:hAnsiTheme="majorHAnsi" w:cstheme="majorHAnsi"/>
          <w:color w:val="0D0D0D" w:themeColor="text1" w:themeTint="F2"/>
          <w:sz w:val="24"/>
          <w:szCs w:val="24"/>
          <w:lang w:val="ro-RO"/>
        </w:rPr>
        <w:t>229/2010</w:t>
      </w:r>
      <w:r w:rsidRPr="00F34E9D">
        <w:rPr>
          <w:rFonts w:asciiTheme="majorHAnsi" w:hAnsiTheme="majorHAnsi" w:cstheme="majorHAnsi"/>
          <w:color w:val="0D0D0D" w:themeColor="text1" w:themeTint="F2"/>
          <w:sz w:val="24"/>
          <w:szCs w:val="24"/>
          <w:lang w:val="ro-RO"/>
        </w:rPr>
        <w:t>,</w:t>
      </w:r>
      <w:r w:rsidR="005E1A43" w:rsidRPr="00F34E9D">
        <w:rPr>
          <w:rFonts w:asciiTheme="majorHAnsi" w:hAnsiTheme="majorHAnsi" w:cstheme="majorHAnsi"/>
          <w:color w:val="0D0D0D" w:themeColor="text1" w:themeTint="F2"/>
          <w:sz w:val="24"/>
          <w:szCs w:val="24"/>
          <w:lang w:val="ro-RO"/>
        </w:rPr>
        <w:t xml:space="preserve"> ministrul trebuie să asigure coordonarea și monitorizarea organizării, menținerii și dezvoltării controlului intern managerial în cadrul entităților pub</w:t>
      </w:r>
      <w:r w:rsidR="0037100D" w:rsidRPr="00F34E9D">
        <w:rPr>
          <w:rFonts w:asciiTheme="majorHAnsi" w:hAnsiTheme="majorHAnsi" w:cstheme="majorHAnsi"/>
          <w:color w:val="0D0D0D" w:themeColor="text1" w:themeTint="F2"/>
          <w:sz w:val="24"/>
          <w:szCs w:val="24"/>
          <w:lang w:val="ro-RO"/>
        </w:rPr>
        <w:t>lice subordonate, însă,</w:t>
      </w:r>
      <w:r w:rsidR="005E1A43" w:rsidRPr="00F34E9D">
        <w:rPr>
          <w:rFonts w:asciiTheme="majorHAnsi" w:hAnsiTheme="majorHAnsi" w:cstheme="majorHAnsi"/>
          <w:color w:val="0D0D0D" w:themeColor="text1" w:themeTint="F2"/>
          <w:sz w:val="24"/>
          <w:szCs w:val="24"/>
          <w:lang w:val="ro-RO"/>
        </w:rPr>
        <w:t xml:space="preserve"> pentru controlul intern managerial</w:t>
      </w:r>
      <w:r w:rsidRPr="00F34E9D">
        <w:rPr>
          <w:rFonts w:asciiTheme="majorHAnsi" w:hAnsiTheme="majorHAnsi" w:cstheme="majorHAnsi"/>
          <w:color w:val="0D0D0D" w:themeColor="text1" w:themeTint="F2"/>
          <w:sz w:val="24"/>
          <w:szCs w:val="24"/>
          <w:lang w:val="ro-RO"/>
        </w:rPr>
        <w:t>,</w:t>
      </w:r>
      <w:r w:rsidR="005E1A43" w:rsidRPr="00F34E9D">
        <w:rPr>
          <w:rFonts w:asciiTheme="majorHAnsi" w:hAnsiTheme="majorHAnsi" w:cstheme="majorHAnsi"/>
          <w:color w:val="0D0D0D" w:themeColor="text1" w:themeTint="F2"/>
          <w:sz w:val="24"/>
          <w:szCs w:val="24"/>
          <w:lang w:val="ro-RO"/>
        </w:rPr>
        <w:t xml:space="preserve"> în cadrul instituțiilor din subordine</w:t>
      </w:r>
      <w:r w:rsidR="008A015C" w:rsidRPr="00F34E9D">
        <w:rPr>
          <w:rFonts w:asciiTheme="majorHAnsi" w:hAnsiTheme="majorHAnsi" w:cstheme="majorHAnsi"/>
          <w:color w:val="0D0D0D" w:themeColor="text1" w:themeTint="F2"/>
          <w:sz w:val="24"/>
          <w:szCs w:val="24"/>
          <w:lang w:val="ro-RO"/>
        </w:rPr>
        <w:t xml:space="preserve"> </w:t>
      </w:r>
      <w:r w:rsidR="005E1A43" w:rsidRPr="00F34E9D">
        <w:rPr>
          <w:rFonts w:asciiTheme="majorHAnsi" w:hAnsiTheme="majorHAnsi" w:cstheme="majorHAnsi"/>
          <w:color w:val="0D0D0D" w:themeColor="text1" w:themeTint="F2"/>
          <w:sz w:val="24"/>
          <w:szCs w:val="24"/>
          <w:lang w:val="ro-RO"/>
        </w:rPr>
        <w:t>nu su</w:t>
      </w:r>
      <w:r w:rsidR="00577D2D" w:rsidRPr="00F34E9D">
        <w:rPr>
          <w:rFonts w:asciiTheme="majorHAnsi" w:hAnsiTheme="majorHAnsi" w:cstheme="majorHAnsi"/>
          <w:color w:val="0D0D0D" w:themeColor="text1" w:themeTint="F2"/>
          <w:sz w:val="24"/>
          <w:szCs w:val="24"/>
          <w:lang w:val="ro-RO"/>
        </w:rPr>
        <w:t>nt operate acțiuni de monitorizare</w:t>
      </w:r>
      <w:r w:rsidR="005E1A43" w:rsidRPr="00F34E9D">
        <w:rPr>
          <w:rFonts w:asciiTheme="majorHAnsi" w:hAnsiTheme="majorHAnsi" w:cstheme="majorHAnsi"/>
          <w:color w:val="0D0D0D" w:themeColor="text1" w:themeTint="F2"/>
          <w:sz w:val="24"/>
          <w:szCs w:val="24"/>
          <w:lang w:val="ro-RO"/>
        </w:rPr>
        <w:t xml:space="preserve"> a procesului de implementare a sistemului CIM, făcându-se referință la responsabilitatea managementului fiecărei instituții bugetare de a implementa și dezvolta controlul managerial intern. Nu este instituit controlul i</w:t>
      </w:r>
      <w:r w:rsidR="0037100D" w:rsidRPr="00F34E9D">
        <w:rPr>
          <w:rFonts w:asciiTheme="majorHAnsi" w:hAnsiTheme="majorHAnsi" w:cstheme="majorHAnsi"/>
          <w:color w:val="0D0D0D" w:themeColor="text1" w:themeTint="F2"/>
          <w:sz w:val="24"/>
          <w:szCs w:val="24"/>
          <w:lang w:val="ro-RO"/>
        </w:rPr>
        <w:t>ntern pe verticală</w:t>
      </w:r>
      <w:r w:rsidR="00833495" w:rsidRPr="00F34E9D">
        <w:rPr>
          <w:rFonts w:asciiTheme="majorHAnsi" w:hAnsiTheme="majorHAnsi" w:cstheme="majorHAnsi"/>
          <w:color w:val="0D0D0D" w:themeColor="text1" w:themeTint="F2"/>
          <w:sz w:val="24"/>
          <w:szCs w:val="24"/>
          <w:lang w:val="ro-RO"/>
        </w:rPr>
        <w:t>,</w:t>
      </w:r>
      <w:r w:rsidR="005E1A43" w:rsidRPr="00F34E9D">
        <w:rPr>
          <w:rFonts w:asciiTheme="majorHAnsi" w:hAnsiTheme="majorHAnsi" w:cstheme="majorHAnsi"/>
          <w:color w:val="0D0D0D" w:themeColor="text1" w:themeTint="F2"/>
          <w:sz w:val="24"/>
          <w:szCs w:val="24"/>
          <w:lang w:val="ro-RO"/>
        </w:rPr>
        <w:t xml:space="preserve"> de la </w:t>
      </w:r>
      <w:r w:rsidR="000E54CD" w:rsidRPr="00F34E9D">
        <w:rPr>
          <w:rFonts w:asciiTheme="majorHAnsi" w:hAnsiTheme="majorHAnsi" w:cstheme="majorHAnsi"/>
          <w:color w:val="0D0D0D" w:themeColor="text1" w:themeTint="F2"/>
          <w:sz w:val="24"/>
          <w:szCs w:val="24"/>
          <w:lang w:val="ro-RO"/>
        </w:rPr>
        <w:t xml:space="preserve">aparatul central </w:t>
      </w:r>
      <w:r w:rsidR="005E1A43" w:rsidRPr="00F34E9D">
        <w:rPr>
          <w:rFonts w:asciiTheme="majorHAnsi" w:hAnsiTheme="majorHAnsi" w:cstheme="majorHAnsi"/>
          <w:color w:val="0D0D0D" w:themeColor="text1" w:themeTint="F2"/>
          <w:sz w:val="24"/>
          <w:szCs w:val="24"/>
          <w:lang w:val="ro-RO"/>
        </w:rPr>
        <w:t xml:space="preserve">al ministerului spre instituțiile bugetare. </w:t>
      </w:r>
      <w:r w:rsidR="0037100D" w:rsidRPr="00F34E9D">
        <w:rPr>
          <w:rFonts w:asciiTheme="majorHAnsi" w:eastAsia="Times New Roman" w:hAnsiTheme="majorHAnsi" w:cstheme="majorHAnsi"/>
          <w:color w:val="0D0D0D" w:themeColor="text1" w:themeTint="F2"/>
          <w:sz w:val="24"/>
          <w:szCs w:val="24"/>
          <w:lang w:val="ro-RO"/>
        </w:rPr>
        <w:t xml:space="preserve">În pofida faptului că </w:t>
      </w:r>
      <w:r w:rsidR="00546881" w:rsidRPr="00F34E9D">
        <w:rPr>
          <w:rFonts w:asciiTheme="majorHAnsi" w:eastAsia="Times New Roman" w:hAnsiTheme="majorHAnsi" w:cstheme="majorHAnsi"/>
          <w:color w:val="0D0D0D" w:themeColor="text1" w:themeTint="F2"/>
          <w:sz w:val="24"/>
          <w:szCs w:val="24"/>
          <w:lang w:val="ro-RO"/>
        </w:rPr>
        <w:t>m</w:t>
      </w:r>
      <w:r w:rsidR="0037100D" w:rsidRPr="00F34E9D">
        <w:rPr>
          <w:rFonts w:asciiTheme="majorHAnsi" w:eastAsia="Times New Roman" w:hAnsiTheme="majorHAnsi" w:cstheme="majorHAnsi"/>
          <w:color w:val="0D0D0D" w:themeColor="text1" w:themeTint="F2"/>
          <w:sz w:val="24"/>
          <w:szCs w:val="24"/>
          <w:lang w:val="ro-RO"/>
        </w:rPr>
        <w:t>inisterul este responsabil pentru calitatea rapoartelor financiare consolidate, nu există procese aplicate pentru validarea informațiilor furnizate de instituțiile s</w:t>
      </w:r>
      <w:r w:rsidR="0037100D" w:rsidRPr="00F34E9D">
        <w:rPr>
          <w:rFonts w:asciiTheme="majorHAnsi" w:eastAsia="Times New Roman" w:hAnsiTheme="majorHAnsi" w:cstheme="majorHAnsi"/>
          <w:color w:val="0D0D0D" w:themeColor="text1" w:themeTint="F2"/>
          <w:sz w:val="24"/>
          <w:szCs w:val="24"/>
        </w:rPr>
        <w:t>ubordonate.</w:t>
      </w:r>
      <w:r w:rsidR="0037100D" w:rsidRPr="00F34E9D">
        <w:rPr>
          <w:rFonts w:asciiTheme="majorHAnsi" w:eastAsia="Times New Roman" w:hAnsiTheme="majorHAnsi" w:cstheme="majorHAnsi"/>
          <w:color w:val="0D0D0D" w:themeColor="text1" w:themeTint="F2"/>
          <w:sz w:val="24"/>
          <w:szCs w:val="24"/>
          <w:lang w:val="ro-RO"/>
        </w:rPr>
        <w:t xml:space="preserve"> Informațiile financiare raportate de instituțiile bugetare subordonate nu sunt </w:t>
      </w:r>
      <w:r w:rsidR="00817FFA" w:rsidRPr="00F34E9D">
        <w:rPr>
          <w:rFonts w:asciiTheme="majorHAnsi" w:eastAsia="Times New Roman" w:hAnsiTheme="majorHAnsi" w:cstheme="majorHAnsi"/>
          <w:color w:val="0D0D0D" w:themeColor="text1" w:themeTint="F2"/>
          <w:sz w:val="24"/>
          <w:szCs w:val="24"/>
          <w:lang w:val="ro-RO"/>
        </w:rPr>
        <w:t>verificate,</w:t>
      </w:r>
      <w:r w:rsidR="0037100D" w:rsidRPr="00F34E9D">
        <w:rPr>
          <w:rFonts w:asciiTheme="majorHAnsi" w:eastAsia="Times New Roman" w:hAnsiTheme="majorHAnsi" w:cstheme="majorHAnsi"/>
          <w:color w:val="0D0D0D" w:themeColor="text1" w:themeTint="F2"/>
          <w:sz w:val="24"/>
          <w:szCs w:val="24"/>
          <w:lang w:val="ro-RO"/>
        </w:rPr>
        <w:t xml:space="preserve"> de exemplu, </w:t>
      </w:r>
      <w:r w:rsidR="00817FFA" w:rsidRPr="00F34E9D">
        <w:rPr>
          <w:rFonts w:asciiTheme="majorHAnsi" w:eastAsia="Times New Roman" w:hAnsiTheme="majorHAnsi" w:cstheme="majorHAnsi"/>
          <w:color w:val="0D0D0D" w:themeColor="text1" w:themeTint="F2"/>
          <w:sz w:val="24"/>
          <w:szCs w:val="24"/>
          <w:lang w:val="ro-RO"/>
        </w:rPr>
        <w:t xml:space="preserve">nu este implementată revizuirea </w:t>
      </w:r>
      <w:r w:rsidR="0037100D" w:rsidRPr="00F34E9D">
        <w:rPr>
          <w:rFonts w:asciiTheme="majorHAnsi" w:eastAsia="Times New Roman" w:hAnsiTheme="majorHAnsi" w:cstheme="majorHAnsi"/>
          <w:color w:val="0D0D0D" w:themeColor="text1" w:themeTint="F2"/>
          <w:sz w:val="24"/>
          <w:szCs w:val="24"/>
          <w:lang w:val="ro-RO"/>
        </w:rPr>
        <w:t>procedurilor de inventar</w:t>
      </w:r>
      <w:r w:rsidR="00817FFA" w:rsidRPr="00F34E9D">
        <w:rPr>
          <w:rFonts w:asciiTheme="majorHAnsi" w:eastAsia="Times New Roman" w:hAnsiTheme="majorHAnsi" w:cstheme="majorHAnsi"/>
          <w:color w:val="0D0D0D" w:themeColor="text1" w:themeTint="F2"/>
          <w:sz w:val="24"/>
          <w:szCs w:val="24"/>
          <w:lang w:val="ro-RO"/>
        </w:rPr>
        <w:t xml:space="preserve">iere pentru instituțiile subordonate, nu sunt efectuate </w:t>
      </w:r>
      <w:r w:rsidR="0037100D" w:rsidRPr="00F34E9D">
        <w:rPr>
          <w:rFonts w:asciiTheme="majorHAnsi" w:eastAsia="Times New Roman" w:hAnsiTheme="majorHAnsi" w:cstheme="majorHAnsi"/>
          <w:color w:val="0D0D0D" w:themeColor="text1" w:themeTint="F2"/>
          <w:sz w:val="24"/>
          <w:szCs w:val="24"/>
          <w:lang w:val="ro-RO"/>
        </w:rPr>
        <w:t>proceduri de revizuire analitică critică</w:t>
      </w:r>
      <w:r w:rsidR="00817FFA" w:rsidRPr="00F34E9D">
        <w:rPr>
          <w:rFonts w:asciiTheme="majorHAnsi" w:eastAsia="Times New Roman" w:hAnsiTheme="majorHAnsi" w:cstheme="majorHAnsi"/>
          <w:color w:val="0D0D0D" w:themeColor="text1" w:themeTint="F2"/>
          <w:sz w:val="24"/>
          <w:szCs w:val="24"/>
          <w:lang w:val="ro-RO"/>
        </w:rPr>
        <w:t xml:space="preserve"> a valorilor raportate de acestea. </w:t>
      </w:r>
      <w:r w:rsidR="005E1A43" w:rsidRPr="00F34E9D">
        <w:rPr>
          <w:rFonts w:asciiTheme="majorHAnsi" w:hAnsiTheme="majorHAnsi" w:cstheme="majorHAnsi"/>
          <w:color w:val="0D0D0D" w:themeColor="text1" w:themeTint="F2"/>
          <w:sz w:val="24"/>
          <w:szCs w:val="24"/>
          <w:lang w:val="ro-RO"/>
        </w:rPr>
        <w:t>Prin urmare, valoarea raportată a patrimoniului la nivel consolidat este valoarea însumată a valorii patrimoniului din rapoartele financiare ale instituțiilor bugetare, fără o confirmare la nivel consolidat a plenitudinii și evaluării patrimoniului raportat. Nu este descris procesul de consolidare a rapoartelor financiare</w:t>
      </w:r>
      <w:r w:rsidRPr="00F34E9D">
        <w:rPr>
          <w:rFonts w:asciiTheme="majorHAnsi" w:hAnsiTheme="majorHAnsi" w:cstheme="majorHAnsi"/>
          <w:color w:val="0D0D0D" w:themeColor="text1" w:themeTint="F2"/>
          <w:sz w:val="24"/>
          <w:szCs w:val="24"/>
          <w:lang w:val="ro-RO"/>
        </w:rPr>
        <w:t>,</w:t>
      </w:r>
      <w:r w:rsidR="005E1A43" w:rsidRPr="00F34E9D">
        <w:rPr>
          <w:rFonts w:asciiTheme="majorHAnsi" w:hAnsiTheme="majorHAnsi" w:cstheme="majorHAnsi"/>
          <w:color w:val="0D0D0D" w:themeColor="text1" w:themeTint="F2"/>
          <w:sz w:val="24"/>
          <w:szCs w:val="24"/>
          <w:lang w:val="ro-RO"/>
        </w:rPr>
        <w:t xml:space="preserve"> nici procesul de încărcare a rapoartelor financiare în SI CNFD, ceea ce contribuie la desfășurarea anevoioasă a procesului de prezentare spre aprobare Ministerului Finanțelor a rapoartelor financiare </w:t>
      </w:r>
      <w:r w:rsidR="005E1A43" w:rsidRPr="00F34E9D">
        <w:rPr>
          <w:rFonts w:asciiTheme="majorHAnsi" w:hAnsiTheme="majorHAnsi" w:cstheme="majorHAnsi"/>
          <w:color w:val="0D0D0D" w:themeColor="text1" w:themeTint="F2"/>
          <w:sz w:val="24"/>
          <w:szCs w:val="24"/>
        </w:rPr>
        <w:t>și</w:t>
      </w:r>
      <w:r w:rsidR="005E1A43" w:rsidRPr="00F34E9D">
        <w:rPr>
          <w:rFonts w:asciiTheme="majorHAnsi" w:hAnsiTheme="majorHAnsi" w:cstheme="majorHAnsi"/>
          <w:color w:val="0D0D0D" w:themeColor="text1" w:themeTint="F2"/>
          <w:sz w:val="24"/>
          <w:szCs w:val="24"/>
          <w:lang w:val="ro-RO"/>
        </w:rPr>
        <w:t xml:space="preserve"> tergiversarea termenelor de prezentare a rapoartelor financiare. Lips</w:t>
      </w:r>
      <w:r w:rsidR="002C21BE" w:rsidRPr="00F34E9D">
        <w:rPr>
          <w:rFonts w:asciiTheme="majorHAnsi" w:hAnsiTheme="majorHAnsi" w:cstheme="majorHAnsi"/>
          <w:color w:val="0D0D0D" w:themeColor="text1" w:themeTint="F2"/>
          <w:sz w:val="24"/>
          <w:szCs w:val="24"/>
          <w:lang w:val="ro-RO"/>
        </w:rPr>
        <w:t>a</w:t>
      </w:r>
      <w:r w:rsidR="005E1A43" w:rsidRPr="00F34E9D">
        <w:rPr>
          <w:rFonts w:asciiTheme="majorHAnsi" w:hAnsiTheme="majorHAnsi" w:cstheme="majorHAnsi"/>
          <w:color w:val="0D0D0D" w:themeColor="text1" w:themeTint="F2"/>
          <w:sz w:val="24"/>
          <w:szCs w:val="24"/>
          <w:lang w:val="ro-RO"/>
        </w:rPr>
        <w:t xml:space="preserve"> unor instruiri interne sau externe organizate pentru angajații direcțiilor financiar</w:t>
      </w:r>
      <w:r w:rsidRPr="00F34E9D">
        <w:rPr>
          <w:rFonts w:asciiTheme="majorHAnsi" w:hAnsiTheme="majorHAnsi" w:cstheme="majorHAnsi"/>
          <w:color w:val="0D0D0D" w:themeColor="text1" w:themeTint="F2"/>
          <w:sz w:val="24"/>
          <w:szCs w:val="24"/>
          <w:lang w:val="ro-RO"/>
        </w:rPr>
        <w:t>-</w:t>
      </w:r>
      <w:r w:rsidR="005E1A43" w:rsidRPr="00F34E9D">
        <w:rPr>
          <w:rFonts w:asciiTheme="majorHAnsi" w:hAnsiTheme="majorHAnsi" w:cstheme="majorHAnsi"/>
          <w:color w:val="0D0D0D" w:themeColor="text1" w:themeTint="F2"/>
          <w:sz w:val="24"/>
          <w:szCs w:val="24"/>
          <w:lang w:val="ro-RO"/>
        </w:rPr>
        <w:t>contabile a</w:t>
      </w:r>
      <w:r w:rsidRPr="00F34E9D">
        <w:rPr>
          <w:rFonts w:asciiTheme="majorHAnsi" w:hAnsiTheme="majorHAnsi" w:cstheme="majorHAnsi"/>
          <w:color w:val="0D0D0D" w:themeColor="text1" w:themeTint="F2"/>
          <w:sz w:val="24"/>
          <w:szCs w:val="24"/>
          <w:lang w:val="ro-RO"/>
        </w:rPr>
        <w:t>le</w:t>
      </w:r>
      <w:r w:rsidR="005E1A43" w:rsidRPr="00F34E9D">
        <w:rPr>
          <w:rFonts w:asciiTheme="majorHAnsi" w:hAnsiTheme="majorHAnsi" w:cstheme="majorHAnsi"/>
          <w:color w:val="0D0D0D" w:themeColor="text1" w:themeTint="F2"/>
          <w:sz w:val="24"/>
          <w:szCs w:val="24"/>
          <w:lang w:val="ro-RO"/>
        </w:rPr>
        <w:t xml:space="preserve"> instituțiilor bugetare subordonate ministerului, cu scopul de dezvolta</w:t>
      </w:r>
      <w:r w:rsidRPr="00F34E9D">
        <w:rPr>
          <w:rFonts w:asciiTheme="majorHAnsi" w:hAnsiTheme="majorHAnsi" w:cstheme="majorHAnsi"/>
          <w:color w:val="0D0D0D" w:themeColor="text1" w:themeTint="F2"/>
          <w:sz w:val="24"/>
          <w:szCs w:val="24"/>
          <w:lang w:val="ro-RO"/>
        </w:rPr>
        <w:t>r</w:t>
      </w:r>
      <w:r w:rsidR="005E1A43" w:rsidRPr="00F34E9D">
        <w:rPr>
          <w:rFonts w:asciiTheme="majorHAnsi" w:hAnsiTheme="majorHAnsi" w:cstheme="majorHAnsi"/>
          <w:color w:val="0D0D0D" w:themeColor="text1" w:themeTint="F2"/>
          <w:sz w:val="24"/>
          <w:szCs w:val="24"/>
          <w:lang w:val="ro-RO"/>
        </w:rPr>
        <w:t xml:space="preserve">e </w:t>
      </w:r>
      <w:r w:rsidRPr="00F34E9D">
        <w:rPr>
          <w:rFonts w:asciiTheme="majorHAnsi" w:hAnsiTheme="majorHAnsi" w:cstheme="majorHAnsi"/>
          <w:color w:val="0D0D0D" w:themeColor="text1" w:themeTint="F2"/>
          <w:sz w:val="24"/>
          <w:szCs w:val="24"/>
          <w:lang w:val="ro-RO"/>
        </w:rPr>
        <w:t xml:space="preserve">a </w:t>
      </w:r>
      <w:r w:rsidR="005E1A43" w:rsidRPr="00F34E9D">
        <w:rPr>
          <w:rFonts w:asciiTheme="majorHAnsi" w:hAnsiTheme="majorHAnsi" w:cstheme="majorHAnsi"/>
          <w:color w:val="0D0D0D" w:themeColor="text1" w:themeTint="F2"/>
          <w:sz w:val="24"/>
          <w:szCs w:val="24"/>
          <w:lang w:val="ro-RO"/>
        </w:rPr>
        <w:t>competențel</w:t>
      </w:r>
      <w:r w:rsidRPr="00F34E9D">
        <w:rPr>
          <w:rFonts w:asciiTheme="majorHAnsi" w:hAnsiTheme="majorHAnsi" w:cstheme="majorHAnsi"/>
          <w:color w:val="0D0D0D" w:themeColor="text1" w:themeTint="F2"/>
          <w:sz w:val="24"/>
          <w:szCs w:val="24"/>
          <w:lang w:val="ro-RO"/>
        </w:rPr>
        <w:t>or</w:t>
      </w:r>
      <w:r w:rsidR="005E1A43" w:rsidRPr="00F34E9D">
        <w:rPr>
          <w:rFonts w:asciiTheme="majorHAnsi" w:hAnsiTheme="majorHAnsi" w:cstheme="majorHAnsi"/>
          <w:color w:val="0D0D0D" w:themeColor="text1" w:themeTint="F2"/>
          <w:sz w:val="24"/>
          <w:szCs w:val="24"/>
          <w:lang w:val="ro-RO"/>
        </w:rPr>
        <w:t xml:space="preserve"> profesionale ale acestora</w:t>
      </w:r>
      <w:r w:rsidRPr="00F34E9D">
        <w:rPr>
          <w:rFonts w:asciiTheme="majorHAnsi" w:hAnsiTheme="majorHAnsi" w:cstheme="majorHAnsi"/>
          <w:color w:val="0D0D0D" w:themeColor="text1" w:themeTint="F2"/>
          <w:sz w:val="24"/>
          <w:szCs w:val="24"/>
          <w:lang w:val="ro-RO"/>
        </w:rPr>
        <w:t>,</w:t>
      </w:r>
      <w:r w:rsidR="005E1A43" w:rsidRPr="00F34E9D">
        <w:rPr>
          <w:rFonts w:asciiTheme="majorHAnsi" w:hAnsiTheme="majorHAnsi" w:cstheme="majorHAnsi"/>
          <w:color w:val="0D0D0D" w:themeColor="text1" w:themeTint="F2"/>
          <w:sz w:val="24"/>
          <w:szCs w:val="24"/>
          <w:lang w:val="ro-RO"/>
        </w:rPr>
        <w:t xml:space="preserve"> are un impact semnificativ asupra calității rapoartelor financiare, asupra cărora CCRM pe parcursul a </w:t>
      </w:r>
      <w:r w:rsidR="00B3187F" w:rsidRPr="00F34E9D">
        <w:rPr>
          <w:rFonts w:asciiTheme="majorHAnsi" w:hAnsiTheme="majorHAnsi" w:cstheme="majorHAnsi"/>
          <w:color w:val="0D0D0D" w:themeColor="text1" w:themeTint="F2"/>
          <w:sz w:val="24"/>
          <w:szCs w:val="24"/>
          <w:lang w:val="ro-RO"/>
        </w:rPr>
        <w:t xml:space="preserve">cinci </w:t>
      </w:r>
      <w:r w:rsidR="005E1A43" w:rsidRPr="00F34E9D">
        <w:rPr>
          <w:rFonts w:asciiTheme="majorHAnsi" w:hAnsiTheme="majorHAnsi" w:cstheme="majorHAnsi"/>
          <w:color w:val="0D0D0D" w:themeColor="text1" w:themeTint="F2"/>
          <w:sz w:val="24"/>
          <w:szCs w:val="24"/>
          <w:lang w:val="ro-RO"/>
        </w:rPr>
        <w:t>ani a oferit opinie contrară</w:t>
      </w:r>
      <w:r w:rsidRPr="00F34E9D">
        <w:rPr>
          <w:rFonts w:asciiTheme="majorHAnsi" w:hAnsiTheme="majorHAnsi" w:cstheme="majorHAnsi"/>
          <w:color w:val="0D0D0D" w:themeColor="text1" w:themeTint="F2"/>
          <w:sz w:val="24"/>
          <w:szCs w:val="24"/>
          <w:lang w:val="ro-RO"/>
        </w:rPr>
        <w:t>;</w:t>
      </w:r>
    </w:p>
    <w:p w14:paraId="5341F2A7" w14:textId="09E3FED4" w:rsidR="005E1A43" w:rsidRPr="00F34E9D" w:rsidRDefault="00546881" w:rsidP="000066F7">
      <w:pPr>
        <w:pStyle w:val="a3"/>
        <w:numPr>
          <w:ilvl w:val="0"/>
          <w:numId w:val="11"/>
        </w:numPr>
        <w:shd w:val="clear" w:color="auto" w:fill="FFFFFF" w:themeFill="background1"/>
        <w:spacing w:after="0" w:line="276" w:lineRule="auto"/>
        <w:ind w:left="426"/>
        <w:jc w:val="both"/>
        <w:rPr>
          <w:rFonts w:asciiTheme="majorHAnsi" w:hAnsiTheme="majorHAnsi" w:cstheme="majorHAnsi"/>
          <w:color w:val="0D0D0D" w:themeColor="text1" w:themeTint="F2"/>
          <w:sz w:val="24"/>
          <w:szCs w:val="24"/>
          <w:lang w:val="ro-RO"/>
        </w:rPr>
      </w:pPr>
      <w:r w:rsidRPr="00F34E9D">
        <w:rPr>
          <w:rFonts w:asciiTheme="majorHAnsi" w:hAnsiTheme="majorHAnsi" w:cstheme="majorHAnsi"/>
          <w:color w:val="0D0D0D" w:themeColor="text1" w:themeTint="F2"/>
          <w:sz w:val="24"/>
          <w:szCs w:val="24"/>
          <w:lang w:val="ro-RO"/>
        </w:rPr>
        <w:t>m</w:t>
      </w:r>
      <w:r w:rsidR="005E1A43" w:rsidRPr="00F34E9D">
        <w:rPr>
          <w:rFonts w:asciiTheme="majorHAnsi" w:hAnsiTheme="majorHAnsi" w:cstheme="majorHAnsi"/>
          <w:color w:val="0D0D0D" w:themeColor="text1" w:themeTint="F2"/>
          <w:sz w:val="24"/>
          <w:szCs w:val="24"/>
          <w:lang w:val="ro-RO"/>
        </w:rPr>
        <w:t>inisterul nu a instituit Grupul de lucru privind organizarea și implementarea CIM. Grupul de lucru este instrumentul care asigură evaluarea performanței sistemului CIM, identificarea și studierea domeniilor problematice ale controlului in</w:t>
      </w:r>
      <w:r w:rsidR="0009644F" w:rsidRPr="00F34E9D">
        <w:rPr>
          <w:rFonts w:asciiTheme="majorHAnsi" w:hAnsiTheme="majorHAnsi" w:cstheme="majorHAnsi"/>
          <w:color w:val="0D0D0D" w:themeColor="text1" w:themeTint="F2"/>
          <w:sz w:val="24"/>
          <w:szCs w:val="24"/>
          <w:lang w:val="ro-RO"/>
        </w:rPr>
        <w:t>tern, precum și elaborarea p</w:t>
      </w:r>
      <w:r w:rsidR="005E1A43" w:rsidRPr="00F34E9D">
        <w:rPr>
          <w:rFonts w:asciiTheme="majorHAnsi" w:hAnsiTheme="majorHAnsi" w:cstheme="majorHAnsi"/>
          <w:color w:val="0D0D0D" w:themeColor="text1" w:themeTint="F2"/>
          <w:sz w:val="24"/>
          <w:szCs w:val="24"/>
          <w:lang w:val="ro-RO"/>
        </w:rPr>
        <w:t xml:space="preserve">lanului de acțiuni privind înlăturarea </w:t>
      </w:r>
      <w:r w:rsidR="0009644F" w:rsidRPr="00F34E9D">
        <w:rPr>
          <w:rFonts w:asciiTheme="majorHAnsi" w:hAnsiTheme="majorHAnsi" w:cstheme="majorHAnsi"/>
          <w:color w:val="0D0D0D" w:themeColor="text1" w:themeTint="F2"/>
          <w:sz w:val="24"/>
          <w:szCs w:val="24"/>
          <w:lang w:val="ro-RO"/>
        </w:rPr>
        <w:t>lacunelor sistemului CIM</w:t>
      </w:r>
      <w:r w:rsidR="000066F7" w:rsidRPr="00F34E9D">
        <w:rPr>
          <w:rFonts w:asciiTheme="majorHAnsi" w:hAnsiTheme="majorHAnsi" w:cstheme="majorHAnsi"/>
          <w:color w:val="0D0D0D" w:themeColor="text1" w:themeTint="F2"/>
          <w:sz w:val="24"/>
          <w:szCs w:val="24"/>
          <w:lang w:val="ro-RO"/>
        </w:rPr>
        <w:t>,</w:t>
      </w:r>
      <w:r w:rsidR="0009644F" w:rsidRPr="00F34E9D">
        <w:rPr>
          <w:rFonts w:asciiTheme="majorHAnsi" w:hAnsiTheme="majorHAnsi" w:cstheme="majorHAnsi"/>
          <w:color w:val="0D0D0D" w:themeColor="text1" w:themeTint="F2"/>
          <w:sz w:val="24"/>
          <w:szCs w:val="24"/>
          <w:lang w:val="ro-RO"/>
        </w:rPr>
        <w:t xml:space="preserve"> cât și </w:t>
      </w:r>
      <w:r w:rsidR="005E1A43" w:rsidRPr="00F34E9D">
        <w:rPr>
          <w:rFonts w:asciiTheme="majorHAnsi" w:hAnsiTheme="majorHAnsi" w:cstheme="majorHAnsi"/>
          <w:color w:val="0D0D0D" w:themeColor="text1" w:themeTint="F2"/>
          <w:sz w:val="24"/>
          <w:szCs w:val="24"/>
          <w:lang w:val="ro-RO"/>
        </w:rPr>
        <w:t>de implementare</w:t>
      </w:r>
      <w:r w:rsidR="006054C8" w:rsidRPr="00F34E9D">
        <w:rPr>
          <w:rFonts w:asciiTheme="majorHAnsi" w:hAnsiTheme="majorHAnsi" w:cstheme="majorHAnsi"/>
          <w:color w:val="0D0D0D" w:themeColor="text1" w:themeTint="F2"/>
          <w:sz w:val="24"/>
          <w:szCs w:val="24"/>
          <w:lang w:val="ro-RO"/>
        </w:rPr>
        <w:t>a recomandărilor emise de CCRM</w:t>
      </w:r>
      <w:r w:rsidR="000066F7" w:rsidRPr="00F34E9D">
        <w:rPr>
          <w:rFonts w:asciiTheme="majorHAnsi" w:hAnsiTheme="majorHAnsi" w:cstheme="majorHAnsi"/>
          <w:color w:val="0D0D0D" w:themeColor="text1" w:themeTint="F2"/>
          <w:sz w:val="24"/>
          <w:szCs w:val="24"/>
          <w:lang w:val="ro-RO"/>
        </w:rPr>
        <w:t xml:space="preserve">; </w:t>
      </w:r>
      <w:r w:rsidRPr="00F34E9D">
        <w:rPr>
          <w:rFonts w:asciiTheme="majorHAnsi" w:hAnsiTheme="majorHAnsi" w:cstheme="majorHAnsi"/>
          <w:color w:val="0D0D0D" w:themeColor="text1" w:themeTint="F2"/>
          <w:sz w:val="24"/>
          <w:szCs w:val="24"/>
          <w:lang w:val="ro-RO"/>
        </w:rPr>
        <w:t>m</w:t>
      </w:r>
      <w:r w:rsidR="005E1A43" w:rsidRPr="00F34E9D">
        <w:rPr>
          <w:rFonts w:asciiTheme="majorHAnsi" w:hAnsiTheme="majorHAnsi" w:cstheme="majorHAnsi"/>
          <w:color w:val="0D0D0D" w:themeColor="text1" w:themeTint="F2"/>
          <w:sz w:val="24"/>
          <w:szCs w:val="24"/>
          <w:lang w:val="ro-RO"/>
        </w:rPr>
        <w:t xml:space="preserve">inisterul nu a elaborat și aprobat Codul de </w:t>
      </w:r>
      <w:r w:rsidR="000066F7" w:rsidRPr="00F34E9D">
        <w:rPr>
          <w:rFonts w:asciiTheme="majorHAnsi" w:hAnsiTheme="majorHAnsi" w:cstheme="majorHAnsi"/>
          <w:color w:val="0D0D0D" w:themeColor="text1" w:themeTint="F2"/>
          <w:sz w:val="24"/>
          <w:szCs w:val="24"/>
          <w:lang w:val="ro-RO"/>
        </w:rPr>
        <w:t>e</w:t>
      </w:r>
      <w:r w:rsidR="005E1A43" w:rsidRPr="00F34E9D">
        <w:rPr>
          <w:rFonts w:asciiTheme="majorHAnsi" w:hAnsiTheme="majorHAnsi" w:cstheme="majorHAnsi"/>
          <w:color w:val="0D0D0D" w:themeColor="text1" w:themeTint="F2"/>
          <w:sz w:val="24"/>
          <w:szCs w:val="24"/>
          <w:lang w:val="ro-RO"/>
        </w:rPr>
        <w:t xml:space="preserve">tică, care să identifice valorile etice ale entității, să definească importanța acestora pentru realizarea sarcinilor și exercitarea imparțială și obiectivă a funcțiilor. </w:t>
      </w:r>
      <w:r w:rsidR="006054C8" w:rsidRPr="00F34E9D">
        <w:rPr>
          <w:rFonts w:asciiTheme="majorHAnsi" w:hAnsiTheme="majorHAnsi" w:cstheme="majorHAnsi"/>
          <w:color w:val="0D0D0D" w:themeColor="text1" w:themeTint="F2"/>
          <w:sz w:val="24"/>
          <w:szCs w:val="24"/>
          <w:lang w:val="ro-RO"/>
        </w:rPr>
        <w:t>Acesta este destinat s</w:t>
      </w:r>
      <w:r w:rsidR="006054C8" w:rsidRPr="00F34E9D">
        <w:rPr>
          <w:rFonts w:asciiTheme="majorHAnsi" w:hAnsiTheme="majorHAnsi" w:cstheme="majorHAnsi"/>
          <w:color w:val="0D0D0D" w:themeColor="text1" w:themeTint="F2"/>
          <w:sz w:val="24"/>
          <w:szCs w:val="24"/>
        </w:rPr>
        <w:t xml:space="preserve">ă </w:t>
      </w:r>
      <w:r w:rsidR="000066F7" w:rsidRPr="00F34E9D">
        <w:rPr>
          <w:rFonts w:asciiTheme="majorHAnsi" w:hAnsiTheme="majorHAnsi" w:cstheme="majorHAnsi"/>
          <w:color w:val="0D0D0D" w:themeColor="text1" w:themeTint="F2"/>
          <w:sz w:val="24"/>
          <w:szCs w:val="24"/>
        </w:rPr>
        <w:t>fortifice</w:t>
      </w:r>
      <w:r w:rsidR="000066F7" w:rsidRPr="00F34E9D">
        <w:rPr>
          <w:rFonts w:asciiTheme="majorHAnsi" w:hAnsiTheme="majorHAnsi" w:cstheme="majorHAnsi"/>
          <w:color w:val="0D0D0D" w:themeColor="text1" w:themeTint="F2"/>
          <w:sz w:val="24"/>
          <w:szCs w:val="24"/>
          <w:lang w:val="ro-RO"/>
        </w:rPr>
        <w:t xml:space="preserve"> </w:t>
      </w:r>
      <w:r w:rsidR="006054C8" w:rsidRPr="00F34E9D">
        <w:rPr>
          <w:rFonts w:asciiTheme="majorHAnsi" w:hAnsiTheme="majorHAnsi" w:cstheme="majorHAnsi"/>
          <w:color w:val="0D0D0D" w:themeColor="text1" w:themeTint="F2"/>
          <w:sz w:val="24"/>
          <w:szCs w:val="24"/>
          <w:lang w:val="ro-RO"/>
        </w:rPr>
        <w:t>transparența și integritatea profesională</w:t>
      </w:r>
      <w:r w:rsidR="005E1A43" w:rsidRPr="00F34E9D">
        <w:rPr>
          <w:rFonts w:asciiTheme="majorHAnsi" w:hAnsiTheme="majorHAnsi" w:cstheme="majorHAnsi"/>
          <w:color w:val="0D0D0D" w:themeColor="text1" w:themeTint="F2"/>
          <w:sz w:val="24"/>
          <w:szCs w:val="24"/>
          <w:lang w:val="ro-RO"/>
        </w:rPr>
        <w:t xml:space="preserve"> a funcționarilor publici. Aprobarea și publicare</w:t>
      </w:r>
      <w:r w:rsidR="00E43078" w:rsidRPr="00F34E9D">
        <w:rPr>
          <w:rFonts w:asciiTheme="majorHAnsi" w:hAnsiTheme="majorHAnsi" w:cstheme="majorHAnsi"/>
          <w:color w:val="0D0D0D" w:themeColor="text1" w:themeTint="F2"/>
          <w:sz w:val="24"/>
          <w:szCs w:val="24"/>
          <w:lang w:val="ro-RO"/>
        </w:rPr>
        <w:t>a</w:t>
      </w:r>
      <w:r w:rsidR="005E1A43" w:rsidRPr="00F34E9D">
        <w:rPr>
          <w:rFonts w:asciiTheme="majorHAnsi" w:hAnsiTheme="majorHAnsi" w:cstheme="majorHAnsi"/>
          <w:color w:val="0D0D0D" w:themeColor="text1" w:themeTint="F2"/>
          <w:sz w:val="24"/>
          <w:szCs w:val="24"/>
          <w:lang w:val="ro-RO"/>
        </w:rPr>
        <w:t xml:space="preserve"> pe site-ul ministerului a Codului </w:t>
      </w:r>
      <w:r w:rsidR="000066F7" w:rsidRPr="00F34E9D">
        <w:rPr>
          <w:rFonts w:asciiTheme="majorHAnsi" w:hAnsiTheme="majorHAnsi" w:cstheme="majorHAnsi"/>
          <w:color w:val="0D0D0D" w:themeColor="text1" w:themeTint="F2"/>
          <w:sz w:val="24"/>
          <w:szCs w:val="24"/>
          <w:lang w:val="ro-RO"/>
        </w:rPr>
        <w:t>e</w:t>
      </w:r>
      <w:r w:rsidR="005E1A43" w:rsidRPr="00F34E9D">
        <w:rPr>
          <w:rFonts w:asciiTheme="majorHAnsi" w:hAnsiTheme="majorHAnsi" w:cstheme="majorHAnsi"/>
          <w:color w:val="0D0D0D" w:themeColor="text1" w:themeTint="F2"/>
          <w:sz w:val="24"/>
          <w:szCs w:val="24"/>
          <w:lang w:val="ro-RO"/>
        </w:rPr>
        <w:t xml:space="preserve">tic ar </w:t>
      </w:r>
      <w:r w:rsidR="006054C8" w:rsidRPr="00F34E9D">
        <w:rPr>
          <w:rFonts w:asciiTheme="majorHAnsi" w:hAnsiTheme="majorHAnsi" w:cstheme="majorHAnsi"/>
          <w:color w:val="0D0D0D" w:themeColor="text1" w:themeTint="F2"/>
          <w:sz w:val="24"/>
          <w:szCs w:val="24"/>
          <w:lang w:val="ro-RO"/>
        </w:rPr>
        <w:t>promova aplicarea valorilor</w:t>
      </w:r>
      <w:r w:rsidR="005E1A43" w:rsidRPr="00F34E9D">
        <w:rPr>
          <w:rFonts w:asciiTheme="majorHAnsi" w:hAnsiTheme="majorHAnsi" w:cstheme="majorHAnsi"/>
          <w:color w:val="0D0D0D" w:themeColor="text1" w:themeTint="F2"/>
          <w:sz w:val="24"/>
          <w:szCs w:val="24"/>
          <w:lang w:val="ro-RO"/>
        </w:rPr>
        <w:t xml:space="preserve"> și </w:t>
      </w:r>
      <w:r w:rsidR="006054C8" w:rsidRPr="00F34E9D">
        <w:rPr>
          <w:rFonts w:asciiTheme="majorHAnsi" w:hAnsiTheme="majorHAnsi" w:cstheme="majorHAnsi"/>
          <w:color w:val="0D0D0D" w:themeColor="text1" w:themeTint="F2"/>
          <w:sz w:val="24"/>
          <w:szCs w:val="24"/>
          <w:lang w:val="ro-RO"/>
        </w:rPr>
        <w:t>regulilor</w:t>
      </w:r>
      <w:r w:rsidR="005E1A43" w:rsidRPr="00F34E9D">
        <w:rPr>
          <w:rFonts w:asciiTheme="majorHAnsi" w:hAnsiTheme="majorHAnsi" w:cstheme="majorHAnsi"/>
          <w:color w:val="0D0D0D" w:themeColor="text1" w:themeTint="F2"/>
          <w:sz w:val="24"/>
          <w:szCs w:val="24"/>
          <w:lang w:val="ro-RO"/>
        </w:rPr>
        <w:t>/regulamente</w:t>
      </w:r>
      <w:r w:rsidR="006054C8" w:rsidRPr="00F34E9D">
        <w:rPr>
          <w:rFonts w:asciiTheme="majorHAnsi" w:hAnsiTheme="majorHAnsi" w:cstheme="majorHAnsi"/>
          <w:color w:val="0D0D0D" w:themeColor="text1" w:themeTint="F2"/>
          <w:sz w:val="24"/>
          <w:szCs w:val="24"/>
          <w:lang w:val="ro-RO"/>
        </w:rPr>
        <w:t xml:space="preserve">lor </w:t>
      </w:r>
      <w:r w:rsidR="005E1A43" w:rsidRPr="00F34E9D">
        <w:rPr>
          <w:rFonts w:asciiTheme="majorHAnsi" w:hAnsiTheme="majorHAnsi" w:cstheme="majorHAnsi"/>
          <w:color w:val="0D0D0D" w:themeColor="text1" w:themeTint="F2"/>
          <w:sz w:val="24"/>
          <w:szCs w:val="24"/>
          <w:lang w:val="ro-RO"/>
        </w:rPr>
        <w:t xml:space="preserve">ministerului/sectorului public, ar ușura luarea deciziilor la toate nivelurile organizatorice ale </w:t>
      </w:r>
      <w:r w:rsidRPr="00F34E9D">
        <w:rPr>
          <w:rFonts w:asciiTheme="majorHAnsi" w:hAnsiTheme="majorHAnsi" w:cstheme="majorHAnsi"/>
          <w:color w:val="0D0D0D" w:themeColor="text1" w:themeTint="F2"/>
          <w:sz w:val="24"/>
          <w:szCs w:val="24"/>
          <w:lang w:val="ro-RO"/>
        </w:rPr>
        <w:t xml:space="preserve">acestuia </w:t>
      </w:r>
      <w:r w:rsidR="005E1A43" w:rsidRPr="00F34E9D">
        <w:rPr>
          <w:rFonts w:asciiTheme="majorHAnsi" w:hAnsiTheme="majorHAnsi" w:cstheme="majorHAnsi"/>
          <w:color w:val="0D0D0D" w:themeColor="text1" w:themeTint="F2"/>
          <w:sz w:val="24"/>
          <w:szCs w:val="24"/>
          <w:lang w:val="ro-RO"/>
        </w:rPr>
        <w:t>prin reducerea ambiguității și a impactului perspectivelor individuale</w:t>
      </w:r>
      <w:r w:rsidR="000066F7" w:rsidRPr="00F34E9D">
        <w:rPr>
          <w:rFonts w:asciiTheme="majorHAnsi" w:hAnsiTheme="majorHAnsi" w:cstheme="majorHAnsi"/>
          <w:color w:val="0D0D0D" w:themeColor="text1" w:themeTint="F2"/>
          <w:sz w:val="24"/>
          <w:szCs w:val="24"/>
          <w:lang w:val="ro-RO"/>
        </w:rPr>
        <w:t>;</w:t>
      </w:r>
    </w:p>
    <w:p w14:paraId="2406E243" w14:textId="1206574E" w:rsidR="0009644F" w:rsidRPr="00F34E9D" w:rsidRDefault="00A15F13">
      <w:pPr>
        <w:pStyle w:val="HTML"/>
        <w:numPr>
          <w:ilvl w:val="0"/>
          <w:numId w:val="13"/>
        </w:numPr>
        <w:shd w:val="clear" w:color="auto" w:fill="FFFFFF" w:themeFill="background1"/>
        <w:spacing w:line="276" w:lineRule="auto"/>
        <w:ind w:left="426"/>
        <w:jc w:val="both"/>
        <w:rPr>
          <w:rFonts w:asciiTheme="majorHAnsi" w:hAnsiTheme="majorHAnsi" w:cstheme="majorHAnsi"/>
          <w:color w:val="0D0D0D" w:themeColor="text1" w:themeTint="F2"/>
          <w:sz w:val="24"/>
          <w:szCs w:val="24"/>
          <w:lang w:val="ro-RO"/>
        </w:rPr>
      </w:pPr>
      <w:r w:rsidRPr="00F34E9D">
        <w:rPr>
          <w:rFonts w:asciiTheme="majorHAnsi" w:hAnsiTheme="majorHAnsi" w:cstheme="majorHAnsi"/>
          <w:bCs/>
          <w:color w:val="0D0D0D" w:themeColor="text1" w:themeTint="F2"/>
          <w:sz w:val="24"/>
          <w:szCs w:val="24"/>
          <w:lang w:val="ro-MD"/>
        </w:rPr>
        <w:t>c</w:t>
      </w:r>
      <w:r w:rsidR="00E744CA" w:rsidRPr="00F34E9D">
        <w:rPr>
          <w:rFonts w:asciiTheme="majorHAnsi" w:hAnsiTheme="majorHAnsi" w:cstheme="majorHAnsi"/>
          <w:bCs/>
          <w:color w:val="0D0D0D" w:themeColor="text1" w:themeTint="F2"/>
          <w:sz w:val="24"/>
          <w:szCs w:val="24"/>
          <w:lang w:val="ro-MD"/>
        </w:rPr>
        <w:t>u nerespectarea</w:t>
      </w:r>
      <w:r w:rsidR="00E744CA" w:rsidRPr="00F34E9D">
        <w:rPr>
          <w:rFonts w:asciiTheme="majorHAnsi" w:hAnsiTheme="majorHAnsi" w:cstheme="majorHAnsi"/>
          <w:bCs/>
          <w:color w:val="0D0D0D" w:themeColor="text1" w:themeTint="F2"/>
          <w:sz w:val="24"/>
          <w:szCs w:val="24"/>
        </w:rPr>
        <w:t xml:space="preserve"> a</w:t>
      </w:r>
      <w:r w:rsidR="00C0016C" w:rsidRPr="00F34E9D">
        <w:rPr>
          <w:rFonts w:asciiTheme="majorHAnsi" w:hAnsiTheme="majorHAnsi" w:cstheme="majorHAnsi"/>
          <w:bCs/>
          <w:color w:val="0D0D0D" w:themeColor="text1" w:themeTint="F2"/>
          <w:sz w:val="24"/>
          <w:szCs w:val="24"/>
        </w:rPr>
        <w:t xml:space="preserve">rt. </w:t>
      </w:r>
      <w:r w:rsidR="00C0016C" w:rsidRPr="00F34E9D">
        <w:rPr>
          <w:rFonts w:asciiTheme="majorHAnsi" w:hAnsiTheme="majorHAnsi" w:cstheme="majorHAnsi"/>
          <w:bCs/>
          <w:color w:val="0D0D0D" w:themeColor="text1" w:themeTint="F2"/>
          <w:sz w:val="24"/>
          <w:szCs w:val="24"/>
          <w:lang w:val="ro-MD"/>
        </w:rPr>
        <w:t>1</w:t>
      </w:r>
      <w:r w:rsidR="00AC6626" w:rsidRPr="00F34E9D">
        <w:rPr>
          <w:rFonts w:asciiTheme="majorHAnsi" w:hAnsiTheme="majorHAnsi" w:cstheme="majorHAnsi"/>
          <w:bCs/>
          <w:color w:val="0D0D0D" w:themeColor="text1" w:themeTint="F2"/>
          <w:sz w:val="24"/>
          <w:szCs w:val="24"/>
          <w:lang w:val="ro-MD"/>
        </w:rPr>
        <w:t xml:space="preserve">4 lit. (k) </w:t>
      </w:r>
      <w:r w:rsidRPr="00F34E9D">
        <w:rPr>
          <w:rFonts w:asciiTheme="majorHAnsi" w:hAnsiTheme="majorHAnsi" w:cstheme="majorHAnsi"/>
          <w:bCs/>
          <w:color w:val="0D0D0D" w:themeColor="text1" w:themeTint="F2"/>
          <w:sz w:val="24"/>
          <w:szCs w:val="24"/>
          <w:lang w:val="ro-MD"/>
        </w:rPr>
        <w:t xml:space="preserve">din </w:t>
      </w:r>
      <w:r w:rsidR="00AC6626" w:rsidRPr="00F34E9D">
        <w:rPr>
          <w:rFonts w:asciiTheme="majorHAnsi" w:hAnsiTheme="majorHAnsi" w:cstheme="majorHAnsi"/>
          <w:bCs/>
          <w:color w:val="0D0D0D" w:themeColor="text1" w:themeTint="F2"/>
          <w:sz w:val="24"/>
          <w:szCs w:val="24"/>
          <w:lang w:val="ro-MD"/>
        </w:rPr>
        <w:t xml:space="preserve">Legea </w:t>
      </w:r>
      <w:r w:rsidR="00EC44BB" w:rsidRPr="00F34E9D">
        <w:rPr>
          <w:rFonts w:asciiTheme="majorHAnsi" w:hAnsiTheme="majorHAnsi" w:cstheme="majorHAnsi"/>
          <w:bCs/>
          <w:color w:val="0D0D0D" w:themeColor="text1" w:themeTint="F2"/>
          <w:sz w:val="24"/>
          <w:szCs w:val="24"/>
          <w:lang w:val="ro-MD"/>
        </w:rPr>
        <w:t>nr.</w:t>
      </w:r>
      <w:r w:rsidR="00AC6626" w:rsidRPr="00F34E9D">
        <w:rPr>
          <w:rFonts w:asciiTheme="majorHAnsi" w:hAnsiTheme="majorHAnsi" w:cstheme="majorHAnsi"/>
          <w:bCs/>
          <w:color w:val="0D0D0D" w:themeColor="text1" w:themeTint="F2"/>
          <w:sz w:val="24"/>
          <w:szCs w:val="24"/>
          <w:lang w:val="ro-MD"/>
        </w:rPr>
        <w:t>229/2010</w:t>
      </w:r>
      <w:r w:rsidR="00E744CA" w:rsidRPr="00F34E9D">
        <w:rPr>
          <w:rFonts w:asciiTheme="majorHAnsi" w:hAnsiTheme="majorHAnsi" w:cstheme="majorHAnsi"/>
          <w:bCs/>
          <w:color w:val="0D0D0D" w:themeColor="text1" w:themeTint="F2"/>
          <w:sz w:val="24"/>
          <w:szCs w:val="24"/>
          <w:lang w:val="ro-MD"/>
        </w:rPr>
        <w:t>,</w:t>
      </w:r>
      <w:r w:rsidR="00C0016C" w:rsidRPr="00F34E9D">
        <w:rPr>
          <w:rFonts w:asciiTheme="majorHAnsi" w:hAnsiTheme="majorHAnsi" w:cstheme="majorHAnsi"/>
          <w:bCs/>
          <w:color w:val="0D0D0D" w:themeColor="text1" w:themeTint="F2"/>
          <w:sz w:val="24"/>
          <w:szCs w:val="24"/>
          <w:lang w:val="ro-MD"/>
        </w:rPr>
        <w:t xml:space="preserve"> </w:t>
      </w:r>
      <w:r w:rsidR="00546881" w:rsidRPr="00F34E9D">
        <w:rPr>
          <w:rFonts w:asciiTheme="majorHAnsi" w:hAnsiTheme="majorHAnsi" w:cstheme="majorHAnsi"/>
          <w:bCs/>
          <w:color w:val="0D0D0D" w:themeColor="text1" w:themeTint="F2"/>
          <w:sz w:val="24"/>
          <w:szCs w:val="24"/>
          <w:lang w:val="ro-RO"/>
        </w:rPr>
        <w:t>m</w:t>
      </w:r>
      <w:r w:rsidR="005E1A43" w:rsidRPr="00F34E9D">
        <w:rPr>
          <w:rFonts w:asciiTheme="majorHAnsi" w:hAnsiTheme="majorHAnsi" w:cstheme="majorHAnsi"/>
          <w:color w:val="0D0D0D" w:themeColor="text1" w:themeTint="F2"/>
          <w:sz w:val="24"/>
          <w:szCs w:val="24"/>
          <w:lang w:val="ro-RO"/>
        </w:rPr>
        <w:t>inisterul nu a identificat riscuri</w:t>
      </w:r>
      <w:r w:rsidRPr="00F34E9D">
        <w:rPr>
          <w:rFonts w:asciiTheme="majorHAnsi" w:hAnsiTheme="majorHAnsi" w:cstheme="majorHAnsi"/>
          <w:color w:val="0D0D0D" w:themeColor="text1" w:themeTint="F2"/>
          <w:sz w:val="24"/>
          <w:szCs w:val="24"/>
          <w:lang w:val="ro-RO"/>
        </w:rPr>
        <w:t>le</w:t>
      </w:r>
      <w:r w:rsidR="005E1A43" w:rsidRPr="00F34E9D">
        <w:rPr>
          <w:rFonts w:asciiTheme="majorHAnsi" w:hAnsiTheme="majorHAnsi" w:cstheme="majorHAnsi"/>
          <w:color w:val="0D0D0D" w:themeColor="text1" w:themeTint="F2"/>
          <w:sz w:val="24"/>
          <w:szCs w:val="24"/>
          <w:lang w:val="ro-RO"/>
        </w:rPr>
        <w:t xml:space="preserve"> de fraudă și corupție și nu are prevăzute acțiu</w:t>
      </w:r>
      <w:r w:rsidR="00C0016C" w:rsidRPr="00F34E9D">
        <w:rPr>
          <w:rFonts w:asciiTheme="majorHAnsi" w:hAnsiTheme="majorHAnsi" w:cstheme="majorHAnsi"/>
          <w:color w:val="0D0D0D" w:themeColor="text1" w:themeTint="F2"/>
          <w:sz w:val="24"/>
          <w:szCs w:val="24"/>
          <w:lang w:val="ro-RO"/>
        </w:rPr>
        <w:t>ni de control privind prevenirea și detectarea</w:t>
      </w:r>
      <w:r w:rsidR="005E1A43" w:rsidRPr="00F34E9D">
        <w:rPr>
          <w:rFonts w:asciiTheme="majorHAnsi" w:hAnsiTheme="majorHAnsi" w:cstheme="majorHAnsi"/>
          <w:color w:val="0D0D0D" w:themeColor="text1" w:themeTint="F2"/>
          <w:sz w:val="24"/>
          <w:szCs w:val="24"/>
          <w:lang w:val="ro-RO"/>
        </w:rPr>
        <w:t xml:space="preserve"> fraudei și corupției, prin urmare nu este creat și dezvoltat mediu</w:t>
      </w:r>
      <w:r w:rsidR="002C21BE" w:rsidRPr="00F34E9D">
        <w:rPr>
          <w:rFonts w:asciiTheme="majorHAnsi" w:hAnsiTheme="majorHAnsi" w:cstheme="majorHAnsi"/>
          <w:color w:val="0D0D0D" w:themeColor="text1" w:themeTint="F2"/>
          <w:sz w:val="24"/>
          <w:szCs w:val="24"/>
          <w:lang w:val="ro-RO"/>
        </w:rPr>
        <w:t>l</w:t>
      </w:r>
      <w:r w:rsidR="005E1A43" w:rsidRPr="00F34E9D">
        <w:rPr>
          <w:rFonts w:asciiTheme="majorHAnsi" w:hAnsiTheme="majorHAnsi" w:cstheme="majorHAnsi"/>
          <w:color w:val="0D0D0D" w:themeColor="text1" w:themeTint="F2"/>
          <w:sz w:val="24"/>
          <w:szCs w:val="24"/>
          <w:lang w:val="ro-RO"/>
        </w:rPr>
        <w:t xml:space="preserve"> instituțional intern care să sporească gradul de conștientizare a riscurilor și a consecinț</w:t>
      </w:r>
      <w:r w:rsidR="00C0016C" w:rsidRPr="00F34E9D">
        <w:rPr>
          <w:rFonts w:asciiTheme="majorHAnsi" w:hAnsiTheme="majorHAnsi" w:cstheme="majorHAnsi"/>
          <w:color w:val="0D0D0D" w:themeColor="text1" w:themeTint="F2"/>
          <w:sz w:val="24"/>
          <w:szCs w:val="24"/>
          <w:lang w:val="ro-RO"/>
        </w:rPr>
        <w:t>elor de fraudă și corupție</w:t>
      </w:r>
      <w:r w:rsidR="00AC6626" w:rsidRPr="00F34E9D">
        <w:rPr>
          <w:rFonts w:asciiTheme="majorHAnsi" w:hAnsiTheme="majorHAnsi" w:cstheme="majorHAnsi"/>
          <w:color w:val="0D0D0D" w:themeColor="text1" w:themeTint="F2"/>
          <w:sz w:val="24"/>
          <w:szCs w:val="24"/>
          <w:lang w:val="ro-RO"/>
        </w:rPr>
        <w:t>.</w:t>
      </w:r>
    </w:p>
    <w:p w14:paraId="3722E5E7" w14:textId="3FF91F8E" w:rsidR="00C77443" w:rsidRPr="00F34E9D" w:rsidRDefault="00496329" w:rsidP="00F42E6E">
      <w:pPr>
        <w:pStyle w:val="HTML"/>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Fonts w:asciiTheme="majorHAnsi" w:hAnsiTheme="majorHAnsi" w:cstheme="majorHAnsi"/>
          <w:color w:val="0D0D0D" w:themeColor="text1" w:themeTint="F2"/>
          <w:sz w:val="24"/>
          <w:szCs w:val="24"/>
          <w:lang w:val="ro-RO"/>
        </w:rPr>
      </w:pPr>
      <w:r w:rsidRPr="00F34E9D">
        <w:rPr>
          <w:rFonts w:asciiTheme="majorHAnsi" w:hAnsiTheme="majorHAnsi" w:cstheme="majorHAnsi"/>
          <w:b/>
          <w:color w:val="0D0D0D" w:themeColor="text1" w:themeTint="F2"/>
          <w:sz w:val="24"/>
          <w:szCs w:val="24"/>
          <w:lang w:val="ro-RO"/>
        </w:rPr>
        <w:t>6.</w:t>
      </w:r>
      <w:r w:rsidR="00ED2D9E" w:rsidRPr="00F34E9D">
        <w:rPr>
          <w:rFonts w:asciiTheme="majorHAnsi" w:hAnsiTheme="majorHAnsi" w:cstheme="majorHAnsi"/>
          <w:b/>
          <w:color w:val="0D0D0D" w:themeColor="text1" w:themeTint="F2"/>
          <w:sz w:val="24"/>
          <w:szCs w:val="24"/>
          <w:lang w:val="ro-RO"/>
        </w:rPr>
        <w:t>3</w:t>
      </w:r>
      <w:r w:rsidR="00DE0FF0" w:rsidRPr="00F34E9D">
        <w:rPr>
          <w:rFonts w:asciiTheme="majorHAnsi" w:hAnsiTheme="majorHAnsi" w:cstheme="majorHAnsi"/>
          <w:b/>
          <w:color w:val="0D0D0D" w:themeColor="text1" w:themeTint="F2"/>
          <w:sz w:val="24"/>
          <w:szCs w:val="24"/>
          <w:lang w:val="ro-RO"/>
        </w:rPr>
        <w:t>.</w:t>
      </w:r>
      <w:r w:rsidRPr="00F34E9D">
        <w:rPr>
          <w:rFonts w:asciiTheme="majorHAnsi" w:hAnsiTheme="majorHAnsi" w:cstheme="majorHAnsi"/>
          <w:color w:val="0D0D0D" w:themeColor="text1" w:themeTint="F2"/>
          <w:sz w:val="24"/>
          <w:szCs w:val="24"/>
          <w:lang w:val="ro-RO"/>
        </w:rPr>
        <w:t xml:space="preserve"> </w:t>
      </w:r>
      <w:r w:rsidR="002914AE" w:rsidRPr="00F34E9D">
        <w:rPr>
          <w:rFonts w:asciiTheme="majorHAnsi" w:hAnsiTheme="majorHAnsi" w:cstheme="majorHAnsi"/>
          <w:color w:val="0D0D0D" w:themeColor="text1" w:themeTint="F2"/>
          <w:sz w:val="24"/>
          <w:szCs w:val="24"/>
          <w:lang w:val="ro-MD"/>
        </w:rPr>
        <w:t>Auditul intern</w:t>
      </w:r>
      <w:r w:rsidR="002914AE" w:rsidRPr="00F34E9D">
        <w:rPr>
          <w:rFonts w:asciiTheme="majorHAnsi" w:hAnsiTheme="majorHAnsi" w:cstheme="majorHAnsi"/>
          <w:bCs/>
          <w:color w:val="0D0D0D" w:themeColor="text1" w:themeTint="F2"/>
          <w:sz w:val="24"/>
          <w:szCs w:val="24"/>
          <w:lang w:val="ro-MD"/>
        </w:rPr>
        <w:t xml:space="preserve"> nu este funcțional pe deplin în cadrul structurii administrative centrale a </w:t>
      </w:r>
      <w:r w:rsidR="00546881" w:rsidRPr="00F34E9D">
        <w:rPr>
          <w:rFonts w:asciiTheme="majorHAnsi" w:hAnsiTheme="majorHAnsi" w:cstheme="majorHAnsi"/>
          <w:bCs/>
          <w:color w:val="0D0D0D" w:themeColor="text1" w:themeTint="F2"/>
          <w:sz w:val="24"/>
          <w:szCs w:val="24"/>
          <w:lang w:val="ro-MD"/>
        </w:rPr>
        <w:t>m</w:t>
      </w:r>
      <w:r w:rsidR="002914AE" w:rsidRPr="00F34E9D">
        <w:rPr>
          <w:rFonts w:asciiTheme="majorHAnsi" w:hAnsiTheme="majorHAnsi" w:cstheme="majorHAnsi"/>
          <w:bCs/>
          <w:color w:val="0D0D0D" w:themeColor="text1" w:themeTint="F2"/>
          <w:sz w:val="24"/>
          <w:szCs w:val="24"/>
          <w:lang w:val="ro-MD"/>
        </w:rPr>
        <w:t xml:space="preserve">inisterului, deoarece </w:t>
      </w:r>
      <w:r w:rsidR="008B7B82" w:rsidRPr="00F34E9D">
        <w:rPr>
          <w:rFonts w:asciiTheme="majorHAnsi" w:hAnsiTheme="majorHAnsi" w:cstheme="majorHAnsi"/>
          <w:bCs/>
          <w:color w:val="0D0D0D" w:themeColor="text1" w:themeTint="F2"/>
          <w:sz w:val="24"/>
          <w:szCs w:val="24"/>
          <w:lang w:val="ro-MD"/>
        </w:rPr>
        <w:t>organizațional Serviciul</w:t>
      </w:r>
      <w:r w:rsidR="002914AE" w:rsidRPr="00F34E9D">
        <w:rPr>
          <w:rFonts w:asciiTheme="majorHAnsi" w:hAnsiTheme="majorHAnsi" w:cstheme="majorHAnsi"/>
          <w:bCs/>
          <w:color w:val="0D0D0D" w:themeColor="text1" w:themeTint="F2"/>
          <w:sz w:val="24"/>
          <w:szCs w:val="24"/>
          <w:lang w:val="ro-MD"/>
        </w:rPr>
        <w:t xml:space="preserve"> Audit Intern (1 funcție </w:t>
      </w:r>
      <w:r w:rsidR="00CC4A64" w:rsidRPr="00F34E9D">
        <w:rPr>
          <w:rFonts w:asciiTheme="majorHAnsi" w:hAnsiTheme="majorHAnsi" w:cstheme="majorHAnsi"/>
          <w:bCs/>
          <w:color w:val="0D0D0D" w:themeColor="text1" w:themeTint="F2"/>
          <w:sz w:val="24"/>
          <w:szCs w:val="24"/>
          <w:lang w:val="ro-MD"/>
        </w:rPr>
        <w:t xml:space="preserve">aprobată și </w:t>
      </w:r>
      <w:r w:rsidR="002914AE" w:rsidRPr="00F34E9D">
        <w:rPr>
          <w:rFonts w:asciiTheme="majorHAnsi" w:hAnsiTheme="majorHAnsi" w:cstheme="majorHAnsi"/>
          <w:bCs/>
          <w:color w:val="0D0D0D" w:themeColor="text1" w:themeTint="F2"/>
          <w:sz w:val="24"/>
          <w:szCs w:val="24"/>
          <w:lang w:val="ro-MD"/>
        </w:rPr>
        <w:t>ocupată</w:t>
      </w:r>
      <w:r w:rsidR="00CC4A64" w:rsidRPr="00F34E9D">
        <w:rPr>
          <w:rFonts w:asciiTheme="majorHAnsi" w:hAnsiTheme="majorHAnsi" w:cstheme="majorHAnsi"/>
          <w:bCs/>
          <w:color w:val="0D0D0D" w:themeColor="text1" w:themeTint="F2"/>
          <w:sz w:val="24"/>
          <w:szCs w:val="24"/>
          <w:lang w:val="ro-MD"/>
        </w:rPr>
        <w:t xml:space="preserve"> efectiv</w:t>
      </w:r>
      <w:r w:rsidR="002914AE" w:rsidRPr="00F34E9D">
        <w:rPr>
          <w:rFonts w:asciiTheme="majorHAnsi" w:hAnsiTheme="majorHAnsi" w:cstheme="majorHAnsi"/>
          <w:bCs/>
          <w:color w:val="0D0D0D" w:themeColor="text1" w:themeTint="F2"/>
          <w:sz w:val="24"/>
          <w:szCs w:val="24"/>
          <w:lang w:val="ro-MD"/>
        </w:rPr>
        <w:t xml:space="preserve">, </w:t>
      </w:r>
      <w:r w:rsidR="00B3187F" w:rsidRPr="00F34E9D">
        <w:rPr>
          <w:rFonts w:asciiTheme="majorHAnsi" w:hAnsiTheme="majorHAnsi" w:cstheme="majorHAnsi"/>
          <w:bCs/>
          <w:color w:val="0D0D0D" w:themeColor="text1" w:themeTint="F2"/>
          <w:sz w:val="24"/>
          <w:szCs w:val="24"/>
          <w:lang w:val="ro-MD"/>
        </w:rPr>
        <w:t xml:space="preserve">în timp ce </w:t>
      </w:r>
      <w:r w:rsidR="008B7B82" w:rsidRPr="00F34E9D">
        <w:rPr>
          <w:rFonts w:asciiTheme="majorHAnsi" w:hAnsiTheme="majorHAnsi" w:cstheme="majorHAnsi"/>
          <w:color w:val="0D0D0D" w:themeColor="text1" w:themeTint="F2"/>
          <w:sz w:val="24"/>
          <w:szCs w:val="24"/>
          <w:lang w:val="ro-RO"/>
        </w:rPr>
        <w:t xml:space="preserve">art.19 </w:t>
      </w:r>
      <w:r w:rsidR="00A15F13" w:rsidRPr="00F34E9D">
        <w:rPr>
          <w:rFonts w:asciiTheme="majorHAnsi" w:hAnsiTheme="majorHAnsi" w:cstheme="majorHAnsi"/>
          <w:color w:val="0D0D0D" w:themeColor="text1" w:themeTint="F2"/>
          <w:sz w:val="24"/>
          <w:szCs w:val="24"/>
          <w:lang w:val="ro-RO"/>
        </w:rPr>
        <w:t>alin.</w:t>
      </w:r>
      <w:r w:rsidR="008B7B82" w:rsidRPr="00F34E9D">
        <w:rPr>
          <w:rFonts w:asciiTheme="majorHAnsi" w:hAnsiTheme="majorHAnsi" w:cstheme="majorHAnsi"/>
          <w:color w:val="0D0D0D" w:themeColor="text1" w:themeTint="F2"/>
          <w:sz w:val="24"/>
          <w:szCs w:val="24"/>
          <w:lang w:val="ro-RO"/>
        </w:rPr>
        <w:t>(1</w:t>
      </w:r>
      <w:r w:rsidR="002914AE" w:rsidRPr="00F34E9D">
        <w:rPr>
          <w:rFonts w:asciiTheme="majorHAnsi" w:hAnsiTheme="majorHAnsi" w:cstheme="majorHAnsi"/>
          <w:color w:val="0D0D0D" w:themeColor="text1" w:themeTint="F2"/>
          <w:sz w:val="24"/>
          <w:szCs w:val="24"/>
          <w:lang w:val="ro-RO"/>
        </w:rPr>
        <w:t xml:space="preserve">) din Legea </w:t>
      </w:r>
      <w:r w:rsidR="008B7B82" w:rsidRPr="00F34E9D">
        <w:rPr>
          <w:rFonts w:asciiTheme="majorHAnsi" w:hAnsiTheme="majorHAnsi" w:cstheme="majorHAnsi"/>
          <w:color w:val="0D0D0D" w:themeColor="text1" w:themeTint="F2"/>
          <w:sz w:val="24"/>
          <w:szCs w:val="24"/>
          <w:lang w:val="ro-RO"/>
        </w:rPr>
        <w:t>nr.</w:t>
      </w:r>
      <w:r w:rsidR="002914AE" w:rsidRPr="00F34E9D">
        <w:rPr>
          <w:rFonts w:asciiTheme="majorHAnsi" w:hAnsiTheme="majorHAnsi" w:cstheme="majorHAnsi"/>
          <w:color w:val="0D0D0D" w:themeColor="text1" w:themeTint="F2"/>
          <w:sz w:val="24"/>
          <w:szCs w:val="24"/>
          <w:lang w:val="ro-RO"/>
        </w:rPr>
        <w:t>229/2010 prevede cel puțin trei unități</w:t>
      </w:r>
      <w:r w:rsidR="002914AE" w:rsidRPr="00F34E9D">
        <w:rPr>
          <w:rFonts w:asciiTheme="majorHAnsi" w:hAnsiTheme="majorHAnsi" w:cstheme="majorHAnsi"/>
          <w:bCs/>
          <w:color w:val="0D0D0D" w:themeColor="text1" w:themeTint="F2"/>
          <w:sz w:val="24"/>
          <w:szCs w:val="24"/>
          <w:lang w:val="ro-MD"/>
        </w:rPr>
        <w:t>) nu oferă posibilitatea îndeplinirii corespunzătoare și calitative a sarcinilor și atribuțiilor privind auditarea MEC și entităților din subordine</w:t>
      </w:r>
      <w:r w:rsidR="008B7B82" w:rsidRPr="00F34E9D">
        <w:rPr>
          <w:rFonts w:asciiTheme="majorHAnsi" w:hAnsiTheme="majorHAnsi" w:cstheme="majorHAnsi"/>
          <w:color w:val="0D0D0D" w:themeColor="text1" w:themeTint="F2"/>
          <w:sz w:val="24"/>
          <w:szCs w:val="24"/>
          <w:lang w:val="ro-RO"/>
        </w:rPr>
        <w:t xml:space="preserve">, ce reprezintă o </w:t>
      </w:r>
      <w:r w:rsidR="00546322" w:rsidRPr="00F34E9D">
        <w:rPr>
          <w:rFonts w:asciiTheme="majorHAnsi" w:hAnsiTheme="majorHAnsi" w:cstheme="majorHAnsi"/>
          <w:color w:val="0D0D0D" w:themeColor="text1" w:themeTint="F2"/>
          <w:sz w:val="24"/>
          <w:szCs w:val="24"/>
          <w:lang w:val="ro-RO"/>
        </w:rPr>
        <w:t xml:space="preserve">structură </w:t>
      </w:r>
      <w:r w:rsidR="00833495" w:rsidRPr="00F34E9D">
        <w:rPr>
          <w:rFonts w:asciiTheme="majorHAnsi" w:hAnsiTheme="majorHAnsi" w:cstheme="majorHAnsi"/>
          <w:color w:val="0D0D0D" w:themeColor="text1" w:themeTint="F2"/>
          <w:sz w:val="24"/>
          <w:szCs w:val="24"/>
          <w:lang w:val="ro-RO"/>
        </w:rPr>
        <w:t>complexă</w:t>
      </w:r>
      <w:r w:rsidR="00546322" w:rsidRPr="00F34E9D">
        <w:rPr>
          <w:rFonts w:asciiTheme="majorHAnsi" w:hAnsiTheme="majorHAnsi" w:cstheme="majorHAnsi"/>
          <w:color w:val="0D0D0D" w:themeColor="text1" w:themeTint="F2"/>
          <w:sz w:val="24"/>
          <w:szCs w:val="24"/>
          <w:lang w:val="ro-RO"/>
        </w:rPr>
        <w:t xml:space="preserve"> </w:t>
      </w:r>
      <w:r w:rsidR="002C21BE" w:rsidRPr="00F34E9D">
        <w:rPr>
          <w:rFonts w:asciiTheme="majorHAnsi" w:hAnsiTheme="majorHAnsi" w:cstheme="majorHAnsi"/>
          <w:color w:val="0D0D0D" w:themeColor="text1" w:themeTint="F2"/>
          <w:sz w:val="24"/>
          <w:szCs w:val="24"/>
          <w:lang w:val="ro-RO"/>
        </w:rPr>
        <w:t xml:space="preserve">cu </w:t>
      </w:r>
      <w:r w:rsidR="00546322" w:rsidRPr="00F34E9D">
        <w:rPr>
          <w:rFonts w:asciiTheme="majorHAnsi" w:hAnsiTheme="majorHAnsi" w:cstheme="majorHAnsi"/>
          <w:color w:val="0D0D0D" w:themeColor="text1" w:themeTint="F2"/>
          <w:sz w:val="24"/>
          <w:szCs w:val="24"/>
          <w:lang w:val="ro-RO"/>
        </w:rPr>
        <w:t>73 de instituții bugetare</w:t>
      </w:r>
      <w:r w:rsidR="00833495" w:rsidRPr="00F34E9D">
        <w:rPr>
          <w:rFonts w:asciiTheme="majorHAnsi" w:hAnsiTheme="majorHAnsi" w:cstheme="majorHAnsi"/>
          <w:color w:val="0D0D0D" w:themeColor="text1" w:themeTint="F2"/>
          <w:sz w:val="24"/>
          <w:szCs w:val="24"/>
          <w:lang w:val="ro-RO"/>
        </w:rPr>
        <w:t xml:space="preserve"> subordonate</w:t>
      </w:r>
      <w:r w:rsidR="00546322" w:rsidRPr="00F34E9D">
        <w:rPr>
          <w:rFonts w:asciiTheme="majorHAnsi" w:hAnsiTheme="majorHAnsi" w:cstheme="majorHAnsi"/>
          <w:color w:val="0D0D0D" w:themeColor="text1" w:themeTint="F2"/>
          <w:sz w:val="24"/>
          <w:szCs w:val="24"/>
          <w:lang w:val="ro-RO"/>
        </w:rPr>
        <w:t xml:space="preserve"> și 84 </w:t>
      </w:r>
      <w:r w:rsidR="00A15F13" w:rsidRPr="00F34E9D">
        <w:rPr>
          <w:rFonts w:asciiTheme="majorHAnsi" w:hAnsiTheme="majorHAnsi" w:cstheme="majorHAnsi"/>
          <w:color w:val="0D0D0D" w:themeColor="text1" w:themeTint="F2"/>
          <w:sz w:val="24"/>
          <w:szCs w:val="24"/>
          <w:lang w:val="ro-RO"/>
        </w:rPr>
        <w:t xml:space="preserve">de </w:t>
      </w:r>
      <w:r w:rsidR="00546322" w:rsidRPr="00F34E9D">
        <w:rPr>
          <w:rFonts w:asciiTheme="majorHAnsi" w:hAnsiTheme="majorHAnsi" w:cstheme="majorHAnsi"/>
          <w:color w:val="0D0D0D" w:themeColor="text1" w:themeTint="F2"/>
          <w:sz w:val="24"/>
          <w:szCs w:val="24"/>
          <w:lang w:val="ro-RO"/>
        </w:rPr>
        <w:t xml:space="preserve">instituții </w:t>
      </w:r>
      <w:r w:rsidR="00A15F13" w:rsidRPr="00F34E9D">
        <w:rPr>
          <w:rFonts w:asciiTheme="majorHAnsi" w:hAnsiTheme="majorHAnsi" w:cstheme="majorHAnsi"/>
          <w:color w:val="0D0D0D" w:themeColor="text1" w:themeTint="F2"/>
          <w:sz w:val="24"/>
          <w:szCs w:val="24"/>
          <w:lang w:val="ro-RO"/>
        </w:rPr>
        <w:t xml:space="preserve">fondate </w:t>
      </w:r>
      <w:r w:rsidR="00546322" w:rsidRPr="00F34E9D">
        <w:rPr>
          <w:rFonts w:asciiTheme="majorHAnsi" w:hAnsiTheme="majorHAnsi" w:cstheme="majorHAnsi"/>
          <w:color w:val="0D0D0D" w:themeColor="text1" w:themeTint="F2"/>
          <w:sz w:val="24"/>
          <w:szCs w:val="24"/>
          <w:lang w:val="ro-RO"/>
        </w:rPr>
        <w:t>aflate la autogestiune. Ministerul a trecut prin procedura complexă de reorganizare, iar rolul auditorul</w:t>
      </w:r>
      <w:r w:rsidR="00A15F13" w:rsidRPr="00F34E9D">
        <w:rPr>
          <w:rFonts w:asciiTheme="majorHAnsi" w:hAnsiTheme="majorHAnsi" w:cstheme="majorHAnsi"/>
          <w:color w:val="0D0D0D" w:themeColor="text1" w:themeTint="F2"/>
          <w:sz w:val="24"/>
          <w:szCs w:val="24"/>
          <w:lang w:val="ro-RO"/>
        </w:rPr>
        <w:t>ui</w:t>
      </w:r>
      <w:r w:rsidR="00546322" w:rsidRPr="00F34E9D">
        <w:rPr>
          <w:rFonts w:asciiTheme="majorHAnsi" w:hAnsiTheme="majorHAnsi" w:cstheme="majorHAnsi"/>
          <w:color w:val="0D0D0D" w:themeColor="text1" w:themeTint="F2"/>
          <w:sz w:val="24"/>
          <w:szCs w:val="24"/>
          <w:lang w:val="ro-RO"/>
        </w:rPr>
        <w:t xml:space="preserve"> intern în furnizarea unei asigurări conducerii ministerului privind eficacitatea sistemului de control intern manageriali pentru desfășurarea procesului de reorganizare nu a fost valorificat.</w:t>
      </w:r>
    </w:p>
    <w:p w14:paraId="50DAA649" w14:textId="4D980A45" w:rsidR="00C77443" w:rsidRPr="00F34E9D" w:rsidRDefault="00496329" w:rsidP="00F42E6E">
      <w:pPr>
        <w:pStyle w:val="HTML"/>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Fonts w:asciiTheme="majorHAnsi" w:hAnsiTheme="majorHAnsi" w:cstheme="majorHAnsi"/>
          <w:color w:val="0D0D0D" w:themeColor="text1" w:themeTint="F2"/>
          <w:sz w:val="24"/>
          <w:szCs w:val="24"/>
          <w:lang w:val="ro-RO"/>
        </w:rPr>
      </w:pPr>
      <w:r w:rsidRPr="00F34E9D">
        <w:rPr>
          <w:rFonts w:asciiTheme="majorHAnsi" w:hAnsiTheme="majorHAnsi" w:cstheme="majorHAnsi"/>
          <w:b/>
          <w:color w:val="0D0D0D" w:themeColor="text1" w:themeTint="F2"/>
          <w:sz w:val="24"/>
          <w:szCs w:val="24"/>
          <w:lang w:val="ro-RO"/>
        </w:rPr>
        <w:t>6.</w:t>
      </w:r>
      <w:r w:rsidR="00ED2D9E" w:rsidRPr="00F34E9D">
        <w:rPr>
          <w:rFonts w:asciiTheme="majorHAnsi" w:hAnsiTheme="majorHAnsi" w:cstheme="majorHAnsi"/>
          <w:b/>
          <w:color w:val="0D0D0D" w:themeColor="text1" w:themeTint="F2"/>
          <w:sz w:val="24"/>
          <w:szCs w:val="24"/>
          <w:lang w:val="ro-RO"/>
        </w:rPr>
        <w:t>4</w:t>
      </w:r>
      <w:r w:rsidR="00DE0FF0" w:rsidRPr="00F34E9D">
        <w:rPr>
          <w:rFonts w:asciiTheme="majorHAnsi" w:hAnsiTheme="majorHAnsi" w:cstheme="majorHAnsi"/>
          <w:b/>
          <w:color w:val="0D0D0D" w:themeColor="text1" w:themeTint="F2"/>
          <w:sz w:val="24"/>
          <w:szCs w:val="24"/>
          <w:lang w:val="ro-RO"/>
        </w:rPr>
        <w:t>.</w:t>
      </w:r>
      <w:r w:rsidRPr="00F34E9D">
        <w:rPr>
          <w:rFonts w:asciiTheme="majorHAnsi" w:hAnsiTheme="majorHAnsi" w:cstheme="majorHAnsi"/>
          <w:color w:val="0D0D0D" w:themeColor="text1" w:themeTint="F2"/>
          <w:sz w:val="24"/>
          <w:szCs w:val="24"/>
          <w:lang w:val="ro-RO"/>
        </w:rPr>
        <w:t xml:space="preserve"> </w:t>
      </w:r>
      <w:r w:rsidR="003C79E2" w:rsidRPr="00F34E9D">
        <w:rPr>
          <w:rFonts w:asciiTheme="majorHAnsi" w:hAnsiTheme="majorHAnsi" w:cstheme="majorHAnsi"/>
          <w:color w:val="0D0D0D" w:themeColor="text1" w:themeTint="F2"/>
          <w:sz w:val="24"/>
          <w:szCs w:val="24"/>
          <w:lang w:val="ro-RO"/>
        </w:rPr>
        <w:t xml:space="preserve">Modul de organizare și </w:t>
      </w:r>
      <w:r w:rsidR="00A15F13" w:rsidRPr="00F34E9D">
        <w:rPr>
          <w:rFonts w:asciiTheme="majorHAnsi" w:hAnsiTheme="majorHAnsi" w:cstheme="majorHAnsi"/>
          <w:color w:val="0D0D0D" w:themeColor="text1" w:themeTint="F2"/>
          <w:sz w:val="24"/>
          <w:szCs w:val="24"/>
          <w:lang w:val="ro-RO"/>
        </w:rPr>
        <w:t xml:space="preserve">de </w:t>
      </w:r>
      <w:r w:rsidR="003C79E2" w:rsidRPr="00F34E9D">
        <w:rPr>
          <w:rFonts w:asciiTheme="majorHAnsi" w:hAnsiTheme="majorHAnsi" w:cstheme="majorHAnsi"/>
          <w:color w:val="0D0D0D" w:themeColor="text1" w:themeTint="F2"/>
          <w:sz w:val="24"/>
          <w:szCs w:val="24"/>
          <w:lang w:val="ro-RO"/>
        </w:rPr>
        <w:t xml:space="preserve">ținere a contabilității, </w:t>
      </w:r>
      <w:r w:rsidR="00A15F13" w:rsidRPr="00F34E9D">
        <w:rPr>
          <w:rFonts w:asciiTheme="majorHAnsi" w:hAnsiTheme="majorHAnsi" w:cstheme="majorHAnsi"/>
          <w:color w:val="0D0D0D" w:themeColor="text1" w:themeTint="F2"/>
          <w:sz w:val="24"/>
          <w:szCs w:val="24"/>
          <w:lang w:val="ro-RO"/>
        </w:rPr>
        <w:t xml:space="preserve">de </w:t>
      </w:r>
      <w:r w:rsidR="003C79E2" w:rsidRPr="00F34E9D">
        <w:rPr>
          <w:rFonts w:asciiTheme="majorHAnsi" w:hAnsiTheme="majorHAnsi" w:cstheme="majorHAnsi"/>
          <w:color w:val="0D0D0D" w:themeColor="text1" w:themeTint="F2"/>
          <w:sz w:val="24"/>
          <w:szCs w:val="24"/>
          <w:lang w:val="ro-RO"/>
        </w:rPr>
        <w:t>întocmire și prezentare</w:t>
      </w:r>
      <w:r w:rsidR="00A15F13" w:rsidRPr="00F34E9D">
        <w:rPr>
          <w:rFonts w:asciiTheme="majorHAnsi" w:hAnsiTheme="majorHAnsi" w:cstheme="majorHAnsi"/>
          <w:color w:val="0D0D0D" w:themeColor="text1" w:themeTint="F2"/>
          <w:sz w:val="24"/>
          <w:szCs w:val="24"/>
          <w:lang w:val="ro-RO"/>
        </w:rPr>
        <w:t xml:space="preserve"> </w:t>
      </w:r>
      <w:r w:rsidR="003C79E2" w:rsidRPr="00F34E9D">
        <w:rPr>
          <w:rFonts w:asciiTheme="majorHAnsi" w:hAnsiTheme="majorHAnsi" w:cstheme="majorHAnsi"/>
          <w:color w:val="0D0D0D" w:themeColor="text1" w:themeTint="F2"/>
          <w:sz w:val="24"/>
          <w:szCs w:val="24"/>
          <w:lang w:val="ro-RO"/>
        </w:rPr>
        <w:t>a rapoartelor financiare, inclusiv respectarea termenelor de prezentare a rapoartelor financiare</w:t>
      </w:r>
      <w:r w:rsidR="00A15F13" w:rsidRPr="00F34E9D">
        <w:rPr>
          <w:rFonts w:asciiTheme="majorHAnsi" w:hAnsiTheme="majorHAnsi" w:cstheme="majorHAnsi"/>
          <w:color w:val="0D0D0D" w:themeColor="text1" w:themeTint="F2"/>
          <w:sz w:val="24"/>
          <w:szCs w:val="24"/>
          <w:lang w:val="ro-RO"/>
        </w:rPr>
        <w:t>,</w:t>
      </w:r>
      <w:r w:rsidR="003C79E2" w:rsidRPr="00F34E9D">
        <w:rPr>
          <w:rFonts w:asciiTheme="majorHAnsi" w:hAnsiTheme="majorHAnsi" w:cstheme="majorHAnsi"/>
          <w:color w:val="0D0D0D" w:themeColor="text1" w:themeTint="F2"/>
          <w:sz w:val="24"/>
          <w:szCs w:val="24"/>
          <w:lang w:val="ro-RO"/>
        </w:rPr>
        <w:t xml:space="preserve"> sunt aspecte care necesită îmbunătățiri. </w:t>
      </w:r>
    </w:p>
    <w:p w14:paraId="6F2A106A" w14:textId="4E8EC46D" w:rsidR="00C77443" w:rsidRPr="00F34E9D" w:rsidRDefault="003C79E2" w:rsidP="00F42E6E">
      <w:pPr>
        <w:pStyle w:val="HTML"/>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pacing w:line="276" w:lineRule="auto"/>
        <w:jc w:val="both"/>
        <w:rPr>
          <w:rFonts w:asciiTheme="majorHAnsi" w:hAnsiTheme="majorHAnsi" w:cstheme="majorHAnsi"/>
          <w:color w:val="0D0D0D" w:themeColor="text1" w:themeTint="F2"/>
          <w:sz w:val="24"/>
          <w:szCs w:val="24"/>
          <w:lang w:val="ro-RO"/>
        </w:rPr>
      </w:pPr>
      <w:r w:rsidRPr="00F34E9D">
        <w:rPr>
          <w:rFonts w:asciiTheme="majorHAnsi" w:hAnsiTheme="majorHAnsi" w:cstheme="majorHAnsi"/>
          <w:color w:val="0D0D0D" w:themeColor="text1" w:themeTint="F2"/>
          <w:sz w:val="24"/>
          <w:szCs w:val="24"/>
          <w:lang w:val="ro-RO"/>
        </w:rPr>
        <w:t>Politica de contabilitate aprobată de MEC este în conformitate cu politica de contabilitate-tip prevăzută în Ord</w:t>
      </w:r>
      <w:r w:rsidR="00C92E10" w:rsidRPr="00F34E9D">
        <w:rPr>
          <w:rFonts w:asciiTheme="majorHAnsi" w:hAnsiTheme="majorHAnsi" w:cstheme="majorHAnsi"/>
          <w:color w:val="0D0D0D" w:themeColor="text1" w:themeTint="F2"/>
          <w:sz w:val="24"/>
          <w:szCs w:val="24"/>
          <w:lang w:val="ro-RO"/>
        </w:rPr>
        <w:t>inul MF nr.</w:t>
      </w:r>
      <w:r w:rsidRPr="00F34E9D">
        <w:rPr>
          <w:rFonts w:asciiTheme="majorHAnsi" w:hAnsiTheme="majorHAnsi" w:cstheme="majorHAnsi"/>
          <w:color w:val="0D0D0D" w:themeColor="text1" w:themeTint="F2"/>
          <w:sz w:val="24"/>
          <w:szCs w:val="24"/>
          <w:lang w:val="ro-RO"/>
        </w:rPr>
        <w:t>216/2015,</w:t>
      </w:r>
      <w:r w:rsidR="0009644F" w:rsidRPr="00F34E9D">
        <w:rPr>
          <w:rFonts w:asciiTheme="majorHAnsi" w:hAnsiTheme="majorHAnsi" w:cstheme="majorHAnsi"/>
          <w:color w:val="0D0D0D" w:themeColor="text1" w:themeTint="F2"/>
          <w:sz w:val="24"/>
          <w:szCs w:val="24"/>
          <w:lang w:val="ro-RO"/>
        </w:rPr>
        <w:t xml:space="preserve"> dar nu abordează în mod eficient specificul MEC</w:t>
      </w:r>
      <w:r w:rsidR="00A15F13" w:rsidRPr="00F34E9D">
        <w:rPr>
          <w:rFonts w:asciiTheme="majorHAnsi" w:hAnsiTheme="majorHAnsi" w:cstheme="majorHAnsi"/>
          <w:color w:val="0D0D0D" w:themeColor="text1" w:themeTint="F2"/>
          <w:sz w:val="24"/>
          <w:szCs w:val="24"/>
          <w:lang w:val="ro-RO"/>
        </w:rPr>
        <w:t>,</w:t>
      </w:r>
      <w:r w:rsidR="0009644F" w:rsidRPr="00F34E9D">
        <w:rPr>
          <w:rFonts w:asciiTheme="majorHAnsi" w:hAnsiTheme="majorHAnsi" w:cstheme="majorHAnsi"/>
          <w:color w:val="0D0D0D" w:themeColor="text1" w:themeTint="F2"/>
          <w:sz w:val="24"/>
          <w:szCs w:val="24"/>
          <w:lang w:val="ro-RO"/>
        </w:rPr>
        <w:t xml:space="preserve"> </w:t>
      </w:r>
      <w:r w:rsidR="00C77443" w:rsidRPr="00F34E9D">
        <w:rPr>
          <w:rFonts w:asciiTheme="majorHAnsi" w:hAnsiTheme="majorHAnsi" w:cstheme="majorHAnsi"/>
          <w:color w:val="0D0D0D" w:themeColor="text1" w:themeTint="F2"/>
          <w:sz w:val="24"/>
          <w:szCs w:val="24"/>
          <w:lang w:val="ro-RO"/>
        </w:rPr>
        <w:t>inclusiv: (i)</w:t>
      </w:r>
      <w:r w:rsidR="00E744CA" w:rsidRPr="00F34E9D">
        <w:rPr>
          <w:rFonts w:asciiTheme="majorHAnsi" w:hAnsiTheme="majorHAnsi" w:cstheme="majorHAnsi"/>
          <w:color w:val="0D0D0D" w:themeColor="text1" w:themeTint="F2"/>
          <w:sz w:val="24"/>
          <w:szCs w:val="24"/>
          <w:lang w:val="ro-RO"/>
        </w:rPr>
        <w:t xml:space="preserve"> </w:t>
      </w:r>
      <w:r w:rsidR="00C77443" w:rsidRPr="00F34E9D">
        <w:rPr>
          <w:rFonts w:asciiTheme="majorHAnsi" w:hAnsiTheme="majorHAnsi" w:cstheme="majorHAnsi"/>
          <w:color w:val="0D0D0D" w:themeColor="text1" w:themeTint="F2"/>
          <w:sz w:val="24"/>
          <w:szCs w:val="24"/>
          <w:lang w:val="ro-RO"/>
        </w:rPr>
        <w:t xml:space="preserve">nu </w:t>
      </w:r>
      <w:r w:rsidR="00A15F13" w:rsidRPr="00F34E9D">
        <w:rPr>
          <w:rFonts w:asciiTheme="majorHAnsi" w:hAnsiTheme="majorHAnsi" w:cstheme="majorHAnsi"/>
          <w:color w:val="0D0D0D" w:themeColor="text1" w:themeTint="F2"/>
          <w:sz w:val="24"/>
          <w:szCs w:val="24"/>
          <w:lang w:val="ro-RO"/>
        </w:rPr>
        <w:t>este</w:t>
      </w:r>
      <w:r w:rsidR="00C77443" w:rsidRPr="00F34E9D">
        <w:rPr>
          <w:rFonts w:asciiTheme="majorHAnsi" w:hAnsiTheme="majorHAnsi" w:cstheme="majorHAnsi"/>
          <w:color w:val="0D0D0D" w:themeColor="text1" w:themeTint="F2"/>
          <w:sz w:val="24"/>
          <w:szCs w:val="24"/>
          <w:lang w:val="ro-RO"/>
        </w:rPr>
        <w:t xml:space="preserve"> descris procesul de consolidare a 73 </w:t>
      </w:r>
      <w:r w:rsidR="00424987" w:rsidRPr="00F34E9D">
        <w:rPr>
          <w:rFonts w:asciiTheme="majorHAnsi" w:hAnsiTheme="majorHAnsi" w:cstheme="majorHAnsi"/>
          <w:color w:val="0D0D0D" w:themeColor="text1" w:themeTint="F2"/>
          <w:sz w:val="24"/>
          <w:szCs w:val="24"/>
          <w:lang w:val="ro-RO"/>
        </w:rPr>
        <w:t xml:space="preserve">de </w:t>
      </w:r>
      <w:r w:rsidR="00C77443" w:rsidRPr="00F34E9D">
        <w:rPr>
          <w:rFonts w:asciiTheme="majorHAnsi" w:hAnsiTheme="majorHAnsi" w:cstheme="majorHAnsi"/>
          <w:color w:val="0D0D0D" w:themeColor="text1" w:themeTint="F2"/>
          <w:sz w:val="24"/>
          <w:szCs w:val="24"/>
          <w:lang w:val="ro-RO"/>
        </w:rPr>
        <w:t>rapoarte financiare ale instituțiilor bugetare subordonate ministerului și controalele care asigură acuratețea și completitudinea procesului de consolidare</w:t>
      </w:r>
      <w:r w:rsidR="00C77443" w:rsidRPr="00F34E9D">
        <w:rPr>
          <w:rFonts w:asciiTheme="majorHAnsi" w:hAnsiTheme="majorHAnsi" w:cstheme="majorHAnsi"/>
          <w:color w:val="0D0D0D" w:themeColor="text1" w:themeTint="F2"/>
          <w:sz w:val="24"/>
          <w:szCs w:val="24"/>
          <w:lang w:val="fr-FR"/>
        </w:rPr>
        <w:t xml:space="preserve">; (ii) </w:t>
      </w:r>
      <w:r w:rsidR="00C77443" w:rsidRPr="00F34E9D">
        <w:rPr>
          <w:rFonts w:asciiTheme="majorHAnsi" w:hAnsiTheme="majorHAnsi" w:cstheme="majorHAnsi"/>
          <w:color w:val="0D0D0D" w:themeColor="text1" w:themeTint="F2"/>
          <w:sz w:val="24"/>
          <w:szCs w:val="24"/>
          <w:lang w:val="ro-RO"/>
        </w:rPr>
        <w:t>n</w:t>
      </w:r>
      <w:r w:rsidR="00797B5B" w:rsidRPr="00F34E9D">
        <w:rPr>
          <w:rFonts w:asciiTheme="majorHAnsi" w:hAnsiTheme="majorHAnsi" w:cstheme="majorHAnsi"/>
          <w:color w:val="0D0D0D" w:themeColor="text1" w:themeTint="F2"/>
          <w:sz w:val="24"/>
          <w:szCs w:val="24"/>
          <w:lang w:val="ro-RO"/>
        </w:rPr>
        <w:t>u sunt descrise regulile, cerințele stabilite de minister</w:t>
      </w:r>
      <w:r w:rsidR="00A16E1D" w:rsidRPr="00F34E9D">
        <w:rPr>
          <w:rFonts w:asciiTheme="majorHAnsi" w:hAnsiTheme="majorHAnsi" w:cstheme="majorHAnsi"/>
          <w:color w:val="0D0D0D" w:themeColor="text1" w:themeTint="F2"/>
          <w:sz w:val="24"/>
          <w:szCs w:val="24"/>
          <w:lang w:val="ro-RO"/>
        </w:rPr>
        <w:t xml:space="preserve"> </w:t>
      </w:r>
      <w:r w:rsidR="00424987" w:rsidRPr="00F34E9D">
        <w:rPr>
          <w:rFonts w:asciiTheme="majorHAnsi" w:hAnsiTheme="majorHAnsi" w:cstheme="majorHAnsi"/>
          <w:color w:val="0D0D0D" w:themeColor="text1" w:themeTint="F2"/>
          <w:sz w:val="24"/>
          <w:szCs w:val="24"/>
          <w:lang w:val="ro-RO"/>
        </w:rPr>
        <w:t>pentru</w:t>
      </w:r>
      <w:r w:rsidR="00A16E1D" w:rsidRPr="00F34E9D">
        <w:rPr>
          <w:rFonts w:asciiTheme="majorHAnsi" w:hAnsiTheme="majorHAnsi" w:cstheme="majorHAnsi"/>
          <w:color w:val="0D0D0D" w:themeColor="text1" w:themeTint="F2"/>
          <w:sz w:val="24"/>
          <w:szCs w:val="24"/>
          <w:lang w:val="ro-RO"/>
        </w:rPr>
        <w:t xml:space="preserve"> </w:t>
      </w:r>
      <w:r w:rsidR="00B66F03" w:rsidRPr="00F34E9D">
        <w:rPr>
          <w:rFonts w:asciiTheme="majorHAnsi" w:hAnsiTheme="majorHAnsi" w:cstheme="majorHAnsi"/>
          <w:color w:val="0D0D0D" w:themeColor="text1" w:themeTint="F2"/>
          <w:sz w:val="24"/>
          <w:szCs w:val="24"/>
          <w:lang w:val="ro-RO"/>
        </w:rPr>
        <w:t>entitățile</w:t>
      </w:r>
      <w:r w:rsidR="00A16E1D" w:rsidRPr="00F34E9D">
        <w:rPr>
          <w:rFonts w:asciiTheme="majorHAnsi" w:hAnsiTheme="majorHAnsi" w:cstheme="majorHAnsi"/>
          <w:color w:val="0D0D0D" w:themeColor="text1" w:themeTint="F2"/>
          <w:sz w:val="24"/>
          <w:szCs w:val="24"/>
          <w:lang w:val="ro-RO"/>
        </w:rPr>
        <w:t xml:space="preserve"> în care </w:t>
      </w:r>
      <w:r w:rsidR="00546881" w:rsidRPr="00F34E9D">
        <w:rPr>
          <w:rFonts w:asciiTheme="majorHAnsi" w:hAnsiTheme="majorHAnsi" w:cstheme="majorHAnsi"/>
          <w:color w:val="0D0D0D" w:themeColor="text1" w:themeTint="F2"/>
          <w:sz w:val="24"/>
          <w:szCs w:val="24"/>
          <w:lang w:val="ro-RO"/>
        </w:rPr>
        <w:t xml:space="preserve">acesta </w:t>
      </w:r>
      <w:r w:rsidR="00A16E1D" w:rsidRPr="00F34E9D">
        <w:rPr>
          <w:rFonts w:asciiTheme="majorHAnsi" w:hAnsiTheme="majorHAnsi" w:cstheme="majorHAnsi"/>
          <w:color w:val="0D0D0D" w:themeColor="text1" w:themeTint="F2"/>
          <w:sz w:val="24"/>
          <w:szCs w:val="24"/>
          <w:lang w:val="ro-RO"/>
        </w:rPr>
        <w:t>are calitatea de fondator</w:t>
      </w:r>
      <w:r w:rsidR="00F74AF4" w:rsidRPr="00F34E9D">
        <w:rPr>
          <w:rFonts w:asciiTheme="majorHAnsi" w:hAnsiTheme="majorHAnsi" w:cstheme="majorHAnsi"/>
          <w:color w:val="0D0D0D" w:themeColor="text1" w:themeTint="F2"/>
          <w:sz w:val="24"/>
          <w:szCs w:val="24"/>
          <w:lang w:val="ro-RO"/>
        </w:rPr>
        <w:t>,</w:t>
      </w:r>
      <w:r w:rsidR="00797B5B" w:rsidRPr="00F34E9D">
        <w:rPr>
          <w:rFonts w:asciiTheme="majorHAnsi" w:hAnsiTheme="majorHAnsi" w:cstheme="majorHAnsi"/>
          <w:color w:val="0D0D0D" w:themeColor="text1" w:themeTint="F2"/>
          <w:sz w:val="24"/>
          <w:szCs w:val="24"/>
          <w:lang w:val="ro-RO"/>
        </w:rPr>
        <w:t xml:space="preserve"> în vederea </w:t>
      </w:r>
      <w:r w:rsidR="00A16E1D" w:rsidRPr="00F34E9D">
        <w:rPr>
          <w:rFonts w:asciiTheme="majorHAnsi" w:hAnsiTheme="majorHAnsi" w:cstheme="majorHAnsi"/>
          <w:color w:val="0D0D0D" w:themeColor="text1" w:themeTint="F2"/>
          <w:sz w:val="24"/>
          <w:szCs w:val="24"/>
          <w:lang w:val="ro-RO"/>
        </w:rPr>
        <w:t>raportării de către  instituții a finanțării</w:t>
      </w:r>
      <w:r w:rsidR="00797B5B" w:rsidRPr="00F34E9D">
        <w:rPr>
          <w:rFonts w:asciiTheme="majorHAnsi" w:hAnsiTheme="majorHAnsi" w:cstheme="majorHAnsi"/>
          <w:color w:val="0D0D0D" w:themeColor="text1" w:themeTint="F2"/>
          <w:sz w:val="24"/>
          <w:szCs w:val="24"/>
          <w:lang w:val="ro-RO"/>
        </w:rPr>
        <w:t xml:space="preserve"> instituț</w:t>
      </w:r>
      <w:r w:rsidR="00A16E1D" w:rsidRPr="00F34E9D">
        <w:rPr>
          <w:rFonts w:asciiTheme="majorHAnsi" w:hAnsiTheme="majorHAnsi" w:cstheme="majorHAnsi"/>
          <w:color w:val="0D0D0D" w:themeColor="text1" w:themeTint="F2"/>
          <w:sz w:val="24"/>
          <w:szCs w:val="24"/>
          <w:lang w:val="ro-RO"/>
        </w:rPr>
        <w:t>ionale: servicii de cercetări științifice contractate, comanda de stat.</w:t>
      </w:r>
      <w:r w:rsidR="00797B5B" w:rsidRPr="00F34E9D">
        <w:rPr>
          <w:rFonts w:asciiTheme="majorHAnsi" w:hAnsiTheme="majorHAnsi" w:cstheme="majorHAnsi"/>
          <w:color w:val="0D0D0D" w:themeColor="text1" w:themeTint="F2"/>
          <w:sz w:val="24"/>
          <w:szCs w:val="24"/>
          <w:lang w:val="ro-RO"/>
        </w:rPr>
        <w:t xml:space="preserve"> </w:t>
      </w:r>
    </w:p>
    <w:p w14:paraId="216869B6" w14:textId="41371B2A" w:rsidR="00627CAA" w:rsidRPr="00F34E9D" w:rsidRDefault="00496329" w:rsidP="00F42E6E">
      <w:pPr>
        <w:spacing w:after="0" w:line="276" w:lineRule="auto"/>
        <w:jc w:val="both"/>
        <w:rPr>
          <w:rFonts w:asciiTheme="majorHAnsi" w:hAnsiTheme="majorHAnsi" w:cstheme="majorHAnsi"/>
          <w:color w:val="0D0D0D" w:themeColor="text1" w:themeTint="F2"/>
          <w:sz w:val="24"/>
          <w:szCs w:val="24"/>
          <w:lang w:val="ro-RO"/>
        </w:rPr>
      </w:pPr>
      <w:r w:rsidRPr="00F34E9D">
        <w:rPr>
          <w:rFonts w:asciiTheme="majorHAnsi" w:hAnsiTheme="majorHAnsi" w:cstheme="majorHAnsi"/>
          <w:b/>
          <w:bCs/>
          <w:color w:val="0D0D0D" w:themeColor="text1" w:themeTint="F2"/>
          <w:sz w:val="24"/>
          <w:szCs w:val="24"/>
        </w:rPr>
        <w:t>6.</w:t>
      </w:r>
      <w:r w:rsidR="00ED2D9E" w:rsidRPr="00F34E9D">
        <w:rPr>
          <w:rFonts w:asciiTheme="majorHAnsi" w:hAnsiTheme="majorHAnsi" w:cstheme="majorHAnsi"/>
          <w:b/>
          <w:bCs/>
          <w:color w:val="0D0D0D" w:themeColor="text1" w:themeTint="F2"/>
          <w:sz w:val="24"/>
          <w:szCs w:val="24"/>
        </w:rPr>
        <w:t>5</w:t>
      </w:r>
      <w:r w:rsidR="00DE0FF0" w:rsidRPr="00F34E9D">
        <w:rPr>
          <w:rFonts w:asciiTheme="majorHAnsi" w:hAnsiTheme="majorHAnsi" w:cstheme="majorHAnsi"/>
          <w:b/>
          <w:bCs/>
          <w:color w:val="0D0D0D" w:themeColor="text1" w:themeTint="F2"/>
          <w:sz w:val="24"/>
          <w:szCs w:val="24"/>
        </w:rPr>
        <w:t>.</w:t>
      </w:r>
      <w:r w:rsidRPr="00F34E9D">
        <w:rPr>
          <w:rFonts w:asciiTheme="majorHAnsi" w:hAnsiTheme="majorHAnsi" w:cstheme="majorHAnsi"/>
          <w:b/>
          <w:bCs/>
          <w:color w:val="0D0D0D" w:themeColor="text1" w:themeTint="F2"/>
          <w:sz w:val="24"/>
          <w:szCs w:val="24"/>
        </w:rPr>
        <w:t xml:space="preserve"> </w:t>
      </w:r>
      <w:r w:rsidR="00627CAA" w:rsidRPr="00F34E9D">
        <w:rPr>
          <w:rFonts w:asciiTheme="majorHAnsi" w:hAnsiTheme="majorHAnsi" w:cstheme="majorHAnsi"/>
          <w:b/>
          <w:bCs/>
          <w:color w:val="0D0D0D" w:themeColor="text1" w:themeTint="F2"/>
          <w:sz w:val="24"/>
          <w:szCs w:val="24"/>
        </w:rPr>
        <w:t>Cu privire la comanda de stat pentru pregătirea cadrelor</w:t>
      </w:r>
      <w:r w:rsidR="00627CAA" w:rsidRPr="00F34E9D">
        <w:rPr>
          <w:rFonts w:asciiTheme="majorHAnsi" w:hAnsiTheme="majorHAnsi" w:cstheme="majorHAnsi"/>
          <w:color w:val="0D0D0D" w:themeColor="text1" w:themeTint="F2"/>
          <w:sz w:val="24"/>
          <w:szCs w:val="24"/>
          <w:shd w:val="clear" w:color="auto" w:fill="FFFFFF"/>
        </w:rPr>
        <w:t xml:space="preserve"> </w:t>
      </w:r>
    </w:p>
    <w:p w14:paraId="3DAC24E3" w14:textId="4F7091E8" w:rsidR="003C79E2" w:rsidRPr="00F34E9D" w:rsidRDefault="00142A7F" w:rsidP="00F42E6E">
      <w:pPr>
        <w:spacing w:after="0" w:line="276" w:lineRule="auto"/>
        <w:jc w:val="both"/>
        <w:rPr>
          <w:rFonts w:asciiTheme="majorHAnsi" w:hAnsiTheme="majorHAnsi" w:cstheme="majorHAnsi"/>
          <w:color w:val="0D0D0D" w:themeColor="text1" w:themeTint="F2"/>
          <w:sz w:val="24"/>
          <w:szCs w:val="24"/>
          <w:lang w:val="ro-RO"/>
        </w:rPr>
      </w:pPr>
      <w:r w:rsidRPr="00F34E9D">
        <w:rPr>
          <w:rFonts w:asciiTheme="majorHAnsi" w:hAnsiTheme="majorHAnsi" w:cstheme="majorHAnsi"/>
          <w:color w:val="0D0D0D" w:themeColor="text1" w:themeTint="F2"/>
          <w:sz w:val="24"/>
          <w:szCs w:val="24"/>
          <w:shd w:val="clear" w:color="auto" w:fill="FFFFFF"/>
        </w:rPr>
        <w:t xml:space="preserve">Conform pct.7 alin.(5) </w:t>
      </w:r>
      <w:r w:rsidR="00424987" w:rsidRPr="00F34E9D">
        <w:rPr>
          <w:rFonts w:asciiTheme="majorHAnsi" w:hAnsiTheme="majorHAnsi" w:cstheme="majorHAnsi"/>
          <w:color w:val="0D0D0D" w:themeColor="text1" w:themeTint="F2"/>
          <w:sz w:val="24"/>
          <w:szCs w:val="24"/>
          <w:shd w:val="clear" w:color="auto" w:fill="FFFFFF"/>
        </w:rPr>
        <w:t>din</w:t>
      </w:r>
      <w:r w:rsidRPr="00F34E9D">
        <w:rPr>
          <w:rFonts w:asciiTheme="majorHAnsi" w:hAnsiTheme="majorHAnsi" w:cstheme="majorHAnsi"/>
          <w:color w:val="0D0D0D" w:themeColor="text1" w:themeTint="F2"/>
          <w:sz w:val="24"/>
          <w:szCs w:val="24"/>
          <w:shd w:val="clear" w:color="auto" w:fill="FFFFFF"/>
        </w:rPr>
        <w:t xml:space="preserve"> HG </w:t>
      </w:r>
      <w:r w:rsidR="00C92E10" w:rsidRPr="00F34E9D">
        <w:rPr>
          <w:rFonts w:asciiTheme="majorHAnsi" w:hAnsiTheme="majorHAnsi" w:cstheme="majorHAnsi"/>
          <w:color w:val="0D0D0D" w:themeColor="text1" w:themeTint="F2"/>
          <w:sz w:val="24"/>
          <w:szCs w:val="24"/>
          <w:shd w:val="clear" w:color="auto" w:fill="FFFFFF"/>
        </w:rPr>
        <w:t>nr.</w:t>
      </w:r>
      <w:r w:rsidRPr="00F34E9D">
        <w:rPr>
          <w:rFonts w:asciiTheme="majorHAnsi" w:hAnsiTheme="majorHAnsi" w:cstheme="majorHAnsi"/>
          <w:color w:val="0D0D0D" w:themeColor="text1" w:themeTint="F2"/>
          <w:sz w:val="24"/>
          <w:szCs w:val="24"/>
          <w:shd w:val="clear" w:color="auto" w:fill="FFFFFF"/>
        </w:rPr>
        <w:t>146</w:t>
      </w:r>
      <w:r w:rsidR="00EE1719" w:rsidRPr="00F34E9D">
        <w:rPr>
          <w:rFonts w:asciiTheme="majorHAnsi" w:hAnsiTheme="majorHAnsi" w:cstheme="majorHAnsi"/>
          <w:color w:val="0D0D0D" w:themeColor="text1" w:themeTint="F2"/>
          <w:sz w:val="24"/>
          <w:szCs w:val="24"/>
          <w:shd w:val="clear" w:color="auto" w:fill="FFFFFF"/>
        </w:rPr>
        <w:t xml:space="preserve"> din 25.08.</w:t>
      </w:r>
      <w:r w:rsidRPr="00F34E9D">
        <w:rPr>
          <w:rFonts w:asciiTheme="majorHAnsi" w:hAnsiTheme="majorHAnsi" w:cstheme="majorHAnsi"/>
          <w:color w:val="0D0D0D" w:themeColor="text1" w:themeTint="F2"/>
          <w:sz w:val="24"/>
          <w:szCs w:val="24"/>
          <w:shd w:val="clear" w:color="auto" w:fill="FFFFFF"/>
        </w:rPr>
        <w:t>2021</w:t>
      </w:r>
      <w:r w:rsidR="00424987" w:rsidRPr="00F34E9D">
        <w:rPr>
          <w:rFonts w:asciiTheme="majorHAnsi" w:hAnsiTheme="majorHAnsi" w:cstheme="majorHAnsi"/>
          <w:color w:val="0D0D0D" w:themeColor="text1" w:themeTint="F2"/>
          <w:sz w:val="24"/>
          <w:szCs w:val="24"/>
          <w:shd w:val="clear" w:color="auto" w:fill="FFFFFF"/>
        </w:rPr>
        <w:t>,</w:t>
      </w:r>
      <w:r w:rsidRPr="00F34E9D">
        <w:rPr>
          <w:rFonts w:asciiTheme="majorHAnsi" w:hAnsiTheme="majorHAnsi" w:cstheme="majorHAnsi"/>
          <w:color w:val="0D0D0D" w:themeColor="text1" w:themeTint="F2"/>
          <w:sz w:val="24"/>
          <w:szCs w:val="24"/>
          <w:shd w:val="clear" w:color="auto" w:fill="FFFFFF"/>
        </w:rPr>
        <w:t xml:space="preserve"> ministerul are obligația să monitorizeze calitatea politicilor publice și a actelor normative în domeniile de activitate specifice </w:t>
      </w:r>
      <w:r w:rsidR="00881590" w:rsidRPr="00F34E9D">
        <w:rPr>
          <w:rFonts w:asciiTheme="majorHAnsi" w:hAnsiTheme="majorHAnsi" w:cstheme="majorHAnsi"/>
          <w:color w:val="0D0D0D" w:themeColor="text1" w:themeTint="F2"/>
          <w:sz w:val="24"/>
          <w:szCs w:val="24"/>
          <w:shd w:val="clear" w:color="auto" w:fill="FFFFFF"/>
        </w:rPr>
        <w:t>acestuia</w:t>
      </w:r>
      <w:r w:rsidR="00133E73" w:rsidRPr="00F34E9D">
        <w:rPr>
          <w:rFonts w:asciiTheme="majorHAnsi" w:hAnsiTheme="majorHAnsi" w:cstheme="majorHAnsi"/>
          <w:color w:val="0D0D0D" w:themeColor="text1" w:themeTint="F2"/>
          <w:sz w:val="24"/>
          <w:szCs w:val="24"/>
          <w:shd w:val="clear" w:color="auto" w:fill="FFFFFF"/>
        </w:rPr>
        <w:t xml:space="preserve">. </w:t>
      </w:r>
      <w:r w:rsidRPr="00F34E9D">
        <w:rPr>
          <w:rFonts w:asciiTheme="majorHAnsi" w:hAnsiTheme="majorHAnsi" w:cstheme="majorHAnsi"/>
          <w:color w:val="0D0D0D" w:themeColor="text1" w:themeTint="F2"/>
          <w:sz w:val="24"/>
          <w:szCs w:val="24"/>
          <w:lang w:val="ro-RO"/>
        </w:rPr>
        <w:t xml:space="preserve">Pentru </w:t>
      </w:r>
      <w:r w:rsidR="00133E73" w:rsidRPr="00F34E9D">
        <w:rPr>
          <w:rFonts w:asciiTheme="majorHAnsi" w:hAnsiTheme="majorHAnsi" w:cstheme="majorHAnsi"/>
          <w:color w:val="0D0D0D" w:themeColor="text1" w:themeTint="F2"/>
          <w:sz w:val="24"/>
          <w:szCs w:val="24"/>
          <w:lang w:val="ro-RO"/>
        </w:rPr>
        <w:t xml:space="preserve">o bună guvernare a </w:t>
      </w:r>
      <w:r w:rsidRPr="00F34E9D">
        <w:rPr>
          <w:rFonts w:asciiTheme="majorHAnsi" w:hAnsiTheme="majorHAnsi" w:cstheme="majorHAnsi"/>
          <w:color w:val="0D0D0D" w:themeColor="text1" w:themeTint="F2"/>
          <w:sz w:val="24"/>
          <w:szCs w:val="24"/>
          <w:lang w:val="ro-RO"/>
        </w:rPr>
        <w:t>finanțării instituțional</w:t>
      </w:r>
      <w:r w:rsidR="00133E73" w:rsidRPr="00F34E9D">
        <w:rPr>
          <w:rFonts w:asciiTheme="majorHAnsi" w:hAnsiTheme="majorHAnsi" w:cstheme="majorHAnsi"/>
          <w:color w:val="0D0D0D" w:themeColor="text1" w:themeTint="F2"/>
          <w:sz w:val="24"/>
          <w:szCs w:val="24"/>
          <w:lang w:val="ro-RO"/>
        </w:rPr>
        <w:t>e destinate</w:t>
      </w:r>
      <w:r w:rsidRPr="00F34E9D">
        <w:rPr>
          <w:rFonts w:asciiTheme="majorHAnsi" w:hAnsiTheme="majorHAnsi" w:cstheme="majorHAnsi"/>
          <w:color w:val="0D0D0D" w:themeColor="text1" w:themeTint="F2"/>
          <w:sz w:val="24"/>
          <w:szCs w:val="24"/>
          <w:lang w:val="ro-RO"/>
        </w:rPr>
        <w:t xml:space="preserve"> instituțiilor de învățământ</w:t>
      </w:r>
      <w:r w:rsidR="00133E73" w:rsidRPr="00F34E9D">
        <w:rPr>
          <w:rFonts w:asciiTheme="majorHAnsi" w:hAnsiTheme="majorHAnsi" w:cstheme="majorHAnsi"/>
          <w:color w:val="0D0D0D" w:themeColor="text1" w:themeTint="F2"/>
          <w:sz w:val="24"/>
          <w:szCs w:val="24"/>
          <w:lang w:val="ro-RO"/>
        </w:rPr>
        <w:t xml:space="preserve"> </w:t>
      </w:r>
      <w:r w:rsidR="00440439" w:rsidRPr="00F34E9D">
        <w:rPr>
          <w:rFonts w:asciiTheme="majorHAnsi" w:hAnsiTheme="majorHAnsi" w:cstheme="majorHAnsi"/>
          <w:color w:val="0D0D0D" w:themeColor="text1" w:themeTint="F2"/>
          <w:sz w:val="24"/>
          <w:szCs w:val="24"/>
          <w:lang w:val="ro-RO"/>
        </w:rPr>
        <w:t>tehnic (</w:t>
      </w:r>
      <w:r w:rsidR="00133E73" w:rsidRPr="00F34E9D">
        <w:rPr>
          <w:rFonts w:asciiTheme="majorHAnsi" w:hAnsiTheme="majorHAnsi" w:cstheme="majorHAnsi"/>
          <w:color w:val="0D0D0D" w:themeColor="text1" w:themeTint="F2"/>
          <w:sz w:val="24"/>
          <w:szCs w:val="24"/>
          <w:lang w:val="ro-RO"/>
        </w:rPr>
        <w:t>secundar, post secundar</w:t>
      </w:r>
      <w:r w:rsidR="00440439" w:rsidRPr="00F34E9D">
        <w:rPr>
          <w:rFonts w:asciiTheme="majorHAnsi" w:hAnsiTheme="majorHAnsi" w:cstheme="majorHAnsi"/>
          <w:color w:val="0D0D0D" w:themeColor="text1" w:themeTint="F2"/>
          <w:sz w:val="24"/>
          <w:szCs w:val="24"/>
          <w:lang w:val="ro-RO"/>
        </w:rPr>
        <w:t>)</w:t>
      </w:r>
      <w:r w:rsidR="00133E73" w:rsidRPr="00F34E9D">
        <w:rPr>
          <w:rFonts w:asciiTheme="majorHAnsi" w:hAnsiTheme="majorHAnsi" w:cstheme="majorHAnsi"/>
          <w:color w:val="0D0D0D" w:themeColor="text1" w:themeTint="F2"/>
          <w:sz w:val="24"/>
          <w:szCs w:val="24"/>
          <w:lang w:val="ro-RO"/>
        </w:rPr>
        <w:t xml:space="preserve"> și superior</w:t>
      </w:r>
      <w:r w:rsidRPr="00F34E9D">
        <w:rPr>
          <w:rFonts w:asciiTheme="majorHAnsi" w:hAnsiTheme="majorHAnsi" w:cstheme="majorHAnsi"/>
          <w:color w:val="0D0D0D" w:themeColor="text1" w:themeTint="F2"/>
          <w:sz w:val="24"/>
          <w:szCs w:val="24"/>
          <w:lang w:val="ro-RO"/>
        </w:rPr>
        <w:t xml:space="preserve"> </w:t>
      </w:r>
      <w:r w:rsidR="00133E73" w:rsidRPr="00F34E9D">
        <w:rPr>
          <w:rFonts w:asciiTheme="majorHAnsi" w:hAnsiTheme="majorHAnsi" w:cstheme="majorHAnsi"/>
          <w:color w:val="0D0D0D" w:themeColor="text1" w:themeTint="F2"/>
          <w:sz w:val="24"/>
          <w:szCs w:val="24"/>
          <w:lang w:val="ro-RO"/>
        </w:rPr>
        <w:t xml:space="preserve">era necesar ca </w:t>
      </w:r>
      <w:r w:rsidRPr="00F34E9D">
        <w:rPr>
          <w:rFonts w:asciiTheme="majorHAnsi" w:hAnsiTheme="majorHAnsi" w:cstheme="majorHAnsi"/>
          <w:color w:val="0D0D0D" w:themeColor="text1" w:themeTint="F2"/>
          <w:sz w:val="24"/>
          <w:szCs w:val="24"/>
          <w:lang w:val="ro-RO"/>
        </w:rPr>
        <w:t>m</w:t>
      </w:r>
      <w:r w:rsidR="00F74AF4" w:rsidRPr="00F34E9D">
        <w:rPr>
          <w:rFonts w:asciiTheme="majorHAnsi" w:hAnsiTheme="majorHAnsi" w:cstheme="majorHAnsi"/>
          <w:color w:val="0D0D0D" w:themeColor="text1" w:themeTint="F2"/>
          <w:sz w:val="24"/>
          <w:szCs w:val="24"/>
          <w:lang w:val="ro-RO"/>
        </w:rPr>
        <w:t xml:space="preserve">inisterul </w:t>
      </w:r>
      <w:r w:rsidR="00133E73" w:rsidRPr="00F34E9D">
        <w:rPr>
          <w:rFonts w:asciiTheme="majorHAnsi" w:hAnsiTheme="majorHAnsi" w:cstheme="majorHAnsi"/>
          <w:color w:val="0D0D0D" w:themeColor="text1" w:themeTint="F2"/>
          <w:sz w:val="24"/>
          <w:szCs w:val="24"/>
          <w:lang w:val="ro-RO"/>
        </w:rPr>
        <w:t>să ajusteze/modifice</w:t>
      </w:r>
      <w:r w:rsidR="00F74AF4" w:rsidRPr="00F34E9D">
        <w:rPr>
          <w:rFonts w:asciiTheme="majorHAnsi" w:hAnsiTheme="majorHAnsi" w:cstheme="majorHAnsi"/>
          <w:color w:val="0D0D0D" w:themeColor="text1" w:themeTint="F2"/>
          <w:sz w:val="24"/>
          <w:szCs w:val="24"/>
          <w:lang w:val="ro-RO"/>
        </w:rPr>
        <w:t xml:space="preserve"> </w:t>
      </w:r>
      <w:r w:rsidRPr="00F34E9D">
        <w:rPr>
          <w:rFonts w:asciiTheme="majorHAnsi" w:hAnsiTheme="majorHAnsi" w:cstheme="majorHAnsi"/>
          <w:color w:val="0D0D0D" w:themeColor="text1" w:themeTint="F2"/>
          <w:sz w:val="24"/>
          <w:szCs w:val="24"/>
          <w:lang w:val="ro-RO"/>
        </w:rPr>
        <w:t>actele normative care nu mai sunt actuale,</w:t>
      </w:r>
      <w:r w:rsidR="00133E73" w:rsidRPr="00F34E9D">
        <w:rPr>
          <w:rFonts w:asciiTheme="majorHAnsi" w:hAnsiTheme="majorHAnsi" w:cstheme="majorHAnsi"/>
          <w:color w:val="0D0D0D" w:themeColor="text1" w:themeTint="F2"/>
          <w:sz w:val="24"/>
          <w:szCs w:val="24"/>
          <w:lang w:val="ro-RO"/>
        </w:rPr>
        <w:t xml:space="preserve"> să respecte Regulamentele și alte acte care reglementează finanțarea instituțională a instituțiilor de învățământ.  Prin urmare,</w:t>
      </w:r>
    </w:p>
    <w:p w14:paraId="100FF408" w14:textId="3474E1A1" w:rsidR="00133E73" w:rsidRPr="00F34E9D" w:rsidRDefault="00133E73" w:rsidP="008429AE">
      <w:pPr>
        <w:pStyle w:val="a3"/>
        <w:numPr>
          <w:ilvl w:val="0"/>
          <w:numId w:val="5"/>
        </w:numPr>
        <w:tabs>
          <w:tab w:val="left" w:pos="284"/>
          <w:tab w:val="left" w:pos="851"/>
        </w:tabs>
        <w:spacing w:after="0" w:line="276" w:lineRule="auto"/>
        <w:ind w:left="0" w:firstLine="0"/>
        <w:jc w:val="both"/>
        <w:rPr>
          <w:rFonts w:asciiTheme="majorHAnsi" w:eastAsia="Times New Roman" w:hAnsiTheme="majorHAnsi" w:cstheme="majorHAnsi"/>
          <w:color w:val="0D0D0D" w:themeColor="text1" w:themeTint="F2"/>
          <w:sz w:val="24"/>
          <w:szCs w:val="24"/>
        </w:rPr>
      </w:pPr>
      <w:r w:rsidRPr="00F34E9D">
        <w:rPr>
          <w:rFonts w:asciiTheme="majorHAnsi" w:hAnsiTheme="majorHAnsi" w:cstheme="majorHAnsi"/>
          <w:color w:val="0D0D0D" w:themeColor="text1" w:themeTint="F2"/>
          <w:sz w:val="24"/>
          <w:szCs w:val="24"/>
          <w:lang w:val="ro-RO"/>
        </w:rPr>
        <w:t xml:space="preserve">Ministerul nu a respectat formula de finanțare stabilită prin </w:t>
      </w:r>
      <w:r w:rsidRPr="00F34E9D">
        <w:rPr>
          <w:rFonts w:asciiTheme="majorHAnsi" w:eastAsia="Times New Roman" w:hAnsiTheme="majorHAnsi" w:cstheme="majorHAnsi"/>
          <w:color w:val="0D0D0D" w:themeColor="text1" w:themeTint="F2"/>
          <w:sz w:val="24"/>
          <w:szCs w:val="24"/>
        </w:rPr>
        <w:t>HG nr.1077 din 23.09.2016 și a</w:t>
      </w:r>
      <w:r w:rsidRPr="00F34E9D">
        <w:rPr>
          <w:rFonts w:asciiTheme="majorHAnsi" w:hAnsiTheme="majorHAnsi" w:cstheme="majorHAnsi"/>
          <w:color w:val="0D0D0D" w:themeColor="text1" w:themeTint="F2"/>
          <w:sz w:val="24"/>
          <w:szCs w:val="24"/>
          <w:lang w:val="ro-RO"/>
        </w:rPr>
        <w:t xml:space="preserve"> stabilit ca obiect al contractelor </w:t>
      </w:r>
      <w:r w:rsidRPr="00F34E9D">
        <w:rPr>
          <w:rFonts w:asciiTheme="majorHAnsi" w:eastAsia="Times New Roman" w:hAnsiTheme="majorHAnsi" w:cstheme="majorHAnsi"/>
          <w:color w:val="0D0D0D" w:themeColor="text1" w:themeTint="F2"/>
          <w:sz w:val="24"/>
          <w:szCs w:val="24"/>
          <w:lang w:val="ro-RO" w:eastAsia="ru-RU"/>
        </w:rPr>
        <w:t xml:space="preserve">încheiate cu </w:t>
      </w:r>
      <w:r w:rsidRPr="00F34E9D">
        <w:rPr>
          <w:rFonts w:asciiTheme="majorHAnsi" w:hAnsiTheme="majorHAnsi" w:cstheme="majorHAnsi"/>
          <w:color w:val="0D0D0D" w:themeColor="text1" w:themeTint="F2"/>
          <w:sz w:val="24"/>
          <w:szCs w:val="24"/>
          <w:lang w:val="ro-RO"/>
        </w:rPr>
        <w:t xml:space="preserve">instituțiile de învățământ profesional tehnic </w:t>
      </w:r>
      <w:r w:rsidRPr="00F34E9D">
        <w:rPr>
          <w:rFonts w:asciiTheme="majorHAnsi" w:hAnsiTheme="majorHAnsi" w:cstheme="majorHAnsi"/>
          <w:color w:val="0D0D0D" w:themeColor="text1" w:themeTint="F2"/>
          <w:sz w:val="24"/>
          <w:szCs w:val="24"/>
        </w:rPr>
        <w:t>secundar</w:t>
      </w:r>
      <w:r w:rsidRPr="00F34E9D">
        <w:rPr>
          <w:rFonts w:asciiTheme="majorHAnsi" w:hAnsiTheme="majorHAnsi" w:cstheme="majorHAnsi"/>
          <w:color w:val="0D0D0D" w:themeColor="text1" w:themeTint="F2"/>
          <w:sz w:val="24"/>
          <w:szCs w:val="24"/>
          <w:lang w:val="ro-RO"/>
        </w:rPr>
        <w:t xml:space="preserve"> și post secundar mijloacele financiare aprobate în conformitate cu prevederile Anexei </w:t>
      </w:r>
      <w:r w:rsidR="00345251" w:rsidRPr="00F34E9D">
        <w:rPr>
          <w:rFonts w:asciiTheme="majorHAnsi" w:hAnsiTheme="majorHAnsi" w:cstheme="majorHAnsi"/>
          <w:color w:val="0D0D0D" w:themeColor="text1" w:themeTint="F2"/>
          <w:sz w:val="24"/>
          <w:szCs w:val="24"/>
          <w:lang w:val="ro-RO"/>
        </w:rPr>
        <w:t>nr.</w:t>
      </w:r>
      <w:r w:rsidRPr="00F34E9D">
        <w:rPr>
          <w:rFonts w:asciiTheme="majorHAnsi" w:hAnsiTheme="majorHAnsi" w:cstheme="majorHAnsi"/>
          <w:color w:val="0D0D0D" w:themeColor="text1" w:themeTint="F2"/>
          <w:sz w:val="24"/>
          <w:szCs w:val="24"/>
          <w:lang w:val="ro-RO"/>
        </w:rPr>
        <w:t>3 la Legea bug</w:t>
      </w:r>
      <w:r w:rsidR="00A92C22" w:rsidRPr="00F34E9D">
        <w:rPr>
          <w:rFonts w:asciiTheme="majorHAnsi" w:hAnsiTheme="majorHAnsi" w:cstheme="majorHAnsi"/>
          <w:color w:val="0D0D0D" w:themeColor="text1" w:themeTint="F2"/>
          <w:sz w:val="24"/>
          <w:szCs w:val="24"/>
          <w:lang w:val="ro-RO"/>
        </w:rPr>
        <w:t>etului de stat pentru anul 2021, însă trebuia</w:t>
      </w:r>
      <w:r w:rsidRPr="00F34E9D">
        <w:rPr>
          <w:rFonts w:asciiTheme="majorHAnsi" w:eastAsia="Times New Roman" w:hAnsiTheme="majorHAnsi" w:cstheme="majorHAnsi"/>
          <w:color w:val="0D0D0D" w:themeColor="text1" w:themeTint="F2"/>
          <w:sz w:val="24"/>
          <w:szCs w:val="24"/>
        </w:rPr>
        <w:t xml:space="preserve"> să definească</w:t>
      </w:r>
      <w:r w:rsidR="00A92C22" w:rsidRPr="00F34E9D">
        <w:rPr>
          <w:rFonts w:asciiTheme="majorHAnsi" w:eastAsia="Times New Roman" w:hAnsiTheme="majorHAnsi" w:cstheme="majorHAnsi"/>
          <w:color w:val="0D0D0D" w:themeColor="text1" w:themeTint="F2"/>
          <w:sz w:val="24"/>
          <w:szCs w:val="24"/>
        </w:rPr>
        <w:t xml:space="preserve"> ca </w:t>
      </w:r>
      <w:r w:rsidR="00A92C22" w:rsidRPr="00F34E9D">
        <w:rPr>
          <w:rFonts w:asciiTheme="majorHAnsi" w:hAnsiTheme="majorHAnsi" w:cstheme="majorHAnsi"/>
          <w:color w:val="0D0D0D" w:themeColor="text1" w:themeTint="F2"/>
          <w:sz w:val="24"/>
          <w:szCs w:val="24"/>
          <w:lang w:val="ro-RO"/>
        </w:rPr>
        <w:t>obiect al</w:t>
      </w:r>
      <w:r w:rsidRPr="00F34E9D">
        <w:rPr>
          <w:rFonts w:asciiTheme="majorHAnsi" w:hAnsiTheme="majorHAnsi" w:cstheme="majorHAnsi"/>
          <w:color w:val="0D0D0D" w:themeColor="text1" w:themeTint="F2"/>
          <w:sz w:val="24"/>
          <w:szCs w:val="24"/>
          <w:lang w:val="ro-RO"/>
        </w:rPr>
        <w:t xml:space="preserve"> contractului</w:t>
      </w:r>
      <w:r w:rsidRPr="00F34E9D">
        <w:rPr>
          <w:rFonts w:asciiTheme="majorHAnsi" w:eastAsia="Times New Roman" w:hAnsiTheme="majorHAnsi" w:cstheme="majorHAnsi"/>
          <w:color w:val="0D0D0D" w:themeColor="text1" w:themeTint="F2"/>
          <w:sz w:val="24"/>
          <w:szCs w:val="24"/>
        </w:rPr>
        <w:t xml:space="preserve"> </w:t>
      </w:r>
      <w:r w:rsidR="008429AE" w:rsidRPr="00F34E9D">
        <w:rPr>
          <w:rFonts w:asciiTheme="majorHAnsi" w:eastAsia="Times New Roman" w:hAnsiTheme="majorHAnsi" w:cstheme="majorHAnsi"/>
          <w:color w:val="0D0D0D" w:themeColor="text1" w:themeTint="F2"/>
          <w:sz w:val="24"/>
          <w:szCs w:val="24"/>
        </w:rPr>
        <w:t xml:space="preserve">numărul elevilor instruiți și </w:t>
      </w:r>
      <w:r w:rsidRPr="00F34E9D">
        <w:rPr>
          <w:rFonts w:asciiTheme="majorHAnsi" w:eastAsia="Times New Roman" w:hAnsiTheme="majorHAnsi" w:cstheme="majorHAnsi"/>
          <w:color w:val="0D0D0D" w:themeColor="text1" w:themeTint="F2"/>
          <w:sz w:val="24"/>
          <w:szCs w:val="24"/>
        </w:rPr>
        <w:t>costul de instruire per elev calculat în conformitate cu metodologia aprobată, iar cheltuielile descrise în pct.5 alin.(2) a</w:t>
      </w:r>
      <w:r w:rsidR="00424987" w:rsidRPr="00F34E9D">
        <w:rPr>
          <w:rFonts w:asciiTheme="majorHAnsi" w:eastAsia="Times New Roman" w:hAnsiTheme="majorHAnsi" w:cstheme="majorHAnsi"/>
          <w:color w:val="0D0D0D" w:themeColor="text1" w:themeTint="F2"/>
          <w:sz w:val="24"/>
          <w:szCs w:val="24"/>
        </w:rPr>
        <w:t>l</w:t>
      </w:r>
      <w:r w:rsidRPr="00F34E9D">
        <w:rPr>
          <w:rFonts w:asciiTheme="majorHAnsi" w:eastAsia="Times New Roman" w:hAnsiTheme="majorHAnsi" w:cstheme="majorHAnsi"/>
          <w:color w:val="0D0D0D" w:themeColor="text1" w:themeTint="F2"/>
          <w:sz w:val="24"/>
          <w:szCs w:val="24"/>
        </w:rPr>
        <w:t xml:space="preserve"> </w:t>
      </w:r>
      <w:r w:rsidR="00345251" w:rsidRPr="00F34E9D">
        <w:rPr>
          <w:rFonts w:asciiTheme="majorHAnsi" w:eastAsia="Times New Roman" w:hAnsiTheme="majorHAnsi" w:cstheme="majorHAnsi"/>
          <w:color w:val="0D0D0D" w:themeColor="text1" w:themeTint="F2"/>
          <w:sz w:val="24"/>
          <w:szCs w:val="24"/>
        </w:rPr>
        <w:t>Regulamentului</w:t>
      </w:r>
      <w:r w:rsidR="000E484B" w:rsidRPr="00F34E9D">
        <w:rPr>
          <w:rStyle w:val="a7"/>
          <w:rFonts w:asciiTheme="majorHAnsi" w:eastAsia="Times New Roman" w:hAnsiTheme="majorHAnsi" w:cstheme="majorHAnsi"/>
          <w:color w:val="0D0D0D" w:themeColor="text1" w:themeTint="F2"/>
          <w:sz w:val="24"/>
          <w:szCs w:val="24"/>
        </w:rPr>
        <w:footnoteReference w:id="41"/>
      </w:r>
      <w:r w:rsidRPr="00F34E9D">
        <w:rPr>
          <w:rFonts w:asciiTheme="majorHAnsi" w:eastAsia="Times New Roman" w:hAnsiTheme="majorHAnsi" w:cstheme="majorHAnsi"/>
          <w:color w:val="0D0D0D" w:themeColor="text1" w:themeTint="F2"/>
          <w:sz w:val="24"/>
          <w:szCs w:val="24"/>
        </w:rPr>
        <w:t xml:space="preserve"> era necesar să fie descrise separat, întrucât sunt cheltuielile asupra cărora metodologia aprobată nu se extinde. </w:t>
      </w:r>
      <w:r w:rsidRPr="00F34E9D">
        <w:rPr>
          <w:rFonts w:asciiTheme="majorHAnsi" w:hAnsiTheme="majorHAnsi" w:cstheme="majorHAnsi"/>
          <w:color w:val="0D0D0D" w:themeColor="text1" w:themeTint="F2"/>
          <w:sz w:val="24"/>
          <w:szCs w:val="24"/>
        </w:rPr>
        <w:t>De remarcat că,</w:t>
      </w:r>
      <w:r w:rsidRPr="00F34E9D">
        <w:rPr>
          <w:rFonts w:asciiTheme="majorHAnsi" w:eastAsia="Times New Roman" w:hAnsiTheme="majorHAnsi" w:cstheme="majorHAnsi"/>
          <w:color w:val="0D0D0D" w:themeColor="text1" w:themeTint="F2"/>
          <w:sz w:val="24"/>
          <w:szCs w:val="24"/>
        </w:rPr>
        <w:t xml:space="preserve"> contractele încheiate cu instituțiile prestatoare de servicii educaționale au anexate informațiile privind efectivul de elevi la 01.12.2020, dar informațiile prezentate nu întrunesc aspecte privind numărul elevilor planificați pe </w:t>
      </w:r>
      <w:r w:rsidR="0019483A" w:rsidRPr="00F34E9D">
        <w:rPr>
          <w:rFonts w:asciiTheme="majorHAnsi" w:eastAsia="Times New Roman" w:hAnsiTheme="majorHAnsi" w:cstheme="majorHAnsi"/>
          <w:color w:val="0D0D0D" w:themeColor="text1" w:themeTint="F2"/>
          <w:sz w:val="24"/>
          <w:szCs w:val="24"/>
        </w:rPr>
        <w:t>domenii de formare profesională</w:t>
      </w:r>
      <w:r w:rsidRPr="00F34E9D">
        <w:rPr>
          <w:rFonts w:asciiTheme="majorHAnsi" w:eastAsia="Times New Roman" w:hAnsiTheme="majorHAnsi" w:cstheme="majorHAnsi"/>
          <w:color w:val="0D0D0D" w:themeColor="text1" w:themeTint="F2"/>
          <w:sz w:val="24"/>
          <w:szCs w:val="24"/>
        </w:rPr>
        <w:t xml:space="preserve">, costul </w:t>
      </w:r>
      <w:r w:rsidR="0019483A" w:rsidRPr="00F34E9D">
        <w:rPr>
          <w:rFonts w:asciiTheme="majorHAnsi" w:eastAsia="Times New Roman" w:hAnsiTheme="majorHAnsi" w:cstheme="majorHAnsi"/>
          <w:color w:val="0D0D0D" w:themeColor="text1" w:themeTint="F2"/>
          <w:sz w:val="24"/>
          <w:szCs w:val="24"/>
        </w:rPr>
        <w:t>de instruire per elev</w:t>
      </w:r>
      <w:r w:rsidRPr="00F34E9D">
        <w:rPr>
          <w:rFonts w:asciiTheme="majorHAnsi" w:eastAsia="Times New Roman" w:hAnsiTheme="majorHAnsi" w:cstheme="majorHAnsi"/>
          <w:color w:val="0D0D0D" w:themeColor="text1" w:themeTint="F2"/>
          <w:sz w:val="24"/>
          <w:szCs w:val="24"/>
        </w:rPr>
        <w:t xml:space="preserve"> și separat </w:t>
      </w:r>
      <w:r w:rsidR="009646AD" w:rsidRPr="00F34E9D">
        <w:rPr>
          <w:rFonts w:asciiTheme="majorHAnsi" w:eastAsia="Times New Roman" w:hAnsiTheme="majorHAnsi" w:cstheme="majorHAnsi"/>
          <w:color w:val="0D0D0D" w:themeColor="text1" w:themeTint="F2"/>
          <w:sz w:val="24"/>
          <w:szCs w:val="24"/>
        </w:rPr>
        <w:t>numărul elevilor cazați în cămine</w:t>
      </w:r>
      <w:r w:rsidR="00424987" w:rsidRPr="00F34E9D">
        <w:rPr>
          <w:rFonts w:asciiTheme="majorHAnsi" w:eastAsia="Times New Roman" w:hAnsiTheme="majorHAnsi" w:cstheme="majorHAnsi"/>
          <w:color w:val="0D0D0D" w:themeColor="text1" w:themeTint="F2"/>
          <w:sz w:val="24"/>
          <w:szCs w:val="24"/>
        </w:rPr>
        <w:t>;</w:t>
      </w:r>
    </w:p>
    <w:p w14:paraId="4F118908" w14:textId="08252A23" w:rsidR="00133E73" w:rsidRPr="00F34E9D" w:rsidRDefault="00133E73" w:rsidP="008429AE">
      <w:pPr>
        <w:pStyle w:val="a3"/>
        <w:numPr>
          <w:ilvl w:val="0"/>
          <w:numId w:val="5"/>
        </w:numPr>
        <w:tabs>
          <w:tab w:val="left" w:pos="284"/>
          <w:tab w:val="left" w:pos="851"/>
        </w:tabs>
        <w:spacing w:after="0" w:line="276" w:lineRule="auto"/>
        <w:ind w:left="0" w:firstLine="0"/>
        <w:jc w:val="both"/>
        <w:rPr>
          <w:rFonts w:asciiTheme="majorHAnsi" w:eastAsia="Times New Roman" w:hAnsiTheme="majorHAnsi" w:cstheme="majorHAnsi"/>
          <w:b/>
          <w:color w:val="0D0D0D" w:themeColor="text1" w:themeTint="F2"/>
          <w:sz w:val="24"/>
          <w:szCs w:val="24"/>
          <w:lang w:val="ro-RO"/>
        </w:rPr>
      </w:pPr>
      <w:r w:rsidRPr="00F34E9D">
        <w:rPr>
          <w:rFonts w:asciiTheme="majorHAnsi" w:hAnsiTheme="majorHAnsi" w:cstheme="majorHAnsi"/>
          <w:color w:val="0D0D0D" w:themeColor="text1" w:themeTint="F2"/>
          <w:sz w:val="24"/>
          <w:szCs w:val="24"/>
          <w:shd w:val="clear" w:color="auto" w:fill="FFFFFF"/>
        </w:rPr>
        <w:t>MECC nu a respectat pct. 10 a</w:t>
      </w:r>
      <w:r w:rsidR="00424987" w:rsidRPr="00F34E9D">
        <w:rPr>
          <w:rFonts w:asciiTheme="majorHAnsi" w:hAnsiTheme="majorHAnsi" w:cstheme="majorHAnsi"/>
          <w:color w:val="0D0D0D" w:themeColor="text1" w:themeTint="F2"/>
          <w:sz w:val="24"/>
          <w:szCs w:val="24"/>
          <w:shd w:val="clear" w:color="auto" w:fill="FFFFFF"/>
        </w:rPr>
        <w:t>l</w:t>
      </w:r>
      <w:r w:rsidRPr="00F34E9D">
        <w:rPr>
          <w:rFonts w:asciiTheme="majorHAnsi" w:hAnsiTheme="majorHAnsi" w:cstheme="majorHAnsi"/>
          <w:color w:val="0D0D0D" w:themeColor="text1" w:themeTint="F2"/>
          <w:sz w:val="24"/>
          <w:szCs w:val="24"/>
          <w:shd w:val="clear" w:color="auto" w:fill="FFFFFF"/>
        </w:rPr>
        <w:t xml:space="preserve"> Regulamentului</w:t>
      </w:r>
      <w:r w:rsidRPr="00F34E9D">
        <w:rPr>
          <w:rFonts w:asciiTheme="majorHAnsi" w:eastAsia="Times New Roman" w:hAnsiTheme="majorHAnsi" w:cstheme="majorHAnsi"/>
          <w:color w:val="0D0D0D" w:themeColor="text1" w:themeTint="F2"/>
          <w:sz w:val="24"/>
          <w:szCs w:val="24"/>
        </w:rPr>
        <w:t xml:space="preserve"> privind finanțarea în bază de cost per elev, prin care avea obligația să</w:t>
      </w:r>
      <w:r w:rsidRPr="00F34E9D">
        <w:rPr>
          <w:rFonts w:asciiTheme="majorHAnsi" w:hAnsiTheme="majorHAnsi" w:cstheme="majorHAnsi"/>
          <w:color w:val="0D0D0D" w:themeColor="text1" w:themeTint="F2"/>
          <w:sz w:val="24"/>
          <w:szCs w:val="24"/>
          <w:shd w:val="clear" w:color="auto" w:fill="FFFFFF"/>
        </w:rPr>
        <w:t xml:space="preserve"> calculeze și </w:t>
      </w:r>
      <w:r w:rsidR="000E484B" w:rsidRPr="00F34E9D">
        <w:rPr>
          <w:rFonts w:asciiTheme="majorHAnsi" w:hAnsiTheme="majorHAnsi" w:cstheme="majorHAnsi"/>
          <w:color w:val="0D0D0D" w:themeColor="text1" w:themeTint="F2"/>
          <w:sz w:val="24"/>
          <w:szCs w:val="24"/>
          <w:shd w:val="clear" w:color="auto" w:fill="FFFFFF"/>
        </w:rPr>
        <w:t>să</w:t>
      </w:r>
      <w:r w:rsidRPr="00F34E9D">
        <w:rPr>
          <w:rFonts w:asciiTheme="majorHAnsi" w:hAnsiTheme="majorHAnsi" w:cstheme="majorHAnsi"/>
          <w:color w:val="0D0D0D" w:themeColor="text1" w:themeTint="F2"/>
          <w:sz w:val="24"/>
          <w:szCs w:val="24"/>
          <w:shd w:val="clear" w:color="auto" w:fill="FFFFFF"/>
        </w:rPr>
        <w:t xml:space="preserve"> aprobe costul mediu de instruire</w:t>
      </w:r>
      <w:r w:rsidR="00872DE4" w:rsidRPr="00F34E9D">
        <w:rPr>
          <w:rFonts w:asciiTheme="majorHAnsi" w:hAnsiTheme="majorHAnsi" w:cstheme="majorHAnsi"/>
          <w:color w:val="0D0D0D" w:themeColor="text1" w:themeTint="F2"/>
          <w:sz w:val="24"/>
          <w:szCs w:val="24"/>
          <w:shd w:val="clear" w:color="auto" w:fill="FFFFFF"/>
        </w:rPr>
        <w:t>,</w:t>
      </w:r>
      <w:r w:rsidRPr="00F34E9D">
        <w:rPr>
          <w:rFonts w:asciiTheme="majorHAnsi" w:hAnsiTheme="majorHAnsi" w:cstheme="majorHAnsi"/>
          <w:color w:val="0D0D0D" w:themeColor="text1" w:themeTint="F2"/>
          <w:sz w:val="24"/>
          <w:szCs w:val="24"/>
          <w:shd w:val="clear" w:color="auto" w:fill="FFFFFF"/>
        </w:rPr>
        <w:t xml:space="preserve"> care să corespundă  </w:t>
      </w:r>
      <w:r w:rsidRPr="00F34E9D">
        <w:rPr>
          <w:rFonts w:asciiTheme="majorHAnsi" w:hAnsiTheme="majorHAnsi" w:cstheme="majorHAnsi"/>
          <w:color w:val="0D0D0D" w:themeColor="text1" w:themeTint="F2"/>
          <w:sz w:val="24"/>
          <w:szCs w:val="24"/>
          <w:shd w:val="clear" w:color="auto" w:fill="FFFFFF"/>
          <w:lang w:val="ro-RO"/>
        </w:rPr>
        <w:t>costul</w:t>
      </w:r>
      <w:r w:rsidR="00771D54" w:rsidRPr="00F34E9D">
        <w:rPr>
          <w:rFonts w:asciiTheme="majorHAnsi" w:hAnsiTheme="majorHAnsi" w:cstheme="majorHAnsi"/>
          <w:color w:val="0D0D0D" w:themeColor="text1" w:themeTint="F2"/>
          <w:sz w:val="24"/>
          <w:szCs w:val="24"/>
          <w:shd w:val="clear" w:color="auto" w:fill="FFFFFF"/>
          <w:lang w:val="ro-RO"/>
        </w:rPr>
        <w:t>ui</w:t>
      </w:r>
      <w:r w:rsidRPr="00F34E9D">
        <w:rPr>
          <w:rFonts w:asciiTheme="majorHAnsi" w:hAnsiTheme="majorHAnsi" w:cstheme="majorHAnsi"/>
          <w:color w:val="0D0D0D" w:themeColor="text1" w:themeTint="F2"/>
          <w:sz w:val="24"/>
          <w:szCs w:val="24"/>
          <w:shd w:val="clear" w:color="auto" w:fill="FFFFFF"/>
          <w:lang w:val="ro-RO"/>
        </w:rPr>
        <w:t xml:space="preserve"> mediu anual de instruire a unui elev în cadrul instituțiilor de învățământ profesional tehnic, indiferent de programul de instruire.</w:t>
      </w:r>
      <w:r w:rsidRPr="00F34E9D">
        <w:rPr>
          <w:rFonts w:asciiTheme="majorHAnsi" w:hAnsiTheme="majorHAnsi" w:cstheme="majorHAnsi"/>
          <w:color w:val="0D0D0D" w:themeColor="text1" w:themeTint="F2"/>
          <w:sz w:val="24"/>
          <w:szCs w:val="24"/>
          <w:shd w:val="clear" w:color="auto" w:fill="FFFFFF"/>
        </w:rPr>
        <w:t xml:space="preserve"> </w:t>
      </w:r>
      <w:r w:rsidR="00872DE4" w:rsidRPr="00F34E9D">
        <w:rPr>
          <w:rFonts w:asciiTheme="majorHAnsi" w:eastAsia="Times New Roman" w:hAnsiTheme="majorHAnsi" w:cstheme="majorHAnsi"/>
          <w:color w:val="0D0D0D" w:themeColor="text1" w:themeTint="F2"/>
          <w:sz w:val="24"/>
          <w:szCs w:val="24"/>
        </w:rPr>
        <w:t xml:space="preserve">Anexa nr.2 </w:t>
      </w:r>
      <w:r w:rsidR="00771D54" w:rsidRPr="00F34E9D">
        <w:rPr>
          <w:rFonts w:asciiTheme="majorHAnsi" w:eastAsia="Times New Roman" w:hAnsiTheme="majorHAnsi" w:cstheme="majorHAnsi"/>
          <w:color w:val="0D0D0D" w:themeColor="text1" w:themeTint="F2"/>
          <w:sz w:val="24"/>
          <w:szCs w:val="24"/>
        </w:rPr>
        <w:t>l</w:t>
      </w:r>
      <w:r w:rsidR="00872DE4" w:rsidRPr="00F34E9D">
        <w:rPr>
          <w:rFonts w:asciiTheme="majorHAnsi" w:eastAsia="Times New Roman" w:hAnsiTheme="majorHAnsi" w:cstheme="majorHAnsi"/>
          <w:color w:val="0D0D0D" w:themeColor="text1" w:themeTint="F2"/>
          <w:sz w:val="24"/>
          <w:szCs w:val="24"/>
        </w:rPr>
        <w:t>a Regulamentul privind finanțarea prevede criteriile de calcul a</w:t>
      </w:r>
      <w:r w:rsidR="0043107E" w:rsidRPr="00F34E9D">
        <w:rPr>
          <w:rFonts w:asciiTheme="majorHAnsi" w:eastAsia="Times New Roman" w:hAnsiTheme="majorHAnsi" w:cstheme="majorHAnsi"/>
          <w:color w:val="0D0D0D" w:themeColor="text1" w:themeTint="F2"/>
          <w:sz w:val="24"/>
          <w:szCs w:val="24"/>
        </w:rPr>
        <w:t>l</w:t>
      </w:r>
      <w:r w:rsidR="00872DE4" w:rsidRPr="00F34E9D">
        <w:rPr>
          <w:rFonts w:asciiTheme="majorHAnsi" w:eastAsia="Times New Roman" w:hAnsiTheme="majorHAnsi" w:cstheme="majorHAnsi"/>
          <w:color w:val="0D0D0D" w:themeColor="text1" w:themeTint="F2"/>
          <w:sz w:val="24"/>
          <w:szCs w:val="24"/>
        </w:rPr>
        <w:t xml:space="preserve"> costului programelor de formare profesională tehnică</w:t>
      </w:r>
      <w:r w:rsidR="00872DE4" w:rsidRPr="00F34E9D">
        <w:rPr>
          <w:rFonts w:asciiTheme="majorHAnsi" w:hAnsiTheme="majorHAnsi" w:cstheme="majorHAnsi"/>
          <w:color w:val="0D0D0D" w:themeColor="text1" w:themeTint="F2"/>
          <w:sz w:val="24"/>
          <w:szCs w:val="24"/>
          <w:shd w:val="clear" w:color="auto" w:fill="FFFFFF"/>
        </w:rPr>
        <w:t xml:space="preserve">. Ministerul nu a calculat costul mediu de instruire, criteriu obligatoriu de calculat conform Anexei </w:t>
      </w:r>
      <w:r w:rsidR="00C92E10" w:rsidRPr="00F34E9D">
        <w:rPr>
          <w:rFonts w:asciiTheme="majorHAnsi" w:hAnsiTheme="majorHAnsi" w:cstheme="majorHAnsi"/>
          <w:color w:val="0D0D0D" w:themeColor="text1" w:themeTint="F2"/>
          <w:sz w:val="24"/>
          <w:szCs w:val="24"/>
          <w:shd w:val="clear" w:color="auto" w:fill="FFFFFF"/>
        </w:rPr>
        <w:t>nr.</w:t>
      </w:r>
      <w:r w:rsidR="00872DE4" w:rsidRPr="00F34E9D">
        <w:rPr>
          <w:rFonts w:asciiTheme="majorHAnsi" w:hAnsiTheme="majorHAnsi" w:cstheme="majorHAnsi"/>
          <w:color w:val="0D0D0D" w:themeColor="text1" w:themeTint="F2"/>
          <w:sz w:val="24"/>
          <w:szCs w:val="24"/>
          <w:shd w:val="clear" w:color="auto" w:fill="FFFFFF"/>
        </w:rPr>
        <w:t xml:space="preserve">2. </w:t>
      </w:r>
      <w:r w:rsidR="00771D54" w:rsidRPr="00F34E9D">
        <w:rPr>
          <w:rFonts w:asciiTheme="majorHAnsi" w:hAnsiTheme="majorHAnsi" w:cstheme="majorHAnsi"/>
          <w:color w:val="0D0D0D" w:themeColor="text1" w:themeTint="F2"/>
          <w:sz w:val="24"/>
          <w:szCs w:val="24"/>
          <w:shd w:val="clear" w:color="auto" w:fill="FFFFFF"/>
        </w:rPr>
        <w:t>Drept</w:t>
      </w:r>
      <w:r w:rsidRPr="00F34E9D">
        <w:rPr>
          <w:rFonts w:asciiTheme="majorHAnsi" w:hAnsiTheme="majorHAnsi" w:cstheme="majorHAnsi"/>
          <w:color w:val="0D0D0D" w:themeColor="text1" w:themeTint="F2"/>
          <w:sz w:val="24"/>
          <w:szCs w:val="24"/>
          <w:shd w:val="clear" w:color="auto" w:fill="FFFFFF"/>
        </w:rPr>
        <w:t xml:space="preserve"> rezultat, </w:t>
      </w:r>
      <w:r w:rsidRPr="00F34E9D">
        <w:rPr>
          <w:rFonts w:asciiTheme="majorHAnsi" w:eastAsia="Times New Roman" w:hAnsiTheme="majorHAnsi" w:cstheme="majorHAnsi"/>
          <w:color w:val="0D0D0D" w:themeColor="text1" w:themeTint="F2"/>
          <w:sz w:val="24"/>
          <w:szCs w:val="24"/>
        </w:rPr>
        <w:t xml:space="preserve">costul de instruire a unui elev </w:t>
      </w:r>
      <w:r w:rsidR="000C49C5" w:rsidRPr="00F34E9D">
        <w:rPr>
          <w:rFonts w:asciiTheme="majorHAnsi" w:hAnsiTheme="majorHAnsi" w:cstheme="majorHAnsi"/>
          <w:color w:val="0D0D0D" w:themeColor="text1" w:themeTint="F2"/>
          <w:sz w:val="24"/>
          <w:szCs w:val="24"/>
        </w:rPr>
        <w:t xml:space="preserve">pe anul 2021 </w:t>
      </w:r>
      <w:r w:rsidRPr="00F34E9D">
        <w:rPr>
          <w:rFonts w:asciiTheme="majorHAnsi" w:hAnsiTheme="majorHAnsi" w:cstheme="majorHAnsi"/>
          <w:color w:val="0D0D0D" w:themeColor="text1" w:themeTint="F2"/>
          <w:sz w:val="24"/>
          <w:szCs w:val="24"/>
        </w:rPr>
        <w:t xml:space="preserve">în </w:t>
      </w:r>
      <w:r w:rsidR="00872DE4" w:rsidRPr="00F34E9D">
        <w:rPr>
          <w:rFonts w:asciiTheme="majorHAnsi" w:hAnsiTheme="majorHAnsi" w:cstheme="majorHAnsi"/>
          <w:color w:val="0D0D0D" w:themeColor="text1" w:themeTint="F2"/>
          <w:sz w:val="24"/>
          <w:szCs w:val="24"/>
        </w:rPr>
        <w:t>diferite instituții</w:t>
      </w:r>
      <w:r w:rsidRPr="00F34E9D">
        <w:rPr>
          <w:rFonts w:asciiTheme="majorHAnsi" w:hAnsiTheme="majorHAnsi" w:cstheme="majorHAnsi"/>
          <w:color w:val="0D0D0D" w:themeColor="text1" w:themeTint="F2"/>
          <w:sz w:val="24"/>
          <w:szCs w:val="24"/>
        </w:rPr>
        <w:t xml:space="preserve"> de învățământ profesional tehnic</w:t>
      </w:r>
      <w:r w:rsidR="000C49C5" w:rsidRPr="00F34E9D">
        <w:rPr>
          <w:rFonts w:asciiTheme="majorHAnsi" w:hAnsiTheme="majorHAnsi" w:cstheme="majorHAnsi"/>
          <w:color w:val="0D0D0D" w:themeColor="text1" w:themeTint="F2"/>
          <w:sz w:val="24"/>
          <w:szCs w:val="24"/>
        </w:rPr>
        <w:t>:</w:t>
      </w:r>
      <w:r w:rsidRPr="00F34E9D">
        <w:rPr>
          <w:rFonts w:asciiTheme="majorHAnsi" w:hAnsiTheme="majorHAnsi" w:cstheme="majorHAnsi"/>
          <w:color w:val="0D0D0D" w:themeColor="text1" w:themeTint="F2"/>
          <w:sz w:val="24"/>
          <w:szCs w:val="24"/>
        </w:rPr>
        <w:t xml:space="preserve"> post secundar, variază de la 27,21 mii lei până la 80,02 mii lei</w:t>
      </w:r>
      <w:r w:rsidR="00771D54" w:rsidRPr="00F34E9D">
        <w:rPr>
          <w:rFonts w:asciiTheme="majorHAnsi" w:hAnsiTheme="majorHAnsi" w:cstheme="majorHAnsi"/>
          <w:color w:val="0D0D0D" w:themeColor="text1" w:themeTint="F2"/>
          <w:sz w:val="24"/>
          <w:szCs w:val="24"/>
        </w:rPr>
        <w:t>,</w:t>
      </w:r>
      <w:r w:rsidR="000C49C5" w:rsidRPr="00F34E9D">
        <w:rPr>
          <w:rFonts w:asciiTheme="majorHAnsi" w:hAnsiTheme="majorHAnsi" w:cstheme="majorHAnsi"/>
          <w:color w:val="0D0D0D" w:themeColor="text1" w:themeTint="F2"/>
          <w:sz w:val="24"/>
          <w:szCs w:val="24"/>
        </w:rPr>
        <w:t xml:space="preserve"> și secundar</w:t>
      </w:r>
      <w:r w:rsidR="00771D54" w:rsidRPr="00F34E9D">
        <w:rPr>
          <w:rFonts w:asciiTheme="majorHAnsi" w:hAnsiTheme="majorHAnsi" w:cstheme="majorHAnsi"/>
          <w:color w:val="0D0D0D" w:themeColor="text1" w:themeTint="F2"/>
          <w:sz w:val="24"/>
          <w:szCs w:val="24"/>
        </w:rPr>
        <w:t>,</w:t>
      </w:r>
      <w:r w:rsidR="002C3C82" w:rsidRPr="00F34E9D">
        <w:rPr>
          <w:rFonts w:asciiTheme="majorHAnsi" w:hAnsiTheme="majorHAnsi" w:cstheme="majorHAnsi"/>
          <w:color w:val="0D0D0D" w:themeColor="text1" w:themeTint="F2"/>
          <w:sz w:val="24"/>
          <w:szCs w:val="24"/>
        </w:rPr>
        <w:t xml:space="preserve"> de la 21,1</w:t>
      </w:r>
      <w:r w:rsidR="000C49C5" w:rsidRPr="00F34E9D">
        <w:rPr>
          <w:rFonts w:asciiTheme="majorHAnsi" w:hAnsiTheme="majorHAnsi" w:cstheme="majorHAnsi"/>
          <w:color w:val="0D0D0D" w:themeColor="text1" w:themeTint="F2"/>
          <w:sz w:val="24"/>
          <w:szCs w:val="24"/>
        </w:rPr>
        <w:t xml:space="preserve"> mii lei p</w:t>
      </w:r>
      <w:r w:rsidR="00771D54" w:rsidRPr="00F34E9D">
        <w:rPr>
          <w:rFonts w:asciiTheme="majorHAnsi" w:hAnsiTheme="majorHAnsi" w:cstheme="majorHAnsi"/>
          <w:color w:val="0D0D0D" w:themeColor="text1" w:themeTint="F2"/>
          <w:sz w:val="24"/>
          <w:szCs w:val="24"/>
        </w:rPr>
        <w:t>â</w:t>
      </w:r>
      <w:r w:rsidR="000C49C5" w:rsidRPr="00F34E9D">
        <w:rPr>
          <w:rFonts w:asciiTheme="majorHAnsi" w:hAnsiTheme="majorHAnsi" w:cstheme="majorHAnsi"/>
          <w:color w:val="0D0D0D" w:themeColor="text1" w:themeTint="F2"/>
          <w:sz w:val="24"/>
          <w:szCs w:val="24"/>
        </w:rPr>
        <w:t>nă la 28,74 mii lei</w:t>
      </w:r>
      <w:r w:rsidR="0043107E" w:rsidRPr="00F34E9D">
        <w:rPr>
          <w:rFonts w:asciiTheme="majorHAnsi" w:hAnsiTheme="majorHAnsi" w:cstheme="majorHAnsi"/>
          <w:color w:val="0D0D0D" w:themeColor="text1" w:themeTint="F2"/>
          <w:sz w:val="24"/>
          <w:szCs w:val="24"/>
          <w:shd w:val="clear" w:color="auto" w:fill="FFFFFF"/>
        </w:rPr>
        <w:t>;</w:t>
      </w:r>
      <w:r w:rsidRPr="00F34E9D">
        <w:rPr>
          <w:rFonts w:asciiTheme="majorHAnsi" w:hAnsiTheme="majorHAnsi" w:cstheme="majorHAnsi"/>
          <w:color w:val="0D0D0D" w:themeColor="text1" w:themeTint="F2"/>
          <w:sz w:val="24"/>
          <w:szCs w:val="24"/>
        </w:rPr>
        <w:t xml:space="preserve"> </w:t>
      </w:r>
    </w:p>
    <w:p w14:paraId="6EC2E599" w14:textId="6832655F" w:rsidR="00872DE4" w:rsidRPr="00F34E9D" w:rsidRDefault="00872DE4" w:rsidP="008429AE">
      <w:pPr>
        <w:pStyle w:val="a3"/>
        <w:numPr>
          <w:ilvl w:val="0"/>
          <w:numId w:val="5"/>
        </w:numPr>
        <w:shd w:val="clear" w:color="auto" w:fill="FFFFFF"/>
        <w:tabs>
          <w:tab w:val="left" w:pos="284"/>
        </w:tabs>
        <w:spacing w:after="0" w:line="276" w:lineRule="auto"/>
        <w:ind w:left="0" w:firstLine="0"/>
        <w:jc w:val="both"/>
        <w:rPr>
          <w:rFonts w:asciiTheme="majorHAnsi" w:eastAsia="Times New Roman" w:hAnsiTheme="majorHAnsi" w:cstheme="majorHAnsi"/>
          <w:color w:val="0D0D0D" w:themeColor="text1" w:themeTint="F2"/>
          <w:sz w:val="24"/>
          <w:szCs w:val="24"/>
        </w:rPr>
      </w:pPr>
      <w:r w:rsidRPr="00F34E9D">
        <w:rPr>
          <w:rFonts w:asciiTheme="majorHAnsi" w:hAnsiTheme="majorHAnsi" w:cstheme="majorHAnsi"/>
          <w:color w:val="0D0D0D" w:themeColor="text1" w:themeTint="F2"/>
          <w:sz w:val="24"/>
          <w:szCs w:val="24"/>
        </w:rPr>
        <w:t xml:space="preserve">MEC nu a ajustat cadrul normativ care reglementează </w:t>
      </w:r>
      <w:r w:rsidR="000E484B" w:rsidRPr="00F34E9D">
        <w:rPr>
          <w:rFonts w:asciiTheme="majorHAnsi" w:hAnsiTheme="majorHAnsi" w:cstheme="majorHAnsi"/>
          <w:color w:val="0D0D0D" w:themeColor="text1" w:themeTint="F2"/>
          <w:sz w:val="24"/>
          <w:szCs w:val="24"/>
          <w:lang w:val="ro-RO"/>
        </w:rPr>
        <w:t>mărimea tarifelor la servicii</w:t>
      </w:r>
      <w:r w:rsidR="0043107E" w:rsidRPr="00F34E9D">
        <w:rPr>
          <w:rFonts w:asciiTheme="majorHAnsi" w:hAnsiTheme="majorHAnsi" w:cstheme="majorHAnsi"/>
          <w:color w:val="0D0D0D" w:themeColor="text1" w:themeTint="F2"/>
          <w:sz w:val="24"/>
          <w:szCs w:val="24"/>
          <w:lang w:val="ro-RO"/>
        </w:rPr>
        <w:t>le</w:t>
      </w:r>
      <w:r w:rsidR="000E484B" w:rsidRPr="00F34E9D">
        <w:rPr>
          <w:rFonts w:asciiTheme="majorHAnsi" w:hAnsiTheme="majorHAnsi" w:cstheme="majorHAnsi"/>
          <w:color w:val="0D0D0D" w:themeColor="text1" w:themeTint="F2"/>
          <w:sz w:val="24"/>
          <w:szCs w:val="24"/>
          <w:lang w:val="ro-RO"/>
        </w:rPr>
        <w:t xml:space="preserve"> prestate contra plată (</w:t>
      </w:r>
      <w:r w:rsidR="000E484B" w:rsidRPr="00F34E9D">
        <w:rPr>
          <w:rFonts w:asciiTheme="majorHAnsi" w:hAnsiTheme="majorHAnsi" w:cstheme="majorHAnsi"/>
          <w:color w:val="0D0D0D" w:themeColor="text1" w:themeTint="F2"/>
          <w:sz w:val="24"/>
          <w:szCs w:val="24"/>
        </w:rPr>
        <w:t>taxele de studii)</w:t>
      </w:r>
      <w:r w:rsidRPr="00F34E9D">
        <w:rPr>
          <w:rFonts w:asciiTheme="majorHAnsi" w:hAnsiTheme="majorHAnsi" w:cstheme="majorHAnsi"/>
          <w:color w:val="0D0D0D" w:themeColor="text1" w:themeTint="F2"/>
          <w:sz w:val="24"/>
          <w:szCs w:val="24"/>
        </w:rPr>
        <w:t>, fiind în vigoare prevederile HG nr.872 din 21.12.2015 și HG nr.1311 din 12.12.2005</w:t>
      </w:r>
      <w:r w:rsidRPr="00F34E9D">
        <w:rPr>
          <w:rFonts w:asciiTheme="majorHAnsi" w:hAnsiTheme="majorHAnsi" w:cstheme="majorHAnsi"/>
          <w:color w:val="0D0D0D" w:themeColor="text1" w:themeTint="F2"/>
        </w:rPr>
        <w:t>,</w:t>
      </w:r>
      <w:r w:rsidRPr="00F34E9D">
        <w:rPr>
          <w:rFonts w:asciiTheme="majorHAnsi" w:hAnsiTheme="majorHAnsi" w:cstheme="majorHAnsi"/>
          <w:color w:val="0D0D0D" w:themeColor="text1" w:themeTint="F2"/>
          <w:sz w:val="24"/>
          <w:szCs w:val="24"/>
        </w:rPr>
        <w:t xml:space="preserve"> care reglementează </w:t>
      </w:r>
      <w:r w:rsidRPr="00F34E9D">
        <w:rPr>
          <w:rFonts w:asciiTheme="majorHAnsi" w:eastAsia="Times New Roman" w:hAnsiTheme="majorHAnsi" w:cstheme="majorHAnsi"/>
          <w:bCs/>
          <w:iCs/>
          <w:color w:val="0D0D0D" w:themeColor="text1" w:themeTint="F2"/>
          <w:sz w:val="24"/>
          <w:szCs w:val="24"/>
          <w:shd w:val="clear" w:color="auto" w:fill="FFFFFF"/>
        </w:rPr>
        <w:t>veniturile instituțiilor de învățământ provenite de la admitere și studiile cu taxă</w:t>
      </w:r>
      <w:r w:rsidRPr="00F34E9D">
        <w:rPr>
          <w:rFonts w:asciiTheme="majorHAnsi" w:hAnsiTheme="majorHAnsi" w:cstheme="majorHAnsi"/>
          <w:color w:val="0D0D0D" w:themeColor="text1" w:themeTint="F2"/>
          <w:sz w:val="24"/>
          <w:szCs w:val="24"/>
        </w:rPr>
        <w:t>, pe meserii/profesii, specialități, pentru elevi în instituțiile de învățământ profesional tehnic din subordinea ministerului</w:t>
      </w:r>
      <w:r w:rsidR="000E484B" w:rsidRPr="00F34E9D">
        <w:rPr>
          <w:rFonts w:asciiTheme="majorHAnsi" w:hAnsiTheme="majorHAnsi" w:cstheme="majorHAnsi"/>
          <w:color w:val="0D0D0D" w:themeColor="text1" w:themeTint="F2"/>
          <w:sz w:val="24"/>
          <w:szCs w:val="24"/>
        </w:rPr>
        <w:t>, deși instituțiile de învățământ profesional tehnic au trecut</w:t>
      </w:r>
      <w:r w:rsidR="0043107E" w:rsidRPr="00F34E9D">
        <w:rPr>
          <w:rFonts w:asciiTheme="majorHAnsi" w:hAnsiTheme="majorHAnsi" w:cstheme="majorHAnsi"/>
          <w:color w:val="0D0D0D" w:themeColor="text1" w:themeTint="F2"/>
          <w:sz w:val="24"/>
          <w:szCs w:val="24"/>
        </w:rPr>
        <w:t>,</w:t>
      </w:r>
      <w:r w:rsidR="000E484B" w:rsidRPr="00F34E9D">
        <w:rPr>
          <w:rFonts w:asciiTheme="majorHAnsi" w:hAnsiTheme="majorHAnsi" w:cstheme="majorHAnsi"/>
          <w:color w:val="0D0D0D" w:themeColor="text1" w:themeTint="F2"/>
          <w:sz w:val="24"/>
          <w:szCs w:val="24"/>
        </w:rPr>
        <w:t xml:space="preserve"> începând cu anul 2019, la activitate în regim de autogestiune financiar-economică.</w:t>
      </w:r>
      <w:r w:rsidRPr="00F34E9D">
        <w:rPr>
          <w:rFonts w:asciiTheme="majorHAnsi" w:hAnsiTheme="majorHAnsi" w:cstheme="majorHAnsi"/>
          <w:color w:val="0D0D0D" w:themeColor="text1" w:themeTint="F2"/>
          <w:sz w:val="24"/>
          <w:szCs w:val="24"/>
        </w:rPr>
        <w:t xml:space="preserve"> Neajustarea cadrului normativ de stabilire a taxei de studii la con</w:t>
      </w:r>
      <w:r w:rsidR="001F7A24" w:rsidRPr="00F34E9D">
        <w:rPr>
          <w:rFonts w:asciiTheme="majorHAnsi" w:hAnsiTheme="majorHAnsi" w:cstheme="majorHAnsi"/>
          <w:color w:val="0D0D0D" w:themeColor="text1" w:themeTint="F2"/>
          <w:sz w:val="24"/>
          <w:szCs w:val="24"/>
        </w:rPr>
        <w:t xml:space="preserve">dițiile de autonomie financiară, precum și lipsa unei metodologii de determinare a costului de studiere a unei meserii aprobată regulamentar </w:t>
      </w:r>
      <w:r w:rsidRPr="00F34E9D">
        <w:rPr>
          <w:rFonts w:asciiTheme="majorHAnsi" w:hAnsiTheme="majorHAnsi" w:cstheme="majorHAnsi"/>
          <w:color w:val="0D0D0D" w:themeColor="text1" w:themeTint="F2"/>
          <w:sz w:val="24"/>
          <w:szCs w:val="24"/>
        </w:rPr>
        <w:t xml:space="preserve">limitează instituțiile trecute la autogestiune în aprobarea individuală a tarifelor pentru studii pe bază de contract. </w:t>
      </w:r>
      <w:r w:rsidR="0043107E" w:rsidRPr="00F34E9D">
        <w:rPr>
          <w:rFonts w:asciiTheme="majorHAnsi" w:hAnsiTheme="majorHAnsi" w:cstheme="majorHAnsi"/>
          <w:color w:val="0D0D0D" w:themeColor="text1" w:themeTint="F2"/>
          <w:sz w:val="24"/>
          <w:szCs w:val="24"/>
        </w:rPr>
        <w:t>Ca</w:t>
      </w:r>
      <w:r w:rsidRPr="00F34E9D">
        <w:rPr>
          <w:rFonts w:asciiTheme="majorHAnsi" w:hAnsiTheme="majorHAnsi" w:cstheme="majorHAnsi"/>
          <w:color w:val="0D0D0D" w:themeColor="text1" w:themeTint="F2"/>
          <w:sz w:val="24"/>
          <w:szCs w:val="24"/>
        </w:rPr>
        <w:t xml:space="preserve"> rezultat, taxele de studii calculate nu corespund costului real suportat de instituție</w:t>
      </w:r>
      <w:r w:rsidR="001F7A24" w:rsidRPr="00F34E9D">
        <w:rPr>
          <w:rFonts w:asciiTheme="majorHAnsi" w:hAnsiTheme="majorHAnsi" w:cstheme="majorHAnsi"/>
          <w:color w:val="0D0D0D" w:themeColor="text1" w:themeTint="F2"/>
          <w:sz w:val="24"/>
          <w:szCs w:val="24"/>
        </w:rPr>
        <w:t xml:space="preserve"> și constit</w:t>
      </w:r>
      <w:r w:rsidR="002C3C82" w:rsidRPr="00F34E9D">
        <w:rPr>
          <w:rFonts w:asciiTheme="majorHAnsi" w:hAnsiTheme="majorHAnsi" w:cstheme="majorHAnsi"/>
          <w:color w:val="0D0D0D" w:themeColor="text1" w:themeTint="F2"/>
          <w:sz w:val="24"/>
          <w:szCs w:val="24"/>
        </w:rPr>
        <w:t>uie</w:t>
      </w:r>
      <w:r w:rsidR="0043107E" w:rsidRPr="00F34E9D">
        <w:rPr>
          <w:rFonts w:asciiTheme="majorHAnsi" w:hAnsiTheme="majorHAnsi" w:cstheme="majorHAnsi"/>
          <w:color w:val="0D0D0D" w:themeColor="text1" w:themeTint="F2"/>
          <w:sz w:val="24"/>
          <w:szCs w:val="24"/>
        </w:rPr>
        <w:t>,</w:t>
      </w:r>
      <w:r w:rsidR="002C3C82" w:rsidRPr="00F34E9D">
        <w:rPr>
          <w:rFonts w:asciiTheme="majorHAnsi" w:hAnsiTheme="majorHAnsi" w:cstheme="majorHAnsi"/>
          <w:color w:val="0D0D0D" w:themeColor="text1" w:themeTint="F2"/>
          <w:sz w:val="24"/>
          <w:szCs w:val="24"/>
        </w:rPr>
        <w:t xml:space="preserve"> în </w:t>
      </w:r>
      <w:r w:rsidR="0043107E" w:rsidRPr="00F34E9D">
        <w:rPr>
          <w:rFonts w:asciiTheme="majorHAnsi" w:hAnsiTheme="majorHAnsi" w:cstheme="majorHAnsi"/>
          <w:color w:val="0D0D0D" w:themeColor="text1" w:themeTint="F2"/>
          <w:sz w:val="24"/>
          <w:szCs w:val="24"/>
        </w:rPr>
        <w:t xml:space="preserve">funcție </w:t>
      </w:r>
      <w:r w:rsidR="002C3C82" w:rsidRPr="00F34E9D">
        <w:rPr>
          <w:rFonts w:asciiTheme="majorHAnsi" w:hAnsiTheme="majorHAnsi" w:cstheme="majorHAnsi"/>
          <w:color w:val="0D0D0D" w:themeColor="text1" w:themeTint="F2"/>
          <w:sz w:val="24"/>
          <w:szCs w:val="24"/>
        </w:rPr>
        <w:t>de instituție</w:t>
      </w:r>
      <w:r w:rsidR="0043107E" w:rsidRPr="00F34E9D">
        <w:rPr>
          <w:rFonts w:asciiTheme="majorHAnsi" w:hAnsiTheme="majorHAnsi" w:cstheme="majorHAnsi"/>
          <w:color w:val="0D0D0D" w:themeColor="text1" w:themeTint="F2"/>
          <w:sz w:val="24"/>
          <w:szCs w:val="24"/>
        </w:rPr>
        <w:t>,</w:t>
      </w:r>
      <w:r w:rsidRPr="00F34E9D">
        <w:rPr>
          <w:rFonts w:asciiTheme="majorHAnsi" w:hAnsiTheme="majorHAnsi" w:cstheme="majorHAnsi"/>
          <w:color w:val="0D0D0D" w:themeColor="text1" w:themeTint="F2"/>
          <w:sz w:val="24"/>
          <w:szCs w:val="24"/>
        </w:rPr>
        <w:t xml:space="preserve"> de la 4</w:t>
      </w:r>
      <w:r w:rsidR="001F7A24" w:rsidRPr="00F34E9D">
        <w:rPr>
          <w:rFonts w:asciiTheme="majorHAnsi" w:hAnsiTheme="majorHAnsi" w:cstheme="majorHAnsi"/>
          <w:color w:val="0D0D0D" w:themeColor="text1" w:themeTint="F2"/>
          <w:sz w:val="24"/>
          <w:szCs w:val="24"/>
        </w:rPr>
        <w:t>,</w:t>
      </w:r>
      <w:r w:rsidR="008F047E" w:rsidRPr="00F34E9D">
        <w:rPr>
          <w:rFonts w:asciiTheme="majorHAnsi" w:hAnsiTheme="majorHAnsi" w:cstheme="majorHAnsi"/>
          <w:color w:val="0D0D0D" w:themeColor="text1" w:themeTint="F2"/>
          <w:sz w:val="24"/>
          <w:szCs w:val="24"/>
        </w:rPr>
        <w:t>1</w:t>
      </w:r>
      <w:r w:rsidR="001F7A24" w:rsidRPr="00F34E9D">
        <w:rPr>
          <w:rFonts w:asciiTheme="majorHAnsi" w:hAnsiTheme="majorHAnsi" w:cstheme="majorHAnsi"/>
          <w:color w:val="0D0D0D" w:themeColor="text1" w:themeTint="F2"/>
          <w:sz w:val="24"/>
          <w:szCs w:val="24"/>
        </w:rPr>
        <w:t xml:space="preserve"> mii lei până la </w:t>
      </w:r>
      <w:r w:rsidR="008F047E" w:rsidRPr="00F34E9D">
        <w:rPr>
          <w:rFonts w:asciiTheme="majorHAnsi" w:hAnsiTheme="majorHAnsi" w:cstheme="majorHAnsi"/>
          <w:color w:val="0D0D0D" w:themeColor="text1" w:themeTint="F2"/>
          <w:sz w:val="24"/>
          <w:szCs w:val="24"/>
        </w:rPr>
        <w:t>9,0</w:t>
      </w:r>
      <w:r w:rsidR="001F7A24" w:rsidRPr="00F34E9D">
        <w:rPr>
          <w:rFonts w:asciiTheme="majorHAnsi" w:hAnsiTheme="majorHAnsi" w:cstheme="majorHAnsi"/>
          <w:color w:val="0D0D0D" w:themeColor="text1" w:themeTint="F2"/>
          <w:sz w:val="24"/>
          <w:szCs w:val="24"/>
        </w:rPr>
        <w:t xml:space="preserve"> mii lei</w:t>
      </w:r>
      <w:r w:rsidR="0043107E" w:rsidRPr="00F34E9D">
        <w:rPr>
          <w:rFonts w:asciiTheme="majorHAnsi" w:hAnsiTheme="majorHAnsi" w:cstheme="majorHAnsi"/>
          <w:color w:val="0D0D0D" w:themeColor="text1" w:themeTint="F2"/>
          <w:sz w:val="24"/>
          <w:szCs w:val="24"/>
        </w:rPr>
        <w:t>;</w:t>
      </w:r>
    </w:p>
    <w:p w14:paraId="157D626D" w14:textId="1329AADB" w:rsidR="00EE1719" w:rsidRPr="00F34E9D" w:rsidRDefault="001F7A24" w:rsidP="008429AE">
      <w:pPr>
        <w:pStyle w:val="a3"/>
        <w:numPr>
          <w:ilvl w:val="0"/>
          <w:numId w:val="5"/>
        </w:numPr>
        <w:tabs>
          <w:tab w:val="left" w:pos="284"/>
          <w:tab w:val="left" w:pos="851"/>
        </w:tabs>
        <w:spacing w:after="0" w:line="276" w:lineRule="auto"/>
        <w:ind w:left="0" w:firstLine="0"/>
        <w:jc w:val="both"/>
        <w:rPr>
          <w:rFonts w:asciiTheme="majorHAnsi" w:hAnsiTheme="majorHAnsi" w:cstheme="majorHAnsi"/>
          <w:iCs/>
          <w:color w:val="0D0D0D" w:themeColor="text1" w:themeTint="F2"/>
        </w:rPr>
      </w:pPr>
      <w:r w:rsidRPr="00F34E9D">
        <w:rPr>
          <w:rFonts w:asciiTheme="majorHAnsi" w:hAnsiTheme="majorHAnsi" w:cstheme="majorHAnsi"/>
          <w:i/>
          <w:color w:val="0D0D0D" w:themeColor="text1" w:themeTint="F2"/>
          <w:sz w:val="24"/>
          <w:szCs w:val="24"/>
        </w:rPr>
        <w:t xml:space="preserve">Ministerul nu a calculat și </w:t>
      </w:r>
      <w:r w:rsidR="0043107E" w:rsidRPr="00F34E9D">
        <w:rPr>
          <w:rFonts w:asciiTheme="majorHAnsi" w:hAnsiTheme="majorHAnsi" w:cstheme="majorHAnsi"/>
          <w:i/>
          <w:color w:val="0D0D0D" w:themeColor="text1" w:themeTint="F2"/>
          <w:sz w:val="24"/>
          <w:szCs w:val="24"/>
        </w:rPr>
        <w:t xml:space="preserve">nu a </w:t>
      </w:r>
      <w:r w:rsidRPr="00F34E9D">
        <w:rPr>
          <w:rFonts w:asciiTheme="majorHAnsi" w:hAnsiTheme="majorHAnsi" w:cstheme="majorHAnsi"/>
          <w:i/>
          <w:color w:val="0D0D0D" w:themeColor="text1" w:themeTint="F2"/>
          <w:sz w:val="24"/>
          <w:szCs w:val="24"/>
        </w:rPr>
        <w:t>aprobat costul mediu pentru pregătirea unui specialist</w:t>
      </w:r>
      <w:r w:rsidR="0043107E" w:rsidRPr="00F34E9D">
        <w:rPr>
          <w:rFonts w:asciiTheme="majorHAnsi" w:hAnsiTheme="majorHAnsi" w:cstheme="majorHAnsi"/>
          <w:i/>
          <w:color w:val="0D0D0D" w:themeColor="text1" w:themeTint="F2"/>
          <w:sz w:val="24"/>
          <w:szCs w:val="24"/>
        </w:rPr>
        <w:t>.</w:t>
      </w:r>
      <w:r w:rsidR="0043107E" w:rsidRPr="00F34E9D">
        <w:rPr>
          <w:rFonts w:asciiTheme="majorHAnsi" w:hAnsiTheme="majorHAnsi" w:cstheme="majorHAnsi"/>
          <w:color w:val="0D0D0D" w:themeColor="text1" w:themeTint="F2"/>
          <w:sz w:val="24"/>
          <w:szCs w:val="24"/>
        </w:rPr>
        <w:t xml:space="preserve"> Ca</w:t>
      </w:r>
      <w:r w:rsidRPr="00F34E9D">
        <w:rPr>
          <w:rFonts w:asciiTheme="majorHAnsi" w:hAnsiTheme="majorHAnsi" w:cstheme="majorHAnsi"/>
          <w:color w:val="0D0D0D" w:themeColor="text1" w:themeTint="F2"/>
          <w:sz w:val="24"/>
          <w:szCs w:val="24"/>
        </w:rPr>
        <w:t xml:space="preserve"> rezultat, instituțiile de învățământ profesional tehnic și superior au acoperit din contul alocațiilor bugetare cheltuielile pentru </w:t>
      </w:r>
      <w:r w:rsidR="00DC711D" w:rsidRPr="00F34E9D">
        <w:rPr>
          <w:rFonts w:asciiTheme="majorHAnsi" w:hAnsiTheme="majorHAnsi" w:cstheme="majorHAnsi"/>
          <w:color w:val="0D0D0D" w:themeColor="text1" w:themeTint="F2"/>
          <w:sz w:val="24"/>
          <w:szCs w:val="24"/>
        </w:rPr>
        <w:t>elevii/</w:t>
      </w:r>
      <w:r w:rsidRPr="00F34E9D">
        <w:rPr>
          <w:rFonts w:asciiTheme="majorHAnsi" w:hAnsiTheme="majorHAnsi" w:cstheme="majorHAnsi"/>
          <w:color w:val="0D0D0D" w:themeColor="text1" w:themeTint="F2"/>
          <w:sz w:val="24"/>
          <w:szCs w:val="24"/>
        </w:rPr>
        <w:t xml:space="preserve">studenții care își fac studiile în bază de contract. Taxa pentru serviciile contra plată stabilite per elev în învățământul </w:t>
      </w:r>
      <w:r w:rsidR="00DC711D" w:rsidRPr="00F34E9D">
        <w:rPr>
          <w:rFonts w:asciiTheme="majorHAnsi" w:hAnsiTheme="majorHAnsi" w:cstheme="majorHAnsi"/>
          <w:color w:val="0D0D0D" w:themeColor="text1" w:themeTint="F2"/>
          <w:sz w:val="24"/>
          <w:szCs w:val="24"/>
        </w:rPr>
        <w:t>tehnic</w:t>
      </w:r>
      <w:r w:rsidRPr="00F34E9D">
        <w:rPr>
          <w:rFonts w:asciiTheme="majorHAnsi" w:hAnsiTheme="majorHAnsi" w:cstheme="majorHAnsi"/>
          <w:color w:val="0D0D0D" w:themeColor="text1" w:themeTint="F2"/>
          <w:sz w:val="24"/>
          <w:szCs w:val="24"/>
        </w:rPr>
        <w:t xml:space="preserve"> </w:t>
      </w:r>
      <w:r w:rsidR="00D643DC" w:rsidRPr="00F34E9D">
        <w:rPr>
          <w:rFonts w:asciiTheme="majorHAnsi" w:hAnsiTheme="majorHAnsi" w:cstheme="majorHAnsi"/>
          <w:color w:val="0D0D0D" w:themeColor="text1" w:themeTint="F2"/>
          <w:sz w:val="24"/>
          <w:szCs w:val="24"/>
        </w:rPr>
        <w:t>secundar</w:t>
      </w:r>
      <w:r w:rsidR="00D643DC" w:rsidRPr="00F34E9D">
        <w:rPr>
          <w:rFonts w:asciiTheme="majorHAnsi" w:hAnsiTheme="majorHAnsi" w:cstheme="majorHAnsi"/>
          <w:color w:val="0D0D0D" w:themeColor="text1" w:themeTint="F2"/>
          <w:sz w:val="24"/>
          <w:szCs w:val="24"/>
          <w:lang w:val="ro-RO"/>
        </w:rPr>
        <w:t xml:space="preserve"> și post secundar </w:t>
      </w:r>
      <w:r w:rsidRPr="00F34E9D">
        <w:rPr>
          <w:rFonts w:asciiTheme="majorHAnsi" w:hAnsiTheme="majorHAnsi" w:cstheme="majorHAnsi"/>
          <w:color w:val="0D0D0D" w:themeColor="text1" w:themeTint="F2"/>
          <w:sz w:val="24"/>
          <w:szCs w:val="24"/>
        </w:rPr>
        <w:t>este în medi</w:t>
      </w:r>
      <w:r w:rsidR="0043107E" w:rsidRPr="00F34E9D">
        <w:rPr>
          <w:rFonts w:asciiTheme="majorHAnsi" w:hAnsiTheme="majorHAnsi" w:cstheme="majorHAnsi"/>
          <w:color w:val="0D0D0D" w:themeColor="text1" w:themeTint="F2"/>
          <w:sz w:val="24"/>
          <w:szCs w:val="24"/>
        </w:rPr>
        <w:t>e</w:t>
      </w:r>
      <w:r w:rsidRPr="00F34E9D">
        <w:rPr>
          <w:rFonts w:asciiTheme="majorHAnsi" w:hAnsiTheme="majorHAnsi" w:cstheme="majorHAnsi"/>
          <w:color w:val="0D0D0D" w:themeColor="text1" w:themeTint="F2"/>
          <w:sz w:val="24"/>
          <w:szCs w:val="24"/>
        </w:rPr>
        <w:t xml:space="preserve"> </w:t>
      </w:r>
      <w:r w:rsidR="0043107E" w:rsidRPr="00F34E9D">
        <w:rPr>
          <w:rFonts w:asciiTheme="majorHAnsi" w:hAnsiTheme="majorHAnsi" w:cstheme="majorHAnsi"/>
          <w:color w:val="0D0D0D" w:themeColor="text1" w:themeTint="F2"/>
          <w:sz w:val="24"/>
          <w:szCs w:val="24"/>
        </w:rPr>
        <w:t xml:space="preserve">de </w:t>
      </w:r>
      <w:r w:rsidR="00C64B22" w:rsidRPr="00F34E9D">
        <w:rPr>
          <w:rFonts w:asciiTheme="majorHAnsi" w:hAnsiTheme="majorHAnsi" w:cstheme="majorHAnsi"/>
          <w:color w:val="0D0D0D" w:themeColor="text1" w:themeTint="F2"/>
          <w:sz w:val="24"/>
          <w:szCs w:val="24"/>
        </w:rPr>
        <w:t xml:space="preserve">6,39 </w:t>
      </w:r>
      <w:r w:rsidR="0043107E" w:rsidRPr="00F34E9D">
        <w:rPr>
          <w:rFonts w:asciiTheme="majorHAnsi" w:hAnsiTheme="majorHAnsi" w:cstheme="majorHAnsi"/>
          <w:color w:val="0D0D0D" w:themeColor="text1" w:themeTint="F2"/>
          <w:sz w:val="24"/>
          <w:szCs w:val="24"/>
        </w:rPr>
        <w:t xml:space="preserve">mii lei </w:t>
      </w:r>
      <w:r w:rsidR="00C64B22" w:rsidRPr="00F34E9D">
        <w:rPr>
          <w:rFonts w:asciiTheme="majorHAnsi" w:hAnsiTheme="majorHAnsi" w:cstheme="majorHAnsi"/>
          <w:color w:val="0D0D0D" w:themeColor="text1" w:themeTint="F2"/>
          <w:sz w:val="24"/>
          <w:szCs w:val="24"/>
        </w:rPr>
        <w:t>și</w:t>
      </w:r>
      <w:r w:rsidR="0043107E" w:rsidRPr="00F34E9D">
        <w:rPr>
          <w:rFonts w:asciiTheme="majorHAnsi" w:hAnsiTheme="majorHAnsi" w:cstheme="majorHAnsi"/>
          <w:color w:val="0D0D0D" w:themeColor="text1" w:themeTint="F2"/>
          <w:sz w:val="24"/>
          <w:szCs w:val="24"/>
        </w:rPr>
        <w:t>,</w:t>
      </w:r>
      <w:r w:rsidR="00C64B22" w:rsidRPr="00F34E9D">
        <w:rPr>
          <w:rFonts w:asciiTheme="majorHAnsi" w:hAnsiTheme="majorHAnsi" w:cstheme="majorHAnsi"/>
          <w:color w:val="0D0D0D" w:themeColor="text1" w:themeTint="F2"/>
          <w:sz w:val="24"/>
          <w:szCs w:val="24"/>
        </w:rPr>
        <w:t xml:space="preserve"> respectiv </w:t>
      </w:r>
      <w:r w:rsidRPr="00F34E9D">
        <w:rPr>
          <w:rFonts w:asciiTheme="majorHAnsi" w:hAnsiTheme="majorHAnsi" w:cstheme="majorHAnsi"/>
          <w:color w:val="0D0D0D" w:themeColor="text1" w:themeTint="F2"/>
          <w:sz w:val="24"/>
          <w:szCs w:val="24"/>
        </w:rPr>
        <w:t>8</w:t>
      </w:r>
      <w:r w:rsidR="00C64B22" w:rsidRPr="00F34E9D">
        <w:rPr>
          <w:rFonts w:asciiTheme="majorHAnsi" w:hAnsiTheme="majorHAnsi" w:cstheme="majorHAnsi"/>
          <w:color w:val="0D0D0D" w:themeColor="text1" w:themeTint="F2"/>
          <w:sz w:val="24"/>
          <w:szCs w:val="24"/>
        </w:rPr>
        <w:t>,</w:t>
      </w:r>
      <w:r w:rsidRPr="00F34E9D">
        <w:rPr>
          <w:rFonts w:asciiTheme="majorHAnsi" w:hAnsiTheme="majorHAnsi" w:cstheme="majorHAnsi"/>
          <w:color w:val="0D0D0D" w:themeColor="text1" w:themeTint="F2"/>
          <w:sz w:val="24"/>
          <w:szCs w:val="24"/>
        </w:rPr>
        <w:t xml:space="preserve">34 mii lei, pe când costul per elev finanțat de buget este </w:t>
      </w:r>
      <w:r w:rsidR="00C64B22" w:rsidRPr="00F34E9D">
        <w:rPr>
          <w:rFonts w:asciiTheme="majorHAnsi" w:hAnsiTheme="majorHAnsi" w:cstheme="majorHAnsi"/>
          <w:color w:val="0D0D0D" w:themeColor="text1" w:themeTint="F2"/>
          <w:sz w:val="24"/>
          <w:szCs w:val="24"/>
        </w:rPr>
        <w:t>de 22,61 și</w:t>
      </w:r>
      <w:r w:rsidR="0043107E" w:rsidRPr="00F34E9D">
        <w:rPr>
          <w:rFonts w:asciiTheme="majorHAnsi" w:hAnsiTheme="majorHAnsi" w:cstheme="majorHAnsi"/>
          <w:color w:val="0D0D0D" w:themeColor="text1" w:themeTint="F2"/>
          <w:sz w:val="24"/>
          <w:szCs w:val="24"/>
        </w:rPr>
        <w:t>,</w:t>
      </w:r>
      <w:r w:rsidR="00C64B22" w:rsidRPr="00F34E9D">
        <w:rPr>
          <w:rFonts w:asciiTheme="majorHAnsi" w:hAnsiTheme="majorHAnsi" w:cstheme="majorHAnsi"/>
          <w:color w:val="0D0D0D" w:themeColor="text1" w:themeTint="F2"/>
          <w:sz w:val="24"/>
          <w:szCs w:val="24"/>
        </w:rPr>
        <w:t xml:space="preserve"> respectiv </w:t>
      </w:r>
      <w:r w:rsidRPr="00F34E9D">
        <w:rPr>
          <w:rFonts w:asciiTheme="majorHAnsi" w:hAnsiTheme="majorHAnsi" w:cstheme="majorHAnsi"/>
          <w:color w:val="0D0D0D" w:themeColor="text1" w:themeTint="F2"/>
          <w:sz w:val="24"/>
          <w:szCs w:val="24"/>
        </w:rPr>
        <w:t>34</w:t>
      </w:r>
      <w:r w:rsidR="00C64B22" w:rsidRPr="00F34E9D">
        <w:rPr>
          <w:rFonts w:asciiTheme="majorHAnsi" w:hAnsiTheme="majorHAnsi" w:cstheme="majorHAnsi"/>
          <w:color w:val="0D0D0D" w:themeColor="text1" w:themeTint="F2"/>
          <w:sz w:val="24"/>
          <w:szCs w:val="24"/>
        </w:rPr>
        <w:t>,</w:t>
      </w:r>
      <w:r w:rsidRPr="00F34E9D">
        <w:rPr>
          <w:rFonts w:asciiTheme="majorHAnsi" w:hAnsiTheme="majorHAnsi" w:cstheme="majorHAnsi"/>
          <w:color w:val="0D0D0D" w:themeColor="text1" w:themeTint="F2"/>
          <w:sz w:val="24"/>
          <w:szCs w:val="24"/>
        </w:rPr>
        <w:t xml:space="preserve">31 mii lei. Taxa pentru serviciile contra plată per student în învățământul superior </w:t>
      </w:r>
      <w:r w:rsidR="00E801A0" w:rsidRPr="00F34E9D">
        <w:rPr>
          <w:rFonts w:asciiTheme="majorHAnsi" w:hAnsiTheme="majorHAnsi" w:cstheme="majorHAnsi"/>
          <w:color w:val="0D0D0D" w:themeColor="text1" w:themeTint="F2"/>
          <w:sz w:val="24"/>
          <w:szCs w:val="24"/>
        </w:rPr>
        <w:t>în medi</w:t>
      </w:r>
      <w:r w:rsidR="0043107E" w:rsidRPr="00F34E9D">
        <w:rPr>
          <w:rFonts w:asciiTheme="majorHAnsi" w:hAnsiTheme="majorHAnsi" w:cstheme="majorHAnsi"/>
          <w:color w:val="0D0D0D" w:themeColor="text1" w:themeTint="F2"/>
          <w:sz w:val="24"/>
          <w:szCs w:val="24"/>
        </w:rPr>
        <w:t>e</w:t>
      </w:r>
      <w:r w:rsidR="00E801A0" w:rsidRPr="00F34E9D">
        <w:rPr>
          <w:rFonts w:asciiTheme="majorHAnsi" w:hAnsiTheme="majorHAnsi" w:cstheme="majorHAnsi"/>
          <w:color w:val="0D0D0D" w:themeColor="text1" w:themeTint="F2"/>
          <w:sz w:val="24"/>
          <w:szCs w:val="24"/>
        </w:rPr>
        <w:t xml:space="preserve"> </w:t>
      </w:r>
      <w:r w:rsidRPr="00F34E9D">
        <w:rPr>
          <w:rFonts w:asciiTheme="majorHAnsi" w:hAnsiTheme="majorHAnsi" w:cstheme="majorHAnsi"/>
          <w:color w:val="0D0D0D" w:themeColor="text1" w:themeTint="F2"/>
          <w:sz w:val="24"/>
          <w:szCs w:val="24"/>
        </w:rPr>
        <w:t xml:space="preserve">este </w:t>
      </w:r>
      <w:r w:rsidR="005E7679" w:rsidRPr="00F34E9D">
        <w:rPr>
          <w:rFonts w:asciiTheme="majorHAnsi" w:hAnsiTheme="majorHAnsi" w:cstheme="majorHAnsi"/>
          <w:color w:val="0D0D0D" w:themeColor="text1" w:themeTint="F2"/>
          <w:sz w:val="24"/>
          <w:szCs w:val="24"/>
        </w:rPr>
        <w:t xml:space="preserve">de </w:t>
      </w:r>
      <w:r w:rsidR="00C64B22" w:rsidRPr="00F34E9D">
        <w:rPr>
          <w:rFonts w:asciiTheme="majorHAnsi" w:hAnsiTheme="majorHAnsi" w:cstheme="majorHAnsi"/>
          <w:color w:val="0D0D0D" w:themeColor="text1" w:themeTint="F2"/>
          <w:sz w:val="24"/>
          <w:szCs w:val="24"/>
        </w:rPr>
        <w:t>9,17</w:t>
      </w:r>
      <w:r w:rsidRPr="00F34E9D">
        <w:rPr>
          <w:rFonts w:asciiTheme="majorHAnsi" w:hAnsiTheme="majorHAnsi" w:cstheme="majorHAnsi"/>
          <w:color w:val="0D0D0D" w:themeColor="text1" w:themeTint="F2"/>
          <w:sz w:val="24"/>
          <w:szCs w:val="24"/>
        </w:rPr>
        <w:t xml:space="preserve"> mii lei, iar costul per student finanțat de buget este de 3</w:t>
      </w:r>
      <w:r w:rsidR="00C64B22" w:rsidRPr="00F34E9D">
        <w:rPr>
          <w:rFonts w:asciiTheme="majorHAnsi" w:hAnsiTheme="majorHAnsi" w:cstheme="majorHAnsi"/>
          <w:color w:val="0D0D0D" w:themeColor="text1" w:themeTint="F2"/>
          <w:sz w:val="24"/>
          <w:szCs w:val="24"/>
        </w:rPr>
        <w:t>0,</w:t>
      </w:r>
      <w:r w:rsidRPr="00F34E9D">
        <w:rPr>
          <w:rFonts w:asciiTheme="majorHAnsi" w:hAnsiTheme="majorHAnsi" w:cstheme="majorHAnsi"/>
          <w:color w:val="0D0D0D" w:themeColor="text1" w:themeTint="F2"/>
          <w:sz w:val="24"/>
          <w:szCs w:val="24"/>
        </w:rPr>
        <w:t>7 mii lei. Conform art.145 alin</w:t>
      </w:r>
      <w:r w:rsidR="0043107E" w:rsidRPr="00F34E9D">
        <w:rPr>
          <w:rFonts w:asciiTheme="majorHAnsi" w:hAnsiTheme="majorHAnsi" w:cstheme="majorHAnsi"/>
          <w:color w:val="0D0D0D" w:themeColor="text1" w:themeTint="F2"/>
          <w:sz w:val="24"/>
          <w:szCs w:val="24"/>
        </w:rPr>
        <w:t>.</w:t>
      </w:r>
      <w:r w:rsidRPr="00F34E9D">
        <w:rPr>
          <w:rFonts w:asciiTheme="majorHAnsi" w:hAnsiTheme="majorHAnsi" w:cstheme="majorHAnsi"/>
          <w:color w:val="0D0D0D" w:themeColor="text1" w:themeTint="F2"/>
          <w:sz w:val="24"/>
          <w:szCs w:val="24"/>
        </w:rPr>
        <w:t>(3) din Codul educației</w:t>
      </w:r>
      <w:r w:rsidRPr="00F34E9D">
        <w:rPr>
          <w:rStyle w:val="a7"/>
          <w:rFonts w:asciiTheme="majorHAnsi" w:hAnsiTheme="majorHAnsi" w:cstheme="majorHAnsi"/>
          <w:color w:val="0D0D0D" w:themeColor="text1" w:themeTint="F2"/>
          <w:sz w:val="24"/>
          <w:szCs w:val="24"/>
        </w:rPr>
        <w:footnoteReference w:id="42"/>
      </w:r>
      <w:r w:rsidRPr="00F34E9D">
        <w:rPr>
          <w:rFonts w:asciiTheme="majorHAnsi" w:hAnsiTheme="majorHAnsi" w:cstheme="majorHAnsi"/>
          <w:color w:val="0D0D0D" w:themeColor="text1" w:themeTint="F2"/>
          <w:sz w:val="24"/>
          <w:szCs w:val="24"/>
        </w:rPr>
        <w:t xml:space="preserve">, </w:t>
      </w:r>
      <w:r w:rsidRPr="00F34E9D">
        <w:rPr>
          <w:rFonts w:asciiTheme="majorHAnsi" w:hAnsiTheme="majorHAnsi" w:cstheme="majorHAnsi"/>
          <w:color w:val="0D0D0D" w:themeColor="text1" w:themeTint="F2"/>
          <w:sz w:val="24"/>
          <w:szCs w:val="24"/>
          <w:shd w:val="clear" w:color="auto" w:fill="FFFFFF"/>
        </w:rPr>
        <w:t>costul-standard per elev/student constituie baza pentru calcularea taxelor de studii, astfel dacă ministerul avea calculat și aprobat un cost mediu per elev/student, atunci taxa pentru serviciile contra plată ar fi trebuit să fie în corespundere cu costul per elev finanțat de buget</w:t>
      </w:r>
      <w:r w:rsidRPr="00F34E9D">
        <w:rPr>
          <w:rFonts w:asciiTheme="majorHAnsi" w:hAnsiTheme="majorHAnsi" w:cstheme="majorHAnsi"/>
          <w:color w:val="0D0D0D" w:themeColor="text1" w:themeTint="F2"/>
          <w:sz w:val="24"/>
          <w:szCs w:val="24"/>
        </w:rPr>
        <w:t>. De remarcat</w:t>
      </w:r>
      <w:r w:rsidR="0043107E" w:rsidRPr="00F34E9D">
        <w:rPr>
          <w:rFonts w:asciiTheme="majorHAnsi" w:hAnsiTheme="majorHAnsi" w:cstheme="majorHAnsi"/>
          <w:color w:val="0D0D0D" w:themeColor="text1" w:themeTint="F2"/>
          <w:sz w:val="24"/>
          <w:szCs w:val="24"/>
        </w:rPr>
        <w:t xml:space="preserve"> că</w:t>
      </w:r>
      <w:r w:rsidRPr="00F34E9D">
        <w:rPr>
          <w:rFonts w:asciiTheme="majorHAnsi" w:hAnsiTheme="majorHAnsi" w:cstheme="majorHAnsi"/>
          <w:color w:val="0D0D0D" w:themeColor="text1" w:themeTint="F2"/>
          <w:sz w:val="24"/>
          <w:szCs w:val="24"/>
          <w:lang w:val="ro-RO"/>
        </w:rPr>
        <w:t xml:space="preserve"> HG nr.98 din 16.06.2021</w:t>
      </w:r>
      <w:r w:rsidRPr="00F34E9D">
        <w:rPr>
          <w:rStyle w:val="a7"/>
          <w:rFonts w:asciiTheme="majorHAnsi" w:hAnsiTheme="majorHAnsi" w:cstheme="majorHAnsi"/>
          <w:color w:val="0D0D0D" w:themeColor="text1" w:themeTint="F2"/>
          <w:sz w:val="24"/>
          <w:szCs w:val="24"/>
          <w:lang w:val="ro-RO"/>
        </w:rPr>
        <w:footnoteReference w:id="43"/>
      </w:r>
      <w:r w:rsidRPr="00F34E9D">
        <w:rPr>
          <w:rFonts w:asciiTheme="majorHAnsi" w:hAnsiTheme="majorHAnsi" w:cstheme="majorHAnsi"/>
          <w:color w:val="0D0D0D" w:themeColor="text1" w:themeTint="F2"/>
          <w:sz w:val="24"/>
          <w:szCs w:val="24"/>
          <w:lang w:val="ro-RO"/>
        </w:rPr>
        <w:t xml:space="preserve"> prevede c</w:t>
      </w:r>
      <w:r w:rsidR="0043107E" w:rsidRPr="00F34E9D">
        <w:rPr>
          <w:rFonts w:asciiTheme="majorHAnsi" w:hAnsiTheme="majorHAnsi" w:cstheme="majorHAnsi"/>
          <w:color w:val="0D0D0D" w:themeColor="text1" w:themeTint="F2"/>
          <w:sz w:val="24"/>
          <w:szCs w:val="24"/>
          <w:lang w:val="ro-RO"/>
        </w:rPr>
        <w:t>ă</w:t>
      </w:r>
      <w:r w:rsidRPr="00F34E9D">
        <w:rPr>
          <w:rFonts w:asciiTheme="majorHAnsi" w:hAnsiTheme="majorHAnsi" w:cstheme="majorHAnsi"/>
          <w:color w:val="0D0D0D" w:themeColor="text1" w:themeTint="F2"/>
          <w:sz w:val="24"/>
          <w:szCs w:val="24"/>
          <w:lang w:val="ro-RO"/>
        </w:rPr>
        <w:t xml:space="preserve"> utilizarea alocațiilor din bugetul de stat este doar pentru pregătirea cadrelor de specialitate cu finanțare bugetară (comanda de stat), fiind interzisă redirecționarea acestora</w:t>
      </w:r>
      <w:r w:rsidR="0043107E" w:rsidRPr="00F34E9D">
        <w:rPr>
          <w:rFonts w:asciiTheme="majorHAnsi" w:hAnsiTheme="majorHAnsi" w:cstheme="majorHAnsi"/>
          <w:color w:val="0D0D0D" w:themeColor="text1" w:themeTint="F2"/>
          <w:sz w:val="24"/>
          <w:szCs w:val="24"/>
          <w:lang w:val="ro-RO"/>
        </w:rPr>
        <w:t xml:space="preserve"> la</w:t>
      </w:r>
      <w:r w:rsidRPr="00F34E9D">
        <w:rPr>
          <w:rFonts w:asciiTheme="majorHAnsi" w:hAnsiTheme="majorHAnsi" w:cstheme="majorHAnsi"/>
          <w:color w:val="0D0D0D" w:themeColor="text1" w:themeTint="F2"/>
          <w:sz w:val="24"/>
          <w:szCs w:val="24"/>
          <w:lang w:val="ro-RO"/>
        </w:rPr>
        <w:t xml:space="preserve"> pregătirea cadrelor care își fac studiile pe bază de contract. </w:t>
      </w:r>
      <w:r w:rsidR="00B54570" w:rsidRPr="00F34E9D">
        <w:rPr>
          <w:rFonts w:asciiTheme="majorHAnsi" w:hAnsiTheme="majorHAnsi" w:cstheme="majorHAnsi"/>
          <w:color w:val="0D0D0D" w:themeColor="text1" w:themeTint="F2"/>
          <w:sz w:val="24"/>
          <w:szCs w:val="24"/>
          <w:lang w:val="ro-RO"/>
        </w:rPr>
        <w:t>Re</w:t>
      </w:r>
      <w:r w:rsidR="00150797" w:rsidRPr="00F34E9D">
        <w:rPr>
          <w:rFonts w:asciiTheme="majorHAnsi" w:hAnsiTheme="majorHAnsi" w:cstheme="majorHAnsi"/>
          <w:color w:val="0D0D0D" w:themeColor="text1" w:themeTint="F2"/>
          <w:sz w:val="24"/>
          <w:szCs w:val="24"/>
          <w:lang w:val="ro-RO"/>
        </w:rPr>
        <w:t>i</w:t>
      </w:r>
      <w:r w:rsidR="00B54570" w:rsidRPr="00F34E9D">
        <w:rPr>
          <w:rFonts w:asciiTheme="majorHAnsi" w:hAnsiTheme="majorHAnsi" w:cstheme="majorHAnsi"/>
          <w:color w:val="0D0D0D" w:themeColor="text1" w:themeTint="F2"/>
          <w:sz w:val="24"/>
          <w:szCs w:val="24"/>
          <w:lang w:val="ro-RO"/>
        </w:rPr>
        <w:t>eșind din cele descrise</w:t>
      </w:r>
      <w:r w:rsidR="00150797" w:rsidRPr="00F34E9D">
        <w:rPr>
          <w:rFonts w:asciiTheme="majorHAnsi" w:hAnsiTheme="majorHAnsi" w:cstheme="majorHAnsi"/>
          <w:color w:val="0D0D0D" w:themeColor="text1" w:themeTint="F2"/>
          <w:sz w:val="24"/>
          <w:szCs w:val="24"/>
          <w:lang w:val="ro-RO"/>
        </w:rPr>
        <w:t>,</w:t>
      </w:r>
      <w:r w:rsidR="000766EC" w:rsidRPr="00F34E9D">
        <w:rPr>
          <w:rFonts w:asciiTheme="majorHAnsi" w:hAnsiTheme="majorHAnsi" w:cstheme="majorHAnsi"/>
          <w:color w:val="0D0D0D" w:themeColor="text1" w:themeTint="F2"/>
          <w:sz w:val="24"/>
          <w:szCs w:val="24"/>
          <w:lang w:val="ro-RO"/>
        </w:rPr>
        <w:t xml:space="preserve"> se relevă că </w:t>
      </w:r>
      <w:r w:rsidR="000766EC" w:rsidRPr="00F34E9D">
        <w:rPr>
          <w:rFonts w:asciiTheme="majorHAnsi" w:hAnsiTheme="majorHAnsi" w:cstheme="majorHAnsi"/>
          <w:bCs/>
          <w:color w:val="0D0D0D" w:themeColor="text1" w:themeTint="F2"/>
          <w:sz w:val="24"/>
          <w:szCs w:val="24"/>
        </w:rPr>
        <w:t>cheltuielile</w:t>
      </w:r>
      <w:r w:rsidR="00B54570" w:rsidRPr="00F34E9D">
        <w:rPr>
          <w:rFonts w:asciiTheme="majorHAnsi" w:hAnsiTheme="majorHAnsi" w:cstheme="majorHAnsi"/>
          <w:bCs/>
          <w:color w:val="0D0D0D" w:themeColor="text1" w:themeTint="F2"/>
          <w:sz w:val="24"/>
          <w:szCs w:val="24"/>
        </w:rPr>
        <w:t xml:space="preserve"> executate ale procesului de studii aferente alocațiilor bugetare au fost raportate neregulamentar, </w:t>
      </w:r>
      <w:r w:rsidR="00B54570" w:rsidRPr="00F34E9D">
        <w:rPr>
          <w:rFonts w:asciiTheme="majorHAnsi" w:eastAsia="Calibri" w:hAnsiTheme="majorHAnsi" w:cstheme="majorHAnsi"/>
          <w:color w:val="0D0D0D" w:themeColor="text1" w:themeTint="F2"/>
          <w:sz w:val="24"/>
          <w:szCs w:val="24"/>
        </w:rPr>
        <w:t>situație constatată și în rapoartele de audit din anii precedenți, ce</w:t>
      </w:r>
      <w:r w:rsidR="0043107E" w:rsidRPr="00F34E9D">
        <w:rPr>
          <w:rFonts w:asciiTheme="majorHAnsi" w:eastAsia="Calibri" w:hAnsiTheme="majorHAnsi" w:cstheme="majorHAnsi"/>
          <w:color w:val="0D0D0D" w:themeColor="text1" w:themeTint="F2"/>
          <w:sz w:val="24"/>
          <w:szCs w:val="24"/>
        </w:rPr>
        <w:t>e</w:t>
      </w:r>
      <w:r w:rsidR="00B54570" w:rsidRPr="00F34E9D">
        <w:rPr>
          <w:rFonts w:asciiTheme="majorHAnsi" w:eastAsia="Calibri" w:hAnsiTheme="majorHAnsi" w:cstheme="majorHAnsi"/>
          <w:color w:val="0D0D0D" w:themeColor="text1" w:themeTint="F2"/>
          <w:sz w:val="24"/>
          <w:szCs w:val="24"/>
        </w:rPr>
        <w:t xml:space="preserve">a ce determină </w:t>
      </w:r>
      <w:r w:rsidR="00B54570" w:rsidRPr="00F34E9D">
        <w:rPr>
          <w:rFonts w:asciiTheme="majorHAnsi" w:hAnsiTheme="majorHAnsi" w:cstheme="majorHAnsi"/>
          <w:bCs/>
          <w:color w:val="0D0D0D" w:themeColor="text1" w:themeTint="F2"/>
          <w:sz w:val="24"/>
          <w:szCs w:val="24"/>
        </w:rPr>
        <w:t>supraevaluarea cheltuielilor aferente serviciilor pentru realizarea planului „Comenzii de stat”</w:t>
      </w:r>
      <w:r w:rsidR="00B54570" w:rsidRPr="00F34E9D">
        <w:rPr>
          <w:rFonts w:asciiTheme="majorHAnsi" w:eastAsia="Calibri" w:hAnsiTheme="majorHAnsi" w:cstheme="majorHAnsi"/>
          <w:color w:val="0D0D0D" w:themeColor="text1" w:themeTint="F2"/>
          <w:sz w:val="24"/>
          <w:szCs w:val="24"/>
        </w:rPr>
        <w:t xml:space="preserve"> în sumă totală de circa </w:t>
      </w:r>
      <w:r w:rsidR="00150797" w:rsidRPr="00F34E9D">
        <w:rPr>
          <w:rFonts w:asciiTheme="majorHAnsi" w:eastAsia="Calibri" w:hAnsiTheme="majorHAnsi" w:cstheme="majorHAnsi"/>
          <w:color w:val="0D0D0D" w:themeColor="text1" w:themeTint="F2"/>
          <w:sz w:val="24"/>
          <w:szCs w:val="24"/>
        </w:rPr>
        <w:t>336,7</w:t>
      </w:r>
      <w:r w:rsidR="00B54570" w:rsidRPr="00F34E9D">
        <w:rPr>
          <w:rFonts w:asciiTheme="majorHAnsi" w:eastAsia="Calibri" w:hAnsiTheme="majorHAnsi" w:cstheme="majorHAnsi"/>
          <w:color w:val="0D0D0D" w:themeColor="text1" w:themeTint="F2"/>
          <w:sz w:val="24"/>
          <w:szCs w:val="24"/>
        </w:rPr>
        <w:t xml:space="preserve"> mi</w:t>
      </w:r>
      <w:r w:rsidR="00150797" w:rsidRPr="00F34E9D">
        <w:rPr>
          <w:rFonts w:asciiTheme="majorHAnsi" w:eastAsia="Calibri" w:hAnsiTheme="majorHAnsi" w:cstheme="majorHAnsi"/>
          <w:color w:val="0D0D0D" w:themeColor="text1" w:themeTint="F2"/>
          <w:sz w:val="24"/>
          <w:szCs w:val="24"/>
        </w:rPr>
        <w:t>l.</w:t>
      </w:r>
      <w:r w:rsidR="00B54570" w:rsidRPr="00F34E9D">
        <w:rPr>
          <w:rFonts w:asciiTheme="majorHAnsi" w:eastAsia="Calibri" w:hAnsiTheme="majorHAnsi" w:cstheme="majorHAnsi"/>
          <w:color w:val="0D0D0D" w:themeColor="text1" w:themeTint="F2"/>
          <w:sz w:val="24"/>
          <w:szCs w:val="24"/>
        </w:rPr>
        <w:t xml:space="preserve"> lei</w:t>
      </w:r>
      <w:r w:rsidR="00150797" w:rsidRPr="00F34E9D">
        <w:rPr>
          <w:rStyle w:val="a7"/>
          <w:rFonts w:asciiTheme="majorHAnsi" w:eastAsia="Calibri" w:hAnsiTheme="majorHAnsi" w:cstheme="majorHAnsi"/>
          <w:color w:val="0D0D0D" w:themeColor="text1" w:themeTint="F2"/>
          <w:sz w:val="24"/>
          <w:szCs w:val="24"/>
        </w:rPr>
        <w:footnoteReference w:id="44"/>
      </w:r>
      <w:r w:rsidR="00A24959" w:rsidRPr="00F34E9D">
        <w:rPr>
          <w:rFonts w:asciiTheme="majorHAnsi" w:eastAsia="Calibri" w:hAnsiTheme="majorHAnsi" w:cstheme="majorHAnsi"/>
          <w:color w:val="0D0D0D" w:themeColor="text1" w:themeTint="F2"/>
          <w:sz w:val="24"/>
          <w:szCs w:val="24"/>
        </w:rPr>
        <w:t>;</w:t>
      </w:r>
    </w:p>
    <w:p w14:paraId="0109DBF2" w14:textId="3CF5D87E" w:rsidR="001F7A24" w:rsidRPr="00F34E9D" w:rsidRDefault="005E7679" w:rsidP="008429AE">
      <w:pPr>
        <w:pStyle w:val="a3"/>
        <w:numPr>
          <w:ilvl w:val="0"/>
          <w:numId w:val="5"/>
        </w:numPr>
        <w:tabs>
          <w:tab w:val="left" w:pos="284"/>
          <w:tab w:val="left" w:pos="851"/>
        </w:tabs>
        <w:spacing w:after="0" w:line="276" w:lineRule="auto"/>
        <w:ind w:left="0" w:firstLine="0"/>
        <w:jc w:val="both"/>
        <w:rPr>
          <w:rFonts w:asciiTheme="majorHAnsi" w:hAnsiTheme="majorHAnsi" w:cstheme="majorHAnsi"/>
          <w:color w:val="0D0D0D" w:themeColor="text1" w:themeTint="F2"/>
          <w:sz w:val="24"/>
          <w:szCs w:val="24"/>
        </w:rPr>
      </w:pPr>
      <w:r w:rsidRPr="00F34E9D">
        <w:rPr>
          <w:rFonts w:asciiTheme="majorHAnsi" w:hAnsiTheme="majorHAnsi" w:cstheme="majorHAnsi"/>
          <w:color w:val="0D0D0D" w:themeColor="text1" w:themeTint="F2"/>
          <w:sz w:val="24"/>
          <w:szCs w:val="24"/>
        </w:rPr>
        <w:t>MEC</w:t>
      </w:r>
      <w:r w:rsidR="00A24959" w:rsidRPr="00F34E9D">
        <w:rPr>
          <w:rFonts w:asciiTheme="majorHAnsi" w:hAnsiTheme="majorHAnsi" w:cstheme="majorHAnsi"/>
          <w:color w:val="0D0D0D" w:themeColor="text1" w:themeTint="F2"/>
          <w:sz w:val="24"/>
          <w:szCs w:val="24"/>
        </w:rPr>
        <w:t>,</w:t>
      </w:r>
      <w:r w:rsidRPr="00F34E9D">
        <w:rPr>
          <w:rFonts w:asciiTheme="majorHAnsi" w:hAnsiTheme="majorHAnsi" w:cstheme="majorHAnsi"/>
          <w:color w:val="0D0D0D" w:themeColor="text1" w:themeTint="F2"/>
          <w:sz w:val="24"/>
          <w:szCs w:val="24"/>
          <w:lang w:val="ro-RO"/>
        </w:rPr>
        <w:t xml:space="preserve"> </w:t>
      </w:r>
      <w:r w:rsidR="001F7A24" w:rsidRPr="00F34E9D">
        <w:rPr>
          <w:rFonts w:asciiTheme="majorHAnsi" w:hAnsiTheme="majorHAnsi" w:cstheme="majorHAnsi"/>
          <w:color w:val="0D0D0D" w:themeColor="text1" w:themeTint="F2"/>
          <w:sz w:val="24"/>
          <w:szCs w:val="24"/>
          <w:lang w:val="ro-RO"/>
        </w:rPr>
        <w:t xml:space="preserve">prin </w:t>
      </w:r>
      <w:r w:rsidR="00A24959" w:rsidRPr="00F34E9D">
        <w:rPr>
          <w:rFonts w:asciiTheme="majorHAnsi" w:hAnsiTheme="majorHAnsi" w:cstheme="majorHAnsi"/>
          <w:color w:val="0D0D0D" w:themeColor="text1" w:themeTint="F2"/>
          <w:sz w:val="24"/>
          <w:szCs w:val="24"/>
        </w:rPr>
        <w:t>O</w:t>
      </w:r>
      <w:r w:rsidR="001F7A24" w:rsidRPr="00F34E9D">
        <w:rPr>
          <w:rFonts w:asciiTheme="majorHAnsi" w:hAnsiTheme="majorHAnsi" w:cstheme="majorHAnsi"/>
          <w:color w:val="0D0D0D" w:themeColor="text1" w:themeTint="F2"/>
          <w:sz w:val="24"/>
          <w:szCs w:val="24"/>
        </w:rPr>
        <w:t>rdinul nr.1535 din 16.11.2021</w:t>
      </w:r>
      <w:r w:rsidR="00A24959" w:rsidRPr="00F34E9D">
        <w:rPr>
          <w:rFonts w:asciiTheme="majorHAnsi" w:hAnsiTheme="majorHAnsi" w:cstheme="majorHAnsi"/>
          <w:color w:val="0D0D0D" w:themeColor="text1" w:themeTint="F2"/>
          <w:sz w:val="24"/>
          <w:szCs w:val="24"/>
        </w:rPr>
        <w:t>,</w:t>
      </w:r>
      <w:r w:rsidR="001F7A24" w:rsidRPr="00F34E9D">
        <w:rPr>
          <w:rFonts w:asciiTheme="majorHAnsi" w:hAnsiTheme="majorHAnsi" w:cstheme="majorHAnsi"/>
          <w:color w:val="0D0D0D" w:themeColor="text1" w:themeTint="F2"/>
          <w:sz w:val="24"/>
          <w:szCs w:val="24"/>
        </w:rPr>
        <w:t xml:space="preserve"> a aprobat precizarea</w:t>
      </w:r>
      <w:r w:rsidR="006374BF" w:rsidRPr="00F34E9D">
        <w:rPr>
          <w:rFonts w:asciiTheme="majorHAnsi" w:hAnsiTheme="majorHAnsi" w:cstheme="majorHAnsi"/>
          <w:color w:val="0D0D0D" w:themeColor="text1" w:themeTint="F2"/>
          <w:sz w:val="24"/>
          <w:szCs w:val="24"/>
        </w:rPr>
        <w:t xml:space="preserve"> (majorarea)</w:t>
      </w:r>
      <w:r w:rsidR="001F7A24" w:rsidRPr="00F34E9D">
        <w:rPr>
          <w:rFonts w:asciiTheme="majorHAnsi" w:hAnsiTheme="majorHAnsi" w:cstheme="majorHAnsi"/>
          <w:color w:val="0D0D0D" w:themeColor="text1" w:themeTint="F2"/>
          <w:sz w:val="24"/>
          <w:szCs w:val="24"/>
        </w:rPr>
        <w:t xml:space="preserve"> alocațiilor pentru costurile de instruire pe programe de studii în valoare de 6</w:t>
      </w:r>
      <w:r w:rsidR="006374BF" w:rsidRPr="00F34E9D">
        <w:rPr>
          <w:rFonts w:asciiTheme="majorHAnsi" w:hAnsiTheme="majorHAnsi" w:cstheme="majorHAnsi"/>
          <w:color w:val="0D0D0D" w:themeColor="text1" w:themeTint="F2"/>
          <w:sz w:val="24"/>
          <w:szCs w:val="24"/>
        </w:rPr>
        <w:t>,</w:t>
      </w:r>
      <w:r w:rsidR="001F7A24" w:rsidRPr="00F34E9D">
        <w:rPr>
          <w:rFonts w:asciiTheme="majorHAnsi" w:hAnsiTheme="majorHAnsi" w:cstheme="majorHAnsi"/>
          <w:color w:val="0D0D0D" w:themeColor="text1" w:themeTint="F2"/>
          <w:sz w:val="24"/>
          <w:szCs w:val="24"/>
        </w:rPr>
        <w:t>96 mil. lei pentru 7 instituții de învățământ profesional tehnic-post secundar și cu 5</w:t>
      </w:r>
      <w:r w:rsidR="006374BF" w:rsidRPr="00F34E9D">
        <w:rPr>
          <w:rFonts w:asciiTheme="majorHAnsi" w:hAnsiTheme="majorHAnsi" w:cstheme="majorHAnsi"/>
          <w:color w:val="0D0D0D" w:themeColor="text1" w:themeTint="F2"/>
          <w:sz w:val="24"/>
          <w:szCs w:val="24"/>
        </w:rPr>
        <w:t>,</w:t>
      </w:r>
      <w:r w:rsidR="001F7A24" w:rsidRPr="00F34E9D">
        <w:rPr>
          <w:rFonts w:asciiTheme="majorHAnsi" w:hAnsiTheme="majorHAnsi" w:cstheme="majorHAnsi"/>
          <w:color w:val="0D0D0D" w:themeColor="text1" w:themeTint="F2"/>
          <w:sz w:val="24"/>
          <w:szCs w:val="24"/>
        </w:rPr>
        <w:t>1 mil</w:t>
      </w:r>
      <w:r w:rsidR="00735CCA" w:rsidRPr="00F34E9D">
        <w:rPr>
          <w:rFonts w:asciiTheme="majorHAnsi" w:hAnsiTheme="majorHAnsi" w:cstheme="majorHAnsi"/>
          <w:color w:val="0D0D0D" w:themeColor="text1" w:themeTint="F2"/>
          <w:sz w:val="24"/>
          <w:szCs w:val="24"/>
        </w:rPr>
        <w:t>.</w:t>
      </w:r>
      <w:r w:rsidR="001F7A24" w:rsidRPr="00F34E9D">
        <w:rPr>
          <w:rFonts w:asciiTheme="majorHAnsi" w:hAnsiTheme="majorHAnsi" w:cstheme="majorHAnsi"/>
          <w:color w:val="0D0D0D" w:themeColor="text1" w:themeTint="F2"/>
          <w:sz w:val="24"/>
          <w:szCs w:val="24"/>
        </w:rPr>
        <w:t xml:space="preserve"> lei pentru 10 instituții de învățământ profesional tehnic secundar</w:t>
      </w:r>
      <w:r w:rsidR="006374BF" w:rsidRPr="00F34E9D">
        <w:rPr>
          <w:rFonts w:asciiTheme="majorHAnsi" w:hAnsiTheme="majorHAnsi" w:cstheme="majorHAnsi"/>
          <w:color w:val="0D0D0D" w:themeColor="text1" w:themeTint="F2"/>
          <w:sz w:val="24"/>
          <w:szCs w:val="24"/>
        </w:rPr>
        <w:t xml:space="preserve">, </w:t>
      </w:r>
      <w:r w:rsidR="001F7A24" w:rsidRPr="00F34E9D">
        <w:rPr>
          <w:rFonts w:asciiTheme="majorHAnsi" w:hAnsiTheme="majorHAnsi" w:cstheme="majorHAnsi"/>
          <w:color w:val="0D0D0D" w:themeColor="text1" w:themeTint="F2"/>
          <w:sz w:val="24"/>
          <w:szCs w:val="24"/>
        </w:rPr>
        <w:t xml:space="preserve">cu abateri </w:t>
      </w:r>
      <w:r w:rsidR="006374BF" w:rsidRPr="00F34E9D">
        <w:rPr>
          <w:rFonts w:asciiTheme="majorHAnsi" w:hAnsiTheme="majorHAnsi" w:cstheme="majorHAnsi"/>
          <w:color w:val="0D0D0D" w:themeColor="text1" w:themeTint="F2"/>
          <w:sz w:val="24"/>
          <w:szCs w:val="24"/>
        </w:rPr>
        <w:t xml:space="preserve">de la </w:t>
      </w:r>
      <w:r w:rsidR="001F7A24" w:rsidRPr="00F34E9D">
        <w:rPr>
          <w:rFonts w:asciiTheme="majorHAnsi" w:hAnsiTheme="majorHAnsi" w:cstheme="majorHAnsi"/>
          <w:color w:val="0D0D0D" w:themeColor="text1" w:themeTint="F2"/>
          <w:sz w:val="24"/>
          <w:szCs w:val="24"/>
        </w:rPr>
        <w:t>cerințele pct. 11 din Regulamentul privind finanțarea în bază de cost per elev a instituțiilor publice de învățământ profesional tehnic</w:t>
      </w:r>
      <w:r w:rsidR="00CE6BF6" w:rsidRPr="00F34E9D">
        <w:rPr>
          <w:rFonts w:asciiTheme="majorHAnsi" w:hAnsiTheme="majorHAnsi" w:cstheme="majorHAnsi"/>
          <w:color w:val="0D0D0D" w:themeColor="text1" w:themeTint="F2"/>
          <w:sz w:val="24"/>
          <w:szCs w:val="24"/>
        </w:rPr>
        <w:t>,</w:t>
      </w:r>
      <w:r w:rsidR="001F7A24" w:rsidRPr="00F34E9D">
        <w:rPr>
          <w:rFonts w:asciiTheme="majorHAnsi" w:hAnsiTheme="majorHAnsi" w:cstheme="majorHAnsi"/>
          <w:color w:val="0D0D0D" w:themeColor="text1" w:themeTint="F2"/>
          <w:sz w:val="24"/>
          <w:szCs w:val="24"/>
        </w:rPr>
        <w:t xml:space="preserve"> aprobat prin HG nr.1077 din </w:t>
      </w:r>
      <w:r w:rsidR="00C92E10" w:rsidRPr="00F34E9D">
        <w:rPr>
          <w:rFonts w:asciiTheme="majorHAnsi" w:eastAsia="Times New Roman" w:hAnsiTheme="majorHAnsi" w:cstheme="majorHAnsi"/>
          <w:color w:val="0D0D0D" w:themeColor="text1" w:themeTint="F2"/>
          <w:sz w:val="24"/>
          <w:szCs w:val="24"/>
        </w:rPr>
        <w:t>23.09.</w:t>
      </w:r>
      <w:r w:rsidR="001F7A24" w:rsidRPr="00F34E9D">
        <w:rPr>
          <w:rFonts w:asciiTheme="majorHAnsi" w:hAnsiTheme="majorHAnsi" w:cstheme="majorHAnsi"/>
          <w:color w:val="0D0D0D" w:themeColor="text1" w:themeTint="F2"/>
          <w:sz w:val="24"/>
          <w:szCs w:val="24"/>
        </w:rPr>
        <w:t>2016. Totodată, MEC nu a întreprins măsuri pentru diminuarea alocațiilor bugetare pentru 23 instituții de învățământ profesional tehnic-secundar la care contingentul de elevi s</w:t>
      </w:r>
      <w:r w:rsidR="00735CCA" w:rsidRPr="00F34E9D">
        <w:rPr>
          <w:rFonts w:asciiTheme="majorHAnsi" w:hAnsiTheme="majorHAnsi" w:cstheme="majorHAnsi"/>
          <w:color w:val="0D0D0D" w:themeColor="text1" w:themeTint="F2"/>
          <w:sz w:val="24"/>
          <w:szCs w:val="24"/>
        </w:rPr>
        <w:t>-</w:t>
      </w:r>
      <w:r w:rsidR="001F7A24" w:rsidRPr="00F34E9D">
        <w:rPr>
          <w:rFonts w:asciiTheme="majorHAnsi" w:hAnsiTheme="majorHAnsi" w:cstheme="majorHAnsi"/>
          <w:color w:val="0D0D0D" w:themeColor="text1" w:themeTint="F2"/>
          <w:sz w:val="24"/>
          <w:szCs w:val="24"/>
        </w:rPr>
        <w:t>a micșorat cu 537</w:t>
      </w:r>
      <w:r w:rsidR="00CE6BF6" w:rsidRPr="00F34E9D">
        <w:rPr>
          <w:rFonts w:asciiTheme="majorHAnsi" w:hAnsiTheme="majorHAnsi" w:cstheme="majorHAnsi"/>
          <w:color w:val="0D0D0D" w:themeColor="text1" w:themeTint="F2"/>
          <w:sz w:val="24"/>
          <w:szCs w:val="24"/>
        </w:rPr>
        <w:t xml:space="preserve"> de</w:t>
      </w:r>
      <w:r w:rsidR="001F7A24" w:rsidRPr="00F34E9D">
        <w:rPr>
          <w:rFonts w:asciiTheme="majorHAnsi" w:hAnsiTheme="majorHAnsi" w:cstheme="majorHAnsi"/>
          <w:color w:val="0D0D0D" w:themeColor="text1" w:themeTint="F2"/>
          <w:sz w:val="24"/>
          <w:szCs w:val="24"/>
        </w:rPr>
        <w:t xml:space="preserve"> elevi la finele anului </w:t>
      </w:r>
      <w:r w:rsidR="00CE6BF6" w:rsidRPr="00F34E9D">
        <w:rPr>
          <w:rFonts w:asciiTheme="majorHAnsi" w:hAnsiTheme="majorHAnsi" w:cstheme="majorHAnsi"/>
          <w:color w:val="0D0D0D" w:themeColor="text1" w:themeTint="F2"/>
          <w:sz w:val="24"/>
          <w:szCs w:val="24"/>
        </w:rPr>
        <w:t>(</w:t>
      </w:r>
      <w:r w:rsidR="001F7A24" w:rsidRPr="00F34E9D">
        <w:rPr>
          <w:rFonts w:asciiTheme="majorHAnsi" w:hAnsiTheme="majorHAnsi" w:cstheme="majorHAnsi"/>
          <w:color w:val="0D0D0D" w:themeColor="text1" w:themeTint="F2"/>
          <w:sz w:val="24"/>
          <w:szCs w:val="24"/>
        </w:rPr>
        <w:t>31.12.2021</w:t>
      </w:r>
      <w:r w:rsidR="00CE6BF6" w:rsidRPr="00F34E9D">
        <w:rPr>
          <w:rFonts w:asciiTheme="majorHAnsi" w:hAnsiTheme="majorHAnsi" w:cstheme="majorHAnsi"/>
          <w:color w:val="0D0D0D" w:themeColor="text1" w:themeTint="F2"/>
          <w:sz w:val="24"/>
          <w:szCs w:val="24"/>
        </w:rPr>
        <w:t>)</w:t>
      </w:r>
      <w:r w:rsidR="001F7A24" w:rsidRPr="00F34E9D">
        <w:rPr>
          <w:rFonts w:asciiTheme="majorHAnsi" w:hAnsiTheme="majorHAnsi" w:cstheme="majorHAnsi"/>
          <w:color w:val="0D0D0D" w:themeColor="text1" w:themeTint="F2"/>
          <w:sz w:val="24"/>
          <w:szCs w:val="24"/>
        </w:rPr>
        <w:t xml:space="preserve"> față de începutul anului </w:t>
      </w:r>
      <w:r w:rsidR="00CE6BF6" w:rsidRPr="00F34E9D">
        <w:rPr>
          <w:rFonts w:asciiTheme="majorHAnsi" w:hAnsiTheme="majorHAnsi" w:cstheme="majorHAnsi"/>
          <w:color w:val="0D0D0D" w:themeColor="text1" w:themeTint="F2"/>
          <w:sz w:val="24"/>
          <w:szCs w:val="24"/>
        </w:rPr>
        <w:t>(</w:t>
      </w:r>
      <w:r w:rsidR="001F7A24" w:rsidRPr="00F34E9D">
        <w:rPr>
          <w:rFonts w:asciiTheme="majorHAnsi" w:hAnsiTheme="majorHAnsi" w:cstheme="majorHAnsi"/>
          <w:color w:val="0D0D0D" w:themeColor="text1" w:themeTint="F2"/>
          <w:sz w:val="24"/>
          <w:szCs w:val="24"/>
        </w:rPr>
        <w:t>01.01.2021</w:t>
      </w:r>
      <w:r w:rsidR="00CE6BF6" w:rsidRPr="00F34E9D">
        <w:rPr>
          <w:rFonts w:asciiTheme="majorHAnsi" w:hAnsiTheme="majorHAnsi" w:cstheme="majorHAnsi"/>
          <w:color w:val="0D0D0D" w:themeColor="text1" w:themeTint="F2"/>
          <w:sz w:val="24"/>
          <w:szCs w:val="24"/>
        </w:rPr>
        <w:t>)</w:t>
      </w:r>
      <w:r w:rsidR="00D31D4F" w:rsidRPr="00F34E9D">
        <w:rPr>
          <w:rFonts w:asciiTheme="majorHAnsi" w:hAnsiTheme="majorHAnsi" w:cstheme="majorHAnsi"/>
          <w:color w:val="0D0D0D" w:themeColor="text1" w:themeTint="F2"/>
          <w:sz w:val="24"/>
          <w:szCs w:val="24"/>
        </w:rPr>
        <w:t>;</w:t>
      </w:r>
    </w:p>
    <w:p w14:paraId="724771EE" w14:textId="5FF67237" w:rsidR="000D55F0" w:rsidRPr="00F34E9D" w:rsidRDefault="0006531F" w:rsidP="008429AE">
      <w:pPr>
        <w:pStyle w:val="a3"/>
        <w:numPr>
          <w:ilvl w:val="0"/>
          <w:numId w:val="5"/>
        </w:numPr>
        <w:tabs>
          <w:tab w:val="left" w:pos="284"/>
          <w:tab w:val="left" w:pos="851"/>
        </w:tabs>
        <w:spacing w:after="0" w:line="276" w:lineRule="auto"/>
        <w:ind w:left="0" w:firstLine="0"/>
        <w:jc w:val="both"/>
        <w:rPr>
          <w:rFonts w:asciiTheme="majorHAnsi" w:hAnsiTheme="majorHAnsi" w:cstheme="majorHAnsi"/>
          <w:color w:val="0D0D0D" w:themeColor="text1" w:themeTint="F2"/>
          <w:sz w:val="24"/>
          <w:szCs w:val="24"/>
        </w:rPr>
      </w:pPr>
      <w:r w:rsidRPr="00F34E9D">
        <w:rPr>
          <w:rFonts w:asciiTheme="majorHAnsi" w:eastAsia="Times New Roman" w:hAnsiTheme="majorHAnsi" w:cstheme="majorHAnsi"/>
          <w:bCs/>
          <w:color w:val="0D0D0D" w:themeColor="text1" w:themeTint="F2"/>
          <w:sz w:val="24"/>
          <w:szCs w:val="24"/>
        </w:rPr>
        <w:t>MEC nu își onorează</w:t>
      </w:r>
      <w:r w:rsidR="000D55F0" w:rsidRPr="00F34E9D">
        <w:rPr>
          <w:rFonts w:asciiTheme="majorHAnsi" w:eastAsia="Times New Roman" w:hAnsiTheme="majorHAnsi" w:cstheme="majorHAnsi"/>
          <w:bCs/>
          <w:color w:val="0D0D0D" w:themeColor="text1" w:themeTint="F2"/>
          <w:sz w:val="24"/>
          <w:szCs w:val="24"/>
        </w:rPr>
        <w:t xml:space="preserve"> drepturile sale de fondator specificate în pct. 4.4.1 din contractele de prestare a serviciilor</w:t>
      </w:r>
      <w:r w:rsidR="000D55F0" w:rsidRPr="00F34E9D">
        <w:rPr>
          <w:rFonts w:asciiTheme="majorHAnsi" w:hAnsiTheme="majorHAnsi" w:cstheme="majorHAnsi"/>
          <w:color w:val="0D0D0D" w:themeColor="text1" w:themeTint="F2"/>
          <w:sz w:val="24"/>
          <w:szCs w:val="24"/>
          <w:lang w:val="ro-RO"/>
        </w:rPr>
        <w:t xml:space="preserve"> </w:t>
      </w:r>
      <w:r w:rsidR="000D55F0" w:rsidRPr="00F34E9D">
        <w:rPr>
          <w:rFonts w:asciiTheme="majorHAnsi" w:eastAsia="Times New Roman" w:hAnsiTheme="majorHAnsi" w:cstheme="majorHAnsi"/>
          <w:color w:val="0D0D0D" w:themeColor="text1" w:themeTint="F2"/>
          <w:sz w:val="24"/>
          <w:szCs w:val="24"/>
          <w:lang w:val="ro-RO" w:eastAsia="ru-RU"/>
        </w:rPr>
        <w:t xml:space="preserve">încheiate cu </w:t>
      </w:r>
      <w:r w:rsidR="000D55F0" w:rsidRPr="00F34E9D">
        <w:rPr>
          <w:rFonts w:asciiTheme="majorHAnsi" w:hAnsiTheme="majorHAnsi" w:cstheme="majorHAnsi"/>
          <w:color w:val="0D0D0D" w:themeColor="text1" w:themeTint="F2"/>
          <w:sz w:val="24"/>
          <w:szCs w:val="24"/>
          <w:lang w:val="ro-RO"/>
        </w:rPr>
        <w:t xml:space="preserve">instituțiile de învățământ profesional tehnic </w:t>
      </w:r>
      <w:r w:rsidR="00F22F06" w:rsidRPr="00F34E9D">
        <w:rPr>
          <w:rFonts w:asciiTheme="majorHAnsi" w:hAnsiTheme="majorHAnsi" w:cstheme="majorHAnsi"/>
          <w:color w:val="0D0D0D" w:themeColor="text1" w:themeTint="F2"/>
          <w:sz w:val="24"/>
          <w:szCs w:val="24"/>
          <w:lang w:val="ro-RO"/>
        </w:rPr>
        <w:t>și</w:t>
      </w:r>
      <w:r w:rsidR="000D55F0" w:rsidRPr="00F34E9D">
        <w:rPr>
          <w:rFonts w:asciiTheme="majorHAnsi" w:hAnsiTheme="majorHAnsi" w:cstheme="majorHAnsi"/>
          <w:color w:val="0D0D0D" w:themeColor="text1" w:themeTint="F2"/>
          <w:sz w:val="24"/>
          <w:szCs w:val="24"/>
          <w:lang w:val="ro-RO"/>
        </w:rPr>
        <w:t xml:space="preserve"> s</w:t>
      </w:r>
      <w:r w:rsidR="00F22F06" w:rsidRPr="00F34E9D">
        <w:rPr>
          <w:rFonts w:asciiTheme="majorHAnsi" w:hAnsiTheme="majorHAnsi" w:cstheme="majorHAnsi"/>
          <w:color w:val="0D0D0D" w:themeColor="text1" w:themeTint="F2"/>
          <w:sz w:val="24"/>
          <w:szCs w:val="24"/>
          <w:lang w:val="ro-RO"/>
        </w:rPr>
        <w:t>uperior</w:t>
      </w:r>
      <w:r w:rsidR="000D55F0" w:rsidRPr="00F34E9D">
        <w:rPr>
          <w:rFonts w:asciiTheme="majorHAnsi" w:hAnsiTheme="majorHAnsi" w:cstheme="majorHAnsi"/>
          <w:color w:val="0D0D0D" w:themeColor="text1" w:themeTint="F2"/>
          <w:sz w:val="24"/>
          <w:szCs w:val="24"/>
          <w:lang w:val="ro-RO"/>
        </w:rPr>
        <w:t>,</w:t>
      </w:r>
      <w:r w:rsidR="000D55F0" w:rsidRPr="00F34E9D">
        <w:rPr>
          <w:rFonts w:asciiTheme="majorHAnsi" w:eastAsia="Times New Roman" w:hAnsiTheme="majorHAnsi" w:cstheme="majorHAnsi"/>
          <w:bCs/>
          <w:color w:val="0D0D0D" w:themeColor="text1" w:themeTint="F2"/>
          <w:sz w:val="24"/>
          <w:szCs w:val="24"/>
        </w:rPr>
        <w:t xml:space="preserve"> care prevede verificarea volumului, calității și costului serviciilor, precum și gestionarea mijloacelor financiare în corespundere cu clauzele contractuale. </w:t>
      </w:r>
      <w:r w:rsidR="00D31D4F" w:rsidRPr="00F34E9D">
        <w:rPr>
          <w:rFonts w:asciiTheme="majorHAnsi" w:eastAsia="Times New Roman" w:hAnsiTheme="majorHAnsi" w:cstheme="majorHAnsi"/>
          <w:bCs/>
          <w:color w:val="0D0D0D" w:themeColor="text1" w:themeTint="F2"/>
          <w:sz w:val="24"/>
          <w:szCs w:val="24"/>
        </w:rPr>
        <w:t>Drept</w:t>
      </w:r>
      <w:r w:rsidR="000D55F0" w:rsidRPr="00F34E9D">
        <w:rPr>
          <w:rFonts w:asciiTheme="majorHAnsi" w:eastAsia="Times New Roman" w:hAnsiTheme="majorHAnsi" w:cstheme="majorHAnsi"/>
          <w:bCs/>
          <w:color w:val="0D0D0D" w:themeColor="text1" w:themeTint="F2"/>
          <w:sz w:val="24"/>
          <w:szCs w:val="24"/>
        </w:rPr>
        <w:t xml:space="preserve"> rezultat, soldul în conturile instituțiilor de învățământ </w:t>
      </w:r>
      <w:r w:rsidR="000D55F0" w:rsidRPr="00F34E9D">
        <w:rPr>
          <w:rFonts w:asciiTheme="majorHAnsi" w:hAnsiTheme="majorHAnsi" w:cstheme="majorHAnsi"/>
          <w:color w:val="0D0D0D" w:themeColor="text1" w:themeTint="F2"/>
          <w:sz w:val="24"/>
          <w:szCs w:val="24"/>
        </w:rPr>
        <w:t>profesional tehni</w:t>
      </w:r>
      <w:r w:rsidR="002C3C82" w:rsidRPr="00F34E9D">
        <w:rPr>
          <w:rFonts w:asciiTheme="majorHAnsi" w:hAnsiTheme="majorHAnsi" w:cstheme="majorHAnsi"/>
          <w:color w:val="0D0D0D" w:themeColor="text1" w:themeTint="F2"/>
          <w:sz w:val="24"/>
          <w:szCs w:val="24"/>
        </w:rPr>
        <w:t xml:space="preserve">c secundar </w:t>
      </w:r>
      <w:r w:rsidR="00D31D4F" w:rsidRPr="00F34E9D">
        <w:rPr>
          <w:rFonts w:asciiTheme="majorHAnsi" w:hAnsiTheme="majorHAnsi" w:cstheme="majorHAnsi"/>
          <w:color w:val="0D0D0D" w:themeColor="text1" w:themeTint="F2"/>
          <w:sz w:val="24"/>
          <w:szCs w:val="24"/>
        </w:rPr>
        <w:t>constituie</w:t>
      </w:r>
      <w:r w:rsidR="002C3C82" w:rsidRPr="00F34E9D">
        <w:rPr>
          <w:rFonts w:asciiTheme="majorHAnsi" w:hAnsiTheme="majorHAnsi" w:cstheme="majorHAnsi"/>
          <w:color w:val="0D0D0D" w:themeColor="text1" w:themeTint="F2"/>
          <w:sz w:val="24"/>
          <w:szCs w:val="24"/>
        </w:rPr>
        <w:t xml:space="preserve"> 10,</w:t>
      </w:r>
      <w:r w:rsidR="000D55F0" w:rsidRPr="00F34E9D">
        <w:rPr>
          <w:rFonts w:asciiTheme="majorHAnsi" w:hAnsiTheme="majorHAnsi" w:cstheme="majorHAnsi"/>
          <w:color w:val="0D0D0D" w:themeColor="text1" w:themeTint="F2"/>
          <w:sz w:val="24"/>
          <w:szCs w:val="24"/>
        </w:rPr>
        <w:t>4 mil. lei</w:t>
      </w:r>
      <w:r w:rsidR="00D31D4F" w:rsidRPr="00F34E9D">
        <w:rPr>
          <w:rFonts w:asciiTheme="majorHAnsi" w:hAnsiTheme="majorHAnsi" w:cstheme="majorHAnsi"/>
          <w:color w:val="0D0D0D" w:themeColor="text1" w:themeTint="F2"/>
          <w:sz w:val="24"/>
          <w:szCs w:val="24"/>
        </w:rPr>
        <w:t>,</w:t>
      </w:r>
      <w:r w:rsidR="000D55F0" w:rsidRPr="00F34E9D">
        <w:rPr>
          <w:rFonts w:asciiTheme="majorHAnsi" w:hAnsiTheme="majorHAnsi" w:cstheme="majorHAnsi"/>
          <w:color w:val="0D0D0D" w:themeColor="text1" w:themeTint="F2"/>
          <w:sz w:val="24"/>
          <w:szCs w:val="24"/>
        </w:rPr>
        <w:t xml:space="preserve"> </w:t>
      </w:r>
      <w:r w:rsidR="00D31D4F" w:rsidRPr="00F34E9D">
        <w:rPr>
          <w:rFonts w:asciiTheme="majorHAnsi" w:hAnsiTheme="majorHAnsi" w:cstheme="majorHAnsi"/>
          <w:color w:val="0D0D0D" w:themeColor="text1" w:themeTint="F2"/>
          <w:sz w:val="24"/>
          <w:szCs w:val="24"/>
        </w:rPr>
        <w:t xml:space="preserve">iar </w:t>
      </w:r>
      <w:r w:rsidR="000D55F0" w:rsidRPr="00F34E9D">
        <w:rPr>
          <w:rFonts w:asciiTheme="majorHAnsi" w:eastAsia="Times New Roman" w:hAnsiTheme="majorHAnsi" w:cstheme="majorHAnsi"/>
          <w:bCs/>
          <w:color w:val="0D0D0D" w:themeColor="text1" w:themeTint="F2"/>
          <w:sz w:val="24"/>
          <w:szCs w:val="24"/>
        </w:rPr>
        <w:t>volumul alocațiilor bugetare neutilizate în anul 2021 pentru realizarea comenzii de stat</w:t>
      </w:r>
      <w:r w:rsidR="002C3C82" w:rsidRPr="00F34E9D">
        <w:rPr>
          <w:rFonts w:asciiTheme="majorHAnsi" w:eastAsia="Times New Roman" w:hAnsiTheme="majorHAnsi" w:cstheme="majorHAnsi"/>
          <w:bCs/>
          <w:color w:val="0D0D0D" w:themeColor="text1" w:themeTint="F2"/>
          <w:sz w:val="24"/>
          <w:szCs w:val="24"/>
        </w:rPr>
        <w:t>,</w:t>
      </w:r>
      <w:r w:rsidR="000D55F0" w:rsidRPr="00F34E9D">
        <w:rPr>
          <w:rFonts w:asciiTheme="majorHAnsi" w:eastAsia="Times New Roman" w:hAnsiTheme="majorHAnsi" w:cstheme="majorHAnsi"/>
          <w:bCs/>
          <w:color w:val="0D0D0D" w:themeColor="text1" w:themeTint="F2"/>
          <w:sz w:val="24"/>
          <w:szCs w:val="24"/>
        </w:rPr>
        <w:t xml:space="preserve"> pentru învățământul </w:t>
      </w:r>
      <w:r w:rsidR="002C3C82" w:rsidRPr="00F34E9D">
        <w:rPr>
          <w:rFonts w:asciiTheme="majorHAnsi" w:hAnsiTheme="majorHAnsi" w:cstheme="majorHAnsi"/>
          <w:color w:val="0D0D0D" w:themeColor="text1" w:themeTint="F2"/>
          <w:sz w:val="24"/>
          <w:szCs w:val="24"/>
        </w:rPr>
        <w:t>post secundar</w:t>
      </w:r>
      <w:r w:rsidR="00D31D4F" w:rsidRPr="00F34E9D">
        <w:rPr>
          <w:rFonts w:asciiTheme="majorHAnsi" w:hAnsiTheme="majorHAnsi" w:cstheme="majorHAnsi"/>
          <w:color w:val="0D0D0D" w:themeColor="text1" w:themeTint="F2"/>
          <w:sz w:val="24"/>
          <w:szCs w:val="24"/>
        </w:rPr>
        <w:t>,</w:t>
      </w:r>
      <w:r w:rsidR="002C3C82" w:rsidRPr="00F34E9D">
        <w:rPr>
          <w:rFonts w:asciiTheme="majorHAnsi" w:eastAsia="Times New Roman" w:hAnsiTheme="majorHAnsi" w:cstheme="majorHAnsi"/>
          <w:bCs/>
          <w:color w:val="0D0D0D" w:themeColor="text1" w:themeTint="F2"/>
          <w:sz w:val="24"/>
          <w:szCs w:val="24"/>
        </w:rPr>
        <w:t xml:space="preserve"> </w:t>
      </w:r>
      <w:r w:rsidR="00D31D4F" w:rsidRPr="00F34E9D">
        <w:rPr>
          <w:rFonts w:asciiTheme="majorHAnsi" w:eastAsia="Times New Roman" w:hAnsiTheme="majorHAnsi" w:cstheme="majorHAnsi"/>
          <w:bCs/>
          <w:color w:val="0D0D0D" w:themeColor="text1" w:themeTint="F2"/>
          <w:sz w:val="24"/>
          <w:szCs w:val="24"/>
        </w:rPr>
        <w:t>este de</w:t>
      </w:r>
      <w:r w:rsidR="002C3C82" w:rsidRPr="00F34E9D">
        <w:rPr>
          <w:rFonts w:asciiTheme="majorHAnsi" w:eastAsia="Times New Roman" w:hAnsiTheme="majorHAnsi" w:cstheme="majorHAnsi"/>
          <w:bCs/>
          <w:color w:val="0D0D0D" w:themeColor="text1" w:themeTint="F2"/>
          <w:sz w:val="24"/>
          <w:szCs w:val="24"/>
        </w:rPr>
        <w:t xml:space="preserve"> 13,</w:t>
      </w:r>
      <w:r w:rsidR="000D55F0" w:rsidRPr="00F34E9D">
        <w:rPr>
          <w:rFonts w:asciiTheme="majorHAnsi" w:eastAsia="Times New Roman" w:hAnsiTheme="majorHAnsi" w:cstheme="majorHAnsi"/>
          <w:bCs/>
          <w:color w:val="0D0D0D" w:themeColor="text1" w:themeTint="F2"/>
          <w:sz w:val="24"/>
          <w:szCs w:val="24"/>
        </w:rPr>
        <w:t>1 mil</w:t>
      </w:r>
      <w:r w:rsidR="002C3C82" w:rsidRPr="00F34E9D">
        <w:rPr>
          <w:rFonts w:asciiTheme="majorHAnsi" w:eastAsia="Times New Roman" w:hAnsiTheme="majorHAnsi" w:cstheme="majorHAnsi"/>
          <w:bCs/>
          <w:color w:val="0D0D0D" w:themeColor="text1" w:themeTint="F2"/>
          <w:sz w:val="24"/>
          <w:szCs w:val="24"/>
        </w:rPr>
        <w:t>.</w:t>
      </w:r>
      <w:r w:rsidR="000D55F0" w:rsidRPr="00F34E9D">
        <w:rPr>
          <w:rFonts w:asciiTheme="majorHAnsi" w:eastAsia="Times New Roman" w:hAnsiTheme="majorHAnsi" w:cstheme="majorHAnsi"/>
          <w:bCs/>
          <w:color w:val="0D0D0D" w:themeColor="text1" w:themeTint="F2"/>
          <w:sz w:val="24"/>
          <w:szCs w:val="24"/>
        </w:rPr>
        <w:t xml:space="preserve"> lei, iar</w:t>
      </w:r>
      <w:r w:rsidR="002C3C82" w:rsidRPr="00F34E9D">
        <w:rPr>
          <w:rFonts w:asciiTheme="majorHAnsi" w:eastAsia="Times New Roman" w:hAnsiTheme="majorHAnsi" w:cstheme="majorHAnsi"/>
          <w:bCs/>
          <w:color w:val="0D0D0D" w:themeColor="text1" w:themeTint="F2"/>
          <w:sz w:val="24"/>
          <w:szCs w:val="24"/>
        </w:rPr>
        <w:t xml:space="preserve"> pentru învățământul superior </w:t>
      </w:r>
      <w:r w:rsidR="00D31D4F" w:rsidRPr="00F34E9D">
        <w:rPr>
          <w:rFonts w:asciiTheme="majorHAnsi" w:eastAsia="Times New Roman" w:hAnsiTheme="majorHAnsi" w:cstheme="majorHAnsi"/>
          <w:bCs/>
          <w:color w:val="0D0D0D" w:themeColor="text1" w:themeTint="F2"/>
          <w:sz w:val="24"/>
          <w:szCs w:val="24"/>
        </w:rPr>
        <w:t xml:space="preserve">– </w:t>
      </w:r>
      <w:r w:rsidR="002C3C82" w:rsidRPr="00F34E9D">
        <w:rPr>
          <w:rFonts w:asciiTheme="majorHAnsi" w:eastAsia="Times New Roman" w:hAnsiTheme="majorHAnsi" w:cstheme="majorHAnsi"/>
          <w:bCs/>
          <w:color w:val="0D0D0D" w:themeColor="text1" w:themeTint="F2"/>
          <w:sz w:val="24"/>
          <w:szCs w:val="24"/>
        </w:rPr>
        <w:t>8,</w:t>
      </w:r>
      <w:r w:rsidR="000D55F0" w:rsidRPr="00F34E9D">
        <w:rPr>
          <w:rFonts w:asciiTheme="majorHAnsi" w:eastAsia="Times New Roman" w:hAnsiTheme="majorHAnsi" w:cstheme="majorHAnsi"/>
          <w:bCs/>
          <w:color w:val="0D0D0D" w:themeColor="text1" w:themeTint="F2"/>
          <w:sz w:val="24"/>
          <w:szCs w:val="24"/>
        </w:rPr>
        <w:t>34 mil. lei</w:t>
      </w:r>
      <w:r w:rsidR="00D31D4F" w:rsidRPr="00F34E9D">
        <w:rPr>
          <w:rFonts w:asciiTheme="majorHAnsi" w:eastAsia="Times New Roman" w:hAnsiTheme="majorHAnsi" w:cstheme="majorHAnsi"/>
          <w:bCs/>
          <w:color w:val="0D0D0D" w:themeColor="text1" w:themeTint="F2"/>
          <w:sz w:val="24"/>
          <w:szCs w:val="24"/>
        </w:rPr>
        <w:t>;</w:t>
      </w:r>
    </w:p>
    <w:p w14:paraId="39EABF4F" w14:textId="18B66B1F" w:rsidR="00133E73" w:rsidRPr="00F34E9D" w:rsidRDefault="000D55F0" w:rsidP="008429AE">
      <w:pPr>
        <w:pStyle w:val="a3"/>
        <w:numPr>
          <w:ilvl w:val="0"/>
          <w:numId w:val="5"/>
        </w:numPr>
        <w:tabs>
          <w:tab w:val="left" w:pos="284"/>
          <w:tab w:val="left" w:pos="851"/>
        </w:tabs>
        <w:spacing w:after="0" w:line="276" w:lineRule="auto"/>
        <w:ind w:left="0" w:firstLine="0"/>
        <w:jc w:val="both"/>
        <w:rPr>
          <w:rFonts w:asciiTheme="majorHAnsi" w:eastAsia="Times New Roman" w:hAnsiTheme="majorHAnsi" w:cstheme="majorHAnsi"/>
          <w:color w:val="0D0D0D" w:themeColor="text1" w:themeTint="F2"/>
          <w:sz w:val="24"/>
          <w:szCs w:val="24"/>
        </w:rPr>
      </w:pPr>
      <w:r w:rsidRPr="00F34E9D">
        <w:rPr>
          <w:rFonts w:asciiTheme="majorHAnsi" w:eastAsia="Calibri" w:hAnsiTheme="majorHAnsi" w:cstheme="majorHAnsi"/>
          <w:color w:val="0D0D0D" w:themeColor="text1" w:themeTint="F2"/>
          <w:sz w:val="24"/>
          <w:szCs w:val="24"/>
        </w:rPr>
        <w:t>MEC nu dispune de o metodologie de calculare a cheltuielilor pentru alimentarea copiilor instruiți în instituțiile de învățământ profesional tehnic</w:t>
      </w:r>
      <w:r w:rsidR="00A35504" w:rsidRPr="00F34E9D">
        <w:rPr>
          <w:rFonts w:asciiTheme="majorHAnsi" w:eastAsia="Calibri" w:hAnsiTheme="majorHAnsi" w:cstheme="majorHAnsi"/>
          <w:color w:val="0D0D0D" w:themeColor="text1" w:themeTint="F2"/>
          <w:sz w:val="24"/>
          <w:szCs w:val="24"/>
        </w:rPr>
        <w:t>,</w:t>
      </w:r>
      <w:r w:rsidRPr="00F34E9D">
        <w:rPr>
          <w:rFonts w:asciiTheme="majorHAnsi" w:eastAsia="Calibri" w:hAnsiTheme="majorHAnsi" w:cstheme="majorHAnsi"/>
          <w:color w:val="0D0D0D" w:themeColor="text1" w:themeTint="F2"/>
          <w:sz w:val="24"/>
          <w:szCs w:val="24"/>
        </w:rPr>
        <w:t xml:space="preserve"> în funcție de modul de alimentare (prin servicii achiziționate, care au fost prestate de 10 instituții ce nu dispun de cantine proprii</w:t>
      </w:r>
      <w:r w:rsidR="00A35504" w:rsidRPr="00F34E9D">
        <w:rPr>
          <w:rFonts w:asciiTheme="majorHAnsi" w:eastAsia="Calibri" w:hAnsiTheme="majorHAnsi" w:cstheme="majorHAnsi"/>
          <w:color w:val="0D0D0D" w:themeColor="text1" w:themeTint="F2"/>
          <w:sz w:val="24"/>
          <w:szCs w:val="24"/>
        </w:rPr>
        <w:t>,</w:t>
      </w:r>
      <w:r w:rsidRPr="00F34E9D">
        <w:rPr>
          <w:rFonts w:asciiTheme="majorHAnsi" w:eastAsia="Calibri" w:hAnsiTheme="majorHAnsi" w:cstheme="majorHAnsi"/>
          <w:color w:val="0D0D0D" w:themeColor="text1" w:themeTint="F2"/>
          <w:sz w:val="24"/>
          <w:szCs w:val="24"/>
        </w:rPr>
        <w:t xml:space="preserve"> sau prin intermediul cantinelor proprii </w:t>
      </w:r>
      <w:r w:rsidR="00A35504" w:rsidRPr="00F34E9D">
        <w:rPr>
          <w:rFonts w:asciiTheme="majorHAnsi" w:eastAsia="Calibri" w:hAnsiTheme="majorHAnsi" w:cstheme="majorHAnsi"/>
          <w:color w:val="0D0D0D" w:themeColor="text1" w:themeTint="F2"/>
          <w:sz w:val="24"/>
          <w:szCs w:val="24"/>
        </w:rPr>
        <w:t xml:space="preserve">– </w:t>
      </w:r>
      <w:r w:rsidRPr="00F34E9D">
        <w:rPr>
          <w:rFonts w:asciiTheme="majorHAnsi" w:eastAsia="Calibri" w:hAnsiTheme="majorHAnsi" w:cstheme="majorHAnsi"/>
          <w:color w:val="0D0D0D" w:themeColor="text1" w:themeTint="F2"/>
          <w:sz w:val="24"/>
          <w:szCs w:val="24"/>
        </w:rPr>
        <w:t xml:space="preserve">37 </w:t>
      </w:r>
      <w:r w:rsidR="00A35504" w:rsidRPr="00F34E9D">
        <w:rPr>
          <w:rFonts w:asciiTheme="majorHAnsi" w:eastAsia="Calibri" w:hAnsiTheme="majorHAnsi" w:cstheme="majorHAnsi"/>
          <w:color w:val="0D0D0D" w:themeColor="text1" w:themeTint="F2"/>
          <w:sz w:val="24"/>
          <w:szCs w:val="24"/>
        </w:rPr>
        <w:t xml:space="preserve">de </w:t>
      </w:r>
      <w:r w:rsidRPr="00F34E9D">
        <w:rPr>
          <w:rFonts w:asciiTheme="majorHAnsi" w:eastAsia="Calibri" w:hAnsiTheme="majorHAnsi" w:cstheme="majorHAnsi"/>
          <w:color w:val="0D0D0D" w:themeColor="text1" w:themeTint="F2"/>
          <w:sz w:val="24"/>
          <w:szCs w:val="24"/>
        </w:rPr>
        <w:t xml:space="preserve">instituții). </w:t>
      </w:r>
      <w:r w:rsidR="00A35504" w:rsidRPr="00F34E9D">
        <w:rPr>
          <w:rFonts w:asciiTheme="majorHAnsi" w:eastAsia="Calibri" w:hAnsiTheme="majorHAnsi" w:cstheme="majorHAnsi"/>
          <w:color w:val="0D0D0D" w:themeColor="text1" w:themeTint="F2"/>
          <w:sz w:val="24"/>
          <w:szCs w:val="24"/>
        </w:rPr>
        <w:t>Ca</w:t>
      </w:r>
      <w:r w:rsidRPr="00F34E9D">
        <w:rPr>
          <w:rFonts w:asciiTheme="majorHAnsi" w:eastAsia="Calibri" w:hAnsiTheme="majorHAnsi" w:cstheme="majorHAnsi"/>
          <w:color w:val="0D0D0D" w:themeColor="text1" w:themeTint="F2"/>
          <w:sz w:val="24"/>
          <w:szCs w:val="24"/>
        </w:rPr>
        <w:t xml:space="preserve"> rezultat, </w:t>
      </w:r>
      <w:r w:rsidRPr="00F34E9D">
        <w:rPr>
          <w:rFonts w:asciiTheme="majorHAnsi" w:hAnsiTheme="majorHAnsi" w:cstheme="majorHAnsi"/>
          <w:iCs/>
          <w:color w:val="0D0D0D" w:themeColor="text1" w:themeTint="F2"/>
          <w:sz w:val="24"/>
          <w:szCs w:val="24"/>
        </w:rPr>
        <w:t>cheltuielile pentru alimentarea elevului diferă, și anume</w:t>
      </w:r>
      <w:r w:rsidR="00A35504" w:rsidRPr="00F34E9D">
        <w:rPr>
          <w:rFonts w:asciiTheme="majorHAnsi" w:hAnsiTheme="majorHAnsi" w:cstheme="majorHAnsi"/>
          <w:iCs/>
          <w:color w:val="0D0D0D" w:themeColor="text1" w:themeTint="F2"/>
          <w:sz w:val="24"/>
          <w:szCs w:val="24"/>
        </w:rPr>
        <w:t xml:space="preserve">: </w:t>
      </w:r>
      <w:r w:rsidRPr="00F34E9D">
        <w:rPr>
          <w:rFonts w:asciiTheme="majorHAnsi" w:hAnsiTheme="majorHAnsi" w:cstheme="majorHAnsi"/>
          <w:iCs/>
          <w:color w:val="0D0D0D" w:themeColor="text1" w:themeTint="F2"/>
          <w:sz w:val="24"/>
          <w:szCs w:val="24"/>
        </w:rPr>
        <w:t>pentru instituțiile care achiziționează servicii de alimentare a elevilor este respectat</w:t>
      </w:r>
      <w:r w:rsidR="00A35504" w:rsidRPr="00F34E9D">
        <w:rPr>
          <w:rFonts w:asciiTheme="majorHAnsi" w:hAnsiTheme="majorHAnsi" w:cstheme="majorHAnsi"/>
          <w:iCs/>
          <w:color w:val="0D0D0D" w:themeColor="text1" w:themeTint="F2"/>
          <w:sz w:val="24"/>
          <w:szCs w:val="24"/>
        </w:rPr>
        <w:t>ă</w:t>
      </w:r>
      <w:r w:rsidRPr="00F34E9D">
        <w:rPr>
          <w:rFonts w:asciiTheme="majorHAnsi" w:hAnsiTheme="majorHAnsi" w:cstheme="majorHAnsi"/>
          <w:iCs/>
          <w:color w:val="0D0D0D" w:themeColor="text1" w:themeTint="F2"/>
          <w:sz w:val="24"/>
          <w:szCs w:val="24"/>
        </w:rPr>
        <w:t xml:space="preserve"> norma bănească de </w:t>
      </w:r>
      <w:r w:rsidRPr="00F34E9D">
        <w:rPr>
          <w:rFonts w:asciiTheme="majorHAnsi" w:hAnsiTheme="majorHAnsi" w:cstheme="majorHAnsi"/>
          <w:color w:val="0D0D0D" w:themeColor="text1" w:themeTint="F2"/>
          <w:sz w:val="24"/>
          <w:szCs w:val="24"/>
        </w:rPr>
        <w:t>12 lei/zi pentru un elev</w:t>
      </w:r>
      <w:r w:rsidR="00A35504" w:rsidRPr="00F34E9D">
        <w:rPr>
          <w:rFonts w:asciiTheme="majorHAnsi" w:hAnsiTheme="majorHAnsi" w:cstheme="majorHAnsi"/>
          <w:color w:val="0D0D0D" w:themeColor="text1" w:themeTint="F2"/>
          <w:sz w:val="24"/>
          <w:szCs w:val="24"/>
        </w:rPr>
        <w:t>,</w:t>
      </w:r>
      <w:r w:rsidRPr="00F34E9D">
        <w:rPr>
          <w:rFonts w:asciiTheme="majorHAnsi" w:hAnsiTheme="majorHAnsi" w:cstheme="majorHAnsi"/>
          <w:iCs/>
          <w:color w:val="0D0D0D" w:themeColor="text1" w:themeTint="F2"/>
          <w:sz w:val="24"/>
          <w:szCs w:val="24"/>
        </w:rPr>
        <w:t xml:space="preserve"> prevăzută de </w:t>
      </w:r>
      <w:r w:rsidRPr="00F34E9D">
        <w:rPr>
          <w:rFonts w:asciiTheme="majorHAnsi" w:eastAsia="Calibri" w:hAnsiTheme="majorHAnsi" w:cstheme="majorHAnsi"/>
          <w:color w:val="0D0D0D" w:themeColor="text1" w:themeTint="F2"/>
          <w:sz w:val="24"/>
          <w:szCs w:val="24"/>
        </w:rPr>
        <w:t>HG nr.266 din 14.03.2006, iar pentru instituțiile care dispun de cantine proprii</w:t>
      </w:r>
      <w:r w:rsidR="00A35504" w:rsidRPr="00F34E9D">
        <w:rPr>
          <w:rFonts w:asciiTheme="majorHAnsi" w:eastAsia="Calibri" w:hAnsiTheme="majorHAnsi" w:cstheme="majorHAnsi"/>
          <w:color w:val="0D0D0D" w:themeColor="text1" w:themeTint="F2"/>
          <w:sz w:val="24"/>
          <w:szCs w:val="24"/>
        </w:rPr>
        <w:t>,</w:t>
      </w:r>
      <w:r w:rsidRPr="00F34E9D">
        <w:rPr>
          <w:rFonts w:asciiTheme="majorHAnsi" w:eastAsia="Calibri" w:hAnsiTheme="majorHAnsi" w:cstheme="majorHAnsi"/>
          <w:color w:val="0D0D0D" w:themeColor="text1" w:themeTint="F2"/>
          <w:sz w:val="24"/>
          <w:szCs w:val="24"/>
        </w:rPr>
        <w:t xml:space="preserve"> serviciile de alimentare a elevului </w:t>
      </w:r>
      <w:r w:rsidR="006374BF" w:rsidRPr="00F34E9D">
        <w:rPr>
          <w:rFonts w:asciiTheme="majorHAnsi" w:eastAsia="Calibri" w:hAnsiTheme="majorHAnsi" w:cstheme="majorHAnsi"/>
          <w:color w:val="0D0D0D" w:themeColor="text1" w:themeTint="F2"/>
          <w:sz w:val="24"/>
          <w:szCs w:val="24"/>
        </w:rPr>
        <w:t xml:space="preserve">conform calculelor auditului </w:t>
      </w:r>
      <w:r w:rsidR="0090385F" w:rsidRPr="00F34E9D">
        <w:rPr>
          <w:rFonts w:asciiTheme="majorHAnsi" w:eastAsia="Calibri" w:hAnsiTheme="majorHAnsi" w:cstheme="majorHAnsi"/>
          <w:color w:val="0D0D0D" w:themeColor="text1" w:themeTint="F2"/>
          <w:sz w:val="24"/>
          <w:szCs w:val="24"/>
        </w:rPr>
        <w:t xml:space="preserve">efectiv </w:t>
      </w:r>
      <w:r w:rsidRPr="00F34E9D">
        <w:rPr>
          <w:rFonts w:asciiTheme="majorHAnsi" w:eastAsia="Calibri" w:hAnsiTheme="majorHAnsi" w:cstheme="majorHAnsi"/>
          <w:color w:val="0D0D0D" w:themeColor="text1" w:themeTint="F2"/>
          <w:sz w:val="24"/>
          <w:szCs w:val="24"/>
        </w:rPr>
        <w:t xml:space="preserve">constituie </w:t>
      </w:r>
      <w:r w:rsidRPr="00F34E9D">
        <w:rPr>
          <w:rFonts w:asciiTheme="majorHAnsi" w:hAnsiTheme="majorHAnsi" w:cstheme="majorHAnsi"/>
          <w:iCs/>
          <w:color w:val="0D0D0D" w:themeColor="text1" w:themeTint="F2"/>
          <w:sz w:val="24"/>
          <w:szCs w:val="24"/>
        </w:rPr>
        <w:t>23,32 lei/zi per elev</w:t>
      </w:r>
      <w:r w:rsidRPr="00F34E9D">
        <w:rPr>
          <w:rFonts w:asciiTheme="majorHAnsi" w:eastAsia="Calibri" w:hAnsiTheme="majorHAnsi" w:cstheme="majorHAnsi"/>
          <w:color w:val="0D0D0D" w:themeColor="text1" w:themeTint="F2"/>
          <w:sz w:val="24"/>
          <w:szCs w:val="24"/>
        </w:rPr>
        <w:t xml:space="preserve">. Cheltuielile pentru alimentarea elevului sunt majorate </w:t>
      </w:r>
      <w:r w:rsidR="00A35504" w:rsidRPr="00F34E9D">
        <w:rPr>
          <w:rFonts w:asciiTheme="majorHAnsi" w:eastAsia="Calibri" w:hAnsiTheme="majorHAnsi" w:cstheme="majorHAnsi"/>
          <w:color w:val="0D0D0D" w:themeColor="text1" w:themeTint="F2"/>
          <w:sz w:val="24"/>
          <w:szCs w:val="24"/>
        </w:rPr>
        <w:t xml:space="preserve">față </w:t>
      </w:r>
      <w:r w:rsidRPr="00F34E9D">
        <w:rPr>
          <w:rFonts w:asciiTheme="majorHAnsi" w:eastAsia="Calibri" w:hAnsiTheme="majorHAnsi" w:cstheme="majorHAnsi"/>
          <w:color w:val="0D0D0D" w:themeColor="text1" w:themeTint="F2"/>
          <w:sz w:val="24"/>
          <w:szCs w:val="24"/>
        </w:rPr>
        <w:t xml:space="preserve">de norma prevăzută de HG </w:t>
      </w:r>
      <w:r w:rsidR="00C92E10" w:rsidRPr="00F34E9D">
        <w:rPr>
          <w:rFonts w:asciiTheme="majorHAnsi" w:eastAsia="Calibri" w:hAnsiTheme="majorHAnsi" w:cstheme="majorHAnsi"/>
          <w:color w:val="0D0D0D" w:themeColor="text1" w:themeTint="F2"/>
          <w:sz w:val="24"/>
          <w:szCs w:val="24"/>
        </w:rPr>
        <w:t>nr.</w:t>
      </w:r>
      <w:r w:rsidRPr="00F34E9D">
        <w:rPr>
          <w:rFonts w:asciiTheme="majorHAnsi" w:eastAsia="Calibri" w:hAnsiTheme="majorHAnsi" w:cstheme="majorHAnsi"/>
          <w:color w:val="0D0D0D" w:themeColor="text1" w:themeTint="F2"/>
          <w:sz w:val="24"/>
          <w:szCs w:val="24"/>
        </w:rPr>
        <w:t>266</w:t>
      </w:r>
      <w:r w:rsidR="00C92E10" w:rsidRPr="00F34E9D">
        <w:rPr>
          <w:rFonts w:asciiTheme="majorHAnsi" w:eastAsia="Calibri" w:hAnsiTheme="majorHAnsi" w:cstheme="majorHAnsi"/>
          <w:color w:val="0D0D0D" w:themeColor="text1" w:themeTint="F2"/>
          <w:sz w:val="24"/>
          <w:szCs w:val="24"/>
        </w:rPr>
        <w:t xml:space="preserve"> din 14.03.</w:t>
      </w:r>
      <w:r w:rsidRPr="00F34E9D">
        <w:rPr>
          <w:rFonts w:asciiTheme="majorHAnsi" w:eastAsia="Calibri" w:hAnsiTheme="majorHAnsi" w:cstheme="majorHAnsi"/>
          <w:color w:val="0D0D0D" w:themeColor="text1" w:themeTint="F2"/>
          <w:sz w:val="24"/>
          <w:szCs w:val="24"/>
        </w:rPr>
        <w:t>2006 cu cheltuielile de</w:t>
      </w:r>
      <w:r w:rsidRPr="00F34E9D">
        <w:rPr>
          <w:rFonts w:asciiTheme="majorHAnsi" w:hAnsiTheme="majorHAnsi" w:cstheme="majorHAnsi"/>
          <w:color w:val="0D0D0D" w:themeColor="text1" w:themeTint="F2"/>
          <w:sz w:val="24"/>
          <w:szCs w:val="24"/>
        </w:rPr>
        <w:t xml:space="preserve"> întreținere a cantinei, neprevăzute de cadrul normativ. Cheltuielile de întreținere a cantinelor constituie 44</w:t>
      </w:r>
      <w:r w:rsidR="00A8666C" w:rsidRPr="00F34E9D">
        <w:rPr>
          <w:rFonts w:asciiTheme="majorHAnsi" w:hAnsiTheme="majorHAnsi" w:cstheme="majorHAnsi"/>
          <w:color w:val="0D0D0D" w:themeColor="text1" w:themeTint="F2"/>
          <w:sz w:val="24"/>
          <w:szCs w:val="24"/>
        </w:rPr>
        <w:t>,</w:t>
      </w:r>
      <w:r w:rsidRPr="00F34E9D">
        <w:rPr>
          <w:rFonts w:asciiTheme="majorHAnsi" w:hAnsiTheme="majorHAnsi" w:cstheme="majorHAnsi"/>
          <w:color w:val="0D0D0D" w:themeColor="text1" w:themeTint="F2"/>
          <w:sz w:val="24"/>
          <w:szCs w:val="24"/>
        </w:rPr>
        <w:t xml:space="preserve">3% din totalul cheltuielilor efective pentru alimentarea elevilor </w:t>
      </w:r>
      <w:r w:rsidR="0090385F" w:rsidRPr="00F34E9D">
        <w:rPr>
          <w:rFonts w:asciiTheme="majorHAnsi" w:hAnsiTheme="majorHAnsi" w:cstheme="majorHAnsi"/>
          <w:color w:val="0D0D0D" w:themeColor="text1" w:themeTint="F2"/>
          <w:sz w:val="24"/>
          <w:szCs w:val="24"/>
        </w:rPr>
        <w:t xml:space="preserve">din mijloacele alocate în </w:t>
      </w:r>
      <w:r w:rsidRPr="00F34E9D">
        <w:rPr>
          <w:rFonts w:asciiTheme="majorHAnsi" w:hAnsiTheme="majorHAnsi" w:cstheme="majorHAnsi"/>
          <w:color w:val="0D0D0D" w:themeColor="text1" w:themeTint="F2"/>
          <w:sz w:val="24"/>
          <w:szCs w:val="24"/>
        </w:rPr>
        <w:t>anul 2021</w:t>
      </w:r>
      <w:r w:rsidR="00A35504" w:rsidRPr="00F34E9D">
        <w:rPr>
          <w:rFonts w:asciiTheme="majorHAnsi" w:hAnsiTheme="majorHAnsi" w:cstheme="majorHAnsi"/>
          <w:color w:val="0D0D0D" w:themeColor="text1" w:themeTint="F2"/>
          <w:sz w:val="24"/>
          <w:szCs w:val="24"/>
        </w:rPr>
        <w:t>;</w:t>
      </w:r>
    </w:p>
    <w:p w14:paraId="7DBA04D9" w14:textId="19CD5E85" w:rsidR="000D55F0" w:rsidRPr="00F34E9D" w:rsidRDefault="000D55F0" w:rsidP="008429AE">
      <w:pPr>
        <w:pStyle w:val="a3"/>
        <w:numPr>
          <w:ilvl w:val="0"/>
          <w:numId w:val="5"/>
        </w:numPr>
        <w:tabs>
          <w:tab w:val="left" w:pos="284"/>
        </w:tabs>
        <w:spacing w:after="0" w:line="276" w:lineRule="auto"/>
        <w:ind w:left="0" w:firstLine="0"/>
        <w:jc w:val="both"/>
        <w:rPr>
          <w:rFonts w:asciiTheme="majorHAnsi" w:hAnsiTheme="majorHAnsi" w:cstheme="majorHAnsi"/>
          <w:i/>
          <w:color w:val="0D0D0D" w:themeColor="text1" w:themeTint="F2"/>
          <w:sz w:val="24"/>
          <w:szCs w:val="24"/>
        </w:rPr>
      </w:pPr>
      <w:r w:rsidRPr="00F34E9D">
        <w:rPr>
          <w:rFonts w:asciiTheme="majorHAnsi" w:hAnsiTheme="majorHAnsi" w:cstheme="majorHAnsi"/>
          <w:bCs/>
          <w:color w:val="0D0D0D" w:themeColor="text1" w:themeTint="F2"/>
          <w:sz w:val="24"/>
          <w:szCs w:val="24"/>
        </w:rPr>
        <w:t>Metodologia de finanțare bugetară a instituțiilor publice de învățământ superior</w:t>
      </w:r>
      <w:r w:rsidR="00A35504" w:rsidRPr="00F34E9D">
        <w:rPr>
          <w:rFonts w:asciiTheme="majorHAnsi" w:hAnsiTheme="majorHAnsi" w:cstheme="majorHAnsi"/>
          <w:bCs/>
          <w:color w:val="0D0D0D" w:themeColor="text1" w:themeTint="F2"/>
          <w:sz w:val="24"/>
          <w:szCs w:val="24"/>
        </w:rPr>
        <w:t>,</w:t>
      </w:r>
      <w:r w:rsidRPr="00F34E9D">
        <w:rPr>
          <w:rFonts w:asciiTheme="majorHAnsi" w:hAnsiTheme="majorHAnsi" w:cstheme="majorHAnsi"/>
          <w:bCs/>
          <w:color w:val="0D0D0D" w:themeColor="text1" w:themeTint="F2"/>
          <w:sz w:val="24"/>
          <w:szCs w:val="24"/>
        </w:rPr>
        <w:t xml:space="preserve"> </w:t>
      </w:r>
      <w:r w:rsidRPr="00F34E9D">
        <w:rPr>
          <w:rFonts w:asciiTheme="majorHAnsi" w:hAnsiTheme="majorHAnsi" w:cstheme="majorHAnsi"/>
          <w:color w:val="0D0D0D" w:themeColor="text1" w:themeTint="F2"/>
          <w:sz w:val="24"/>
          <w:szCs w:val="24"/>
        </w:rPr>
        <w:t>aprobată prin HG nr.343 din 10.06.2020</w:t>
      </w:r>
      <w:r w:rsidR="00A35504" w:rsidRPr="00F34E9D">
        <w:rPr>
          <w:rFonts w:asciiTheme="majorHAnsi" w:hAnsiTheme="majorHAnsi" w:cstheme="majorHAnsi"/>
          <w:color w:val="0D0D0D" w:themeColor="text1" w:themeTint="F2"/>
          <w:sz w:val="24"/>
          <w:szCs w:val="24"/>
        </w:rPr>
        <w:t>,</w:t>
      </w:r>
      <w:r w:rsidRPr="00F34E9D">
        <w:rPr>
          <w:rFonts w:asciiTheme="majorHAnsi" w:hAnsiTheme="majorHAnsi" w:cstheme="majorHAnsi"/>
          <w:color w:val="0D0D0D" w:themeColor="text1" w:themeTint="F2"/>
          <w:sz w:val="24"/>
          <w:szCs w:val="24"/>
        </w:rPr>
        <w:t xml:space="preserve"> necesită să fie ajustat</w:t>
      </w:r>
      <w:r w:rsidR="008B7C19" w:rsidRPr="00F34E9D">
        <w:rPr>
          <w:rFonts w:asciiTheme="majorHAnsi" w:hAnsiTheme="majorHAnsi" w:cstheme="majorHAnsi"/>
          <w:color w:val="0D0D0D" w:themeColor="text1" w:themeTint="F2"/>
          <w:sz w:val="24"/>
          <w:szCs w:val="24"/>
        </w:rPr>
        <w:t>ă</w:t>
      </w:r>
      <w:r w:rsidRPr="00F34E9D">
        <w:rPr>
          <w:rFonts w:asciiTheme="majorHAnsi" w:hAnsiTheme="majorHAnsi" w:cstheme="majorHAnsi"/>
          <w:color w:val="0D0D0D" w:themeColor="text1" w:themeTint="F2"/>
          <w:sz w:val="24"/>
          <w:szCs w:val="24"/>
        </w:rPr>
        <w:t xml:space="preserve"> cu stabilirea mecanismului de raportare a  alocațiilor bugetare după tipul finanțării (finanțare-standard, compensatorie și complementară). Metodologi</w:t>
      </w:r>
      <w:r w:rsidR="007E6753" w:rsidRPr="00F34E9D">
        <w:rPr>
          <w:rFonts w:asciiTheme="majorHAnsi" w:hAnsiTheme="majorHAnsi" w:cstheme="majorHAnsi"/>
          <w:color w:val="0D0D0D" w:themeColor="text1" w:themeTint="F2"/>
          <w:sz w:val="24"/>
          <w:szCs w:val="24"/>
        </w:rPr>
        <w:t>a</w:t>
      </w:r>
      <w:r w:rsidRPr="00F34E9D">
        <w:rPr>
          <w:rFonts w:asciiTheme="majorHAnsi" w:hAnsiTheme="majorHAnsi" w:cstheme="majorHAnsi"/>
          <w:color w:val="0D0D0D" w:themeColor="text1" w:themeTint="F2"/>
          <w:sz w:val="24"/>
          <w:szCs w:val="24"/>
        </w:rPr>
        <w:t xml:space="preserve"> aprobată nu prevede m</w:t>
      </w:r>
      <w:r w:rsidR="007E6753" w:rsidRPr="00F34E9D">
        <w:rPr>
          <w:rFonts w:asciiTheme="majorHAnsi" w:hAnsiTheme="majorHAnsi" w:cstheme="majorHAnsi"/>
          <w:color w:val="0D0D0D" w:themeColor="text1" w:themeTint="F2"/>
          <w:sz w:val="24"/>
          <w:szCs w:val="24"/>
        </w:rPr>
        <w:t>ecan</w:t>
      </w:r>
      <w:r w:rsidR="00D44E58" w:rsidRPr="00F34E9D">
        <w:rPr>
          <w:rFonts w:asciiTheme="majorHAnsi" w:hAnsiTheme="majorHAnsi" w:cstheme="majorHAnsi"/>
          <w:color w:val="0D0D0D" w:themeColor="text1" w:themeTint="F2"/>
          <w:sz w:val="24"/>
          <w:szCs w:val="24"/>
        </w:rPr>
        <w:t>is</w:t>
      </w:r>
      <w:r w:rsidR="007E6753" w:rsidRPr="00F34E9D">
        <w:rPr>
          <w:rFonts w:asciiTheme="majorHAnsi" w:hAnsiTheme="majorHAnsi" w:cstheme="majorHAnsi"/>
          <w:color w:val="0D0D0D" w:themeColor="text1" w:themeTint="F2"/>
          <w:sz w:val="24"/>
          <w:szCs w:val="24"/>
        </w:rPr>
        <w:t>mul</w:t>
      </w:r>
      <w:r w:rsidRPr="00F34E9D">
        <w:rPr>
          <w:rFonts w:asciiTheme="majorHAnsi" w:hAnsiTheme="majorHAnsi" w:cstheme="majorHAnsi"/>
          <w:color w:val="0D0D0D" w:themeColor="text1" w:themeTint="F2"/>
          <w:sz w:val="24"/>
          <w:szCs w:val="24"/>
        </w:rPr>
        <w:t xml:space="preserve"> </w:t>
      </w:r>
      <w:r w:rsidRPr="00F34E9D">
        <w:rPr>
          <w:rFonts w:asciiTheme="majorHAnsi" w:hAnsiTheme="majorHAnsi" w:cstheme="majorHAnsi"/>
          <w:bCs/>
          <w:iCs/>
          <w:color w:val="0D0D0D" w:themeColor="text1" w:themeTint="F2"/>
          <w:sz w:val="24"/>
          <w:szCs w:val="24"/>
        </w:rPr>
        <w:t xml:space="preserve">de finanțare bugetară bazată pe costul per student pentru finanțarea instituțiilor de învățământ superior pentru ciclul de studii III „doctorat”. </w:t>
      </w:r>
      <w:r w:rsidRPr="00F34E9D">
        <w:rPr>
          <w:rFonts w:asciiTheme="majorHAnsi" w:hAnsiTheme="majorHAnsi" w:cstheme="majorHAnsi"/>
          <w:color w:val="0D0D0D" w:themeColor="text1" w:themeTint="F2"/>
          <w:sz w:val="24"/>
          <w:szCs w:val="24"/>
        </w:rPr>
        <w:t xml:space="preserve">Ministerul a aplicat </w:t>
      </w:r>
      <w:r w:rsidR="00A35504" w:rsidRPr="00F34E9D">
        <w:rPr>
          <w:rFonts w:asciiTheme="majorHAnsi" w:hAnsiTheme="majorHAnsi" w:cstheme="majorHAnsi"/>
          <w:color w:val="0D0D0D" w:themeColor="text1" w:themeTint="F2"/>
          <w:sz w:val="24"/>
          <w:szCs w:val="24"/>
        </w:rPr>
        <w:t xml:space="preserve">cu abateri </w:t>
      </w:r>
      <w:r w:rsidRPr="00F34E9D">
        <w:rPr>
          <w:rFonts w:asciiTheme="majorHAnsi" w:hAnsiTheme="majorHAnsi" w:cstheme="majorHAnsi"/>
          <w:color w:val="0D0D0D" w:themeColor="text1" w:themeTint="F2"/>
          <w:sz w:val="24"/>
          <w:szCs w:val="24"/>
        </w:rPr>
        <w:t>cerințele metodologi</w:t>
      </w:r>
      <w:r w:rsidR="007018BC" w:rsidRPr="00F34E9D">
        <w:rPr>
          <w:rFonts w:asciiTheme="majorHAnsi" w:hAnsiTheme="majorHAnsi" w:cstheme="majorHAnsi"/>
          <w:color w:val="0D0D0D" w:themeColor="text1" w:themeTint="F2"/>
          <w:sz w:val="24"/>
          <w:szCs w:val="24"/>
        </w:rPr>
        <w:t>c</w:t>
      </w:r>
      <w:r w:rsidRPr="00F34E9D">
        <w:rPr>
          <w:rFonts w:asciiTheme="majorHAnsi" w:hAnsiTheme="majorHAnsi" w:cstheme="majorHAnsi"/>
          <w:color w:val="0D0D0D" w:themeColor="text1" w:themeTint="F2"/>
          <w:sz w:val="24"/>
          <w:szCs w:val="24"/>
        </w:rPr>
        <w:t>e de finanțare aprobate, și anume, a determinat mărimea alocațiilor pentru finanțarea-standard a instituțiilor publice de învățământ superior pentru anul 2021 și costul per student fără ca ace</w:t>
      </w:r>
      <w:r w:rsidR="00A35504" w:rsidRPr="00F34E9D">
        <w:rPr>
          <w:rFonts w:asciiTheme="majorHAnsi" w:hAnsiTheme="majorHAnsi" w:cstheme="majorHAnsi"/>
          <w:color w:val="0D0D0D" w:themeColor="text1" w:themeTint="F2"/>
          <w:sz w:val="24"/>
          <w:szCs w:val="24"/>
        </w:rPr>
        <w:t>stea</w:t>
      </w:r>
      <w:r w:rsidRPr="00F34E9D">
        <w:rPr>
          <w:rFonts w:asciiTheme="majorHAnsi" w:hAnsiTheme="majorHAnsi" w:cstheme="majorHAnsi"/>
          <w:color w:val="0D0D0D" w:themeColor="text1" w:themeTint="F2"/>
          <w:sz w:val="24"/>
          <w:szCs w:val="24"/>
        </w:rPr>
        <w:t xml:space="preserve"> să fie divizați pe ciclurile de studii superioare de licență și de master, ce</w:t>
      </w:r>
      <w:r w:rsidR="00A8666C" w:rsidRPr="00F34E9D">
        <w:rPr>
          <w:rFonts w:asciiTheme="majorHAnsi" w:hAnsiTheme="majorHAnsi" w:cstheme="majorHAnsi"/>
          <w:color w:val="0D0D0D" w:themeColor="text1" w:themeTint="F2"/>
          <w:sz w:val="24"/>
          <w:szCs w:val="24"/>
        </w:rPr>
        <w:t>e</w:t>
      </w:r>
      <w:r w:rsidRPr="00F34E9D">
        <w:rPr>
          <w:rFonts w:asciiTheme="majorHAnsi" w:hAnsiTheme="majorHAnsi" w:cstheme="majorHAnsi"/>
          <w:color w:val="0D0D0D" w:themeColor="text1" w:themeTint="F2"/>
          <w:sz w:val="24"/>
          <w:szCs w:val="24"/>
        </w:rPr>
        <w:t xml:space="preserve">a ce creează neclarități în repartizarea alocațiilor la contractarea serviciilor aferente acestora. Totodată, </w:t>
      </w:r>
      <w:r w:rsidR="00627467" w:rsidRPr="00F34E9D">
        <w:rPr>
          <w:rFonts w:asciiTheme="majorHAnsi" w:hAnsiTheme="majorHAnsi" w:cstheme="majorHAnsi"/>
          <w:color w:val="0D0D0D" w:themeColor="text1" w:themeTint="F2"/>
          <w:sz w:val="24"/>
          <w:szCs w:val="24"/>
        </w:rPr>
        <w:t xml:space="preserve">MEC </w:t>
      </w:r>
      <w:r w:rsidRPr="00F34E9D">
        <w:rPr>
          <w:rFonts w:asciiTheme="majorHAnsi" w:hAnsiTheme="majorHAnsi" w:cstheme="majorHAnsi"/>
          <w:color w:val="0D0D0D" w:themeColor="text1" w:themeTint="F2"/>
          <w:sz w:val="24"/>
          <w:szCs w:val="24"/>
        </w:rPr>
        <w:t xml:space="preserve">nu a respectat această divizare pe cicluri de învățământ nici la stabilirea obiectului contractelor de prestare a serviciilor, </w:t>
      </w:r>
      <w:r w:rsidR="00A35504" w:rsidRPr="00F34E9D">
        <w:rPr>
          <w:rFonts w:asciiTheme="majorHAnsi" w:hAnsiTheme="majorHAnsi" w:cstheme="majorHAnsi"/>
          <w:color w:val="0D0D0D" w:themeColor="text1" w:themeTint="F2"/>
          <w:sz w:val="24"/>
          <w:szCs w:val="24"/>
        </w:rPr>
        <w:t>în care</w:t>
      </w:r>
      <w:r w:rsidRPr="00F34E9D">
        <w:rPr>
          <w:rFonts w:asciiTheme="majorHAnsi" w:hAnsiTheme="majorHAnsi" w:cstheme="majorHAnsi"/>
          <w:color w:val="0D0D0D" w:themeColor="text1" w:themeTint="F2"/>
          <w:sz w:val="24"/>
          <w:szCs w:val="24"/>
        </w:rPr>
        <w:t xml:space="preserve"> </w:t>
      </w:r>
      <w:r w:rsidRPr="00F34E9D">
        <w:rPr>
          <w:rFonts w:asciiTheme="majorHAnsi" w:hAnsiTheme="majorHAnsi" w:cstheme="majorHAnsi"/>
          <w:iCs/>
          <w:color w:val="0D0D0D" w:themeColor="text1" w:themeTint="F2"/>
          <w:sz w:val="24"/>
          <w:szCs w:val="24"/>
        </w:rPr>
        <w:t>în Anexa nr.2 la contract este indicat numărul total de studenți echivalenți, dar aceștia nu sunt divizați pe cicluri de studii licență și master, nu este prevăzut nici costul per student pentru finanțarea-standard (75%</w:t>
      </w:r>
      <w:r w:rsidR="007018BC" w:rsidRPr="00F34E9D">
        <w:rPr>
          <w:rFonts w:asciiTheme="majorHAnsi" w:hAnsiTheme="majorHAnsi" w:cstheme="majorHAnsi"/>
          <w:iCs/>
          <w:color w:val="0D0D0D" w:themeColor="text1" w:themeTint="F2"/>
          <w:sz w:val="24"/>
          <w:szCs w:val="24"/>
        </w:rPr>
        <w:t xml:space="preserve"> din alocații</w:t>
      </w:r>
      <w:r w:rsidRPr="00F34E9D">
        <w:rPr>
          <w:rFonts w:asciiTheme="majorHAnsi" w:hAnsiTheme="majorHAnsi" w:cstheme="majorHAnsi"/>
          <w:iCs/>
          <w:color w:val="0D0D0D" w:themeColor="text1" w:themeTint="F2"/>
          <w:sz w:val="24"/>
          <w:szCs w:val="24"/>
        </w:rPr>
        <w:t xml:space="preserve">), lipsesc datele privind numărul de studenți la ciclul de studii de doctorat. </w:t>
      </w:r>
      <w:r w:rsidR="00BA385C" w:rsidRPr="00F34E9D">
        <w:rPr>
          <w:rFonts w:asciiTheme="majorHAnsi" w:hAnsiTheme="majorHAnsi" w:cstheme="majorHAnsi"/>
          <w:iCs/>
          <w:color w:val="0D0D0D" w:themeColor="text1" w:themeTint="F2"/>
          <w:sz w:val="24"/>
          <w:szCs w:val="24"/>
        </w:rPr>
        <w:t>Ca urmare</w:t>
      </w:r>
      <w:r w:rsidR="00C92E10" w:rsidRPr="00F34E9D">
        <w:rPr>
          <w:rFonts w:asciiTheme="majorHAnsi" w:hAnsiTheme="majorHAnsi" w:cstheme="majorHAnsi"/>
          <w:iCs/>
          <w:color w:val="0D0D0D" w:themeColor="text1" w:themeTint="F2"/>
          <w:sz w:val="24"/>
          <w:szCs w:val="24"/>
        </w:rPr>
        <w:t>,</w:t>
      </w:r>
      <w:r w:rsidR="00BA385C" w:rsidRPr="00F34E9D">
        <w:rPr>
          <w:rFonts w:asciiTheme="majorHAnsi" w:hAnsiTheme="majorHAnsi" w:cstheme="majorHAnsi"/>
          <w:iCs/>
          <w:color w:val="0D0D0D" w:themeColor="text1" w:themeTint="F2"/>
          <w:sz w:val="24"/>
          <w:szCs w:val="24"/>
        </w:rPr>
        <w:t xml:space="preserve"> se </w:t>
      </w:r>
      <w:r w:rsidRPr="00F34E9D">
        <w:rPr>
          <w:rFonts w:asciiTheme="majorHAnsi" w:hAnsiTheme="majorHAnsi" w:cstheme="majorHAnsi"/>
          <w:iCs/>
          <w:color w:val="0D0D0D" w:themeColor="text1" w:themeTint="F2"/>
          <w:sz w:val="24"/>
          <w:szCs w:val="24"/>
        </w:rPr>
        <w:t>constat</w:t>
      </w:r>
      <w:r w:rsidR="00BA385C" w:rsidRPr="00F34E9D">
        <w:rPr>
          <w:rFonts w:asciiTheme="majorHAnsi" w:hAnsiTheme="majorHAnsi" w:cstheme="majorHAnsi"/>
          <w:iCs/>
          <w:color w:val="0D0D0D" w:themeColor="text1" w:themeTint="F2"/>
          <w:sz w:val="24"/>
          <w:szCs w:val="24"/>
        </w:rPr>
        <w:t>ă</w:t>
      </w:r>
      <w:r w:rsidRPr="00F34E9D">
        <w:rPr>
          <w:rFonts w:asciiTheme="majorHAnsi" w:hAnsiTheme="majorHAnsi" w:cstheme="majorHAnsi"/>
          <w:iCs/>
          <w:color w:val="0D0D0D" w:themeColor="text1" w:themeTint="F2"/>
          <w:sz w:val="24"/>
          <w:szCs w:val="24"/>
        </w:rPr>
        <w:t xml:space="preserve"> o neconsecvență între numărul de studenți echivalenți și alocațiile aprobate prin ordinul MEC și cele din anexe</w:t>
      </w:r>
      <w:r w:rsidR="00A35504" w:rsidRPr="00F34E9D">
        <w:rPr>
          <w:rFonts w:asciiTheme="majorHAnsi" w:hAnsiTheme="majorHAnsi" w:cstheme="majorHAnsi"/>
          <w:iCs/>
          <w:color w:val="0D0D0D" w:themeColor="text1" w:themeTint="F2"/>
          <w:sz w:val="24"/>
          <w:szCs w:val="24"/>
        </w:rPr>
        <w:t>le</w:t>
      </w:r>
      <w:r w:rsidRPr="00F34E9D">
        <w:rPr>
          <w:rFonts w:asciiTheme="majorHAnsi" w:hAnsiTheme="majorHAnsi" w:cstheme="majorHAnsi"/>
          <w:iCs/>
          <w:color w:val="0D0D0D" w:themeColor="text1" w:themeTint="F2"/>
          <w:sz w:val="24"/>
          <w:szCs w:val="24"/>
        </w:rPr>
        <w:t xml:space="preserve"> la contractele încheiate cu prestatorii de servicii privind repartizarea pe cicluri de studii a acestora.</w:t>
      </w:r>
    </w:p>
    <w:p w14:paraId="64590027" w14:textId="22E77040" w:rsidR="00FB23BB" w:rsidRPr="00F34E9D" w:rsidRDefault="00D44E58" w:rsidP="008429AE">
      <w:pPr>
        <w:tabs>
          <w:tab w:val="left" w:pos="284"/>
        </w:tabs>
        <w:spacing w:after="0" w:line="276" w:lineRule="auto"/>
        <w:jc w:val="both"/>
        <w:rPr>
          <w:rFonts w:asciiTheme="majorHAnsi" w:hAnsiTheme="majorHAnsi" w:cstheme="majorHAnsi"/>
          <w:color w:val="0D0D0D" w:themeColor="text1" w:themeTint="F2"/>
          <w:sz w:val="24"/>
          <w:szCs w:val="24"/>
        </w:rPr>
      </w:pPr>
      <w:r w:rsidRPr="00F34E9D">
        <w:rPr>
          <w:rFonts w:asciiTheme="majorHAnsi" w:hAnsiTheme="majorHAnsi" w:cstheme="majorHAnsi"/>
          <w:iCs/>
          <w:color w:val="0D0D0D" w:themeColor="text1" w:themeTint="F2"/>
          <w:sz w:val="24"/>
          <w:szCs w:val="24"/>
        </w:rPr>
        <w:t>Totodată</w:t>
      </w:r>
      <w:r w:rsidR="00EA00C5" w:rsidRPr="00F34E9D">
        <w:rPr>
          <w:rFonts w:asciiTheme="majorHAnsi" w:hAnsiTheme="majorHAnsi" w:cstheme="majorHAnsi"/>
          <w:iCs/>
          <w:color w:val="0D0D0D" w:themeColor="text1" w:themeTint="F2"/>
          <w:sz w:val="24"/>
          <w:szCs w:val="24"/>
        </w:rPr>
        <w:t>,</w:t>
      </w:r>
      <w:r w:rsidRPr="00F34E9D">
        <w:rPr>
          <w:rFonts w:asciiTheme="majorHAnsi" w:hAnsiTheme="majorHAnsi" w:cstheme="majorHAnsi"/>
          <w:iCs/>
          <w:color w:val="0D0D0D" w:themeColor="text1" w:themeTint="F2"/>
          <w:sz w:val="24"/>
          <w:szCs w:val="24"/>
        </w:rPr>
        <w:t xml:space="preserve"> se relevă că </w:t>
      </w:r>
      <w:r w:rsidR="00881590" w:rsidRPr="00F34E9D">
        <w:rPr>
          <w:rFonts w:asciiTheme="majorHAnsi" w:hAnsiTheme="majorHAnsi" w:cstheme="majorHAnsi"/>
          <w:iCs/>
          <w:color w:val="0D0D0D" w:themeColor="text1" w:themeTint="F2"/>
          <w:sz w:val="24"/>
          <w:szCs w:val="24"/>
        </w:rPr>
        <w:t>m</w:t>
      </w:r>
      <w:r w:rsidRPr="00F34E9D">
        <w:rPr>
          <w:rFonts w:asciiTheme="majorHAnsi" w:hAnsiTheme="majorHAnsi" w:cstheme="majorHAnsi"/>
          <w:iCs/>
          <w:color w:val="0D0D0D" w:themeColor="text1" w:themeTint="F2"/>
          <w:sz w:val="24"/>
          <w:szCs w:val="24"/>
        </w:rPr>
        <w:t>inisterul a acceptat</w:t>
      </w:r>
      <w:r w:rsidR="00280219" w:rsidRPr="00F34E9D">
        <w:rPr>
          <w:rFonts w:asciiTheme="majorHAnsi" w:hAnsiTheme="majorHAnsi" w:cstheme="majorHAnsi"/>
          <w:iCs/>
          <w:color w:val="0D0D0D" w:themeColor="text1" w:themeTint="F2"/>
          <w:sz w:val="24"/>
          <w:szCs w:val="24"/>
        </w:rPr>
        <w:t>,</w:t>
      </w:r>
      <w:r w:rsidRPr="00F34E9D">
        <w:rPr>
          <w:rFonts w:asciiTheme="majorHAnsi" w:hAnsiTheme="majorHAnsi" w:cstheme="majorHAnsi"/>
          <w:iCs/>
          <w:color w:val="0D0D0D" w:themeColor="text1" w:themeTint="F2"/>
          <w:sz w:val="24"/>
          <w:szCs w:val="24"/>
        </w:rPr>
        <w:t xml:space="preserve"> de la </w:t>
      </w:r>
      <w:r w:rsidR="00A55040" w:rsidRPr="00F34E9D">
        <w:rPr>
          <w:rFonts w:asciiTheme="majorHAnsi" w:hAnsiTheme="majorHAnsi" w:cstheme="majorHAnsi"/>
          <w:iCs/>
          <w:color w:val="0D0D0D" w:themeColor="text1" w:themeTint="F2"/>
          <w:sz w:val="24"/>
          <w:szCs w:val="24"/>
        </w:rPr>
        <w:t>i</w:t>
      </w:r>
      <w:r w:rsidRPr="00F34E9D">
        <w:rPr>
          <w:rFonts w:asciiTheme="majorHAnsi" w:hAnsiTheme="majorHAnsi" w:cstheme="majorHAnsi"/>
          <w:iCs/>
          <w:color w:val="0D0D0D" w:themeColor="text1" w:themeTint="F2"/>
          <w:sz w:val="24"/>
          <w:szCs w:val="24"/>
        </w:rPr>
        <w:t>nstituțiile de învățăm</w:t>
      </w:r>
      <w:r w:rsidR="00A55040" w:rsidRPr="00F34E9D">
        <w:rPr>
          <w:rFonts w:asciiTheme="majorHAnsi" w:hAnsiTheme="majorHAnsi" w:cstheme="majorHAnsi"/>
          <w:iCs/>
          <w:color w:val="0D0D0D" w:themeColor="text1" w:themeTint="F2"/>
          <w:sz w:val="24"/>
          <w:szCs w:val="24"/>
        </w:rPr>
        <w:t>â</w:t>
      </w:r>
      <w:r w:rsidRPr="00F34E9D">
        <w:rPr>
          <w:rFonts w:asciiTheme="majorHAnsi" w:hAnsiTheme="majorHAnsi" w:cstheme="majorHAnsi"/>
          <w:iCs/>
          <w:color w:val="0D0D0D" w:themeColor="text1" w:themeTint="F2"/>
          <w:sz w:val="24"/>
          <w:szCs w:val="24"/>
        </w:rPr>
        <w:t xml:space="preserve">nt </w:t>
      </w:r>
      <w:r w:rsidR="00A55040" w:rsidRPr="00F34E9D">
        <w:rPr>
          <w:rFonts w:asciiTheme="majorHAnsi" w:hAnsiTheme="majorHAnsi" w:cstheme="majorHAnsi"/>
          <w:iCs/>
          <w:color w:val="0D0D0D" w:themeColor="text1" w:themeTint="F2"/>
          <w:sz w:val="24"/>
          <w:szCs w:val="24"/>
        </w:rPr>
        <w:t>superior</w:t>
      </w:r>
      <w:r w:rsidR="00280219" w:rsidRPr="00F34E9D">
        <w:rPr>
          <w:rFonts w:asciiTheme="majorHAnsi" w:hAnsiTheme="majorHAnsi" w:cstheme="majorHAnsi"/>
          <w:iCs/>
          <w:color w:val="0D0D0D" w:themeColor="text1" w:themeTint="F2"/>
          <w:sz w:val="24"/>
          <w:szCs w:val="24"/>
        </w:rPr>
        <w:t>,</w:t>
      </w:r>
      <w:r w:rsidRPr="00F34E9D">
        <w:rPr>
          <w:rFonts w:asciiTheme="majorHAnsi" w:hAnsiTheme="majorHAnsi" w:cstheme="majorHAnsi"/>
          <w:iCs/>
          <w:color w:val="0D0D0D" w:themeColor="text1" w:themeTint="F2"/>
          <w:sz w:val="24"/>
          <w:szCs w:val="24"/>
        </w:rPr>
        <w:t xml:space="preserve"> raportarea necorespunzătoare a</w:t>
      </w:r>
      <w:r w:rsidRPr="00F34E9D">
        <w:rPr>
          <w:rFonts w:asciiTheme="majorHAnsi" w:hAnsiTheme="majorHAnsi" w:cstheme="majorHAnsi"/>
          <w:color w:val="0D0D0D" w:themeColor="text1" w:themeTint="F2"/>
          <w:sz w:val="24"/>
          <w:szCs w:val="24"/>
        </w:rPr>
        <w:t xml:space="preserve"> serviciil</w:t>
      </w:r>
      <w:r w:rsidR="00FB23BB" w:rsidRPr="00F34E9D">
        <w:rPr>
          <w:rFonts w:asciiTheme="majorHAnsi" w:hAnsiTheme="majorHAnsi" w:cstheme="majorHAnsi"/>
          <w:color w:val="0D0D0D" w:themeColor="text1" w:themeTint="F2"/>
          <w:sz w:val="24"/>
          <w:szCs w:val="24"/>
        </w:rPr>
        <w:t>or</w:t>
      </w:r>
      <w:r w:rsidRPr="00F34E9D">
        <w:rPr>
          <w:rFonts w:asciiTheme="majorHAnsi" w:hAnsiTheme="majorHAnsi" w:cstheme="majorHAnsi"/>
          <w:color w:val="0D0D0D" w:themeColor="text1" w:themeTint="F2"/>
          <w:sz w:val="24"/>
          <w:szCs w:val="24"/>
        </w:rPr>
        <w:t xml:space="preserve"> educaționale aferente finanțării standard, compensatori</w:t>
      </w:r>
      <w:r w:rsidR="00280219" w:rsidRPr="00F34E9D">
        <w:rPr>
          <w:rFonts w:asciiTheme="majorHAnsi" w:hAnsiTheme="majorHAnsi" w:cstheme="majorHAnsi"/>
          <w:color w:val="0D0D0D" w:themeColor="text1" w:themeTint="F2"/>
          <w:sz w:val="24"/>
          <w:szCs w:val="24"/>
        </w:rPr>
        <w:t>i</w:t>
      </w:r>
      <w:r w:rsidRPr="00F34E9D">
        <w:rPr>
          <w:rFonts w:asciiTheme="majorHAnsi" w:hAnsiTheme="majorHAnsi" w:cstheme="majorHAnsi"/>
          <w:color w:val="0D0D0D" w:themeColor="text1" w:themeTint="F2"/>
          <w:sz w:val="24"/>
          <w:szCs w:val="24"/>
        </w:rPr>
        <w:t>, burse</w:t>
      </w:r>
      <w:r w:rsidR="00280219" w:rsidRPr="00F34E9D">
        <w:rPr>
          <w:rFonts w:asciiTheme="majorHAnsi" w:hAnsiTheme="majorHAnsi" w:cstheme="majorHAnsi"/>
          <w:color w:val="0D0D0D" w:themeColor="text1" w:themeTint="F2"/>
          <w:sz w:val="24"/>
          <w:szCs w:val="24"/>
        </w:rPr>
        <w:t>lor</w:t>
      </w:r>
      <w:r w:rsidRPr="00F34E9D">
        <w:rPr>
          <w:rFonts w:asciiTheme="majorHAnsi" w:hAnsiTheme="majorHAnsi" w:cstheme="majorHAnsi"/>
          <w:color w:val="0D0D0D" w:themeColor="text1" w:themeTint="F2"/>
          <w:sz w:val="24"/>
          <w:szCs w:val="24"/>
        </w:rPr>
        <w:t xml:space="preserve"> și </w:t>
      </w:r>
      <w:r w:rsidRPr="00F34E9D">
        <w:rPr>
          <w:rFonts w:asciiTheme="majorHAnsi" w:hAnsiTheme="majorHAnsi" w:cstheme="majorHAnsi"/>
          <w:iCs/>
          <w:color w:val="0D0D0D" w:themeColor="text1" w:themeTint="F2"/>
          <w:sz w:val="24"/>
          <w:szCs w:val="24"/>
        </w:rPr>
        <w:t>subvenționării costului chirie</w:t>
      </w:r>
      <w:r w:rsidR="00280219" w:rsidRPr="00F34E9D">
        <w:rPr>
          <w:rFonts w:asciiTheme="majorHAnsi" w:hAnsiTheme="majorHAnsi" w:cstheme="majorHAnsi"/>
          <w:iCs/>
          <w:color w:val="0D0D0D" w:themeColor="text1" w:themeTint="F2"/>
          <w:sz w:val="24"/>
          <w:szCs w:val="24"/>
        </w:rPr>
        <w:t>i</w:t>
      </w:r>
      <w:r w:rsidRPr="00F34E9D">
        <w:rPr>
          <w:rFonts w:asciiTheme="majorHAnsi" w:hAnsiTheme="majorHAnsi" w:cstheme="majorHAnsi"/>
          <w:iCs/>
          <w:color w:val="0D0D0D" w:themeColor="text1" w:themeTint="F2"/>
          <w:sz w:val="24"/>
          <w:szCs w:val="24"/>
        </w:rPr>
        <w:t xml:space="preserve"> în cămine. În acest sens</w:t>
      </w:r>
      <w:r w:rsidR="00A55040" w:rsidRPr="00F34E9D">
        <w:rPr>
          <w:rFonts w:asciiTheme="majorHAnsi" w:hAnsiTheme="majorHAnsi" w:cstheme="majorHAnsi"/>
          <w:iCs/>
          <w:color w:val="0D0D0D" w:themeColor="text1" w:themeTint="F2"/>
          <w:sz w:val="24"/>
          <w:szCs w:val="24"/>
        </w:rPr>
        <w:t>,</w:t>
      </w:r>
      <w:r w:rsidRPr="00F34E9D">
        <w:rPr>
          <w:rFonts w:asciiTheme="majorHAnsi" w:hAnsiTheme="majorHAnsi" w:cstheme="majorHAnsi"/>
          <w:iCs/>
          <w:color w:val="0D0D0D" w:themeColor="text1" w:themeTint="F2"/>
          <w:sz w:val="24"/>
          <w:szCs w:val="24"/>
        </w:rPr>
        <w:t xml:space="preserve"> </w:t>
      </w:r>
      <w:r w:rsidRPr="00F34E9D">
        <w:rPr>
          <w:rFonts w:asciiTheme="majorHAnsi" w:hAnsiTheme="majorHAnsi" w:cstheme="majorHAnsi"/>
          <w:color w:val="0D0D0D" w:themeColor="text1" w:themeTint="F2"/>
          <w:sz w:val="24"/>
          <w:szCs w:val="24"/>
        </w:rPr>
        <w:t>serviciil</w:t>
      </w:r>
      <w:r w:rsidR="006861A7" w:rsidRPr="00F34E9D">
        <w:rPr>
          <w:rFonts w:asciiTheme="majorHAnsi" w:hAnsiTheme="majorHAnsi" w:cstheme="majorHAnsi"/>
          <w:color w:val="0D0D0D" w:themeColor="text1" w:themeTint="F2"/>
          <w:sz w:val="24"/>
          <w:szCs w:val="24"/>
        </w:rPr>
        <w:t>e</w:t>
      </w:r>
      <w:r w:rsidRPr="00F34E9D">
        <w:rPr>
          <w:rFonts w:asciiTheme="majorHAnsi" w:hAnsiTheme="majorHAnsi" w:cstheme="majorHAnsi"/>
          <w:color w:val="0D0D0D" w:themeColor="text1" w:themeTint="F2"/>
          <w:sz w:val="24"/>
          <w:szCs w:val="24"/>
        </w:rPr>
        <w:t xml:space="preserve"> educaționale </w:t>
      </w:r>
      <w:r w:rsidR="00FB23BB" w:rsidRPr="00F34E9D">
        <w:rPr>
          <w:rFonts w:asciiTheme="majorHAnsi" w:hAnsiTheme="majorHAnsi" w:cstheme="majorHAnsi"/>
          <w:color w:val="0D0D0D" w:themeColor="text1" w:themeTint="F2"/>
          <w:sz w:val="24"/>
          <w:szCs w:val="24"/>
        </w:rPr>
        <w:t>prestate de instituțiile de învățăm</w:t>
      </w:r>
      <w:r w:rsidR="00280219" w:rsidRPr="00F34E9D">
        <w:rPr>
          <w:rFonts w:asciiTheme="majorHAnsi" w:hAnsiTheme="majorHAnsi" w:cstheme="majorHAnsi"/>
          <w:color w:val="0D0D0D" w:themeColor="text1" w:themeTint="F2"/>
          <w:sz w:val="24"/>
          <w:szCs w:val="24"/>
        </w:rPr>
        <w:t>â</w:t>
      </w:r>
      <w:r w:rsidR="00FB23BB" w:rsidRPr="00F34E9D">
        <w:rPr>
          <w:rFonts w:asciiTheme="majorHAnsi" w:hAnsiTheme="majorHAnsi" w:cstheme="majorHAnsi"/>
          <w:color w:val="0D0D0D" w:themeColor="text1" w:themeTint="F2"/>
          <w:sz w:val="24"/>
          <w:szCs w:val="24"/>
        </w:rPr>
        <w:t xml:space="preserve">nt </w:t>
      </w:r>
      <w:r w:rsidR="00280219" w:rsidRPr="00F34E9D">
        <w:rPr>
          <w:rFonts w:asciiTheme="majorHAnsi" w:hAnsiTheme="majorHAnsi" w:cstheme="majorHAnsi"/>
          <w:color w:val="0D0D0D" w:themeColor="text1" w:themeTint="F2"/>
          <w:sz w:val="24"/>
          <w:szCs w:val="24"/>
        </w:rPr>
        <w:t>respective</w:t>
      </w:r>
      <w:r w:rsidR="00FB23BB" w:rsidRPr="00F34E9D">
        <w:rPr>
          <w:rFonts w:asciiTheme="majorHAnsi" w:hAnsiTheme="majorHAnsi" w:cstheme="majorHAnsi"/>
          <w:color w:val="0D0D0D" w:themeColor="text1" w:themeTint="F2"/>
          <w:sz w:val="24"/>
          <w:szCs w:val="24"/>
        </w:rPr>
        <w:t xml:space="preserve"> către MEC</w:t>
      </w:r>
      <w:r w:rsidR="00280219" w:rsidRPr="00F34E9D">
        <w:rPr>
          <w:rFonts w:asciiTheme="majorHAnsi" w:hAnsiTheme="majorHAnsi" w:cstheme="majorHAnsi"/>
          <w:color w:val="0D0D0D" w:themeColor="text1" w:themeTint="F2"/>
          <w:sz w:val="24"/>
          <w:szCs w:val="24"/>
        </w:rPr>
        <w:t>,</w:t>
      </w:r>
      <w:r w:rsidR="00FB23BB" w:rsidRPr="00F34E9D">
        <w:rPr>
          <w:rFonts w:asciiTheme="majorHAnsi" w:hAnsiTheme="majorHAnsi" w:cstheme="majorHAnsi"/>
          <w:color w:val="0D0D0D" w:themeColor="text1" w:themeTint="F2"/>
          <w:sz w:val="24"/>
          <w:szCs w:val="24"/>
        </w:rPr>
        <w:t xml:space="preserve"> aferente finanțării compensatori</w:t>
      </w:r>
      <w:r w:rsidR="00280219" w:rsidRPr="00F34E9D">
        <w:rPr>
          <w:rFonts w:asciiTheme="majorHAnsi" w:hAnsiTheme="majorHAnsi" w:cstheme="majorHAnsi"/>
          <w:color w:val="0D0D0D" w:themeColor="text1" w:themeTint="F2"/>
          <w:sz w:val="24"/>
          <w:szCs w:val="24"/>
        </w:rPr>
        <w:t>i</w:t>
      </w:r>
      <w:r w:rsidRPr="00F34E9D">
        <w:rPr>
          <w:rFonts w:asciiTheme="majorHAnsi" w:hAnsiTheme="majorHAnsi" w:cstheme="majorHAnsi"/>
          <w:color w:val="0D0D0D" w:themeColor="text1" w:themeTint="F2"/>
          <w:sz w:val="24"/>
          <w:szCs w:val="24"/>
        </w:rPr>
        <w:t xml:space="preserve"> </w:t>
      </w:r>
      <w:r w:rsidR="00FB23BB" w:rsidRPr="00F34E9D">
        <w:rPr>
          <w:rFonts w:asciiTheme="majorHAnsi" w:hAnsiTheme="majorHAnsi" w:cstheme="majorHAnsi"/>
          <w:color w:val="0D0D0D" w:themeColor="text1" w:themeTint="F2"/>
          <w:sz w:val="24"/>
          <w:szCs w:val="24"/>
        </w:rPr>
        <w:t>(20%</w:t>
      </w:r>
      <w:r w:rsidR="007018BC" w:rsidRPr="00F34E9D">
        <w:rPr>
          <w:rFonts w:asciiTheme="majorHAnsi" w:hAnsiTheme="majorHAnsi" w:cstheme="majorHAnsi"/>
          <w:iCs/>
          <w:color w:val="0D0D0D" w:themeColor="text1" w:themeTint="F2"/>
          <w:sz w:val="24"/>
          <w:szCs w:val="24"/>
        </w:rPr>
        <w:t xml:space="preserve"> din alocații</w:t>
      </w:r>
      <w:r w:rsidR="00FB23BB" w:rsidRPr="00F34E9D">
        <w:rPr>
          <w:rFonts w:asciiTheme="majorHAnsi" w:hAnsiTheme="majorHAnsi" w:cstheme="majorHAnsi"/>
          <w:color w:val="0D0D0D" w:themeColor="text1" w:themeTint="F2"/>
          <w:sz w:val="24"/>
          <w:szCs w:val="24"/>
        </w:rPr>
        <w:t>)</w:t>
      </w:r>
      <w:r w:rsidR="00280219" w:rsidRPr="00F34E9D">
        <w:rPr>
          <w:rFonts w:asciiTheme="majorHAnsi" w:hAnsiTheme="majorHAnsi" w:cstheme="majorHAnsi"/>
          <w:color w:val="0D0D0D" w:themeColor="text1" w:themeTint="F2"/>
          <w:sz w:val="24"/>
          <w:szCs w:val="24"/>
        </w:rPr>
        <w:t>,</w:t>
      </w:r>
      <w:r w:rsidR="00FB23BB" w:rsidRPr="00F34E9D">
        <w:rPr>
          <w:rFonts w:asciiTheme="majorHAnsi" w:hAnsiTheme="majorHAnsi" w:cstheme="majorHAnsi"/>
          <w:color w:val="0D0D0D" w:themeColor="text1" w:themeTint="F2"/>
          <w:sz w:val="24"/>
          <w:szCs w:val="24"/>
        </w:rPr>
        <w:t xml:space="preserve"> în sumă de 98</w:t>
      </w:r>
      <w:r w:rsidR="00DB2093" w:rsidRPr="00F34E9D">
        <w:rPr>
          <w:rFonts w:asciiTheme="majorHAnsi" w:hAnsiTheme="majorHAnsi" w:cstheme="majorHAnsi"/>
          <w:color w:val="0D0D0D" w:themeColor="text1" w:themeTint="F2"/>
          <w:sz w:val="24"/>
          <w:szCs w:val="24"/>
        </w:rPr>
        <w:t>.</w:t>
      </w:r>
      <w:r w:rsidR="00FB23BB" w:rsidRPr="00F34E9D">
        <w:rPr>
          <w:rFonts w:asciiTheme="majorHAnsi" w:hAnsiTheme="majorHAnsi" w:cstheme="majorHAnsi"/>
          <w:color w:val="0D0D0D" w:themeColor="text1" w:themeTint="F2"/>
          <w:sz w:val="24"/>
          <w:szCs w:val="24"/>
        </w:rPr>
        <w:t>882,6 mii lei</w:t>
      </w:r>
      <w:r w:rsidR="00280219" w:rsidRPr="00F34E9D">
        <w:rPr>
          <w:rFonts w:asciiTheme="majorHAnsi" w:hAnsiTheme="majorHAnsi" w:cstheme="majorHAnsi"/>
          <w:color w:val="0D0D0D" w:themeColor="text1" w:themeTint="F2"/>
          <w:sz w:val="24"/>
          <w:szCs w:val="24"/>
        </w:rPr>
        <w:t>,</w:t>
      </w:r>
      <w:r w:rsidR="00FB23BB" w:rsidRPr="00F34E9D">
        <w:rPr>
          <w:rFonts w:asciiTheme="majorHAnsi" w:hAnsiTheme="majorHAnsi" w:cstheme="majorHAnsi"/>
          <w:color w:val="0D0D0D" w:themeColor="text1" w:themeTint="F2"/>
          <w:sz w:val="24"/>
          <w:szCs w:val="24"/>
        </w:rPr>
        <w:t xml:space="preserve"> au fost raportate împreună cu finanțarea </w:t>
      </w:r>
      <w:r w:rsidR="00FB23BB" w:rsidRPr="00F34E9D">
        <w:rPr>
          <w:rFonts w:asciiTheme="majorHAnsi" w:hAnsiTheme="majorHAnsi" w:cstheme="majorHAnsi"/>
          <w:i/>
          <w:color w:val="0D0D0D" w:themeColor="text1" w:themeTint="F2"/>
          <w:sz w:val="24"/>
          <w:szCs w:val="24"/>
        </w:rPr>
        <w:t>standard (75%)</w:t>
      </w:r>
      <w:r w:rsidRPr="00F34E9D">
        <w:rPr>
          <w:rFonts w:asciiTheme="majorHAnsi" w:hAnsiTheme="majorHAnsi" w:cstheme="majorHAnsi"/>
          <w:color w:val="0D0D0D" w:themeColor="text1" w:themeTint="F2"/>
          <w:sz w:val="24"/>
          <w:szCs w:val="24"/>
        </w:rPr>
        <w:t xml:space="preserve">, </w:t>
      </w:r>
      <w:r w:rsidR="00061992" w:rsidRPr="00F34E9D">
        <w:rPr>
          <w:rFonts w:asciiTheme="majorHAnsi" w:hAnsiTheme="majorHAnsi" w:cstheme="majorHAnsi"/>
          <w:color w:val="0D0D0D" w:themeColor="text1" w:themeTint="F2"/>
          <w:sz w:val="24"/>
          <w:szCs w:val="24"/>
        </w:rPr>
        <w:t>neținând</w:t>
      </w:r>
      <w:r w:rsidR="00EA00C5" w:rsidRPr="00F34E9D">
        <w:rPr>
          <w:rFonts w:asciiTheme="majorHAnsi" w:hAnsiTheme="majorHAnsi" w:cstheme="majorHAnsi"/>
          <w:color w:val="0D0D0D" w:themeColor="text1" w:themeTint="F2"/>
          <w:sz w:val="24"/>
          <w:szCs w:val="24"/>
        </w:rPr>
        <w:t xml:space="preserve"> cont de </w:t>
      </w:r>
      <w:r w:rsidR="006861A7" w:rsidRPr="00F34E9D">
        <w:rPr>
          <w:rFonts w:asciiTheme="majorHAnsi" w:hAnsiTheme="majorHAnsi" w:cstheme="majorHAnsi"/>
          <w:color w:val="0D0D0D" w:themeColor="text1" w:themeTint="F2"/>
          <w:sz w:val="24"/>
          <w:szCs w:val="24"/>
        </w:rPr>
        <w:t>prevederil</w:t>
      </w:r>
      <w:r w:rsidR="00EA00C5" w:rsidRPr="00F34E9D">
        <w:rPr>
          <w:rFonts w:asciiTheme="majorHAnsi" w:hAnsiTheme="majorHAnsi" w:cstheme="majorHAnsi"/>
          <w:color w:val="0D0D0D" w:themeColor="text1" w:themeTint="F2"/>
          <w:sz w:val="24"/>
          <w:szCs w:val="24"/>
        </w:rPr>
        <w:t>e</w:t>
      </w:r>
      <w:r w:rsidR="006861A7" w:rsidRPr="00F34E9D">
        <w:rPr>
          <w:rFonts w:asciiTheme="majorHAnsi" w:hAnsiTheme="majorHAnsi" w:cstheme="majorHAnsi"/>
          <w:color w:val="0D0D0D" w:themeColor="text1" w:themeTint="F2"/>
          <w:sz w:val="24"/>
          <w:szCs w:val="24"/>
        </w:rPr>
        <w:t xml:space="preserve"> co</w:t>
      </w:r>
      <w:r w:rsidR="00EA00C5" w:rsidRPr="00F34E9D">
        <w:rPr>
          <w:rFonts w:asciiTheme="majorHAnsi" w:hAnsiTheme="majorHAnsi" w:cstheme="majorHAnsi"/>
          <w:color w:val="0D0D0D" w:themeColor="text1" w:themeTint="F2"/>
          <w:sz w:val="24"/>
          <w:szCs w:val="24"/>
        </w:rPr>
        <w:t>ntractuale încheiate.</w:t>
      </w:r>
      <w:r w:rsidRPr="00F34E9D">
        <w:rPr>
          <w:rFonts w:asciiTheme="majorHAnsi" w:hAnsiTheme="majorHAnsi" w:cstheme="majorHAnsi"/>
          <w:color w:val="0D0D0D" w:themeColor="text1" w:themeTint="F2"/>
          <w:sz w:val="24"/>
          <w:szCs w:val="24"/>
        </w:rPr>
        <w:t xml:space="preserve"> </w:t>
      </w:r>
    </w:p>
    <w:p w14:paraId="4567B3CE" w14:textId="7685958E" w:rsidR="00D44E58" w:rsidRPr="00F34E9D" w:rsidRDefault="00FB23BB" w:rsidP="008429AE">
      <w:pPr>
        <w:tabs>
          <w:tab w:val="left" w:pos="284"/>
        </w:tabs>
        <w:spacing w:after="0" w:line="276" w:lineRule="auto"/>
        <w:jc w:val="both"/>
        <w:rPr>
          <w:rFonts w:asciiTheme="majorHAnsi" w:hAnsiTheme="majorHAnsi" w:cstheme="majorHAnsi"/>
          <w:color w:val="0D0D0D" w:themeColor="text1" w:themeTint="F2"/>
          <w:sz w:val="24"/>
          <w:szCs w:val="24"/>
        </w:rPr>
      </w:pPr>
      <w:r w:rsidRPr="00F34E9D">
        <w:rPr>
          <w:rFonts w:asciiTheme="majorHAnsi" w:hAnsiTheme="majorHAnsi" w:cstheme="majorHAnsi"/>
          <w:color w:val="0D0D0D" w:themeColor="text1" w:themeTint="F2"/>
          <w:sz w:val="24"/>
          <w:szCs w:val="24"/>
        </w:rPr>
        <w:t xml:space="preserve">În alt caz, în facturile </w:t>
      </w:r>
      <w:r w:rsidR="000C6BFC" w:rsidRPr="00F34E9D">
        <w:rPr>
          <w:rFonts w:asciiTheme="majorHAnsi" w:hAnsiTheme="majorHAnsi" w:cstheme="majorHAnsi"/>
          <w:color w:val="0D0D0D" w:themeColor="text1" w:themeTint="F2"/>
          <w:sz w:val="24"/>
          <w:szCs w:val="24"/>
        </w:rPr>
        <w:t xml:space="preserve">și </w:t>
      </w:r>
      <w:r w:rsidR="000C6BFC" w:rsidRPr="00F34E9D">
        <w:rPr>
          <w:rFonts w:asciiTheme="majorHAnsi" w:hAnsiTheme="majorHAnsi" w:cstheme="majorHAnsi"/>
          <w:iCs/>
          <w:color w:val="0D0D0D" w:themeColor="text1" w:themeTint="F2"/>
          <w:sz w:val="24"/>
          <w:szCs w:val="24"/>
        </w:rPr>
        <w:t>actele de prestare a serviciilor aferente plății burselor și subvenționării chirie</w:t>
      </w:r>
      <w:r w:rsidR="00280219" w:rsidRPr="00F34E9D">
        <w:rPr>
          <w:rFonts w:asciiTheme="majorHAnsi" w:hAnsiTheme="majorHAnsi" w:cstheme="majorHAnsi"/>
          <w:iCs/>
          <w:color w:val="0D0D0D" w:themeColor="text1" w:themeTint="F2"/>
          <w:sz w:val="24"/>
          <w:szCs w:val="24"/>
        </w:rPr>
        <w:t>i</w:t>
      </w:r>
      <w:r w:rsidR="000C6BFC" w:rsidRPr="00F34E9D">
        <w:rPr>
          <w:rFonts w:asciiTheme="majorHAnsi" w:hAnsiTheme="majorHAnsi" w:cstheme="majorHAnsi"/>
          <w:iCs/>
          <w:color w:val="0D0D0D" w:themeColor="text1" w:themeTint="F2"/>
          <w:sz w:val="24"/>
          <w:szCs w:val="24"/>
        </w:rPr>
        <w:t xml:space="preserve"> în cămine lipsesc datele cu privire la categoria bursei, numărul de bursieri și, respectiv, numărul studenților cazați în cămine</w:t>
      </w:r>
      <w:r w:rsidR="00280219" w:rsidRPr="00F34E9D">
        <w:rPr>
          <w:rFonts w:asciiTheme="majorHAnsi" w:hAnsiTheme="majorHAnsi" w:cstheme="majorHAnsi"/>
          <w:iCs/>
          <w:color w:val="0D0D0D" w:themeColor="text1" w:themeTint="F2"/>
          <w:sz w:val="24"/>
          <w:szCs w:val="24"/>
        </w:rPr>
        <w:t>;</w:t>
      </w:r>
    </w:p>
    <w:p w14:paraId="3669C54C" w14:textId="62F5629E" w:rsidR="0029528A" w:rsidRPr="00F34E9D" w:rsidRDefault="000D55F0" w:rsidP="00F42E6E">
      <w:pPr>
        <w:pStyle w:val="a3"/>
        <w:numPr>
          <w:ilvl w:val="0"/>
          <w:numId w:val="5"/>
        </w:numPr>
        <w:tabs>
          <w:tab w:val="left" w:pos="284"/>
        </w:tabs>
        <w:spacing w:after="0" w:line="276" w:lineRule="auto"/>
        <w:ind w:left="0" w:firstLine="0"/>
        <w:contextualSpacing w:val="0"/>
        <w:jc w:val="both"/>
        <w:rPr>
          <w:rFonts w:asciiTheme="majorHAnsi" w:eastAsia="Calibri" w:hAnsiTheme="majorHAnsi" w:cstheme="majorHAnsi"/>
          <w:color w:val="0D0D0D" w:themeColor="text1" w:themeTint="F2"/>
          <w:sz w:val="24"/>
          <w:szCs w:val="24"/>
        </w:rPr>
      </w:pPr>
      <w:r w:rsidRPr="00F34E9D">
        <w:rPr>
          <w:rFonts w:asciiTheme="majorHAnsi" w:eastAsia="Calibri" w:hAnsiTheme="majorHAnsi" w:cstheme="majorHAnsi"/>
          <w:color w:val="0D0D0D" w:themeColor="text1" w:themeTint="F2"/>
          <w:sz w:val="24"/>
          <w:szCs w:val="24"/>
        </w:rPr>
        <w:t>MEC</w:t>
      </w:r>
      <w:r w:rsidR="00E309CE" w:rsidRPr="00F34E9D">
        <w:rPr>
          <w:rFonts w:asciiTheme="majorHAnsi" w:eastAsia="Calibri" w:hAnsiTheme="majorHAnsi" w:cstheme="majorHAnsi"/>
          <w:color w:val="0D0D0D" w:themeColor="text1" w:themeTint="F2"/>
          <w:sz w:val="24"/>
          <w:szCs w:val="24"/>
        </w:rPr>
        <w:t xml:space="preserve"> și</w:t>
      </w:r>
      <w:r w:rsidRPr="00F34E9D">
        <w:rPr>
          <w:rFonts w:asciiTheme="majorHAnsi" w:eastAsia="Calibri" w:hAnsiTheme="majorHAnsi" w:cstheme="majorHAnsi"/>
          <w:color w:val="0D0D0D" w:themeColor="text1" w:themeTint="F2"/>
          <w:sz w:val="24"/>
          <w:szCs w:val="24"/>
        </w:rPr>
        <w:t xml:space="preserve"> instituțiile de învățământ superior nu au aprobat proceduri interne clare prin care să asigure realizarea mecanismului de restituire la bugetul de stat a cheltuielilor suportate pentru instruirea studenților care au refuzat plasarea obligatorie în câmpul muncii și </w:t>
      </w:r>
      <w:r w:rsidR="00280219" w:rsidRPr="00F34E9D">
        <w:rPr>
          <w:rFonts w:asciiTheme="majorHAnsi" w:eastAsia="Calibri" w:hAnsiTheme="majorHAnsi" w:cstheme="majorHAnsi"/>
          <w:color w:val="0D0D0D" w:themeColor="text1" w:themeTint="F2"/>
          <w:sz w:val="24"/>
          <w:szCs w:val="24"/>
        </w:rPr>
        <w:t xml:space="preserve">a </w:t>
      </w:r>
      <w:r w:rsidRPr="00F34E9D">
        <w:rPr>
          <w:rFonts w:asciiTheme="majorHAnsi" w:eastAsia="Calibri" w:hAnsiTheme="majorHAnsi" w:cstheme="majorHAnsi"/>
          <w:color w:val="0D0D0D" w:themeColor="text1" w:themeTint="F2"/>
          <w:sz w:val="24"/>
          <w:szCs w:val="24"/>
        </w:rPr>
        <w:t>celor exmatriculați de la studii</w:t>
      </w:r>
      <w:r w:rsidR="007018BC" w:rsidRPr="00F34E9D">
        <w:rPr>
          <w:rFonts w:asciiTheme="majorHAnsi" w:eastAsia="Calibri" w:hAnsiTheme="majorHAnsi" w:cstheme="majorHAnsi"/>
          <w:color w:val="0D0D0D" w:themeColor="text1" w:themeTint="F2"/>
          <w:sz w:val="24"/>
          <w:szCs w:val="24"/>
        </w:rPr>
        <w:t xml:space="preserve">, stabilite prin HG </w:t>
      </w:r>
      <w:r w:rsidR="00C92E10" w:rsidRPr="00F34E9D">
        <w:rPr>
          <w:rFonts w:asciiTheme="majorHAnsi" w:eastAsia="Calibri" w:hAnsiTheme="majorHAnsi" w:cstheme="majorHAnsi"/>
          <w:color w:val="0D0D0D" w:themeColor="text1" w:themeTint="F2"/>
          <w:sz w:val="24"/>
          <w:szCs w:val="24"/>
        </w:rPr>
        <w:t>nr.</w:t>
      </w:r>
      <w:r w:rsidR="007018BC" w:rsidRPr="00F34E9D">
        <w:rPr>
          <w:rFonts w:asciiTheme="majorHAnsi" w:eastAsia="Calibri" w:hAnsiTheme="majorHAnsi" w:cstheme="majorHAnsi"/>
          <w:color w:val="0D0D0D" w:themeColor="text1" w:themeTint="F2"/>
          <w:sz w:val="24"/>
          <w:szCs w:val="24"/>
        </w:rPr>
        <w:t>923</w:t>
      </w:r>
      <w:r w:rsidR="00C92E10" w:rsidRPr="00F34E9D">
        <w:rPr>
          <w:rFonts w:asciiTheme="majorHAnsi" w:eastAsia="Calibri" w:hAnsiTheme="majorHAnsi" w:cstheme="majorHAnsi"/>
          <w:color w:val="0D0D0D" w:themeColor="text1" w:themeTint="F2"/>
          <w:sz w:val="24"/>
          <w:szCs w:val="24"/>
        </w:rPr>
        <w:t xml:space="preserve"> din 04.09.</w:t>
      </w:r>
      <w:r w:rsidR="007018BC" w:rsidRPr="00F34E9D">
        <w:rPr>
          <w:rFonts w:asciiTheme="majorHAnsi" w:eastAsia="Calibri" w:hAnsiTheme="majorHAnsi" w:cstheme="majorHAnsi"/>
          <w:color w:val="0D0D0D" w:themeColor="text1" w:themeTint="F2"/>
          <w:sz w:val="24"/>
          <w:szCs w:val="24"/>
        </w:rPr>
        <w:t>2001</w:t>
      </w:r>
      <w:r w:rsidRPr="00F34E9D">
        <w:rPr>
          <w:rFonts w:asciiTheme="majorHAnsi" w:eastAsia="Calibri" w:hAnsiTheme="majorHAnsi" w:cstheme="majorHAnsi"/>
          <w:color w:val="0D0D0D" w:themeColor="text1" w:themeTint="F2"/>
          <w:sz w:val="24"/>
          <w:szCs w:val="24"/>
        </w:rPr>
        <w:t>. De menționat că, conform datelor raportate</w:t>
      </w:r>
      <w:r w:rsidR="00280219" w:rsidRPr="00F34E9D">
        <w:rPr>
          <w:rFonts w:asciiTheme="majorHAnsi" w:eastAsia="Calibri" w:hAnsiTheme="majorHAnsi" w:cstheme="majorHAnsi"/>
          <w:color w:val="0D0D0D" w:themeColor="text1" w:themeTint="F2"/>
          <w:sz w:val="24"/>
          <w:szCs w:val="24"/>
        </w:rPr>
        <w:t>,</w:t>
      </w:r>
      <w:r w:rsidRPr="00F34E9D">
        <w:rPr>
          <w:rFonts w:asciiTheme="majorHAnsi" w:eastAsia="Calibri" w:hAnsiTheme="majorHAnsi" w:cstheme="majorHAnsi"/>
          <w:color w:val="0D0D0D" w:themeColor="text1" w:themeTint="F2"/>
          <w:sz w:val="24"/>
          <w:szCs w:val="24"/>
        </w:rPr>
        <w:t xml:space="preserve"> în anul 2021 au fost exmatriculați </w:t>
      </w:r>
      <w:r w:rsidR="008E449E" w:rsidRPr="00F34E9D">
        <w:rPr>
          <w:rFonts w:asciiTheme="majorHAnsi" w:eastAsia="Calibri" w:hAnsiTheme="majorHAnsi" w:cstheme="majorHAnsi"/>
          <w:color w:val="0D0D0D" w:themeColor="text1" w:themeTint="F2"/>
          <w:sz w:val="24"/>
          <w:szCs w:val="24"/>
        </w:rPr>
        <w:t xml:space="preserve">2175 </w:t>
      </w:r>
      <w:r w:rsidRPr="00F34E9D">
        <w:rPr>
          <w:rFonts w:asciiTheme="majorHAnsi" w:eastAsia="Calibri" w:hAnsiTheme="majorHAnsi" w:cstheme="majorHAnsi"/>
          <w:color w:val="0D0D0D" w:themeColor="text1" w:themeTint="F2"/>
          <w:sz w:val="24"/>
          <w:szCs w:val="24"/>
        </w:rPr>
        <w:t>de studenți cu finanțare bugetară,</w:t>
      </w:r>
      <w:r w:rsidRPr="00F34E9D">
        <w:rPr>
          <w:rFonts w:asciiTheme="majorHAnsi" w:hAnsiTheme="majorHAnsi" w:cstheme="majorHAnsi"/>
          <w:b/>
          <w:bCs/>
          <w:i/>
          <w:iCs/>
          <w:color w:val="0D0D0D" w:themeColor="text1" w:themeTint="F2"/>
          <w:sz w:val="24"/>
          <w:szCs w:val="24"/>
        </w:rPr>
        <w:t xml:space="preserve"> </w:t>
      </w:r>
      <w:r w:rsidRPr="00F34E9D">
        <w:rPr>
          <w:rFonts w:asciiTheme="majorHAnsi" w:hAnsiTheme="majorHAnsi" w:cstheme="majorHAnsi"/>
          <w:color w:val="0D0D0D" w:themeColor="text1" w:themeTint="F2"/>
          <w:sz w:val="24"/>
          <w:szCs w:val="24"/>
        </w:rPr>
        <w:t xml:space="preserve">sau circa </w:t>
      </w:r>
      <w:r w:rsidR="005B7DDE" w:rsidRPr="00F34E9D">
        <w:rPr>
          <w:rFonts w:asciiTheme="majorHAnsi" w:hAnsiTheme="majorHAnsi" w:cstheme="majorHAnsi"/>
          <w:color w:val="0D0D0D" w:themeColor="text1" w:themeTint="F2"/>
          <w:sz w:val="24"/>
          <w:szCs w:val="24"/>
        </w:rPr>
        <w:t>8,6</w:t>
      </w:r>
      <w:r w:rsidRPr="00F34E9D">
        <w:rPr>
          <w:rFonts w:asciiTheme="majorHAnsi" w:hAnsiTheme="majorHAnsi" w:cstheme="majorHAnsi"/>
          <w:color w:val="0D0D0D" w:themeColor="text1" w:themeTint="F2"/>
          <w:sz w:val="24"/>
          <w:szCs w:val="24"/>
        </w:rPr>
        <w:t>% din numărul total al studenților înregistrați în instituțiile de învățământ superior</w:t>
      </w:r>
      <w:r w:rsidR="008E449E" w:rsidRPr="00F34E9D">
        <w:rPr>
          <w:rFonts w:asciiTheme="majorHAnsi" w:hAnsiTheme="majorHAnsi" w:cstheme="majorHAnsi"/>
          <w:color w:val="0D0D0D" w:themeColor="text1" w:themeTint="F2"/>
          <w:sz w:val="24"/>
          <w:szCs w:val="24"/>
        </w:rPr>
        <w:t xml:space="preserve"> și post</w:t>
      </w:r>
      <w:r w:rsidR="00FB23BB" w:rsidRPr="00F34E9D">
        <w:rPr>
          <w:rFonts w:asciiTheme="majorHAnsi" w:hAnsiTheme="majorHAnsi" w:cstheme="majorHAnsi"/>
          <w:color w:val="0D0D0D" w:themeColor="text1" w:themeTint="F2"/>
          <w:sz w:val="24"/>
          <w:szCs w:val="24"/>
        </w:rPr>
        <w:t xml:space="preserve"> </w:t>
      </w:r>
      <w:r w:rsidR="008E449E" w:rsidRPr="00F34E9D">
        <w:rPr>
          <w:rFonts w:asciiTheme="majorHAnsi" w:hAnsiTheme="majorHAnsi" w:cstheme="majorHAnsi"/>
          <w:color w:val="0D0D0D" w:themeColor="text1" w:themeTint="F2"/>
          <w:sz w:val="24"/>
          <w:szCs w:val="24"/>
        </w:rPr>
        <w:t>secundar</w:t>
      </w:r>
      <w:r w:rsidRPr="00F34E9D">
        <w:rPr>
          <w:rFonts w:asciiTheme="majorHAnsi" w:hAnsiTheme="majorHAnsi" w:cstheme="majorHAnsi"/>
          <w:color w:val="0D0D0D" w:themeColor="text1" w:themeTint="F2"/>
          <w:sz w:val="24"/>
          <w:szCs w:val="24"/>
        </w:rPr>
        <w:t xml:space="preserve"> la 01.01.2021 (</w:t>
      </w:r>
      <w:r w:rsidR="008E449E" w:rsidRPr="00F34E9D">
        <w:rPr>
          <w:rFonts w:asciiTheme="majorHAnsi" w:hAnsiTheme="majorHAnsi" w:cstheme="majorHAnsi"/>
          <w:color w:val="0D0D0D" w:themeColor="text1" w:themeTint="F2"/>
          <w:sz w:val="24"/>
          <w:szCs w:val="24"/>
        </w:rPr>
        <w:t>25,4</w:t>
      </w:r>
      <w:r w:rsidRPr="00F34E9D">
        <w:rPr>
          <w:rFonts w:asciiTheme="majorHAnsi" w:hAnsiTheme="majorHAnsi" w:cstheme="majorHAnsi"/>
          <w:color w:val="0D0D0D" w:themeColor="text1" w:themeTint="F2"/>
          <w:sz w:val="24"/>
          <w:szCs w:val="24"/>
        </w:rPr>
        <w:t xml:space="preserve"> mii de studenți). </w:t>
      </w:r>
      <w:r w:rsidRPr="00F34E9D">
        <w:rPr>
          <w:rFonts w:asciiTheme="majorHAnsi" w:hAnsiTheme="majorHAnsi" w:cstheme="majorHAnsi"/>
          <w:bCs/>
          <w:iCs/>
          <w:color w:val="0D0D0D" w:themeColor="text1" w:themeTint="F2"/>
          <w:sz w:val="24"/>
          <w:szCs w:val="24"/>
        </w:rPr>
        <w:t>Prin urmare, statul suportă cheltuieli considerabile pentru instruirea acestor studenți, ceea ce provoacă cheltuieli ineficiente din buget. Astfel, c</w:t>
      </w:r>
      <w:r w:rsidRPr="00F34E9D">
        <w:rPr>
          <w:rFonts w:asciiTheme="majorHAnsi" w:hAnsiTheme="majorHAnsi" w:cstheme="majorHAnsi"/>
          <w:color w:val="0D0D0D" w:themeColor="text1" w:themeTint="F2"/>
          <w:sz w:val="24"/>
          <w:szCs w:val="24"/>
        </w:rPr>
        <w:t>heltuielile suportate de stat pentru pregătirea acestora, doar pentru un an de studii (fără bursă), evaluate de audit</w:t>
      </w:r>
      <w:r w:rsidR="00280219" w:rsidRPr="00F34E9D">
        <w:rPr>
          <w:rFonts w:asciiTheme="majorHAnsi" w:hAnsiTheme="majorHAnsi" w:cstheme="majorHAnsi"/>
          <w:color w:val="0D0D0D" w:themeColor="text1" w:themeTint="F2"/>
          <w:sz w:val="24"/>
          <w:szCs w:val="24"/>
        </w:rPr>
        <w:t>,</w:t>
      </w:r>
      <w:r w:rsidRPr="00F34E9D">
        <w:rPr>
          <w:rFonts w:asciiTheme="majorHAnsi" w:hAnsiTheme="majorHAnsi" w:cstheme="majorHAnsi"/>
          <w:color w:val="0D0D0D" w:themeColor="text1" w:themeTint="F2"/>
          <w:sz w:val="24"/>
          <w:szCs w:val="24"/>
        </w:rPr>
        <w:t xml:space="preserve"> constituie </w:t>
      </w:r>
      <w:r w:rsidR="007018BC" w:rsidRPr="00F34E9D">
        <w:rPr>
          <w:rFonts w:asciiTheme="majorHAnsi" w:hAnsiTheme="majorHAnsi" w:cstheme="majorHAnsi"/>
          <w:color w:val="0D0D0D" w:themeColor="text1" w:themeTint="F2"/>
          <w:sz w:val="24"/>
          <w:szCs w:val="24"/>
        </w:rPr>
        <w:t xml:space="preserve">circa </w:t>
      </w:r>
      <w:r w:rsidR="008E449E" w:rsidRPr="00F34E9D">
        <w:rPr>
          <w:rFonts w:asciiTheme="majorHAnsi" w:hAnsiTheme="majorHAnsi" w:cstheme="majorHAnsi"/>
          <w:color w:val="0D0D0D" w:themeColor="text1" w:themeTint="F2"/>
          <w:sz w:val="24"/>
          <w:szCs w:val="24"/>
        </w:rPr>
        <w:t>44,8</w:t>
      </w:r>
      <w:r w:rsidRPr="00F34E9D">
        <w:rPr>
          <w:rFonts w:asciiTheme="majorHAnsi" w:hAnsiTheme="majorHAnsi" w:cstheme="majorHAnsi"/>
          <w:color w:val="0D0D0D" w:themeColor="text1" w:themeTint="F2"/>
          <w:sz w:val="24"/>
          <w:szCs w:val="24"/>
        </w:rPr>
        <w:t xml:space="preserve"> mil.lei</w:t>
      </w:r>
      <w:r w:rsidRPr="00F34E9D">
        <w:rPr>
          <w:rStyle w:val="a7"/>
          <w:rFonts w:asciiTheme="majorHAnsi" w:hAnsiTheme="majorHAnsi" w:cstheme="majorHAnsi"/>
          <w:color w:val="0D0D0D" w:themeColor="text1" w:themeTint="F2"/>
          <w:sz w:val="24"/>
          <w:szCs w:val="24"/>
        </w:rPr>
        <w:footnoteReference w:id="45"/>
      </w:r>
      <w:r w:rsidRPr="00F34E9D">
        <w:rPr>
          <w:rFonts w:asciiTheme="majorHAnsi" w:hAnsiTheme="majorHAnsi" w:cstheme="majorHAnsi"/>
          <w:color w:val="0D0D0D" w:themeColor="text1" w:themeTint="F2"/>
          <w:sz w:val="24"/>
          <w:szCs w:val="24"/>
        </w:rPr>
        <w:t>.</w:t>
      </w:r>
    </w:p>
    <w:p w14:paraId="12C2B7D3" w14:textId="695B3774" w:rsidR="00D21616" w:rsidRPr="00F34E9D" w:rsidRDefault="00D21616" w:rsidP="00F42E6E">
      <w:pPr>
        <w:spacing w:after="0" w:line="276" w:lineRule="auto"/>
        <w:jc w:val="both"/>
        <w:rPr>
          <w:rFonts w:asciiTheme="majorHAnsi" w:eastAsia="Calibri" w:hAnsiTheme="majorHAnsi" w:cstheme="majorHAnsi"/>
          <w:color w:val="0D0D0D" w:themeColor="text1" w:themeTint="F2"/>
          <w:sz w:val="24"/>
          <w:szCs w:val="24"/>
        </w:rPr>
      </w:pPr>
      <w:r w:rsidRPr="00F34E9D">
        <w:rPr>
          <w:rFonts w:asciiTheme="majorHAnsi" w:eastAsia="Calibri" w:hAnsiTheme="majorHAnsi" w:cstheme="majorHAnsi"/>
          <w:color w:val="0D0D0D" w:themeColor="text1" w:themeTint="F2"/>
          <w:sz w:val="24"/>
          <w:szCs w:val="24"/>
        </w:rPr>
        <w:t>În contextul în care instituțiile urmau să întreprindă măsuri de restituire a cheltuielilor suportate pentru instruirea elevilor exmatriculați de la studii, auditul a efectuat verificarea selectivă la unele din acestea</w:t>
      </w:r>
      <w:r w:rsidR="0015044C" w:rsidRPr="00F34E9D">
        <w:rPr>
          <w:rFonts w:asciiTheme="majorHAnsi" w:eastAsia="Calibri" w:hAnsiTheme="majorHAnsi" w:cstheme="majorHAnsi"/>
          <w:color w:val="0D0D0D" w:themeColor="text1" w:themeTint="F2"/>
          <w:sz w:val="24"/>
          <w:szCs w:val="24"/>
        </w:rPr>
        <w:t>.</w:t>
      </w:r>
      <w:r w:rsidRPr="00F34E9D">
        <w:rPr>
          <w:rFonts w:asciiTheme="majorHAnsi" w:eastAsia="Calibri" w:hAnsiTheme="majorHAnsi" w:cstheme="majorHAnsi"/>
          <w:color w:val="0D0D0D" w:themeColor="text1" w:themeTint="F2"/>
          <w:sz w:val="24"/>
          <w:szCs w:val="24"/>
        </w:rPr>
        <w:t xml:space="preserve"> </w:t>
      </w:r>
      <w:r w:rsidR="00280219" w:rsidRPr="00F34E9D">
        <w:rPr>
          <w:rFonts w:asciiTheme="majorHAnsi" w:eastAsia="Calibri" w:hAnsiTheme="majorHAnsi" w:cstheme="majorHAnsi"/>
          <w:color w:val="0D0D0D" w:themeColor="text1" w:themeTint="F2"/>
          <w:sz w:val="24"/>
          <w:szCs w:val="24"/>
        </w:rPr>
        <w:t>Ca</w:t>
      </w:r>
      <w:r w:rsidRPr="00F34E9D">
        <w:rPr>
          <w:rFonts w:asciiTheme="majorHAnsi" w:eastAsia="Calibri" w:hAnsiTheme="majorHAnsi" w:cstheme="majorHAnsi"/>
          <w:color w:val="0D0D0D" w:themeColor="text1" w:themeTint="F2"/>
          <w:sz w:val="24"/>
          <w:szCs w:val="24"/>
        </w:rPr>
        <w:t xml:space="preserve"> rezultat s</w:t>
      </w:r>
      <w:r w:rsidR="007018BC" w:rsidRPr="00F34E9D">
        <w:rPr>
          <w:rFonts w:asciiTheme="majorHAnsi" w:eastAsia="Calibri" w:hAnsiTheme="majorHAnsi" w:cstheme="majorHAnsi"/>
          <w:color w:val="0D0D0D" w:themeColor="text1" w:themeTint="F2"/>
          <w:sz w:val="24"/>
          <w:szCs w:val="24"/>
        </w:rPr>
        <w:t>-</w:t>
      </w:r>
      <w:r w:rsidRPr="00F34E9D">
        <w:rPr>
          <w:rFonts w:asciiTheme="majorHAnsi" w:eastAsia="Calibri" w:hAnsiTheme="majorHAnsi" w:cstheme="majorHAnsi"/>
          <w:color w:val="0D0D0D" w:themeColor="text1" w:themeTint="F2"/>
          <w:sz w:val="24"/>
          <w:szCs w:val="24"/>
        </w:rPr>
        <w:t>a constatat</w:t>
      </w:r>
      <w:r w:rsidR="0015044C" w:rsidRPr="00F34E9D">
        <w:rPr>
          <w:rFonts w:asciiTheme="majorHAnsi" w:eastAsia="Calibri" w:hAnsiTheme="majorHAnsi" w:cstheme="majorHAnsi"/>
          <w:color w:val="0D0D0D" w:themeColor="text1" w:themeTint="F2"/>
          <w:sz w:val="24"/>
          <w:szCs w:val="24"/>
        </w:rPr>
        <w:t>,</w:t>
      </w:r>
      <w:r w:rsidRPr="00F34E9D">
        <w:rPr>
          <w:rFonts w:asciiTheme="majorHAnsi" w:eastAsia="Calibri" w:hAnsiTheme="majorHAnsi" w:cstheme="majorHAnsi"/>
          <w:color w:val="0D0D0D" w:themeColor="text1" w:themeTint="F2"/>
          <w:sz w:val="24"/>
          <w:szCs w:val="24"/>
        </w:rPr>
        <w:t xml:space="preserve"> că deși o instituție din 39 a întreprins unele acțiuni de restituire</w:t>
      </w:r>
      <w:r w:rsidR="00B64F4B" w:rsidRPr="00F34E9D">
        <w:rPr>
          <w:rFonts w:asciiTheme="majorHAnsi" w:eastAsia="Calibri" w:hAnsiTheme="majorHAnsi" w:cstheme="majorHAnsi"/>
          <w:color w:val="0D0D0D" w:themeColor="text1" w:themeTint="F2"/>
          <w:sz w:val="24"/>
          <w:szCs w:val="24"/>
        </w:rPr>
        <w:t>,</w:t>
      </w:r>
      <w:r w:rsidRPr="00F34E9D">
        <w:rPr>
          <w:rFonts w:asciiTheme="majorHAnsi" w:eastAsia="Calibri" w:hAnsiTheme="majorHAnsi" w:cstheme="majorHAnsi"/>
          <w:color w:val="0D0D0D" w:themeColor="text1" w:themeTint="F2"/>
          <w:sz w:val="24"/>
          <w:szCs w:val="24"/>
        </w:rPr>
        <w:t xml:space="preserve"> </w:t>
      </w:r>
      <w:r w:rsidR="00096B78" w:rsidRPr="00F34E9D">
        <w:rPr>
          <w:rFonts w:asciiTheme="majorHAnsi" w:eastAsia="Calibri" w:hAnsiTheme="majorHAnsi" w:cstheme="majorHAnsi"/>
          <w:color w:val="0D0D0D" w:themeColor="text1" w:themeTint="F2"/>
          <w:sz w:val="24"/>
          <w:szCs w:val="24"/>
        </w:rPr>
        <w:t>fiind</w:t>
      </w:r>
      <w:r w:rsidRPr="00F34E9D">
        <w:rPr>
          <w:rFonts w:asciiTheme="majorHAnsi" w:eastAsia="Calibri" w:hAnsiTheme="majorHAnsi" w:cstheme="majorHAnsi"/>
          <w:color w:val="0D0D0D" w:themeColor="text1" w:themeTint="F2"/>
          <w:sz w:val="24"/>
          <w:szCs w:val="24"/>
        </w:rPr>
        <w:t xml:space="preserve"> încasate în a</w:t>
      </w:r>
      <w:r w:rsidR="00B64F4B" w:rsidRPr="00F34E9D">
        <w:rPr>
          <w:rFonts w:asciiTheme="majorHAnsi" w:eastAsia="Calibri" w:hAnsiTheme="majorHAnsi" w:cstheme="majorHAnsi"/>
          <w:color w:val="0D0D0D" w:themeColor="text1" w:themeTint="F2"/>
          <w:sz w:val="24"/>
          <w:szCs w:val="24"/>
        </w:rPr>
        <w:t xml:space="preserve">nul </w:t>
      </w:r>
      <w:r w:rsidRPr="00F34E9D">
        <w:rPr>
          <w:rFonts w:asciiTheme="majorHAnsi" w:eastAsia="Calibri" w:hAnsiTheme="majorHAnsi" w:cstheme="majorHAnsi"/>
          <w:color w:val="0D0D0D" w:themeColor="text1" w:themeTint="F2"/>
          <w:sz w:val="24"/>
          <w:szCs w:val="24"/>
        </w:rPr>
        <w:t>2021 mijloace financiare în sumă totală de 609,3 mii lei, acestea nu au fost transferate la bugetul de stat, ca urmare veniturile MEC au fost diminuate cu suma respectivă.</w:t>
      </w:r>
    </w:p>
    <w:p w14:paraId="52BD0B0B" w14:textId="715C9028" w:rsidR="00EF0122" w:rsidRPr="00F34E9D" w:rsidRDefault="00EF0122" w:rsidP="0007105E">
      <w:pPr>
        <w:pStyle w:val="a3"/>
        <w:spacing w:after="0" w:line="276" w:lineRule="auto"/>
        <w:ind w:left="0"/>
        <w:jc w:val="both"/>
        <w:rPr>
          <w:rFonts w:asciiTheme="majorHAnsi" w:eastAsia="Times New Roman" w:hAnsiTheme="majorHAnsi" w:cstheme="majorHAnsi"/>
          <w:i/>
          <w:color w:val="0D0D0D" w:themeColor="text1" w:themeTint="F2"/>
          <w:sz w:val="24"/>
          <w:szCs w:val="24"/>
        </w:rPr>
      </w:pPr>
      <w:r w:rsidRPr="00F34E9D">
        <w:rPr>
          <w:rFonts w:asciiTheme="majorHAnsi" w:eastAsia="Times New Roman" w:hAnsiTheme="majorHAnsi" w:cstheme="majorHAnsi"/>
          <w:bCs/>
          <w:color w:val="0D0D0D" w:themeColor="text1" w:themeTint="F2"/>
          <w:sz w:val="24"/>
          <w:szCs w:val="24"/>
        </w:rPr>
        <w:t>În alt caz</w:t>
      </w:r>
      <w:r w:rsidR="00696C95" w:rsidRPr="00F34E9D">
        <w:rPr>
          <w:rFonts w:asciiTheme="majorHAnsi" w:eastAsia="Times New Roman" w:hAnsiTheme="majorHAnsi" w:cstheme="majorHAnsi"/>
          <w:bCs/>
          <w:color w:val="0D0D0D" w:themeColor="text1" w:themeTint="F2"/>
          <w:sz w:val="24"/>
          <w:szCs w:val="24"/>
        </w:rPr>
        <w:t>,</w:t>
      </w:r>
      <w:r w:rsidRPr="00F34E9D">
        <w:rPr>
          <w:rFonts w:asciiTheme="majorHAnsi" w:eastAsia="Times New Roman" w:hAnsiTheme="majorHAnsi" w:cstheme="majorHAnsi"/>
          <w:bCs/>
          <w:color w:val="0D0D0D" w:themeColor="text1" w:themeTint="F2"/>
          <w:sz w:val="24"/>
          <w:szCs w:val="24"/>
        </w:rPr>
        <w:t xml:space="preserve"> </w:t>
      </w:r>
      <w:r w:rsidR="00B64F4B" w:rsidRPr="00F34E9D">
        <w:rPr>
          <w:rFonts w:asciiTheme="majorHAnsi" w:eastAsia="Times New Roman" w:hAnsiTheme="majorHAnsi" w:cstheme="majorHAnsi"/>
          <w:bCs/>
          <w:color w:val="0D0D0D" w:themeColor="text1" w:themeTint="F2"/>
          <w:sz w:val="24"/>
          <w:szCs w:val="24"/>
        </w:rPr>
        <w:t xml:space="preserve">ca </w:t>
      </w:r>
      <w:r w:rsidRPr="00F34E9D">
        <w:rPr>
          <w:rFonts w:asciiTheme="majorHAnsi" w:eastAsia="Times New Roman" w:hAnsiTheme="majorHAnsi" w:cstheme="majorHAnsi"/>
          <w:bCs/>
          <w:color w:val="0D0D0D" w:themeColor="text1" w:themeTint="F2"/>
          <w:sz w:val="24"/>
          <w:szCs w:val="24"/>
        </w:rPr>
        <w:t>urmare a diminuării cheltuielilor pentru burse</w:t>
      </w:r>
      <w:r w:rsidR="00B64F4B" w:rsidRPr="00F34E9D">
        <w:rPr>
          <w:rFonts w:asciiTheme="majorHAnsi" w:eastAsia="Times New Roman" w:hAnsiTheme="majorHAnsi" w:cstheme="majorHAnsi"/>
          <w:bCs/>
          <w:color w:val="0D0D0D" w:themeColor="text1" w:themeTint="F2"/>
          <w:sz w:val="24"/>
          <w:szCs w:val="24"/>
        </w:rPr>
        <w:t>,</w:t>
      </w:r>
      <w:r w:rsidR="00696C95" w:rsidRPr="00F34E9D">
        <w:rPr>
          <w:rFonts w:asciiTheme="majorHAnsi" w:eastAsia="Times New Roman" w:hAnsiTheme="majorHAnsi" w:cstheme="majorHAnsi"/>
          <w:bCs/>
          <w:color w:val="0D0D0D" w:themeColor="text1" w:themeTint="F2"/>
          <w:sz w:val="24"/>
          <w:szCs w:val="24"/>
        </w:rPr>
        <w:t xml:space="preserve"> față de cele inițial contractate</w:t>
      </w:r>
      <w:r w:rsidR="00B64F4B" w:rsidRPr="00F34E9D">
        <w:rPr>
          <w:rFonts w:asciiTheme="majorHAnsi" w:eastAsia="Times New Roman" w:hAnsiTheme="majorHAnsi" w:cstheme="majorHAnsi"/>
          <w:bCs/>
          <w:color w:val="0D0D0D" w:themeColor="text1" w:themeTint="F2"/>
          <w:sz w:val="24"/>
          <w:szCs w:val="24"/>
        </w:rPr>
        <w:t>,</w:t>
      </w:r>
      <w:r w:rsidR="00696C95" w:rsidRPr="00F34E9D">
        <w:rPr>
          <w:rFonts w:asciiTheme="majorHAnsi" w:eastAsia="Times New Roman" w:hAnsiTheme="majorHAnsi" w:cstheme="majorHAnsi"/>
          <w:bCs/>
          <w:color w:val="0D0D0D" w:themeColor="text1" w:themeTint="F2"/>
          <w:sz w:val="24"/>
          <w:szCs w:val="24"/>
        </w:rPr>
        <w:t xml:space="preserve"> </w:t>
      </w:r>
      <w:r w:rsidR="00B64F4B" w:rsidRPr="00F34E9D">
        <w:rPr>
          <w:rFonts w:asciiTheme="majorHAnsi" w:eastAsia="Times New Roman" w:hAnsiTheme="majorHAnsi" w:cstheme="majorHAnsi"/>
          <w:bCs/>
          <w:color w:val="0D0D0D" w:themeColor="text1" w:themeTint="F2"/>
          <w:sz w:val="24"/>
          <w:szCs w:val="24"/>
        </w:rPr>
        <w:t xml:space="preserve">la o instituție de învățământ </w:t>
      </w:r>
      <w:r w:rsidRPr="00F34E9D">
        <w:rPr>
          <w:rFonts w:asciiTheme="majorHAnsi" w:eastAsia="Times New Roman" w:hAnsiTheme="majorHAnsi" w:cstheme="majorHAnsi"/>
          <w:bCs/>
          <w:color w:val="0D0D0D" w:themeColor="text1" w:themeTint="F2"/>
          <w:sz w:val="24"/>
          <w:szCs w:val="24"/>
        </w:rPr>
        <w:t xml:space="preserve">a fost formată o </w:t>
      </w:r>
      <w:r w:rsidR="00696C95" w:rsidRPr="00F34E9D">
        <w:rPr>
          <w:rFonts w:asciiTheme="majorHAnsi" w:eastAsia="Times New Roman" w:hAnsiTheme="majorHAnsi" w:cstheme="majorHAnsi"/>
          <w:bCs/>
          <w:color w:val="0D0D0D" w:themeColor="text1" w:themeTint="F2"/>
          <w:sz w:val="24"/>
          <w:szCs w:val="24"/>
        </w:rPr>
        <w:t xml:space="preserve">creanță </w:t>
      </w:r>
      <w:r w:rsidRPr="00F34E9D">
        <w:rPr>
          <w:rFonts w:asciiTheme="majorHAnsi" w:eastAsia="Times New Roman" w:hAnsiTheme="majorHAnsi" w:cstheme="majorHAnsi"/>
          <w:bCs/>
          <w:color w:val="0D0D0D" w:themeColor="text1" w:themeTint="F2"/>
          <w:sz w:val="24"/>
          <w:szCs w:val="24"/>
        </w:rPr>
        <w:t>de 2,4 mil.lei, care nu a fost restituită în buget p</w:t>
      </w:r>
      <w:r w:rsidR="00B64F4B" w:rsidRPr="00F34E9D">
        <w:rPr>
          <w:rFonts w:asciiTheme="majorHAnsi" w:eastAsia="Times New Roman" w:hAnsiTheme="majorHAnsi" w:cstheme="majorHAnsi"/>
          <w:bCs/>
          <w:color w:val="0D0D0D" w:themeColor="text1" w:themeTint="F2"/>
          <w:sz w:val="24"/>
          <w:szCs w:val="24"/>
        </w:rPr>
        <w:t>â</w:t>
      </w:r>
      <w:r w:rsidRPr="00F34E9D">
        <w:rPr>
          <w:rFonts w:asciiTheme="majorHAnsi" w:eastAsia="Times New Roman" w:hAnsiTheme="majorHAnsi" w:cstheme="majorHAnsi"/>
          <w:bCs/>
          <w:color w:val="0D0D0D" w:themeColor="text1" w:themeTint="F2"/>
          <w:sz w:val="24"/>
          <w:szCs w:val="24"/>
        </w:rPr>
        <w:t xml:space="preserve">nă la finele anului. </w:t>
      </w:r>
      <w:r w:rsidRPr="00F34E9D">
        <w:rPr>
          <w:rFonts w:asciiTheme="majorHAnsi" w:eastAsia="Times New Roman" w:hAnsiTheme="majorHAnsi" w:cstheme="majorHAnsi"/>
          <w:i/>
          <w:color w:val="0D0D0D" w:themeColor="text1" w:themeTint="F2"/>
          <w:sz w:val="24"/>
          <w:szCs w:val="24"/>
        </w:rPr>
        <w:t xml:space="preserve"> </w:t>
      </w:r>
    </w:p>
    <w:p w14:paraId="6F6BB8F6" w14:textId="07134226" w:rsidR="00BA7803" w:rsidRPr="00F34E9D" w:rsidRDefault="002D5D26">
      <w:pPr>
        <w:pStyle w:val="a3"/>
        <w:spacing w:after="0" w:line="276" w:lineRule="auto"/>
        <w:ind w:left="0"/>
        <w:jc w:val="both"/>
        <w:rPr>
          <w:rFonts w:asciiTheme="majorHAnsi" w:hAnsiTheme="majorHAnsi" w:cstheme="majorHAnsi"/>
          <w:b/>
          <w:i/>
          <w:color w:val="0D0D0D" w:themeColor="text1" w:themeTint="F2"/>
          <w:sz w:val="24"/>
          <w:szCs w:val="24"/>
          <w:shd w:val="clear" w:color="auto" w:fill="FFFFFF"/>
        </w:rPr>
      </w:pPr>
      <w:r w:rsidRPr="00F34E9D">
        <w:rPr>
          <w:rFonts w:asciiTheme="majorHAnsi" w:eastAsia="Times New Roman" w:hAnsiTheme="majorHAnsi" w:cstheme="majorHAnsi"/>
          <w:b/>
          <w:color w:val="0D0D0D" w:themeColor="text1" w:themeTint="F2"/>
          <w:sz w:val="24"/>
          <w:szCs w:val="24"/>
        </w:rPr>
        <w:t>6</w:t>
      </w:r>
      <w:r w:rsidR="00BA7803" w:rsidRPr="00F34E9D">
        <w:rPr>
          <w:rFonts w:asciiTheme="majorHAnsi" w:eastAsia="Times New Roman" w:hAnsiTheme="majorHAnsi" w:cstheme="majorHAnsi"/>
          <w:b/>
          <w:color w:val="0D0D0D" w:themeColor="text1" w:themeTint="F2"/>
          <w:sz w:val="24"/>
          <w:szCs w:val="24"/>
        </w:rPr>
        <w:t>.</w:t>
      </w:r>
      <w:r w:rsidR="002363C3" w:rsidRPr="00F34E9D">
        <w:rPr>
          <w:rFonts w:asciiTheme="majorHAnsi" w:eastAsia="Times New Roman" w:hAnsiTheme="majorHAnsi" w:cstheme="majorHAnsi"/>
          <w:b/>
          <w:color w:val="0D0D0D" w:themeColor="text1" w:themeTint="F2"/>
          <w:sz w:val="24"/>
          <w:szCs w:val="24"/>
        </w:rPr>
        <w:t>6</w:t>
      </w:r>
      <w:r w:rsidR="00BA7803" w:rsidRPr="00F34E9D">
        <w:rPr>
          <w:rFonts w:asciiTheme="majorHAnsi" w:eastAsia="Times New Roman" w:hAnsiTheme="majorHAnsi" w:cstheme="majorHAnsi"/>
          <w:b/>
          <w:color w:val="0D0D0D" w:themeColor="text1" w:themeTint="F2"/>
          <w:sz w:val="24"/>
          <w:szCs w:val="24"/>
        </w:rPr>
        <w:t>.</w:t>
      </w:r>
      <w:r w:rsidR="00BA7803" w:rsidRPr="00F34E9D">
        <w:rPr>
          <w:rFonts w:asciiTheme="majorHAnsi" w:eastAsia="Times New Roman" w:hAnsiTheme="majorHAnsi" w:cstheme="majorHAnsi"/>
          <w:color w:val="0D0D0D" w:themeColor="text1" w:themeTint="F2"/>
          <w:sz w:val="24"/>
          <w:szCs w:val="24"/>
        </w:rPr>
        <w:t xml:space="preserve"> </w:t>
      </w:r>
      <w:r w:rsidR="00BA7803" w:rsidRPr="00F34E9D">
        <w:rPr>
          <w:rFonts w:asciiTheme="majorHAnsi" w:eastAsia="Times New Roman" w:hAnsiTheme="majorHAnsi" w:cstheme="majorHAnsi"/>
          <w:b/>
          <w:i/>
          <w:iCs/>
          <w:color w:val="0D0D0D" w:themeColor="text1" w:themeTint="F2"/>
          <w:sz w:val="24"/>
          <w:szCs w:val="24"/>
        </w:rPr>
        <w:t>ȘP nr.9 a suportat neregulamentar cheltuieli aferente retribuirii muncii în</w:t>
      </w:r>
      <w:r w:rsidR="00BA7803" w:rsidRPr="00F34E9D">
        <w:rPr>
          <w:rFonts w:asciiTheme="majorHAnsi" w:hAnsiTheme="majorHAnsi" w:cstheme="majorHAnsi"/>
          <w:b/>
          <w:i/>
          <w:color w:val="0D0D0D" w:themeColor="text1" w:themeTint="F2"/>
          <w:sz w:val="24"/>
          <w:szCs w:val="24"/>
        </w:rPr>
        <w:t xml:space="preserve"> sumă de </w:t>
      </w:r>
      <w:r w:rsidR="005B7DDE" w:rsidRPr="00F34E9D">
        <w:rPr>
          <w:rFonts w:asciiTheme="majorHAnsi" w:hAnsiTheme="majorHAnsi" w:cstheme="majorHAnsi"/>
          <w:b/>
          <w:i/>
          <w:color w:val="0D0D0D" w:themeColor="text1" w:themeTint="F2"/>
          <w:sz w:val="24"/>
          <w:szCs w:val="24"/>
        </w:rPr>
        <w:t>513</w:t>
      </w:r>
      <w:r w:rsidR="00BA7803" w:rsidRPr="00F34E9D">
        <w:rPr>
          <w:rFonts w:asciiTheme="majorHAnsi" w:hAnsiTheme="majorHAnsi" w:cstheme="majorHAnsi"/>
          <w:b/>
          <w:i/>
          <w:color w:val="0D0D0D" w:themeColor="text1" w:themeTint="F2"/>
          <w:sz w:val="24"/>
          <w:szCs w:val="24"/>
        </w:rPr>
        <w:t>,4</w:t>
      </w:r>
      <w:r w:rsidR="00BA7803" w:rsidRPr="00F34E9D">
        <w:rPr>
          <w:rFonts w:asciiTheme="majorHAnsi" w:hAnsiTheme="majorHAnsi" w:cstheme="majorHAnsi"/>
          <w:b/>
          <w:bCs/>
          <w:i/>
          <w:iCs/>
          <w:color w:val="0D0D0D" w:themeColor="text1" w:themeTint="F2"/>
          <w:sz w:val="24"/>
          <w:szCs w:val="24"/>
        </w:rPr>
        <w:t xml:space="preserve"> mii lei</w:t>
      </w:r>
      <w:r w:rsidR="00BA7803" w:rsidRPr="00F34E9D">
        <w:rPr>
          <w:rFonts w:asciiTheme="majorHAnsi" w:hAnsiTheme="majorHAnsi" w:cstheme="majorHAnsi"/>
          <w:b/>
          <w:i/>
          <w:color w:val="0D0D0D" w:themeColor="text1" w:themeTint="F2"/>
          <w:sz w:val="24"/>
          <w:szCs w:val="24"/>
        </w:rPr>
        <w:t xml:space="preserve">, </w:t>
      </w:r>
      <w:r w:rsidR="00BA7803" w:rsidRPr="00F34E9D">
        <w:rPr>
          <w:rFonts w:asciiTheme="majorHAnsi" w:eastAsia="Calibri" w:hAnsiTheme="majorHAnsi" w:cstheme="majorHAnsi"/>
          <w:b/>
          <w:i/>
          <w:color w:val="0D0D0D" w:themeColor="text1" w:themeTint="F2"/>
          <w:sz w:val="24"/>
          <w:szCs w:val="24"/>
        </w:rPr>
        <w:t xml:space="preserve">ceea ce a dus la majorarea cheltuielilor de salarizare alocate din contul serviciilor educaționale încasate de la MEC. </w:t>
      </w:r>
      <w:r w:rsidR="00BA7803" w:rsidRPr="00F34E9D">
        <w:rPr>
          <w:rFonts w:asciiTheme="majorHAnsi" w:eastAsia="Calibri" w:hAnsiTheme="majorHAnsi" w:cstheme="majorHAnsi"/>
          <w:i/>
          <w:color w:val="0D0D0D" w:themeColor="text1" w:themeTint="F2"/>
          <w:sz w:val="24"/>
          <w:szCs w:val="24"/>
        </w:rPr>
        <w:t>Astfel,</w:t>
      </w:r>
    </w:p>
    <w:p w14:paraId="12A3A204" w14:textId="019F9884" w:rsidR="00BA7803" w:rsidRPr="00F34E9D" w:rsidRDefault="00627467">
      <w:pPr>
        <w:pStyle w:val="a3"/>
        <w:numPr>
          <w:ilvl w:val="0"/>
          <w:numId w:val="24"/>
        </w:numPr>
        <w:spacing w:after="0" w:line="276" w:lineRule="auto"/>
        <w:ind w:left="0" w:hanging="11"/>
        <w:jc w:val="both"/>
        <w:rPr>
          <w:rFonts w:asciiTheme="majorHAnsi" w:hAnsiTheme="majorHAnsi" w:cstheme="majorHAnsi"/>
          <w:color w:val="0D0D0D" w:themeColor="text1" w:themeTint="F2"/>
          <w:sz w:val="24"/>
          <w:szCs w:val="24"/>
          <w:shd w:val="clear" w:color="auto" w:fill="FFFFFF"/>
        </w:rPr>
      </w:pPr>
      <w:r w:rsidRPr="00F34E9D">
        <w:rPr>
          <w:rFonts w:asciiTheme="majorHAnsi" w:hAnsiTheme="majorHAnsi" w:cstheme="majorHAnsi"/>
          <w:color w:val="0D0D0D" w:themeColor="text1" w:themeTint="F2"/>
          <w:sz w:val="24"/>
          <w:shd w:val="clear" w:color="auto" w:fill="FFFFFF"/>
        </w:rPr>
        <w:t xml:space="preserve">sporul de performanță calculat la nivel de instituție a depășit limita stabilită de cadrul </w:t>
      </w:r>
      <w:r w:rsidR="005860C3" w:rsidRPr="00F34E9D">
        <w:rPr>
          <w:rFonts w:asciiTheme="majorHAnsi" w:hAnsiTheme="majorHAnsi" w:cstheme="majorHAnsi"/>
          <w:color w:val="0D0D0D" w:themeColor="text1" w:themeTint="F2"/>
          <w:sz w:val="24"/>
          <w:szCs w:val="24"/>
          <w:shd w:val="clear" w:color="auto" w:fill="FFFFFF"/>
        </w:rPr>
        <w:t>legal și Regulamentul intern al instituției (de ≤10%)</w:t>
      </w:r>
      <w:r w:rsidRPr="00F34E9D">
        <w:rPr>
          <w:rFonts w:asciiTheme="majorHAnsi" w:hAnsiTheme="majorHAnsi" w:cstheme="majorHAnsi"/>
          <w:color w:val="0D0D0D" w:themeColor="text1" w:themeTint="F2"/>
          <w:sz w:val="24"/>
          <w:shd w:val="clear" w:color="auto" w:fill="FFFFFF"/>
        </w:rPr>
        <w:t xml:space="preserve"> în total cu 239,6 mii lei</w:t>
      </w:r>
      <w:r w:rsidR="005860C3" w:rsidRPr="00F34E9D">
        <w:rPr>
          <w:rFonts w:asciiTheme="majorHAnsi" w:hAnsiTheme="majorHAnsi" w:cstheme="majorHAnsi"/>
          <w:color w:val="0D0D0D" w:themeColor="text1" w:themeTint="F2"/>
          <w:sz w:val="24"/>
          <w:shd w:val="clear" w:color="auto" w:fill="FFFFFF"/>
        </w:rPr>
        <w:t>,</w:t>
      </w:r>
      <w:r w:rsidR="005860C3" w:rsidRPr="00F34E9D">
        <w:rPr>
          <w:rFonts w:asciiTheme="majorHAnsi" w:hAnsiTheme="majorHAnsi" w:cstheme="majorHAnsi"/>
          <w:color w:val="0D0D0D" w:themeColor="text1" w:themeTint="F2"/>
          <w:sz w:val="24"/>
          <w:szCs w:val="24"/>
        </w:rPr>
        <w:t xml:space="preserve"> prin ce s-au suportat </w:t>
      </w:r>
      <w:r w:rsidR="005860C3" w:rsidRPr="00F34E9D">
        <w:rPr>
          <w:rFonts w:asciiTheme="majorHAnsi" w:hAnsiTheme="majorHAnsi" w:cstheme="majorHAnsi"/>
          <w:bCs/>
          <w:color w:val="0D0D0D" w:themeColor="text1" w:themeTint="F2"/>
          <w:sz w:val="24"/>
          <w:szCs w:val="24"/>
        </w:rPr>
        <w:t>cheltuieli neregulamentare</w:t>
      </w:r>
      <w:r w:rsidRPr="00F34E9D">
        <w:rPr>
          <w:rFonts w:asciiTheme="majorHAnsi" w:hAnsiTheme="majorHAnsi" w:cstheme="majorHAnsi"/>
          <w:color w:val="0D0D0D" w:themeColor="text1" w:themeTint="F2"/>
          <w:sz w:val="24"/>
          <w:shd w:val="clear" w:color="auto" w:fill="FFFFFF"/>
        </w:rPr>
        <w:t>.</w:t>
      </w:r>
      <w:r w:rsidRPr="00F34E9D" w:rsidDel="00B64F4B">
        <w:rPr>
          <w:rFonts w:asciiTheme="majorHAnsi" w:eastAsia="Calibri" w:hAnsiTheme="majorHAnsi" w:cstheme="majorHAnsi"/>
          <w:color w:val="0D0D0D" w:themeColor="text1" w:themeTint="F2"/>
          <w:sz w:val="24"/>
          <w:szCs w:val="24"/>
        </w:rPr>
        <w:t xml:space="preserve"> </w:t>
      </w:r>
      <w:r w:rsidR="005860C3" w:rsidRPr="00F34E9D">
        <w:rPr>
          <w:rFonts w:asciiTheme="majorHAnsi" w:eastAsia="Calibri" w:hAnsiTheme="majorHAnsi" w:cstheme="majorHAnsi"/>
          <w:color w:val="0D0D0D" w:themeColor="text1" w:themeTint="F2"/>
          <w:sz w:val="24"/>
          <w:szCs w:val="24"/>
        </w:rPr>
        <w:t>Aceasta s-a datorat faptului că, c</w:t>
      </w:r>
      <w:r w:rsidR="00BA7803" w:rsidRPr="00F34E9D">
        <w:rPr>
          <w:rFonts w:asciiTheme="majorHAnsi" w:eastAsia="Calibri" w:hAnsiTheme="majorHAnsi" w:cstheme="majorHAnsi"/>
          <w:color w:val="0D0D0D" w:themeColor="text1" w:themeTint="F2"/>
          <w:sz w:val="24"/>
          <w:szCs w:val="24"/>
        </w:rPr>
        <w:t>ontrar cadrului normativ</w:t>
      </w:r>
      <w:r w:rsidR="00BA7803" w:rsidRPr="00F34E9D">
        <w:rPr>
          <w:rFonts w:asciiTheme="majorHAnsi" w:hAnsiTheme="majorHAnsi" w:cstheme="majorHAnsi"/>
          <w:color w:val="0D0D0D" w:themeColor="text1" w:themeTint="F2"/>
          <w:sz w:val="24"/>
          <w:szCs w:val="24"/>
          <w:vertAlign w:val="superscript"/>
        </w:rPr>
        <w:footnoteReference w:id="46"/>
      </w:r>
      <w:r w:rsidR="00B64F4B" w:rsidRPr="00F34E9D">
        <w:rPr>
          <w:rFonts w:asciiTheme="majorHAnsi" w:eastAsia="Calibri" w:hAnsiTheme="majorHAnsi" w:cstheme="majorHAnsi"/>
          <w:color w:val="0D0D0D" w:themeColor="text1" w:themeTint="F2"/>
          <w:sz w:val="24"/>
          <w:szCs w:val="24"/>
        </w:rPr>
        <w:t>,</w:t>
      </w:r>
      <w:r w:rsidR="00BA7803" w:rsidRPr="00F34E9D">
        <w:rPr>
          <w:rFonts w:asciiTheme="majorHAnsi" w:eastAsia="Calibri" w:hAnsiTheme="majorHAnsi" w:cstheme="majorHAnsi"/>
          <w:color w:val="0D0D0D" w:themeColor="text1" w:themeTint="F2"/>
          <w:sz w:val="24"/>
          <w:szCs w:val="24"/>
        </w:rPr>
        <w:t xml:space="preserve"> </w:t>
      </w:r>
      <w:r w:rsidR="00BA7803" w:rsidRPr="00F34E9D">
        <w:rPr>
          <w:rFonts w:asciiTheme="majorHAnsi" w:hAnsiTheme="majorHAnsi" w:cstheme="majorHAnsi"/>
          <w:color w:val="0D0D0D" w:themeColor="text1" w:themeTint="F2"/>
          <w:sz w:val="24"/>
          <w:szCs w:val="24"/>
          <w:shd w:val="clear" w:color="auto" w:fill="FFFFFF"/>
        </w:rPr>
        <w:t xml:space="preserve">la 6 persoane din cadrul </w:t>
      </w:r>
      <w:r w:rsidR="00BA7803" w:rsidRPr="00F34E9D">
        <w:rPr>
          <w:rFonts w:asciiTheme="majorHAnsi" w:eastAsia="Times New Roman" w:hAnsiTheme="majorHAnsi" w:cstheme="majorHAnsi"/>
          <w:iCs/>
          <w:color w:val="0D0D0D" w:themeColor="text1" w:themeTint="F2"/>
          <w:sz w:val="24"/>
          <w:szCs w:val="24"/>
        </w:rPr>
        <w:t>ȘP nr.9</w:t>
      </w:r>
      <w:r w:rsidR="00BA7803" w:rsidRPr="00F34E9D">
        <w:rPr>
          <w:rFonts w:asciiTheme="majorHAnsi" w:eastAsia="Times New Roman" w:hAnsiTheme="majorHAnsi" w:cstheme="majorHAnsi"/>
          <w:b/>
          <w:i/>
          <w:iCs/>
          <w:color w:val="0D0D0D" w:themeColor="text1" w:themeTint="F2"/>
          <w:sz w:val="24"/>
          <w:szCs w:val="24"/>
        </w:rPr>
        <w:t xml:space="preserve"> </w:t>
      </w:r>
      <w:r w:rsidR="00BA7803" w:rsidRPr="00F34E9D">
        <w:rPr>
          <w:rFonts w:asciiTheme="majorHAnsi" w:eastAsia="Times New Roman" w:hAnsiTheme="majorHAnsi" w:cstheme="majorHAnsi"/>
          <w:iCs/>
          <w:color w:val="0D0D0D" w:themeColor="text1" w:themeTint="F2"/>
          <w:sz w:val="24"/>
          <w:szCs w:val="24"/>
        </w:rPr>
        <w:t>prin</w:t>
      </w:r>
      <w:r w:rsidR="00BA7803" w:rsidRPr="00F34E9D">
        <w:rPr>
          <w:rFonts w:asciiTheme="majorHAnsi" w:eastAsia="Times New Roman" w:hAnsiTheme="majorHAnsi" w:cstheme="majorHAnsi"/>
          <w:b/>
          <w:i/>
          <w:iCs/>
          <w:color w:val="0D0D0D" w:themeColor="text1" w:themeTint="F2"/>
          <w:sz w:val="24"/>
          <w:szCs w:val="24"/>
        </w:rPr>
        <w:t xml:space="preserve"> </w:t>
      </w:r>
      <w:r w:rsidR="00BA7803" w:rsidRPr="00F34E9D">
        <w:rPr>
          <w:rFonts w:asciiTheme="majorHAnsi" w:hAnsiTheme="majorHAnsi" w:cstheme="majorHAnsi"/>
          <w:color w:val="0D0D0D" w:themeColor="text1" w:themeTint="F2"/>
          <w:sz w:val="24"/>
          <w:szCs w:val="24"/>
        </w:rPr>
        <w:t xml:space="preserve">ordine separate </w:t>
      </w:r>
      <w:r w:rsidR="00BA7803" w:rsidRPr="00F34E9D">
        <w:rPr>
          <w:rFonts w:asciiTheme="majorHAnsi" w:hAnsiTheme="majorHAnsi" w:cstheme="majorHAnsi"/>
          <w:color w:val="0D0D0D" w:themeColor="text1" w:themeTint="F2"/>
          <w:sz w:val="24"/>
          <w:szCs w:val="24"/>
          <w:shd w:val="clear" w:color="auto" w:fill="FFFFFF"/>
        </w:rPr>
        <w:t xml:space="preserve">s-a stabilit sporul de performanță în mărime de la 60% până la 100% </w:t>
      </w:r>
      <w:r w:rsidRPr="00F34E9D">
        <w:rPr>
          <w:rFonts w:asciiTheme="majorHAnsi" w:hAnsiTheme="majorHAnsi" w:cstheme="majorHAnsi"/>
          <w:color w:val="0D0D0D" w:themeColor="text1" w:themeTint="F2"/>
          <w:sz w:val="24"/>
          <w:szCs w:val="24"/>
        </w:rPr>
        <w:t xml:space="preserve">în sumă totală de </w:t>
      </w:r>
      <w:r w:rsidRPr="00F34E9D">
        <w:rPr>
          <w:rFonts w:asciiTheme="majorHAnsi" w:hAnsiTheme="majorHAnsi" w:cstheme="majorHAnsi"/>
          <w:b/>
          <w:color w:val="0D0D0D" w:themeColor="text1" w:themeTint="F2"/>
          <w:sz w:val="24"/>
          <w:szCs w:val="24"/>
        </w:rPr>
        <w:t>268,1</w:t>
      </w:r>
      <w:r w:rsidRPr="00F34E9D">
        <w:rPr>
          <w:rFonts w:asciiTheme="majorHAnsi" w:hAnsiTheme="majorHAnsi" w:cstheme="majorHAnsi"/>
          <w:b/>
          <w:bCs/>
          <w:color w:val="0D0D0D" w:themeColor="text1" w:themeTint="F2"/>
          <w:sz w:val="24"/>
          <w:szCs w:val="24"/>
        </w:rPr>
        <w:t xml:space="preserve"> mii lei</w:t>
      </w:r>
      <w:r w:rsidR="007B2E51" w:rsidRPr="00F34E9D">
        <w:rPr>
          <w:rFonts w:asciiTheme="majorHAnsi" w:eastAsia="Calibri" w:hAnsiTheme="majorHAnsi" w:cstheme="majorHAnsi"/>
          <w:color w:val="0D0D0D" w:themeColor="text1" w:themeTint="F2"/>
        </w:rPr>
        <w:t>;</w:t>
      </w:r>
    </w:p>
    <w:p w14:paraId="2A8B359E" w14:textId="46C9D621" w:rsidR="00BA7803" w:rsidRPr="00F34E9D" w:rsidRDefault="007B2E51">
      <w:pPr>
        <w:pStyle w:val="a3"/>
        <w:numPr>
          <w:ilvl w:val="0"/>
          <w:numId w:val="24"/>
        </w:numPr>
        <w:spacing w:after="0" w:line="276" w:lineRule="auto"/>
        <w:ind w:left="0" w:hanging="11"/>
        <w:jc w:val="both"/>
        <w:rPr>
          <w:rFonts w:asciiTheme="majorHAnsi" w:hAnsiTheme="majorHAnsi" w:cstheme="majorHAnsi"/>
          <w:i/>
          <w:color w:val="0D0D0D" w:themeColor="text1" w:themeTint="F2"/>
          <w:sz w:val="24"/>
          <w:szCs w:val="24"/>
          <w:shd w:val="clear" w:color="auto" w:fill="FFFFFF"/>
        </w:rPr>
      </w:pPr>
      <w:r w:rsidRPr="00F34E9D">
        <w:rPr>
          <w:rFonts w:asciiTheme="majorHAnsi" w:hAnsiTheme="majorHAnsi" w:cstheme="majorHAnsi"/>
          <w:i/>
          <w:color w:val="0D0D0D" w:themeColor="text1" w:themeTint="F2"/>
          <w:sz w:val="24"/>
          <w:szCs w:val="24"/>
          <w:shd w:val="clear" w:color="auto" w:fill="FFFFFF"/>
        </w:rPr>
        <w:t>s</w:t>
      </w:r>
      <w:r w:rsidR="00BA7803" w:rsidRPr="00F34E9D">
        <w:rPr>
          <w:rFonts w:asciiTheme="majorHAnsi" w:hAnsiTheme="majorHAnsi" w:cstheme="majorHAnsi"/>
          <w:i/>
          <w:color w:val="0D0D0D" w:themeColor="text1" w:themeTint="F2"/>
          <w:sz w:val="24"/>
          <w:szCs w:val="24"/>
          <w:shd w:val="clear" w:color="auto" w:fill="FFFFFF"/>
        </w:rPr>
        <w:t xml:space="preserve">e </w:t>
      </w:r>
      <w:r w:rsidRPr="00F34E9D">
        <w:rPr>
          <w:rFonts w:asciiTheme="majorHAnsi" w:hAnsiTheme="majorHAnsi" w:cstheme="majorHAnsi"/>
          <w:i/>
          <w:color w:val="0D0D0D" w:themeColor="text1" w:themeTint="F2"/>
          <w:sz w:val="24"/>
          <w:szCs w:val="24"/>
          <w:shd w:val="clear" w:color="auto" w:fill="FFFFFF"/>
        </w:rPr>
        <w:t>relevă</w:t>
      </w:r>
      <w:r w:rsidR="00BA7803" w:rsidRPr="00F34E9D">
        <w:rPr>
          <w:rFonts w:asciiTheme="majorHAnsi" w:hAnsiTheme="majorHAnsi" w:cstheme="majorHAnsi"/>
          <w:i/>
          <w:color w:val="0D0D0D" w:themeColor="text1" w:themeTint="F2"/>
          <w:sz w:val="24"/>
          <w:szCs w:val="24"/>
          <w:shd w:val="clear" w:color="auto" w:fill="FFFFFF"/>
        </w:rPr>
        <w:t xml:space="preserve"> acordarea neregulamentară</w:t>
      </w:r>
      <w:r w:rsidR="00BA7803" w:rsidRPr="00F34E9D">
        <w:rPr>
          <w:rStyle w:val="a7"/>
          <w:rFonts w:asciiTheme="majorHAnsi" w:hAnsiTheme="majorHAnsi" w:cstheme="majorHAnsi"/>
          <w:i/>
          <w:color w:val="0D0D0D" w:themeColor="text1" w:themeTint="F2"/>
          <w:sz w:val="24"/>
          <w:szCs w:val="24"/>
          <w:shd w:val="clear" w:color="auto" w:fill="FFFFFF"/>
        </w:rPr>
        <w:footnoteReference w:id="47"/>
      </w:r>
      <w:r w:rsidR="00BA7803" w:rsidRPr="00F34E9D">
        <w:rPr>
          <w:rFonts w:asciiTheme="majorHAnsi" w:hAnsiTheme="majorHAnsi" w:cstheme="majorHAnsi"/>
          <w:i/>
          <w:color w:val="0D0D0D" w:themeColor="text1" w:themeTint="F2"/>
          <w:sz w:val="24"/>
          <w:szCs w:val="24"/>
          <w:shd w:val="clear" w:color="auto" w:fill="FFFFFF"/>
        </w:rPr>
        <w:t xml:space="preserve"> a sporului cu caracter specific unor angajați.</w:t>
      </w:r>
    </w:p>
    <w:p w14:paraId="3994B0C9" w14:textId="56DD5472" w:rsidR="00BA7803" w:rsidRPr="00F34E9D" w:rsidRDefault="00BA7803">
      <w:pPr>
        <w:shd w:val="clear" w:color="auto" w:fill="FFFFFF" w:themeFill="background1"/>
        <w:tabs>
          <w:tab w:val="left" w:pos="0"/>
          <w:tab w:val="left" w:pos="426"/>
        </w:tabs>
        <w:spacing w:after="0" w:line="276" w:lineRule="auto"/>
        <w:jc w:val="both"/>
        <w:rPr>
          <w:rFonts w:asciiTheme="majorHAnsi" w:eastAsia="Times New Roman" w:hAnsiTheme="majorHAnsi" w:cstheme="majorHAnsi"/>
          <w:bCs/>
          <w:color w:val="0D0D0D" w:themeColor="text1" w:themeTint="F2"/>
          <w:sz w:val="24"/>
          <w:szCs w:val="24"/>
          <w:lang w:val="ro-RO" w:eastAsia="ru-RU"/>
        </w:rPr>
      </w:pPr>
      <w:r w:rsidRPr="00F34E9D">
        <w:rPr>
          <w:rFonts w:asciiTheme="majorHAnsi" w:hAnsiTheme="majorHAnsi" w:cstheme="majorHAnsi"/>
          <w:color w:val="0D0D0D" w:themeColor="text1" w:themeTint="F2"/>
          <w:sz w:val="24"/>
          <w:szCs w:val="24"/>
          <w:shd w:val="clear" w:color="auto" w:fill="FFFFFF"/>
        </w:rPr>
        <w:t xml:space="preserve">Deși funcțiile pe care le dețin angajații </w:t>
      </w:r>
      <w:r w:rsidRPr="00F34E9D">
        <w:rPr>
          <w:rFonts w:asciiTheme="majorHAnsi" w:hAnsiTheme="majorHAnsi" w:cstheme="majorHAnsi"/>
          <w:color w:val="0D0D0D" w:themeColor="text1" w:themeTint="F2"/>
          <w:sz w:val="24"/>
          <w:szCs w:val="24"/>
        </w:rPr>
        <w:t xml:space="preserve">ȘP nr.9 </w:t>
      </w:r>
      <w:r w:rsidRPr="00F34E9D">
        <w:rPr>
          <w:rFonts w:asciiTheme="majorHAnsi" w:hAnsiTheme="majorHAnsi" w:cstheme="majorHAnsi"/>
          <w:color w:val="0D0D0D" w:themeColor="text1" w:themeTint="F2"/>
          <w:sz w:val="24"/>
          <w:szCs w:val="24"/>
          <w:shd w:val="clear" w:color="auto" w:fill="FFFFFF"/>
        </w:rPr>
        <w:t>cărora li sa acordat sporurile cu caracter specific</w:t>
      </w:r>
      <w:r w:rsidRPr="00F34E9D">
        <w:rPr>
          <w:rFonts w:asciiTheme="majorHAnsi" w:hAnsiTheme="majorHAnsi" w:cstheme="majorHAnsi"/>
          <w:i/>
          <w:color w:val="0D0D0D" w:themeColor="text1" w:themeTint="F2"/>
          <w:sz w:val="24"/>
          <w:szCs w:val="24"/>
          <w:shd w:val="clear" w:color="auto" w:fill="FFFFFF"/>
        </w:rPr>
        <w:t xml:space="preserve"> </w:t>
      </w:r>
      <w:r w:rsidRPr="00F34E9D">
        <w:rPr>
          <w:rFonts w:asciiTheme="majorHAnsi" w:hAnsiTheme="majorHAnsi" w:cstheme="majorHAnsi"/>
          <w:color w:val="0D0D0D" w:themeColor="text1" w:themeTint="F2"/>
          <w:sz w:val="24"/>
          <w:szCs w:val="24"/>
          <w:shd w:val="clear" w:color="auto" w:fill="FFFFFF"/>
        </w:rPr>
        <w:t>nu s</w:t>
      </w:r>
      <w:r w:rsidR="007B2E51" w:rsidRPr="00F34E9D">
        <w:rPr>
          <w:rFonts w:asciiTheme="majorHAnsi" w:hAnsiTheme="majorHAnsi" w:cstheme="majorHAnsi"/>
          <w:color w:val="0D0D0D" w:themeColor="text1" w:themeTint="F2"/>
          <w:sz w:val="24"/>
          <w:szCs w:val="24"/>
          <w:shd w:val="clear" w:color="auto" w:fill="FFFFFF"/>
        </w:rPr>
        <w:t>u</w:t>
      </w:r>
      <w:r w:rsidRPr="00F34E9D">
        <w:rPr>
          <w:rFonts w:asciiTheme="majorHAnsi" w:hAnsiTheme="majorHAnsi" w:cstheme="majorHAnsi"/>
          <w:color w:val="0D0D0D" w:themeColor="text1" w:themeTint="F2"/>
          <w:sz w:val="24"/>
          <w:szCs w:val="24"/>
          <w:shd w:val="clear" w:color="auto" w:fill="FFFFFF"/>
        </w:rPr>
        <w:t xml:space="preserve">nt prevăzute de Regulamentul intern aprobat, precum și în </w:t>
      </w:r>
      <w:r w:rsidRPr="00F34E9D">
        <w:rPr>
          <w:rFonts w:asciiTheme="majorHAnsi" w:hAnsiTheme="majorHAnsi" w:cstheme="majorHAnsi"/>
          <w:color w:val="0D0D0D" w:themeColor="text1" w:themeTint="F2"/>
          <w:sz w:val="24"/>
          <w:szCs w:val="24"/>
        </w:rPr>
        <w:t xml:space="preserve">lipsa argumentărilor privind </w:t>
      </w:r>
      <w:r w:rsidRPr="00F34E9D">
        <w:rPr>
          <w:rFonts w:asciiTheme="majorHAnsi" w:eastAsia="Times New Roman" w:hAnsiTheme="majorHAnsi" w:cstheme="majorHAnsi"/>
          <w:color w:val="0D0D0D" w:themeColor="text1" w:themeTint="F2"/>
          <w:sz w:val="24"/>
          <w:szCs w:val="24"/>
        </w:rPr>
        <w:t>efortul depus sau a riscului asumat în condițiile specifice de activitate,</w:t>
      </w:r>
      <w:r w:rsidRPr="00F34E9D">
        <w:rPr>
          <w:rFonts w:asciiTheme="majorHAnsi" w:hAnsiTheme="majorHAnsi" w:cstheme="majorHAnsi"/>
          <w:color w:val="0D0D0D" w:themeColor="text1" w:themeTint="F2"/>
          <w:sz w:val="24"/>
          <w:szCs w:val="24"/>
        </w:rPr>
        <w:t xml:space="preserve"> </w:t>
      </w:r>
      <w:r w:rsidRPr="00F34E9D">
        <w:rPr>
          <w:rFonts w:asciiTheme="majorHAnsi" w:hAnsiTheme="majorHAnsi" w:cstheme="majorHAnsi"/>
          <w:color w:val="0D0D0D" w:themeColor="text1" w:themeTint="F2"/>
          <w:sz w:val="24"/>
          <w:szCs w:val="24"/>
          <w:shd w:val="clear" w:color="auto" w:fill="FFFFFF"/>
        </w:rPr>
        <w:t>prin ordinele emise</w:t>
      </w:r>
      <w:r w:rsidRPr="00F34E9D">
        <w:rPr>
          <w:rStyle w:val="a7"/>
          <w:rFonts w:asciiTheme="majorHAnsi" w:hAnsiTheme="majorHAnsi" w:cstheme="majorHAnsi"/>
          <w:color w:val="0D0D0D" w:themeColor="text1" w:themeTint="F2"/>
          <w:sz w:val="24"/>
          <w:szCs w:val="24"/>
        </w:rPr>
        <w:footnoteReference w:id="48"/>
      </w:r>
      <w:r w:rsidRPr="00F34E9D">
        <w:rPr>
          <w:rFonts w:asciiTheme="majorHAnsi" w:hAnsiTheme="majorHAnsi" w:cstheme="majorHAnsi"/>
          <w:color w:val="0D0D0D" w:themeColor="text1" w:themeTint="F2"/>
          <w:sz w:val="24"/>
          <w:szCs w:val="24"/>
          <w:shd w:val="clear" w:color="auto" w:fill="FFFFFF"/>
        </w:rPr>
        <w:t xml:space="preserve"> de director </w:t>
      </w:r>
      <w:r w:rsidRPr="00F34E9D">
        <w:rPr>
          <w:rFonts w:asciiTheme="majorHAnsi" w:hAnsiTheme="majorHAnsi" w:cstheme="majorHAnsi"/>
          <w:color w:val="0D0D0D" w:themeColor="text1" w:themeTint="F2"/>
          <w:sz w:val="24"/>
          <w:szCs w:val="24"/>
        </w:rPr>
        <w:t xml:space="preserve">s-au acordat sporuri cu caracter specific în favoarea a 6 angajați ai instituției </w:t>
      </w:r>
      <w:r w:rsidRPr="00F34E9D">
        <w:rPr>
          <w:rFonts w:asciiTheme="majorHAnsi" w:hAnsiTheme="majorHAnsi" w:cstheme="majorHAnsi"/>
          <w:color w:val="0D0D0D" w:themeColor="text1" w:themeTint="F2"/>
          <w:sz w:val="24"/>
          <w:szCs w:val="24"/>
          <w:shd w:val="clear" w:color="auto" w:fill="FFFFFF"/>
        </w:rPr>
        <w:t>în mărime de p</w:t>
      </w:r>
      <w:r w:rsidR="007B2E51" w:rsidRPr="00F34E9D">
        <w:rPr>
          <w:rFonts w:asciiTheme="majorHAnsi" w:hAnsiTheme="majorHAnsi" w:cstheme="majorHAnsi"/>
          <w:color w:val="0D0D0D" w:themeColor="text1" w:themeTint="F2"/>
          <w:sz w:val="24"/>
          <w:szCs w:val="24"/>
          <w:shd w:val="clear" w:color="auto" w:fill="FFFFFF"/>
        </w:rPr>
        <w:t>â</w:t>
      </w:r>
      <w:r w:rsidRPr="00F34E9D">
        <w:rPr>
          <w:rFonts w:asciiTheme="majorHAnsi" w:hAnsiTheme="majorHAnsi" w:cstheme="majorHAnsi"/>
          <w:color w:val="0D0D0D" w:themeColor="text1" w:themeTint="F2"/>
          <w:sz w:val="24"/>
          <w:szCs w:val="24"/>
          <w:shd w:val="clear" w:color="auto" w:fill="FFFFFF"/>
        </w:rPr>
        <w:t>nă la 100%</w:t>
      </w:r>
      <w:r w:rsidR="005A6A78" w:rsidRPr="00F34E9D">
        <w:rPr>
          <w:rFonts w:asciiTheme="majorHAnsi" w:hAnsiTheme="majorHAnsi" w:cstheme="majorHAnsi"/>
          <w:color w:val="0D0D0D" w:themeColor="text1" w:themeTint="F2"/>
          <w:sz w:val="24"/>
          <w:szCs w:val="24"/>
          <w:shd w:val="clear" w:color="auto" w:fill="FFFFFF"/>
        </w:rPr>
        <w:t xml:space="preserve"> din salariul de bază</w:t>
      </w:r>
      <w:r w:rsidRPr="00F34E9D">
        <w:rPr>
          <w:rFonts w:asciiTheme="majorHAnsi" w:hAnsiTheme="majorHAnsi" w:cstheme="majorHAnsi"/>
          <w:color w:val="0D0D0D" w:themeColor="text1" w:themeTint="F2"/>
          <w:sz w:val="24"/>
          <w:szCs w:val="24"/>
          <w:shd w:val="clear" w:color="auto" w:fill="FFFFFF"/>
        </w:rPr>
        <w:t xml:space="preserve">, </w:t>
      </w:r>
      <w:r w:rsidRPr="00F34E9D">
        <w:rPr>
          <w:rFonts w:asciiTheme="majorHAnsi" w:hAnsiTheme="majorHAnsi" w:cstheme="majorHAnsi"/>
          <w:color w:val="0D0D0D" w:themeColor="text1" w:themeTint="F2"/>
          <w:sz w:val="24"/>
          <w:szCs w:val="24"/>
        </w:rPr>
        <w:t xml:space="preserve">în sumă totală de </w:t>
      </w:r>
      <w:r w:rsidRPr="00F34E9D">
        <w:rPr>
          <w:rFonts w:asciiTheme="majorHAnsi" w:hAnsiTheme="majorHAnsi" w:cstheme="majorHAnsi"/>
          <w:b/>
          <w:color w:val="0D0D0D" w:themeColor="text1" w:themeTint="F2"/>
          <w:sz w:val="24"/>
          <w:szCs w:val="24"/>
        </w:rPr>
        <w:t>245,3 mii lei</w:t>
      </w:r>
      <w:r w:rsidRPr="00F34E9D">
        <w:rPr>
          <w:rFonts w:asciiTheme="majorHAnsi" w:hAnsiTheme="majorHAnsi" w:cstheme="majorHAnsi"/>
          <w:color w:val="0D0D0D" w:themeColor="text1" w:themeTint="F2"/>
          <w:sz w:val="24"/>
          <w:szCs w:val="24"/>
        </w:rPr>
        <w:t xml:space="preserve"> (</w:t>
      </w:r>
      <w:r w:rsidR="00BA385C" w:rsidRPr="00F34E9D">
        <w:rPr>
          <w:rFonts w:asciiTheme="majorHAnsi" w:hAnsiTheme="majorHAnsi" w:cstheme="majorHAnsi"/>
          <w:color w:val="0D0D0D" w:themeColor="text1" w:themeTint="F2"/>
          <w:sz w:val="24"/>
          <w:szCs w:val="24"/>
        </w:rPr>
        <w:t xml:space="preserve">sau </w:t>
      </w:r>
      <w:r w:rsidR="00D25735" w:rsidRPr="00F34E9D">
        <w:rPr>
          <w:rFonts w:asciiTheme="majorHAnsi" w:hAnsiTheme="majorHAnsi" w:cstheme="majorHAnsi"/>
          <w:color w:val="0D0D0D" w:themeColor="text1" w:themeTint="F2"/>
          <w:sz w:val="24"/>
          <w:szCs w:val="24"/>
        </w:rPr>
        <w:t xml:space="preserve">49,4% din suma totală calculată pe instituție de </w:t>
      </w:r>
      <w:r w:rsidRPr="00F34E9D">
        <w:rPr>
          <w:rFonts w:asciiTheme="majorHAnsi" w:hAnsiTheme="majorHAnsi" w:cstheme="majorHAnsi"/>
          <w:color w:val="0D0D0D" w:themeColor="text1" w:themeTint="F2"/>
          <w:sz w:val="24"/>
          <w:szCs w:val="24"/>
        </w:rPr>
        <w:t>496,4 mii lei).</w:t>
      </w:r>
    </w:p>
    <w:p w14:paraId="5312CA81" w14:textId="250ADDC4" w:rsidR="0029528A" w:rsidRPr="00F34E9D" w:rsidRDefault="0029528A">
      <w:pPr>
        <w:spacing w:after="0" w:line="276" w:lineRule="auto"/>
        <w:jc w:val="both"/>
        <w:rPr>
          <w:rFonts w:asciiTheme="majorHAnsi" w:hAnsiTheme="majorHAnsi" w:cstheme="majorHAnsi"/>
          <w:b/>
          <w:color w:val="0D0D0D" w:themeColor="text1" w:themeTint="F2"/>
          <w:sz w:val="24"/>
          <w:szCs w:val="24"/>
        </w:rPr>
      </w:pPr>
      <w:r w:rsidRPr="00F34E9D">
        <w:rPr>
          <w:rFonts w:asciiTheme="majorHAnsi" w:hAnsiTheme="majorHAnsi" w:cstheme="majorHAnsi"/>
          <w:b/>
          <w:bCs/>
          <w:color w:val="0D0D0D" w:themeColor="text1" w:themeTint="F2"/>
          <w:sz w:val="24"/>
          <w:szCs w:val="24"/>
        </w:rPr>
        <w:t>6.</w:t>
      </w:r>
      <w:r w:rsidR="002363C3" w:rsidRPr="00F34E9D">
        <w:rPr>
          <w:rFonts w:asciiTheme="majorHAnsi" w:hAnsiTheme="majorHAnsi" w:cstheme="majorHAnsi"/>
          <w:b/>
          <w:bCs/>
          <w:color w:val="0D0D0D" w:themeColor="text1" w:themeTint="F2"/>
          <w:sz w:val="24"/>
          <w:szCs w:val="24"/>
        </w:rPr>
        <w:t>7</w:t>
      </w:r>
      <w:r w:rsidRPr="00F34E9D">
        <w:rPr>
          <w:rFonts w:asciiTheme="majorHAnsi" w:hAnsiTheme="majorHAnsi" w:cstheme="majorHAnsi"/>
          <w:b/>
          <w:bCs/>
          <w:color w:val="0D0D0D" w:themeColor="text1" w:themeTint="F2"/>
          <w:sz w:val="24"/>
          <w:szCs w:val="24"/>
        </w:rPr>
        <w:t>.</w:t>
      </w:r>
      <w:r w:rsidRPr="00F34E9D">
        <w:rPr>
          <w:rFonts w:asciiTheme="majorHAnsi" w:hAnsiTheme="majorHAnsi" w:cstheme="majorHAnsi"/>
          <w:color w:val="0D0D0D" w:themeColor="text1" w:themeTint="F2"/>
          <w:sz w:val="24"/>
          <w:szCs w:val="24"/>
        </w:rPr>
        <w:t xml:space="preserve">  </w:t>
      </w:r>
      <w:r w:rsidR="002C3C82" w:rsidRPr="00F34E9D">
        <w:rPr>
          <w:rFonts w:asciiTheme="majorHAnsi" w:hAnsiTheme="majorHAnsi" w:cstheme="majorHAnsi"/>
          <w:color w:val="0D0D0D" w:themeColor="text1" w:themeTint="F2"/>
          <w:sz w:val="24"/>
          <w:szCs w:val="24"/>
        </w:rPr>
        <w:t>Ministerul</w:t>
      </w:r>
      <w:r w:rsidRPr="00F34E9D">
        <w:rPr>
          <w:rFonts w:asciiTheme="majorHAnsi" w:hAnsiTheme="majorHAnsi" w:cstheme="majorHAnsi"/>
          <w:color w:val="0D0D0D" w:themeColor="text1" w:themeTint="F2"/>
          <w:sz w:val="24"/>
          <w:szCs w:val="24"/>
        </w:rPr>
        <w:t xml:space="preserve"> nu a stabilit în mod regulamentar modul de finanțare a instituțiilor de învățământ secundar general (licee/gimnazii), care sunt direct subordonate și finanțate de către minister și  care, potrivit prevederilor art.145 alin.(1) din Codul educației, urmau a fi finanțate prin cost-standard per elev și coeficient de ajustare, și nici nu a aplicat prin analogie </w:t>
      </w:r>
      <w:r w:rsidRPr="00F34E9D">
        <w:rPr>
          <w:rFonts w:asciiTheme="majorHAnsi" w:eastAsia="Times New Roman" w:hAnsiTheme="majorHAnsi" w:cstheme="majorHAnsi"/>
          <w:color w:val="0D0D0D" w:themeColor="text1" w:themeTint="F2"/>
          <w:sz w:val="24"/>
          <w:szCs w:val="24"/>
        </w:rPr>
        <w:t>prevederile Hotărârii Guvernului nr.868 din 08.10.2014</w:t>
      </w:r>
      <w:r w:rsidRPr="00F34E9D">
        <w:rPr>
          <w:rFonts w:asciiTheme="majorHAnsi" w:eastAsia="Times New Roman" w:hAnsiTheme="majorHAnsi" w:cstheme="majorHAnsi"/>
          <w:color w:val="0D0D0D" w:themeColor="text1" w:themeTint="F2"/>
          <w:sz w:val="24"/>
          <w:szCs w:val="24"/>
          <w:vertAlign w:val="superscript"/>
        </w:rPr>
        <w:footnoteReference w:id="49"/>
      </w:r>
      <w:r w:rsidRPr="00F34E9D">
        <w:rPr>
          <w:rFonts w:asciiTheme="majorHAnsi" w:eastAsia="Times New Roman" w:hAnsiTheme="majorHAnsi" w:cstheme="majorHAnsi"/>
          <w:color w:val="0D0D0D" w:themeColor="text1" w:themeTint="F2"/>
          <w:sz w:val="24"/>
          <w:szCs w:val="24"/>
        </w:rPr>
        <w:t xml:space="preserve"> și ale Notelor metodologice de elaborare și aprobare a bugetului, emise de Ministerul Finanțelor</w:t>
      </w:r>
      <w:r w:rsidRPr="00F34E9D">
        <w:rPr>
          <w:rFonts w:asciiTheme="majorHAnsi" w:eastAsia="Times New Roman" w:hAnsiTheme="majorHAnsi" w:cstheme="majorHAnsi"/>
          <w:iCs/>
          <w:color w:val="0D0D0D" w:themeColor="text1" w:themeTint="F2"/>
          <w:sz w:val="24"/>
          <w:szCs w:val="24"/>
          <w:vertAlign w:val="superscript"/>
        </w:rPr>
        <w:footnoteReference w:id="50"/>
      </w:r>
      <w:r w:rsidRPr="00F34E9D">
        <w:rPr>
          <w:rFonts w:asciiTheme="majorHAnsi" w:hAnsiTheme="majorHAnsi" w:cstheme="majorHAnsi"/>
          <w:color w:val="0D0D0D" w:themeColor="text1" w:themeTint="F2"/>
          <w:sz w:val="24"/>
          <w:szCs w:val="24"/>
        </w:rPr>
        <w:t xml:space="preserve">. </w:t>
      </w:r>
      <w:r w:rsidRPr="00F34E9D">
        <w:rPr>
          <w:rFonts w:asciiTheme="majorHAnsi" w:hAnsiTheme="majorHAnsi" w:cstheme="majorHAnsi"/>
          <w:b/>
          <w:color w:val="0D0D0D" w:themeColor="text1" w:themeTint="F2"/>
          <w:sz w:val="24"/>
          <w:szCs w:val="24"/>
        </w:rPr>
        <w:t xml:space="preserve"> </w:t>
      </w:r>
    </w:p>
    <w:p w14:paraId="0E077E9D" w14:textId="04125815" w:rsidR="00B55C20" w:rsidRPr="00F34E9D" w:rsidRDefault="00B55C20">
      <w:pPr>
        <w:spacing w:after="40" w:line="276" w:lineRule="auto"/>
        <w:jc w:val="both"/>
        <w:rPr>
          <w:rFonts w:asciiTheme="majorHAnsi" w:hAnsiTheme="majorHAnsi" w:cstheme="majorHAnsi"/>
          <w:b/>
          <w:bCs/>
          <w:color w:val="0D0D0D" w:themeColor="text1" w:themeTint="F2"/>
          <w:sz w:val="24"/>
          <w:szCs w:val="24"/>
        </w:rPr>
      </w:pPr>
      <w:r w:rsidRPr="00F34E9D">
        <w:rPr>
          <w:rFonts w:asciiTheme="majorHAnsi" w:hAnsiTheme="majorHAnsi" w:cstheme="majorHAnsi"/>
          <w:b/>
          <w:bCs/>
          <w:color w:val="0D0D0D" w:themeColor="text1" w:themeTint="F2"/>
          <w:sz w:val="24"/>
          <w:szCs w:val="24"/>
        </w:rPr>
        <w:t>6.</w:t>
      </w:r>
      <w:r w:rsidR="002363C3" w:rsidRPr="00F34E9D">
        <w:rPr>
          <w:rFonts w:asciiTheme="majorHAnsi" w:hAnsiTheme="majorHAnsi" w:cstheme="majorHAnsi"/>
          <w:b/>
          <w:bCs/>
          <w:color w:val="0D0D0D" w:themeColor="text1" w:themeTint="F2"/>
          <w:sz w:val="24"/>
          <w:szCs w:val="24"/>
        </w:rPr>
        <w:t>8</w:t>
      </w:r>
      <w:r w:rsidRPr="00F34E9D">
        <w:rPr>
          <w:rFonts w:asciiTheme="majorHAnsi" w:hAnsiTheme="majorHAnsi" w:cstheme="majorHAnsi"/>
          <w:b/>
          <w:bCs/>
          <w:color w:val="0D0D0D" w:themeColor="text1" w:themeTint="F2"/>
          <w:sz w:val="24"/>
          <w:szCs w:val="24"/>
        </w:rPr>
        <w:t xml:space="preserve">. </w:t>
      </w:r>
      <w:r w:rsidR="00E6578F" w:rsidRPr="00F34E9D">
        <w:rPr>
          <w:rFonts w:asciiTheme="majorHAnsi" w:hAnsiTheme="majorHAnsi" w:cstheme="majorHAnsi"/>
          <w:b/>
          <w:bCs/>
          <w:color w:val="0D0D0D" w:themeColor="text1" w:themeTint="F2"/>
          <w:sz w:val="24"/>
          <w:szCs w:val="24"/>
        </w:rPr>
        <w:t xml:space="preserve"> </w:t>
      </w:r>
      <w:r w:rsidRPr="00F34E9D">
        <w:rPr>
          <w:rFonts w:asciiTheme="majorHAnsi" w:hAnsiTheme="majorHAnsi" w:cstheme="majorHAnsi"/>
          <w:i/>
          <w:color w:val="0D0D0D" w:themeColor="text1" w:themeTint="F2"/>
          <w:sz w:val="24"/>
          <w:szCs w:val="24"/>
        </w:rPr>
        <w:t xml:space="preserve">MEC nu </w:t>
      </w:r>
      <w:r w:rsidR="00A8666C" w:rsidRPr="00F34E9D">
        <w:rPr>
          <w:rFonts w:asciiTheme="majorHAnsi" w:hAnsiTheme="majorHAnsi" w:cstheme="majorHAnsi"/>
          <w:i/>
          <w:color w:val="0D0D0D" w:themeColor="text1" w:themeTint="F2"/>
          <w:sz w:val="24"/>
          <w:szCs w:val="24"/>
        </w:rPr>
        <w:t xml:space="preserve">a </w:t>
      </w:r>
      <w:r w:rsidRPr="00F34E9D">
        <w:rPr>
          <w:rFonts w:asciiTheme="majorHAnsi" w:hAnsiTheme="majorHAnsi" w:cstheme="majorHAnsi"/>
          <w:i/>
          <w:color w:val="0D0D0D" w:themeColor="text1" w:themeTint="F2"/>
          <w:sz w:val="24"/>
          <w:szCs w:val="24"/>
        </w:rPr>
        <w:t>asigurat elaborarea principii</w:t>
      </w:r>
      <w:r w:rsidR="00306EAD" w:rsidRPr="00F34E9D">
        <w:rPr>
          <w:rFonts w:asciiTheme="majorHAnsi" w:hAnsiTheme="majorHAnsi" w:cstheme="majorHAnsi"/>
          <w:i/>
          <w:color w:val="0D0D0D" w:themeColor="text1" w:themeTint="F2"/>
          <w:sz w:val="24"/>
          <w:szCs w:val="24"/>
        </w:rPr>
        <w:t>lor</w:t>
      </w:r>
      <w:r w:rsidRPr="00F34E9D">
        <w:rPr>
          <w:rFonts w:asciiTheme="majorHAnsi" w:hAnsiTheme="majorHAnsi" w:cstheme="majorHAnsi"/>
          <w:i/>
          <w:color w:val="0D0D0D" w:themeColor="text1" w:themeTint="F2"/>
          <w:sz w:val="24"/>
          <w:szCs w:val="24"/>
        </w:rPr>
        <w:t xml:space="preserve"> de subvenționare, nu </w:t>
      </w:r>
      <w:r w:rsidR="000013A1" w:rsidRPr="00F34E9D">
        <w:rPr>
          <w:rFonts w:asciiTheme="majorHAnsi" w:hAnsiTheme="majorHAnsi" w:cstheme="majorHAnsi"/>
          <w:i/>
          <w:color w:val="0D0D0D" w:themeColor="text1" w:themeTint="F2"/>
          <w:sz w:val="24"/>
          <w:szCs w:val="24"/>
        </w:rPr>
        <w:t xml:space="preserve">a </w:t>
      </w:r>
      <w:r w:rsidRPr="00F34E9D">
        <w:rPr>
          <w:rFonts w:asciiTheme="majorHAnsi" w:hAnsiTheme="majorHAnsi" w:cstheme="majorHAnsi"/>
          <w:i/>
          <w:color w:val="0D0D0D" w:themeColor="text1" w:themeTint="F2"/>
          <w:sz w:val="24"/>
          <w:szCs w:val="24"/>
        </w:rPr>
        <w:t>aprobat procedura și termenele de depunere a rapoartelor privind</w:t>
      </w:r>
      <w:r w:rsidRPr="00F34E9D">
        <w:rPr>
          <w:rFonts w:asciiTheme="majorHAnsi" w:hAnsiTheme="majorHAnsi" w:cstheme="majorHAnsi"/>
          <w:i/>
          <w:color w:val="0D0D0D" w:themeColor="text1" w:themeTint="F2"/>
          <w:sz w:val="24"/>
        </w:rPr>
        <w:t xml:space="preserve"> utilizarea subvențiilor primite, documentelor confirmative ce justifică utilizarea rațională și eficientă</w:t>
      </w:r>
      <w:r w:rsidR="00306EAD" w:rsidRPr="00F34E9D">
        <w:rPr>
          <w:rFonts w:asciiTheme="majorHAnsi" w:hAnsiTheme="majorHAnsi" w:cstheme="majorHAnsi"/>
          <w:i/>
          <w:color w:val="0D0D0D" w:themeColor="text1" w:themeTint="F2"/>
          <w:sz w:val="24"/>
        </w:rPr>
        <w:t xml:space="preserve"> a subsidiilor</w:t>
      </w:r>
      <w:r w:rsidRPr="00F34E9D">
        <w:rPr>
          <w:rFonts w:asciiTheme="majorHAnsi" w:hAnsiTheme="majorHAnsi" w:cstheme="majorHAnsi"/>
          <w:i/>
          <w:color w:val="0D0D0D" w:themeColor="text1" w:themeTint="F2"/>
          <w:sz w:val="24"/>
        </w:rPr>
        <w:t>.</w:t>
      </w:r>
      <w:r w:rsidRPr="00F34E9D">
        <w:rPr>
          <w:rFonts w:asciiTheme="majorHAnsi" w:hAnsiTheme="majorHAnsi" w:cstheme="majorHAnsi"/>
          <w:color w:val="0D0D0D" w:themeColor="text1" w:themeTint="F2"/>
          <w:sz w:val="24"/>
        </w:rPr>
        <w:t xml:space="preserve"> </w:t>
      </w:r>
      <w:r w:rsidRPr="00F34E9D">
        <w:rPr>
          <w:rFonts w:asciiTheme="majorHAnsi" w:hAnsiTheme="majorHAnsi" w:cstheme="majorHAnsi"/>
          <w:color w:val="0D0D0D" w:themeColor="text1" w:themeTint="F2"/>
          <w:sz w:val="24"/>
          <w:lang w:val="ro-RO"/>
        </w:rPr>
        <w:t>D</w:t>
      </w:r>
      <w:r w:rsidRPr="00F34E9D">
        <w:rPr>
          <w:rFonts w:asciiTheme="majorHAnsi" w:hAnsiTheme="majorHAnsi" w:cstheme="majorHAnsi"/>
          <w:color w:val="0D0D0D" w:themeColor="text1" w:themeTint="F2"/>
          <w:sz w:val="24"/>
        </w:rPr>
        <w:t xml:space="preserve">in cauza lipsei de reglementare și verificare a corectitudinii planificării fondurilor necesare implementării programelor, </w:t>
      </w:r>
      <w:r w:rsidR="000F6005" w:rsidRPr="00F34E9D">
        <w:rPr>
          <w:rFonts w:asciiTheme="majorHAnsi" w:hAnsiTheme="majorHAnsi" w:cstheme="majorHAnsi"/>
          <w:color w:val="0D0D0D" w:themeColor="text1" w:themeTint="F2"/>
          <w:sz w:val="24"/>
        </w:rPr>
        <w:t xml:space="preserve">se </w:t>
      </w:r>
      <w:r w:rsidRPr="00F34E9D">
        <w:rPr>
          <w:rFonts w:asciiTheme="majorHAnsi" w:hAnsiTheme="majorHAnsi" w:cstheme="majorHAnsi"/>
          <w:color w:val="0D0D0D" w:themeColor="text1" w:themeTint="F2"/>
          <w:sz w:val="24"/>
        </w:rPr>
        <w:t>permite acordarea subvențiilor în lipsa unor informații și rapoarte privind gestionarea fondurilor bugetare</w:t>
      </w:r>
      <w:r w:rsidR="00A17F73" w:rsidRPr="00F34E9D">
        <w:rPr>
          <w:rFonts w:asciiTheme="majorHAnsi" w:hAnsiTheme="majorHAnsi" w:cstheme="majorHAnsi"/>
          <w:color w:val="0D0D0D" w:themeColor="text1" w:themeTint="F2"/>
          <w:sz w:val="24"/>
        </w:rPr>
        <w:t xml:space="preserve"> alocate anterior</w:t>
      </w:r>
      <w:r w:rsidRPr="00F34E9D">
        <w:rPr>
          <w:rFonts w:asciiTheme="majorHAnsi" w:hAnsiTheme="majorHAnsi" w:cstheme="majorHAnsi"/>
          <w:color w:val="0D0D0D" w:themeColor="text1" w:themeTint="F2"/>
          <w:sz w:val="24"/>
        </w:rPr>
        <w:t>.</w:t>
      </w:r>
    </w:p>
    <w:p w14:paraId="50910E26" w14:textId="03FD7235" w:rsidR="00B55C20" w:rsidRPr="00F34E9D" w:rsidRDefault="00D868F0">
      <w:pPr>
        <w:spacing w:after="40" w:line="276" w:lineRule="auto"/>
        <w:jc w:val="both"/>
        <w:rPr>
          <w:rFonts w:asciiTheme="majorHAnsi" w:hAnsiTheme="majorHAnsi" w:cstheme="majorHAnsi"/>
          <w:color w:val="0D0D0D" w:themeColor="text1" w:themeTint="F2"/>
          <w:sz w:val="24"/>
        </w:rPr>
      </w:pPr>
      <w:r w:rsidRPr="00F34E9D">
        <w:rPr>
          <w:rFonts w:asciiTheme="majorHAnsi" w:hAnsiTheme="majorHAnsi" w:cstheme="majorHAnsi"/>
          <w:color w:val="0D0D0D" w:themeColor="text1" w:themeTint="F2"/>
          <w:sz w:val="24"/>
        </w:rPr>
        <w:t>La</w:t>
      </w:r>
      <w:r w:rsidR="00B55C20" w:rsidRPr="00F34E9D">
        <w:rPr>
          <w:rFonts w:asciiTheme="majorHAnsi" w:hAnsiTheme="majorHAnsi" w:cstheme="majorHAnsi"/>
          <w:color w:val="0D0D0D" w:themeColor="text1" w:themeTint="F2"/>
          <w:sz w:val="24"/>
        </w:rPr>
        <w:t xml:space="preserve"> situația </w:t>
      </w:r>
      <w:r w:rsidRPr="00F34E9D">
        <w:rPr>
          <w:rFonts w:asciiTheme="majorHAnsi" w:hAnsiTheme="majorHAnsi" w:cstheme="majorHAnsi"/>
          <w:color w:val="0D0D0D" w:themeColor="text1" w:themeTint="F2"/>
          <w:sz w:val="24"/>
        </w:rPr>
        <w:t xml:space="preserve">din </w:t>
      </w:r>
      <w:r w:rsidR="00B55C20" w:rsidRPr="00F34E9D">
        <w:rPr>
          <w:rFonts w:asciiTheme="majorHAnsi" w:hAnsiTheme="majorHAnsi" w:cstheme="majorHAnsi"/>
          <w:color w:val="0D0D0D" w:themeColor="text1" w:themeTint="F2"/>
          <w:sz w:val="24"/>
        </w:rPr>
        <w:t>31.12.2021</w:t>
      </w:r>
      <w:r w:rsidR="000F6005" w:rsidRPr="00F34E9D">
        <w:rPr>
          <w:rFonts w:asciiTheme="majorHAnsi" w:hAnsiTheme="majorHAnsi" w:cstheme="majorHAnsi"/>
          <w:color w:val="0D0D0D" w:themeColor="text1" w:themeTint="F2"/>
          <w:sz w:val="24"/>
        </w:rPr>
        <w:t>,</w:t>
      </w:r>
      <w:r w:rsidR="00B55C20" w:rsidRPr="00F34E9D">
        <w:rPr>
          <w:rFonts w:asciiTheme="majorHAnsi" w:hAnsiTheme="majorHAnsi" w:cstheme="majorHAnsi"/>
          <w:color w:val="0D0D0D" w:themeColor="text1" w:themeTint="F2"/>
          <w:sz w:val="24"/>
        </w:rPr>
        <w:t xml:space="preserve"> finanțarea subvențiilor de </w:t>
      </w:r>
      <w:r w:rsidR="000F6005" w:rsidRPr="00F34E9D">
        <w:rPr>
          <w:rFonts w:asciiTheme="majorHAnsi" w:hAnsiTheme="majorHAnsi" w:cstheme="majorHAnsi"/>
          <w:color w:val="0D0D0D" w:themeColor="text1" w:themeTint="F2"/>
          <w:sz w:val="24"/>
        </w:rPr>
        <w:t xml:space="preserve">către </w:t>
      </w:r>
      <w:r w:rsidR="00B55C20" w:rsidRPr="00F34E9D">
        <w:rPr>
          <w:rFonts w:asciiTheme="majorHAnsi" w:hAnsiTheme="majorHAnsi" w:cstheme="majorHAnsi"/>
          <w:color w:val="0D0D0D" w:themeColor="text1" w:themeTint="F2"/>
          <w:sz w:val="24"/>
        </w:rPr>
        <w:t>MEC pentru 4 luni a</w:t>
      </w:r>
      <w:r w:rsidR="000F6005" w:rsidRPr="00F34E9D">
        <w:rPr>
          <w:rFonts w:asciiTheme="majorHAnsi" w:hAnsiTheme="majorHAnsi" w:cstheme="majorHAnsi"/>
          <w:color w:val="0D0D0D" w:themeColor="text1" w:themeTint="F2"/>
          <w:sz w:val="24"/>
        </w:rPr>
        <w:t xml:space="preserve">le anului </w:t>
      </w:r>
      <w:r w:rsidR="00B55C20" w:rsidRPr="00F34E9D">
        <w:rPr>
          <w:rFonts w:asciiTheme="majorHAnsi" w:hAnsiTheme="majorHAnsi" w:cstheme="majorHAnsi"/>
          <w:color w:val="0D0D0D" w:themeColor="text1" w:themeTint="F2"/>
          <w:sz w:val="24"/>
        </w:rPr>
        <w:t xml:space="preserve">2021 </w:t>
      </w:r>
      <w:r w:rsidRPr="00F34E9D">
        <w:rPr>
          <w:rFonts w:asciiTheme="majorHAnsi" w:hAnsiTheme="majorHAnsi" w:cstheme="majorHAnsi"/>
          <w:color w:val="0D0D0D" w:themeColor="text1" w:themeTint="F2"/>
          <w:sz w:val="24"/>
        </w:rPr>
        <w:t>a constituit</w:t>
      </w:r>
      <w:r w:rsidR="00B55C20" w:rsidRPr="00F34E9D">
        <w:rPr>
          <w:rFonts w:asciiTheme="majorHAnsi" w:hAnsiTheme="majorHAnsi" w:cstheme="majorHAnsi"/>
          <w:color w:val="0D0D0D" w:themeColor="text1" w:themeTint="F2"/>
          <w:sz w:val="24"/>
        </w:rPr>
        <w:t xml:space="preserve"> 9,72 mil. lei</w:t>
      </w:r>
      <w:r w:rsidR="000F6005" w:rsidRPr="00F34E9D">
        <w:rPr>
          <w:rFonts w:asciiTheme="majorHAnsi" w:hAnsiTheme="majorHAnsi" w:cstheme="majorHAnsi"/>
          <w:color w:val="0D0D0D" w:themeColor="text1" w:themeTint="F2"/>
          <w:sz w:val="24"/>
        </w:rPr>
        <w:t>,</w:t>
      </w:r>
      <w:r w:rsidR="00B55C20" w:rsidRPr="00F34E9D">
        <w:rPr>
          <w:rFonts w:asciiTheme="majorHAnsi" w:hAnsiTheme="majorHAnsi" w:cstheme="majorHAnsi"/>
          <w:color w:val="0D0D0D" w:themeColor="text1" w:themeTint="F2"/>
          <w:sz w:val="24"/>
        </w:rPr>
        <w:t xml:space="preserve"> </w:t>
      </w:r>
      <w:r w:rsidRPr="00F34E9D">
        <w:rPr>
          <w:rFonts w:asciiTheme="majorHAnsi" w:hAnsiTheme="majorHAnsi" w:cstheme="majorHAnsi"/>
          <w:color w:val="0D0D0D" w:themeColor="text1" w:themeTint="F2"/>
          <w:sz w:val="24"/>
        </w:rPr>
        <w:t>sau</w:t>
      </w:r>
      <w:r w:rsidR="00B55C20" w:rsidRPr="00F34E9D">
        <w:rPr>
          <w:rFonts w:asciiTheme="majorHAnsi" w:hAnsiTheme="majorHAnsi" w:cstheme="majorHAnsi"/>
          <w:color w:val="0D0D0D" w:themeColor="text1" w:themeTint="F2"/>
          <w:sz w:val="24"/>
        </w:rPr>
        <w:t xml:space="preserve"> 63,</w:t>
      </w:r>
      <w:r w:rsidRPr="00F34E9D">
        <w:rPr>
          <w:rFonts w:asciiTheme="majorHAnsi" w:hAnsiTheme="majorHAnsi" w:cstheme="majorHAnsi"/>
          <w:color w:val="0D0D0D" w:themeColor="text1" w:themeTint="F2"/>
          <w:sz w:val="24"/>
        </w:rPr>
        <w:t>1 % din planul aprobat, iar c</w:t>
      </w:r>
      <w:r w:rsidR="00B55C20" w:rsidRPr="00F34E9D">
        <w:rPr>
          <w:rFonts w:asciiTheme="majorHAnsi" w:hAnsiTheme="majorHAnsi" w:cstheme="majorHAnsi"/>
          <w:color w:val="0D0D0D" w:themeColor="text1" w:themeTint="F2"/>
          <w:sz w:val="24"/>
        </w:rPr>
        <w:t>heltuieli</w:t>
      </w:r>
      <w:r w:rsidRPr="00F34E9D">
        <w:rPr>
          <w:rFonts w:asciiTheme="majorHAnsi" w:hAnsiTheme="majorHAnsi" w:cstheme="majorHAnsi"/>
          <w:color w:val="0D0D0D" w:themeColor="text1" w:themeTint="F2"/>
          <w:sz w:val="24"/>
        </w:rPr>
        <w:t>le</w:t>
      </w:r>
      <w:r w:rsidR="00B55C20" w:rsidRPr="00F34E9D">
        <w:rPr>
          <w:rFonts w:asciiTheme="majorHAnsi" w:hAnsiTheme="majorHAnsi" w:cstheme="majorHAnsi"/>
          <w:color w:val="0D0D0D" w:themeColor="text1" w:themeTint="F2"/>
          <w:sz w:val="24"/>
        </w:rPr>
        <w:t xml:space="preserve"> efective</w:t>
      </w:r>
      <w:r w:rsidR="000F6005" w:rsidRPr="00F34E9D">
        <w:rPr>
          <w:rFonts w:asciiTheme="majorHAnsi" w:hAnsiTheme="majorHAnsi" w:cstheme="majorHAnsi"/>
          <w:color w:val="0D0D0D" w:themeColor="text1" w:themeTint="F2"/>
          <w:sz w:val="24"/>
        </w:rPr>
        <w:t>,</w:t>
      </w:r>
      <w:r w:rsidR="00B55C20" w:rsidRPr="00F34E9D">
        <w:rPr>
          <w:rFonts w:asciiTheme="majorHAnsi" w:hAnsiTheme="majorHAnsi" w:cstheme="majorHAnsi"/>
          <w:color w:val="0D0D0D" w:themeColor="text1" w:themeTint="F2"/>
          <w:sz w:val="24"/>
        </w:rPr>
        <w:t xml:space="preserve"> </w:t>
      </w:r>
      <w:r w:rsidRPr="00F34E9D">
        <w:rPr>
          <w:rFonts w:asciiTheme="majorHAnsi" w:hAnsiTheme="majorHAnsi" w:cstheme="majorHAnsi"/>
          <w:color w:val="0D0D0D" w:themeColor="text1" w:themeTint="F2"/>
          <w:sz w:val="24"/>
        </w:rPr>
        <w:t xml:space="preserve">respectiv </w:t>
      </w:r>
      <w:r w:rsidR="00B55C20" w:rsidRPr="00F34E9D">
        <w:rPr>
          <w:rFonts w:asciiTheme="majorHAnsi" w:hAnsiTheme="majorHAnsi" w:cstheme="majorHAnsi"/>
          <w:color w:val="0D0D0D" w:themeColor="text1" w:themeTint="F2"/>
          <w:sz w:val="24"/>
        </w:rPr>
        <w:t>8,6</w:t>
      </w:r>
      <w:r w:rsidR="00A8666C" w:rsidRPr="00F34E9D">
        <w:rPr>
          <w:rFonts w:asciiTheme="majorHAnsi" w:hAnsiTheme="majorHAnsi" w:cstheme="majorHAnsi"/>
          <w:color w:val="0D0D0D" w:themeColor="text1" w:themeTint="F2"/>
          <w:sz w:val="24"/>
        </w:rPr>
        <w:t xml:space="preserve">4 </w:t>
      </w:r>
      <w:r w:rsidR="00B55C20" w:rsidRPr="00F34E9D">
        <w:rPr>
          <w:rFonts w:asciiTheme="majorHAnsi" w:hAnsiTheme="majorHAnsi" w:cstheme="majorHAnsi"/>
          <w:color w:val="0D0D0D" w:themeColor="text1" w:themeTint="F2"/>
          <w:sz w:val="24"/>
        </w:rPr>
        <w:t>mil. lei</w:t>
      </w:r>
      <w:r w:rsidR="000F6005" w:rsidRPr="00F34E9D">
        <w:rPr>
          <w:rFonts w:asciiTheme="majorHAnsi" w:hAnsiTheme="majorHAnsi" w:cstheme="majorHAnsi"/>
          <w:color w:val="0D0D0D" w:themeColor="text1" w:themeTint="F2"/>
          <w:sz w:val="24"/>
        </w:rPr>
        <w:t>,</w:t>
      </w:r>
      <w:r w:rsidR="00B55C20" w:rsidRPr="00F34E9D">
        <w:rPr>
          <w:rFonts w:asciiTheme="majorHAnsi" w:hAnsiTheme="majorHAnsi" w:cstheme="majorHAnsi"/>
          <w:color w:val="0D0D0D" w:themeColor="text1" w:themeTint="F2"/>
          <w:sz w:val="24"/>
        </w:rPr>
        <w:t xml:space="preserve"> </w:t>
      </w:r>
      <w:r w:rsidRPr="00F34E9D">
        <w:rPr>
          <w:rFonts w:asciiTheme="majorHAnsi" w:hAnsiTheme="majorHAnsi" w:cstheme="majorHAnsi"/>
          <w:color w:val="0D0D0D" w:themeColor="text1" w:themeTint="F2"/>
          <w:sz w:val="24"/>
        </w:rPr>
        <w:t>sau 56,1</w:t>
      </w:r>
      <w:r w:rsidR="00B55C20" w:rsidRPr="00F34E9D">
        <w:rPr>
          <w:rFonts w:asciiTheme="majorHAnsi" w:hAnsiTheme="majorHAnsi" w:cstheme="majorHAnsi"/>
          <w:color w:val="0D0D0D" w:themeColor="text1" w:themeTint="F2"/>
          <w:sz w:val="24"/>
        </w:rPr>
        <w:t xml:space="preserve">%. </w:t>
      </w:r>
    </w:p>
    <w:p w14:paraId="67D89BB9" w14:textId="2D131819" w:rsidR="00B55C20" w:rsidRPr="00F34E9D" w:rsidRDefault="00D868F0">
      <w:pPr>
        <w:spacing w:after="40" w:line="276" w:lineRule="auto"/>
        <w:jc w:val="both"/>
        <w:rPr>
          <w:rFonts w:asciiTheme="majorHAnsi" w:hAnsiTheme="majorHAnsi" w:cstheme="majorHAnsi"/>
          <w:color w:val="0D0D0D" w:themeColor="text1" w:themeTint="F2"/>
          <w:sz w:val="24"/>
        </w:rPr>
      </w:pPr>
      <w:r w:rsidRPr="00F34E9D">
        <w:rPr>
          <w:rFonts w:asciiTheme="majorHAnsi" w:hAnsiTheme="majorHAnsi" w:cstheme="majorHAnsi"/>
          <w:color w:val="0D0D0D" w:themeColor="text1" w:themeTint="F2"/>
          <w:sz w:val="24"/>
        </w:rPr>
        <w:t>Alocările</w:t>
      </w:r>
      <w:r w:rsidR="00B55C20" w:rsidRPr="00F34E9D">
        <w:rPr>
          <w:rFonts w:asciiTheme="majorHAnsi" w:hAnsiTheme="majorHAnsi" w:cstheme="majorHAnsi"/>
          <w:color w:val="0D0D0D" w:themeColor="text1" w:themeTint="F2"/>
          <w:sz w:val="24"/>
        </w:rPr>
        <w:t xml:space="preserve"> pentru „</w:t>
      </w:r>
      <w:r w:rsidR="00B55C20" w:rsidRPr="00F34E9D">
        <w:rPr>
          <w:rFonts w:asciiTheme="majorHAnsi" w:hAnsiTheme="majorHAnsi" w:cstheme="majorHAnsi"/>
          <w:i/>
          <w:color w:val="0D0D0D" w:themeColor="text1" w:themeTint="F2"/>
          <w:sz w:val="24"/>
        </w:rPr>
        <w:t xml:space="preserve">Activități sportive” </w:t>
      </w:r>
      <w:r w:rsidRPr="00F34E9D">
        <w:rPr>
          <w:rFonts w:asciiTheme="majorHAnsi" w:hAnsiTheme="majorHAnsi" w:cstheme="majorHAnsi"/>
          <w:color w:val="0D0D0D" w:themeColor="text1" w:themeTint="F2"/>
          <w:sz w:val="24"/>
        </w:rPr>
        <w:t xml:space="preserve">au înregistrat </w:t>
      </w:r>
      <w:r w:rsidR="00B55C20" w:rsidRPr="00F34E9D">
        <w:rPr>
          <w:rFonts w:asciiTheme="majorHAnsi" w:hAnsiTheme="majorHAnsi" w:cstheme="majorHAnsi"/>
          <w:color w:val="0D0D0D" w:themeColor="text1" w:themeTint="F2"/>
          <w:sz w:val="24"/>
        </w:rPr>
        <w:t>4,88 mil. lei</w:t>
      </w:r>
      <w:r w:rsidR="000F6005" w:rsidRPr="00F34E9D">
        <w:rPr>
          <w:rFonts w:asciiTheme="majorHAnsi" w:hAnsiTheme="majorHAnsi" w:cstheme="majorHAnsi"/>
          <w:color w:val="0D0D0D" w:themeColor="text1" w:themeTint="F2"/>
          <w:sz w:val="24"/>
        </w:rPr>
        <w:t>,</w:t>
      </w:r>
      <w:r w:rsidR="00B55C20" w:rsidRPr="00F34E9D">
        <w:rPr>
          <w:rFonts w:asciiTheme="majorHAnsi" w:hAnsiTheme="majorHAnsi" w:cstheme="majorHAnsi"/>
          <w:color w:val="0D0D0D" w:themeColor="text1" w:themeTint="F2"/>
          <w:sz w:val="24"/>
        </w:rPr>
        <w:t xml:space="preserve"> </w:t>
      </w:r>
      <w:r w:rsidRPr="00F34E9D">
        <w:rPr>
          <w:rFonts w:asciiTheme="majorHAnsi" w:hAnsiTheme="majorHAnsi" w:cstheme="majorHAnsi"/>
          <w:color w:val="0D0D0D" w:themeColor="text1" w:themeTint="F2"/>
          <w:sz w:val="24"/>
        </w:rPr>
        <w:t>sau</w:t>
      </w:r>
      <w:r w:rsidR="00B55C20" w:rsidRPr="00F34E9D">
        <w:rPr>
          <w:rFonts w:asciiTheme="majorHAnsi" w:hAnsiTheme="majorHAnsi" w:cstheme="majorHAnsi"/>
          <w:color w:val="0D0D0D" w:themeColor="text1" w:themeTint="F2"/>
          <w:sz w:val="24"/>
        </w:rPr>
        <w:t xml:space="preserve"> 50,2% din totalul subvențiilor acordate, urmate de subvenții</w:t>
      </w:r>
      <w:r w:rsidR="000F6005" w:rsidRPr="00F34E9D">
        <w:rPr>
          <w:rFonts w:asciiTheme="majorHAnsi" w:hAnsiTheme="majorHAnsi" w:cstheme="majorHAnsi"/>
          <w:color w:val="0D0D0D" w:themeColor="text1" w:themeTint="F2"/>
          <w:sz w:val="24"/>
        </w:rPr>
        <w:t>le</w:t>
      </w:r>
      <w:r w:rsidR="00B55C20" w:rsidRPr="00F34E9D">
        <w:rPr>
          <w:rFonts w:asciiTheme="majorHAnsi" w:hAnsiTheme="majorHAnsi" w:cstheme="majorHAnsi"/>
          <w:color w:val="0D0D0D" w:themeColor="text1" w:themeTint="F2"/>
          <w:sz w:val="24"/>
        </w:rPr>
        <w:t xml:space="preserve"> pentru „Activitățile pentru tineret” – de 4,19 mil. lei</w:t>
      </w:r>
      <w:r w:rsidR="000F6005" w:rsidRPr="00F34E9D">
        <w:rPr>
          <w:rFonts w:asciiTheme="majorHAnsi" w:hAnsiTheme="majorHAnsi" w:cstheme="majorHAnsi"/>
          <w:color w:val="0D0D0D" w:themeColor="text1" w:themeTint="F2"/>
          <w:sz w:val="24"/>
        </w:rPr>
        <w:t>,</w:t>
      </w:r>
      <w:r w:rsidR="00B55C20" w:rsidRPr="00F34E9D">
        <w:rPr>
          <w:rFonts w:asciiTheme="majorHAnsi" w:hAnsiTheme="majorHAnsi" w:cstheme="majorHAnsi"/>
          <w:color w:val="0D0D0D" w:themeColor="text1" w:themeTint="F2"/>
          <w:sz w:val="24"/>
        </w:rPr>
        <w:t xml:space="preserve"> ori 43,1%.</w:t>
      </w:r>
    </w:p>
    <w:p w14:paraId="7BDAF2D4" w14:textId="1F72C69A" w:rsidR="00B55C20" w:rsidRPr="00F34E9D" w:rsidRDefault="00B55C20">
      <w:pPr>
        <w:spacing w:after="40" w:line="276" w:lineRule="auto"/>
        <w:jc w:val="both"/>
        <w:rPr>
          <w:rFonts w:asciiTheme="majorHAnsi" w:hAnsiTheme="majorHAnsi" w:cstheme="majorHAnsi"/>
          <w:color w:val="0D0D0D" w:themeColor="text1" w:themeTint="F2"/>
          <w:sz w:val="24"/>
        </w:rPr>
      </w:pPr>
      <w:r w:rsidRPr="00F34E9D">
        <w:rPr>
          <w:rFonts w:asciiTheme="majorHAnsi" w:hAnsiTheme="majorHAnsi" w:cstheme="majorHAnsi"/>
          <w:color w:val="0D0D0D" w:themeColor="text1" w:themeTint="F2"/>
          <w:sz w:val="24"/>
        </w:rPr>
        <w:t>Menționăm că valoarea creanțelor aferente subsidiilor acordate organizațiilor obștești (253000) pentru activități sportive</w:t>
      </w:r>
      <w:r w:rsidR="000F6005" w:rsidRPr="00F34E9D">
        <w:rPr>
          <w:rFonts w:asciiTheme="majorHAnsi" w:hAnsiTheme="majorHAnsi" w:cstheme="majorHAnsi"/>
          <w:color w:val="0D0D0D" w:themeColor="text1" w:themeTint="F2"/>
          <w:sz w:val="24"/>
        </w:rPr>
        <w:t>,</w:t>
      </w:r>
      <w:r w:rsidRPr="00F34E9D">
        <w:rPr>
          <w:rFonts w:asciiTheme="majorHAnsi" w:hAnsiTheme="majorHAnsi" w:cstheme="majorHAnsi"/>
          <w:color w:val="0D0D0D" w:themeColor="text1" w:themeTint="F2"/>
          <w:sz w:val="24"/>
        </w:rPr>
        <w:t xml:space="preserve"> înregistrate la 01.01.2021 </w:t>
      </w:r>
      <w:r w:rsidR="00A17F73" w:rsidRPr="00F34E9D">
        <w:rPr>
          <w:rFonts w:asciiTheme="majorHAnsi" w:hAnsiTheme="majorHAnsi" w:cstheme="majorHAnsi"/>
          <w:color w:val="0D0D0D" w:themeColor="text1" w:themeTint="F2"/>
          <w:sz w:val="24"/>
        </w:rPr>
        <w:t>în sumă</w:t>
      </w:r>
      <w:r w:rsidRPr="00F34E9D">
        <w:rPr>
          <w:rFonts w:asciiTheme="majorHAnsi" w:hAnsiTheme="majorHAnsi" w:cstheme="majorHAnsi"/>
          <w:color w:val="0D0D0D" w:themeColor="text1" w:themeTint="F2"/>
          <w:sz w:val="24"/>
        </w:rPr>
        <w:t xml:space="preserve"> de </w:t>
      </w:r>
      <w:r w:rsidR="000013A1" w:rsidRPr="00F34E9D">
        <w:rPr>
          <w:rFonts w:asciiTheme="majorHAnsi" w:hAnsiTheme="majorHAnsi" w:cstheme="majorHAnsi"/>
          <w:color w:val="0D0D0D" w:themeColor="text1" w:themeTint="F2"/>
          <w:sz w:val="24"/>
        </w:rPr>
        <w:t xml:space="preserve">54,8 mil. </w:t>
      </w:r>
      <w:r w:rsidRPr="00F34E9D">
        <w:rPr>
          <w:rFonts w:asciiTheme="majorHAnsi" w:hAnsiTheme="majorHAnsi" w:cstheme="majorHAnsi"/>
          <w:color w:val="0D0D0D" w:themeColor="text1" w:themeTint="F2"/>
          <w:sz w:val="24"/>
        </w:rPr>
        <w:t>lei</w:t>
      </w:r>
      <w:r w:rsidRPr="00F34E9D">
        <w:rPr>
          <w:rStyle w:val="a7"/>
          <w:rFonts w:asciiTheme="majorHAnsi" w:hAnsiTheme="majorHAnsi" w:cstheme="majorHAnsi"/>
          <w:color w:val="0D0D0D" w:themeColor="text1" w:themeTint="F2"/>
          <w:sz w:val="24"/>
        </w:rPr>
        <w:footnoteReference w:id="51"/>
      </w:r>
      <w:r w:rsidR="000F6005" w:rsidRPr="00F34E9D">
        <w:rPr>
          <w:rFonts w:asciiTheme="majorHAnsi" w:hAnsiTheme="majorHAnsi" w:cstheme="majorHAnsi"/>
          <w:color w:val="0D0D0D" w:themeColor="text1" w:themeTint="F2"/>
          <w:sz w:val="24"/>
        </w:rPr>
        <w:t>,</w:t>
      </w:r>
      <w:r w:rsidRPr="00F34E9D">
        <w:rPr>
          <w:rFonts w:asciiTheme="majorHAnsi" w:hAnsiTheme="majorHAnsi" w:cstheme="majorHAnsi"/>
          <w:color w:val="0D0D0D" w:themeColor="text1" w:themeTint="F2"/>
          <w:sz w:val="24"/>
        </w:rPr>
        <w:t xml:space="preserve"> s</w:t>
      </w:r>
      <w:r w:rsidR="00D868F0" w:rsidRPr="00F34E9D">
        <w:rPr>
          <w:rFonts w:asciiTheme="majorHAnsi" w:hAnsiTheme="majorHAnsi" w:cstheme="majorHAnsi"/>
          <w:color w:val="0D0D0D" w:themeColor="text1" w:themeTint="F2"/>
          <w:sz w:val="24"/>
        </w:rPr>
        <w:t>-a majorat</w:t>
      </w:r>
      <w:r w:rsidRPr="00F34E9D">
        <w:rPr>
          <w:rFonts w:asciiTheme="majorHAnsi" w:hAnsiTheme="majorHAnsi" w:cstheme="majorHAnsi"/>
          <w:color w:val="0D0D0D" w:themeColor="text1" w:themeTint="F2"/>
          <w:sz w:val="24"/>
        </w:rPr>
        <w:t xml:space="preserve"> </w:t>
      </w:r>
      <w:r w:rsidR="00A17F73" w:rsidRPr="00F34E9D">
        <w:rPr>
          <w:rFonts w:asciiTheme="majorHAnsi" w:hAnsiTheme="majorHAnsi" w:cstheme="majorHAnsi"/>
          <w:color w:val="0D0D0D" w:themeColor="text1" w:themeTint="F2"/>
          <w:sz w:val="24"/>
        </w:rPr>
        <w:t xml:space="preserve">la 31.12.2021 </w:t>
      </w:r>
      <w:r w:rsidRPr="00F34E9D">
        <w:rPr>
          <w:rFonts w:asciiTheme="majorHAnsi" w:hAnsiTheme="majorHAnsi" w:cstheme="majorHAnsi"/>
          <w:color w:val="0D0D0D" w:themeColor="text1" w:themeTint="F2"/>
          <w:sz w:val="24"/>
        </w:rPr>
        <w:t xml:space="preserve">cu </w:t>
      </w:r>
      <w:r w:rsidR="000013A1" w:rsidRPr="00F34E9D">
        <w:rPr>
          <w:rFonts w:asciiTheme="majorHAnsi" w:hAnsiTheme="majorHAnsi" w:cstheme="majorHAnsi"/>
          <w:color w:val="0D0D0D" w:themeColor="text1" w:themeTint="F2"/>
          <w:sz w:val="24"/>
        </w:rPr>
        <w:t xml:space="preserve">16,65 mil. </w:t>
      </w:r>
      <w:r w:rsidRPr="00F34E9D">
        <w:rPr>
          <w:rFonts w:asciiTheme="majorHAnsi" w:hAnsiTheme="majorHAnsi" w:cstheme="majorHAnsi"/>
          <w:color w:val="0D0D0D" w:themeColor="text1" w:themeTint="F2"/>
          <w:sz w:val="24"/>
        </w:rPr>
        <w:t>lei</w:t>
      </w:r>
      <w:r w:rsidR="000F6005" w:rsidRPr="00F34E9D">
        <w:rPr>
          <w:rFonts w:asciiTheme="majorHAnsi" w:hAnsiTheme="majorHAnsi" w:cstheme="majorHAnsi"/>
          <w:color w:val="0D0D0D" w:themeColor="text1" w:themeTint="F2"/>
          <w:sz w:val="24"/>
        </w:rPr>
        <w:t>, sau</w:t>
      </w:r>
      <w:r w:rsidRPr="00F34E9D">
        <w:rPr>
          <w:rFonts w:asciiTheme="majorHAnsi" w:hAnsiTheme="majorHAnsi" w:cstheme="majorHAnsi"/>
          <w:color w:val="0D0D0D" w:themeColor="text1" w:themeTint="F2"/>
          <w:sz w:val="24"/>
        </w:rPr>
        <w:t xml:space="preserve"> </w:t>
      </w:r>
      <w:r w:rsidR="00A17F73" w:rsidRPr="00F34E9D">
        <w:rPr>
          <w:rFonts w:asciiTheme="majorHAnsi" w:hAnsiTheme="majorHAnsi" w:cstheme="majorHAnsi"/>
          <w:color w:val="0D0D0D" w:themeColor="text1" w:themeTint="F2"/>
          <w:sz w:val="24"/>
        </w:rPr>
        <w:t>p</w:t>
      </w:r>
      <w:r w:rsidR="000F6005" w:rsidRPr="00F34E9D">
        <w:rPr>
          <w:rFonts w:asciiTheme="majorHAnsi" w:hAnsiTheme="majorHAnsi" w:cstheme="majorHAnsi"/>
          <w:color w:val="0D0D0D" w:themeColor="text1" w:themeTint="F2"/>
          <w:sz w:val="24"/>
        </w:rPr>
        <w:t>â</w:t>
      </w:r>
      <w:r w:rsidR="00A17F73" w:rsidRPr="00F34E9D">
        <w:rPr>
          <w:rFonts w:asciiTheme="majorHAnsi" w:hAnsiTheme="majorHAnsi" w:cstheme="majorHAnsi"/>
          <w:color w:val="0D0D0D" w:themeColor="text1" w:themeTint="F2"/>
          <w:sz w:val="24"/>
        </w:rPr>
        <w:t xml:space="preserve">nă la </w:t>
      </w:r>
      <w:r w:rsidR="00072883" w:rsidRPr="00F34E9D">
        <w:rPr>
          <w:rFonts w:asciiTheme="majorHAnsi" w:hAnsiTheme="majorHAnsi" w:cstheme="majorHAnsi"/>
          <w:color w:val="0D0D0D" w:themeColor="text1" w:themeTint="F2"/>
          <w:sz w:val="24"/>
        </w:rPr>
        <w:t>71,46 mil.</w:t>
      </w:r>
      <w:r w:rsidR="00D868F0" w:rsidRPr="00F34E9D">
        <w:rPr>
          <w:rFonts w:asciiTheme="majorHAnsi" w:hAnsiTheme="majorHAnsi" w:cstheme="majorHAnsi"/>
          <w:color w:val="0D0D0D" w:themeColor="text1" w:themeTint="F2"/>
          <w:sz w:val="24"/>
        </w:rPr>
        <w:t xml:space="preserve"> lei</w:t>
      </w:r>
      <w:r w:rsidRPr="00F34E9D">
        <w:rPr>
          <w:rFonts w:asciiTheme="majorHAnsi" w:hAnsiTheme="majorHAnsi" w:cstheme="majorHAnsi"/>
          <w:color w:val="0D0D0D" w:themeColor="text1" w:themeTint="F2"/>
          <w:sz w:val="24"/>
        </w:rPr>
        <w:t xml:space="preserve">. </w:t>
      </w:r>
    </w:p>
    <w:p w14:paraId="19A29B11" w14:textId="1139BB7E" w:rsidR="00B55C20" w:rsidRPr="00F34E9D" w:rsidRDefault="00D868F0">
      <w:pPr>
        <w:spacing w:after="40" w:line="276" w:lineRule="auto"/>
        <w:jc w:val="both"/>
        <w:rPr>
          <w:rFonts w:asciiTheme="majorHAnsi" w:hAnsiTheme="majorHAnsi" w:cstheme="majorHAnsi"/>
          <w:color w:val="0D0D0D" w:themeColor="text1" w:themeTint="F2"/>
          <w:sz w:val="24"/>
        </w:rPr>
      </w:pPr>
      <w:r w:rsidRPr="00F34E9D">
        <w:rPr>
          <w:rFonts w:asciiTheme="majorHAnsi" w:hAnsiTheme="majorHAnsi" w:cstheme="majorHAnsi"/>
          <w:color w:val="0D0D0D" w:themeColor="text1" w:themeTint="F2"/>
          <w:sz w:val="24"/>
        </w:rPr>
        <w:t>L</w:t>
      </w:r>
      <w:r w:rsidR="00B55C20" w:rsidRPr="00F34E9D">
        <w:rPr>
          <w:rFonts w:asciiTheme="majorHAnsi" w:hAnsiTheme="majorHAnsi" w:cstheme="majorHAnsi"/>
          <w:color w:val="0D0D0D" w:themeColor="text1" w:themeTint="F2"/>
          <w:sz w:val="24"/>
        </w:rPr>
        <w:t>a 31 decembrie 2021, 11 beneficiari</w:t>
      </w:r>
      <w:r w:rsidRPr="00F34E9D">
        <w:rPr>
          <w:rFonts w:asciiTheme="majorHAnsi" w:hAnsiTheme="majorHAnsi" w:cstheme="majorHAnsi"/>
          <w:color w:val="0D0D0D" w:themeColor="text1" w:themeTint="F2"/>
          <w:sz w:val="24"/>
        </w:rPr>
        <w:t xml:space="preserve"> de subvenții</w:t>
      </w:r>
      <w:r w:rsidR="00B55C20" w:rsidRPr="00F34E9D">
        <w:rPr>
          <w:rFonts w:asciiTheme="majorHAnsi" w:hAnsiTheme="majorHAnsi" w:cstheme="majorHAnsi"/>
          <w:color w:val="0D0D0D" w:themeColor="text1" w:themeTint="F2"/>
          <w:sz w:val="24"/>
        </w:rPr>
        <w:t xml:space="preserve"> din 51 nu au depus rapoarte privind subvențiile primite la 31 decembrie 2020, în sumă de </w:t>
      </w:r>
      <w:r w:rsidR="000013A1" w:rsidRPr="00F34E9D">
        <w:rPr>
          <w:rFonts w:asciiTheme="majorHAnsi" w:hAnsiTheme="majorHAnsi" w:cstheme="majorHAnsi"/>
          <w:color w:val="0D0D0D" w:themeColor="text1" w:themeTint="F2"/>
          <w:sz w:val="24"/>
        </w:rPr>
        <w:t xml:space="preserve">34,75 mil. </w:t>
      </w:r>
      <w:r w:rsidR="00B55C20" w:rsidRPr="00F34E9D">
        <w:rPr>
          <w:rFonts w:asciiTheme="majorHAnsi" w:hAnsiTheme="majorHAnsi" w:cstheme="majorHAnsi"/>
          <w:color w:val="0D0D0D" w:themeColor="text1" w:themeTint="F2"/>
          <w:sz w:val="24"/>
        </w:rPr>
        <w:t>lei, d</w:t>
      </w:r>
      <w:r w:rsidR="00207761" w:rsidRPr="00F34E9D">
        <w:rPr>
          <w:rFonts w:asciiTheme="majorHAnsi" w:hAnsiTheme="majorHAnsi" w:cstheme="majorHAnsi"/>
          <w:color w:val="0D0D0D" w:themeColor="text1" w:themeTint="F2"/>
          <w:sz w:val="24"/>
        </w:rPr>
        <w:t xml:space="preserve">in care </w:t>
      </w:r>
      <w:r w:rsidR="000013A1" w:rsidRPr="00F34E9D">
        <w:rPr>
          <w:rFonts w:asciiTheme="majorHAnsi" w:hAnsiTheme="majorHAnsi" w:cstheme="majorHAnsi"/>
          <w:color w:val="0D0D0D" w:themeColor="text1" w:themeTint="F2"/>
          <w:sz w:val="24"/>
        </w:rPr>
        <w:t xml:space="preserve">16,58 mil. </w:t>
      </w:r>
      <w:r w:rsidR="00207761" w:rsidRPr="00F34E9D">
        <w:rPr>
          <w:rFonts w:asciiTheme="majorHAnsi" w:hAnsiTheme="majorHAnsi" w:cstheme="majorHAnsi"/>
          <w:color w:val="0D0D0D" w:themeColor="text1" w:themeTint="F2"/>
          <w:sz w:val="24"/>
        </w:rPr>
        <w:t>lei</w:t>
      </w:r>
      <w:r w:rsidRPr="00F34E9D">
        <w:rPr>
          <w:rFonts w:asciiTheme="majorHAnsi" w:hAnsiTheme="majorHAnsi" w:cstheme="majorHAnsi"/>
          <w:color w:val="0D0D0D" w:themeColor="text1" w:themeTint="F2"/>
          <w:sz w:val="24"/>
        </w:rPr>
        <w:t xml:space="preserve"> </w:t>
      </w:r>
      <w:r w:rsidR="00B55C20" w:rsidRPr="00F34E9D">
        <w:rPr>
          <w:rFonts w:asciiTheme="majorHAnsi" w:hAnsiTheme="majorHAnsi" w:cstheme="majorHAnsi"/>
          <w:color w:val="0D0D0D" w:themeColor="text1" w:themeTint="F2"/>
          <w:sz w:val="24"/>
        </w:rPr>
        <w:t xml:space="preserve">aferente subsidiilor </w:t>
      </w:r>
      <w:r w:rsidR="00207761" w:rsidRPr="00F34E9D">
        <w:rPr>
          <w:rFonts w:asciiTheme="majorHAnsi" w:hAnsiTheme="majorHAnsi" w:cstheme="majorHAnsi"/>
          <w:color w:val="0D0D0D" w:themeColor="text1" w:themeTint="F2"/>
          <w:sz w:val="24"/>
        </w:rPr>
        <w:t xml:space="preserve">utilizate </w:t>
      </w:r>
      <w:r w:rsidR="00B55C20" w:rsidRPr="00F34E9D">
        <w:rPr>
          <w:rFonts w:asciiTheme="majorHAnsi" w:hAnsiTheme="majorHAnsi" w:cstheme="majorHAnsi"/>
          <w:color w:val="0D0D0D" w:themeColor="text1" w:themeTint="F2"/>
          <w:sz w:val="24"/>
        </w:rPr>
        <w:t>contrar destinației</w:t>
      </w:r>
      <w:r w:rsidR="00E6578F" w:rsidRPr="00F34E9D">
        <w:rPr>
          <w:rFonts w:asciiTheme="majorHAnsi" w:hAnsiTheme="majorHAnsi" w:cstheme="majorHAnsi"/>
          <w:color w:val="0D0D0D" w:themeColor="text1" w:themeTint="F2"/>
          <w:sz w:val="24"/>
        </w:rPr>
        <w:t xml:space="preserve"> de C</w:t>
      </w:r>
      <w:r w:rsidR="00DE0FF0" w:rsidRPr="00F34E9D">
        <w:rPr>
          <w:rFonts w:asciiTheme="majorHAnsi" w:hAnsiTheme="majorHAnsi" w:cstheme="majorHAnsi"/>
          <w:color w:val="0D0D0D" w:themeColor="text1" w:themeTint="F2"/>
          <w:sz w:val="24"/>
        </w:rPr>
        <w:t xml:space="preserve">omitetul </w:t>
      </w:r>
      <w:r w:rsidR="00E6578F" w:rsidRPr="00F34E9D">
        <w:rPr>
          <w:rFonts w:asciiTheme="majorHAnsi" w:hAnsiTheme="majorHAnsi" w:cstheme="majorHAnsi"/>
          <w:color w:val="0D0D0D" w:themeColor="text1" w:themeTint="F2"/>
          <w:sz w:val="24"/>
        </w:rPr>
        <w:t>N</w:t>
      </w:r>
      <w:r w:rsidR="00DE0FF0" w:rsidRPr="00F34E9D">
        <w:rPr>
          <w:rFonts w:asciiTheme="majorHAnsi" w:hAnsiTheme="majorHAnsi" w:cstheme="majorHAnsi"/>
          <w:color w:val="0D0D0D" w:themeColor="text1" w:themeTint="F2"/>
          <w:sz w:val="24"/>
        </w:rPr>
        <w:t xml:space="preserve">ațional </w:t>
      </w:r>
      <w:r w:rsidR="00E6578F" w:rsidRPr="00F34E9D">
        <w:rPr>
          <w:rFonts w:asciiTheme="majorHAnsi" w:hAnsiTheme="majorHAnsi" w:cstheme="majorHAnsi"/>
          <w:color w:val="0D0D0D" w:themeColor="text1" w:themeTint="F2"/>
          <w:sz w:val="24"/>
        </w:rPr>
        <w:t>O</w:t>
      </w:r>
      <w:r w:rsidR="00DE0FF0" w:rsidRPr="00F34E9D">
        <w:rPr>
          <w:rFonts w:asciiTheme="majorHAnsi" w:hAnsiTheme="majorHAnsi" w:cstheme="majorHAnsi"/>
          <w:color w:val="0D0D0D" w:themeColor="text1" w:themeTint="F2"/>
          <w:sz w:val="24"/>
        </w:rPr>
        <w:t xml:space="preserve">limpic și </w:t>
      </w:r>
      <w:r w:rsidR="00E6578F" w:rsidRPr="00F34E9D">
        <w:rPr>
          <w:rFonts w:asciiTheme="majorHAnsi" w:hAnsiTheme="majorHAnsi" w:cstheme="majorHAnsi"/>
          <w:color w:val="0D0D0D" w:themeColor="text1" w:themeTint="F2"/>
          <w:sz w:val="24"/>
        </w:rPr>
        <w:t>S</w:t>
      </w:r>
      <w:r w:rsidR="00DE0FF0" w:rsidRPr="00F34E9D">
        <w:rPr>
          <w:rFonts w:asciiTheme="majorHAnsi" w:hAnsiTheme="majorHAnsi" w:cstheme="majorHAnsi"/>
          <w:color w:val="0D0D0D" w:themeColor="text1" w:themeTint="F2"/>
          <w:sz w:val="24"/>
        </w:rPr>
        <w:t>portiv din RM</w:t>
      </w:r>
      <w:r w:rsidR="000832C2" w:rsidRPr="00F34E9D">
        <w:rPr>
          <w:rFonts w:asciiTheme="majorHAnsi" w:hAnsiTheme="majorHAnsi" w:cstheme="majorHAnsi"/>
          <w:color w:val="0D0D0D" w:themeColor="text1" w:themeTint="F2"/>
          <w:sz w:val="24"/>
        </w:rPr>
        <w:t xml:space="preserve"> (menționat în auditul precedent)</w:t>
      </w:r>
      <w:r w:rsidR="00E6578F" w:rsidRPr="00F34E9D">
        <w:rPr>
          <w:rFonts w:asciiTheme="majorHAnsi" w:hAnsiTheme="majorHAnsi" w:cstheme="majorHAnsi"/>
          <w:color w:val="0D0D0D" w:themeColor="text1" w:themeTint="F2"/>
          <w:sz w:val="24"/>
        </w:rPr>
        <w:t>.</w:t>
      </w:r>
      <w:r w:rsidR="00B55C20" w:rsidRPr="00F34E9D">
        <w:rPr>
          <w:rFonts w:asciiTheme="majorHAnsi" w:hAnsiTheme="majorHAnsi" w:cstheme="majorHAnsi"/>
          <w:color w:val="0D0D0D" w:themeColor="text1" w:themeTint="F2"/>
          <w:sz w:val="24"/>
        </w:rPr>
        <w:t xml:space="preserve"> </w:t>
      </w:r>
    </w:p>
    <w:p w14:paraId="0E238BF5" w14:textId="04D9C481" w:rsidR="00B55C20" w:rsidRPr="00F34E9D" w:rsidRDefault="00B55C20">
      <w:pPr>
        <w:spacing w:after="40" w:line="276" w:lineRule="auto"/>
        <w:jc w:val="both"/>
        <w:rPr>
          <w:rFonts w:asciiTheme="majorHAnsi" w:hAnsiTheme="majorHAnsi" w:cstheme="majorHAnsi"/>
          <w:color w:val="0D0D0D" w:themeColor="text1" w:themeTint="F2"/>
          <w:sz w:val="24"/>
        </w:rPr>
      </w:pPr>
      <w:r w:rsidRPr="00F34E9D">
        <w:rPr>
          <w:rFonts w:asciiTheme="majorHAnsi" w:hAnsiTheme="majorHAnsi" w:cstheme="majorHAnsi"/>
          <w:color w:val="0D0D0D" w:themeColor="text1" w:themeTint="F2"/>
          <w:sz w:val="24"/>
        </w:rPr>
        <w:t>Contracte</w:t>
      </w:r>
      <w:r w:rsidR="000013A1" w:rsidRPr="00F34E9D">
        <w:rPr>
          <w:rFonts w:asciiTheme="majorHAnsi" w:hAnsiTheme="majorHAnsi" w:cstheme="majorHAnsi"/>
          <w:color w:val="0D0D0D" w:themeColor="text1" w:themeTint="F2"/>
          <w:sz w:val="24"/>
        </w:rPr>
        <w:t>le</w:t>
      </w:r>
      <w:r w:rsidRPr="00F34E9D">
        <w:rPr>
          <w:rFonts w:asciiTheme="majorHAnsi" w:hAnsiTheme="majorHAnsi" w:cstheme="majorHAnsi"/>
          <w:color w:val="0D0D0D" w:themeColor="text1" w:themeTint="F2"/>
          <w:sz w:val="24"/>
        </w:rPr>
        <w:t xml:space="preserve"> de colaborare, semnate de MECC</w:t>
      </w:r>
      <w:r w:rsidR="002B16D4" w:rsidRPr="00F34E9D">
        <w:rPr>
          <w:rFonts w:asciiTheme="majorHAnsi" w:hAnsiTheme="majorHAnsi" w:cstheme="majorHAnsi"/>
          <w:color w:val="0D0D0D" w:themeColor="text1" w:themeTint="F2"/>
          <w:sz w:val="24"/>
        </w:rPr>
        <w:t>/MEC</w:t>
      </w:r>
      <w:r w:rsidRPr="00F34E9D">
        <w:rPr>
          <w:rFonts w:asciiTheme="majorHAnsi" w:hAnsiTheme="majorHAnsi" w:cstheme="majorHAnsi"/>
          <w:color w:val="0D0D0D" w:themeColor="text1" w:themeTint="F2"/>
          <w:sz w:val="24"/>
        </w:rPr>
        <w:t xml:space="preserve"> și organizațiile obștești beneficiare de subvenții</w:t>
      </w:r>
      <w:r w:rsidR="000F6005" w:rsidRPr="00F34E9D">
        <w:rPr>
          <w:rFonts w:asciiTheme="majorHAnsi" w:hAnsiTheme="majorHAnsi" w:cstheme="majorHAnsi"/>
          <w:color w:val="0D0D0D" w:themeColor="text1" w:themeTint="F2"/>
          <w:sz w:val="24"/>
        </w:rPr>
        <w:t>,</w:t>
      </w:r>
      <w:r w:rsidRPr="00F34E9D">
        <w:rPr>
          <w:rFonts w:asciiTheme="majorHAnsi" w:hAnsiTheme="majorHAnsi" w:cstheme="majorHAnsi"/>
          <w:color w:val="0D0D0D" w:themeColor="text1" w:themeTint="F2"/>
          <w:sz w:val="24"/>
        </w:rPr>
        <w:t xml:space="preserve"> nu prevăd termenele de depunere a rapoartelor privind gestionarea subvențiilor primite și </w:t>
      </w:r>
      <w:r w:rsidR="00F309A5" w:rsidRPr="00F34E9D">
        <w:rPr>
          <w:rFonts w:asciiTheme="majorHAnsi" w:hAnsiTheme="majorHAnsi" w:cstheme="majorHAnsi"/>
          <w:color w:val="0D0D0D" w:themeColor="text1" w:themeTint="F2"/>
          <w:sz w:val="24"/>
        </w:rPr>
        <w:t xml:space="preserve">gestionarea </w:t>
      </w:r>
      <w:r w:rsidRPr="00F34E9D">
        <w:rPr>
          <w:rFonts w:asciiTheme="majorHAnsi" w:hAnsiTheme="majorHAnsi" w:cstheme="majorHAnsi"/>
          <w:color w:val="0D0D0D" w:themeColor="text1" w:themeTint="F2"/>
          <w:sz w:val="24"/>
        </w:rPr>
        <w:t>soldurilor neutilizate. Aceasta a condus la înregistrarea</w:t>
      </w:r>
      <w:r w:rsidR="000F6005" w:rsidRPr="00F34E9D">
        <w:rPr>
          <w:rFonts w:asciiTheme="majorHAnsi" w:hAnsiTheme="majorHAnsi" w:cstheme="majorHAnsi"/>
          <w:color w:val="0D0D0D" w:themeColor="text1" w:themeTint="F2"/>
          <w:sz w:val="24"/>
        </w:rPr>
        <w:t>,</w:t>
      </w:r>
      <w:r w:rsidRPr="00F34E9D">
        <w:rPr>
          <w:rFonts w:asciiTheme="majorHAnsi" w:hAnsiTheme="majorHAnsi" w:cstheme="majorHAnsi"/>
          <w:color w:val="0D0D0D" w:themeColor="text1" w:themeTint="F2"/>
          <w:sz w:val="24"/>
        </w:rPr>
        <w:t xml:space="preserve"> la 5 beneficiari </w:t>
      </w:r>
      <w:r w:rsidR="000F6005" w:rsidRPr="00F34E9D">
        <w:rPr>
          <w:rFonts w:asciiTheme="majorHAnsi" w:hAnsiTheme="majorHAnsi" w:cstheme="majorHAnsi"/>
          <w:color w:val="0D0D0D" w:themeColor="text1" w:themeTint="F2"/>
          <w:sz w:val="24"/>
        </w:rPr>
        <w:t>de</w:t>
      </w:r>
      <w:r w:rsidRPr="00F34E9D">
        <w:rPr>
          <w:rFonts w:asciiTheme="majorHAnsi" w:hAnsiTheme="majorHAnsi" w:cstheme="majorHAnsi"/>
          <w:color w:val="0D0D0D" w:themeColor="text1" w:themeTint="F2"/>
          <w:sz w:val="24"/>
        </w:rPr>
        <w:t xml:space="preserve"> subvenții pentru activități sportive, </w:t>
      </w:r>
      <w:r w:rsidR="000F6005" w:rsidRPr="00F34E9D">
        <w:rPr>
          <w:rFonts w:asciiTheme="majorHAnsi" w:hAnsiTheme="majorHAnsi" w:cstheme="majorHAnsi"/>
          <w:color w:val="0D0D0D" w:themeColor="text1" w:themeTint="F2"/>
          <w:sz w:val="24"/>
        </w:rPr>
        <w:t xml:space="preserve">a </w:t>
      </w:r>
      <w:r w:rsidRPr="00F34E9D">
        <w:rPr>
          <w:rFonts w:asciiTheme="majorHAnsi" w:hAnsiTheme="majorHAnsi" w:cstheme="majorHAnsi"/>
          <w:color w:val="0D0D0D" w:themeColor="text1" w:themeTint="F2"/>
          <w:sz w:val="24"/>
        </w:rPr>
        <w:t>cel</w:t>
      </w:r>
      <w:r w:rsidR="000F6005" w:rsidRPr="00F34E9D">
        <w:rPr>
          <w:rFonts w:asciiTheme="majorHAnsi" w:hAnsiTheme="majorHAnsi" w:cstheme="majorHAnsi"/>
          <w:color w:val="0D0D0D" w:themeColor="text1" w:themeTint="F2"/>
          <w:sz w:val="24"/>
        </w:rPr>
        <w:t>ui</w:t>
      </w:r>
      <w:r w:rsidRPr="00F34E9D">
        <w:rPr>
          <w:rFonts w:asciiTheme="majorHAnsi" w:hAnsiTheme="majorHAnsi" w:cstheme="majorHAnsi"/>
          <w:color w:val="0D0D0D" w:themeColor="text1" w:themeTint="F2"/>
          <w:sz w:val="24"/>
        </w:rPr>
        <w:t xml:space="preserve"> mai mare sold de subvenții neutilizate la data de 01.01.2021</w:t>
      </w:r>
      <w:r w:rsidR="000F6005" w:rsidRPr="00F34E9D">
        <w:rPr>
          <w:rFonts w:asciiTheme="majorHAnsi" w:hAnsiTheme="majorHAnsi" w:cstheme="majorHAnsi"/>
          <w:color w:val="0D0D0D" w:themeColor="text1" w:themeTint="F2"/>
          <w:sz w:val="24"/>
        </w:rPr>
        <w:t>,</w:t>
      </w:r>
      <w:r w:rsidRPr="00F34E9D">
        <w:rPr>
          <w:rFonts w:asciiTheme="majorHAnsi" w:hAnsiTheme="majorHAnsi" w:cstheme="majorHAnsi"/>
          <w:color w:val="0D0D0D" w:themeColor="text1" w:themeTint="F2"/>
          <w:sz w:val="24"/>
        </w:rPr>
        <w:t xml:space="preserve"> în sumă de </w:t>
      </w:r>
      <w:r w:rsidR="000013A1" w:rsidRPr="00F34E9D">
        <w:rPr>
          <w:rFonts w:asciiTheme="majorHAnsi" w:hAnsiTheme="majorHAnsi" w:cstheme="majorHAnsi"/>
          <w:color w:val="0D0D0D" w:themeColor="text1" w:themeTint="F2"/>
          <w:sz w:val="24"/>
        </w:rPr>
        <w:t xml:space="preserve">19,77 </w:t>
      </w:r>
      <w:r w:rsidRPr="00F34E9D">
        <w:rPr>
          <w:rFonts w:asciiTheme="majorHAnsi" w:hAnsiTheme="majorHAnsi" w:cstheme="majorHAnsi"/>
          <w:color w:val="0D0D0D" w:themeColor="text1" w:themeTint="F2"/>
          <w:sz w:val="24"/>
        </w:rPr>
        <w:t>mil. lei, precum și creanțe înregistrate pentru aceiași</w:t>
      </w:r>
      <w:r w:rsidR="000013A1" w:rsidRPr="00F34E9D">
        <w:rPr>
          <w:rFonts w:asciiTheme="majorHAnsi" w:hAnsiTheme="majorHAnsi" w:cstheme="majorHAnsi"/>
          <w:color w:val="0D0D0D" w:themeColor="text1" w:themeTint="F2"/>
          <w:sz w:val="24"/>
        </w:rPr>
        <w:t xml:space="preserve"> beneficiari</w:t>
      </w:r>
      <w:r w:rsidR="000F6005" w:rsidRPr="00F34E9D">
        <w:rPr>
          <w:rFonts w:asciiTheme="majorHAnsi" w:hAnsiTheme="majorHAnsi" w:cstheme="majorHAnsi"/>
          <w:color w:val="0D0D0D" w:themeColor="text1" w:themeTint="F2"/>
          <w:sz w:val="24"/>
        </w:rPr>
        <w:t>,</w:t>
      </w:r>
      <w:r w:rsidR="000013A1" w:rsidRPr="00F34E9D">
        <w:rPr>
          <w:rFonts w:asciiTheme="majorHAnsi" w:hAnsiTheme="majorHAnsi" w:cstheme="majorHAnsi"/>
          <w:color w:val="0D0D0D" w:themeColor="text1" w:themeTint="F2"/>
          <w:sz w:val="24"/>
        </w:rPr>
        <w:t xml:space="preserve"> în valoare de 31,0</w:t>
      </w:r>
      <w:r w:rsidRPr="00F34E9D">
        <w:rPr>
          <w:rFonts w:asciiTheme="majorHAnsi" w:hAnsiTheme="majorHAnsi" w:cstheme="majorHAnsi"/>
          <w:color w:val="0D0D0D" w:themeColor="text1" w:themeTint="F2"/>
          <w:sz w:val="24"/>
        </w:rPr>
        <w:t xml:space="preserve"> mil. lei</w:t>
      </w:r>
      <w:r w:rsidRPr="00F34E9D">
        <w:rPr>
          <w:rStyle w:val="a7"/>
          <w:rFonts w:asciiTheme="majorHAnsi" w:hAnsiTheme="majorHAnsi" w:cstheme="majorHAnsi"/>
          <w:color w:val="0D0D0D" w:themeColor="text1" w:themeTint="F2"/>
          <w:sz w:val="24"/>
        </w:rPr>
        <w:footnoteReference w:id="52"/>
      </w:r>
      <w:r w:rsidR="000F6005" w:rsidRPr="00F34E9D">
        <w:rPr>
          <w:rFonts w:asciiTheme="majorHAnsi" w:hAnsiTheme="majorHAnsi" w:cstheme="majorHAnsi"/>
          <w:color w:val="0D0D0D" w:themeColor="text1" w:themeTint="F2"/>
          <w:sz w:val="24"/>
        </w:rPr>
        <w:t>,</w:t>
      </w:r>
      <w:r w:rsidRPr="00F34E9D">
        <w:rPr>
          <w:rFonts w:asciiTheme="majorHAnsi" w:hAnsiTheme="majorHAnsi" w:cstheme="majorHAnsi"/>
          <w:color w:val="0D0D0D" w:themeColor="text1" w:themeTint="F2"/>
          <w:sz w:val="24"/>
        </w:rPr>
        <w:t xml:space="preserve"> sau 43,3 % din suma totală a creanțelor aferente subvențiilor acordate organizațiilor obștești (253000) pentru 4 luni</w:t>
      </w:r>
      <w:r w:rsidR="00207761" w:rsidRPr="00F34E9D">
        <w:rPr>
          <w:rFonts w:asciiTheme="majorHAnsi" w:hAnsiTheme="majorHAnsi" w:cstheme="majorHAnsi"/>
          <w:color w:val="0D0D0D" w:themeColor="text1" w:themeTint="F2"/>
          <w:sz w:val="24"/>
        </w:rPr>
        <w:t xml:space="preserve"> </w:t>
      </w:r>
      <w:r w:rsidR="002B16D4" w:rsidRPr="00F34E9D">
        <w:rPr>
          <w:rFonts w:asciiTheme="majorHAnsi" w:hAnsiTheme="majorHAnsi" w:cstheme="majorHAnsi"/>
          <w:color w:val="0D0D0D" w:themeColor="text1" w:themeTint="F2"/>
          <w:sz w:val="24"/>
        </w:rPr>
        <w:t>a</w:t>
      </w:r>
      <w:r w:rsidR="000F6005" w:rsidRPr="00F34E9D">
        <w:rPr>
          <w:rFonts w:asciiTheme="majorHAnsi" w:hAnsiTheme="majorHAnsi" w:cstheme="majorHAnsi"/>
          <w:color w:val="0D0D0D" w:themeColor="text1" w:themeTint="F2"/>
          <w:sz w:val="24"/>
        </w:rPr>
        <w:t>le</w:t>
      </w:r>
      <w:r w:rsidR="002B16D4" w:rsidRPr="00F34E9D">
        <w:rPr>
          <w:rFonts w:asciiTheme="majorHAnsi" w:hAnsiTheme="majorHAnsi" w:cstheme="majorHAnsi"/>
          <w:color w:val="0D0D0D" w:themeColor="text1" w:themeTint="F2"/>
          <w:sz w:val="24"/>
        </w:rPr>
        <w:t xml:space="preserve"> </w:t>
      </w:r>
      <w:r w:rsidR="00207761" w:rsidRPr="00F34E9D">
        <w:rPr>
          <w:rFonts w:asciiTheme="majorHAnsi" w:hAnsiTheme="majorHAnsi" w:cstheme="majorHAnsi"/>
          <w:color w:val="0D0D0D" w:themeColor="text1" w:themeTint="F2"/>
          <w:sz w:val="24"/>
        </w:rPr>
        <w:t>anului 2021</w:t>
      </w:r>
      <w:r w:rsidR="000F6005" w:rsidRPr="00F34E9D">
        <w:rPr>
          <w:rFonts w:asciiTheme="majorHAnsi" w:hAnsiTheme="majorHAnsi" w:cstheme="majorHAnsi"/>
          <w:color w:val="0D0D0D" w:themeColor="text1" w:themeTint="F2"/>
          <w:sz w:val="24"/>
        </w:rPr>
        <w:t>,</w:t>
      </w:r>
      <w:r w:rsidR="00207761" w:rsidRPr="00F34E9D">
        <w:rPr>
          <w:rFonts w:asciiTheme="majorHAnsi" w:hAnsiTheme="majorHAnsi" w:cstheme="majorHAnsi"/>
          <w:color w:val="0D0D0D" w:themeColor="text1" w:themeTint="F2"/>
          <w:sz w:val="24"/>
        </w:rPr>
        <w:t xml:space="preserve"> în sumă</w:t>
      </w:r>
      <w:r w:rsidRPr="00F34E9D">
        <w:rPr>
          <w:rFonts w:asciiTheme="majorHAnsi" w:hAnsiTheme="majorHAnsi" w:cstheme="majorHAnsi"/>
          <w:color w:val="0D0D0D" w:themeColor="text1" w:themeTint="F2"/>
          <w:sz w:val="24"/>
        </w:rPr>
        <w:t xml:space="preserve"> de 71,55 mil. lei</w:t>
      </w:r>
      <w:r w:rsidRPr="00F34E9D">
        <w:rPr>
          <w:rStyle w:val="a7"/>
          <w:rFonts w:asciiTheme="majorHAnsi" w:hAnsiTheme="majorHAnsi" w:cstheme="majorHAnsi"/>
          <w:color w:val="0D0D0D" w:themeColor="text1" w:themeTint="F2"/>
          <w:sz w:val="24"/>
        </w:rPr>
        <w:footnoteReference w:id="53"/>
      </w:r>
      <w:r w:rsidRPr="00F34E9D">
        <w:rPr>
          <w:rFonts w:asciiTheme="majorHAnsi" w:hAnsiTheme="majorHAnsi" w:cstheme="majorHAnsi"/>
          <w:color w:val="0D0D0D" w:themeColor="text1" w:themeTint="F2"/>
          <w:sz w:val="24"/>
        </w:rPr>
        <w:t>.</w:t>
      </w:r>
    </w:p>
    <w:p w14:paraId="04BCF300" w14:textId="61DFC8C6" w:rsidR="00B55C20" w:rsidRPr="00F34E9D" w:rsidRDefault="00B55C20">
      <w:pPr>
        <w:spacing w:after="0" w:line="276" w:lineRule="auto"/>
        <w:jc w:val="both"/>
        <w:rPr>
          <w:rFonts w:asciiTheme="majorHAnsi" w:hAnsiTheme="majorHAnsi" w:cstheme="majorHAnsi"/>
          <w:color w:val="0D0D0D" w:themeColor="text1" w:themeTint="F2"/>
          <w:sz w:val="24"/>
        </w:rPr>
      </w:pPr>
      <w:r w:rsidRPr="00F34E9D">
        <w:rPr>
          <w:rFonts w:asciiTheme="majorHAnsi" w:hAnsiTheme="majorHAnsi" w:cstheme="majorHAnsi"/>
          <w:color w:val="0D0D0D" w:themeColor="text1" w:themeTint="F2"/>
          <w:sz w:val="24"/>
        </w:rPr>
        <w:t>Din creanțele aferente activităților sport</w:t>
      </w:r>
      <w:r w:rsidR="000013A1" w:rsidRPr="00F34E9D">
        <w:rPr>
          <w:rFonts w:asciiTheme="majorHAnsi" w:hAnsiTheme="majorHAnsi" w:cstheme="majorHAnsi"/>
          <w:color w:val="0D0D0D" w:themeColor="text1" w:themeTint="F2"/>
          <w:sz w:val="24"/>
        </w:rPr>
        <w:t>ive, înregistrate la 01.01.2021</w:t>
      </w:r>
      <w:r w:rsidRPr="00F34E9D">
        <w:rPr>
          <w:rFonts w:asciiTheme="majorHAnsi" w:hAnsiTheme="majorHAnsi" w:cstheme="majorHAnsi"/>
          <w:color w:val="0D0D0D" w:themeColor="text1" w:themeTint="F2"/>
          <w:sz w:val="24"/>
        </w:rPr>
        <w:t xml:space="preserve"> în sum</w:t>
      </w:r>
      <w:r w:rsidR="000013A1" w:rsidRPr="00F34E9D">
        <w:rPr>
          <w:rFonts w:asciiTheme="majorHAnsi" w:hAnsiTheme="majorHAnsi" w:cstheme="majorHAnsi"/>
          <w:color w:val="0D0D0D" w:themeColor="text1" w:themeTint="F2"/>
          <w:sz w:val="24"/>
        </w:rPr>
        <w:t>ă de 54,8</w:t>
      </w:r>
      <w:r w:rsidRPr="00F34E9D">
        <w:rPr>
          <w:rFonts w:asciiTheme="majorHAnsi" w:hAnsiTheme="majorHAnsi" w:cstheme="majorHAnsi"/>
          <w:color w:val="0D0D0D" w:themeColor="text1" w:themeTint="F2"/>
          <w:sz w:val="24"/>
        </w:rPr>
        <w:t xml:space="preserve"> mil.</w:t>
      </w:r>
      <w:r w:rsidR="0035248E" w:rsidRPr="00F34E9D">
        <w:rPr>
          <w:rFonts w:asciiTheme="majorHAnsi" w:hAnsiTheme="majorHAnsi" w:cstheme="majorHAnsi"/>
          <w:color w:val="0D0D0D" w:themeColor="text1" w:themeTint="F2"/>
          <w:sz w:val="24"/>
        </w:rPr>
        <w:t xml:space="preserve"> lei,</w:t>
      </w:r>
      <w:r w:rsidRPr="00F34E9D">
        <w:rPr>
          <w:rFonts w:asciiTheme="majorHAnsi" w:hAnsiTheme="majorHAnsi" w:cstheme="majorHAnsi"/>
          <w:color w:val="0D0D0D" w:themeColor="text1" w:themeTint="F2"/>
          <w:sz w:val="24"/>
        </w:rPr>
        <w:t xml:space="preserve"> </w:t>
      </w:r>
      <w:r w:rsidR="007651CB" w:rsidRPr="00F34E9D">
        <w:rPr>
          <w:rFonts w:asciiTheme="majorHAnsi" w:hAnsiTheme="majorHAnsi" w:cstheme="majorHAnsi"/>
          <w:color w:val="0D0D0D" w:themeColor="text1" w:themeTint="F2"/>
          <w:sz w:val="24"/>
        </w:rPr>
        <w:t xml:space="preserve"> 40 </w:t>
      </w:r>
      <w:r w:rsidR="000E51EB" w:rsidRPr="00F34E9D">
        <w:rPr>
          <w:rFonts w:asciiTheme="majorHAnsi" w:hAnsiTheme="majorHAnsi" w:cstheme="majorHAnsi"/>
          <w:color w:val="0D0D0D" w:themeColor="text1" w:themeTint="F2"/>
          <w:sz w:val="24"/>
        </w:rPr>
        <w:t xml:space="preserve">de </w:t>
      </w:r>
      <w:r w:rsidR="007651CB" w:rsidRPr="00F34E9D">
        <w:rPr>
          <w:rFonts w:asciiTheme="majorHAnsi" w:hAnsiTheme="majorHAnsi" w:cstheme="majorHAnsi"/>
          <w:color w:val="0D0D0D" w:themeColor="text1" w:themeTint="F2"/>
          <w:sz w:val="24"/>
        </w:rPr>
        <w:t xml:space="preserve">asociații obștești </w:t>
      </w:r>
      <w:r w:rsidRPr="00F34E9D">
        <w:rPr>
          <w:rFonts w:asciiTheme="majorHAnsi" w:hAnsiTheme="majorHAnsi" w:cstheme="majorHAnsi"/>
          <w:color w:val="0D0D0D" w:themeColor="text1" w:themeTint="F2"/>
          <w:sz w:val="24"/>
        </w:rPr>
        <w:t>au executat cheltuieli pentru</w:t>
      </w:r>
      <w:r w:rsidR="000013A1" w:rsidRPr="00F34E9D">
        <w:rPr>
          <w:rFonts w:asciiTheme="majorHAnsi" w:hAnsiTheme="majorHAnsi" w:cstheme="majorHAnsi"/>
          <w:color w:val="0D0D0D" w:themeColor="text1" w:themeTint="F2"/>
          <w:sz w:val="24"/>
        </w:rPr>
        <w:t xml:space="preserve"> acțiunile sportive </w:t>
      </w:r>
      <w:r w:rsidR="007651CB" w:rsidRPr="00F34E9D">
        <w:rPr>
          <w:rFonts w:asciiTheme="majorHAnsi" w:hAnsiTheme="majorHAnsi" w:cstheme="majorHAnsi"/>
          <w:color w:val="0D0D0D" w:themeColor="text1" w:themeTint="F2"/>
          <w:sz w:val="24"/>
        </w:rPr>
        <w:t>a</w:t>
      </w:r>
      <w:r w:rsidR="000E51EB" w:rsidRPr="00F34E9D">
        <w:rPr>
          <w:rFonts w:asciiTheme="majorHAnsi" w:hAnsiTheme="majorHAnsi" w:cstheme="majorHAnsi"/>
          <w:color w:val="0D0D0D" w:themeColor="text1" w:themeTint="F2"/>
          <w:sz w:val="24"/>
        </w:rPr>
        <w:t>le</w:t>
      </w:r>
      <w:r w:rsidR="007651CB" w:rsidRPr="00F34E9D">
        <w:rPr>
          <w:rFonts w:asciiTheme="majorHAnsi" w:hAnsiTheme="majorHAnsi" w:cstheme="majorHAnsi"/>
          <w:color w:val="0D0D0D" w:themeColor="text1" w:themeTint="F2"/>
          <w:sz w:val="24"/>
        </w:rPr>
        <w:t xml:space="preserve"> </w:t>
      </w:r>
      <w:r w:rsidR="000013A1" w:rsidRPr="00F34E9D">
        <w:rPr>
          <w:rFonts w:asciiTheme="majorHAnsi" w:hAnsiTheme="majorHAnsi" w:cstheme="majorHAnsi"/>
          <w:color w:val="0D0D0D" w:themeColor="text1" w:themeTint="F2"/>
          <w:sz w:val="24"/>
        </w:rPr>
        <w:t xml:space="preserve">anului </w:t>
      </w:r>
      <w:r w:rsidR="007651CB" w:rsidRPr="00F34E9D">
        <w:rPr>
          <w:rFonts w:asciiTheme="majorHAnsi" w:hAnsiTheme="majorHAnsi" w:cstheme="majorHAnsi"/>
          <w:color w:val="0D0D0D" w:themeColor="text1" w:themeTint="F2"/>
          <w:sz w:val="24"/>
        </w:rPr>
        <w:t xml:space="preserve">2020 </w:t>
      </w:r>
      <w:r w:rsidR="000013A1" w:rsidRPr="00F34E9D">
        <w:rPr>
          <w:rFonts w:asciiTheme="majorHAnsi" w:hAnsiTheme="majorHAnsi" w:cstheme="majorHAnsi"/>
          <w:color w:val="0D0D0D" w:themeColor="text1" w:themeTint="F2"/>
          <w:sz w:val="24"/>
        </w:rPr>
        <w:t>în sumă de 18,16</w:t>
      </w:r>
      <w:r w:rsidR="00207761" w:rsidRPr="00F34E9D">
        <w:rPr>
          <w:rFonts w:asciiTheme="majorHAnsi" w:hAnsiTheme="majorHAnsi" w:cstheme="majorHAnsi"/>
          <w:color w:val="0D0D0D" w:themeColor="text1" w:themeTint="F2"/>
          <w:sz w:val="24"/>
        </w:rPr>
        <w:t xml:space="preserve"> mil. lei</w:t>
      </w:r>
      <w:r w:rsidR="007651CB" w:rsidRPr="00F34E9D">
        <w:rPr>
          <w:rFonts w:asciiTheme="majorHAnsi" w:hAnsiTheme="majorHAnsi" w:cstheme="majorHAnsi"/>
          <w:color w:val="0D0D0D" w:themeColor="text1" w:themeTint="F2"/>
          <w:sz w:val="24"/>
        </w:rPr>
        <w:t xml:space="preserve">, ca urmare fiind </w:t>
      </w:r>
      <w:r w:rsidRPr="00F34E9D">
        <w:rPr>
          <w:rFonts w:asciiTheme="majorHAnsi" w:hAnsiTheme="majorHAnsi" w:cstheme="majorHAnsi"/>
          <w:color w:val="0D0D0D" w:themeColor="text1" w:themeTint="F2"/>
          <w:sz w:val="24"/>
        </w:rPr>
        <w:t xml:space="preserve">majorate cheltuielile efective </w:t>
      </w:r>
      <w:r w:rsidR="000013A1" w:rsidRPr="00F34E9D">
        <w:rPr>
          <w:rFonts w:asciiTheme="majorHAnsi" w:hAnsiTheme="majorHAnsi" w:cstheme="majorHAnsi"/>
          <w:color w:val="0D0D0D" w:themeColor="text1" w:themeTint="F2"/>
          <w:sz w:val="24"/>
        </w:rPr>
        <w:t>a</w:t>
      </w:r>
      <w:r w:rsidR="000E51EB" w:rsidRPr="00F34E9D">
        <w:rPr>
          <w:rFonts w:asciiTheme="majorHAnsi" w:hAnsiTheme="majorHAnsi" w:cstheme="majorHAnsi"/>
          <w:color w:val="0D0D0D" w:themeColor="text1" w:themeTint="F2"/>
          <w:sz w:val="24"/>
        </w:rPr>
        <w:t>le</w:t>
      </w:r>
      <w:r w:rsidR="000013A1" w:rsidRPr="00F34E9D">
        <w:rPr>
          <w:rFonts w:asciiTheme="majorHAnsi" w:hAnsiTheme="majorHAnsi" w:cstheme="majorHAnsi"/>
          <w:color w:val="0D0D0D" w:themeColor="text1" w:themeTint="F2"/>
          <w:sz w:val="24"/>
        </w:rPr>
        <w:t xml:space="preserve"> anului 2021</w:t>
      </w:r>
      <w:r w:rsidRPr="00F34E9D">
        <w:rPr>
          <w:rFonts w:asciiTheme="majorHAnsi" w:hAnsiTheme="majorHAnsi" w:cstheme="majorHAnsi"/>
          <w:color w:val="0D0D0D" w:themeColor="text1" w:themeTint="F2"/>
          <w:sz w:val="24"/>
        </w:rPr>
        <w:t>.</w:t>
      </w:r>
    </w:p>
    <w:p w14:paraId="5FC2F4EE" w14:textId="69DF1641" w:rsidR="003B7896" w:rsidRPr="00F34E9D" w:rsidRDefault="00BA3D73">
      <w:pPr>
        <w:spacing w:after="0" w:line="276" w:lineRule="auto"/>
        <w:jc w:val="both"/>
        <w:rPr>
          <w:rFonts w:asciiTheme="majorHAnsi" w:hAnsiTheme="majorHAnsi" w:cstheme="majorHAnsi"/>
          <w:color w:val="0D0D0D" w:themeColor="text1" w:themeTint="F2"/>
          <w:sz w:val="24"/>
          <w:szCs w:val="24"/>
        </w:rPr>
      </w:pPr>
      <w:r w:rsidRPr="00F34E9D">
        <w:rPr>
          <w:rFonts w:asciiTheme="majorHAnsi" w:hAnsiTheme="majorHAnsi" w:cstheme="majorHAnsi"/>
          <w:b/>
          <w:color w:val="0D0D0D" w:themeColor="text1" w:themeTint="F2"/>
          <w:sz w:val="24"/>
        </w:rPr>
        <w:t>6.</w:t>
      </w:r>
      <w:r w:rsidR="002363C3" w:rsidRPr="00F34E9D">
        <w:rPr>
          <w:rFonts w:asciiTheme="majorHAnsi" w:hAnsiTheme="majorHAnsi" w:cstheme="majorHAnsi"/>
          <w:b/>
          <w:color w:val="0D0D0D" w:themeColor="text1" w:themeTint="F2"/>
          <w:sz w:val="24"/>
        </w:rPr>
        <w:t>9</w:t>
      </w:r>
      <w:r w:rsidRPr="00F34E9D">
        <w:rPr>
          <w:rFonts w:asciiTheme="majorHAnsi" w:hAnsiTheme="majorHAnsi" w:cstheme="majorHAnsi"/>
          <w:b/>
          <w:color w:val="0D0D0D" w:themeColor="text1" w:themeTint="F2"/>
          <w:sz w:val="24"/>
        </w:rPr>
        <w:t xml:space="preserve">. </w:t>
      </w:r>
      <w:r w:rsidR="005D08B0" w:rsidRPr="00F34E9D">
        <w:rPr>
          <w:rFonts w:asciiTheme="majorHAnsi" w:hAnsiTheme="majorHAnsi" w:cstheme="majorHAnsi"/>
          <w:i/>
          <w:iCs/>
          <w:color w:val="0D0D0D" w:themeColor="text1" w:themeTint="F2"/>
          <w:sz w:val="24"/>
          <w:szCs w:val="24"/>
        </w:rPr>
        <w:t>MEC nu deține informați</w:t>
      </w:r>
      <w:r w:rsidR="000E51EB" w:rsidRPr="00F34E9D">
        <w:rPr>
          <w:rFonts w:asciiTheme="majorHAnsi" w:hAnsiTheme="majorHAnsi" w:cstheme="majorHAnsi"/>
          <w:i/>
          <w:iCs/>
          <w:color w:val="0D0D0D" w:themeColor="text1" w:themeTint="F2"/>
          <w:sz w:val="24"/>
          <w:szCs w:val="24"/>
        </w:rPr>
        <w:t>i</w:t>
      </w:r>
      <w:r w:rsidR="005D08B0" w:rsidRPr="00F34E9D">
        <w:rPr>
          <w:rFonts w:asciiTheme="majorHAnsi" w:hAnsiTheme="majorHAnsi" w:cstheme="majorHAnsi"/>
          <w:i/>
          <w:iCs/>
          <w:color w:val="0D0D0D" w:themeColor="text1" w:themeTint="F2"/>
          <w:sz w:val="24"/>
          <w:szCs w:val="24"/>
        </w:rPr>
        <w:t xml:space="preserve"> privind modul de utilizare ulterioară a rezultatelor cercetărilor științifice</w:t>
      </w:r>
      <w:r w:rsidR="005D08B0" w:rsidRPr="00F34E9D">
        <w:rPr>
          <w:rFonts w:asciiTheme="majorHAnsi" w:hAnsiTheme="majorHAnsi" w:cstheme="majorHAnsi"/>
          <w:color w:val="0D0D0D" w:themeColor="text1" w:themeTint="F2"/>
          <w:sz w:val="24"/>
          <w:szCs w:val="24"/>
        </w:rPr>
        <w:t xml:space="preserve">. Rapoartele financiare consolidate ale MEC includ rapoartele financiare a 18 </w:t>
      </w:r>
      <w:r w:rsidR="00F77A1D" w:rsidRPr="00F34E9D">
        <w:rPr>
          <w:rFonts w:asciiTheme="majorHAnsi" w:hAnsiTheme="majorHAnsi" w:cstheme="majorHAnsi"/>
          <w:color w:val="0D0D0D" w:themeColor="text1" w:themeTint="F2"/>
          <w:sz w:val="24"/>
          <w:szCs w:val="24"/>
        </w:rPr>
        <w:t>organizații de drept public din</w:t>
      </w:r>
      <w:r w:rsidR="005D08B0" w:rsidRPr="00F34E9D">
        <w:rPr>
          <w:rFonts w:asciiTheme="majorHAnsi" w:hAnsiTheme="majorHAnsi" w:cstheme="majorHAnsi"/>
          <w:color w:val="0D0D0D" w:themeColor="text1" w:themeTint="F2"/>
          <w:sz w:val="24"/>
          <w:szCs w:val="24"/>
        </w:rPr>
        <w:t xml:space="preserve"> domeniile cercetării şi inovării, care gestionează alocațiile din bugetul de stat pentru realizarea proiectelor științifice în cadrul Programului național în domeniile cercetării şi inovării. Cheltuieli</w:t>
      </w:r>
      <w:r w:rsidR="00B07A08" w:rsidRPr="00F34E9D">
        <w:rPr>
          <w:rFonts w:asciiTheme="majorHAnsi" w:hAnsiTheme="majorHAnsi" w:cstheme="majorHAnsi"/>
          <w:color w:val="0D0D0D" w:themeColor="text1" w:themeTint="F2"/>
          <w:sz w:val="24"/>
          <w:szCs w:val="24"/>
        </w:rPr>
        <w:t>le</w:t>
      </w:r>
      <w:r w:rsidR="005D08B0" w:rsidRPr="00F34E9D">
        <w:rPr>
          <w:rFonts w:asciiTheme="majorHAnsi" w:hAnsiTheme="majorHAnsi" w:cstheme="majorHAnsi"/>
          <w:color w:val="0D0D0D" w:themeColor="text1" w:themeTint="F2"/>
          <w:sz w:val="24"/>
          <w:szCs w:val="24"/>
        </w:rPr>
        <w:t xml:space="preserve"> din contul proiectelor de cercetări și inovări a 18 instituții de cercetări științifice din subordine</w:t>
      </w:r>
      <w:r w:rsidR="00B07A08" w:rsidRPr="00F34E9D">
        <w:rPr>
          <w:rFonts w:asciiTheme="majorHAnsi" w:hAnsiTheme="majorHAnsi" w:cstheme="majorHAnsi"/>
          <w:color w:val="0D0D0D" w:themeColor="text1" w:themeTint="F2"/>
          <w:sz w:val="24"/>
          <w:szCs w:val="24"/>
        </w:rPr>
        <w:t>a</w:t>
      </w:r>
      <w:r w:rsidR="005D08B0" w:rsidRPr="00F34E9D">
        <w:rPr>
          <w:rFonts w:asciiTheme="majorHAnsi" w:hAnsiTheme="majorHAnsi" w:cstheme="majorHAnsi"/>
          <w:color w:val="0D0D0D" w:themeColor="text1" w:themeTint="F2"/>
          <w:sz w:val="24"/>
          <w:szCs w:val="24"/>
        </w:rPr>
        <w:t xml:space="preserve"> MEC, </w:t>
      </w:r>
      <w:r w:rsidR="00B07A08" w:rsidRPr="00F34E9D">
        <w:rPr>
          <w:rFonts w:asciiTheme="majorHAnsi" w:hAnsiTheme="majorHAnsi" w:cstheme="majorHAnsi"/>
          <w:color w:val="0D0D0D" w:themeColor="text1" w:themeTint="F2"/>
          <w:sz w:val="24"/>
          <w:szCs w:val="24"/>
        </w:rPr>
        <w:t xml:space="preserve">total </w:t>
      </w:r>
      <w:r w:rsidR="00EA4ECD" w:rsidRPr="00F34E9D">
        <w:rPr>
          <w:rFonts w:asciiTheme="majorHAnsi" w:hAnsiTheme="majorHAnsi" w:cstheme="majorHAnsi"/>
          <w:color w:val="0D0D0D" w:themeColor="text1" w:themeTint="F2"/>
          <w:sz w:val="24"/>
          <w:szCs w:val="24"/>
        </w:rPr>
        <w:t>înregistrate</w:t>
      </w:r>
      <w:r w:rsidR="005D08B0" w:rsidRPr="00F34E9D">
        <w:rPr>
          <w:rFonts w:asciiTheme="majorHAnsi" w:hAnsiTheme="majorHAnsi" w:cstheme="majorHAnsi"/>
          <w:color w:val="0D0D0D" w:themeColor="text1" w:themeTint="F2"/>
          <w:sz w:val="24"/>
          <w:szCs w:val="24"/>
        </w:rPr>
        <w:t xml:space="preserve"> </w:t>
      </w:r>
      <w:r w:rsidR="00B07A08" w:rsidRPr="00F34E9D">
        <w:rPr>
          <w:rFonts w:asciiTheme="majorHAnsi" w:hAnsiTheme="majorHAnsi" w:cstheme="majorHAnsi"/>
          <w:color w:val="0D0D0D" w:themeColor="text1" w:themeTint="F2"/>
          <w:sz w:val="24"/>
          <w:szCs w:val="24"/>
        </w:rPr>
        <w:t>la 31.12.2021</w:t>
      </w:r>
      <w:r w:rsidR="000E51EB" w:rsidRPr="00F34E9D">
        <w:rPr>
          <w:rFonts w:asciiTheme="majorHAnsi" w:hAnsiTheme="majorHAnsi" w:cstheme="majorHAnsi"/>
          <w:color w:val="0D0D0D" w:themeColor="text1" w:themeTint="F2"/>
          <w:sz w:val="24"/>
          <w:szCs w:val="24"/>
        </w:rPr>
        <w:t>,</w:t>
      </w:r>
      <w:r w:rsidR="00B07A08" w:rsidRPr="00F34E9D">
        <w:rPr>
          <w:rFonts w:asciiTheme="majorHAnsi" w:hAnsiTheme="majorHAnsi" w:cstheme="majorHAnsi"/>
          <w:color w:val="0D0D0D" w:themeColor="text1" w:themeTint="F2"/>
          <w:sz w:val="24"/>
          <w:szCs w:val="24"/>
        </w:rPr>
        <w:t xml:space="preserve"> constituie</w:t>
      </w:r>
      <w:r w:rsidR="005D08B0" w:rsidRPr="00F34E9D">
        <w:rPr>
          <w:rFonts w:asciiTheme="majorHAnsi" w:hAnsiTheme="majorHAnsi" w:cstheme="majorHAnsi"/>
          <w:color w:val="0D0D0D" w:themeColor="text1" w:themeTint="F2"/>
          <w:sz w:val="24"/>
          <w:szCs w:val="24"/>
        </w:rPr>
        <w:t xml:space="preserve"> </w:t>
      </w:r>
      <w:r w:rsidR="00F77A1D" w:rsidRPr="00F34E9D">
        <w:rPr>
          <w:rFonts w:asciiTheme="majorHAnsi" w:hAnsiTheme="majorHAnsi" w:cstheme="majorHAnsi"/>
          <w:color w:val="0D0D0D" w:themeColor="text1" w:themeTint="F2"/>
          <w:sz w:val="24"/>
          <w:szCs w:val="24"/>
        </w:rPr>
        <w:t xml:space="preserve">154,0 </w:t>
      </w:r>
      <w:r w:rsidR="005D08B0" w:rsidRPr="00F34E9D">
        <w:rPr>
          <w:rFonts w:asciiTheme="majorHAnsi" w:hAnsiTheme="majorHAnsi" w:cstheme="majorHAnsi"/>
          <w:color w:val="0D0D0D" w:themeColor="text1" w:themeTint="F2"/>
          <w:sz w:val="24"/>
          <w:szCs w:val="24"/>
        </w:rPr>
        <w:t>mil. lei</w:t>
      </w:r>
      <w:r w:rsidR="00B07A08" w:rsidRPr="00F34E9D">
        <w:rPr>
          <w:rFonts w:asciiTheme="majorHAnsi" w:hAnsiTheme="majorHAnsi" w:cstheme="majorHAnsi"/>
          <w:color w:val="0D0D0D" w:themeColor="text1" w:themeTint="F2"/>
          <w:sz w:val="24"/>
          <w:szCs w:val="24"/>
        </w:rPr>
        <w:t>,</w:t>
      </w:r>
      <w:r w:rsidR="005D08B0" w:rsidRPr="00F34E9D">
        <w:rPr>
          <w:rFonts w:asciiTheme="majorHAnsi" w:hAnsiTheme="majorHAnsi" w:cstheme="majorHAnsi"/>
          <w:color w:val="0D0D0D" w:themeColor="text1" w:themeTint="F2"/>
          <w:sz w:val="24"/>
          <w:szCs w:val="24"/>
        </w:rPr>
        <w:t xml:space="preserve"> din care au fost reflectate la contul 319 „</w:t>
      </w:r>
      <w:r w:rsidR="00EA4ECD" w:rsidRPr="00F34E9D">
        <w:rPr>
          <w:rFonts w:asciiTheme="majorHAnsi" w:eastAsia="Times New Roman" w:hAnsiTheme="majorHAnsi" w:cstheme="majorHAnsi"/>
          <w:i/>
          <w:iCs/>
          <w:color w:val="0D0D0D" w:themeColor="text1" w:themeTint="F2"/>
          <w:sz w:val="24"/>
          <w:szCs w:val="24"/>
        </w:rPr>
        <w:t>Investiții</w:t>
      </w:r>
      <w:r w:rsidR="005D08B0" w:rsidRPr="00F34E9D">
        <w:rPr>
          <w:rFonts w:asciiTheme="majorHAnsi" w:eastAsia="Times New Roman" w:hAnsiTheme="majorHAnsi" w:cstheme="majorHAnsi"/>
          <w:i/>
          <w:iCs/>
          <w:color w:val="0D0D0D" w:themeColor="text1" w:themeTint="F2"/>
          <w:sz w:val="24"/>
          <w:szCs w:val="24"/>
        </w:rPr>
        <w:t xml:space="preserve"> capitale în active în curs de </w:t>
      </w:r>
      <w:r w:rsidR="00EA4ECD" w:rsidRPr="00F34E9D">
        <w:rPr>
          <w:rFonts w:asciiTheme="majorHAnsi" w:eastAsia="Times New Roman" w:hAnsiTheme="majorHAnsi" w:cstheme="majorHAnsi"/>
          <w:i/>
          <w:iCs/>
          <w:color w:val="0D0D0D" w:themeColor="text1" w:themeTint="F2"/>
          <w:sz w:val="24"/>
          <w:szCs w:val="24"/>
        </w:rPr>
        <w:t>execuție</w:t>
      </w:r>
      <w:r w:rsidR="005D08B0" w:rsidRPr="00F34E9D">
        <w:rPr>
          <w:rFonts w:asciiTheme="majorHAnsi" w:hAnsiTheme="majorHAnsi" w:cstheme="majorHAnsi"/>
          <w:color w:val="0D0D0D" w:themeColor="text1" w:themeTint="F2"/>
          <w:sz w:val="24"/>
          <w:szCs w:val="24"/>
        </w:rPr>
        <w:t xml:space="preserve">” numai de 5 instituții publice cu suma de </w:t>
      </w:r>
      <w:r w:rsidR="00F77A1D" w:rsidRPr="00F34E9D">
        <w:rPr>
          <w:rFonts w:asciiTheme="majorHAnsi" w:hAnsiTheme="majorHAnsi" w:cstheme="majorHAnsi"/>
          <w:color w:val="0D0D0D" w:themeColor="text1" w:themeTint="F2"/>
          <w:sz w:val="24"/>
          <w:szCs w:val="24"/>
        </w:rPr>
        <w:t xml:space="preserve">43,07 </w:t>
      </w:r>
      <w:r w:rsidR="005D08B0" w:rsidRPr="00F34E9D">
        <w:rPr>
          <w:rFonts w:asciiTheme="majorHAnsi" w:hAnsiTheme="majorHAnsi" w:cstheme="majorHAnsi"/>
          <w:color w:val="0D0D0D" w:themeColor="text1" w:themeTint="F2"/>
          <w:sz w:val="24"/>
          <w:szCs w:val="24"/>
        </w:rPr>
        <w:t xml:space="preserve">mil. lei, </w:t>
      </w:r>
      <w:r w:rsidR="00F77A1D" w:rsidRPr="00F34E9D">
        <w:rPr>
          <w:rFonts w:asciiTheme="majorHAnsi" w:hAnsiTheme="majorHAnsi" w:cstheme="majorHAnsi"/>
          <w:color w:val="0D0D0D" w:themeColor="text1" w:themeTint="F2"/>
          <w:sz w:val="24"/>
          <w:szCs w:val="24"/>
        </w:rPr>
        <w:t xml:space="preserve">alte </w:t>
      </w:r>
      <w:r w:rsidR="005D08B0" w:rsidRPr="00F34E9D">
        <w:rPr>
          <w:rFonts w:asciiTheme="majorHAnsi" w:hAnsiTheme="majorHAnsi" w:cstheme="majorHAnsi"/>
          <w:color w:val="0D0D0D" w:themeColor="text1" w:themeTint="F2"/>
          <w:sz w:val="24"/>
          <w:szCs w:val="24"/>
        </w:rPr>
        <w:t xml:space="preserve">5 instituții au raportat la contul 317 „Active nemateriale” </w:t>
      </w:r>
      <w:r w:rsidR="000E51EB" w:rsidRPr="00F34E9D">
        <w:rPr>
          <w:rFonts w:asciiTheme="majorHAnsi" w:hAnsiTheme="majorHAnsi" w:cstheme="majorHAnsi"/>
          <w:color w:val="0D0D0D" w:themeColor="text1" w:themeTint="F2"/>
          <w:sz w:val="24"/>
          <w:szCs w:val="24"/>
        </w:rPr>
        <w:t>suma de</w:t>
      </w:r>
      <w:r w:rsidR="005D08B0" w:rsidRPr="00F34E9D">
        <w:rPr>
          <w:rFonts w:asciiTheme="majorHAnsi" w:hAnsiTheme="majorHAnsi" w:cstheme="majorHAnsi"/>
          <w:color w:val="0D0D0D" w:themeColor="text1" w:themeTint="F2"/>
          <w:sz w:val="24"/>
          <w:szCs w:val="24"/>
        </w:rPr>
        <w:t xml:space="preserve"> 2,54 mil. lei. Astfel, numai 29,6% din total</w:t>
      </w:r>
      <w:r w:rsidR="00F83E9A" w:rsidRPr="00F34E9D">
        <w:rPr>
          <w:rFonts w:asciiTheme="majorHAnsi" w:hAnsiTheme="majorHAnsi" w:cstheme="majorHAnsi"/>
          <w:color w:val="0D0D0D" w:themeColor="text1" w:themeTint="F2"/>
          <w:sz w:val="24"/>
          <w:szCs w:val="24"/>
        </w:rPr>
        <w:t>ul</w:t>
      </w:r>
      <w:r w:rsidR="005D08B0" w:rsidRPr="00F34E9D">
        <w:rPr>
          <w:rFonts w:asciiTheme="majorHAnsi" w:hAnsiTheme="majorHAnsi" w:cstheme="majorHAnsi"/>
          <w:color w:val="0D0D0D" w:themeColor="text1" w:themeTint="F2"/>
          <w:sz w:val="24"/>
          <w:szCs w:val="24"/>
        </w:rPr>
        <w:t xml:space="preserve"> cheltuielilor din contul proiectelor de cercetări și inovări au fost înregistrate conform prevederilor O</w:t>
      </w:r>
      <w:r w:rsidR="00A272DD" w:rsidRPr="00F34E9D">
        <w:rPr>
          <w:rFonts w:asciiTheme="majorHAnsi" w:hAnsiTheme="majorHAnsi" w:cstheme="majorHAnsi"/>
          <w:color w:val="0D0D0D" w:themeColor="text1" w:themeTint="F2"/>
          <w:sz w:val="24"/>
          <w:szCs w:val="24"/>
        </w:rPr>
        <w:t xml:space="preserve">rdinului </w:t>
      </w:r>
      <w:r w:rsidR="005D08B0" w:rsidRPr="00F34E9D">
        <w:rPr>
          <w:rFonts w:asciiTheme="majorHAnsi" w:hAnsiTheme="majorHAnsi" w:cstheme="majorHAnsi"/>
          <w:color w:val="0D0D0D" w:themeColor="text1" w:themeTint="F2"/>
          <w:sz w:val="24"/>
          <w:szCs w:val="24"/>
        </w:rPr>
        <w:t xml:space="preserve">MF nr.216/2015. </w:t>
      </w:r>
    </w:p>
    <w:p w14:paraId="63B3E43D" w14:textId="1E00E731" w:rsidR="002363C3" w:rsidRPr="00F34E9D" w:rsidRDefault="002363C3">
      <w:pPr>
        <w:spacing w:after="0" w:line="276" w:lineRule="auto"/>
        <w:jc w:val="both"/>
        <w:rPr>
          <w:rFonts w:asciiTheme="majorHAnsi" w:hAnsiTheme="majorHAnsi" w:cstheme="majorHAnsi"/>
          <w:color w:val="0D0D0D" w:themeColor="text1" w:themeTint="F2"/>
          <w:sz w:val="24"/>
          <w:szCs w:val="24"/>
        </w:rPr>
      </w:pPr>
      <w:r w:rsidRPr="00F34E9D">
        <w:rPr>
          <w:rFonts w:asciiTheme="majorHAnsi" w:hAnsiTheme="majorHAnsi" w:cstheme="majorHAnsi"/>
          <w:b/>
          <w:color w:val="0D0D0D" w:themeColor="text1" w:themeTint="F2"/>
          <w:sz w:val="24"/>
          <w:szCs w:val="24"/>
          <w:lang w:val="ro-RO"/>
        </w:rPr>
        <w:t>6.10.</w:t>
      </w:r>
      <w:r w:rsidRPr="00F34E9D">
        <w:rPr>
          <w:rFonts w:asciiTheme="majorHAnsi" w:hAnsiTheme="majorHAnsi" w:cstheme="majorHAnsi"/>
          <w:color w:val="0D0D0D" w:themeColor="text1" w:themeTint="F2"/>
          <w:sz w:val="24"/>
          <w:szCs w:val="24"/>
          <w:lang w:val="ro-RO"/>
        </w:rPr>
        <w:t xml:space="preserve"> MEC nu asigură realizarea unor finanțări obligatorii în temeiul prevederilor actelor normative, ceea ce periclitează executarea funcțiilor deținute și provocă riscul unor cheltuieli pecuniare suplimentare, urmare a unor potențiale pretenții înaintate de către părțile interesate. Astfel, MECC și MEC, aflând-se într-o coliziune legală, nu asigură calcularea/achitarea din septembrie anul 2020 a </w:t>
      </w:r>
      <w:r w:rsidR="00B100F6" w:rsidRPr="00F34E9D">
        <w:rPr>
          <w:rFonts w:asciiTheme="majorHAnsi" w:hAnsiTheme="majorHAnsi" w:cstheme="majorHAnsi"/>
          <w:color w:val="0D0D0D" w:themeColor="text1" w:themeTint="F2"/>
          <w:sz w:val="24"/>
          <w:szCs w:val="24"/>
          <w:lang w:val="ro-RO"/>
        </w:rPr>
        <w:t>i</w:t>
      </w:r>
      <w:r w:rsidRPr="00F34E9D">
        <w:rPr>
          <w:rFonts w:asciiTheme="majorHAnsi" w:hAnsiTheme="majorHAnsi" w:cstheme="majorHAnsi"/>
          <w:color w:val="0D0D0D" w:themeColor="text1" w:themeTint="F2"/>
          <w:sz w:val="24"/>
          <w:szCs w:val="24"/>
          <w:lang w:val="ro-RO"/>
        </w:rPr>
        <w:t>ndemnizației lunare viagere pentru antrenorii de performanță în temeiul prevederilor art.34</w:t>
      </w:r>
      <w:r w:rsidRPr="00F34E9D">
        <w:rPr>
          <w:rFonts w:asciiTheme="majorHAnsi" w:hAnsiTheme="majorHAnsi" w:cstheme="majorHAnsi"/>
          <w:color w:val="0D0D0D" w:themeColor="text1" w:themeTint="F2"/>
          <w:sz w:val="24"/>
          <w:szCs w:val="24"/>
          <w:vertAlign w:val="superscript"/>
          <w:lang w:val="ro-RO"/>
        </w:rPr>
        <w:t>1</w:t>
      </w:r>
      <w:r w:rsidRPr="00F34E9D">
        <w:rPr>
          <w:rFonts w:asciiTheme="majorHAnsi" w:hAnsiTheme="majorHAnsi" w:cstheme="majorHAnsi"/>
          <w:color w:val="0D0D0D" w:themeColor="text1" w:themeTint="F2"/>
          <w:sz w:val="24"/>
          <w:szCs w:val="24"/>
          <w:lang w:val="ro-RO"/>
        </w:rPr>
        <w:t xml:space="preserve"> alin.(3) din Legea nr.330 din 25.03.1999</w:t>
      </w:r>
      <w:r w:rsidRPr="00F34E9D">
        <w:rPr>
          <w:rStyle w:val="a7"/>
          <w:rFonts w:asciiTheme="majorHAnsi" w:hAnsiTheme="majorHAnsi" w:cstheme="majorHAnsi"/>
          <w:color w:val="0D0D0D" w:themeColor="text1" w:themeTint="F2"/>
          <w:sz w:val="24"/>
          <w:szCs w:val="24"/>
          <w:lang w:val="ro-RO"/>
        </w:rPr>
        <w:footnoteReference w:id="54"/>
      </w:r>
      <w:r w:rsidRPr="00F34E9D">
        <w:rPr>
          <w:rFonts w:asciiTheme="majorHAnsi" w:hAnsiTheme="majorHAnsi" w:cstheme="majorHAnsi"/>
          <w:color w:val="0D0D0D" w:themeColor="text1" w:themeTint="F2"/>
          <w:sz w:val="24"/>
          <w:szCs w:val="24"/>
          <w:lang w:val="ro-RO"/>
        </w:rPr>
        <w:t xml:space="preserve"> și pct.8 din </w:t>
      </w:r>
      <w:r w:rsidRPr="00F34E9D">
        <w:rPr>
          <w:rFonts w:asciiTheme="majorHAnsi" w:hAnsiTheme="majorHAnsi" w:cstheme="majorHAnsi"/>
          <w:bCs/>
          <w:color w:val="0D0D0D" w:themeColor="text1" w:themeTint="F2"/>
          <w:sz w:val="24"/>
          <w:szCs w:val="24"/>
          <w:lang w:val="ro-RO"/>
        </w:rPr>
        <w:t xml:space="preserve">Regulamentul aprobat prin </w:t>
      </w:r>
      <w:r w:rsidRPr="00F34E9D">
        <w:rPr>
          <w:rFonts w:asciiTheme="majorHAnsi" w:hAnsiTheme="majorHAnsi" w:cstheme="majorHAnsi"/>
          <w:color w:val="0D0D0D" w:themeColor="text1" w:themeTint="F2"/>
          <w:sz w:val="24"/>
          <w:szCs w:val="24"/>
          <w:lang w:val="ro-RO"/>
        </w:rPr>
        <w:t>HG nr.642 din 17.12.2019</w:t>
      </w:r>
      <w:r w:rsidRPr="00F34E9D">
        <w:rPr>
          <w:rStyle w:val="a7"/>
          <w:rFonts w:asciiTheme="majorHAnsi" w:hAnsiTheme="majorHAnsi" w:cstheme="majorHAnsi"/>
          <w:color w:val="0D0D0D" w:themeColor="text1" w:themeTint="F2"/>
          <w:sz w:val="24"/>
          <w:szCs w:val="24"/>
          <w:lang w:val="ro-RO"/>
        </w:rPr>
        <w:footnoteReference w:id="55"/>
      </w:r>
      <w:r w:rsidRPr="00F34E9D">
        <w:rPr>
          <w:rFonts w:asciiTheme="majorHAnsi" w:hAnsiTheme="majorHAnsi" w:cstheme="majorHAnsi"/>
          <w:color w:val="0D0D0D" w:themeColor="text1" w:themeTint="F2"/>
          <w:sz w:val="24"/>
          <w:szCs w:val="24"/>
          <w:lang w:val="ro-RO"/>
        </w:rPr>
        <w:t xml:space="preserve">, care urmează a fi calculată de la salariul mediu pe economie, comunicat de către Biroul Național de Statistică, pentru luna anterioară celei în care se face plata indemnizației viagere. </w:t>
      </w:r>
      <w:r w:rsidRPr="00F34E9D">
        <w:rPr>
          <w:rFonts w:asciiTheme="majorHAnsi" w:hAnsiTheme="majorHAnsi" w:cstheme="majorHAnsi"/>
          <w:color w:val="0D0D0D" w:themeColor="text1" w:themeTint="F2"/>
          <w:sz w:val="24"/>
          <w:szCs w:val="24"/>
        </w:rPr>
        <w:t xml:space="preserve">Pentru anul 2021, </w:t>
      </w:r>
      <w:r w:rsidRPr="00F34E9D">
        <w:rPr>
          <w:rFonts w:asciiTheme="majorHAnsi" w:hAnsiTheme="majorHAnsi" w:cstheme="majorHAnsi"/>
          <w:color w:val="0D0D0D" w:themeColor="text1" w:themeTint="F2"/>
          <w:sz w:val="24"/>
          <w:szCs w:val="24"/>
          <w:lang w:val="ro-RO"/>
        </w:rPr>
        <w:t>indemnizația lunară viageră a fost stabilită de către ministerul de resort pentru 14 antrenori în valoare totală de 850,7 mii lei</w:t>
      </w:r>
      <w:r w:rsidRPr="00F34E9D">
        <w:rPr>
          <w:rStyle w:val="a7"/>
          <w:rFonts w:asciiTheme="majorHAnsi" w:hAnsiTheme="majorHAnsi" w:cstheme="majorHAnsi"/>
          <w:color w:val="0D0D0D" w:themeColor="text1" w:themeTint="F2"/>
          <w:sz w:val="24"/>
          <w:szCs w:val="24"/>
          <w:lang w:val="ro-RO"/>
        </w:rPr>
        <w:footnoteReference w:id="56"/>
      </w:r>
      <w:r w:rsidRPr="00F34E9D">
        <w:rPr>
          <w:rFonts w:asciiTheme="majorHAnsi" w:hAnsiTheme="majorHAnsi" w:cstheme="majorHAnsi"/>
          <w:color w:val="0D0D0D" w:themeColor="text1" w:themeTint="F2"/>
          <w:sz w:val="24"/>
          <w:szCs w:val="24"/>
          <w:lang w:val="ro-RO"/>
        </w:rPr>
        <w:t>.</w:t>
      </w:r>
    </w:p>
    <w:p w14:paraId="0747EFAD" w14:textId="4B1AC8B0" w:rsidR="002363C3" w:rsidRPr="00F34E9D" w:rsidRDefault="00A272DD" w:rsidP="00B63495">
      <w:pPr>
        <w:spacing w:after="0" w:line="276" w:lineRule="auto"/>
        <w:jc w:val="both"/>
        <w:rPr>
          <w:rFonts w:asciiTheme="majorHAnsi" w:hAnsiTheme="majorHAnsi" w:cstheme="majorHAnsi"/>
          <w:color w:val="0D0D0D" w:themeColor="text1" w:themeTint="F2"/>
          <w:sz w:val="24"/>
          <w:szCs w:val="24"/>
          <w:lang w:val="ro-RO"/>
        </w:rPr>
      </w:pPr>
      <w:r w:rsidRPr="00F34E9D">
        <w:rPr>
          <w:rFonts w:asciiTheme="majorHAnsi" w:hAnsiTheme="majorHAnsi" w:cstheme="majorHAnsi"/>
          <w:color w:val="0D0D0D" w:themeColor="text1" w:themeTint="F2"/>
          <w:sz w:val="24"/>
          <w:szCs w:val="24"/>
          <w:lang w:val="ro-RO"/>
        </w:rPr>
        <w:t>P</w:t>
      </w:r>
      <w:r w:rsidR="002363C3" w:rsidRPr="00F34E9D">
        <w:rPr>
          <w:rFonts w:asciiTheme="majorHAnsi" w:hAnsiTheme="majorHAnsi" w:cstheme="majorHAnsi"/>
          <w:color w:val="0D0D0D" w:themeColor="text1" w:themeTint="F2"/>
          <w:sz w:val="24"/>
          <w:szCs w:val="24"/>
          <w:lang w:val="ro-RO"/>
        </w:rPr>
        <w:t>revederile normative indicate mai sus nu pot fi aplicate, deoarece Biroul Național de Statistică furnizează doar datele privind salariul mediu lunar pe economie înregistrat trimestrial sau anual</w:t>
      </w:r>
      <w:r w:rsidRPr="00F34E9D">
        <w:rPr>
          <w:rStyle w:val="a7"/>
          <w:rFonts w:asciiTheme="majorHAnsi" w:hAnsiTheme="majorHAnsi" w:cstheme="majorHAnsi"/>
          <w:color w:val="0D0D0D" w:themeColor="text1" w:themeTint="F2"/>
          <w:sz w:val="24"/>
          <w:szCs w:val="24"/>
          <w:lang w:val="ro-RO"/>
        </w:rPr>
        <w:footnoteReference w:id="57"/>
      </w:r>
      <w:r w:rsidR="002363C3" w:rsidRPr="00F34E9D">
        <w:rPr>
          <w:rFonts w:asciiTheme="majorHAnsi" w:hAnsiTheme="majorHAnsi" w:cstheme="majorHAnsi"/>
          <w:color w:val="0D0D0D" w:themeColor="text1" w:themeTint="F2"/>
          <w:sz w:val="24"/>
          <w:szCs w:val="24"/>
          <w:lang w:val="ro-RO"/>
        </w:rPr>
        <w:t>. Pe parcursul anilor 2020-2021, activitatea MECC/MEC nu s-a soldat cu soluționarea situației date și/sau ajustarea prevederilor normative la sistemul statistic oficial existent – modificarea prevederilor normative în baza unui proiect de act normativ.</w:t>
      </w:r>
    </w:p>
    <w:p w14:paraId="76E55D11" w14:textId="0365C7EB" w:rsidR="002363C3" w:rsidRPr="00F34E9D" w:rsidRDefault="002363C3" w:rsidP="00F42E6E">
      <w:pPr>
        <w:spacing w:after="0" w:line="276" w:lineRule="auto"/>
        <w:jc w:val="both"/>
        <w:rPr>
          <w:rFonts w:asciiTheme="majorHAnsi" w:hAnsiTheme="majorHAnsi" w:cstheme="majorHAnsi"/>
          <w:color w:val="0D0D0D" w:themeColor="text1" w:themeTint="F2"/>
          <w:sz w:val="24"/>
          <w:szCs w:val="24"/>
        </w:rPr>
      </w:pPr>
      <w:r w:rsidRPr="00F34E9D">
        <w:rPr>
          <w:rFonts w:asciiTheme="majorHAnsi" w:hAnsiTheme="majorHAnsi" w:cstheme="majorHAnsi"/>
          <w:color w:val="0D0D0D" w:themeColor="text1" w:themeTint="F2"/>
          <w:sz w:val="24"/>
          <w:szCs w:val="24"/>
        </w:rPr>
        <w:t>În acest context, se exemplifică că</w:t>
      </w:r>
      <w:r w:rsidR="00B100F6" w:rsidRPr="00F34E9D">
        <w:rPr>
          <w:rFonts w:asciiTheme="majorHAnsi" w:hAnsiTheme="majorHAnsi" w:cstheme="majorHAnsi"/>
          <w:color w:val="0D0D0D" w:themeColor="text1" w:themeTint="F2"/>
          <w:sz w:val="24"/>
          <w:szCs w:val="24"/>
        </w:rPr>
        <w:t>,</w:t>
      </w:r>
      <w:r w:rsidRPr="00F34E9D">
        <w:rPr>
          <w:rFonts w:asciiTheme="majorHAnsi" w:hAnsiTheme="majorHAnsi" w:cstheme="majorHAnsi"/>
          <w:color w:val="0D0D0D" w:themeColor="text1" w:themeTint="F2"/>
          <w:sz w:val="24"/>
          <w:szCs w:val="24"/>
        </w:rPr>
        <w:t xml:space="preserve"> </w:t>
      </w:r>
      <w:r w:rsidR="00B100F6" w:rsidRPr="00F34E9D">
        <w:rPr>
          <w:rFonts w:asciiTheme="majorHAnsi" w:hAnsiTheme="majorHAnsi" w:cstheme="majorHAnsi"/>
          <w:color w:val="0D0D0D" w:themeColor="text1" w:themeTint="F2"/>
          <w:sz w:val="24"/>
          <w:szCs w:val="24"/>
        </w:rPr>
        <w:t>potrivit</w:t>
      </w:r>
      <w:r w:rsidRPr="00F34E9D">
        <w:rPr>
          <w:rFonts w:asciiTheme="majorHAnsi" w:hAnsiTheme="majorHAnsi" w:cstheme="majorHAnsi"/>
          <w:color w:val="0D0D0D" w:themeColor="text1" w:themeTint="F2"/>
          <w:sz w:val="24"/>
          <w:szCs w:val="24"/>
        </w:rPr>
        <w:t xml:space="preserve"> prevederilor Legii nr.21 din 01.03</w:t>
      </w:r>
      <w:r w:rsidR="0015044C" w:rsidRPr="00F34E9D">
        <w:rPr>
          <w:rFonts w:asciiTheme="majorHAnsi" w:hAnsiTheme="majorHAnsi" w:cstheme="majorHAnsi"/>
          <w:color w:val="0D0D0D" w:themeColor="text1" w:themeTint="F2"/>
          <w:sz w:val="24"/>
          <w:szCs w:val="24"/>
        </w:rPr>
        <w:t>.</w:t>
      </w:r>
      <w:r w:rsidRPr="00F34E9D">
        <w:rPr>
          <w:rFonts w:asciiTheme="majorHAnsi" w:hAnsiTheme="majorHAnsi" w:cstheme="majorHAnsi"/>
          <w:color w:val="0D0D0D" w:themeColor="text1" w:themeTint="F2"/>
          <w:sz w:val="24"/>
          <w:szCs w:val="24"/>
        </w:rPr>
        <w:t xml:space="preserve">2013 </w:t>
      </w:r>
      <w:r w:rsidR="00B100F6" w:rsidRPr="00F34E9D">
        <w:rPr>
          <w:rFonts w:asciiTheme="majorHAnsi" w:hAnsiTheme="majorHAnsi" w:cstheme="majorHAnsi"/>
          <w:color w:val="0D0D0D" w:themeColor="text1" w:themeTint="F2"/>
          <w:sz w:val="24"/>
          <w:szCs w:val="24"/>
        </w:rPr>
        <w:t>c</w:t>
      </w:r>
      <w:r w:rsidRPr="00F34E9D">
        <w:rPr>
          <w:rFonts w:asciiTheme="majorHAnsi" w:hAnsiTheme="majorHAnsi" w:cstheme="majorHAnsi"/>
          <w:color w:val="0D0D0D" w:themeColor="text1" w:themeTint="F2"/>
          <w:sz w:val="24"/>
          <w:szCs w:val="24"/>
        </w:rPr>
        <w:t xml:space="preserve">u privire la oamenii de creație și la uniunile de creație, </w:t>
      </w:r>
      <w:r w:rsidR="00B100F6" w:rsidRPr="00F34E9D">
        <w:rPr>
          <w:rFonts w:asciiTheme="majorHAnsi" w:hAnsiTheme="majorHAnsi" w:cstheme="majorHAnsi"/>
          <w:color w:val="0D0D0D" w:themeColor="text1" w:themeTint="F2"/>
          <w:sz w:val="24"/>
          <w:szCs w:val="24"/>
        </w:rPr>
        <w:t>i</w:t>
      </w:r>
      <w:r w:rsidRPr="00F34E9D">
        <w:rPr>
          <w:rFonts w:asciiTheme="majorHAnsi" w:hAnsiTheme="majorHAnsi" w:cstheme="majorHAnsi"/>
          <w:color w:val="0D0D0D" w:themeColor="text1" w:themeTint="F2"/>
          <w:sz w:val="24"/>
          <w:szCs w:val="24"/>
        </w:rPr>
        <w:t>ndemnizația lunară de merit în domeniul culturii se acordă în mărime de un salariu mediu pe economie realizat în anul precedent.</w:t>
      </w:r>
    </w:p>
    <w:p w14:paraId="3F2A40FB" w14:textId="1B00DA68" w:rsidR="0034597E" w:rsidRPr="00F34E9D" w:rsidRDefault="00627CAA" w:rsidP="00F42E6E">
      <w:pPr>
        <w:spacing w:after="0" w:line="276" w:lineRule="auto"/>
        <w:jc w:val="both"/>
        <w:rPr>
          <w:rFonts w:asciiTheme="majorHAnsi" w:hAnsiTheme="majorHAnsi" w:cstheme="majorHAnsi"/>
          <w:b/>
          <w:color w:val="0D0D0D" w:themeColor="text1" w:themeTint="F2"/>
          <w:sz w:val="24"/>
          <w:szCs w:val="24"/>
          <w:u w:val="single"/>
          <w:lang w:val="ro-RO"/>
        </w:rPr>
      </w:pPr>
      <w:r w:rsidRPr="00F34E9D">
        <w:rPr>
          <w:rFonts w:asciiTheme="majorHAnsi" w:hAnsiTheme="majorHAnsi" w:cstheme="majorHAnsi"/>
          <w:b/>
          <w:bCs/>
          <w:color w:val="0D0D0D" w:themeColor="text1" w:themeTint="F2"/>
          <w:sz w:val="24"/>
          <w:szCs w:val="24"/>
        </w:rPr>
        <w:t>6.</w:t>
      </w:r>
      <w:r w:rsidR="002363C3" w:rsidRPr="00F34E9D">
        <w:rPr>
          <w:rFonts w:asciiTheme="majorHAnsi" w:hAnsiTheme="majorHAnsi" w:cstheme="majorHAnsi"/>
          <w:b/>
          <w:bCs/>
          <w:color w:val="0D0D0D" w:themeColor="text1" w:themeTint="F2"/>
          <w:sz w:val="24"/>
          <w:szCs w:val="24"/>
        </w:rPr>
        <w:t xml:space="preserve">11. </w:t>
      </w:r>
      <w:r w:rsidR="0034597E" w:rsidRPr="00F34E9D">
        <w:rPr>
          <w:rFonts w:asciiTheme="majorHAnsi" w:hAnsiTheme="majorHAnsi" w:cstheme="majorHAnsi"/>
          <w:b/>
          <w:bCs/>
          <w:color w:val="0D0D0D" w:themeColor="text1" w:themeTint="F2"/>
          <w:sz w:val="24"/>
          <w:szCs w:val="24"/>
        </w:rPr>
        <w:t>Cu privire la</w:t>
      </w:r>
      <w:r w:rsidR="003E11BD" w:rsidRPr="00F34E9D">
        <w:rPr>
          <w:rFonts w:asciiTheme="majorHAnsi" w:hAnsiTheme="majorHAnsi" w:cstheme="majorHAnsi"/>
          <w:b/>
          <w:bCs/>
          <w:color w:val="0D0D0D" w:themeColor="text1" w:themeTint="F2"/>
          <w:sz w:val="24"/>
          <w:szCs w:val="24"/>
        </w:rPr>
        <w:t xml:space="preserve"> executarea</w:t>
      </w:r>
      <w:r w:rsidR="0034597E" w:rsidRPr="00F34E9D">
        <w:rPr>
          <w:rFonts w:asciiTheme="majorHAnsi" w:hAnsiTheme="majorHAnsi" w:cstheme="majorHAnsi"/>
          <w:b/>
          <w:bCs/>
          <w:color w:val="0D0D0D" w:themeColor="text1" w:themeTint="F2"/>
          <w:sz w:val="24"/>
          <w:szCs w:val="24"/>
        </w:rPr>
        <w:t xml:space="preserve"> </w:t>
      </w:r>
      <w:r w:rsidR="003E11BD" w:rsidRPr="00F34E9D">
        <w:rPr>
          <w:rFonts w:asciiTheme="majorHAnsi" w:hAnsiTheme="majorHAnsi" w:cstheme="majorHAnsi"/>
          <w:b/>
          <w:bCs/>
          <w:color w:val="0D0D0D" w:themeColor="text1" w:themeTint="F2"/>
          <w:sz w:val="24"/>
          <w:szCs w:val="24"/>
        </w:rPr>
        <w:t>moratoriului instituit de Guvern</w:t>
      </w:r>
      <w:r w:rsidR="00E43078" w:rsidRPr="00F34E9D">
        <w:rPr>
          <w:rFonts w:asciiTheme="majorHAnsi" w:hAnsiTheme="majorHAnsi" w:cstheme="majorHAnsi"/>
          <w:b/>
          <w:bCs/>
          <w:color w:val="0D0D0D" w:themeColor="text1" w:themeTint="F2"/>
          <w:sz w:val="24"/>
          <w:szCs w:val="24"/>
        </w:rPr>
        <w:t xml:space="preserve"> la încadrarea </w:t>
      </w:r>
      <w:r w:rsidR="004E4E81" w:rsidRPr="00F34E9D">
        <w:rPr>
          <w:rFonts w:asciiTheme="majorHAnsi" w:hAnsiTheme="majorHAnsi" w:cstheme="majorHAnsi"/>
          <w:b/>
          <w:bCs/>
          <w:color w:val="0D0D0D" w:themeColor="text1" w:themeTint="F2"/>
          <w:sz w:val="24"/>
          <w:szCs w:val="24"/>
        </w:rPr>
        <w:t>personalului</w:t>
      </w:r>
      <w:r w:rsidR="003E11BD" w:rsidRPr="00F34E9D">
        <w:rPr>
          <w:rFonts w:asciiTheme="majorHAnsi" w:hAnsiTheme="majorHAnsi" w:cstheme="majorHAnsi"/>
          <w:b/>
          <w:bCs/>
          <w:color w:val="0D0D0D" w:themeColor="text1" w:themeTint="F2"/>
          <w:sz w:val="24"/>
          <w:szCs w:val="24"/>
        </w:rPr>
        <w:t xml:space="preserve"> </w:t>
      </w:r>
    </w:p>
    <w:p w14:paraId="296A59D6" w14:textId="72B33445" w:rsidR="004E4E81" w:rsidRPr="00F34E9D" w:rsidRDefault="004E4E81" w:rsidP="0007105E">
      <w:pPr>
        <w:pStyle w:val="a3"/>
        <w:widowControl w:val="0"/>
        <w:shd w:val="clear" w:color="auto" w:fill="FFFFFF" w:themeFill="background1"/>
        <w:tabs>
          <w:tab w:val="left" w:pos="0"/>
          <w:tab w:val="left" w:pos="426"/>
        </w:tabs>
        <w:spacing w:after="0" w:line="276" w:lineRule="auto"/>
        <w:ind w:left="0"/>
        <w:jc w:val="both"/>
        <w:rPr>
          <w:rFonts w:asciiTheme="majorHAnsi" w:eastAsia="Times New Roman" w:hAnsiTheme="majorHAnsi" w:cstheme="majorHAnsi"/>
          <w:color w:val="0D0D0D" w:themeColor="text1" w:themeTint="F2"/>
          <w:sz w:val="24"/>
          <w:szCs w:val="24"/>
          <w:lang w:val="ro-RO" w:eastAsia="ru-RU"/>
        </w:rPr>
      </w:pPr>
      <w:r w:rsidRPr="00F34E9D">
        <w:rPr>
          <w:rFonts w:asciiTheme="majorHAnsi" w:eastAsia="Times New Roman" w:hAnsiTheme="majorHAnsi" w:cstheme="majorHAnsi"/>
          <w:color w:val="0D0D0D" w:themeColor="text1" w:themeTint="F2"/>
          <w:sz w:val="24"/>
          <w:szCs w:val="24"/>
          <w:lang w:eastAsia="ru-RU"/>
        </w:rPr>
        <w:t xml:space="preserve">Ministerul a contractat servicii </w:t>
      </w:r>
      <w:r w:rsidRPr="00F34E9D">
        <w:rPr>
          <w:rFonts w:asciiTheme="majorHAnsi" w:eastAsia="Times New Roman" w:hAnsiTheme="majorHAnsi" w:cstheme="majorHAnsi"/>
          <w:color w:val="0D0D0D" w:themeColor="text1" w:themeTint="F2"/>
          <w:sz w:val="24"/>
          <w:szCs w:val="24"/>
          <w:lang w:val="ro-RO" w:eastAsia="ru-RU"/>
        </w:rPr>
        <w:t>de suport și consiliere/consultanță aferente activității de audit intern/financiar-administrative</w:t>
      </w:r>
      <w:r w:rsidRPr="00F34E9D">
        <w:rPr>
          <w:rFonts w:asciiTheme="majorHAnsi" w:eastAsia="Times New Roman" w:hAnsiTheme="majorHAnsi" w:cstheme="majorHAnsi"/>
          <w:color w:val="0D0D0D" w:themeColor="text1" w:themeTint="F2"/>
          <w:sz w:val="24"/>
          <w:szCs w:val="24"/>
          <w:lang w:eastAsia="ru-RU"/>
        </w:rPr>
        <w:t xml:space="preserve">, dispunând de </w:t>
      </w:r>
      <w:r w:rsidRPr="00F34E9D">
        <w:rPr>
          <w:rFonts w:asciiTheme="majorHAnsi" w:eastAsia="Times New Roman" w:hAnsiTheme="majorHAnsi" w:cstheme="majorHAnsi"/>
          <w:color w:val="0D0D0D" w:themeColor="text1" w:themeTint="F2"/>
          <w:sz w:val="24"/>
          <w:szCs w:val="24"/>
          <w:lang w:val="ro-RO" w:eastAsia="ru-RU"/>
        </w:rPr>
        <w:t>unitățile vacante respective, a admis aplicarea neconformă a prevederilor H</w:t>
      </w:r>
      <w:r w:rsidR="00B100F6" w:rsidRPr="00F34E9D">
        <w:rPr>
          <w:rFonts w:asciiTheme="majorHAnsi" w:eastAsia="Times New Roman" w:hAnsiTheme="majorHAnsi" w:cstheme="majorHAnsi"/>
          <w:color w:val="0D0D0D" w:themeColor="text1" w:themeTint="F2"/>
          <w:sz w:val="24"/>
          <w:szCs w:val="24"/>
          <w:lang w:val="ro-RO" w:eastAsia="ru-RU"/>
        </w:rPr>
        <w:t>G</w:t>
      </w:r>
      <w:r w:rsidRPr="00F34E9D">
        <w:rPr>
          <w:rFonts w:asciiTheme="majorHAnsi" w:eastAsia="Times New Roman" w:hAnsiTheme="majorHAnsi" w:cstheme="majorHAnsi"/>
          <w:color w:val="0D0D0D" w:themeColor="text1" w:themeTint="F2"/>
          <w:sz w:val="24"/>
          <w:szCs w:val="24"/>
          <w:lang w:val="ro-RO" w:eastAsia="ru-RU"/>
        </w:rPr>
        <w:t xml:space="preserve"> nr.942 din 22.12.2020</w:t>
      </w:r>
      <w:r w:rsidR="00DF1BA8" w:rsidRPr="00F34E9D">
        <w:rPr>
          <w:rFonts w:asciiTheme="majorHAnsi" w:eastAsia="Times New Roman" w:hAnsiTheme="majorHAnsi" w:cstheme="majorHAnsi"/>
          <w:color w:val="0D0D0D" w:themeColor="text1" w:themeTint="F2"/>
          <w:sz w:val="24"/>
          <w:szCs w:val="24"/>
          <w:vertAlign w:val="superscript"/>
          <w:lang w:val="ro-RO" w:eastAsia="ru-RU"/>
        </w:rPr>
        <w:footnoteReference w:id="58"/>
      </w:r>
      <w:r w:rsidRPr="00F34E9D">
        <w:rPr>
          <w:rFonts w:asciiTheme="majorHAnsi" w:eastAsia="Times New Roman" w:hAnsiTheme="majorHAnsi" w:cstheme="majorHAnsi"/>
          <w:color w:val="0D0D0D" w:themeColor="text1" w:themeTint="F2"/>
          <w:sz w:val="24"/>
          <w:szCs w:val="24"/>
          <w:lang w:val="ro-RO" w:eastAsia="ru-RU"/>
        </w:rPr>
        <w:t xml:space="preserve"> și efectuarea unor cheltuieli neoportune în anul 2021 în sumă de 49,3 mii lei.</w:t>
      </w:r>
    </w:p>
    <w:p w14:paraId="530BA0FE" w14:textId="5E5A1C73" w:rsidR="00F03CCE" w:rsidRPr="00F34E9D" w:rsidRDefault="008C1B57">
      <w:pPr>
        <w:pStyle w:val="a3"/>
        <w:widowControl w:val="0"/>
        <w:shd w:val="clear" w:color="auto" w:fill="FFFFFF" w:themeFill="background1"/>
        <w:tabs>
          <w:tab w:val="left" w:pos="0"/>
          <w:tab w:val="left" w:pos="426"/>
        </w:tabs>
        <w:spacing w:after="0" w:line="276" w:lineRule="auto"/>
        <w:ind w:left="0"/>
        <w:jc w:val="both"/>
        <w:rPr>
          <w:rFonts w:asciiTheme="majorHAnsi" w:hAnsiTheme="majorHAnsi" w:cstheme="majorHAnsi"/>
          <w:color w:val="0D0D0D" w:themeColor="text1" w:themeTint="F2"/>
          <w:sz w:val="24"/>
          <w:szCs w:val="24"/>
          <w:lang w:val="ro-RO"/>
        </w:rPr>
      </w:pPr>
      <w:r w:rsidRPr="00F34E9D">
        <w:rPr>
          <w:rFonts w:asciiTheme="majorHAnsi" w:eastAsia="Times New Roman" w:hAnsiTheme="majorHAnsi" w:cstheme="majorHAnsi"/>
          <w:color w:val="0D0D0D" w:themeColor="text1" w:themeTint="F2"/>
          <w:sz w:val="24"/>
          <w:szCs w:val="24"/>
          <w:lang w:val="ro-RO" w:eastAsia="ru-RU"/>
        </w:rPr>
        <w:t xml:space="preserve">Contractarea serviciilor </w:t>
      </w:r>
      <w:r w:rsidRPr="00F34E9D">
        <w:rPr>
          <w:rFonts w:asciiTheme="majorHAnsi" w:eastAsia="Times New Roman" w:hAnsiTheme="majorHAnsi" w:cstheme="majorHAnsi"/>
          <w:bCs/>
          <w:color w:val="0D0D0D" w:themeColor="text1" w:themeTint="F2"/>
          <w:sz w:val="24"/>
          <w:szCs w:val="24"/>
          <w:lang w:val="ro-RO" w:eastAsia="ru-RU"/>
        </w:rPr>
        <w:t>ce țin de efectuarea lucrărilor/muncilor</w:t>
      </w:r>
      <w:r w:rsidRPr="00F34E9D">
        <w:rPr>
          <w:rFonts w:asciiTheme="majorHAnsi" w:eastAsia="Times New Roman" w:hAnsiTheme="majorHAnsi" w:cstheme="majorHAnsi"/>
          <w:color w:val="0D0D0D" w:themeColor="text1" w:themeTint="F2"/>
          <w:sz w:val="24"/>
          <w:szCs w:val="24"/>
          <w:lang w:val="ro-RO" w:eastAsia="ru-RU"/>
        </w:rPr>
        <w:t xml:space="preserve"> a </w:t>
      </w:r>
      <w:r w:rsidR="004E4E81" w:rsidRPr="00F34E9D">
        <w:rPr>
          <w:rFonts w:asciiTheme="majorHAnsi" w:eastAsia="Times New Roman" w:hAnsiTheme="majorHAnsi" w:cstheme="majorHAnsi"/>
          <w:color w:val="0D0D0D" w:themeColor="text1" w:themeTint="F2"/>
          <w:sz w:val="24"/>
          <w:szCs w:val="24"/>
          <w:lang w:val="ro-RO" w:eastAsia="ru-RU"/>
        </w:rPr>
        <w:t xml:space="preserve">reprezentat </w:t>
      </w:r>
      <w:r w:rsidRPr="00F34E9D">
        <w:rPr>
          <w:rFonts w:asciiTheme="majorHAnsi" w:eastAsia="Times New Roman" w:hAnsiTheme="majorHAnsi" w:cstheme="majorHAnsi"/>
          <w:color w:val="0D0D0D" w:themeColor="text1" w:themeTint="F2"/>
          <w:sz w:val="24"/>
          <w:szCs w:val="24"/>
          <w:lang w:val="ro-RO" w:eastAsia="ru-RU"/>
        </w:rPr>
        <w:t xml:space="preserve">o eschivare de la </w:t>
      </w:r>
      <w:r w:rsidR="004E4E81" w:rsidRPr="00F34E9D">
        <w:rPr>
          <w:rFonts w:asciiTheme="majorHAnsi" w:eastAsia="Times New Roman" w:hAnsiTheme="majorHAnsi" w:cstheme="majorHAnsi"/>
          <w:color w:val="0D0D0D" w:themeColor="text1" w:themeTint="F2"/>
          <w:sz w:val="24"/>
          <w:szCs w:val="24"/>
          <w:lang w:val="ro-RO" w:eastAsia="ru-RU"/>
        </w:rPr>
        <w:t>respectarea prevederilor HG</w:t>
      </w:r>
      <w:r w:rsidRPr="00F34E9D">
        <w:rPr>
          <w:rFonts w:asciiTheme="majorHAnsi" w:eastAsia="Times New Roman" w:hAnsiTheme="majorHAnsi" w:cstheme="majorHAnsi"/>
          <w:color w:val="0D0D0D" w:themeColor="text1" w:themeTint="F2"/>
          <w:sz w:val="24"/>
          <w:szCs w:val="24"/>
          <w:lang w:val="ro-RO" w:eastAsia="ru-RU"/>
        </w:rPr>
        <w:t xml:space="preserve"> </w:t>
      </w:r>
      <w:r w:rsidR="00B100F6" w:rsidRPr="00F34E9D">
        <w:rPr>
          <w:rFonts w:asciiTheme="majorHAnsi" w:eastAsia="Times New Roman" w:hAnsiTheme="majorHAnsi" w:cstheme="majorHAnsi"/>
          <w:color w:val="0D0D0D" w:themeColor="text1" w:themeTint="F2"/>
          <w:sz w:val="24"/>
          <w:szCs w:val="24"/>
          <w:lang w:val="ro-RO" w:eastAsia="ru-RU"/>
        </w:rPr>
        <w:t>menționate</w:t>
      </w:r>
      <w:r w:rsidRPr="00F34E9D">
        <w:rPr>
          <w:rFonts w:asciiTheme="majorHAnsi" w:eastAsia="Times New Roman" w:hAnsiTheme="majorHAnsi" w:cstheme="majorHAnsi"/>
          <w:color w:val="0D0D0D" w:themeColor="text1" w:themeTint="F2"/>
          <w:sz w:val="24"/>
          <w:szCs w:val="24"/>
          <w:lang w:val="ro-RO" w:eastAsia="ru-RU"/>
        </w:rPr>
        <w:t>, prin care s-a reglementat moratoriu</w:t>
      </w:r>
      <w:r w:rsidR="00B100F6" w:rsidRPr="00F34E9D">
        <w:rPr>
          <w:rFonts w:asciiTheme="majorHAnsi" w:eastAsia="Times New Roman" w:hAnsiTheme="majorHAnsi" w:cstheme="majorHAnsi"/>
          <w:color w:val="0D0D0D" w:themeColor="text1" w:themeTint="F2"/>
          <w:sz w:val="24"/>
          <w:szCs w:val="24"/>
          <w:lang w:val="ro-RO" w:eastAsia="ru-RU"/>
        </w:rPr>
        <w:t>l</w:t>
      </w:r>
      <w:r w:rsidRPr="00F34E9D">
        <w:rPr>
          <w:rFonts w:asciiTheme="majorHAnsi" w:eastAsia="Times New Roman" w:hAnsiTheme="majorHAnsi" w:cstheme="majorHAnsi"/>
          <w:color w:val="0D0D0D" w:themeColor="text1" w:themeTint="F2"/>
          <w:sz w:val="24"/>
          <w:szCs w:val="24"/>
          <w:lang w:val="ro-RO" w:eastAsia="ru-RU"/>
        </w:rPr>
        <w:t xml:space="preserve"> temporar privind încadrarea personalului în instituțiile/autoritățile publice în funcțiile vacante înregistrate la data de 30 noiembrie 2020 (total pe MECC – 377 </w:t>
      </w:r>
      <w:r w:rsidR="00B100F6" w:rsidRPr="00F34E9D">
        <w:rPr>
          <w:rFonts w:asciiTheme="majorHAnsi" w:eastAsia="Times New Roman" w:hAnsiTheme="majorHAnsi" w:cstheme="majorHAnsi"/>
          <w:color w:val="0D0D0D" w:themeColor="text1" w:themeTint="F2"/>
          <w:sz w:val="24"/>
          <w:szCs w:val="24"/>
          <w:lang w:val="ro-RO" w:eastAsia="ru-RU"/>
        </w:rPr>
        <w:t xml:space="preserve">de </w:t>
      </w:r>
      <w:r w:rsidRPr="00F34E9D">
        <w:rPr>
          <w:rFonts w:asciiTheme="majorHAnsi" w:eastAsia="Times New Roman" w:hAnsiTheme="majorHAnsi" w:cstheme="majorHAnsi"/>
          <w:color w:val="0D0D0D" w:themeColor="text1" w:themeTint="F2"/>
          <w:sz w:val="24"/>
          <w:szCs w:val="24"/>
          <w:lang w:val="ro-RO" w:eastAsia="ru-RU"/>
        </w:rPr>
        <w:t>unități vacante).</w:t>
      </w:r>
      <w:r w:rsidRPr="00F34E9D">
        <w:rPr>
          <w:rFonts w:asciiTheme="majorHAnsi" w:hAnsiTheme="majorHAnsi" w:cstheme="majorHAnsi"/>
          <w:color w:val="0D0D0D" w:themeColor="text1" w:themeTint="F2"/>
          <w:sz w:val="24"/>
          <w:szCs w:val="24"/>
          <w:lang w:val="ro-RO"/>
        </w:rPr>
        <w:t xml:space="preserve"> </w:t>
      </w:r>
    </w:p>
    <w:p w14:paraId="357D3EBD" w14:textId="035AF516" w:rsidR="00681CAB" w:rsidRPr="00F34E9D" w:rsidRDefault="00681CAB" w:rsidP="00F42E6E">
      <w:pPr>
        <w:shd w:val="clear" w:color="auto" w:fill="FFFFFF" w:themeFill="background1"/>
        <w:tabs>
          <w:tab w:val="left" w:pos="0"/>
        </w:tabs>
        <w:spacing w:after="0" w:line="276" w:lineRule="auto"/>
        <w:jc w:val="both"/>
        <w:rPr>
          <w:rFonts w:asciiTheme="majorHAnsi" w:hAnsiTheme="majorHAnsi" w:cstheme="majorHAnsi"/>
          <w:color w:val="0D0D0D" w:themeColor="text1" w:themeTint="F2"/>
          <w:sz w:val="24"/>
          <w:szCs w:val="26"/>
          <w:lang w:val="ro-RO"/>
        </w:rPr>
      </w:pPr>
      <w:r w:rsidRPr="00F34E9D">
        <w:rPr>
          <w:rFonts w:asciiTheme="majorHAnsi" w:hAnsiTheme="majorHAnsi" w:cstheme="majorHAnsi"/>
          <w:color w:val="0D0D0D" w:themeColor="text1" w:themeTint="F2"/>
          <w:sz w:val="24"/>
          <w:szCs w:val="26"/>
          <w:lang w:val="ro-RO"/>
        </w:rPr>
        <w:t xml:space="preserve">Executarea prevederilor </w:t>
      </w:r>
      <w:r w:rsidR="004E4E81" w:rsidRPr="00F34E9D">
        <w:rPr>
          <w:rFonts w:asciiTheme="majorHAnsi" w:hAnsiTheme="majorHAnsi" w:cstheme="majorHAnsi"/>
          <w:color w:val="0D0D0D" w:themeColor="text1" w:themeTint="F2"/>
          <w:sz w:val="24"/>
          <w:szCs w:val="26"/>
          <w:lang w:val="ro-RO"/>
        </w:rPr>
        <w:t>HG</w:t>
      </w:r>
      <w:r w:rsidRPr="00F34E9D">
        <w:rPr>
          <w:rFonts w:asciiTheme="majorHAnsi" w:hAnsiTheme="majorHAnsi" w:cstheme="majorHAnsi"/>
          <w:color w:val="0D0D0D" w:themeColor="text1" w:themeTint="F2"/>
          <w:sz w:val="24"/>
          <w:szCs w:val="26"/>
          <w:lang w:val="ro-RO"/>
        </w:rPr>
        <w:t xml:space="preserve"> nr.942 din 22.12.2020, în esență, nu a asigurat o economisire viabilă a mijloacelor financiare aferente fondurilor anuale de salarizare pentru instituțiile/autoritățile publice, deoarece planificarea fondului de salarizare pentru funcțiile vacante de personal s-a efectuat în anul 2021 fără restricții (la </w:t>
      </w:r>
      <w:r w:rsidR="007B5EE5" w:rsidRPr="00F34E9D">
        <w:rPr>
          <w:rFonts w:asciiTheme="majorHAnsi" w:hAnsiTheme="majorHAnsi" w:cstheme="majorHAnsi"/>
          <w:color w:val="0D0D0D" w:themeColor="text1" w:themeTint="F2"/>
          <w:sz w:val="24"/>
          <w:szCs w:val="26"/>
          <w:lang w:val="ro-RO"/>
        </w:rPr>
        <w:t xml:space="preserve">4 </w:t>
      </w:r>
      <w:r w:rsidRPr="00F34E9D">
        <w:rPr>
          <w:rFonts w:asciiTheme="majorHAnsi" w:hAnsiTheme="majorHAnsi" w:cstheme="majorHAnsi"/>
          <w:color w:val="0D0D0D" w:themeColor="text1" w:themeTint="F2"/>
          <w:sz w:val="24"/>
          <w:szCs w:val="26"/>
          <w:lang w:val="ro-RO"/>
        </w:rPr>
        <w:t xml:space="preserve">entități </w:t>
      </w:r>
      <w:r w:rsidR="00B87F4A" w:rsidRPr="00F34E9D">
        <w:rPr>
          <w:rFonts w:asciiTheme="majorHAnsi" w:hAnsiTheme="majorHAnsi" w:cstheme="majorHAnsi"/>
          <w:color w:val="0D0D0D" w:themeColor="text1" w:themeTint="F2"/>
          <w:sz w:val="24"/>
          <w:szCs w:val="26"/>
          <w:lang w:val="ro-RO"/>
        </w:rPr>
        <w:t xml:space="preserve">auditate </w:t>
      </w:r>
      <w:r w:rsidRPr="00F34E9D">
        <w:rPr>
          <w:rFonts w:asciiTheme="majorHAnsi" w:hAnsiTheme="majorHAnsi" w:cstheme="majorHAnsi"/>
          <w:color w:val="0D0D0D" w:themeColor="text1" w:themeTint="F2"/>
          <w:sz w:val="24"/>
          <w:szCs w:val="26"/>
          <w:lang w:val="ro-RO"/>
        </w:rPr>
        <w:t xml:space="preserve">pentru </w:t>
      </w:r>
      <w:r w:rsidR="007B5EE5" w:rsidRPr="00F34E9D">
        <w:rPr>
          <w:rFonts w:asciiTheme="majorHAnsi" w:hAnsiTheme="majorHAnsi" w:cstheme="majorHAnsi"/>
          <w:color w:val="0D0D0D" w:themeColor="text1" w:themeTint="F2"/>
          <w:sz w:val="24"/>
          <w:szCs w:val="26"/>
          <w:lang w:val="ro-RO"/>
        </w:rPr>
        <w:t xml:space="preserve">53 </w:t>
      </w:r>
      <w:r w:rsidR="00B100F6" w:rsidRPr="00F34E9D">
        <w:rPr>
          <w:rFonts w:asciiTheme="majorHAnsi" w:hAnsiTheme="majorHAnsi" w:cstheme="majorHAnsi"/>
          <w:color w:val="0D0D0D" w:themeColor="text1" w:themeTint="F2"/>
          <w:sz w:val="24"/>
          <w:szCs w:val="26"/>
          <w:lang w:val="ro-RO"/>
        </w:rPr>
        <w:t xml:space="preserve">de </w:t>
      </w:r>
      <w:r w:rsidRPr="00F34E9D">
        <w:rPr>
          <w:rFonts w:asciiTheme="majorHAnsi" w:hAnsiTheme="majorHAnsi" w:cstheme="majorHAnsi"/>
          <w:color w:val="0D0D0D" w:themeColor="text1" w:themeTint="F2"/>
          <w:sz w:val="24"/>
          <w:szCs w:val="26"/>
          <w:lang w:val="ro-RO"/>
        </w:rPr>
        <w:t xml:space="preserve">funcții </w:t>
      </w:r>
      <w:r w:rsidR="004E4E81" w:rsidRPr="00F34E9D">
        <w:rPr>
          <w:rFonts w:asciiTheme="majorHAnsi" w:hAnsiTheme="majorHAnsi" w:cstheme="majorHAnsi"/>
          <w:color w:val="0D0D0D" w:themeColor="text1" w:themeTint="F2"/>
          <w:sz w:val="24"/>
          <w:szCs w:val="26"/>
          <w:lang w:val="ro-RO"/>
        </w:rPr>
        <w:t xml:space="preserve">în sumă de </w:t>
      </w:r>
      <w:r w:rsidR="007B5EE5" w:rsidRPr="00F34E9D">
        <w:rPr>
          <w:rFonts w:asciiTheme="majorHAnsi" w:hAnsiTheme="majorHAnsi" w:cstheme="majorHAnsi"/>
          <w:color w:val="0D0D0D" w:themeColor="text1" w:themeTint="F2"/>
          <w:sz w:val="24"/>
          <w:szCs w:val="26"/>
          <w:lang w:val="ro-RO"/>
        </w:rPr>
        <w:t>3,0</w:t>
      </w:r>
      <w:r w:rsidRPr="00F34E9D">
        <w:rPr>
          <w:rFonts w:asciiTheme="majorHAnsi" w:hAnsiTheme="majorHAnsi" w:cstheme="majorHAnsi"/>
          <w:color w:val="0D0D0D" w:themeColor="text1" w:themeTint="F2"/>
          <w:sz w:val="24"/>
          <w:szCs w:val="26"/>
          <w:lang w:val="ro-RO"/>
        </w:rPr>
        <w:t xml:space="preserve"> mil.lei</w:t>
      </w:r>
      <w:r w:rsidRPr="00F34E9D">
        <w:rPr>
          <w:rStyle w:val="a7"/>
          <w:rFonts w:asciiTheme="majorHAnsi" w:hAnsiTheme="majorHAnsi" w:cstheme="majorHAnsi"/>
          <w:color w:val="0D0D0D" w:themeColor="text1" w:themeTint="F2"/>
          <w:sz w:val="24"/>
          <w:szCs w:val="26"/>
          <w:lang w:val="ro-RO"/>
        </w:rPr>
        <w:footnoteReference w:id="59"/>
      </w:r>
      <w:r w:rsidRPr="00F34E9D">
        <w:rPr>
          <w:rFonts w:asciiTheme="majorHAnsi" w:hAnsiTheme="majorHAnsi" w:cstheme="majorHAnsi"/>
          <w:color w:val="0D0D0D" w:themeColor="text1" w:themeTint="F2"/>
          <w:sz w:val="24"/>
          <w:szCs w:val="26"/>
          <w:lang w:val="ro-RO"/>
        </w:rPr>
        <w:t>).</w:t>
      </w:r>
    </w:p>
    <w:p w14:paraId="20DC9B93" w14:textId="77777777" w:rsidR="00681CAB" w:rsidRPr="00F34E9D" w:rsidRDefault="00681CAB" w:rsidP="0007105E">
      <w:pPr>
        <w:spacing w:after="0" w:line="276" w:lineRule="auto"/>
        <w:jc w:val="both"/>
        <w:rPr>
          <w:rFonts w:asciiTheme="majorHAnsi" w:hAnsiTheme="majorHAnsi" w:cstheme="majorHAnsi"/>
          <w:color w:val="0D0D0D" w:themeColor="text1" w:themeTint="F2"/>
          <w:sz w:val="24"/>
          <w:szCs w:val="26"/>
          <w:lang w:val="ro-RO"/>
        </w:rPr>
      </w:pPr>
      <w:r w:rsidRPr="00F34E9D">
        <w:rPr>
          <w:rFonts w:asciiTheme="majorHAnsi" w:hAnsiTheme="majorHAnsi" w:cstheme="majorHAnsi"/>
          <w:color w:val="0D0D0D" w:themeColor="text1" w:themeTint="F2"/>
          <w:sz w:val="24"/>
          <w:szCs w:val="26"/>
          <w:lang w:val="ro-RO"/>
        </w:rPr>
        <w:t>Efectiv, alocațiile aprobate pentru funcțiile vacante supuse moratoriului sunt utilizate ca spor pentru cumulare/cumul de funcții, pentru munca suplimentară/supraprogram etc.</w:t>
      </w:r>
    </w:p>
    <w:p w14:paraId="4A4911BF" w14:textId="28B78C97" w:rsidR="00681CAB" w:rsidRPr="00F34E9D" w:rsidRDefault="00681CAB">
      <w:pPr>
        <w:spacing w:after="0" w:line="276" w:lineRule="auto"/>
        <w:jc w:val="both"/>
        <w:rPr>
          <w:rFonts w:asciiTheme="majorHAnsi" w:hAnsiTheme="majorHAnsi" w:cstheme="majorHAnsi"/>
          <w:color w:val="0D0D0D" w:themeColor="text1" w:themeTint="F2"/>
          <w:sz w:val="24"/>
          <w:szCs w:val="26"/>
          <w:lang w:val="ro-RO"/>
        </w:rPr>
      </w:pPr>
      <w:r w:rsidRPr="00F34E9D">
        <w:rPr>
          <w:rFonts w:asciiTheme="majorHAnsi" w:hAnsiTheme="majorHAnsi" w:cstheme="majorHAnsi"/>
          <w:color w:val="0D0D0D" w:themeColor="text1" w:themeTint="F2"/>
          <w:sz w:val="24"/>
          <w:szCs w:val="26"/>
          <w:lang w:val="ro-RO"/>
        </w:rPr>
        <w:t xml:space="preserve">Se constată situații când alocațiile bugetare pentru salarizare neutilizate la închiderea anului de gestiune, în raport </w:t>
      </w:r>
      <w:r w:rsidR="004E4E81" w:rsidRPr="00F34E9D">
        <w:rPr>
          <w:rFonts w:asciiTheme="majorHAnsi" w:hAnsiTheme="majorHAnsi" w:cstheme="majorHAnsi"/>
          <w:color w:val="0D0D0D" w:themeColor="text1" w:themeTint="F2"/>
          <w:sz w:val="24"/>
          <w:szCs w:val="26"/>
          <w:lang w:val="ro-RO"/>
        </w:rPr>
        <w:t xml:space="preserve">cu </w:t>
      </w:r>
      <w:r w:rsidRPr="00F34E9D">
        <w:rPr>
          <w:rFonts w:asciiTheme="majorHAnsi" w:hAnsiTheme="majorHAnsi" w:cstheme="majorHAnsi"/>
          <w:color w:val="0D0D0D" w:themeColor="text1" w:themeTint="F2"/>
          <w:sz w:val="24"/>
          <w:szCs w:val="26"/>
          <w:lang w:val="ro-RO"/>
        </w:rPr>
        <w:t>sumele planificate pentru funcțiile supuse moratoriului, fie că nu au fost</w:t>
      </w:r>
      <w:r w:rsidR="004E4E81" w:rsidRPr="00F34E9D">
        <w:rPr>
          <w:rFonts w:asciiTheme="majorHAnsi" w:hAnsiTheme="majorHAnsi" w:cstheme="majorHAnsi"/>
          <w:color w:val="0D0D0D" w:themeColor="text1" w:themeTint="F2"/>
          <w:sz w:val="24"/>
          <w:szCs w:val="26"/>
          <w:lang w:val="ro-RO"/>
        </w:rPr>
        <w:t xml:space="preserve"> înregistrate</w:t>
      </w:r>
      <w:r w:rsidRPr="00F34E9D">
        <w:rPr>
          <w:rFonts w:asciiTheme="majorHAnsi" w:hAnsiTheme="majorHAnsi" w:cstheme="majorHAnsi"/>
          <w:color w:val="0D0D0D" w:themeColor="text1" w:themeTint="F2"/>
          <w:sz w:val="24"/>
          <w:szCs w:val="26"/>
          <w:lang w:val="ro-RO"/>
        </w:rPr>
        <w:t>, fie că au avut o valoare mai mică în comparație cu fondurile planificate inițial pentru funcțiile supuse moratoriului</w:t>
      </w:r>
      <w:r w:rsidRPr="00F34E9D">
        <w:rPr>
          <w:rStyle w:val="a7"/>
          <w:rFonts w:asciiTheme="majorHAnsi" w:hAnsiTheme="majorHAnsi" w:cstheme="majorHAnsi"/>
          <w:color w:val="0D0D0D" w:themeColor="text1" w:themeTint="F2"/>
          <w:sz w:val="24"/>
          <w:szCs w:val="26"/>
          <w:lang w:val="ro-RO"/>
        </w:rPr>
        <w:footnoteReference w:id="60"/>
      </w:r>
      <w:r w:rsidRPr="00F34E9D">
        <w:rPr>
          <w:rFonts w:asciiTheme="majorHAnsi" w:hAnsiTheme="majorHAnsi" w:cstheme="majorHAnsi"/>
          <w:color w:val="0D0D0D" w:themeColor="text1" w:themeTint="F2"/>
          <w:sz w:val="24"/>
          <w:szCs w:val="26"/>
          <w:lang w:val="ro-RO"/>
        </w:rPr>
        <w:t>.</w:t>
      </w:r>
    </w:p>
    <w:p w14:paraId="703AA0D4" w14:textId="6E36FE10" w:rsidR="00681CAB" w:rsidRPr="00F34E9D" w:rsidRDefault="00681CAB" w:rsidP="002F35AD">
      <w:pPr>
        <w:spacing w:after="0" w:line="276" w:lineRule="auto"/>
        <w:jc w:val="both"/>
        <w:rPr>
          <w:rFonts w:asciiTheme="majorHAnsi" w:hAnsiTheme="majorHAnsi" w:cstheme="majorHAnsi"/>
          <w:color w:val="0D0D0D" w:themeColor="text1" w:themeTint="F2"/>
          <w:sz w:val="24"/>
          <w:szCs w:val="26"/>
        </w:rPr>
      </w:pPr>
      <w:r w:rsidRPr="00F34E9D">
        <w:rPr>
          <w:rFonts w:asciiTheme="majorHAnsi" w:hAnsiTheme="majorHAnsi" w:cstheme="majorHAnsi"/>
          <w:color w:val="0D0D0D" w:themeColor="text1" w:themeTint="F2"/>
          <w:sz w:val="24"/>
          <w:szCs w:val="26"/>
          <w:lang w:val="ro-RO"/>
        </w:rPr>
        <w:t xml:space="preserve">În același timp, auditul menționează lipsa unei conformități și </w:t>
      </w:r>
      <w:r w:rsidR="00B100F6" w:rsidRPr="00F34E9D">
        <w:rPr>
          <w:rFonts w:asciiTheme="majorHAnsi" w:hAnsiTheme="majorHAnsi" w:cstheme="majorHAnsi"/>
          <w:color w:val="0D0D0D" w:themeColor="text1" w:themeTint="F2"/>
          <w:sz w:val="24"/>
          <w:szCs w:val="26"/>
          <w:lang w:val="ro-RO"/>
        </w:rPr>
        <w:t xml:space="preserve">a unor </w:t>
      </w:r>
      <w:r w:rsidRPr="00F34E9D">
        <w:rPr>
          <w:rFonts w:asciiTheme="majorHAnsi" w:hAnsiTheme="majorHAnsi" w:cstheme="majorHAnsi"/>
          <w:color w:val="0D0D0D" w:themeColor="text1" w:themeTint="F2"/>
          <w:sz w:val="24"/>
          <w:szCs w:val="26"/>
          <w:lang w:val="ro-RO"/>
        </w:rPr>
        <w:t>criterii în stabilirea acestor funcții vacante</w:t>
      </w:r>
      <w:r w:rsidRPr="00F34E9D">
        <w:rPr>
          <w:rStyle w:val="a7"/>
          <w:rFonts w:asciiTheme="majorHAnsi" w:hAnsiTheme="majorHAnsi" w:cstheme="majorHAnsi"/>
          <w:color w:val="0D0D0D" w:themeColor="text1" w:themeTint="F2"/>
          <w:sz w:val="24"/>
          <w:szCs w:val="26"/>
          <w:lang w:val="ro-RO"/>
        </w:rPr>
        <w:footnoteReference w:id="61"/>
      </w:r>
      <w:r w:rsidRPr="00F34E9D">
        <w:rPr>
          <w:rFonts w:asciiTheme="majorHAnsi" w:hAnsiTheme="majorHAnsi" w:cstheme="majorHAnsi"/>
          <w:color w:val="0D0D0D" w:themeColor="text1" w:themeTint="F2"/>
          <w:sz w:val="24"/>
          <w:szCs w:val="26"/>
          <w:lang w:val="ro-RO"/>
        </w:rPr>
        <w:t>,</w:t>
      </w:r>
      <w:r w:rsidRPr="00F34E9D">
        <w:rPr>
          <w:rFonts w:asciiTheme="majorHAnsi" w:eastAsia="Times New Roman" w:hAnsiTheme="majorHAnsi" w:cstheme="majorHAnsi"/>
          <w:color w:val="0D0D0D" w:themeColor="text1" w:themeTint="F2"/>
          <w:sz w:val="24"/>
          <w:szCs w:val="26"/>
        </w:rPr>
        <w:t xml:space="preserve"> ceea ce nu asigură realizarea obiectivelor propuse </w:t>
      </w:r>
      <w:r w:rsidR="00B100F6" w:rsidRPr="00F34E9D">
        <w:rPr>
          <w:rFonts w:asciiTheme="majorHAnsi" w:eastAsia="Times New Roman" w:hAnsiTheme="majorHAnsi" w:cstheme="majorHAnsi"/>
          <w:color w:val="0D0D0D" w:themeColor="text1" w:themeTint="F2"/>
          <w:sz w:val="24"/>
          <w:szCs w:val="26"/>
        </w:rPr>
        <w:t xml:space="preserve">pentru </w:t>
      </w:r>
      <w:r w:rsidRPr="00F34E9D">
        <w:rPr>
          <w:rFonts w:asciiTheme="majorHAnsi" w:eastAsia="Times New Roman" w:hAnsiTheme="majorHAnsi" w:cstheme="majorHAnsi"/>
          <w:color w:val="0D0D0D" w:themeColor="text1" w:themeTint="F2"/>
          <w:sz w:val="24"/>
          <w:szCs w:val="26"/>
        </w:rPr>
        <w:t>gestionarea mai bună a resurselor financiare disponibile</w:t>
      </w:r>
      <w:r w:rsidRPr="00F34E9D">
        <w:rPr>
          <w:rFonts w:asciiTheme="majorHAnsi" w:hAnsiTheme="majorHAnsi" w:cstheme="majorHAnsi"/>
          <w:color w:val="0D0D0D" w:themeColor="text1" w:themeTint="F2"/>
          <w:sz w:val="24"/>
          <w:szCs w:val="26"/>
          <w:lang w:val="ro-RO"/>
        </w:rPr>
        <w:t xml:space="preserve">. </w:t>
      </w:r>
      <w:r w:rsidRPr="00F34E9D">
        <w:rPr>
          <w:rFonts w:asciiTheme="majorHAnsi" w:hAnsiTheme="majorHAnsi" w:cstheme="majorHAnsi"/>
          <w:color w:val="0D0D0D" w:themeColor="text1" w:themeTint="F2"/>
          <w:sz w:val="24"/>
          <w:szCs w:val="26"/>
        </w:rPr>
        <w:t>Astfel, constatăm includerea în lista funcțiilor vacante a unităților aferente personalului auxiliar</w:t>
      </w:r>
      <w:r w:rsidRPr="00F34E9D">
        <w:rPr>
          <w:rStyle w:val="a7"/>
          <w:rFonts w:asciiTheme="majorHAnsi" w:hAnsiTheme="majorHAnsi" w:cstheme="majorHAnsi"/>
          <w:color w:val="0D0D0D" w:themeColor="text1" w:themeTint="F2"/>
          <w:sz w:val="24"/>
          <w:szCs w:val="26"/>
        </w:rPr>
        <w:footnoteReference w:id="62"/>
      </w:r>
      <w:r w:rsidR="00B100F6" w:rsidRPr="00F34E9D">
        <w:rPr>
          <w:rFonts w:asciiTheme="majorHAnsi" w:hAnsiTheme="majorHAnsi" w:cstheme="majorHAnsi"/>
          <w:color w:val="0D0D0D" w:themeColor="text1" w:themeTint="F2"/>
          <w:sz w:val="24"/>
          <w:szCs w:val="26"/>
        </w:rPr>
        <w:t>,</w:t>
      </w:r>
      <w:r w:rsidRPr="00F34E9D">
        <w:rPr>
          <w:rFonts w:asciiTheme="majorHAnsi" w:hAnsiTheme="majorHAnsi" w:cstheme="majorHAnsi"/>
          <w:color w:val="0D0D0D" w:themeColor="text1" w:themeTint="F2"/>
          <w:sz w:val="24"/>
          <w:szCs w:val="26"/>
        </w:rPr>
        <w:t xml:space="preserve"> </w:t>
      </w:r>
      <w:r w:rsidR="001602BE" w:rsidRPr="00F34E9D">
        <w:rPr>
          <w:rFonts w:asciiTheme="majorHAnsi" w:hAnsiTheme="majorHAnsi" w:cstheme="majorHAnsi"/>
          <w:color w:val="0D0D0D" w:themeColor="text1" w:themeTint="F2"/>
          <w:sz w:val="24"/>
          <w:szCs w:val="26"/>
        </w:rPr>
        <w:t xml:space="preserve">necesare asigurării activității unor entități </w:t>
      </w:r>
      <w:r w:rsidRPr="00F34E9D">
        <w:rPr>
          <w:rFonts w:asciiTheme="majorHAnsi" w:hAnsiTheme="majorHAnsi" w:cstheme="majorHAnsi"/>
          <w:color w:val="0D0D0D" w:themeColor="text1" w:themeTint="F2"/>
          <w:sz w:val="24"/>
          <w:szCs w:val="26"/>
        </w:rPr>
        <w:t>care sunt taxate ca ocupate „neregulamentar” de instituțiile statului de control/inspecție, precum și nedeclar</w:t>
      </w:r>
      <w:r w:rsidR="002E6035" w:rsidRPr="00F34E9D">
        <w:rPr>
          <w:rFonts w:asciiTheme="majorHAnsi" w:hAnsiTheme="majorHAnsi" w:cstheme="majorHAnsi"/>
          <w:color w:val="0D0D0D" w:themeColor="text1" w:themeTint="F2"/>
          <w:sz w:val="24"/>
          <w:szCs w:val="26"/>
        </w:rPr>
        <w:t xml:space="preserve">area </w:t>
      </w:r>
      <w:r w:rsidRPr="00F34E9D">
        <w:rPr>
          <w:rFonts w:asciiTheme="majorHAnsi" w:hAnsiTheme="majorHAnsi" w:cstheme="majorHAnsi"/>
          <w:color w:val="0D0D0D" w:themeColor="text1" w:themeTint="F2"/>
          <w:sz w:val="24"/>
          <w:szCs w:val="26"/>
        </w:rPr>
        <w:t xml:space="preserve">în rapoartele financiare </w:t>
      </w:r>
      <w:r w:rsidR="002E6035" w:rsidRPr="00F34E9D">
        <w:rPr>
          <w:rFonts w:asciiTheme="majorHAnsi" w:hAnsiTheme="majorHAnsi" w:cstheme="majorHAnsi"/>
          <w:color w:val="0D0D0D" w:themeColor="text1" w:themeTint="F2"/>
          <w:sz w:val="24"/>
          <w:szCs w:val="26"/>
        </w:rPr>
        <w:t xml:space="preserve">a </w:t>
      </w:r>
      <w:r w:rsidRPr="00F34E9D">
        <w:rPr>
          <w:rFonts w:asciiTheme="majorHAnsi" w:hAnsiTheme="majorHAnsi" w:cstheme="majorHAnsi"/>
          <w:color w:val="0D0D0D" w:themeColor="text1" w:themeTint="F2"/>
          <w:sz w:val="24"/>
          <w:szCs w:val="26"/>
        </w:rPr>
        <w:t>funcțiil</w:t>
      </w:r>
      <w:r w:rsidR="002E6035" w:rsidRPr="00F34E9D">
        <w:rPr>
          <w:rFonts w:asciiTheme="majorHAnsi" w:hAnsiTheme="majorHAnsi" w:cstheme="majorHAnsi"/>
          <w:color w:val="0D0D0D" w:themeColor="text1" w:themeTint="F2"/>
          <w:sz w:val="24"/>
          <w:szCs w:val="26"/>
        </w:rPr>
        <w:t>or</w:t>
      </w:r>
      <w:r w:rsidRPr="00F34E9D">
        <w:rPr>
          <w:rFonts w:asciiTheme="majorHAnsi" w:hAnsiTheme="majorHAnsi" w:cstheme="majorHAnsi"/>
          <w:color w:val="0D0D0D" w:themeColor="text1" w:themeTint="F2"/>
          <w:sz w:val="24"/>
          <w:szCs w:val="26"/>
        </w:rPr>
        <w:t xml:space="preserve"> vacante care sunt cumulate. </w:t>
      </w:r>
    </w:p>
    <w:p w14:paraId="357A4913" w14:textId="4EBDAE90" w:rsidR="00A272DD" w:rsidRPr="00F34E9D" w:rsidRDefault="00A37146">
      <w:pPr>
        <w:spacing w:after="40" w:line="276" w:lineRule="auto"/>
        <w:jc w:val="both"/>
        <w:rPr>
          <w:rFonts w:asciiTheme="majorHAnsi" w:hAnsiTheme="majorHAnsi" w:cstheme="majorHAnsi"/>
          <w:color w:val="0D0D0D" w:themeColor="text1" w:themeTint="F2"/>
          <w:sz w:val="24"/>
          <w:szCs w:val="28"/>
        </w:rPr>
      </w:pPr>
      <w:r w:rsidRPr="00F34E9D">
        <w:rPr>
          <w:rFonts w:asciiTheme="majorHAnsi" w:hAnsiTheme="majorHAnsi" w:cstheme="majorHAnsi"/>
          <w:b/>
          <w:color w:val="0D0D0D" w:themeColor="text1" w:themeTint="F2"/>
          <w:sz w:val="24"/>
          <w:szCs w:val="26"/>
          <w:lang w:eastAsia="ro-MD"/>
        </w:rPr>
        <w:t>6.</w:t>
      </w:r>
      <w:r w:rsidR="007F0008" w:rsidRPr="00F34E9D">
        <w:rPr>
          <w:rFonts w:asciiTheme="majorHAnsi" w:hAnsiTheme="majorHAnsi" w:cstheme="majorHAnsi"/>
          <w:b/>
          <w:color w:val="0D0D0D" w:themeColor="text1" w:themeTint="F2"/>
          <w:sz w:val="24"/>
          <w:szCs w:val="26"/>
          <w:lang w:eastAsia="ro-MD"/>
        </w:rPr>
        <w:t>12</w:t>
      </w:r>
      <w:r w:rsidRPr="00F34E9D">
        <w:rPr>
          <w:rFonts w:asciiTheme="majorHAnsi" w:hAnsiTheme="majorHAnsi" w:cstheme="majorHAnsi"/>
          <w:b/>
          <w:color w:val="0D0D0D" w:themeColor="text1" w:themeTint="F2"/>
          <w:sz w:val="24"/>
          <w:szCs w:val="26"/>
          <w:lang w:eastAsia="ro-MD"/>
        </w:rPr>
        <w:t>.</w:t>
      </w:r>
      <w:r w:rsidRPr="00F34E9D">
        <w:rPr>
          <w:rFonts w:asciiTheme="majorHAnsi" w:hAnsiTheme="majorHAnsi" w:cstheme="majorHAnsi"/>
          <w:color w:val="0D0D0D" w:themeColor="text1" w:themeTint="F2"/>
          <w:sz w:val="24"/>
          <w:szCs w:val="26"/>
          <w:lang w:eastAsia="ro-MD"/>
        </w:rPr>
        <w:t xml:space="preserve"> În cadrul inventarierilor anuale nu s-a justificat regulamentar</w:t>
      </w:r>
      <w:r w:rsidRPr="00F34E9D">
        <w:rPr>
          <w:rFonts w:asciiTheme="majorHAnsi" w:hAnsiTheme="majorHAnsi" w:cstheme="majorHAnsi"/>
          <w:iCs/>
          <w:color w:val="0D0D0D" w:themeColor="text1" w:themeTint="F2"/>
          <w:sz w:val="24"/>
          <w:szCs w:val="26"/>
          <w:vertAlign w:val="superscript"/>
        </w:rPr>
        <w:footnoteReference w:id="63"/>
      </w:r>
      <w:r w:rsidRPr="00F34E9D">
        <w:rPr>
          <w:rFonts w:asciiTheme="majorHAnsi" w:hAnsiTheme="majorHAnsi" w:cstheme="majorHAnsi"/>
          <w:color w:val="0D0D0D" w:themeColor="text1" w:themeTint="F2"/>
          <w:sz w:val="24"/>
          <w:szCs w:val="26"/>
          <w:lang w:eastAsia="ro-MD"/>
        </w:rPr>
        <w:t xml:space="preserve"> </w:t>
      </w:r>
      <w:r w:rsidRPr="00F34E9D">
        <w:rPr>
          <w:rFonts w:asciiTheme="majorHAnsi" w:eastAsia="Times New Roman" w:hAnsiTheme="majorHAnsi" w:cstheme="majorHAnsi"/>
          <w:color w:val="0D0D0D" w:themeColor="text1" w:themeTint="F2"/>
          <w:sz w:val="24"/>
          <w:szCs w:val="24"/>
        </w:rPr>
        <w:t xml:space="preserve">existența efectivă a elementelor de activ şi datorii, în special a </w:t>
      </w:r>
      <w:r w:rsidRPr="00F34E9D">
        <w:rPr>
          <w:rFonts w:asciiTheme="majorHAnsi" w:hAnsiTheme="majorHAnsi" w:cstheme="majorHAnsi"/>
          <w:color w:val="0D0D0D" w:themeColor="text1" w:themeTint="F2"/>
          <w:sz w:val="24"/>
          <w:szCs w:val="24"/>
        </w:rPr>
        <w:t>lucrărilor de modernizare nefinalizate sau de reparații ale clădirilor etc</w:t>
      </w:r>
      <w:r w:rsidR="00B56848" w:rsidRPr="00F34E9D">
        <w:rPr>
          <w:rFonts w:asciiTheme="majorHAnsi" w:hAnsiTheme="majorHAnsi" w:cstheme="majorHAnsi"/>
          <w:color w:val="0D0D0D" w:themeColor="text1" w:themeTint="F2"/>
          <w:sz w:val="24"/>
          <w:szCs w:val="24"/>
        </w:rPr>
        <w:t>.</w:t>
      </w:r>
      <w:r w:rsidRPr="00F34E9D">
        <w:rPr>
          <w:rFonts w:asciiTheme="majorHAnsi" w:hAnsiTheme="majorHAnsi" w:cstheme="majorHAnsi"/>
          <w:color w:val="0D0D0D" w:themeColor="text1" w:themeTint="F2"/>
          <w:sz w:val="24"/>
          <w:szCs w:val="24"/>
        </w:rPr>
        <w:t>, prin verificarea la fața locului a stadiului/cauzelor de (ne)executare a lucrărilor, cu înscrierea într-o listă de inventariere distinctă</w:t>
      </w:r>
      <w:r w:rsidRPr="00F34E9D">
        <w:rPr>
          <w:rFonts w:asciiTheme="majorHAnsi" w:hAnsiTheme="majorHAnsi" w:cstheme="majorHAnsi"/>
          <w:color w:val="0D0D0D" w:themeColor="text1" w:themeTint="F2"/>
          <w:sz w:val="24"/>
          <w:szCs w:val="24"/>
          <w:vertAlign w:val="superscript"/>
        </w:rPr>
        <w:footnoteReference w:id="64"/>
      </w:r>
      <w:r w:rsidRPr="00F34E9D">
        <w:rPr>
          <w:rFonts w:asciiTheme="majorHAnsi" w:hAnsiTheme="majorHAnsi" w:cstheme="majorHAnsi"/>
          <w:color w:val="0D0D0D" w:themeColor="text1" w:themeTint="F2"/>
          <w:sz w:val="24"/>
          <w:szCs w:val="24"/>
        </w:rPr>
        <w:t>.</w:t>
      </w:r>
      <w:r w:rsidR="007F0008" w:rsidRPr="00F34E9D">
        <w:rPr>
          <w:rFonts w:asciiTheme="majorHAnsi" w:hAnsiTheme="majorHAnsi" w:cstheme="majorHAnsi"/>
          <w:color w:val="0D0D0D" w:themeColor="text1" w:themeTint="F2"/>
          <w:sz w:val="24"/>
          <w:szCs w:val="28"/>
        </w:rPr>
        <w:t xml:space="preserve"> </w:t>
      </w:r>
      <w:r w:rsidR="00A272DD" w:rsidRPr="00F34E9D">
        <w:rPr>
          <w:rFonts w:asciiTheme="majorHAnsi" w:hAnsiTheme="majorHAnsi" w:cstheme="majorHAnsi"/>
          <w:color w:val="0D0D0D" w:themeColor="text1" w:themeTint="F2"/>
          <w:sz w:val="24"/>
          <w:szCs w:val="28"/>
        </w:rPr>
        <w:t xml:space="preserve">La 31.12.2021 valoarea totală a investițiilor în curs de execuție a constituit </w:t>
      </w:r>
      <w:r w:rsidR="00ED1775" w:rsidRPr="00F34E9D">
        <w:rPr>
          <w:rFonts w:asciiTheme="majorHAnsi" w:hAnsiTheme="majorHAnsi" w:cstheme="majorHAnsi"/>
          <w:color w:val="0D0D0D" w:themeColor="text1" w:themeTint="F2"/>
          <w:sz w:val="24"/>
          <w:szCs w:val="28"/>
        </w:rPr>
        <w:t>700,0</w:t>
      </w:r>
      <w:r w:rsidR="00A272DD" w:rsidRPr="00F34E9D">
        <w:rPr>
          <w:rFonts w:asciiTheme="majorHAnsi" w:hAnsiTheme="majorHAnsi" w:cstheme="majorHAnsi"/>
          <w:color w:val="0D0D0D" w:themeColor="text1" w:themeTint="F2"/>
          <w:sz w:val="24"/>
          <w:szCs w:val="28"/>
        </w:rPr>
        <w:t xml:space="preserve"> mil.lei</w:t>
      </w:r>
      <w:r w:rsidR="00ED1775" w:rsidRPr="00F34E9D">
        <w:rPr>
          <w:rFonts w:asciiTheme="majorHAnsi" w:hAnsiTheme="majorHAnsi" w:cstheme="majorHAnsi"/>
          <w:color w:val="0D0D0D" w:themeColor="text1" w:themeTint="F2"/>
          <w:sz w:val="24"/>
          <w:szCs w:val="28"/>
        </w:rPr>
        <w:t xml:space="preserve">, inclusiv 361,2 mil.lei la </w:t>
      </w:r>
      <w:r w:rsidR="000E54CD" w:rsidRPr="00F34E9D">
        <w:rPr>
          <w:rFonts w:asciiTheme="majorHAnsi" w:hAnsiTheme="majorHAnsi" w:cstheme="majorHAnsi"/>
          <w:color w:val="0D0D0D" w:themeColor="text1" w:themeTint="F2"/>
          <w:sz w:val="24"/>
          <w:szCs w:val="28"/>
        </w:rPr>
        <w:t>a</w:t>
      </w:r>
      <w:r w:rsidR="00ED1775" w:rsidRPr="00F34E9D">
        <w:rPr>
          <w:rFonts w:asciiTheme="majorHAnsi" w:hAnsiTheme="majorHAnsi" w:cstheme="majorHAnsi"/>
          <w:color w:val="0D0D0D" w:themeColor="text1" w:themeTint="F2"/>
          <w:sz w:val="24"/>
          <w:szCs w:val="28"/>
        </w:rPr>
        <w:t xml:space="preserve">paratul </w:t>
      </w:r>
      <w:r w:rsidR="00881590" w:rsidRPr="00F34E9D">
        <w:rPr>
          <w:rFonts w:asciiTheme="majorHAnsi" w:hAnsiTheme="majorHAnsi" w:cstheme="majorHAnsi"/>
          <w:color w:val="0D0D0D" w:themeColor="text1" w:themeTint="F2"/>
          <w:sz w:val="24"/>
          <w:szCs w:val="28"/>
        </w:rPr>
        <w:t>m</w:t>
      </w:r>
      <w:r w:rsidR="00ED1775" w:rsidRPr="00F34E9D">
        <w:rPr>
          <w:rFonts w:asciiTheme="majorHAnsi" w:hAnsiTheme="majorHAnsi" w:cstheme="majorHAnsi"/>
          <w:color w:val="0D0D0D" w:themeColor="text1" w:themeTint="F2"/>
          <w:sz w:val="24"/>
          <w:szCs w:val="28"/>
        </w:rPr>
        <w:t>inisterului</w:t>
      </w:r>
      <w:r w:rsidR="00A272DD" w:rsidRPr="00F34E9D">
        <w:rPr>
          <w:rFonts w:asciiTheme="majorHAnsi" w:hAnsiTheme="majorHAnsi" w:cstheme="majorHAnsi"/>
          <w:color w:val="0D0D0D" w:themeColor="text1" w:themeTint="F2"/>
          <w:sz w:val="24"/>
          <w:szCs w:val="28"/>
        </w:rPr>
        <w:t>.</w:t>
      </w:r>
    </w:p>
    <w:p w14:paraId="4B092B9D" w14:textId="008C44B7" w:rsidR="007F0008" w:rsidRPr="00F34E9D" w:rsidRDefault="005E5F6D">
      <w:pPr>
        <w:spacing w:after="40" w:line="276" w:lineRule="auto"/>
        <w:jc w:val="both"/>
        <w:rPr>
          <w:rFonts w:asciiTheme="majorHAnsi" w:hAnsiTheme="majorHAnsi" w:cstheme="majorHAnsi"/>
          <w:color w:val="0D0D0D" w:themeColor="text1" w:themeTint="F2"/>
          <w:sz w:val="24"/>
          <w:szCs w:val="28"/>
        </w:rPr>
      </w:pPr>
      <w:r w:rsidRPr="00F34E9D">
        <w:rPr>
          <w:rFonts w:asciiTheme="majorHAnsi" w:hAnsiTheme="majorHAnsi" w:cstheme="majorHAnsi"/>
          <w:b/>
          <w:color w:val="0D0D0D" w:themeColor="text1" w:themeTint="F2"/>
          <w:sz w:val="24"/>
          <w:szCs w:val="28"/>
        </w:rPr>
        <w:t>6.12.1.</w:t>
      </w:r>
      <w:r w:rsidRPr="00F34E9D">
        <w:rPr>
          <w:rFonts w:asciiTheme="majorHAnsi" w:hAnsiTheme="majorHAnsi" w:cstheme="majorHAnsi"/>
          <w:color w:val="0D0D0D" w:themeColor="text1" w:themeTint="F2"/>
          <w:sz w:val="24"/>
          <w:szCs w:val="28"/>
        </w:rPr>
        <w:t xml:space="preserve"> </w:t>
      </w:r>
      <w:r w:rsidR="007F0008" w:rsidRPr="00F34E9D">
        <w:rPr>
          <w:rFonts w:asciiTheme="majorHAnsi" w:hAnsiTheme="majorHAnsi" w:cstheme="majorHAnsi"/>
          <w:color w:val="0D0D0D" w:themeColor="text1" w:themeTint="F2"/>
          <w:sz w:val="24"/>
          <w:szCs w:val="28"/>
        </w:rPr>
        <w:t xml:space="preserve">MEC și MC au fost obligate de CSJ să achite SA </w:t>
      </w:r>
      <w:r w:rsidR="00F74375" w:rsidRPr="00F34E9D">
        <w:rPr>
          <w:rFonts w:asciiTheme="majorHAnsi" w:hAnsiTheme="majorHAnsi" w:cstheme="majorHAnsi"/>
          <w:color w:val="0D0D0D" w:themeColor="text1" w:themeTint="F2"/>
          <w:sz w:val="24"/>
          <w:szCs w:val="28"/>
        </w:rPr>
        <w:t>„</w:t>
      </w:r>
      <w:r w:rsidR="007F0008" w:rsidRPr="00F34E9D">
        <w:rPr>
          <w:rFonts w:asciiTheme="majorHAnsi" w:hAnsiTheme="majorHAnsi" w:cstheme="majorHAnsi"/>
          <w:color w:val="0D0D0D" w:themeColor="text1" w:themeTint="F2"/>
          <w:sz w:val="24"/>
          <w:szCs w:val="28"/>
        </w:rPr>
        <w:t>Iasicon</w:t>
      </w:r>
      <w:r w:rsidR="00F74375" w:rsidRPr="00F34E9D">
        <w:rPr>
          <w:rFonts w:asciiTheme="majorHAnsi" w:hAnsiTheme="majorHAnsi" w:cstheme="majorHAnsi"/>
          <w:color w:val="0D0D0D" w:themeColor="text1" w:themeTint="F2"/>
          <w:sz w:val="24"/>
          <w:szCs w:val="28"/>
        </w:rPr>
        <w:t>”</w:t>
      </w:r>
      <w:r w:rsidR="007F0008" w:rsidRPr="00F34E9D">
        <w:rPr>
          <w:rFonts w:asciiTheme="majorHAnsi" w:hAnsiTheme="majorHAnsi" w:cstheme="majorHAnsi"/>
          <w:color w:val="0D0D0D" w:themeColor="text1" w:themeTint="F2"/>
          <w:sz w:val="24"/>
          <w:szCs w:val="28"/>
        </w:rPr>
        <w:t xml:space="preserve"> </w:t>
      </w:r>
      <w:r w:rsidR="007F0008" w:rsidRPr="00F34E9D">
        <w:rPr>
          <w:rFonts w:asciiTheme="majorHAnsi" w:hAnsiTheme="majorHAnsi" w:cstheme="majorHAnsi"/>
          <w:color w:val="0D0D0D" w:themeColor="text1" w:themeTint="F2"/>
          <w:sz w:val="24"/>
          <w:szCs w:val="24"/>
        </w:rPr>
        <w:t>2</w:t>
      </w:r>
      <w:r w:rsidR="00A8666C" w:rsidRPr="00F34E9D">
        <w:rPr>
          <w:rFonts w:asciiTheme="majorHAnsi" w:hAnsiTheme="majorHAnsi" w:cstheme="majorHAnsi"/>
          <w:color w:val="0D0D0D" w:themeColor="text1" w:themeTint="F2"/>
          <w:sz w:val="24"/>
          <w:szCs w:val="24"/>
        </w:rPr>
        <w:t>.</w:t>
      </w:r>
      <w:r w:rsidR="007F0008" w:rsidRPr="00F34E9D">
        <w:rPr>
          <w:rFonts w:asciiTheme="majorHAnsi" w:hAnsiTheme="majorHAnsi" w:cstheme="majorHAnsi"/>
          <w:color w:val="0D0D0D" w:themeColor="text1" w:themeTint="F2"/>
          <w:sz w:val="24"/>
          <w:szCs w:val="24"/>
        </w:rPr>
        <w:t xml:space="preserve">206,1 </w:t>
      </w:r>
      <w:r w:rsidR="007F0008" w:rsidRPr="00F34E9D">
        <w:rPr>
          <w:rFonts w:asciiTheme="majorHAnsi" w:hAnsiTheme="majorHAnsi" w:cstheme="majorHAnsi"/>
          <w:color w:val="0D0D0D" w:themeColor="text1" w:themeTint="F2"/>
          <w:sz w:val="24"/>
          <w:szCs w:val="28"/>
        </w:rPr>
        <w:t xml:space="preserve">mii lei aferente lucrărilor suplimentare efectuate. De menționat că MECC nu a prezentat CSJ argumente pe cauză în aspect multiaspectual, a efectelor ce derivă din (ne)executarea obligațiilor contractuale etc. și soluții privind veridicitatea </w:t>
      </w:r>
      <w:r w:rsidR="00CB5456" w:rsidRPr="00F34E9D">
        <w:rPr>
          <w:rFonts w:asciiTheme="majorHAnsi" w:hAnsiTheme="majorHAnsi" w:cstheme="majorHAnsi"/>
          <w:color w:val="0D0D0D" w:themeColor="text1" w:themeTint="F2"/>
          <w:sz w:val="24"/>
          <w:szCs w:val="28"/>
        </w:rPr>
        <w:t xml:space="preserve">lucrărilor/respectiv sumei </w:t>
      </w:r>
      <w:r w:rsidR="007F0008" w:rsidRPr="00F34E9D">
        <w:rPr>
          <w:rFonts w:asciiTheme="majorHAnsi" w:hAnsiTheme="majorHAnsi" w:cstheme="majorHAnsi"/>
          <w:color w:val="0D0D0D" w:themeColor="text1" w:themeTint="F2"/>
          <w:sz w:val="24"/>
          <w:szCs w:val="28"/>
        </w:rPr>
        <w:t xml:space="preserve">dispuse de instanță spre încasare. </w:t>
      </w:r>
    </w:p>
    <w:p w14:paraId="74B2631A" w14:textId="2757DCCC" w:rsidR="00A37146" w:rsidRPr="00F34E9D" w:rsidRDefault="007F0008">
      <w:pPr>
        <w:spacing w:after="40" w:line="276" w:lineRule="auto"/>
        <w:jc w:val="both"/>
        <w:rPr>
          <w:rFonts w:asciiTheme="majorHAnsi" w:hAnsiTheme="majorHAnsi" w:cstheme="majorHAnsi"/>
          <w:color w:val="0D0D0D" w:themeColor="text1" w:themeTint="F2"/>
          <w:sz w:val="24"/>
          <w:szCs w:val="24"/>
        </w:rPr>
      </w:pPr>
      <w:r w:rsidRPr="00F34E9D">
        <w:rPr>
          <w:rFonts w:asciiTheme="majorHAnsi" w:hAnsiTheme="majorHAnsi" w:cstheme="majorHAnsi"/>
          <w:color w:val="0D0D0D" w:themeColor="text1" w:themeTint="F2"/>
          <w:sz w:val="24"/>
          <w:szCs w:val="28"/>
        </w:rPr>
        <w:t>La 05.05.2022</w:t>
      </w:r>
      <w:r w:rsidR="00B24DFF" w:rsidRPr="00F34E9D">
        <w:rPr>
          <w:rFonts w:asciiTheme="majorHAnsi" w:hAnsiTheme="majorHAnsi" w:cstheme="majorHAnsi"/>
          <w:color w:val="0D0D0D" w:themeColor="text1" w:themeTint="F2"/>
          <w:sz w:val="24"/>
          <w:szCs w:val="28"/>
        </w:rPr>
        <w:t>,</w:t>
      </w:r>
      <w:r w:rsidRPr="00F34E9D">
        <w:rPr>
          <w:rFonts w:asciiTheme="majorHAnsi" w:hAnsiTheme="majorHAnsi" w:cstheme="majorHAnsi"/>
          <w:color w:val="0D0D0D" w:themeColor="text1" w:themeTint="F2"/>
          <w:sz w:val="24"/>
          <w:szCs w:val="28"/>
        </w:rPr>
        <w:t xml:space="preserve"> în contextul cererii din 08.10.2021 cu privire la înlocuirea succesorului în drepturi, MEC a remis către MC doar copia deciziei Colegiului CSJ la cauza civilă înaintată de SA </w:t>
      </w:r>
      <w:r w:rsidR="00B24DFF" w:rsidRPr="00F34E9D">
        <w:rPr>
          <w:rFonts w:asciiTheme="majorHAnsi" w:hAnsiTheme="majorHAnsi" w:cstheme="majorHAnsi"/>
          <w:color w:val="0D0D0D" w:themeColor="text1" w:themeTint="F2"/>
          <w:sz w:val="24"/>
          <w:szCs w:val="28"/>
        </w:rPr>
        <w:t>„</w:t>
      </w:r>
      <w:r w:rsidRPr="00F34E9D">
        <w:rPr>
          <w:rFonts w:asciiTheme="majorHAnsi" w:hAnsiTheme="majorHAnsi" w:cstheme="majorHAnsi"/>
          <w:color w:val="0D0D0D" w:themeColor="text1" w:themeTint="F2"/>
          <w:sz w:val="24"/>
          <w:szCs w:val="28"/>
        </w:rPr>
        <w:t>Iasicon</w:t>
      </w:r>
      <w:r w:rsidR="00B24DFF" w:rsidRPr="00F34E9D">
        <w:rPr>
          <w:rFonts w:asciiTheme="majorHAnsi" w:hAnsiTheme="majorHAnsi" w:cstheme="majorHAnsi"/>
          <w:color w:val="0D0D0D" w:themeColor="text1" w:themeTint="F2"/>
          <w:sz w:val="24"/>
          <w:szCs w:val="28"/>
        </w:rPr>
        <w:t>”</w:t>
      </w:r>
      <w:r w:rsidRPr="00F34E9D">
        <w:rPr>
          <w:rFonts w:asciiTheme="majorHAnsi" w:hAnsiTheme="majorHAnsi" w:cstheme="majorHAnsi"/>
          <w:color w:val="0D0D0D" w:themeColor="text1" w:themeTint="F2"/>
          <w:sz w:val="24"/>
          <w:szCs w:val="28"/>
        </w:rPr>
        <w:t xml:space="preserve"> împotriva MECC (intervenient accesoriu </w:t>
      </w:r>
      <w:r w:rsidR="00B24DFF" w:rsidRPr="00F34E9D">
        <w:rPr>
          <w:rFonts w:asciiTheme="majorHAnsi" w:hAnsiTheme="majorHAnsi" w:cstheme="majorHAnsi"/>
          <w:color w:val="0D0D0D" w:themeColor="text1" w:themeTint="F2"/>
          <w:sz w:val="24"/>
          <w:szCs w:val="28"/>
        </w:rPr>
        <w:t xml:space="preserve">– </w:t>
      </w:r>
      <w:r w:rsidRPr="00F34E9D">
        <w:rPr>
          <w:rFonts w:asciiTheme="majorHAnsi" w:hAnsiTheme="majorHAnsi" w:cstheme="majorHAnsi"/>
          <w:color w:val="0D0D0D" w:themeColor="text1" w:themeTint="F2"/>
          <w:sz w:val="24"/>
          <w:szCs w:val="28"/>
        </w:rPr>
        <w:t xml:space="preserve">Sala cu Orgă), fără întocmirea actelor de primire-predare pentru documentele aferente cauzei și respectiv a obiectului de investiții. </w:t>
      </w:r>
      <w:r w:rsidRPr="00F34E9D">
        <w:rPr>
          <w:rFonts w:asciiTheme="majorHAnsi" w:hAnsiTheme="majorHAnsi" w:cstheme="majorHAnsi"/>
          <w:color w:val="0D0D0D" w:themeColor="text1" w:themeTint="F2"/>
          <w:sz w:val="24"/>
          <w:szCs w:val="24"/>
        </w:rPr>
        <w:t>Pe subiectul dat, Curtea de Conturi s-a expus în auditul conformității achizițiilor publice în cadrul MECC</w:t>
      </w:r>
      <w:r w:rsidRPr="00F34E9D">
        <w:rPr>
          <w:rFonts w:asciiTheme="majorHAnsi" w:hAnsiTheme="majorHAnsi" w:cstheme="majorHAnsi"/>
          <w:color w:val="0D0D0D" w:themeColor="text1" w:themeTint="F2"/>
          <w:sz w:val="24"/>
          <w:szCs w:val="24"/>
          <w:vertAlign w:val="superscript"/>
        </w:rPr>
        <w:footnoteReference w:id="65"/>
      </w:r>
      <w:r w:rsidR="00B24DFF" w:rsidRPr="00F34E9D">
        <w:rPr>
          <w:rFonts w:asciiTheme="majorHAnsi" w:hAnsiTheme="majorHAnsi" w:cstheme="majorHAnsi"/>
          <w:color w:val="0D0D0D" w:themeColor="text1" w:themeTint="F2"/>
          <w:sz w:val="24"/>
          <w:szCs w:val="24"/>
        </w:rPr>
        <w:t>,</w:t>
      </w:r>
      <w:r w:rsidRPr="00F34E9D">
        <w:rPr>
          <w:rFonts w:asciiTheme="majorHAnsi" w:hAnsiTheme="majorHAnsi" w:cstheme="majorHAnsi"/>
          <w:color w:val="0D0D0D" w:themeColor="text1" w:themeTint="F2"/>
          <w:sz w:val="24"/>
          <w:szCs w:val="24"/>
        </w:rPr>
        <w:t xml:space="preserve"> fiind constatate multiple deficiențe </w:t>
      </w:r>
      <w:r w:rsidR="00B24DFF" w:rsidRPr="00F34E9D">
        <w:rPr>
          <w:rFonts w:asciiTheme="majorHAnsi" w:hAnsiTheme="majorHAnsi" w:cstheme="majorHAnsi"/>
          <w:color w:val="0D0D0D" w:themeColor="text1" w:themeTint="F2"/>
          <w:sz w:val="24"/>
          <w:szCs w:val="24"/>
        </w:rPr>
        <w:t>în</w:t>
      </w:r>
      <w:r w:rsidRPr="00F34E9D">
        <w:rPr>
          <w:rFonts w:asciiTheme="majorHAnsi" w:hAnsiTheme="majorHAnsi" w:cstheme="majorHAnsi"/>
          <w:color w:val="0D0D0D" w:themeColor="text1" w:themeTint="F2"/>
          <w:sz w:val="24"/>
          <w:szCs w:val="24"/>
        </w:rPr>
        <w:t xml:space="preserve"> derul</w:t>
      </w:r>
      <w:r w:rsidR="00B24DFF" w:rsidRPr="00F34E9D">
        <w:rPr>
          <w:rFonts w:asciiTheme="majorHAnsi" w:hAnsiTheme="majorHAnsi" w:cstheme="majorHAnsi"/>
          <w:color w:val="0D0D0D" w:themeColor="text1" w:themeTint="F2"/>
          <w:sz w:val="24"/>
          <w:szCs w:val="24"/>
        </w:rPr>
        <w:t>area</w:t>
      </w:r>
      <w:r w:rsidRPr="00F34E9D">
        <w:rPr>
          <w:rFonts w:asciiTheme="majorHAnsi" w:hAnsiTheme="majorHAnsi" w:cstheme="majorHAnsi"/>
          <w:color w:val="0D0D0D" w:themeColor="text1" w:themeTint="F2"/>
          <w:sz w:val="24"/>
          <w:szCs w:val="24"/>
        </w:rPr>
        <w:t xml:space="preserve"> contractului, nereflectate în Deciziile/Hotărârile instanțelor, ceea ce a influențat soluția dictată de instanțe, care s-au bazat exclusiv pe contractul nr.02190/15 și efectele ce rezultă din acesta.</w:t>
      </w:r>
    </w:p>
    <w:p w14:paraId="7A90DC7F" w14:textId="04D03ED9" w:rsidR="00A37146" w:rsidRPr="00F34E9D" w:rsidRDefault="00A37146" w:rsidP="00A75ED2">
      <w:pPr>
        <w:spacing w:after="40" w:line="276" w:lineRule="auto"/>
        <w:jc w:val="both"/>
        <w:rPr>
          <w:rFonts w:asciiTheme="majorHAnsi" w:eastAsia="Times New Roman" w:hAnsiTheme="majorHAnsi" w:cstheme="majorHAnsi"/>
          <w:color w:val="0D0D0D" w:themeColor="text1" w:themeTint="F2"/>
          <w:sz w:val="24"/>
          <w:szCs w:val="28"/>
        </w:rPr>
      </w:pPr>
      <w:r w:rsidRPr="00F34E9D">
        <w:rPr>
          <w:rFonts w:asciiTheme="majorHAnsi" w:eastAsia="Calibri" w:hAnsiTheme="majorHAnsi" w:cstheme="majorHAnsi"/>
          <w:color w:val="0D0D0D" w:themeColor="text1" w:themeTint="F2"/>
          <w:sz w:val="24"/>
          <w:szCs w:val="28"/>
        </w:rPr>
        <w:t>Deși lucrările de construcție la obiectul Sala cu Orgă au fost finaliza</w:t>
      </w:r>
      <w:r w:rsidR="00B24DFF" w:rsidRPr="00F34E9D">
        <w:rPr>
          <w:rFonts w:asciiTheme="majorHAnsi" w:eastAsia="Calibri" w:hAnsiTheme="majorHAnsi" w:cstheme="majorHAnsi"/>
          <w:color w:val="0D0D0D" w:themeColor="text1" w:themeTint="F2"/>
          <w:sz w:val="24"/>
          <w:szCs w:val="28"/>
        </w:rPr>
        <w:t>t</w:t>
      </w:r>
      <w:r w:rsidRPr="00F34E9D">
        <w:rPr>
          <w:rFonts w:asciiTheme="majorHAnsi" w:eastAsia="Calibri" w:hAnsiTheme="majorHAnsi" w:cstheme="majorHAnsi"/>
          <w:color w:val="0D0D0D" w:themeColor="text1" w:themeTint="F2"/>
          <w:sz w:val="24"/>
          <w:szCs w:val="28"/>
        </w:rPr>
        <w:t xml:space="preserve">e </w:t>
      </w:r>
      <w:r w:rsidR="00B24DFF" w:rsidRPr="00F34E9D">
        <w:rPr>
          <w:rFonts w:asciiTheme="majorHAnsi" w:eastAsia="Calibri" w:hAnsiTheme="majorHAnsi" w:cstheme="majorHAnsi"/>
          <w:color w:val="0D0D0D" w:themeColor="text1" w:themeTint="F2"/>
          <w:sz w:val="24"/>
          <w:szCs w:val="28"/>
        </w:rPr>
        <w:t xml:space="preserve">în </w:t>
      </w:r>
      <w:r w:rsidRPr="00F34E9D">
        <w:rPr>
          <w:rFonts w:asciiTheme="majorHAnsi" w:eastAsia="Calibri" w:hAnsiTheme="majorHAnsi" w:cstheme="majorHAnsi"/>
          <w:color w:val="0D0D0D" w:themeColor="text1" w:themeTint="F2"/>
          <w:sz w:val="24"/>
          <w:szCs w:val="28"/>
        </w:rPr>
        <w:t xml:space="preserve">mai mult de 4 ani, </w:t>
      </w:r>
      <w:r w:rsidR="00EC1CD4" w:rsidRPr="00F34E9D">
        <w:rPr>
          <w:rFonts w:asciiTheme="majorHAnsi" w:eastAsia="Calibri" w:hAnsiTheme="majorHAnsi" w:cstheme="majorHAnsi"/>
          <w:color w:val="0D0D0D" w:themeColor="text1" w:themeTint="F2"/>
          <w:sz w:val="24"/>
          <w:szCs w:val="28"/>
        </w:rPr>
        <w:t xml:space="preserve">MEC </w:t>
      </w:r>
      <w:r w:rsidRPr="00F34E9D">
        <w:rPr>
          <w:rFonts w:asciiTheme="majorHAnsi" w:eastAsia="Times New Roman" w:hAnsiTheme="majorHAnsi" w:cstheme="majorHAnsi"/>
          <w:color w:val="0D0D0D" w:themeColor="text1" w:themeTint="F2"/>
          <w:sz w:val="24"/>
          <w:szCs w:val="28"/>
        </w:rPr>
        <w:t>nu a asigurat întocmirea și semnarea actelor de recepție la terminarea şi/sau de recepție finală a lucrărilor în sumă de 31,9 mil.lei, cu detalierea unei evidențe analitice pe costuri/tip lucrări</w:t>
      </w:r>
      <w:r w:rsidR="00B24DFF" w:rsidRPr="00F34E9D">
        <w:rPr>
          <w:rFonts w:asciiTheme="majorHAnsi" w:eastAsia="Times New Roman" w:hAnsiTheme="majorHAnsi" w:cstheme="majorHAnsi"/>
          <w:color w:val="0D0D0D" w:themeColor="text1" w:themeTint="F2"/>
          <w:sz w:val="24"/>
          <w:szCs w:val="28"/>
        </w:rPr>
        <w:t>/</w:t>
      </w:r>
      <w:r w:rsidRPr="00F34E9D">
        <w:rPr>
          <w:rFonts w:asciiTheme="majorHAnsi" w:eastAsia="Times New Roman" w:hAnsiTheme="majorHAnsi" w:cstheme="majorHAnsi"/>
          <w:color w:val="0D0D0D" w:themeColor="text1" w:themeTint="F2"/>
          <w:sz w:val="24"/>
          <w:szCs w:val="28"/>
        </w:rPr>
        <w:t xml:space="preserve"> servicii etc</w:t>
      </w:r>
      <w:r w:rsidR="00B56848" w:rsidRPr="00F34E9D">
        <w:rPr>
          <w:rFonts w:asciiTheme="majorHAnsi" w:eastAsia="Times New Roman" w:hAnsiTheme="majorHAnsi" w:cstheme="majorHAnsi"/>
          <w:color w:val="0D0D0D" w:themeColor="text1" w:themeTint="F2"/>
          <w:sz w:val="24"/>
          <w:szCs w:val="28"/>
        </w:rPr>
        <w:t>.</w:t>
      </w:r>
      <w:r w:rsidRPr="00F34E9D">
        <w:rPr>
          <w:rFonts w:asciiTheme="majorHAnsi" w:eastAsia="Times New Roman" w:hAnsiTheme="majorHAnsi" w:cstheme="majorHAnsi"/>
          <w:color w:val="0D0D0D" w:themeColor="text1" w:themeTint="F2"/>
          <w:sz w:val="24"/>
          <w:szCs w:val="28"/>
        </w:rPr>
        <w:t xml:space="preserve">, fapt prin care </w:t>
      </w:r>
      <w:r w:rsidR="00B24DFF" w:rsidRPr="00F34E9D">
        <w:rPr>
          <w:rFonts w:asciiTheme="majorHAnsi" w:eastAsia="Times New Roman" w:hAnsiTheme="majorHAnsi" w:cstheme="majorHAnsi"/>
          <w:color w:val="0D0D0D" w:themeColor="text1" w:themeTint="F2"/>
          <w:sz w:val="24"/>
          <w:szCs w:val="28"/>
        </w:rPr>
        <w:t xml:space="preserve">se </w:t>
      </w:r>
      <w:r w:rsidRPr="00F34E9D">
        <w:rPr>
          <w:rFonts w:asciiTheme="majorHAnsi" w:eastAsia="Times New Roman" w:hAnsiTheme="majorHAnsi" w:cstheme="majorHAnsi"/>
          <w:color w:val="0D0D0D" w:themeColor="text1" w:themeTint="F2"/>
          <w:sz w:val="24"/>
          <w:szCs w:val="28"/>
        </w:rPr>
        <w:t>afect</w:t>
      </w:r>
      <w:r w:rsidR="00EC1CD4" w:rsidRPr="00F34E9D">
        <w:rPr>
          <w:rFonts w:asciiTheme="majorHAnsi" w:eastAsia="Times New Roman" w:hAnsiTheme="majorHAnsi" w:cstheme="majorHAnsi"/>
          <w:color w:val="0D0D0D" w:themeColor="text1" w:themeTint="F2"/>
          <w:sz w:val="24"/>
          <w:szCs w:val="28"/>
        </w:rPr>
        <w:t>eaz</w:t>
      </w:r>
      <w:r w:rsidRPr="00F34E9D">
        <w:rPr>
          <w:rFonts w:asciiTheme="majorHAnsi" w:eastAsia="Times New Roman" w:hAnsiTheme="majorHAnsi" w:cstheme="majorHAnsi"/>
          <w:color w:val="0D0D0D" w:themeColor="text1" w:themeTint="F2"/>
          <w:sz w:val="24"/>
          <w:szCs w:val="28"/>
        </w:rPr>
        <w:t xml:space="preserve">ă raportarea veridică a situațiilor financiare. </w:t>
      </w:r>
    </w:p>
    <w:p w14:paraId="73E5E432" w14:textId="27DD7EBE" w:rsidR="00A37146" w:rsidRPr="00F34E9D" w:rsidRDefault="00A37146" w:rsidP="00A75ED2">
      <w:pPr>
        <w:spacing w:after="40" w:line="276" w:lineRule="auto"/>
        <w:ind w:right="-2"/>
        <w:jc w:val="both"/>
        <w:rPr>
          <w:rFonts w:asciiTheme="majorHAnsi" w:hAnsiTheme="majorHAnsi" w:cstheme="majorHAnsi"/>
          <w:color w:val="0D0D0D" w:themeColor="text1" w:themeTint="F2"/>
          <w:sz w:val="24"/>
          <w:szCs w:val="24"/>
        </w:rPr>
      </w:pPr>
      <w:r w:rsidRPr="00F34E9D">
        <w:rPr>
          <w:rFonts w:asciiTheme="majorHAnsi" w:hAnsiTheme="majorHAnsi" w:cstheme="majorHAnsi"/>
          <w:color w:val="0D0D0D" w:themeColor="text1" w:themeTint="F2"/>
          <w:sz w:val="24"/>
          <w:szCs w:val="24"/>
        </w:rPr>
        <w:t>Cu toate că proiectul de renovare a Sălii cu Orgă a fost exclus (din 12.07.2019</w:t>
      </w:r>
      <w:r w:rsidRPr="00F34E9D">
        <w:rPr>
          <w:rFonts w:asciiTheme="majorHAnsi" w:hAnsiTheme="majorHAnsi" w:cstheme="majorHAnsi"/>
          <w:color w:val="0D0D0D" w:themeColor="text1" w:themeTint="F2"/>
          <w:sz w:val="24"/>
          <w:szCs w:val="24"/>
          <w:vertAlign w:val="superscript"/>
        </w:rPr>
        <w:footnoteReference w:id="66"/>
      </w:r>
      <w:r w:rsidRPr="00F34E9D">
        <w:rPr>
          <w:rFonts w:asciiTheme="majorHAnsi" w:hAnsiTheme="majorHAnsi" w:cstheme="majorHAnsi"/>
          <w:color w:val="0D0D0D" w:themeColor="text1" w:themeTint="F2"/>
          <w:sz w:val="24"/>
          <w:szCs w:val="24"/>
        </w:rPr>
        <w:t>) din lista proiectelor pentru care se aplică facilități la plata impozitelor, MECC a acceptat nejustificat facturi pentru lucrări de 331,3 mii lei</w:t>
      </w:r>
      <w:r w:rsidR="00B24DFF" w:rsidRPr="00F34E9D">
        <w:rPr>
          <w:rFonts w:asciiTheme="majorHAnsi" w:hAnsiTheme="majorHAnsi" w:cstheme="majorHAnsi"/>
          <w:color w:val="0D0D0D" w:themeColor="text1" w:themeTint="F2"/>
          <w:sz w:val="24"/>
          <w:szCs w:val="24"/>
        </w:rPr>
        <w:t>,</w:t>
      </w:r>
      <w:r w:rsidRPr="00F34E9D">
        <w:rPr>
          <w:rFonts w:asciiTheme="majorHAnsi" w:hAnsiTheme="majorHAnsi" w:cstheme="majorHAnsi"/>
          <w:color w:val="0D0D0D" w:themeColor="text1" w:themeTint="F2"/>
          <w:sz w:val="24"/>
          <w:szCs w:val="24"/>
        </w:rPr>
        <w:t xml:space="preserve"> cu aplicarea cotei zero a TVA </w:t>
      </w:r>
      <w:r w:rsidR="00B56848" w:rsidRPr="00F34E9D">
        <w:rPr>
          <w:rFonts w:asciiTheme="majorHAnsi" w:hAnsiTheme="majorHAnsi" w:cstheme="majorHAnsi"/>
          <w:color w:val="0D0D0D" w:themeColor="text1" w:themeTint="F2"/>
          <w:sz w:val="24"/>
          <w:szCs w:val="24"/>
        </w:rPr>
        <w:t xml:space="preserve">(care urma să constituie </w:t>
      </w:r>
      <w:r w:rsidRPr="00F34E9D">
        <w:rPr>
          <w:rFonts w:asciiTheme="majorHAnsi" w:hAnsiTheme="majorHAnsi" w:cstheme="majorHAnsi"/>
          <w:b/>
          <w:color w:val="0D0D0D" w:themeColor="text1" w:themeTint="F2"/>
          <w:sz w:val="24"/>
          <w:szCs w:val="24"/>
        </w:rPr>
        <w:t>66,3 mii lei</w:t>
      </w:r>
      <w:r w:rsidR="00B56848" w:rsidRPr="00F34E9D">
        <w:rPr>
          <w:rFonts w:asciiTheme="majorHAnsi" w:hAnsiTheme="majorHAnsi" w:cstheme="majorHAnsi"/>
          <w:b/>
          <w:color w:val="0D0D0D" w:themeColor="text1" w:themeTint="F2"/>
          <w:sz w:val="24"/>
          <w:szCs w:val="24"/>
        </w:rPr>
        <w:t>)</w:t>
      </w:r>
      <w:r w:rsidRPr="00F34E9D">
        <w:rPr>
          <w:rFonts w:asciiTheme="majorHAnsi" w:hAnsiTheme="majorHAnsi" w:cstheme="majorHAnsi"/>
          <w:color w:val="0D0D0D" w:themeColor="text1" w:themeTint="F2"/>
          <w:sz w:val="24"/>
          <w:szCs w:val="24"/>
        </w:rPr>
        <w:t>, pentru care nu au fost prezentate confirmări prin devize locale-ofertă, achiziționate conform procedurii legale și pe contractul căruia i se aplică facilitatea fiscală.</w:t>
      </w:r>
    </w:p>
    <w:p w14:paraId="55704793" w14:textId="7D161083" w:rsidR="00A37146" w:rsidRPr="00F34E9D" w:rsidRDefault="00A37146" w:rsidP="00A75ED2">
      <w:pPr>
        <w:spacing w:after="40" w:line="276" w:lineRule="auto"/>
        <w:jc w:val="both"/>
        <w:rPr>
          <w:rFonts w:asciiTheme="majorHAnsi" w:hAnsiTheme="majorHAnsi" w:cstheme="majorHAnsi"/>
          <w:color w:val="0D0D0D" w:themeColor="text1" w:themeTint="F2"/>
          <w:sz w:val="24"/>
          <w:szCs w:val="24"/>
        </w:rPr>
      </w:pPr>
      <w:r w:rsidRPr="00F34E9D">
        <w:rPr>
          <w:rFonts w:asciiTheme="majorHAnsi" w:hAnsiTheme="majorHAnsi" w:cstheme="majorHAnsi"/>
          <w:color w:val="0D0D0D" w:themeColor="text1" w:themeTint="F2"/>
          <w:sz w:val="24"/>
          <w:szCs w:val="24"/>
        </w:rPr>
        <w:t>Concluzionăm</w:t>
      </w:r>
      <w:r w:rsidR="00B24DFF" w:rsidRPr="00F34E9D">
        <w:rPr>
          <w:rFonts w:asciiTheme="majorHAnsi" w:hAnsiTheme="majorHAnsi" w:cstheme="majorHAnsi"/>
          <w:color w:val="0D0D0D" w:themeColor="text1" w:themeTint="F2"/>
          <w:sz w:val="24"/>
          <w:szCs w:val="24"/>
        </w:rPr>
        <w:t xml:space="preserve"> </w:t>
      </w:r>
      <w:r w:rsidRPr="00F34E9D">
        <w:rPr>
          <w:rFonts w:asciiTheme="majorHAnsi" w:hAnsiTheme="majorHAnsi" w:cstheme="majorHAnsi"/>
          <w:color w:val="0D0D0D" w:themeColor="text1" w:themeTint="F2"/>
          <w:sz w:val="24"/>
          <w:szCs w:val="24"/>
        </w:rPr>
        <w:t xml:space="preserve">că există riscul major de suportare a cheltuielilor în sumă de </w:t>
      </w:r>
      <w:r w:rsidRPr="00F34E9D">
        <w:rPr>
          <w:rFonts w:asciiTheme="majorHAnsi" w:hAnsiTheme="majorHAnsi" w:cstheme="majorHAnsi"/>
          <w:b/>
          <w:color w:val="0D0D0D" w:themeColor="text1" w:themeTint="F2"/>
          <w:sz w:val="24"/>
          <w:szCs w:val="24"/>
        </w:rPr>
        <w:t>2</w:t>
      </w:r>
      <w:r w:rsidR="00D052A7" w:rsidRPr="00F34E9D">
        <w:rPr>
          <w:rFonts w:asciiTheme="majorHAnsi" w:hAnsiTheme="majorHAnsi" w:cstheme="majorHAnsi"/>
          <w:b/>
          <w:color w:val="0D0D0D" w:themeColor="text1" w:themeTint="F2"/>
          <w:sz w:val="24"/>
          <w:szCs w:val="24"/>
        </w:rPr>
        <w:t>.</w:t>
      </w:r>
      <w:r w:rsidRPr="00F34E9D">
        <w:rPr>
          <w:rFonts w:asciiTheme="majorHAnsi" w:hAnsiTheme="majorHAnsi" w:cstheme="majorHAnsi"/>
          <w:b/>
          <w:color w:val="0D0D0D" w:themeColor="text1" w:themeTint="F2"/>
          <w:sz w:val="24"/>
          <w:szCs w:val="24"/>
        </w:rPr>
        <w:t>206,1 mii lei</w:t>
      </w:r>
      <w:r w:rsidRPr="00F34E9D">
        <w:rPr>
          <w:rFonts w:asciiTheme="majorHAnsi" w:hAnsiTheme="majorHAnsi" w:cstheme="majorHAnsi"/>
          <w:color w:val="0D0D0D" w:themeColor="text1" w:themeTint="F2"/>
          <w:sz w:val="24"/>
          <w:szCs w:val="24"/>
        </w:rPr>
        <w:t xml:space="preserve"> aferente lucrări</w:t>
      </w:r>
      <w:r w:rsidR="00B56848" w:rsidRPr="00F34E9D">
        <w:rPr>
          <w:rFonts w:asciiTheme="majorHAnsi" w:hAnsiTheme="majorHAnsi" w:cstheme="majorHAnsi"/>
          <w:color w:val="0D0D0D" w:themeColor="text1" w:themeTint="F2"/>
          <w:sz w:val="24"/>
          <w:szCs w:val="24"/>
        </w:rPr>
        <w:t>lor</w:t>
      </w:r>
      <w:r w:rsidRPr="00F34E9D">
        <w:rPr>
          <w:rFonts w:asciiTheme="majorHAnsi" w:hAnsiTheme="majorHAnsi" w:cstheme="majorHAnsi"/>
          <w:color w:val="0D0D0D" w:themeColor="text1" w:themeTint="F2"/>
          <w:sz w:val="24"/>
          <w:szCs w:val="24"/>
        </w:rPr>
        <w:t xml:space="preserve"> neprevăzute prin contractul de achiziție, luând în considera</w:t>
      </w:r>
      <w:r w:rsidR="00B24DFF" w:rsidRPr="00F34E9D">
        <w:rPr>
          <w:rFonts w:asciiTheme="majorHAnsi" w:hAnsiTheme="majorHAnsi" w:cstheme="majorHAnsi"/>
          <w:color w:val="0D0D0D" w:themeColor="text1" w:themeTint="F2"/>
          <w:sz w:val="24"/>
          <w:szCs w:val="24"/>
        </w:rPr>
        <w:t>r</w:t>
      </w:r>
      <w:r w:rsidRPr="00F34E9D">
        <w:rPr>
          <w:rFonts w:asciiTheme="majorHAnsi" w:hAnsiTheme="majorHAnsi" w:cstheme="majorHAnsi"/>
          <w:color w:val="0D0D0D" w:themeColor="text1" w:themeTint="F2"/>
          <w:sz w:val="24"/>
          <w:szCs w:val="24"/>
        </w:rPr>
        <w:t xml:space="preserve">e anularea facilităților fiscale pe proiect survine necesitatea suportării de cheltuieli suplimentare de achitare a TVA de </w:t>
      </w:r>
      <w:r w:rsidRPr="00F34E9D">
        <w:rPr>
          <w:rFonts w:asciiTheme="majorHAnsi" w:hAnsiTheme="majorHAnsi" w:cstheme="majorHAnsi"/>
          <w:b/>
          <w:color w:val="0D0D0D" w:themeColor="text1" w:themeTint="F2"/>
          <w:sz w:val="24"/>
          <w:szCs w:val="24"/>
        </w:rPr>
        <w:t>441,22 mii lei</w:t>
      </w:r>
      <w:r w:rsidRPr="00F34E9D">
        <w:rPr>
          <w:rFonts w:asciiTheme="majorHAnsi" w:hAnsiTheme="majorHAnsi" w:cstheme="majorHAnsi"/>
          <w:color w:val="0D0D0D" w:themeColor="text1" w:themeTint="F2"/>
          <w:sz w:val="24"/>
          <w:szCs w:val="24"/>
        </w:rPr>
        <w:t>.</w:t>
      </w:r>
    </w:p>
    <w:p w14:paraId="4F76C484" w14:textId="69565E5E" w:rsidR="00712691" w:rsidRPr="00F34E9D" w:rsidRDefault="005E5F6D" w:rsidP="00A8666C">
      <w:pPr>
        <w:spacing w:line="276" w:lineRule="auto"/>
        <w:ind w:right="-40"/>
        <w:contextualSpacing/>
        <w:jc w:val="both"/>
        <w:rPr>
          <w:rFonts w:asciiTheme="majorHAnsi" w:hAnsiTheme="majorHAnsi" w:cstheme="majorHAnsi"/>
          <w:color w:val="0D0D0D" w:themeColor="text1" w:themeTint="F2"/>
          <w:sz w:val="24"/>
          <w:szCs w:val="24"/>
          <w:lang w:val="ro-RO"/>
        </w:rPr>
      </w:pPr>
      <w:r w:rsidRPr="00F34E9D">
        <w:rPr>
          <w:rFonts w:asciiTheme="majorHAnsi" w:hAnsiTheme="majorHAnsi" w:cstheme="majorHAnsi"/>
          <w:b/>
          <w:color w:val="0D0D0D" w:themeColor="text1" w:themeTint="F2"/>
          <w:sz w:val="24"/>
          <w:szCs w:val="28"/>
        </w:rPr>
        <w:t>6.12.2.</w:t>
      </w:r>
      <w:r w:rsidRPr="00F34E9D">
        <w:rPr>
          <w:rFonts w:asciiTheme="majorHAnsi" w:hAnsiTheme="majorHAnsi" w:cstheme="majorHAnsi"/>
          <w:color w:val="0D0D0D" w:themeColor="text1" w:themeTint="F2"/>
          <w:sz w:val="24"/>
          <w:szCs w:val="28"/>
        </w:rPr>
        <w:t xml:space="preserve"> </w:t>
      </w:r>
      <w:r w:rsidR="00712691" w:rsidRPr="00F34E9D">
        <w:rPr>
          <w:rFonts w:asciiTheme="majorHAnsi" w:hAnsiTheme="majorHAnsi" w:cstheme="majorHAnsi"/>
          <w:color w:val="0D0D0D" w:themeColor="text1" w:themeTint="F2"/>
          <w:sz w:val="24"/>
          <w:szCs w:val="24"/>
          <w:lang w:val="ro-RO"/>
        </w:rPr>
        <w:t xml:space="preserve">Tergiversarea excesivă la executarea lucrărilor de </w:t>
      </w:r>
      <w:r w:rsidR="000766EC" w:rsidRPr="00F34E9D">
        <w:rPr>
          <w:rFonts w:asciiTheme="majorHAnsi" w:hAnsiTheme="majorHAnsi" w:cstheme="majorHAnsi"/>
          <w:color w:val="0D0D0D" w:themeColor="text1" w:themeTint="F2"/>
          <w:sz w:val="24"/>
          <w:szCs w:val="24"/>
          <w:lang w:val="ro-RO"/>
        </w:rPr>
        <w:t>reconstrucție</w:t>
      </w:r>
      <w:r w:rsidR="00712691" w:rsidRPr="00F34E9D">
        <w:rPr>
          <w:rFonts w:asciiTheme="majorHAnsi" w:hAnsiTheme="majorHAnsi" w:cstheme="majorHAnsi"/>
          <w:color w:val="0D0D0D" w:themeColor="text1" w:themeTint="F2"/>
          <w:sz w:val="24"/>
          <w:szCs w:val="24"/>
          <w:lang w:val="ro-RO"/>
        </w:rPr>
        <w:t xml:space="preserve"> şi modernizare a Centrului de </w:t>
      </w:r>
      <w:r w:rsidR="000766EC" w:rsidRPr="00F34E9D">
        <w:rPr>
          <w:rFonts w:asciiTheme="majorHAnsi" w:hAnsiTheme="majorHAnsi" w:cstheme="majorHAnsi"/>
          <w:color w:val="0D0D0D" w:themeColor="text1" w:themeTint="F2"/>
          <w:sz w:val="24"/>
          <w:szCs w:val="24"/>
          <w:lang w:val="ro-RO"/>
        </w:rPr>
        <w:t>Excelență</w:t>
      </w:r>
      <w:r w:rsidR="00712691" w:rsidRPr="00F34E9D">
        <w:rPr>
          <w:rFonts w:asciiTheme="majorHAnsi" w:hAnsiTheme="majorHAnsi" w:cstheme="majorHAnsi"/>
          <w:color w:val="0D0D0D" w:themeColor="text1" w:themeTint="F2"/>
          <w:sz w:val="24"/>
          <w:szCs w:val="24"/>
          <w:lang w:val="ro-RO"/>
        </w:rPr>
        <w:t xml:space="preserve"> în Energetică şi Electronică</w:t>
      </w:r>
      <w:r w:rsidR="00907535" w:rsidRPr="00F34E9D">
        <w:rPr>
          <w:rFonts w:asciiTheme="majorHAnsi" w:hAnsiTheme="majorHAnsi" w:cstheme="majorHAnsi"/>
          <w:color w:val="0D0D0D" w:themeColor="text1" w:themeTint="F2"/>
          <w:sz w:val="24"/>
          <w:szCs w:val="24"/>
          <w:lang w:val="ro-RO"/>
        </w:rPr>
        <w:t>,</w:t>
      </w:r>
      <w:r w:rsidR="00712691" w:rsidRPr="00F34E9D">
        <w:rPr>
          <w:rFonts w:asciiTheme="majorHAnsi" w:hAnsiTheme="majorHAnsi" w:cstheme="majorHAnsi"/>
          <w:color w:val="0D0D0D" w:themeColor="text1" w:themeTint="F2"/>
          <w:sz w:val="24"/>
          <w:szCs w:val="24"/>
          <w:lang w:val="ro-RO"/>
        </w:rPr>
        <w:t xml:space="preserve"> cu valoarea inițială de 36,6 mil.lei, cauzată atât de de</w:t>
      </w:r>
      <w:r w:rsidR="00B56848" w:rsidRPr="00F34E9D">
        <w:rPr>
          <w:rFonts w:asciiTheme="majorHAnsi" w:hAnsiTheme="majorHAnsi" w:cstheme="majorHAnsi"/>
          <w:color w:val="0D0D0D" w:themeColor="text1" w:themeTint="F2"/>
          <w:sz w:val="24"/>
          <w:szCs w:val="24"/>
          <w:lang w:val="ro-RO"/>
        </w:rPr>
        <w:t>ficiențe</w:t>
      </w:r>
      <w:r w:rsidR="00E10E54" w:rsidRPr="00F34E9D">
        <w:rPr>
          <w:rFonts w:asciiTheme="majorHAnsi" w:hAnsiTheme="majorHAnsi" w:cstheme="majorHAnsi"/>
          <w:color w:val="0D0D0D" w:themeColor="text1" w:themeTint="F2"/>
          <w:sz w:val="24"/>
          <w:szCs w:val="24"/>
          <w:lang w:val="ro-RO"/>
        </w:rPr>
        <w:t>le</w:t>
      </w:r>
      <w:r w:rsidR="00B56848" w:rsidRPr="00F34E9D">
        <w:rPr>
          <w:rFonts w:asciiTheme="majorHAnsi" w:hAnsiTheme="majorHAnsi" w:cstheme="majorHAnsi"/>
          <w:color w:val="0D0D0D" w:themeColor="text1" w:themeTint="F2"/>
          <w:sz w:val="24"/>
          <w:szCs w:val="24"/>
          <w:lang w:val="ro-RO"/>
        </w:rPr>
        <w:t xml:space="preserve"> </w:t>
      </w:r>
      <w:r w:rsidR="00712691" w:rsidRPr="00F34E9D">
        <w:rPr>
          <w:rFonts w:asciiTheme="majorHAnsi" w:hAnsiTheme="majorHAnsi" w:cstheme="majorHAnsi"/>
          <w:color w:val="0D0D0D" w:themeColor="text1" w:themeTint="F2"/>
          <w:sz w:val="24"/>
          <w:szCs w:val="24"/>
          <w:lang w:val="ro-RO"/>
        </w:rPr>
        <w:t>constatate la proiectul tehnic, ceea ce a condiționat lucrări suplimentare neprevăzute de proiect, câ</w:t>
      </w:r>
      <w:r w:rsidR="00E10E54" w:rsidRPr="00F34E9D">
        <w:rPr>
          <w:rFonts w:asciiTheme="majorHAnsi" w:hAnsiTheme="majorHAnsi" w:cstheme="majorHAnsi"/>
          <w:color w:val="0D0D0D" w:themeColor="text1" w:themeTint="F2"/>
          <w:sz w:val="24"/>
          <w:szCs w:val="24"/>
          <w:lang w:val="ro-RO"/>
        </w:rPr>
        <w:t>t</w:t>
      </w:r>
      <w:r w:rsidR="00712691" w:rsidRPr="00F34E9D">
        <w:rPr>
          <w:rFonts w:asciiTheme="majorHAnsi" w:hAnsiTheme="majorHAnsi" w:cstheme="majorHAnsi"/>
          <w:color w:val="0D0D0D" w:themeColor="text1" w:themeTint="F2"/>
          <w:sz w:val="24"/>
          <w:szCs w:val="24"/>
          <w:lang w:val="ro-RO"/>
        </w:rPr>
        <w:t xml:space="preserve"> şi de interacționarea şi comunicarea defectuoasă a </w:t>
      </w:r>
      <w:r w:rsidR="000766EC" w:rsidRPr="00F34E9D">
        <w:rPr>
          <w:rFonts w:asciiTheme="majorHAnsi" w:hAnsiTheme="majorHAnsi" w:cstheme="majorHAnsi"/>
          <w:color w:val="0D0D0D" w:themeColor="text1" w:themeTint="F2"/>
          <w:sz w:val="24"/>
          <w:szCs w:val="24"/>
          <w:lang w:val="ro-RO"/>
        </w:rPr>
        <w:t>părților</w:t>
      </w:r>
      <w:r w:rsidR="00712691" w:rsidRPr="00F34E9D">
        <w:rPr>
          <w:rFonts w:asciiTheme="majorHAnsi" w:hAnsiTheme="majorHAnsi" w:cstheme="majorHAnsi"/>
          <w:color w:val="0D0D0D" w:themeColor="text1" w:themeTint="F2"/>
          <w:sz w:val="24"/>
          <w:szCs w:val="24"/>
          <w:lang w:val="ro-RO"/>
        </w:rPr>
        <w:t xml:space="preserve"> implicate în procesul de reconstrucție, a adus la: dezafectarea mijloacelor bugetare în obiectul în curs de </w:t>
      </w:r>
      <w:r w:rsidR="000766EC" w:rsidRPr="00F34E9D">
        <w:rPr>
          <w:rFonts w:asciiTheme="majorHAnsi" w:hAnsiTheme="majorHAnsi" w:cstheme="majorHAnsi"/>
          <w:color w:val="0D0D0D" w:themeColor="text1" w:themeTint="F2"/>
          <w:sz w:val="24"/>
          <w:szCs w:val="24"/>
          <w:lang w:val="ro-RO"/>
        </w:rPr>
        <w:t>execuție</w:t>
      </w:r>
      <w:r w:rsidR="00712691" w:rsidRPr="00F34E9D">
        <w:rPr>
          <w:rFonts w:asciiTheme="majorHAnsi" w:hAnsiTheme="majorHAnsi" w:cstheme="majorHAnsi"/>
          <w:color w:val="0D0D0D" w:themeColor="text1" w:themeTint="F2"/>
          <w:sz w:val="24"/>
          <w:szCs w:val="24"/>
          <w:lang w:val="ro-RO"/>
        </w:rPr>
        <w:t xml:space="preserve"> în sum</w:t>
      </w:r>
      <w:r w:rsidR="00E10E54" w:rsidRPr="00F34E9D">
        <w:rPr>
          <w:rFonts w:asciiTheme="majorHAnsi" w:hAnsiTheme="majorHAnsi" w:cstheme="majorHAnsi"/>
          <w:color w:val="0D0D0D" w:themeColor="text1" w:themeTint="F2"/>
          <w:sz w:val="24"/>
          <w:szCs w:val="24"/>
          <w:lang w:val="ro-RO"/>
        </w:rPr>
        <w:t>ă</w:t>
      </w:r>
      <w:r w:rsidR="00712691" w:rsidRPr="00F34E9D">
        <w:rPr>
          <w:rFonts w:asciiTheme="majorHAnsi" w:hAnsiTheme="majorHAnsi" w:cstheme="majorHAnsi"/>
          <w:color w:val="0D0D0D" w:themeColor="text1" w:themeTint="F2"/>
          <w:sz w:val="24"/>
          <w:szCs w:val="24"/>
          <w:lang w:val="ro-RO"/>
        </w:rPr>
        <w:t xml:space="preserve"> de 25,7 mil.lei</w:t>
      </w:r>
      <w:r w:rsidR="00907535" w:rsidRPr="00F34E9D">
        <w:rPr>
          <w:rFonts w:asciiTheme="majorHAnsi" w:hAnsiTheme="majorHAnsi" w:cstheme="majorHAnsi"/>
          <w:color w:val="0D0D0D" w:themeColor="text1" w:themeTint="F2"/>
          <w:sz w:val="24"/>
          <w:szCs w:val="24"/>
          <w:lang w:val="ro-RO"/>
        </w:rPr>
        <w:t>;</w:t>
      </w:r>
      <w:r w:rsidR="00712691" w:rsidRPr="00F34E9D">
        <w:rPr>
          <w:rFonts w:asciiTheme="majorHAnsi" w:hAnsiTheme="majorHAnsi" w:cstheme="majorHAnsi"/>
          <w:color w:val="0D0D0D" w:themeColor="text1" w:themeTint="F2"/>
          <w:sz w:val="24"/>
          <w:szCs w:val="24"/>
          <w:lang w:val="ro-RO"/>
        </w:rPr>
        <w:t xml:space="preserve"> imposibilitatea de utilizare a obiectelor supuse reconstrucției (</w:t>
      </w:r>
      <w:r w:rsidR="00907535" w:rsidRPr="00F34E9D">
        <w:rPr>
          <w:rFonts w:asciiTheme="majorHAnsi" w:hAnsiTheme="majorHAnsi" w:cstheme="majorHAnsi"/>
          <w:color w:val="0D0D0D" w:themeColor="text1" w:themeTint="F2"/>
          <w:sz w:val="24"/>
          <w:szCs w:val="24"/>
          <w:lang w:val="ro-RO"/>
        </w:rPr>
        <w:t>b</w:t>
      </w:r>
      <w:r w:rsidR="00712691" w:rsidRPr="00F34E9D">
        <w:rPr>
          <w:rFonts w:asciiTheme="majorHAnsi" w:hAnsiTheme="majorHAnsi" w:cstheme="majorHAnsi"/>
          <w:color w:val="0D0D0D" w:themeColor="text1" w:themeTint="F2"/>
          <w:sz w:val="24"/>
          <w:szCs w:val="24"/>
          <w:lang w:val="ro-RO"/>
        </w:rPr>
        <w:t xml:space="preserve">locul de </w:t>
      </w:r>
      <w:r w:rsidR="00907535" w:rsidRPr="00F34E9D">
        <w:rPr>
          <w:rFonts w:asciiTheme="majorHAnsi" w:hAnsiTheme="majorHAnsi" w:cstheme="majorHAnsi"/>
          <w:color w:val="0D0D0D" w:themeColor="text1" w:themeTint="F2"/>
          <w:sz w:val="24"/>
          <w:szCs w:val="24"/>
          <w:lang w:val="ro-RO"/>
        </w:rPr>
        <w:t>s</w:t>
      </w:r>
      <w:r w:rsidR="00712691" w:rsidRPr="00F34E9D">
        <w:rPr>
          <w:rFonts w:asciiTheme="majorHAnsi" w:hAnsiTheme="majorHAnsi" w:cstheme="majorHAnsi"/>
          <w:color w:val="0D0D0D" w:themeColor="text1" w:themeTint="F2"/>
          <w:sz w:val="24"/>
          <w:szCs w:val="24"/>
          <w:lang w:val="ro-RO"/>
        </w:rPr>
        <w:t>tudii cu 4 nivel</w:t>
      </w:r>
      <w:r w:rsidR="00E10E54" w:rsidRPr="00F34E9D">
        <w:rPr>
          <w:rFonts w:asciiTheme="majorHAnsi" w:hAnsiTheme="majorHAnsi" w:cstheme="majorHAnsi"/>
          <w:color w:val="0D0D0D" w:themeColor="text1" w:themeTint="F2"/>
          <w:sz w:val="24"/>
          <w:szCs w:val="24"/>
          <w:lang w:val="ro-RO"/>
        </w:rPr>
        <w:t>uri</w:t>
      </w:r>
      <w:r w:rsidR="00712691" w:rsidRPr="00F34E9D">
        <w:rPr>
          <w:rFonts w:asciiTheme="majorHAnsi" w:hAnsiTheme="majorHAnsi" w:cstheme="majorHAnsi"/>
          <w:color w:val="0D0D0D" w:themeColor="text1" w:themeTint="F2"/>
          <w:sz w:val="24"/>
          <w:szCs w:val="24"/>
          <w:lang w:val="ro-RO"/>
        </w:rPr>
        <w:t xml:space="preserve"> şi </w:t>
      </w:r>
      <w:r w:rsidR="00E10E54" w:rsidRPr="00F34E9D">
        <w:rPr>
          <w:rFonts w:asciiTheme="majorHAnsi" w:hAnsiTheme="majorHAnsi" w:cstheme="majorHAnsi"/>
          <w:color w:val="0D0D0D" w:themeColor="text1" w:themeTint="F2"/>
          <w:sz w:val="24"/>
          <w:szCs w:val="24"/>
          <w:lang w:val="ro-RO"/>
        </w:rPr>
        <w:t>a</w:t>
      </w:r>
      <w:r w:rsidR="00712691" w:rsidRPr="00F34E9D">
        <w:rPr>
          <w:rFonts w:asciiTheme="majorHAnsi" w:hAnsiTheme="majorHAnsi" w:cstheme="majorHAnsi"/>
          <w:color w:val="0D0D0D" w:themeColor="text1" w:themeTint="F2"/>
          <w:sz w:val="24"/>
          <w:szCs w:val="24"/>
          <w:lang w:val="ro-RO"/>
        </w:rPr>
        <w:t>telierul didactic cu 3 nivel</w:t>
      </w:r>
      <w:r w:rsidR="00E10E54" w:rsidRPr="00F34E9D">
        <w:rPr>
          <w:rFonts w:asciiTheme="majorHAnsi" w:hAnsiTheme="majorHAnsi" w:cstheme="majorHAnsi"/>
          <w:color w:val="0D0D0D" w:themeColor="text1" w:themeTint="F2"/>
          <w:sz w:val="24"/>
          <w:szCs w:val="24"/>
          <w:lang w:val="ro-RO"/>
        </w:rPr>
        <w:t>uri</w:t>
      </w:r>
      <w:r w:rsidR="00712691" w:rsidRPr="00F34E9D">
        <w:rPr>
          <w:rFonts w:asciiTheme="majorHAnsi" w:hAnsiTheme="majorHAnsi" w:cstheme="majorHAnsi"/>
          <w:color w:val="0D0D0D" w:themeColor="text1" w:themeTint="F2"/>
          <w:sz w:val="24"/>
          <w:szCs w:val="24"/>
          <w:lang w:val="ro-RO"/>
        </w:rPr>
        <w:t>) în scopul prevăzut; cheltuieli suplimentare necesare pentru: proceduri de judecată</w:t>
      </w:r>
      <w:r w:rsidR="00B56848" w:rsidRPr="00F34E9D">
        <w:rPr>
          <w:rFonts w:asciiTheme="majorHAnsi" w:hAnsiTheme="majorHAnsi" w:cstheme="majorHAnsi"/>
          <w:color w:val="0D0D0D" w:themeColor="text1" w:themeTint="F2"/>
          <w:sz w:val="24"/>
          <w:szCs w:val="24"/>
          <w:lang w:val="ro-RO"/>
        </w:rPr>
        <w:t>,</w:t>
      </w:r>
      <w:r w:rsidR="00712691" w:rsidRPr="00F34E9D">
        <w:rPr>
          <w:rFonts w:asciiTheme="majorHAnsi" w:hAnsiTheme="majorHAnsi" w:cstheme="majorHAnsi"/>
          <w:color w:val="0D0D0D" w:themeColor="text1" w:themeTint="F2"/>
          <w:sz w:val="24"/>
          <w:szCs w:val="24"/>
          <w:lang w:val="ro-RO"/>
        </w:rPr>
        <w:t xml:space="preserve"> conservarea obiectului nefinisat</w:t>
      </w:r>
      <w:r w:rsidR="00B56848" w:rsidRPr="00F34E9D">
        <w:rPr>
          <w:rFonts w:asciiTheme="majorHAnsi" w:hAnsiTheme="majorHAnsi" w:cstheme="majorHAnsi"/>
          <w:color w:val="0D0D0D" w:themeColor="text1" w:themeTint="F2"/>
          <w:sz w:val="24"/>
          <w:szCs w:val="24"/>
          <w:lang w:val="ro-RO"/>
        </w:rPr>
        <w:t>,</w:t>
      </w:r>
      <w:r w:rsidR="00712691" w:rsidRPr="00F34E9D">
        <w:rPr>
          <w:rFonts w:asciiTheme="majorHAnsi" w:hAnsiTheme="majorHAnsi" w:cstheme="majorHAnsi"/>
          <w:color w:val="0D0D0D" w:themeColor="text1" w:themeTint="F2"/>
          <w:sz w:val="24"/>
          <w:szCs w:val="24"/>
          <w:lang w:val="ro-RO"/>
        </w:rPr>
        <w:t xml:space="preserve"> </w:t>
      </w:r>
      <w:r w:rsidR="00B56848" w:rsidRPr="00F34E9D">
        <w:rPr>
          <w:rFonts w:asciiTheme="majorHAnsi" w:hAnsiTheme="majorHAnsi" w:cstheme="majorHAnsi"/>
          <w:color w:val="0D0D0D" w:themeColor="text1" w:themeTint="F2"/>
          <w:sz w:val="24"/>
          <w:szCs w:val="24"/>
          <w:lang w:val="ro-RO"/>
        </w:rPr>
        <w:t xml:space="preserve">alocarea mijloacelor </w:t>
      </w:r>
      <w:r w:rsidR="00712691" w:rsidRPr="00F34E9D">
        <w:rPr>
          <w:rFonts w:asciiTheme="majorHAnsi" w:hAnsiTheme="majorHAnsi" w:cstheme="majorHAnsi"/>
          <w:color w:val="0D0D0D" w:themeColor="text1" w:themeTint="F2"/>
          <w:sz w:val="24"/>
          <w:szCs w:val="24"/>
          <w:lang w:val="ro-RO"/>
        </w:rPr>
        <w:t>suplimentar</w:t>
      </w:r>
      <w:r w:rsidR="00B56848" w:rsidRPr="00F34E9D">
        <w:rPr>
          <w:rFonts w:asciiTheme="majorHAnsi" w:hAnsiTheme="majorHAnsi" w:cstheme="majorHAnsi"/>
          <w:color w:val="0D0D0D" w:themeColor="text1" w:themeTint="F2"/>
          <w:sz w:val="24"/>
          <w:szCs w:val="24"/>
          <w:lang w:val="ro-RO"/>
        </w:rPr>
        <w:t>e</w:t>
      </w:r>
      <w:r w:rsidR="00712691" w:rsidRPr="00F34E9D">
        <w:rPr>
          <w:rFonts w:asciiTheme="majorHAnsi" w:hAnsiTheme="majorHAnsi" w:cstheme="majorHAnsi"/>
          <w:color w:val="0D0D0D" w:themeColor="text1" w:themeTint="F2"/>
          <w:sz w:val="24"/>
          <w:szCs w:val="24"/>
          <w:lang w:val="ro-RO"/>
        </w:rPr>
        <w:t xml:space="preserve"> necesar</w:t>
      </w:r>
      <w:r w:rsidR="00B56848" w:rsidRPr="00F34E9D">
        <w:rPr>
          <w:rFonts w:asciiTheme="majorHAnsi" w:hAnsiTheme="majorHAnsi" w:cstheme="majorHAnsi"/>
          <w:color w:val="0D0D0D" w:themeColor="text1" w:themeTint="F2"/>
          <w:sz w:val="24"/>
          <w:szCs w:val="24"/>
          <w:lang w:val="ro-RO"/>
        </w:rPr>
        <w:t>e</w:t>
      </w:r>
      <w:r w:rsidR="00712691" w:rsidRPr="00F34E9D">
        <w:rPr>
          <w:rFonts w:asciiTheme="majorHAnsi" w:hAnsiTheme="majorHAnsi" w:cstheme="majorHAnsi"/>
          <w:color w:val="0D0D0D" w:themeColor="text1" w:themeTint="F2"/>
          <w:sz w:val="24"/>
          <w:szCs w:val="24"/>
          <w:lang w:val="ro-RO"/>
        </w:rPr>
        <w:t xml:space="preserve"> pentru finalizarea investiției.</w:t>
      </w:r>
    </w:p>
    <w:p w14:paraId="1A5DEE4C" w14:textId="6928C97B" w:rsidR="00EA7896" w:rsidRPr="00F34E9D" w:rsidRDefault="00EA7896">
      <w:pPr>
        <w:spacing w:after="0" w:line="276" w:lineRule="auto"/>
        <w:jc w:val="both"/>
        <w:rPr>
          <w:rFonts w:asciiTheme="majorHAnsi" w:eastAsia="Times New Roman" w:hAnsiTheme="majorHAnsi" w:cstheme="majorHAnsi"/>
          <w:iCs/>
          <w:color w:val="0D0D0D" w:themeColor="text1" w:themeTint="F2"/>
          <w:sz w:val="24"/>
          <w:szCs w:val="24"/>
          <w:lang w:val="ro-RO"/>
        </w:rPr>
      </w:pPr>
      <w:r w:rsidRPr="00F34E9D">
        <w:rPr>
          <w:rFonts w:asciiTheme="majorHAnsi" w:hAnsiTheme="majorHAnsi" w:cstheme="majorHAnsi"/>
          <w:b/>
          <w:bCs/>
          <w:color w:val="0D0D0D" w:themeColor="text1" w:themeTint="F2"/>
          <w:sz w:val="24"/>
          <w:szCs w:val="24"/>
          <w:lang w:val="ro-RO"/>
        </w:rPr>
        <w:t>6.</w:t>
      </w:r>
      <w:r w:rsidR="007F0008" w:rsidRPr="00F34E9D">
        <w:rPr>
          <w:rFonts w:asciiTheme="majorHAnsi" w:hAnsiTheme="majorHAnsi" w:cstheme="majorHAnsi"/>
          <w:b/>
          <w:bCs/>
          <w:color w:val="0D0D0D" w:themeColor="text1" w:themeTint="F2"/>
          <w:sz w:val="24"/>
          <w:szCs w:val="24"/>
          <w:lang w:val="ro-RO"/>
        </w:rPr>
        <w:t>1</w:t>
      </w:r>
      <w:r w:rsidR="005E5F6D" w:rsidRPr="00F34E9D">
        <w:rPr>
          <w:rFonts w:asciiTheme="majorHAnsi" w:hAnsiTheme="majorHAnsi" w:cstheme="majorHAnsi"/>
          <w:b/>
          <w:bCs/>
          <w:color w:val="0D0D0D" w:themeColor="text1" w:themeTint="F2"/>
          <w:sz w:val="24"/>
          <w:szCs w:val="24"/>
          <w:lang w:val="ro-RO"/>
        </w:rPr>
        <w:t>3</w:t>
      </w:r>
      <w:r w:rsidRPr="00F34E9D">
        <w:rPr>
          <w:rFonts w:asciiTheme="majorHAnsi" w:hAnsiTheme="majorHAnsi" w:cstheme="majorHAnsi"/>
          <w:b/>
          <w:bCs/>
          <w:color w:val="0D0D0D" w:themeColor="text1" w:themeTint="F2"/>
          <w:sz w:val="24"/>
          <w:szCs w:val="24"/>
          <w:lang w:val="ro-RO"/>
        </w:rPr>
        <w:t>.</w:t>
      </w:r>
      <w:r w:rsidRPr="00F34E9D">
        <w:rPr>
          <w:rFonts w:asciiTheme="majorHAnsi" w:eastAsia="Times New Roman" w:hAnsiTheme="majorHAnsi" w:cstheme="majorHAnsi"/>
          <w:i/>
          <w:color w:val="0D0D0D" w:themeColor="text1" w:themeTint="F2"/>
          <w:sz w:val="24"/>
          <w:szCs w:val="24"/>
          <w:lang w:val="ro-RO"/>
        </w:rPr>
        <w:t xml:space="preserve"> </w:t>
      </w:r>
      <w:r w:rsidRPr="00F34E9D">
        <w:rPr>
          <w:rFonts w:asciiTheme="majorHAnsi" w:eastAsia="Times New Roman" w:hAnsiTheme="majorHAnsi" w:cstheme="majorHAnsi"/>
          <w:iCs/>
          <w:color w:val="0D0D0D" w:themeColor="text1" w:themeTint="F2"/>
          <w:sz w:val="24"/>
          <w:szCs w:val="24"/>
          <w:lang w:val="ro-RO"/>
        </w:rPr>
        <w:t>MEC nu a asigurat delimitarea și înregistrarea conformă a proprietății publice gestionate de entitățile din subordine</w:t>
      </w:r>
      <w:r w:rsidR="00FF69BC" w:rsidRPr="00F34E9D">
        <w:rPr>
          <w:rFonts w:asciiTheme="majorHAnsi" w:eastAsia="Times New Roman" w:hAnsiTheme="majorHAnsi" w:cstheme="majorHAnsi"/>
          <w:iCs/>
          <w:color w:val="0D0D0D" w:themeColor="text1" w:themeTint="F2"/>
          <w:sz w:val="24"/>
          <w:szCs w:val="24"/>
          <w:lang w:val="ro-RO"/>
        </w:rPr>
        <w:t>, situația fiind similară celei descrise în auditul precedent</w:t>
      </w:r>
      <w:r w:rsidRPr="00F34E9D">
        <w:rPr>
          <w:rFonts w:asciiTheme="majorHAnsi" w:eastAsia="Times New Roman" w:hAnsiTheme="majorHAnsi" w:cstheme="majorHAnsi"/>
          <w:iCs/>
          <w:color w:val="0D0D0D" w:themeColor="text1" w:themeTint="F2"/>
          <w:sz w:val="24"/>
          <w:szCs w:val="24"/>
          <w:lang w:val="ro-RO"/>
        </w:rPr>
        <w:t>.</w:t>
      </w:r>
      <w:r w:rsidRPr="00F34E9D">
        <w:rPr>
          <w:rFonts w:asciiTheme="majorHAnsi" w:hAnsiTheme="majorHAnsi" w:cstheme="majorHAnsi"/>
          <w:color w:val="0D0D0D" w:themeColor="text1" w:themeTint="F2"/>
          <w:sz w:val="24"/>
          <w:szCs w:val="24"/>
          <w:lang w:val="ro-RO"/>
        </w:rPr>
        <w:t xml:space="preserve"> </w:t>
      </w:r>
      <w:r w:rsidR="000C7E6F" w:rsidRPr="00F34E9D">
        <w:rPr>
          <w:rFonts w:asciiTheme="majorHAnsi" w:eastAsia="Times New Roman" w:hAnsiTheme="majorHAnsi" w:cstheme="majorHAnsi"/>
          <w:i/>
          <w:iCs/>
          <w:color w:val="0D0D0D" w:themeColor="text1" w:themeTint="F2"/>
          <w:sz w:val="24"/>
          <w:szCs w:val="24"/>
          <w:lang w:val="ro-RO"/>
        </w:rPr>
        <w:t>De exemplu</w:t>
      </w:r>
      <w:r w:rsidRPr="00F34E9D">
        <w:rPr>
          <w:rFonts w:asciiTheme="majorHAnsi" w:eastAsia="Times New Roman" w:hAnsiTheme="majorHAnsi" w:cstheme="majorHAnsi"/>
          <w:i/>
          <w:iCs/>
          <w:color w:val="0D0D0D" w:themeColor="text1" w:themeTint="F2"/>
          <w:sz w:val="24"/>
          <w:szCs w:val="24"/>
          <w:lang w:val="ro-RO"/>
        </w:rPr>
        <w:t>,</w:t>
      </w:r>
      <w:r w:rsidRPr="00F34E9D">
        <w:rPr>
          <w:rFonts w:asciiTheme="majorHAnsi" w:eastAsia="Times New Roman" w:hAnsiTheme="majorHAnsi" w:cstheme="majorHAnsi"/>
          <w:iCs/>
          <w:color w:val="0D0D0D" w:themeColor="text1" w:themeTint="F2"/>
          <w:sz w:val="24"/>
          <w:szCs w:val="24"/>
          <w:lang w:val="ro-RO"/>
        </w:rPr>
        <w:t xml:space="preserve"> </w:t>
      </w:r>
    </w:p>
    <w:p w14:paraId="208B9421" w14:textId="11968F73" w:rsidR="00EA7896" w:rsidRPr="00F34E9D" w:rsidRDefault="00EA7896">
      <w:pPr>
        <w:numPr>
          <w:ilvl w:val="0"/>
          <w:numId w:val="32"/>
        </w:numPr>
        <w:spacing w:line="276" w:lineRule="auto"/>
        <w:ind w:left="378" w:right="-40"/>
        <w:contextualSpacing/>
        <w:jc w:val="both"/>
        <w:rPr>
          <w:rFonts w:asciiTheme="majorHAnsi" w:hAnsiTheme="majorHAnsi" w:cstheme="majorHAnsi"/>
          <w:color w:val="0D0D0D" w:themeColor="text1" w:themeTint="F2"/>
          <w:sz w:val="24"/>
          <w:szCs w:val="24"/>
          <w:lang w:val="ro-RO"/>
        </w:rPr>
      </w:pPr>
      <w:r w:rsidRPr="00F34E9D">
        <w:rPr>
          <w:rFonts w:asciiTheme="majorHAnsi" w:hAnsiTheme="majorHAnsi" w:cstheme="majorHAnsi"/>
          <w:color w:val="0D0D0D" w:themeColor="text1" w:themeTint="F2"/>
          <w:sz w:val="24"/>
          <w:szCs w:val="24"/>
          <w:lang w:val="ro-RO"/>
        </w:rPr>
        <w:t xml:space="preserve">15 instituții au </w:t>
      </w:r>
      <w:r w:rsidR="00907535" w:rsidRPr="00F34E9D">
        <w:rPr>
          <w:rFonts w:asciiTheme="majorHAnsi" w:hAnsiTheme="majorHAnsi" w:cstheme="majorHAnsi"/>
          <w:color w:val="0D0D0D" w:themeColor="text1" w:themeTint="F2"/>
          <w:sz w:val="24"/>
          <w:szCs w:val="24"/>
          <w:lang w:val="ro-RO"/>
        </w:rPr>
        <w:t>în</w:t>
      </w:r>
      <w:r w:rsidRPr="00F34E9D">
        <w:rPr>
          <w:rFonts w:asciiTheme="majorHAnsi" w:hAnsiTheme="majorHAnsi" w:cstheme="majorHAnsi"/>
          <w:color w:val="0D0D0D" w:themeColor="text1" w:themeTint="F2"/>
          <w:sz w:val="24"/>
          <w:szCs w:val="24"/>
          <w:lang w:val="ro-RO"/>
        </w:rPr>
        <w:t xml:space="preserve"> evidență 141 de clădiri cu valoarea de bilanț de 113,8 mil.lei, care nu sunt înregistrate în RBI;</w:t>
      </w:r>
    </w:p>
    <w:p w14:paraId="03BB7E03" w14:textId="67C783EE" w:rsidR="00FF69BC" w:rsidRPr="00F34E9D" w:rsidRDefault="00EA7896">
      <w:pPr>
        <w:numPr>
          <w:ilvl w:val="0"/>
          <w:numId w:val="32"/>
        </w:numPr>
        <w:spacing w:line="276" w:lineRule="auto"/>
        <w:ind w:left="378" w:right="-40"/>
        <w:contextualSpacing/>
        <w:jc w:val="both"/>
        <w:rPr>
          <w:rFonts w:asciiTheme="majorHAnsi" w:hAnsiTheme="majorHAnsi" w:cstheme="majorHAnsi"/>
          <w:color w:val="0D0D0D" w:themeColor="text1" w:themeTint="F2"/>
          <w:sz w:val="24"/>
          <w:szCs w:val="24"/>
          <w:lang w:val="ro-RO"/>
        </w:rPr>
      </w:pPr>
      <w:r w:rsidRPr="00F34E9D">
        <w:rPr>
          <w:rFonts w:asciiTheme="majorHAnsi" w:eastAsia="Times New Roman" w:hAnsiTheme="majorHAnsi" w:cstheme="majorHAnsi"/>
          <w:iCs/>
          <w:color w:val="0D0D0D" w:themeColor="text1" w:themeTint="F2"/>
          <w:sz w:val="24"/>
          <w:szCs w:val="24"/>
          <w:lang w:val="ro-RO"/>
        </w:rPr>
        <w:t xml:space="preserve">MEC nu a asigurat delimitarea și înregistrarea conformă a proprietății publice gestionate de entitățile din subordine. Astfel, sunt atestate </w:t>
      </w:r>
      <w:r w:rsidR="00EE6E9C" w:rsidRPr="00F34E9D">
        <w:rPr>
          <w:rFonts w:asciiTheme="majorHAnsi" w:eastAsia="Times New Roman" w:hAnsiTheme="majorHAnsi" w:cstheme="majorHAnsi"/>
          <w:iCs/>
          <w:color w:val="0D0D0D" w:themeColor="text1" w:themeTint="F2"/>
          <w:sz w:val="24"/>
          <w:szCs w:val="24"/>
          <w:lang w:val="ro-RO"/>
        </w:rPr>
        <w:t>situații</w:t>
      </w:r>
      <w:r w:rsidRPr="00F34E9D">
        <w:rPr>
          <w:rFonts w:asciiTheme="majorHAnsi" w:eastAsia="Times New Roman" w:hAnsiTheme="majorHAnsi" w:cstheme="majorHAnsi"/>
          <w:iCs/>
          <w:color w:val="0D0D0D" w:themeColor="text1" w:themeTint="F2"/>
          <w:sz w:val="24"/>
          <w:szCs w:val="24"/>
          <w:lang w:val="ro-RO"/>
        </w:rPr>
        <w:t xml:space="preserve"> în care 38 </w:t>
      </w:r>
      <w:r w:rsidR="00907535" w:rsidRPr="00F34E9D">
        <w:rPr>
          <w:rFonts w:asciiTheme="majorHAnsi" w:eastAsia="Times New Roman" w:hAnsiTheme="majorHAnsi" w:cstheme="majorHAnsi"/>
          <w:iCs/>
          <w:color w:val="0D0D0D" w:themeColor="text1" w:themeTint="F2"/>
          <w:sz w:val="24"/>
          <w:szCs w:val="24"/>
          <w:lang w:val="ro-RO"/>
        </w:rPr>
        <w:t xml:space="preserve">de </w:t>
      </w:r>
      <w:r w:rsidRPr="00F34E9D">
        <w:rPr>
          <w:rFonts w:asciiTheme="majorHAnsi" w:eastAsia="Times New Roman" w:hAnsiTheme="majorHAnsi" w:cstheme="majorHAnsi"/>
          <w:iCs/>
          <w:color w:val="0D0D0D" w:themeColor="text1" w:themeTint="F2"/>
          <w:sz w:val="24"/>
          <w:szCs w:val="24"/>
          <w:lang w:val="ro-RO"/>
        </w:rPr>
        <w:t xml:space="preserve">bunuri imobile reflectate în </w:t>
      </w:r>
      <w:r w:rsidR="00027CD8" w:rsidRPr="00F34E9D">
        <w:rPr>
          <w:rFonts w:asciiTheme="majorHAnsi" w:eastAsia="Times New Roman" w:hAnsiTheme="majorHAnsi" w:cstheme="majorHAnsi"/>
          <w:iCs/>
          <w:color w:val="0D0D0D" w:themeColor="text1" w:themeTint="F2"/>
          <w:sz w:val="24"/>
          <w:szCs w:val="24"/>
          <w:lang w:val="ro-RO"/>
        </w:rPr>
        <w:t>evidența</w:t>
      </w:r>
      <w:r w:rsidRPr="00F34E9D">
        <w:rPr>
          <w:rFonts w:asciiTheme="majorHAnsi" w:eastAsia="Times New Roman" w:hAnsiTheme="majorHAnsi" w:cstheme="majorHAnsi"/>
          <w:iCs/>
          <w:color w:val="0D0D0D" w:themeColor="text1" w:themeTint="F2"/>
          <w:sz w:val="24"/>
          <w:szCs w:val="24"/>
          <w:lang w:val="ro-RO"/>
        </w:rPr>
        <w:t xml:space="preserve"> contabilă a 8 </w:t>
      </w:r>
      <w:r w:rsidR="00027CD8" w:rsidRPr="00F34E9D">
        <w:rPr>
          <w:rFonts w:asciiTheme="majorHAnsi" w:eastAsia="Times New Roman" w:hAnsiTheme="majorHAnsi" w:cstheme="majorHAnsi"/>
          <w:iCs/>
          <w:color w:val="0D0D0D" w:themeColor="text1" w:themeTint="F2"/>
          <w:sz w:val="24"/>
          <w:szCs w:val="24"/>
          <w:lang w:val="ro-RO"/>
        </w:rPr>
        <w:t>instituții</w:t>
      </w:r>
      <w:r w:rsidRPr="00F34E9D">
        <w:rPr>
          <w:rFonts w:asciiTheme="majorHAnsi" w:eastAsia="Times New Roman" w:hAnsiTheme="majorHAnsi" w:cstheme="majorHAnsi"/>
          <w:iCs/>
          <w:color w:val="0D0D0D" w:themeColor="text1" w:themeTint="F2"/>
          <w:sz w:val="24"/>
          <w:szCs w:val="24"/>
          <w:lang w:val="ro-RO"/>
        </w:rPr>
        <w:t xml:space="preserve"> din subordinea MEC cu valoare</w:t>
      </w:r>
      <w:r w:rsidR="00907535" w:rsidRPr="00F34E9D">
        <w:rPr>
          <w:rFonts w:asciiTheme="majorHAnsi" w:eastAsia="Times New Roman" w:hAnsiTheme="majorHAnsi" w:cstheme="majorHAnsi"/>
          <w:iCs/>
          <w:color w:val="0D0D0D" w:themeColor="text1" w:themeTint="F2"/>
          <w:sz w:val="24"/>
          <w:szCs w:val="24"/>
          <w:lang w:val="ro-RO"/>
        </w:rPr>
        <w:t>a</w:t>
      </w:r>
      <w:r w:rsidRPr="00F34E9D">
        <w:rPr>
          <w:rFonts w:asciiTheme="majorHAnsi" w:eastAsia="Times New Roman" w:hAnsiTheme="majorHAnsi" w:cstheme="majorHAnsi"/>
          <w:iCs/>
          <w:color w:val="0D0D0D" w:themeColor="text1" w:themeTint="F2"/>
          <w:sz w:val="24"/>
          <w:szCs w:val="24"/>
          <w:lang w:val="ro-RO"/>
        </w:rPr>
        <w:t xml:space="preserve"> de 100,8 mil.lei, conform datelor din Registrul cadastral </w:t>
      </w:r>
      <w:r w:rsidR="00027CD8" w:rsidRPr="00F34E9D">
        <w:rPr>
          <w:rFonts w:asciiTheme="majorHAnsi" w:eastAsia="Times New Roman" w:hAnsiTheme="majorHAnsi" w:cstheme="majorHAnsi"/>
          <w:iCs/>
          <w:color w:val="0D0D0D" w:themeColor="text1" w:themeTint="F2"/>
          <w:sz w:val="24"/>
          <w:szCs w:val="24"/>
          <w:lang w:val="ro-RO"/>
        </w:rPr>
        <w:t>aparțin</w:t>
      </w:r>
      <w:r w:rsidRPr="00F34E9D">
        <w:rPr>
          <w:rFonts w:asciiTheme="majorHAnsi" w:eastAsia="Times New Roman" w:hAnsiTheme="majorHAnsi" w:cstheme="majorHAnsi"/>
          <w:iCs/>
          <w:color w:val="0D0D0D" w:themeColor="text1" w:themeTint="F2"/>
          <w:sz w:val="24"/>
          <w:szCs w:val="24"/>
          <w:lang w:val="ro-RO"/>
        </w:rPr>
        <w:t xml:space="preserve"> altor persoane fizice şi juridice. </w:t>
      </w:r>
      <w:r w:rsidRPr="00F34E9D">
        <w:rPr>
          <w:rFonts w:asciiTheme="majorHAnsi" w:eastAsia="Times New Roman" w:hAnsiTheme="majorHAnsi" w:cstheme="majorHAnsi"/>
          <w:color w:val="0D0D0D" w:themeColor="text1" w:themeTint="F2"/>
          <w:sz w:val="24"/>
          <w:szCs w:val="24"/>
          <w:lang w:val="ro-RO"/>
        </w:rPr>
        <w:t xml:space="preserve">De </w:t>
      </w:r>
      <w:r w:rsidR="00027CD8" w:rsidRPr="00F34E9D">
        <w:rPr>
          <w:rFonts w:asciiTheme="majorHAnsi" w:eastAsia="Times New Roman" w:hAnsiTheme="majorHAnsi" w:cstheme="majorHAnsi"/>
          <w:color w:val="0D0D0D" w:themeColor="text1" w:themeTint="F2"/>
          <w:sz w:val="24"/>
          <w:szCs w:val="24"/>
          <w:lang w:val="ro-RO"/>
        </w:rPr>
        <w:t>menționat</w:t>
      </w:r>
      <w:r w:rsidRPr="00F34E9D">
        <w:rPr>
          <w:rFonts w:asciiTheme="majorHAnsi" w:eastAsia="Times New Roman" w:hAnsiTheme="majorHAnsi" w:cstheme="majorHAnsi"/>
          <w:color w:val="0D0D0D" w:themeColor="text1" w:themeTint="F2"/>
          <w:sz w:val="24"/>
          <w:szCs w:val="24"/>
          <w:lang w:val="ro-RO"/>
        </w:rPr>
        <w:t xml:space="preserve"> că imobilele respective, conform înscrisurilor din Registrul cadastral, nu </w:t>
      </w:r>
      <w:r w:rsidR="00027CD8" w:rsidRPr="00F34E9D">
        <w:rPr>
          <w:rFonts w:asciiTheme="majorHAnsi" w:eastAsia="Times New Roman" w:hAnsiTheme="majorHAnsi" w:cstheme="majorHAnsi"/>
          <w:color w:val="0D0D0D" w:themeColor="text1" w:themeTint="F2"/>
          <w:sz w:val="24"/>
          <w:szCs w:val="24"/>
          <w:lang w:val="ro-RO"/>
        </w:rPr>
        <w:t>aparțin</w:t>
      </w:r>
      <w:r w:rsidR="00734F03" w:rsidRPr="00F34E9D">
        <w:rPr>
          <w:rFonts w:asciiTheme="majorHAnsi" w:eastAsia="Times New Roman" w:hAnsiTheme="majorHAnsi" w:cstheme="majorHAnsi"/>
          <w:color w:val="0D0D0D" w:themeColor="text1" w:themeTint="F2"/>
          <w:sz w:val="24"/>
          <w:szCs w:val="24"/>
          <w:lang w:val="ro-RO"/>
        </w:rPr>
        <w:t xml:space="preserve"> sau nu se află în folosința entităților </w:t>
      </w:r>
      <w:r w:rsidR="00907535" w:rsidRPr="00F34E9D">
        <w:rPr>
          <w:rFonts w:asciiTheme="majorHAnsi" w:eastAsia="Times New Roman" w:hAnsiTheme="majorHAnsi" w:cstheme="majorHAnsi"/>
          <w:color w:val="0D0D0D" w:themeColor="text1" w:themeTint="F2"/>
          <w:sz w:val="24"/>
          <w:szCs w:val="24"/>
          <w:lang w:val="ro-RO"/>
        </w:rPr>
        <w:t xml:space="preserve">din subordinea </w:t>
      </w:r>
      <w:r w:rsidR="00734F03" w:rsidRPr="00F34E9D">
        <w:rPr>
          <w:rFonts w:asciiTheme="majorHAnsi" w:eastAsia="Times New Roman" w:hAnsiTheme="majorHAnsi" w:cstheme="majorHAnsi"/>
          <w:color w:val="0D0D0D" w:themeColor="text1" w:themeTint="F2"/>
          <w:sz w:val="24"/>
          <w:szCs w:val="24"/>
          <w:lang w:val="ro-RO"/>
        </w:rPr>
        <w:t xml:space="preserve">MEC </w:t>
      </w:r>
      <w:r w:rsidRPr="00F34E9D">
        <w:rPr>
          <w:rFonts w:asciiTheme="majorHAnsi" w:eastAsia="Times New Roman" w:hAnsiTheme="majorHAnsi" w:cstheme="majorHAnsi"/>
          <w:color w:val="0D0D0D" w:themeColor="text1" w:themeTint="F2"/>
          <w:sz w:val="24"/>
          <w:szCs w:val="24"/>
          <w:lang w:val="ro-RO"/>
        </w:rPr>
        <w:t xml:space="preserve">pe parcursul mai multor ani (2010-2021), </w:t>
      </w:r>
      <w:r w:rsidR="00734F03" w:rsidRPr="00F34E9D">
        <w:rPr>
          <w:rFonts w:asciiTheme="majorHAnsi" w:eastAsia="Times New Roman" w:hAnsiTheme="majorHAnsi" w:cstheme="majorHAnsi"/>
          <w:color w:val="0D0D0D" w:themeColor="text1" w:themeTint="F2"/>
          <w:sz w:val="24"/>
          <w:szCs w:val="24"/>
          <w:lang w:val="ro-RO"/>
        </w:rPr>
        <w:t>nefiind întreprinse măsuri pentru înregistrarea conformă a drepturilor asupra acestor bunuri imobile</w:t>
      </w:r>
      <w:r w:rsidR="005135A0" w:rsidRPr="00F34E9D">
        <w:rPr>
          <w:rFonts w:asciiTheme="majorHAnsi" w:eastAsia="Times New Roman" w:hAnsiTheme="majorHAnsi" w:cstheme="majorHAnsi"/>
          <w:color w:val="0D0D0D" w:themeColor="text1" w:themeTint="F2"/>
          <w:sz w:val="24"/>
          <w:szCs w:val="24"/>
          <w:lang w:val="ro-RO"/>
        </w:rPr>
        <w:t>;</w:t>
      </w:r>
    </w:p>
    <w:p w14:paraId="25BE8A82" w14:textId="5809F55C" w:rsidR="00EA7896" w:rsidRPr="00F34E9D" w:rsidRDefault="00B24DFF">
      <w:pPr>
        <w:numPr>
          <w:ilvl w:val="0"/>
          <w:numId w:val="32"/>
        </w:numPr>
        <w:spacing w:line="276" w:lineRule="auto"/>
        <w:ind w:left="378" w:right="-40"/>
        <w:contextualSpacing/>
        <w:jc w:val="both"/>
        <w:rPr>
          <w:rFonts w:asciiTheme="majorHAnsi" w:hAnsiTheme="majorHAnsi" w:cstheme="majorHAnsi"/>
          <w:color w:val="0D0D0D" w:themeColor="text1" w:themeTint="F2"/>
          <w:sz w:val="24"/>
          <w:szCs w:val="24"/>
          <w:lang w:val="ro-RO"/>
        </w:rPr>
      </w:pPr>
      <w:r w:rsidRPr="00F34E9D">
        <w:rPr>
          <w:rFonts w:asciiTheme="majorHAnsi" w:eastAsia="Times New Roman" w:hAnsiTheme="majorHAnsi" w:cstheme="majorHAnsi"/>
          <w:color w:val="0D0D0D" w:themeColor="text1" w:themeTint="F2"/>
          <w:sz w:val="24"/>
          <w:szCs w:val="24"/>
          <w:lang w:val="ro-RO"/>
        </w:rPr>
        <w:t>e</w:t>
      </w:r>
      <w:r w:rsidR="00FF69BC" w:rsidRPr="00F34E9D">
        <w:rPr>
          <w:rFonts w:asciiTheme="majorHAnsi" w:eastAsia="Times New Roman" w:hAnsiTheme="majorHAnsi" w:cstheme="majorHAnsi"/>
          <w:color w:val="0D0D0D" w:themeColor="text1" w:themeTint="F2"/>
          <w:sz w:val="24"/>
          <w:szCs w:val="24"/>
          <w:lang w:val="ro-RO"/>
        </w:rPr>
        <w:t>tc.</w:t>
      </w:r>
    </w:p>
    <w:p w14:paraId="19D472DF" w14:textId="07DA2897" w:rsidR="00204523" w:rsidRPr="00F34E9D" w:rsidRDefault="00204523">
      <w:pPr>
        <w:spacing w:after="0" w:line="276" w:lineRule="auto"/>
        <w:ind w:right="10"/>
        <w:jc w:val="both"/>
        <w:rPr>
          <w:rFonts w:asciiTheme="majorHAnsi" w:hAnsiTheme="majorHAnsi" w:cstheme="majorHAnsi"/>
          <w:b/>
          <w:caps/>
          <w:color w:val="0D0D0D" w:themeColor="text1" w:themeTint="F2"/>
          <w:sz w:val="24"/>
          <w:szCs w:val="24"/>
        </w:rPr>
      </w:pPr>
      <w:r w:rsidRPr="00F34E9D">
        <w:rPr>
          <w:rFonts w:asciiTheme="majorHAnsi" w:eastAsia="Times New Roman" w:hAnsiTheme="majorHAnsi" w:cstheme="majorHAnsi"/>
          <w:b/>
          <w:color w:val="0D0D0D" w:themeColor="text1" w:themeTint="F2"/>
          <w:sz w:val="24"/>
          <w:szCs w:val="24"/>
        </w:rPr>
        <w:t>6.</w:t>
      </w:r>
      <w:r w:rsidR="007F0008" w:rsidRPr="00F34E9D">
        <w:rPr>
          <w:rFonts w:asciiTheme="majorHAnsi" w:eastAsia="Times New Roman" w:hAnsiTheme="majorHAnsi" w:cstheme="majorHAnsi"/>
          <w:b/>
          <w:color w:val="0D0D0D" w:themeColor="text1" w:themeTint="F2"/>
          <w:sz w:val="24"/>
          <w:szCs w:val="24"/>
        </w:rPr>
        <w:t>1</w:t>
      </w:r>
      <w:r w:rsidR="005E5F6D" w:rsidRPr="00F34E9D">
        <w:rPr>
          <w:rFonts w:asciiTheme="majorHAnsi" w:eastAsia="Times New Roman" w:hAnsiTheme="majorHAnsi" w:cstheme="majorHAnsi"/>
          <w:b/>
          <w:color w:val="0D0D0D" w:themeColor="text1" w:themeTint="F2"/>
          <w:sz w:val="24"/>
          <w:szCs w:val="24"/>
        </w:rPr>
        <w:t>4</w:t>
      </w:r>
      <w:r w:rsidRPr="00F34E9D">
        <w:rPr>
          <w:rFonts w:asciiTheme="majorHAnsi" w:eastAsia="Times New Roman" w:hAnsiTheme="majorHAnsi" w:cstheme="majorHAnsi"/>
          <w:b/>
          <w:color w:val="0D0D0D" w:themeColor="text1" w:themeTint="F2"/>
          <w:sz w:val="24"/>
          <w:szCs w:val="24"/>
        </w:rPr>
        <w:t xml:space="preserve">. </w:t>
      </w:r>
      <w:r w:rsidRPr="00F34E9D">
        <w:rPr>
          <w:rFonts w:asciiTheme="majorHAnsi" w:hAnsiTheme="majorHAnsi" w:cstheme="majorHAnsi"/>
          <w:b/>
          <w:color w:val="0D0D0D" w:themeColor="text1" w:themeTint="F2"/>
          <w:sz w:val="24"/>
          <w:szCs w:val="24"/>
        </w:rPr>
        <w:t>Cu privire la administrarea patrimoniului de peste hotarele țării</w:t>
      </w:r>
      <w:r w:rsidRPr="00F34E9D">
        <w:rPr>
          <w:rFonts w:asciiTheme="majorHAnsi" w:hAnsiTheme="majorHAnsi" w:cstheme="majorHAnsi"/>
          <w:b/>
          <w:caps/>
          <w:color w:val="0D0D0D" w:themeColor="text1" w:themeTint="F2"/>
          <w:sz w:val="24"/>
          <w:szCs w:val="24"/>
        </w:rPr>
        <w:t xml:space="preserve"> </w:t>
      </w:r>
    </w:p>
    <w:p w14:paraId="0647A018" w14:textId="2D43A908" w:rsidR="00204523" w:rsidRPr="00F34E9D" w:rsidRDefault="00204523">
      <w:pPr>
        <w:spacing w:after="0" w:line="276" w:lineRule="auto"/>
        <w:ind w:right="10"/>
        <w:jc w:val="both"/>
        <w:rPr>
          <w:rFonts w:asciiTheme="majorHAnsi" w:hAnsiTheme="majorHAnsi" w:cstheme="majorHAnsi"/>
          <w:color w:val="0D0D0D" w:themeColor="text1" w:themeTint="F2"/>
          <w:sz w:val="24"/>
          <w:szCs w:val="24"/>
        </w:rPr>
      </w:pPr>
      <w:r w:rsidRPr="00F34E9D">
        <w:rPr>
          <w:rFonts w:asciiTheme="majorHAnsi" w:hAnsiTheme="majorHAnsi" w:cstheme="majorHAnsi"/>
          <w:color w:val="0D0D0D" w:themeColor="text1" w:themeTint="F2"/>
          <w:sz w:val="24"/>
          <w:szCs w:val="24"/>
        </w:rPr>
        <w:t xml:space="preserve">În conformitate cu prevederile Codului educației (art.106), clădirile și terenurile în/pe care își desfășoară activitatea instituțiile publice de învățământ superior fac parte din domeniul public al statului și nu pot fi înstrăinate. De menționat că </w:t>
      </w:r>
      <w:r w:rsidR="00881590" w:rsidRPr="00F34E9D">
        <w:rPr>
          <w:rFonts w:asciiTheme="majorHAnsi" w:hAnsiTheme="majorHAnsi" w:cstheme="majorHAnsi"/>
          <w:color w:val="0D0D0D" w:themeColor="text1" w:themeTint="F2"/>
          <w:sz w:val="24"/>
          <w:szCs w:val="24"/>
        </w:rPr>
        <w:t>m</w:t>
      </w:r>
      <w:r w:rsidRPr="00F34E9D">
        <w:rPr>
          <w:rFonts w:asciiTheme="majorHAnsi" w:hAnsiTheme="majorHAnsi" w:cstheme="majorHAnsi"/>
          <w:color w:val="0D0D0D" w:themeColor="text1" w:themeTint="F2"/>
          <w:sz w:val="24"/>
          <w:szCs w:val="24"/>
        </w:rPr>
        <w:t xml:space="preserve">inisterul nu a întreprins măsuri față de </w:t>
      </w:r>
      <w:r w:rsidR="00C97582" w:rsidRPr="00F34E9D">
        <w:rPr>
          <w:rFonts w:asciiTheme="majorHAnsi" w:hAnsiTheme="majorHAnsi" w:cstheme="majorHAnsi"/>
          <w:color w:val="0D0D0D" w:themeColor="text1" w:themeTint="F2"/>
          <w:sz w:val="24"/>
          <w:szCs w:val="24"/>
        </w:rPr>
        <w:t xml:space="preserve">instituțiile </w:t>
      </w:r>
      <w:r w:rsidRPr="00F34E9D">
        <w:rPr>
          <w:rFonts w:asciiTheme="majorHAnsi" w:hAnsiTheme="majorHAnsi" w:cstheme="majorHAnsi"/>
          <w:color w:val="0D0D0D" w:themeColor="text1" w:themeTint="F2"/>
          <w:sz w:val="24"/>
          <w:szCs w:val="24"/>
        </w:rPr>
        <w:t xml:space="preserve">de învățământ superior din subordine (USEFS, UTM, USM) care nu au asigurat o gestiune adecvată a patrimoniului public aflat peste hotarele RM, aspect descris de auditul precedent. </w:t>
      </w:r>
    </w:p>
    <w:p w14:paraId="7C49E802" w14:textId="5643C804" w:rsidR="0021050D" w:rsidRPr="00F34E9D" w:rsidRDefault="00045DCB" w:rsidP="0021050D">
      <w:pPr>
        <w:pStyle w:val="a8"/>
        <w:spacing w:before="0" w:beforeAutospacing="0" w:after="60" w:afterAutospacing="0" w:line="276" w:lineRule="auto"/>
        <w:jc w:val="both"/>
        <w:rPr>
          <w:rFonts w:asciiTheme="majorHAnsi" w:hAnsiTheme="majorHAnsi" w:cstheme="majorHAnsi"/>
          <w:color w:val="0D0D0D" w:themeColor="text1" w:themeTint="F2"/>
          <w:lang w:val="ro-MD"/>
        </w:rPr>
      </w:pPr>
      <w:r w:rsidRPr="00F34E9D">
        <w:rPr>
          <w:rFonts w:asciiTheme="majorHAnsi" w:hAnsiTheme="majorHAnsi" w:cstheme="majorHAnsi"/>
          <w:b/>
          <w:color w:val="0D0D0D" w:themeColor="text1" w:themeTint="F2"/>
          <w:lang w:val="ro-MD"/>
        </w:rPr>
        <w:t>6</w:t>
      </w:r>
      <w:r w:rsidR="0021050D" w:rsidRPr="00F34E9D">
        <w:rPr>
          <w:rFonts w:asciiTheme="majorHAnsi" w:hAnsiTheme="majorHAnsi" w:cstheme="majorHAnsi"/>
          <w:b/>
          <w:color w:val="0D0D0D" w:themeColor="text1" w:themeTint="F2"/>
          <w:lang w:val="ro-MD"/>
        </w:rPr>
        <w:t>.</w:t>
      </w:r>
      <w:r w:rsidRPr="00F34E9D">
        <w:rPr>
          <w:rFonts w:asciiTheme="majorHAnsi" w:hAnsiTheme="majorHAnsi" w:cstheme="majorHAnsi"/>
          <w:b/>
          <w:color w:val="0D0D0D" w:themeColor="text1" w:themeTint="F2"/>
          <w:lang w:val="ro-MD"/>
        </w:rPr>
        <w:t>1</w:t>
      </w:r>
      <w:r w:rsidR="0021050D" w:rsidRPr="00F34E9D">
        <w:rPr>
          <w:rFonts w:asciiTheme="majorHAnsi" w:hAnsiTheme="majorHAnsi" w:cstheme="majorHAnsi"/>
          <w:b/>
          <w:color w:val="0D0D0D" w:themeColor="text1" w:themeTint="F2"/>
          <w:lang w:val="ro-MD"/>
        </w:rPr>
        <w:t xml:space="preserve">5. </w:t>
      </w:r>
      <w:r w:rsidR="0021050D" w:rsidRPr="00F34E9D">
        <w:rPr>
          <w:rFonts w:asciiTheme="majorHAnsi" w:hAnsiTheme="majorHAnsi" w:cstheme="majorHAnsi"/>
          <w:color w:val="0D0D0D" w:themeColor="text1" w:themeTint="F2"/>
          <w:lang w:val="ro-MD"/>
        </w:rPr>
        <w:t>Prezentarea cu întârziere a raportului financiar pentru anul 2020 privind confirmarea cheltuielilor în sumă de 4,15 mil. lei efectuate în cadrul fondului comun pentru dezvoltarea Centrelor de tineret potrivit programului Națiunilor Unite pentru Dezvoltare a dus la înregistrarea acestora în anul 2021.</w:t>
      </w:r>
    </w:p>
    <w:p w14:paraId="3A5699A6" w14:textId="1EA5EF65" w:rsidR="0021050D" w:rsidRPr="00F34E9D" w:rsidRDefault="00045DCB" w:rsidP="0021050D">
      <w:pPr>
        <w:pStyle w:val="a3"/>
        <w:shd w:val="clear" w:color="auto" w:fill="FFFFFF" w:themeFill="background1"/>
        <w:spacing w:after="0" w:line="276" w:lineRule="auto"/>
        <w:ind w:left="0"/>
        <w:jc w:val="both"/>
        <w:rPr>
          <w:rFonts w:asciiTheme="majorHAnsi" w:hAnsiTheme="majorHAnsi" w:cstheme="majorHAnsi"/>
          <w:color w:val="0D0D0D" w:themeColor="text1" w:themeTint="F2"/>
          <w:sz w:val="24"/>
          <w:lang w:val="ro-RO" w:eastAsia="ru-RU"/>
        </w:rPr>
      </w:pPr>
      <w:r w:rsidRPr="00F34E9D">
        <w:rPr>
          <w:rFonts w:asciiTheme="majorHAnsi" w:eastAsia="Times New Roman" w:hAnsiTheme="majorHAnsi" w:cstheme="majorHAnsi"/>
          <w:b/>
          <w:color w:val="0D0D0D" w:themeColor="text1" w:themeTint="F2"/>
          <w:sz w:val="24"/>
          <w:szCs w:val="24"/>
        </w:rPr>
        <w:t>6</w:t>
      </w:r>
      <w:r w:rsidR="0021050D" w:rsidRPr="00F34E9D">
        <w:rPr>
          <w:rFonts w:asciiTheme="majorHAnsi" w:eastAsia="Times New Roman" w:hAnsiTheme="majorHAnsi" w:cstheme="majorHAnsi"/>
          <w:b/>
          <w:color w:val="0D0D0D" w:themeColor="text1" w:themeTint="F2"/>
          <w:sz w:val="24"/>
          <w:szCs w:val="24"/>
        </w:rPr>
        <w:t>.</w:t>
      </w:r>
      <w:r w:rsidRPr="00F34E9D">
        <w:rPr>
          <w:rFonts w:asciiTheme="majorHAnsi" w:eastAsia="Times New Roman" w:hAnsiTheme="majorHAnsi" w:cstheme="majorHAnsi"/>
          <w:b/>
          <w:color w:val="0D0D0D" w:themeColor="text1" w:themeTint="F2"/>
          <w:sz w:val="24"/>
          <w:szCs w:val="24"/>
        </w:rPr>
        <w:t>1</w:t>
      </w:r>
      <w:r w:rsidR="0021050D" w:rsidRPr="00F34E9D">
        <w:rPr>
          <w:rFonts w:asciiTheme="majorHAnsi" w:eastAsia="Times New Roman" w:hAnsiTheme="majorHAnsi" w:cstheme="majorHAnsi"/>
          <w:b/>
          <w:color w:val="0D0D0D" w:themeColor="text1" w:themeTint="F2"/>
          <w:sz w:val="24"/>
          <w:szCs w:val="24"/>
        </w:rPr>
        <w:t>6.</w:t>
      </w:r>
      <w:r w:rsidR="0021050D" w:rsidRPr="00F34E9D">
        <w:rPr>
          <w:rFonts w:asciiTheme="majorHAnsi" w:eastAsia="Times New Roman" w:hAnsiTheme="majorHAnsi" w:cstheme="majorHAnsi"/>
          <w:color w:val="0D0D0D" w:themeColor="text1" w:themeTint="F2"/>
          <w:sz w:val="24"/>
          <w:szCs w:val="24"/>
        </w:rPr>
        <w:t xml:space="preserve"> </w:t>
      </w:r>
      <w:r w:rsidR="0021050D" w:rsidRPr="00F34E9D">
        <w:rPr>
          <w:rFonts w:asciiTheme="majorHAnsi" w:eastAsia="Times New Roman" w:hAnsiTheme="majorHAnsi" w:cstheme="majorHAnsi"/>
          <w:bCs/>
          <w:color w:val="0D0D0D" w:themeColor="text1" w:themeTint="F2"/>
          <w:sz w:val="24"/>
          <w:szCs w:val="24"/>
          <w:lang w:val="ro-RO" w:eastAsia="ru-RU"/>
        </w:rPr>
        <w:t>IGFPP</w:t>
      </w:r>
      <w:r w:rsidR="0021050D" w:rsidRPr="00F34E9D">
        <w:rPr>
          <w:rStyle w:val="a7"/>
          <w:rFonts w:asciiTheme="majorHAnsi" w:eastAsia="Times New Roman" w:hAnsiTheme="majorHAnsi" w:cstheme="majorHAnsi"/>
          <w:bCs/>
          <w:color w:val="0D0D0D" w:themeColor="text1" w:themeTint="F2"/>
          <w:sz w:val="24"/>
          <w:szCs w:val="24"/>
          <w:lang w:val="ro-RO" w:eastAsia="ru-RU"/>
        </w:rPr>
        <w:footnoteReference w:id="67"/>
      </w:r>
      <w:r w:rsidR="0021050D" w:rsidRPr="00F34E9D">
        <w:rPr>
          <w:rFonts w:asciiTheme="majorHAnsi" w:eastAsia="Times New Roman" w:hAnsiTheme="majorHAnsi" w:cstheme="majorHAnsi"/>
          <w:bCs/>
          <w:color w:val="0D0D0D" w:themeColor="text1" w:themeTint="F2"/>
          <w:sz w:val="24"/>
          <w:szCs w:val="24"/>
          <w:lang w:val="ro-RO" w:eastAsia="ru-RU"/>
        </w:rPr>
        <w:t xml:space="preserve"> a perfectat și a remunerat munca prin cumul în afara orelor de program în mod nejustificat pentru unele funcții din cadrul subdiviziunilor administrative</w:t>
      </w:r>
      <w:r w:rsidR="0021050D" w:rsidRPr="00F34E9D">
        <w:rPr>
          <w:rStyle w:val="a7"/>
          <w:rFonts w:asciiTheme="majorHAnsi" w:eastAsia="Times New Roman" w:hAnsiTheme="majorHAnsi" w:cstheme="majorHAnsi"/>
          <w:bCs/>
          <w:color w:val="0D0D0D" w:themeColor="text1" w:themeTint="F2"/>
          <w:sz w:val="24"/>
          <w:szCs w:val="24"/>
          <w:lang w:val="ro-RO" w:eastAsia="ru-RU"/>
        </w:rPr>
        <w:footnoteReference w:id="68"/>
      </w:r>
      <w:r w:rsidR="0021050D" w:rsidRPr="00F34E9D">
        <w:rPr>
          <w:rFonts w:asciiTheme="majorHAnsi" w:eastAsia="Times New Roman" w:hAnsiTheme="majorHAnsi" w:cstheme="majorHAnsi"/>
          <w:bCs/>
          <w:color w:val="0D0D0D" w:themeColor="text1" w:themeTint="F2"/>
          <w:sz w:val="24"/>
          <w:szCs w:val="24"/>
          <w:lang w:val="ro-RO" w:eastAsia="ru-RU"/>
        </w:rPr>
        <w:t xml:space="preserve">, nefiind argumentată necesitatea executării muncilor care, reieșind din specificul lor, nu necesitau o realizare suplimentară de activități în afara regimului de muncă de bază. </w:t>
      </w:r>
      <w:r w:rsidR="0021050D" w:rsidRPr="00F34E9D">
        <w:rPr>
          <w:rFonts w:asciiTheme="majorHAnsi" w:hAnsiTheme="majorHAnsi" w:cstheme="majorHAnsi"/>
          <w:color w:val="0D0D0D" w:themeColor="text1" w:themeTint="F2"/>
          <w:sz w:val="24"/>
          <w:lang w:val="ro-RO" w:eastAsia="ru-RU"/>
        </w:rPr>
        <w:t xml:space="preserve">Drept urmare, neaplicarea cumulului de funcții în cadrul regimului de muncă de bază al entității și salariului de bază corespunzător I trepte de salarizare stabilit pentru funcția vacantă, în raport salariul deplin/lunar efectiv acordat, a determinat efectuarea unor cheltuieli salariale neoportune în sumă de </w:t>
      </w:r>
      <w:r w:rsidR="0021050D" w:rsidRPr="00F34E9D">
        <w:rPr>
          <w:rFonts w:asciiTheme="majorHAnsi" w:hAnsiTheme="majorHAnsi" w:cstheme="majorHAnsi"/>
          <w:b/>
          <w:color w:val="0D0D0D" w:themeColor="text1" w:themeTint="F2"/>
          <w:sz w:val="24"/>
          <w:lang w:val="ro-RO" w:eastAsia="ru-RU"/>
        </w:rPr>
        <w:t>12,6 mii</w:t>
      </w:r>
      <w:r w:rsidR="0021050D" w:rsidRPr="00F34E9D">
        <w:rPr>
          <w:rFonts w:asciiTheme="majorHAnsi" w:hAnsiTheme="majorHAnsi" w:cstheme="majorHAnsi"/>
          <w:color w:val="0D0D0D" w:themeColor="text1" w:themeTint="F2"/>
          <w:sz w:val="24"/>
          <w:lang w:val="ro-RO" w:eastAsia="ru-RU"/>
        </w:rPr>
        <w:t xml:space="preserve"> </w:t>
      </w:r>
      <w:r w:rsidR="0021050D" w:rsidRPr="00F34E9D">
        <w:rPr>
          <w:rFonts w:asciiTheme="majorHAnsi" w:hAnsiTheme="majorHAnsi" w:cstheme="majorHAnsi"/>
          <w:b/>
          <w:color w:val="0D0D0D" w:themeColor="text1" w:themeTint="F2"/>
          <w:sz w:val="24"/>
          <w:lang w:val="ro-RO" w:eastAsia="ru-RU"/>
        </w:rPr>
        <w:t>lei</w:t>
      </w:r>
      <w:r w:rsidR="0021050D" w:rsidRPr="00F34E9D">
        <w:rPr>
          <w:rFonts w:asciiTheme="majorHAnsi" w:hAnsiTheme="majorHAnsi" w:cstheme="majorHAnsi"/>
          <w:color w:val="0D0D0D" w:themeColor="text1" w:themeTint="F2"/>
          <w:sz w:val="24"/>
          <w:lang w:val="ro-RO" w:eastAsia="ru-RU"/>
        </w:rPr>
        <w:t xml:space="preserve"> (perioada de raportare de 4 luni).</w:t>
      </w:r>
    </w:p>
    <w:p w14:paraId="27515823" w14:textId="0531C1AE" w:rsidR="0021050D" w:rsidRPr="00F34E9D" w:rsidRDefault="00045DCB" w:rsidP="0021050D">
      <w:pPr>
        <w:pStyle w:val="a3"/>
        <w:widowControl w:val="0"/>
        <w:shd w:val="clear" w:color="auto" w:fill="FFFFFF"/>
        <w:tabs>
          <w:tab w:val="left" w:pos="0"/>
          <w:tab w:val="left" w:pos="426"/>
        </w:tabs>
        <w:spacing w:after="60" w:line="276" w:lineRule="auto"/>
        <w:ind w:left="0"/>
        <w:contextualSpacing w:val="0"/>
        <w:jc w:val="both"/>
        <w:rPr>
          <w:rFonts w:asciiTheme="majorHAnsi" w:eastAsia="Times New Roman" w:hAnsiTheme="majorHAnsi" w:cstheme="majorHAnsi"/>
          <w:bCs/>
          <w:color w:val="0D0D0D" w:themeColor="text1" w:themeTint="F2"/>
          <w:sz w:val="24"/>
          <w:szCs w:val="24"/>
        </w:rPr>
      </w:pPr>
      <w:r w:rsidRPr="00F34E9D">
        <w:rPr>
          <w:rFonts w:asciiTheme="majorHAnsi" w:eastAsia="Calibri" w:hAnsiTheme="majorHAnsi" w:cstheme="majorHAnsi"/>
          <w:b/>
          <w:color w:val="0D0D0D" w:themeColor="text1" w:themeTint="F2"/>
          <w:sz w:val="24"/>
          <w:szCs w:val="24"/>
        </w:rPr>
        <w:t>6</w:t>
      </w:r>
      <w:r w:rsidR="0021050D" w:rsidRPr="00F34E9D">
        <w:rPr>
          <w:rFonts w:asciiTheme="majorHAnsi" w:eastAsia="Calibri" w:hAnsiTheme="majorHAnsi" w:cstheme="majorHAnsi"/>
          <w:b/>
          <w:color w:val="0D0D0D" w:themeColor="text1" w:themeTint="F2"/>
          <w:sz w:val="24"/>
          <w:szCs w:val="24"/>
        </w:rPr>
        <w:t>.</w:t>
      </w:r>
      <w:r w:rsidRPr="00F34E9D">
        <w:rPr>
          <w:rFonts w:asciiTheme="majorHAnsi" w:eastAsia="Calibri" w:hAnsiTheme="majorHAnsi" w:cstheme="majorHAnsi"/>
          <w:b/>
          <w:color w:val="0D0D0D" w:themeColor="text1" w:themeTint="F2"/>
          <w:sz w:val="24"/>
          <w:szCs w:val="24"/>
        </w:rPr>
        <w:t>17</w:t>
      </w:r>
      <w:r w:rsidR="0021050D" w:rsidRPr="00F34E9D">
        <w:rPr>
          <w:rFonts w:asciiTheme="majorHAnsi" w:eastAsia="Calibri" w:hAnsiTheme="majorHAnsi" w:cstheme="majorHAnsi"/>
          <w:color w:val="0D0D0D" w:themeColor="text1" w:themeTint="F2"/>
          <w:sz w:val="24"/>
          <w:szCs w:val="24"/>
        </w:rPr>
        <w:t xml:space="preserve">. </w:t>
      </w:r>
      <w:r w:rsidR="0021050D" w:rsidRPr="00F34E9D">
        <w:rPr>
          <w:rFonts w:asciiTheme="majorHAnsi" w:eastAsia="Times New Roman" w:hAnsiTheme="majorHAnsi" w:cstheme="majorHAnsi"/>
          <w:color w:val="0D0D0D" w:themeColor="text1" w:themeTint="F2"/>
          <w:sz w:val="24"/>
          <w:szCs w:val="24"/>
          <w:lang w:val="ro-RO"/>
        </w:rPr>
        <w:t>În lipsa unor reglementări de ordin normativ, au fost înregistrate cheltuieli bugetare neoportune ce țin de chiria imobilului</w:t>
      </w:r>
      <w:r w:rsidR="0021050D" w:rsidRPr="00F34E9D">
        <w:rPr>
          <w:rFonts w:asciiTheme="majorHAnsi" w:eastAsia="Times New Roman" w:hAnsiTheme="majorHAnsi" w:cstheme="majorHAnsi"/>
          <w:bCs/>
          <w:color w:val="0D0D0D" w:themeColor="text1" w:themeTint="F2"/>
          <w:sz w:val="24"/>
          <w:szCs w:val="24"/>
          <w:lang w:val="ro-RO"/>
        </w:rPr>
        <w:t xml:space="preserve"> în sumă de </w:t>
      </w:r>
      <w:r w:rsidR="0021050D" w:rsidRPr="00F34E9D">
        <w:rPr>
          <w:rFonts w:asciiTheme="majorHAnsi" w:eastAsia="Times New Roman" w:hAnsiTheme="majorHAnsi" w:cstheme="majorHAnsi"/>
          <w:b/>
          <w:bCs/>
          <w:color w:val="0D0D0D" w:themeColor="text1" w:themeTint="F2"/>
          <w:sz w:val="24"/>
          <w:szCs w:val="24"/>
          <w:lang w:val="ro-RO"/>
        </w:rPr>
        <w:t>76,9 mii lei</w:t>
      </w:r>
      <w:r w:rsidR="0021050D" w:rsidRPr="00F34E9D">
        <w:rPr>
          <w:rStyle w:val="a7"/>
          <w:rFonts w:asciiTheme="majorHAnsi" w:eastAsia="Times New Roman" w:hAnsiTheme="majorHAnsi" w:cstheme="majorHAnsi"/>
          <w:bCs/>
          <w:color w:val="0D0D0D" w:themeColor="text1" w:themeTint="F2"/>
          <w:sz w:val="24"/>
          <w:szCs w:val="24"/>
          <w:lang w:val="ro-RO"/>
        </w:rPr>
        <w:footnoteReference w:id="69"/>
      </w:r>
      <w:r w:rsidR="0021050D" w:rsidRPr="00F34E9D">
        <w:rPr>
          <w:rFonts w:asciiTheme="majorHAnsi" w:eastAsia="Times New Roman" w:hAnsiTheme="majorHAnsi" w:cstheme="majorHAnsi"/>
          <w:color w:val="0D0D0D" w:themeColor="text1" w:themeTint="F2"/>
          <w:sz w:val="24"/>
          <w:szCs w:val="24"/>
        </w:rPr>
        <w:t>.</w:t>
      </w:r>
    </w:p>
    <w:p w14:paraId="04D56C59" w14:textId="1544B3DC" w:rsidR="000D2BB5" w:rsidRPr="00F34E9D" w:rsidRDefault="000D2BB5">
      <w:pPr>
        <w:tabs>
          <w:tab w:val="left" w:pos="720"/>
        </w:tabs>
        <w:spacing w:line="276" w:lineRule="auto"/>
        <w:contextualSpacing/>
        <w:jc w:val="both"/>
        <w:rPr>
          <w:rFonts w:asciiTheme="majorHAnsi" w:eastAsia="Times New Roman" w:hAnsiTheme="majorHAnsi" w:cstheme="majorHAnsi"/>
          <w:color w:val="0D0D0D" w:themeColor="text1" w:themeTint="F2"/>
          <w:sz w:val="24"/>
          <w:szCs w:val="24"/>
        </w:rPr>
      </w:pPr>
      <w:r w:rsidRPr="00F34E9D">
        <w:rPr>
          <w:rFonts w:asciiTheme="majorHAnsi" w:eastAsia="Times New Roman" w:hAnsiTheme="majorHAnsi" w:cstheme="majorHAnsi"/>
          <w:b/>
          <w:color w:val="0D0D0D" w:themeColor="text1" w:themeTint="F2"/>
          <w:sz w:val="24"/>
          <w:szCs w:val="24"/>
        </w:rPr>
        <w:t>6.</w:t>
      </w:r>
      <w:r w:rsidR="00045DCB" w:rsidRPr="00F34E9D">
        <w:rPr>
          <w:rFonts w:asciiTheme="majorHAnsi" w:eastAsia="Times New Roman" w:hAnsiTheme="majorHAnsi" w:cstheme="majorHAnsi"/>
          <w:b/>
          <w:color w:val="0D0D0D" w:themeColor="text1" w:themeTint="F2"/>
          <w:sz w:val="24"/>
          <w:szCs w:val="24"/>
        </w:rPr>
        <w:t>18</w:t>
      </w:r>
      <w:r w:rsidRPr="00F34E9D">
        <w:rPr>
          <w:rFonts w:asciiTheme="majorHAnsi" w:eastAsia="Times New Roman" w:hAnsiTheme="majorHAnsi" w:cstheme="majorHAnsi"/>
          <w:b/>
          <w:color w:val="0D0D0D" w:themeColor="text1" w:themeTint="F2"/>
          <w:sz w:val="24"/>
          <w:szCs w:val="24"/>
        </w:rPr>
        <w:t>.</w:t>
      </w:r>
      <w:r w:rsidRPr="00F34E9D">
        <w:rPr>
          <w:rFonts w:asciiTheme="majorHAnsi" w:eastAsia="Times New Roman" w:hAnsiTheme="majorHAnsi" w:cstheme="majorHAnsi"/>
          <w:color w:val="0D0D0D" w:themeColor="text1" w:themeTint="F2"/>
          <w:sz w:val="24"/>
          <w:szCs w:val="24"/>
        </w:rPr>
        <w:t xml:space="preserve"> Se ia act că, pe parcursul misiunii de audit,</w:t>
      </w:r>
      <w:r w:rsidR="000B0E9B" w:rsidRPr="00F34E9D">
        <w:rPr>
          <w:rFonts w:asciiTheme="majorHAnsi" w:eastAsia="Times New Roman" w:hAnsiTheme="majorHAnsi" w:cstheme="majorHAnsi"/>
          <w:color w:val="0D0D0D" w:themeColor="text1" w:themeTint="F2"/>
          <w:sz w:val="24"/>
          <w:szCs w:val="24"/>
        </w:rPr>
        <w:t xml:space="preserve"> ME</w:t>
      </w:r>
      <w:r w:rsidRPr="00F34E9D">
        <w:rPr>
          <w:rFonts w:asciiTheme="majorHAnsi" w:eastAsia="Times New Roman" w:hAnsiTheme="majorHAnsi" w:cstheme="majorHAnsi"/>
          <w:color w:val="0D0D0D" w:themeColor="text1" w:themeTint="F2"/>
          <w:sz w:val="24"/>
          <w:szCs w:val="24"/>
        </w:rPr>
        <w:t xml:space="preserve">C și instituțiile din subordine au efectuat corectări financiar-contabile de </w:t>
      </w:r>
      <w:r w:rsidR="001F7294" w:rsidRPr="00F34E9D">
        <w:rPr>
          <w:rFonts w:asciiTheme="majorHAnsi" w:eastAsia="Times New Roman" w:hAnsiTheme="majorHAnsi" w:cstheme="majorHAnsi"/>
          <w:color w:val="0D0D0D" w:themeColor="text1" w:themeTint="F2"/>
          <w:sz w:val="24"/>
          <w:szCs w:val="24"/>
        </w:rPr>
        <w:t>1.272,0</w:t>
      </w:r>
      <w:r w:rsidR="001B3E24" w:rsidRPr="00F34E9D">
        <w:rPr>
          <w:rFonts w:asciiTheme="majorHAnsi" w:eastAsia="Times New Roman" w:hAnsiTheme="majorHAnsi" w:cstheme="majorHAnsi"/>
          <w:color w:val="0D0D0D" w:themeColor="text1" w:themeTint="F2"/>
          <w:sz w:val="24"/>
          <w:szCs w:val="24"/>
        </w:rPr>
        <w:t xml:space="preserve"> </w:t>
      </w:r>
      <w:r w:rsidRPr="00F34E9D">
        <w:rPr>
          <w:rFonts w:asciiTheme="majorHAnsi" w:eastAsia="Times New Roman" w:hAnsiTheme="majorHAnsi" w:cstheme="majorHAnsi"/>
          <w:color w:val="0D0D0D" w:themeColor="text1" w:themeTint="F2"/>
          <w:sz w:val="24"/>
          <w:szCs w:val="24"/>
        </w:rPr>
        <w:t>mii lei</w:t>
      </w:r>
      <w:r w:rsidR="000B0E9B" w:rsidRPr="00F34E9D">
        <w:rPr>
          <w:rFonts w:asciiTheme="majorHAnsi" w:eastAsia="Times New Roman" w:hAnsiTheme="majorHAnsi" w:cstheme="majorHAnsi"/>
          <w:color w:val="0D0D0D" w:themeColor="text1" w:themeTint="F2"/>
          <w:sz w:val="24"/>
          <w:szCs w:val="24"/>
        </w:rPr>
        <w:t xml:space="preserve">, au (re)înregistrat active în evidență de </w:t>
      </w:r>
      <w:r w:rsidR="00581BB0" w:rsidRPr="00F34E9D">
        <w:rPr>
          <w:rFonts w:asciiTheme="majorHAnsi" w:eastAsia="Times New Roman" w:hAnsiTheme="majorHAnsi" w:cstheme="majorHAnsi"/>
          <w:color w:val="0D0D0D" w:themeColor="text1" w:themeTint="F2"/>
          <w:sz w:val="24"/>
          <w:szCs w:val="24"/>
        </w:rPr>
        <w:t>3.503,5</w:t>
      </w:r>
      <w:r w:rsidR="001B3E24" w:rsidRPr="00F34E9D">
        <w:rPr>
          <w:rFonts w:asciiTheme="majorHAnsi" w:eastAsia="Times New Roman" w:hAnsiTheme="majorHAnsi" w:cstheme="majorHAnsi"/>
          <w:color w:val="0D0D0D" w:themeColor="text1" w:themeTint="F2"/>
          <w:sz w:val="24"/>
          <w:szCs w:val="24"/>
        </w:rPr>
        <w:t xml:space="preserve"> </w:t>
      </w:r>
      <w:r w:rsidR="000B0E9B" w:rsidRPr="00F34E9D">
        <w:rPr>
          <w:rFonts w:asciiTheme="majorHAnsi" w:eastAsia="Times New Roman" w:hAnsiTheme="majorHAnsi" w:cstheme="majorHAnsi"/>
          <w:color w:val="0D0D0D" w:themeColor="text1" w:themeTint="F2"/>
          <w:sz w:val="24"/>
          <w:szCs w:val="24"/>
        </w:rPr>
        <w:t>mii lei</w:t>
      </w:r>
      <w:r w:rsidR="001B3E24" w:rsidRPr="00F34E9D">
        <w:rPr>
          <w:rStyle w:val="a7"/>
          <w:rFonts w:asciiTheme="majorHAnsi" w:eastAsia="Times New Roman" w:hAnsiTheme="majorHAnsi" w:cstheme="majorHAnsi"/>
          <w:color w:val="0D0D0D" w:themeColor="text1" w:themeTint="F2"/>
          <w:sz w:val="24"/>
          <w:szCs w:val="24"/>
        </w:rPr>
        <w:footnoteReference w:id="70"/>
      </w:r>
      <w:r w:rsidR="0036799D" w:rsidRPr="00F34E9D">
        <w:rPr>
          <w:rFonts w:asciiTheme="majorHAnsi" w:eastAsia="Times New Roman" w:hAnsiTheme="majorHAnsi" w:cstheme="majorHAnsi"/>
          <w:color w:val="0D0D0D" w:themeColor="text1" w:themeTint="F2"/>
          <w:sz w:val="24"/>
          <w:szCs w:val="24"/>
        </w:rPr>
        <w:t>, venituri și creanțe de 34,4 mii lei</w:t>
      </w:r>
      <w:r w:rsidR="0036799D" w:rsidRPr="00F34E9D">
        <w:rPr>
          <w:rStyle w:val="a7"/>
          <w:rFonts w:asciiTheme="majorHAnsi" w:hAnsiTheme="majorHAnsi" w:cstheme="majorHAnsi"/>
          <w:color w:val="0D0D0D" w:themeColor="text1" w:themeTint="F2"/>
          <w:sz w:val="24"/>
          <w:szCs w:val="24"/>
          <w:lang w:val="ro-RO"/>
        </w:rPr>
        <w:footnoteReference w:id="71"/>
      </w:r>
      <w:r w:rsidR="000B0E9B" w:rsidRPr="00F34E9D">
        <w:rPr>
          <w:rFonts w:asciiTheme="majorHAnsi" w:eastAsia="Times New Roman" w:hAnsiTheme="majorHAnsi" w:cstheme="majorHAnsi"/>
          <w:color w:val="0D0D0D" w:themeColor="text1" w:themeTint="F2"/>
          <w:sz w:val="24"/>
          <w:szCs w:val="24"/>
        </w:rPr>
        <w:t>.</w:t>
      </w:r>
    </w:p>
    <w:p w14:paraId="107BE611" w14:textId="1683FB71" w:rsidR="0021050D" w:rsidRPr="00F34E9D" w:rsidRDefault="0021050D" w:rsidP="0021050D">
      <w:pPr>
        <w:pStyle w:val="a8"/>
        <w:spacing w:before="0" w:beforeAutospacing="0" w:after="60" w:afterAutospacing="0" w:line="276" w:lineRule="auto"/>
        <w:jc w:val="both"/>
        <w:rPr>
          <w:rFonts w:asciiTheme="majorHAnsi" w:hAnsiTheme="majorHAnsi" w:cstheme="majorHAnsi"/>
          <w:color w:val="0D0D0D" w:themeColor="text1" w:themeTint="F2"/>
          <w:lang w:val="ro-MD"/>
        </w:rPr>
      </w:pPr>
    </w:p>
    <w:p w14:paraId="42223DEA" w14:textId="77777777" w:rsidR="00243CD1" w:rsidRPr="00F34E9D" w:rsidRDefault="00243CD1" w:rsidP="00F34E9D">
      <w:pPr>
        <w:numPr>
          <w:ilvl w:val="0"/>
          <w:numId w:val="36"/>
        </w:numPr>
        <w:tabs>
          <w:tab w:val="left" w:pos="720"/>
        </w:tabs>
        <w:spacing w:after="120" w:line="276" w:lineRule="auto"/>
        <w:ind w:left="709"/>
        <w:jc w:val="both"/>
        <w:rPr>
          <w:rFonts w:asciiTheme="majorHAnsi" w:hAnsiTheme="majorHAnsi" w:cstheme="majorHAnsi"/>
          <w:b/>
          <w:bCs/>
          <w:color w:val="0D0D0D" w:themeColor="text1" w:themeTint="F2"/>
          <w:sz w:val="24"/>
          <w:szCs w:val="24"/>
        </w:rPr>
      </w:pPr>
      <w:r w:rsidRPr="00F34E9D">
        <w:rPr>
          <w:rFonts w:asciiTheme="majorHAnsi" w:hAnsiTheme="majorHAnsi" w:cstheme="majorHAnsi"/>
          <w:b/>
          <w:bCs/>
          <w:color w:val="0D0D0D" w:themeColor="text1" w:themeTint="F2"/>
          <w:sz w:val="24"/>
          <w:szCs w:val="24"/>
        </w:rPr>
        <w:t>RESPONSABILITĂȚILE CONDUCERII PENTRU RAPOARTELE FINANCIARE</w:t>
      </w:r>
    </w:p>
    <w:p w14:paraId="36AE08FC" w14:textId="3BD53FC0" w:rsidR="00243CD1" w:rsidRPr="00F34E9D" w:rsidRDefault="00243CD1" w:rsidP="00F42E6E">
      <w:pPr>
        <w:spacing w:after="0" w:line="276" w:lineRule="auto"/>
        <w:contextualSpacing/>
        <w:jc w:val="both"/>
        <w:rPr>
          <w:rFonts w:asciiTheme="majorHAnsi" w:hAnsiTheme="majorHAnsi" w:cstheme="majorHAnsi"/>
          <w:color w:val="0D0D0D" w:themeColor="text1" w:themeTint="F2"/>
          <w:sz w:val="24"/>
          <w:szCs w:val="24"/>
        </w:rPr>
      </w:pPr>
      <w:r w:rsidRPr="00F34E9D">
        <w:rPr>
          <w:rFonts w:asciiTheme="majorHAnsi" w:hAnsiTheme="majorHAnsi" w:cstheme="majorHAnsi"/>
          <w:color w:val="0D0D0D" w:themeColor="text1" w:themeTint="F2"/>
          <w:sz w:val="24"/>
          <w:szCs w:val="24"/>
        </w:rPr>
        <w:t>Ministrul Educației și Cercetării, în calitate de conducător al organului central de specialitate al administrației publice, este responsabil de întocmirea și prezentarea corectă și fidelă a rapoartelor financiare consolidate</w:t>
      </w:r>
      <w:r w:rsidRPr="00F34E9D">
        <w:rPr>
          <w:rStyle w:val="a7"/>
          <w:rFonts w:asciiTheme="majorHAnsi" w:hAnsiTheme="majorHAnsi" w:cstheme="majorHAnsi"/>
          <w:color w:val="0D0D0D" w:themeColor="text1" w:themeTint="F2"/>
        </w:rPr>
        <w:footnoteReference w:id="72"/>
      </w:r>
      <w:r w:rsidRPr="00F34E9D">
        <w:rPr>
          <w:rFonts w:asciiTheme="majorHAnsi" w:hAnsiTheme="majorHAnsi" w:cstheme="majorHAnsi"/>
          <w:color w:val="0D0D0D" w:themeColor="text1" w:themeTint="F2"/>
          <w:sz w:val="24"/>
          <w:szCs w:val="24"/>
        </w:rPr>
        <w:t xml:space="preserve"> în conformitate cu cadrul de raportare financiară aplicabil</w:t>
      </w:r>
      <w:r w:rsidRPr="00F34E9D">
        <w:rPr>
          <w:rStyle w:val="a7"/>
          <w:rFonts w:asciiTheme="majorHAnsi" w:hAnsiTheme="majorHAnsi" w:cstheme="majorHAnsi"/>
          <w:color w:val="0D0D0D" w:themeColor="text1" w:themeTint="F2"/>
        </w:rPr>
        <w:footnoteReference w:id="73"/>
      </w:r>
      <w:r w:rsidRPr="00F34E9D">
        <w:rPr>
          <w:rFonts w:asciiTheme="majorHAnsi" w:hAnsiTheme="majorHAnsi" w:cstheme="majorHAnsi"/>
          <w:color w:val="0D0D0D" w:themeColor="text1" w:themeTint="F2"/>
          <w:sz w:val="24"/>
          <w:szCs w:val="24"/>
        </w:rPr>
        <w:t xml:space="preserve">. În </w:t>
      </w:r>
      <w:r w:rsidR="00907535" w:rsidRPr="00F34E9D">
        <w:rPr>
          <w:rFonts w:asciiTheme="majorHAnsi" w:hAnsiTheme="majorHAnsi" w:cstheme="majorHAnsi"/>
          <w:color w:val="0D0D0D" w:themeColor="text1" w:themeTint="F2"/>
          <w:sz w:val="24"/>
          <w:szCs w:val="24"/>
        </w:rPr>
        <w:t xml:space="preserve">acest </w:t>
      </w:r>
      <w:r w:rsidRPr="00F34E9D">
        <w:rPr>
          <w:rFonts w:asciiTheme="majorHAnsi" w:hAnsiTheme="majorHAnsi" w:cstheme="majorHAnsi"/>
          <w:color w:val="0D0D0D" w:themeColor="text1" w:themeTint="F2"/>
          <w:sz w:val="24"/>
          <w:szCs w:val="24"/>
        </w:rPr>
        <w:t xml:space="preserve">context, Ministrul Educației și Cercetării poartă răspundere </w:t>
      </w:r>
      <w:r w:rsidR="00907535" w:rsidRPr="00F34E9D">
        <w:rPr>
          <w:rFonts w:asciiTheme="majorHAnsi" w:hAnsiTheme="majorHAnsi" w:cstheme="majorHAnsi"/>
          <w:color w:val="0D0D0D" w:themeColor="text1" w:themeTint="F2"/>
          <w:sz w:val="24"/>
          <w:szCs w:val="24"/>
        </w:rPr>
        <w:t xml:space="preserve">directă </w:t>
      </w:r>
      <w:r w:rsidRPr="00F34E9D">
        <w:rPr>
          <w:rFonts w:asciiTheme="majorHAnsi" w:hAnsiTheme="majorHAnsi" w:cstheme="majorHAnsi"/>
          <w:color w:val="0D0D0D" w:themeColor="text1" w:themeTint="F2"/>
          <w:sz w:val="24"/>
          <w:szCs w:val="24"/>
        </w:rPr>
        <w:t>pentru organizarea controlului intern managerial, care să asigure întocmirea rapoartelor financiare ce nu conțin denaturări semnificative, cauzate de fraudă și/sau eroare, precum și pentru organizarea eficientă a activității economice per ansamblu, inclusiv prin respectarea strictă a integrității activelor și exactitatea înregistrărilor contabile.</w:t>
      </w:r>
    </w:p>
    <w:p w14:paraId="1B285C24" w14:textId="77777777" w:rsidR="0005497E" w:rsidRPr="00F34E9D" w:rsidRDefault="0005497E" w:rsidP="00A8666C">
      <w:pPr>
        <w:spacing w:line="276" w:lineRule="auto"/>
        <w:contextualSpacing/>
        <w:jc w:val="both"/>
        <w:rPr>
          <w:rFonts w:asciiTheme="majorHAnsi" w:hAnsiTheme="majorHAnsi" w:cstheme="majorHAnsi"/>
          <w:color w:val="0D0D0D" w:themeColor="text1" w:themeTint="F2"/>
          <w:sz w:val="16"/>
          <w:szCs w:val="24"/>
        </w:rPr>
      </w:pPr>
    </w:p>
    <w:p w14:paraId="5F2E5D1B" w14:textId="77777777" w:rsidR="00243CD1" w:rsidRPr="00F34E9D" w:rsidRDefault="00243CD1" w:rsidP="00F34E9D">
      <w:pPr>
        <w:numPr>
          <w:ilvl w:val="0"/>
          <w:numId w:val="36"/>
        </w:numPr>
        <w:tabs>
          <w:tab w:val="left" w:pos="720"/>
        </w:tabs>
        <w:spacing w:after="120" w:line="276" w:lineRule="auto"/>
        <w:ind w:left="709"/>
        <w:jc w:val="both"/>
        <w:rPr>
          <w:rFonts w:asciiTheme="majorHAnsi" w:hAnsiTheme="majorHAnsi" w:cstheme="majorHAnsi"/>
          <w:b/>
          <w:bCs/>
          <w:color w:val="0D0D0D" w:themeColor="text1" w:themeTint="F2"/>
          <w:sz w:val="24"/>
          <w:szCs w:val="24"/>
        </w:rPr>
      </w:pPr>
      <w:r w:rsidRPr="00F34E9D">
        <w:rPr>
          <w:rFonts w:asciiTheme="majorHAnsi" w:hAnsiTheme="majorHAnsi" w:cstheme="majorHAnsi"/>
          <w:b/>
          <w:bCs/>
          <w:color w:val="0D0D0D" w:themeColor="text1" w:themeTint="F2"/>
          <w:sz w:val="24"/>
          <w:szCs w:val="24"/>
        </w:rPr>
        <w:t>RESPONSABILITĂȚILE AUDITORULUI ÎNTR-UN AUDIT AL RAPOARTELOR FINANCIARE</w:t>
      </w:r>
    </w:p>
    <w:p w14:paraId="10B6B971" w14:textId="77777777" w:rsidR="00243CD1" w:rsidRPr="00F34E9D" w:rsidRDefault="00243CD1">
      <w:pPr>
        <w:pStyle w:val="Default"/>
        <w:spacing w:line="276" w:lineRule="auto"/>
        <w:jc w:val="both"/>
        <w:rPr>
          <w:rFonts w:asciiTheme="majorHAnsi" w:hAnsiTheme="majorHAnsi" w:cstheme="majorHAnsi"/>
          <w:color w:val="0D0D0D" w:themeColor="text1" w:themeTint="F2"/>
          <w:lang w:val="ro-MD"/>
        </w:rPr>
      </w:pPr>
      <w:r w:rsidRPr="00F34E9D">
        <w:rPr>
          <w:rFonts w:asciiTheme="majorHAnsi" w:hAnsiTheme="majorHAnsi" w:cstheme="majorHAnsi"/>
          <w:color w:val="0D0D0D" w:themeColor="text1" w:themeTint="F2"/>
          <w:lang w:val="ro-MD"/>
        </w:rPr>
        <w:t>Responsabilitatea noastră este de a planifica și a realiza misiunea de audit public, cu obținerea probelor suficiente și adecvate în vederea susținerii bazei pentru opinia de audit. Obiectivele noastre sunt: obținerea unei asigurări rezonabile că rapoartele financiare nu sunt afectate de denaturări semnificative, cauzate de fraude și/sau erori, precum și emiterea unei opinii.</w:t>
      </w:r>
    </w:p>
    <w:p w14:paraId="4CF4D55A" w14:textId="77777777" w:rsidR="00243CD1" w:rsidRPr="00F34E9D" w:rsidRDefault="00243CD1">
      <w:pPr>
        <w:pStyle w:val="Default"/>
        <w:spacing w:line="276" w:lineRule="auto"/>
        <w:jc w:val="both"/>
        <w:rPr>
          <w:rFonts w:asciiTheme="majorHAnsi" w:hAnsiTheme="majorHAnsi" w:cstheme="majorHAnsi"/>
          <w:color w:val="0D0D0D" w:themeColor="text1" w:themeTint="F2"/>
          <w:lang w:val="ro-MD"/>
        </w:rPr>
      </w:pPr>
      <w:r w:rsidRPr="00F34E9D">
        <w:rPr>
          <w:rFonts w:asciiTheme="majorHAnsi" w:hAnsiTheme="majorHAnsi" w:cstheme="majorHAnsi"/>
          <w:color w:val="0D0D0D" w:themeColor="text1" w:themeTint="F2"/>
          <w:lang w:val="ro-MD"/>
        </w:rPr>
        <w:t xml:space="preserve">Asigurarea rezonabilă este un nivel ridicat de asigurare, dar nu este o garanție că un audit efectuat în conformitate cu ISSAI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rapoarte financiare. </w:t>
      </w:r>
    </w:p>
    <w:p w14:paraId="67A9CB77" w14:textId="77777777" w:rsidR="00243CD1" w:rsidRPr="00F34E9D" w:rsidRDefault="00243CD1">
      <w:pPr>
        <w:shd w:val="clear" w:color="auto" w:fill="FFFFFF"/>
        <w:spacing w:after="240" w:line="276" w:lineRule="auto"/>
        <w:jc w:val="both"/>
        <w:rPr>
          <w:rFonts w:asciiTheme="majorHAnsi" w:hAnsiTheme="majorHAnsi" w:cstheme="majorHAnsi"/>
          <w:color w:val="0D0D0D" w:themeColor="text1" w:themeTint="F2"/>
          <w:sz w:val="24"/>
          <w:szCs w:val="24"/>
        </w:rPr>
      </w:pPr>
      <w:r w:rsidRPr="00F34E9D">
        <w:rPr>
          <w:rFonts w:asciiTheme="majorHAnsi" w:hAnsiTheme="majorHAnsi" w:cstheme="majorHAnsi"/>
          <w:color w:val="0D0D0D" w:themeColor="text1" w:themeTint="F2"/>
          <w:sz w:val="24"/>
          <w:szCs w:val="24"/>
        </w:rPr>
        <w:t>Pentru obținerea probelor de audit suficiente și adecvate, care să susțină concluziile și credibilitatea observațiilor expuse în Raport, prin aplicarea pragului de semnificație, au fost utilizate proceduri de verificare, examinare și analiză, cu folosirea diferitor tehnici, cum ar fi: inspectarea, observarea, solicitarea de informații, recalcularea, intervievarea etc. Toate observațiile auditorului, inclusiv deficiențele semnificative ale controlului intern managerial, au fost comunicate entităților auditate pe parcursul misiunii de audit.</w:t>
      </w:r>
    </w:p>
    <w:p w14:paraId="77EF720A" w14:textId="77777777" w:rsidR="00243CD1" w:rsidRPr="00F34E9D" w:rsidRDefault="00243CD1">
      <w:pPr>
        <w:spacing w:after="0" w:line="276" w:lineRule="auto"/>
        <w:jc w:val="both"/>
        <w:rPr>
          <w:rFonts w:asciiTheme="majorHAnsi" w:eastAsia="Times New Roman" w:hAnsiTheme="majorHAnsi" w:cstheme="majorHAnsi"/>
          <w:b/>
          <w:i/>
          <w:color w:val="0D0D0D" w:themeColor="text1" w:themeTint="F2"/>
          <w:sz w:val="24"/>
          <w:szCs w:val="24"/>
          <w:lang w:eastAsia="ro-MD"/>
        </w:rPr>
      </w:pPr>
      <w:r w:rsidRPr="00F34E9D">
        <w:rPr>
          <w:rFonts w:asciiTheme="majorHAnsi" w:eastAsia="Times New Roman" w:hAnsiTheme="majorHAnsi" w:cstheme="majorHAnsi"/>
          <w:b/>
          <w:i/>
          <w:color w:val="0D0D0D" w:themeColor="text1" w:themeTint="F2"/>
          <w:sz w:val="24"/>
          <w:szCs w:val="24"/>
          <w:lang w:eastAsia="ro-MD"/>
        </w:rPr>
        <w:t>Responsabil de întocmirea Raportului de audit:</w:t>
      </w:r>
    </w:p>
    <w:p w14:paraId="37F6D35C" w14:textId="77777777" w:rsidR="00243CD1" w:rsidRPr="00F34E9D" w:rsidRDefault="00243CD1">
      <w:pPr>
        <w:spacing w:after="0" w:line="276" w:lineRule="auto"/>
        <w:jc w:val="both"/>
        <w:rPr>
          <w:rFonts w:asciiTheme="majorHAnsi" w:eastAsia="Times New Roman" w:hAnsiTheme="majorHAnsi" w:cstheme="majorHAnsi"/>
          <w:color w:val="0D0D0D" w:themeColor="text1" w:themeTint="F2"/>
          <w:sz w:val="24"/>
          <w:szCs w:val="24"/>
          <w:lang w:eastAsia="ro-MD"/>
        </w:rPr>
      </w:pPr>
      <w:r w:rsidRPr="00F34E9D">
        <w:rPr>
          <w:rFonts w:asciiTheme="majorHAnsi" w:eastAsia="Times New Roman" w:hAnsiTheme="majorHAnsi" w:cstheme="majorHAnsi"/>
          <w:color w:val="0D0D0D" w:themeColor="text1" w:themeTint="F2"/>
          <w:sz w:val="24"/>
          <w:szCs w:val="24"/>
          <w:lang w:eastAsia="ro-MD"/>
        </w:rPr>
        <w:t>Șeful echipei de audit,</w:t>
      </w:r>
    </w:p>
    <w:p w14:paraId="13172F4A" w14:textId="77777777" w:rsidR="00243CD1" w:rsidRPr="00F34E9D" w:rsidRDefault="00243CD1">
      <w:pPr>
        <w:spacing w:after="0" w:line="276" w:lineRule="auto"/>
        <w:jc w:val="both"/>
        <w:rPr>
          <w:rFonts w:asciiTheme="majorHAnsi" w:hAnsiTheme="majorHAnsi" w:cstheme="majorHAnsi"/>
          <w:color w:val="0D0D0D" w:themeColor="text1" w:themeTint="F2"/>
          <w:sz w:val="24"/>
          <w:szCs w:val="24"/>
        </w:rPr>
      </w:pPr>
      <w:r w:rsidRPr="00F34E9D">
        <w:rPr>
          <w:rFonts w:asciiTheme="majorHAnsi" w:hAnsiTheme="majorHAnsi" w:cstheme="majorHAnsi"/>
          <w:color w:val="0D0D0D" w:themeColor="text1" w:themeTint="F2"/>
          <w:sz w:val="24"/>
          <w:szCs w:val="24"/>
        </w:rPr>
        <w:t>Șeful Direcției de audit III în cadrul DGA V</w:t>
      </w:r>
      <w:r w:rsidRPr="00F34E9D">
        <w:rPr>
          <w:rFonts w:asciiTheme="majorHAnsi" w:hAnsiTheme="majorHAnsi" w:cstheme="majorHAnsi"/>
          <w:color w:val="0D0D0D" w:themeColor="text1" w:themeTint="F2"/>
          <w:sz w:val="24"/>
          <w:szCs w:val="24"/>
        </w:rPr>
        <w:tab/>
      </w:r>
      <w:r w:rsidRPr="00F34E9D">
        <w:rPr>
          <w:rFonts w:asciiTheme="majorHAnsi" w:hAnsiTheme="majorHAnsi" w:cstheme="majorHAnsi"/>
          <w:color w:val="0D0D0D" w:themeColor="text1" w:themeTint="F2"/>
          <w:sz w:val="24"/>
          <w:szCs w:val="24"/>
        </w:rPr>
        <w:tab/>
      </w:r>
      <w:r w:rsidRPr="00F34E9D">
        <w:rPr>
          <w:rFonts w:asciiTheme="majorHAnsi" w:hAnsiTheme="majorHAnsi" w:cstheme="majorHAnsi"/>
          <w:color w:val="0D0D0D" w:themeColor="text1" w:themeTint="F2"/>
          <w:sz w:val="24"/>
          <w:szCs w:val="24"/>
        </w:rPr>
        <w:tab/>
        <w:t xml:space="preserve">Ion PLEȘCA </w:t>
      </w:r>
    </w:p>
    <w:p w14:paraId="7B7DEC91" w14:textId="77777777" w:rsidR="00243CD1" w:rsidRPr="00F34E9D" w:rsidRDefault="00243CD1">
      <w:pPr>
        <w:spacing w:after="0" w:line="276" w:lineRule="auto"/>
        <w:jc w:val="both"/>
        <w:rPr>
          <w:rFonts w:asciiTheme="majorHAnsi" w:eastAsia="Times New Roman" w:hAnsiTheme="majorHAnsi" w:cstheme="majorHAnsi"/>
          <w:b/>
          <w:i/>
          <w:color w:val="0D0D0D" w:themeColor="text1" w:themeTint="F2"/>
          <w:sz w:val="24"/>
          <w:szCs w:val="24"/>
          <w:lang w:eastAsia="ro-MD"/>
        </w:rPr>
      </w:pPr>
      <w:r w:rsidRPr="00F34E9D">
        <w:rPr>
          <w:rFonts w:asciiTheme="majorHAnsi" w:eastAsia="Times New Roman" w:hAnsiTheme="majorHAnsi" w:cstheme="majorHAnsi"/>
          <w:b/>
          <w:i/>
          <w:color w:val="0D0D0D" w:themeColor="text1" w:themeTint="F2"/>
          <w:sz w:val="24"/>
          <w:szCs w:val="24"/>
          <w:lang w:eastAsia="ro-MD"/>
        </w:rPr>
        <w:t>Responsabilă de planificare:</w:t>
      </w:r>
    </w:p>
    <w:p w14:paraId="28E969D8" w14:textId="77777777" w:rsidR="00243CD1" w:rsidRPr="00F34E9D" w:rsidRDefault="00927622">
      <w:pPr>
        <w:spacing w:after="0" w:line="276" w:lineRule="auto"/>
        <w:jc w:val="both"/>
        <w:rPr>
          <w:rFonts w:asciiTheme="majorHAnsi" w:hAnsiTheme="majorHAnsi" w:cstheme="majorHAnsi"/>
          <w:color w:val="0D0D0D" w:themeColor="text1" w:themeTint="F2"/>
          <w:sz w:val="24"/>
          <w:szCs w:val="24"/>
        </w:rPr>
      </w:pPr>
      <w:r w:rsidRPr="00F34E9D">
        <w:rPr>
          <w:rFonts w:asciiTheme="majorHAnsi" w:eastAsia="Times New Roman" w:hAnsiTheme="majorHAnsi" w:cstheme="majorHAnsi"/>
          <w:color w:val="0D0D0D" w:themeColor="text1" w:themeTint="F2"/>
          <w:sz w:val="24"/>
          <w:szCs w:val="24"/>
          <w:lang w:eastAsia="ro-MD"/>
        </w:rPr>
        <w:t>Auditoare publică principală</w:t>
      </w:r>
      <w:r w:rsidR="00243CD1" w:rsidRPr="00F34E9D">
        <w:rPr>
          <w:rFonts w:asciiTheme="majorHAnsi" w:hAnsiTheme="majorHAnsi" w:cstheme="majorHAnsi"/>
          <w:color w:val="0D0D0D" w:themeColor="text1" w:themeTint="F2"/>
          <w:sz w:val="24"/>
          <w:szCs w:val="24"/>
        </w:rPr>
        <w:tab/>
      </w:r>
      <w:r w:rsidR="00243CD1" w:rsidRPr="00F34E9D">
        <w:rPr>
          <w:rFonts w:asciiTheme="majorHAnsi" w:hAnsiTheme="majorHAnsi" w:cstheme="majorHAnsi"/>
          <w:color w:val="0D0D0D" w:themeColor="text1" w:themeTint="F2"/>
          <w:sz w:val="24"/>
          <w:szCs w:val="24"/>
        </w:rPr>
        <w:tab/>
      </w:r>
      <w:r w:rsidR="00243CD1" w:rsidRPr="00F34E9D">
        <w:rPr>
          <w:rFonts w:asciiTheme="majorHAnsi" w:hAnsiTheme="majorHAnsi" w:cstheme="majorHAnsi"/>
          <w:color w:val="0D0D0D" w:themeColor="text1" w:themeTint="F2"/>
          <w:sz w:val="24"/>
          <w:szCs w:val="24"/>
        </w:rPr>
        <w:tab/>
      </w:r>
      <w:r w:rsidR="00A2107B" w:rsidRPr="00F34E9D">
        <w:rPr>
          <w:rFonts w:asciiTheme="majorHAnsi" w:hAnsiTheme="majorHAnsi" w:cstheme="majorHAnsi"/>
          <w:color w:val="0D0D0D" w:themeColor="text1" w:themeTint="F2"/>
          <w:sz w:val="24"/>
          <w:szCs w:val="24"/>
        </w:rPr>
        <w:tab/>
      </w:r>
      <w:r w:rsidR="00A2107B" w:rsidRPr="00F34E9D">
        <w:rPr>
          <w:rFonts w:asciiTheme="majorHAnsi" w:hAnsiTheme="majorHAnsi" w:cstheme="majorHAnsi"/>
          <w:color w:val="0D0D0D" w:themeColor="text1" w:themeTint="F2"/>
          <w:sz w:val="24"/>
          <w:szCs w:val="24"/>
        </w:rPr>
        <w:tab/>
      </w:r>
      <w:r w:rsidR="00243CD1" w:rsidRPr="00F34E9D">
        <w:rPr>
          <w:rFonts w:asciiTheme="majorHAnsi" w:hAnsiTheme="majorHAnsi" w:cstheme="majorHAnsi"/>
          <w:color w:val="0D0D0D" w:themeColor="text1" w:themeTint="F2"/>
          <w:sz w:val="24"/>
          <w:szCs w:val="24"/>
        </w:rPr>
        <w:t xml:space="preserve">Lucia DRAGUȚAN </w:t>
      </w:r>
    </w:p>
    <w:p w14:paraId="1D8E3DFD" w14:textId="77777777" w:rsidR="00243CD1" w:rsidRPr="00F34E9D" w:rsidRDefault="00243CD1">
      <w:pPr>
        <w:spacing w:after="0" w:line="276" w:lineRule="auto"/>
        <w:jc w:val="both"/>
        <w:rPr>
          <w:rFonts w:asciiTheme="majorHAnsi" w:eastAsia="Times New Roman" w:hAnsiTheme="majorHAnsi" w:cstheme="majorHAnsi"/>
          <w:b/>
          <w:i/>
          <w:color w:val="0D0D0D" w:themeColor="text1" w:themeTint="F2"/>
          <w:sz w:val="24"/>
          <w:szCs w:val="24"/>
          <w:lang w:eastAsia="ro-MD"/>
        </w:rPr>
      </w:pPr>
      <w:r w:rsidRPr="00F34E9D">
        <w:rPr>
          <w:rFonts w:asciiTheme="majorHAnsi" w:eastAsia="Times New Roman" w:hAnsiTheme="majorHAnsi" w:cstheme="majorHAnsi"/>
          <w:b/>
          <w:i/>
          <w:color w:val="0D0D0D" w:themeColor="text1" w:themeTint="F2"/>
          <w:sz w:val="24"/>
          <w:szCs w:val="24"/>
          <w:lang w:eastAsia="ro-MD"/>
        </w:rPr>
        <w:t>Membrii echipei de audit:</w:t>
      </w:r>
    </w:p>
    <w:p w14:paraId="74ECE76D" w14:textId="77777777" w:rsidR="00243CD1" w:rsidRPr="00F34E9D" w:rsidRDefault="00243CD1">
      <w:pPr>
        <w:spacing w:after="0" w:line="276" w:lineRule="auto"/>
        <w:jc w:val="both"/>
        <w:rPr>
          <w:rFonts w:asciiTheme="majorHAnsi" w:hAnsiTheme="majorHAnsi" w:cstheme="majorHAnsi"/>
          <w:color w:val="0D0D0D" w:themeColor="text1" w:themeTint="F2"/>
          <w:sz w:val="24"/>
          <w:szCs w:val="24"/>
        </w:rPr>
      </w:pPr>
      <w:r w:rsidRPr="00F34E9D">
        <w:rPr>
          <w:rFonts w:asciiTheme="majorHAnsi" w:eastAsia="Times New Roman" w:hAnsiTheme="majorHAnsi" w:cstheme="majorHAnsi"/>
          <w:color w:val="0D0D0D" w:themeColor="text1" w:themeTint="F2"/>
          <w:sz w:val="24"/>
          <w:szCs w:val="24"/>
          <w:lang w:eastAsia="ro-MD"/>
        </w:rPr>
        <w:t>Auditoare publică principală</w:t>
      </w:r>
      <w:r w:rsidRPr="00F34E9D">
        <w:rPr>
          <w:rFonts w:asciiTheme="majorHAnsi" w:hAnsiTheme="majorHAnsi" w:cstheme="majorHAnsi"/>
          <w:color w:val="0D0D0D" w:themeColor="text1" w:themeTint="F2"/>
          <w:sz w:val="24"/>
          <w:szCs w:val="24"/>
        </w:rPr>
        <w:tab/>
      </w:r>
      <w:r w:rsidR="004253DD" w:rsidRPr="00F34E9D">
        <w:rPr>
          <w:rFonts w:asciiTheme="majorHAnsi" w:hAnsiTheme="majorHAnsi" w:cstheme="majorHAnsi"/>
          <w:color w:val="0D0D0D" w:themeColor="text1" w:themeTint="F2"/>
          <w:sz w:val="24"/>
          <w:szCs w:val="24"/>
        </w:rPr>
        <w:tab/>
      </w:r>
      <w:r w:rsidRPr="00F34E9D">
        <w:rPr>
          <w:rFonts w:asciiTheme="majorHAnsi" w:hAnsiTheme="majorHAnsi" w:cstheme="majorHAnsi"/>
          <w:color w:val="0D0D0D" w:themeColor="text1" w:themeTint="F2"/>
          <w:sz w:val="24"/>
          <w:szCs w:val="24"/>
        </w:rPr>
        <w:tab/>
      </w:r>
      <w:r w:rsidRPr="00F34E9D">
        <w:rPr>
          <w:rFonts w:asciiTheme="majorHAnsi" w:hAnsiTheme="majorHAnsi" w:cstheme="majorHAnsi"/>
          <w:color w:val="0D0D0D" w:themeColor="text1" w:themeTint="F2"/>
          <w:sz w:val="24"/>
          <w:szCs w:val="24"/>
        </w:rPr>
        <w:tab/>
      </w:r>
      <w:r w:rsidRPr="00F34E9D">
        <w:rPr>
          <w:rFonts w:asciiTheme="majorHAnsi" w:hAnsiTheme="majorHAnsi" w:cstheme="majorHAnsi"/>
          <w:color w:val="0D0D0D" w:themeColor="text1" w:themeTint="F2"/>
          <w:sz w:val="24"/>
          <w:szCs w:val="24"/>
        </w:rPr>
        <w:tab/>
        <w:t>Elena COLIBĂ</w:t>
      </w:r>
    </w:p>
    <w:p w14:paraId="3F773C9B" w14:textId="77777777" w:rsidR="00243CD1" w:rsidRPr="00F34E9D" w:rsidRDefault="00243CD1">
      <w:pPr>
        <w:spacing w:after="0" w:line="276" w:lineRule="auto"/>
        <w:jc w:val="both"/>
        <w:rPr>
          <w:rFonts w:asciiTheme="majorHAnsi" w:hAnsiTheme="majorHAnsi" w:cstheme="majorHAnsi"/>
          <w:color w:val="0D0D0D" w:themeColor="text1" w:themeTint="F2"/>
          <w:sz w:val="24"/>
          <w:szCs w:val="24"/>
        </w:rPr>
      </w:pPr>
      <w:r w:rsidRPr="00F34E9D">
        <w:rPr>
          <w:rFonts w:asciiTheme="majorHAnsi" w:eastAsia="Times New Roman" w:hAnsiTheme="majorHAnsi" w:cstheme="majorHAnsi"/>
          <w:color w:val="0D0D0D" w:themeColor="text1" w:themeTint="F2"/>
          <w:sz w:val="24"/>
          <w:szCs w:val="24"/>
          <w:lang w:eastAsia="ro-MD"/>
        </w:rPr>
        <w:t>Auditor public principal</w:t>
      </w:r>
      <w:r w:rsidR="004253DD" w:rsidRPr="00F34E9D">
        <w:rPr>
          <w:rFonts w:asciiTheme="majorHAnsi" w:hAnsiTheme="majorHAnsi" w:cstheme="majorHAnsi"/>
          <w:color w:val="0D0D0D" w:themeColor="text1" w:themeTint="F2"/>
          <w:sz w:val="24"/>
          <w:szCs w:val="24"/>
        </w:rPr>
        <w:tab/>
      </w:r>
      <w:r w:rsidRPr="00F34E9D">
        <w:rPr>
          <w:rFonts w:asciiTheme="majorHAnsi" w:hAnsiTheme="majorHAnsi" w:cstheme="majorHAnsi"/>
          <w:color w:val="0D0D0D" w:themeColor="text1" w:themeTint="F2"/>
          <w:sz w:val="24"/>
          <w:szCs w:val="24"/>
        </w:rPr>
        <w:tab/>
      </w:r>
      <w:r w:rsidRPr="00F34E9D">
        <w:rPr>
          <w:rFonts w:asciiTheme="majorHAnsi" w:hAnsiTheme="majorHAnsi" w:cstheme="majorHAnsi"/>
          <w:color w:val="0D0D0D" w:themeColor="text1" w:themeTint="F2"/>
          <w:sz w:val="24"/>
          <w:szCs w:val="24"/>
        </w:rPr>
        <w:tab/>
      </w:r>
      <w:r w:rsidRPr="00F34E9D">
        <w:rPr>
          <w:rFonts w:asciiTheme="majorHAnsi" w:hAnsiTheme="majorHAnsi" w:cstheme="majorHAnsi"/>
          <w:color w:val="0D0D0D" w:themeColor="text1" w:themeTint="F2"/>
          <w:sz w:val="24"/>
          <w:szCs w:val="24"/>
        </w:rPr>
        <w:tab/>
      </w:r>
      <w:r w:rsidRPr="00F34E9D">
        <w:rPr>
          <w:rFonts w:asciiTheme="majorHAnsi" w:hAnsiTheme="majorHAnsi" w:cstheme="majorHAnsi"/>
          <w:color w:val="0D0D0D" w:themeColor="text1" w:themeTint="F2"/>
          <w:sz w:val="24"/>
          <w:szCs w:val="24"/>
        </w:rPr>
        <w:tab/>
        <w:t>Igor LUNGU</w:t>
      </w:r>
    </w:p>
    <w:p w14:paraId="6FDC7CD2" w14:textId="77777777" w:rsidR="00243CD1" w:rsidRPr="00F34E9D" w:rsidRDefault="00243CD1">
      <w:pPr>
        <w:spacing w:after="0" w:line="276" w:lineRule="auto"/>
        <w:jc w:val="both"/>
        <w:rPr>
          <w:rFonts w:asciiTheme="majorHAnsi" w:eastAsia="Times New Roman" w:hAnsiTheme="majorHAnsi" w:cstheme="majorHAnsi"/>
          <w:color w:val="0D0D0D" w:themeColor="text1" w:themeTint="F2"/>
          <w:sz w:val="24"/>
          <w:szCs w:val="24"/>
          <w:lang w:eastAsia="ro-MD"/>
        </w:rPr>
      </w:pPr>
      <w:r w:rsidRPr="00F34E9D">
        <w:rPr>
          <w:rFonts w:asciiTheme="majorHAnsi" w:eastAsia="Times New Roman" w:hAnsiTheme="majorHAnsi" w:cstheme="majorHAnsi"/>
          <w:color w:val="0D0D0D" w:themeColor="text1" w:themeTint="F2"/>
          <w:sz w:val="24"/>
          <w:szCs w:val="24"/>
          <w:lang w:eastAsia="ro-MD"/>
        </w:rPr>
        <w:t>Auditor public principal</w:t>
      </w:r>
      <w:r w:rsidRPr="00F34E9D">
        <w:rPr>
          <w:rFonts w:asciiTheme="majorHAnsi" w:eastAsia="Times New Roman" w:hAnsiTheme="majorHAnsi" w:cstheme="majorHAnsi"/>
          <w:color w:val="0D0D0D" w:themeColor="text1" w:themeTint="F2"/>
          <w:sz w:val="24"/>
          <w:szCs w:val="24"/>
          <w:lang w:eastAsia="ro-MD"/>
        </w:rPr>
        <w:tab/>
      </w:r>
      <w:r w:rsidRPr="00F34E9D">
        <w:rPr>
          <w:rFonts w:asciiTheme="majorHAnsi" w:eastAsia="Times New Roman" w:hAnsiTheme="majorHAnsi" w:cstheme="majorHAnsi"/>
          <w:color w:val="0D0D0D" w:themeColor="text1" w:themeTint="F2"/>
          <w:sz w:val="24"/>
          <w:szCs w:val="24"/>
          <w:lang w:eastAsia="ro-MD"/>
        </w:rPr>
        <w:tab/>
      </w:r>
      <w:r w:rsidRPr="00F34E9D">
        <w:rPr>
          <w:rFonts w:asciiTheme="majorHAnsi" w:eastAsia="Times New Roman" w:hAnsiTheme="majorHAnsi" w:cstheme="majorHAnsi"/>
          <w:color w:val="0D0D0D" w:themeColor="text1" w:themeTint="F2"/>
          <w:sz w:val="24"/>
          <w:szCs w:val="24"/>
          <w:lang w:eastAsia="ro-MD"/>
        </w:rPr>
        <w:tab/>
      </w:r>
      <w:r w:rsidRPr="00F34E9D">
        <w:rPr>
          <w:rFonts w:asciiTheme="majorHAnsi" w:eastAsia="Times New Roman" w:hAnsiTheme="majorHAnsi" w:cstheme="majorHAnsi"/>
          <w:color w:val="0D0D0D" w:themeColor="text1" w:themeTint="F2"/>
          <w:sz w:val="24"/>
          <w:szCs w:val="24"/>
          <w:lang w:eastAsia="ro-MD"/>
        </w:rPr>
        <w:tab/>
      </w:r>
      <w:r w:rsidRPr="00F34E9D">
        <w:rPr>
          <w:rFonts w:asciiTheme="majorHAnsi" w:eastAsia="Times New Roman" w:hAnsiTheme="majorHAnsi" w:cstheme="majorHAnsi"/>
          <w:color w:val="0D0D0D" w:themeColor="text1" w:themeTint="F2"/>
          <w:sz w:val="24"/>
          <w:szCs w:val="24"/>
          <w:lang w:eastAsia="ro-MD"/>
        </w:rPr>
        <w:tab/>
        <w:t>Dorin CIUBOTARU</w:t>
      </w:r>
    </w:p>
    <w:p w14:paraId="78AD8623" w14:textId="15519D8F" w:rsidR="00243CD1" w:rsidRPr="00F34E9D" w:rsidRDefault="00243CD1">
      <w:pPr>
        <w:spacing w:after="0" w:line="276" w:lineRule="auto"/>
        <w:jc w:val="both"/>
        <w:rPr>
          <w:rFonts w:asciiTheme="majorHAnsi" w:eastAsia="Times New Roman" w:hAnsiTheme="majorHAnsi" w:cstheme="majorHAnsi"/>
          <w:color w:val="0D0D0D" w:themeColor="text1" w:themeTint="F2"/>
          <w:sz w:val="24"/>
          <w:szCs w:val="24"/>
          <w:lang w:eastAsia="ro-MD"/>
        </w:rPr>
      </w:pPr>
      <w:r w:rsidRPr="00F34E9D">
        <w:rPr>
          <w:rFonts w:asciiTheme="majorHAnsi" w:eastAsia="Times New Roman" w:hAnsiTheme="majorHAnsi" w:cstheme="majorHAnsi"/>
          <w:color w:val="0D0D0D" w:themeColor="text1" w:themeTint="F2"/>
          <w:sz w:val="24"/>
          <w:szCs w:val="24"/>
          <w:lang w:eastAsia="ro-MD"/>
        </w:rPr>
        <w:t>Auditor public principal</w:t>
      </w:r>
      <w:r w:rsidRPr="00F34E9D">
        <w:rPr>
          <w:rFonts w:asciiTheme="majorHAnsi" w:eastAsia="Times New Roman" w:hAnsiTheme="majorHAnsi" w:cstheme="majorHAnsi"/>
          <w:color w:val="0D0D0D" w:themeColor="text1" w:themeTint="F2"/>
          <w:sz w:val="24"/>
          <w:szCs w:val="24"/>
          <w:lang w:eastAsia="ro-MD"/>
        </w:rPr>
        <w:tab/>
      </w:r>
      <w:r w:rsidRPr="00F34E9D">
        <w:rPr>
          <w:rFonts w:asciiTheme="majorHAnsi" w:eastAsia="Times New Roman" w:hAnsiTheme="majorHAnsi" w:cstheme="majorHAnsi"/>
          <w:color w:val="0D0D0D" w:themeColor="text1" w:themeTint="F2"/>
          <w:sz w:val="24"/>
          <w:szCs w:val="24"/>
          <w:lang w:eastAsia="ro-MD"/>
        </w:rPr>
        <w:tab/>
      </w:r>
      <w:r w:rsidRPr="00F34E9D">
        <w:rPr>
          <w:rFonts w:asciiTheme="majorHAnsi" w:eastAsia="Times New Roman" w:hAnsiTheme="majorHAnsi" w:cstheme="majorHAnsi"/>
          <w:color w:val="0D0D0D" w:themeColor="text1" w:themeTint="F2"/>
          <w:sz w:val="24"/>
          <w:szCs w:val="24"/>
          <w:lang w:eastAsia="ro-MD"/>
        </w:rPr>
        <w:tab/>
      </w:r>
      <w:r w:rsidRPr="00F34E9D">
        <w:rPr>
          <w:rFonts w:asciiTheme="majorHAnsi" w:eastAsia="Times New Roman" w:hAnsiTheme="majorHAnsi" w:cstheme="majorHAnsi"/>
          <w:color w:val="0D0D0D" w:themeColor="text1" w:themeTint="F2"/>
          <w:sz w:val="24"/>
          <w:szCs w:val="24"/>
          <w:lang w:eastAsia="ro-MD"/>
        </w:rPr>
        <w:tab/>
      </w:r>
      <w:r w:rsidRPr="00F34E9D">
        <w:rPr>
          <w:rFonts w:asciiTheme="majorHAnsi" w:eastAsia="Times New Roman" w:hAnsiTheme="majorHAnsi" w:cstheme="majorHAnsi"/>
          <w:color w:val="0D0D0D" w:themeColor="text1" w:themeTint="F2"/>
          <w:sz w:val="24"/>
          <w:szCs w:val="24"/>
          <w:lang w:eastAsia="ro-MD"/>
        </w:rPr>
        <w:tab/>
        <w:t>Victor GAMULINSCHI</w:t>
      </w:r>
    </w:p>
    <w:p w14:paraId="771638CF" w14:textId="5B256BA9" w:rsidR="00693D45" w:rsidRPr="00F34E9D" w:rsidRDefault="00693D45">
      <w:pPr>
        <w:spacing w:after="0" w:line="276" w:lineRule="auto"/>
        <w:jc w:val="both"/>
        <w:rPr>
          <w:rFonts w:asciiTheme="majorHAnsi" w:hAnsiTheme="majorHAnsi" w:cstheme="majorHAnsi"/>
          <w:color w:val="0D0D0D" w:themeColor="text1" w:themeTint="F2"/>
          <w:sz w:val="24"/>
          <w:szCs w:val="24"/>
        </w:rPr>
      </w:pPr>
      <w:r w:rsidRPr="00F34E9D">
        <w:rPr>
          <w:rFonts w:asciiTheme="majorHAnsi" w:hAnsiTheme="majorHAnsi" w:cstheme="majorHAnsi"/>
          <w:color w:val="0D0D0D" w:themeColor="text1" w:themeTint="F2"/>
          <w:sz w:val="24"/>
          <w:szCs w:val="24"/>
        </w:rPr>
        <w:t>Auditoare publică superioară                                                       Maria TABACARI</w:t>
      </w:r>
    </w:p>
    <w:p w14:paraId="33FFE4AD" w14:textId="77777777" w:rsidR="00243CD1" w:rsidRPr="00F34E9D" w:rsidRDefault="00243CD1">
      <w:pPr>
        <w:spacing w:after="0" w:line="276" w:lineRule="auto"/>
        <w:jc w:val="both"/>
        <w:rPr>
          <w:rFonts w:asciiTheme="majorHAnsi" w:eastAsia="Times New Roman" w:hAnsiTheme="majorHAnsi" w:cstheme="majorHAnsi"/>
          <w:b/>
          <w:i/>
          <w:color w:val="0D0D0D" w:themeColor="text1" w:themeTint="F2"/>
          <w:sz w:val="24"/>
          <w:szCs w:val="24"/>
        </w:rPr>
      </w:pPr>
      <w:r w:rsidRPr="00F34E9D">
        <w:rPr>
          <w:rFonts w:asciiTheme="majorHAnsi" w:eastAsia="Times New Roman" w:hAnsiTheme="majorHAnsi" w:cstheme="majorHAnsi"/>
          <w:b/>
          <w:i/>
          <w:color w:val="0D0D0D" w:themeColor="text1" w:themeTint="F2"/>
          <w:sz w:val="24"/>
          <w:szCs w:val="24"/>
        </w:rPr>
        <w:t xml:space="preserve">Responsabil de </w:t>
      </w:r>
      <w:r w:rsidR="001D401F" w:rsidRPr="00F34E9D">
        <w:rPr>
          <w:rFonts w:asciiTheme="majorHAnsi" w:eastAsia="Times New Roman" w:hAnsiTheme="majorHAnsi" w:cstheme="majorHAnsi"/>
          <w:b/>
          <w:i/>
          <w:color w:val="0D0D0D" w:themeColor="text1" w:themeTint="F2"/>
          <w:sz w:val="24"/>
          <w:szCs w:val="24"/>
        </w:rPr>
        <w:t xml:space="preserve">calitatea </w:t>
      </w:r>
      <w:r w:rsidRPr="00F34E9D">
        <w:rPr>
          <w:rFonts w:asciiTheme="majorHAnsi" w:eastAsia="Times New Roman" w:hAnsiTheme="majorHAnsi" w:cstheme="majorHAnsi"/>
          <w:b/>
          <w:i/>
          <w:color w:val="0D0D0D" w:themeColor="text1" w:themeTint="F2"/>
          <w:sz w:val="24"/>
          <w:szCs w:val="24"/>
        </w:rPr>
        <w:t>audit</w:t>
      </w:r>
      <w:r w:rsidR="001D401F" w:rsidRPr="00F34E9D">
        <w:rPr>
          <w:rFonts w:asciiTheme="majorHAnsi" w:eastAsia="Times New Roman" w:hAnsiTheme="majorHAnsi" w:cstheme="majorHAnsi"/>
          <w:b/>
          <w:i/>
          <w:color w:val="0D0D0D" w:themeColor="text1" w:themeTint="F2"/>
          <w:sz w:val="24"/>
          <w:szCs w:val="24"/>
        </w:rPr>
        <w:t>ului</w:t>
      </w:r>
      <w:r w:rsidRPr="00F34E9D">
        <w:rPr>
          <w:rFonts w:asciiTheme="majorHAnsi" w:eastAsia="Times New Roman" w:hAnsiTheme="majorHAnsi" w:cstheme="majorHAnsi"/>
          <w:b/>
          <w:i/>
          <w:color w:val="0D0D0D" w:themeColor="text1" w:themeTint="F2"/>
          <w:sz w:val="24"/>
          <w:szCs w:val="24"/>
        </w:rPr>
        <w:t>:</w:t>
      </w:r>
    </w:p>
    <w:p w14:paraId="10B0F63A" w14:textId="15CE1894" w:rsidR="003304B3" w:rsidRPr="00F34E9D" w:rsidRDefault="00243CD1" w:rsidP="00270FBC">
      <w:pPr>
        <w:spacing w:after="0" w:line="276" w:lineRule="auto"/>
        <w:jc w:val="both"/>
        <w:rPr>
          <w:rFonts w:asciiTheme="majorHAnsi" w:hAnsiTheme="majorHAnsi" w:cstheme="majorHAnsi"/>
          <w:color w:val="0D0D0D" w:themeColor="text1" w:themeTint="F2"/>
        </w:rPr>
      </w:pPr>
      <w:r w:rsidRPr="00F34E9D">
        <w:rPr>
          <w:rFonts w:asciiTheme="majorHAnsi" w:hAnsiTheme="majorHAnsi" w:cstheme="majorHAnsi"/>
          <w:color w:val="0D0D0D" w:themeColor="text1" w:themeTint="F2"/>
          <w:sz w:val="24"/>
          <w:szCs w:val="24"/>
        </w:rPr>
        <w:t>Șeful Direcției de audit II în cadrul DGA V</w:t>
      </w:r>
      <w:r w:rsidRPr="00F34E9D">
        <w:rPr>
          <w:rFonts w:asciiTheme="majorHAnsi" w:hAnsiTheme="majorHAnsi" w:cstheme="majorHAnsi"/>
          <w:color w:val="0D0D0D" w:themeColor="text1" w:themeTint="F2"/>
          <w:sz w:val="24"/>
          <w:szCs w:val="24"/>
        </w:rPr>
        <w:tab/>
      </w:r>
      <w:r w:rsidRPr="00F34E9D">
        <w:rPr>
          <w:rFonts w:asciiTheme="majorHAnsi" w:hAnsiTheme="majorHAnsi" w:cstheme="majorHAnsi"/>
          <w:color w:val="0D0D0D" w:themeColor="text1" w:themeTint="F2"/>
          <w:sz w:val="24"/>
          <w:szCs w:val="24"/>
        </w:rPr>
        <w:tab/>
      </w:r>
      <w:r w:rsidRPr="00F34E9D">
        <w:rPr>
          <w:rFonts w:asciiTheme="majorHAnsi" w:hAnsiTheme="majorHAnsi" w:cstheme="majorHAnsi"/>
          <w:color w:val="0D0D0D" w:themeColor="text1" w:themeTint="F2"/>
          <w:sz w:val="24"/>
          <w:szCs w:val="24"/>
        </w:rPr>
        <w:tab/>
        <w:t>Alexandru RĂILEANU</w:t>
      </w:r>
    </w:p>
    <w:sectPr w:rsidR="003304B3" w:rsidRPr="00F34E9D" w:rsidSect="00FF43E8">
      <w:footerReference w:type="default" r:id="rId11"/>
      <w:headerReference w:type="first" r:id="rId12"/>
      <w:pgSz w:w="11906" w:h="16838" w:code="9"/>
      <w:pgMar w:top="851" w:right="851" w:bottom="851" w:left="1701" w:header="720" w:footer="41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29FA9" w14:textId="77777777" w:rsidR="003C714F" w:rsidRDefault="003C714F" w:rsidP="00F718EC">
      <w:pPr>
        <w:spacing w:after="0" w:line="240" w:lineRule="auto"/>
      </w:pPr>
      <w:r>
        <w:separator/>
      </w:r>
    </w:p>
  </w:endnote>
  <w:endnote w:type="continuationSeparator" w:id="0">
    <w:p w14:paraId="3B4755A5" w14:textId="77777777" w:rsidR="003C714F" w:rsidRDefault="003C714F" w:rsidP="00F71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944515"/>
      <w:docPartObj>
        <w:docPartGallery w:val="Page Numbers (Bottom of Page)"/>
        <w:docPartUnique/>
      </w:docPartObj>
    </w:sdtPr>
    <w:sdtEndPr>
      <w:rPr>
        <w:rFonts w:asciiTheme="majorHAnsi" w:hAnsiTheme="majorHAnsi" w:cstheme="majorHAnsi"/>
        <w:noProof/>
        <w:sz w:val="18"/>
      </w:rPr>
    </w:sdtEndPr>
    <w:sdtContent>
      <w:p w14:paraId="2D348C85" w14:textId="21F5FABA" w:rsidR="00A35504" w:rsidRPr="006A050B" w:rsidRDefault="00A35504">
        <w:pPr>
          <w:pStyle w:val="ac"/>
          <w:jc w:val="right"/>
          <w:rPr>
            <w:rFonts w:asciiTheme="majorHAnsi" w:hAnsiTheme="majorHAnsi" w:cstheme="majorHAnsi"/>
            <w:sz w:val="18"/>
          </w:rPr>
        </w:pPr>
        <w:r w:rsidRPr="006A050B">
          <w:rPr>
            <w:rFonts w:asciiTheme="majorHAnsi" w:hAnsiTheme="majorHAnsi" w:cstheme="majorHAnsi"/>
            <w:sz w:val="18"/>
          </w:rPr>
          <w:fldChar w:fldCharType="begin"/>
        </w:r>
        <w:r w:rsidRPr="006A050B">
          <w:rPr>
            <w:rFonts w:asciiTheme="majorHAnsi" w:hAnsiTheme="majorHAnsi" w:cstheme="majorHAnsi"/>
            <w:sz w:val="18"/>
          </w:rPr>
          <w:instrText xml:space="preserve"> PAGE   \* MERGEFORMAT </w:instrText>
        </w:r>
        <w:r w:rsidRPr="006A050B">
          <w:rPr>
            <w:rFonts w:asciiTheme="majorHAnsi" w:hAnsiTheme="majorHAnsi" w:cstheme="majorHAnsi"/>
            <w:sz w:val="18"/>
          </w:rPr>
          <w:fldChar w:fldCharType="separate"/>
        </w:r>
        <w:r w:rsidR="00395DFB">
          <w:rPr>
            <w:rFonts w:asciiTheme="majorHAnsi" w:hAnsiTheme="majorHAnsi" w:cstheme="majorHAnsi"/>
            <w:noProof/>
            <w:sz w:val="18"/>
          </w:rPr>
          <w:t>2</w:t>
        </w:r>
        <w:r w:rsidRPr="006A050B">
          <w:rPr>
            <w:rFonts w:asciiTheme="majorHAnsi" w:hAnsiTheme="majorHAnsi" w:cstheme="majorHAnsi"/>
            <w:noProof/>
            <w:sz w:val="18"/>
          </w:rPr>
          <w:fldChar w:fldCharType="end"/>
        </w:r>
      </w:p>
    </w:sdtContent>
  </w:sdt>
  <w:p w14:paraId="53FF8330" w14:textId="77777777" w:rsidR="00A35504" w:rsidRDefault="00A3550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F214D" w14:textId="77777777" w:rsidR="003C714F" w:rsidRDefault="003C714F" w:rsidP="00F718EC">
      <w:pPr>
        <w:spacing w:after="0" w:line="240" w:lineRule="auto"/>
      </w:pPr>
      <w:r>
        <w:separator/>
      </w:r>
    </w:p>
  </w:footnote>
  <w:footnote w:type="continuationSeparator" w:id="0">
    <w:p w14:paraId="4057DD3C" w14:textId="77777777" w:rsidR="003C714F" w:rsidRDefault="003C714F" w:rsidP="00F718EC">
      <w:pPr>
        <w:spacing w:after="0" w:line="240" w:lineRule="auto"/>
      </w:pPr>
      <w:r>
        <w:continuationSeparator/>
      </w:r>
    </w:p>
  </w:footnote>
  <w:footnote w:id="1">
    <w:p w14:paraId="1EBE8FA5" w14:textId="49B98976" w:rsidR="00A35504" w:rsidRPr="00D81B46" w:rsidRDefault="00A35504" w:rsidP="00A75ED2">
      <w:pPr>
        <w:pStyle w:val="a5"/>
        <w:jc w:val="both"/>
        <w:rPr>
          <w:rFonts w:asciiTheme="majorHAnsi" w:hAnsiTheme="majorHAnsi" w:cstheme="majorHAnsi"/>
          <w:sz w:val="16"/>
          <w:szCs w:val="16"/>
        </w:rPr>
      </w:pPr>
      <w:r w:rsidRPr="00FB4D17">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w:t>
      </w:r>
      <w:r w:rsidRPr="00E56BC4">
        <w:rPr>
          <w:rFonts w:asciiTheme="majorHAnsi" w:hAnsiTheme="majorHAnsi" w:cstheme="majorHAnsi"/>
          <w:sz w:val="16"/>
          <w:szCs w:val="16"/>
        </w:rPr>
        <w:t>Legea contabilității nr.</w:t>
      </w:r>
      <w:r w:rsidRPr="00E56BC4">
        <w:rPr>
          <w:rFonts w:asciiTheme="majorHAnsi" w:eastAsia="Times New Roman" w:hAnsiTheme="majorHAnsi" w:cstheme="majorHAnsi"/>
          <w:sz w:val="16"/>
          <w:szCs w:val="16"/>
        </w:rPr>
        <w:t>113-XVI din 27.04.2007;</w:t>
      </w:r>
      <w:r w:rsidRPr="00E56BC4">
        <w:rPr>
          <w:rFonts w:asciiTheme="majorHAnsi" w:hAnsiTheme="majorHAnsi" w:cstheme="majorHAnsi"/>
          <w:sz w:val="16"/>
          <w:szCs w:val="16"/>
        </w:rPr>
        <w:t xml:space="preserve"> </w:t>
      </w:r>
      <w:r w:rsidRPr="00E56BC4">
        <w:rPr>
          <w:rFonts w:asciiTheme="majorHAnsi" w:eastAsia="Times New Roman" w:hAnsiTheme="majorHAnsi" w:cstheme="majorHAnsi"/>
          <w:sz w:val="16"/>
          <w:szCs w:val="16"/>
        </w:rPr>
        <w:t xml:space="preserve">Planul de conturi contabile în sistemul bugetar și </w:t>
      </w:r>
      <w:r w:rsidRPr="00D81B46">
        <w:rPr>
          <w:rFonts w:asciiTheme="majorHAnsi" w:eastAsia="Times New Roman" w:hAnsiTheme="majorHAnsi" w:cstheme="majorHAnsi"/>
          <w:sz w:val="16"/>
          <w:szCs w:val="16"/>
        </w:rPr>
        <w:t xml:space="preserve">Normele metodologice privind evidența contabilă și raportarea financiară în sistemul bugetar, aprobate prin Ordinul ministrului </w:t>
      </w:r>
      <w:r>
        <w:rPr>
          <w:rFonts w:asciiTheme="majorHAnsi" w:eastAsia="Times New Roman" w:hAnsiTheme="majorHAnsi" w:cstheme="majorHAnsi"/>
          <w:sz w:val="16"/>
          <w:szCs w:val="16"/>
        </w:rPr>
        <w:t>F</w:t>
      </w:r>
      <w:r w:rsidRPr="00D81B46">
        <w:rPr>
          <w:rFonts w:asciiTheme="majorHAnsi" w:eastAsia="Times New Roman" w:hAnsiTheme="majorHAnsi" w:cstheme="majorHAnsi"/>
          <w:sz w:val="16"/>
          <w:szCs w:val="16"/>
        </w:rPr>
        <w:t>inanțelor nr.216 din 28.12.2015</w:t>
      </w:r>
      <w:r w:rsidR="00546881">
        <w:rPr>
          <w:rFonts w:asciiTheme="majorHAnsi" w:eastAsia="Times New Roman" w:hAnsiTheme="majorHAnsi" w:cstheme="majorHAnsi"/>
          <w:sz w:val="16"/>
          <w:szCs w:val="16"/>
        </w:rPr>
        <w:t xml:space="preserve"> (în continuare – </w:t>
      </w:r>
      <w:r w:rsidR="00546881">
        <w:rPr>
          <w:rFonts w:asciiTheme="majorHAnsi" w:hAnsiTheme="majorHAnsi" w:cstheme="majorHAnsi"/>
          <w:bCs/>
          <w:kern w:val="36"/>
          <w:sz w:val="16"/>
          <w:szCs w:val="16"/>
          <w:lang w:eastAsia="ro-RO"/>
        </w:rPr>
        <w:t>Ordinul MF nr.216/2015</w:t>
      </w:r>
      <w:r w:rsidR="00546881">
        <w:rPr>
          <w:rFonts w:asciiTheme="majorHAnsi" w:eastAsia="Times New Roman" w:hAnsiTheme="majorHAnsi" w:cstheme="majorHAnsi"/>
          <w:sz w:val="16"/>
          <w:szCs w:val="16"/>
        </w:rPr>
        <w:t>)</w:t>
      </w:r>
      <w:r w:rsidRPr="00D81B46">
        <w:rPr>
          <w:rFonts w:asciiTheme="majorHAnsi" w:eastAsia="Times New Roman" w:hAnsiTheme="majorHAnsi" w:cstheme="majorHAnsi"/>
          <w:sz w:val="16"/>
          <w:szCs w:val="16"/>
        </w:rPr>
        <w:t xml:space="preserve">; Ordinul ministrului </w:t>
      </w:r>
      <w:r>
        <w:rPr>
          <w:rFonts w:asciiTheme="majorHAnsi" w:eastAsia="Times New Roman" w:hAnsiTheme="majorHAnsi" w:cstheme="majorHAnsi"/>
          <w:sz w:val="16"/>
          <w:szCs w:val="16"/>
        </w:rPr>
        <w:t>F</w:t>
      </w:r>
      <w:r w:rsidRPr="00D81B46">
        <w:rPr>
          <w:rFonts w:asciiTheme="majorHAnsi" w:eastAsia="Times New Roman" w:hAnsiTheme="majorHAnsi" w:cstheme="majorHAnsi"/>
          <w:sz w:val="16"/>
          <w:szCs w:val="16"/>
        </w:rPr>
        <w:t>inanțelor nr.164 din 30.12.2016 „Cu privire la aprobarea Cerințelor la întocmirea Raportului narativ privind executarea bugetelor autorităților/instituțiilor bugetare”.</w:t>
      </w:r>
    </w:p>
  </w:footnote>
  <w:footnote w:id="2">
    <w:p w14:paraId="28F3DD3F" w14:textId="54DBDE49" w:rsidR="00A35504" w:rsidRPr="00A75ED2" w:rsidRDefault="00A35504" w:rsidP="002F35AD">
      <w:pPr>
        <w:pStyle w:val="a5"/>
        <w:jc w:val="both"/>
        <w:rPr>
          <w:rFonts w:asciiTheme="majorHAnsi" w:hAnsiTheme="majorHAnsi" w:cstheme="majorHAnsi"/>
          <w:sz w:val="16"/>
          <w:szCs w:val="16"/>
        </w:rPr>
      </w:pPr>
      <w:r w:rsidRPr="00A75ED2">
        <w:rPr>
          <w:rStyle w:val="a7"/>
          <w:rFonts w:asciiTheme="majorHAnsi" w:hAnsiTheme="majorHAnsi" w:cstheme="majorHAnsi"/>
          <w:sz w:val="16"/>
          <w:szCs w:val="16"/>
        </w:rPr>
        <w:footnoteRef/>
      </w:r>
      <w:r w:rsidRPr="00A75ED2">
        <w:rPr>
          <w:rFonts w:asciiTheme="majorHAnsi" w:hAnsiTheme="majorHAnsi" w:cstheme="majorHAnsi"/>
          <w:sz w:val="16"/>
          <w:szCs w:val="16"/>
        </w:rPr>
        <w:t xml:space="preserve"> </w:t>
      </w:r>
      <w:r w:rsidRPr="00A75ED2">
        <w:rPr>
          <w:rFonts w:asciiTheme="majorHAnsi" w:hAnsiTheme="majorHAnsi" w:cstheme="majorHAnsi"/>
          <w:sz w:val="16"/>
          <w:szCs w:val="16"/>
          <w:lang w:val="ro-RO"/>
        </w:rPr>
        <w:t>Institutul de Fizic</w:t>
      </w:r>
      <w:r>
        <w:rPr>
          <w:rFonts w:asciiTheme="majorHAnsi" w:hAnsiTheme="majorHAnsi" w:cstheme="majorHAnsi"/>
          <w:sz w:val="16"/>
          <w:szCs w:val="16"/>
          <w:lang w:val="ro-RO"/>
        </w:rPr>
        <w:t>ă</w:t>
      </w:r>
      <w:r w:rsidRPr="00A75ED2">
        <w:rPr>
          <w:rFonts w:asciiTheme="majorHAnsi" w:hAnsiTheme="majorHAnsi" w:cstheme="majorHAnsi"/>
          <w:sz w:val="16"/>
          <w:szCs w:val="16"/>
          <w:lang w:val="ro-RO"/>
        </w:rPr>
        <w:t xml:space="preserve"> Aplicat</w:t>
      </w:r>
      <w:r>
        <w:rPr>
          <w:rFonts w:asciiTheme="majorHAnsi" w:hAnsiTheme="majorHAnsi" w:cstheme="majorHAnsi"/>
          <w:sz w:val="16"/>
          <w:szCs w:val="16"/>
          <w:lang w:val="ro-RO"/>
        </w:rPr>
        <w:t>ă</w:t>
      </w:r>
      <w:r w:rsidRPr="00A75ED2">
        <w:rPr>
          <w:rFonts w:asciiTheme="majorHAnsi" w:hAnsiTheme="majorHAnsi" w:cstheme="majorHAnsi"/>
          <w:sz w:val="16"/>
          <w:szCs w:val="16"/>
          <w:lang w:val="ro-RO"/>
        </w:rPr>
        <w:t xml:space="preserve"> (16312) 0100212192.05 – 59,4 m</w:t>
      </w:r>
      <w:r w:rsidRPr="00F42E6E">
        <w:rPr>
          <w:rFonts w:asciiTheme="majorHAnsi" w:hAnsiTheme="majorHAnsi" w:cstheme="majorHAnsi"/>
          <w:sz w:val="16"/>
          <w:szCs w:val="16"/>
          <w:vertAlign w:val="superscript"/>
          <w:lang w:val="ro-RO"/>
        </w:rPr>
        <w:t>2</w:t>
      </w:r>
      <w:r w:rsidRPr="00A75ED2">
        <w:rPr>
          <w:rFonts w:asciiTheme="majorHAnsi" w:hAnsiTheme="majorHAnsi" w:cstheme="majorHAnsi"/>
          <w:sz w:val="16"/>
          <w:szCs w:val="16"/>
          <w:lang w:val="ro-RO"/>
        </w:rPr>
        <w:t xml:space="preserve"> cu valoare</w:t>
      </w:r>
      <w:r>
        <w:rPr>
          <w:rFonts w:asciiTheme="majorHAnsi" w:hAnsiTheme="majorHAnsi" w:cstheme="majorHAnsi"/>
          <w:sz w:val="16"/>
          <w:szCs w:val="16"/>
          <w:lang w:val="ro-RO"/>
        </w:rPr>
        <w:t>a</w:t>
      </w:r>
      <w:r w:rsidRPr="00A75ED2">
        <w:rPr>
          <w:rFonts w:asciiTheme="majorHAnsi" w:hAnsiTheme="majorHAnsi" w:cstheme="majorHAnsi"/>
          <w:sz w:val="16"/>
          <w:szCs w:val="16"/>
          <w:lang w:val="ro-RO"/>
        </w:rPr>
        <w:t xml:space="preserve"> de 168,96 mii lei; 0100212192.06 – 961 m</w:t>
      </w:r>
      <w:r w:rsidRPr="00F42E6E">
        <w:rPr>
          <w:rFonts w:asciiTheme="majorHAnsi" w:hAnsiTheme="majorHAnsi" w:cstheme="majorHAnsi"/>
          <w:sz w:val="16"/>
          <w:szCs w:val="16"/>
          <w:vertAlign w:val="superscript"/>
          <w:lang w:val="ro-RO"/>
        </w:rPr>
        <w:t>2</w:t>
      </w:r>
      <w:r w:rsidRPr="00A75ED2">
        <w:rPr>
          <w:rFonts w:asciiTheme="majorHAnsi" w:hAnsiTheme="majorHAnsi" w:cstheme="majorHAnsi"/>
          <w:sz w:val="16"/>
          <w:szCs w:val="16"/>
          <w:lang w:val="ro-RO"/>
        </w:rPr>
        <w:t xml:space="preserve"> cu valoare</w:t>
      </w:r>
      <w:r>
        <w:rPr>
          <w:rFonts w:asciiTheme="majorHAnsi" w:hAnsiTheme="majorHAnsi" w:cstheme="majorHAnsi"/>
          <w:sz w:val="16"/>
          <w:szCs w:val="16"/>
          <w:lang w:val="ro-RO"/>
        </w:rPr>
        <w:t>a</w:t>
      </w:r>
      <w:r w:rsidRPr="00A75ED2">
        <w:rPr>
          <w:rFonts w:asciiTheme="majorHAnsi" w:hAnsiTheme="majorHAnsi" w:cstheme="majorHAnsi"/>
          <w:sz w:val="16"/>
          <w:szCs w:val="16"/>
          <w:lang w:val="ro-RO"/>
        </w:rPr>
        <w:t xml:space="preserve"> de 2</w:t>
      </w:r>
      <w:r>
        <w:rPr>
          <w:rFonts w:asciiTheme="majorHAnsi" w:hAnsiTheme="majorHAnsi" w:cstheme="majorHAnsi"/>
          <w:sz w:val="16"/>
          <w:szCs w:val="16"/>
          <w:lang w:val="ro-RO"/>
        </w:rPr>
        <w:t>.</w:t>
      </w:r>
      <w:r w:rsidRPr="00A75ED2">
        <w:rPr>
          <w:rFonts w:asciiTheme="majorHAnsi" w:hAnsiTheme="majorHAnsi" w:cstheme="majorHAnsi"/>
          <w:sz w:val="16"/>
          <w:szCs w:val="16"/>
          <w:lang w:val="ro-RO"/>
        </w:rPr>
        <w:t>707,41 mii lei; 0100212192.08 – 231,8 m</w:t>
      </w:r>
      <w:r w:rsidRPr="00F42E6E">
        <w:rPr>
          <w:rFonts w:asciiTheme="majorHAnsi" w:hAnsiTheme="majorHAnsi" w:cstheme="majorHAnsi"/>
          <w:sz w:val="16"/>
          <w:szCs w:val="16"/>
          <w:vertAlign w:val="superscript"/>
          <w:lang w:val="ro-RO"/>
        </w:rPr>
        <w:t>2</w:t>
      </w:r>
      <w:r w:rsidRPr="00A75ED2">
        <w:rPr>
          <w:rFonts w:asciiTheme="majorHAnsi" w:hAnsiTheme="majorHAnsi" w:cstheme="majorHAnsi"/>
          <w:sz w:val="16"/>
          <w:szCs w:val="16"/>
          <w:lang w:val="ro-RO"/>
        </w:rPr>
        <w:t xml:space="preserve"> cu valoare</w:t>
      </w:r>
      <w:r>
        <w:rPr>
          <w:rFonts w:asciiTheme="majorHAnsi" w:hAnsiTheme="majorHAnsi" w:cstheme="majorHAnsi"/>
          <w:sz w:val="16"/>
          <w:szCs w:val="16"/>
          <w:lang w:val="ro-RO"/>
        </w:rPr>
        <w:t>a</w:t>
      </w:r>
      <w:r w:rsidRPr="00A75ED2">
        <w:rPr>
          <w:rFonts w:asciiTheme="majorHAnsi" w:hAnsiTheme="majorHAnsi" w:cstheme="majorHAnsi"/>
          <w:sz w:val="16"/>
          <w:szCs w:val="16"/>
          <w:lang w:val="ro-RO"/>
        </w:rPr>
        <w:t xml:space="preserve"> de 317,95 mii lei; 0100212192.09 – 1482,3 m</w:t>
      </w:r>
      <w:r w:rsidRPr="00F42E6E">
        <w:rPr>
          <w:rFonts w:asciiTheme="majorHAnsi" w:hAnsiTheme="majorHAnsi" w:cstheme="majorHAnsi"/>
          <w:sz w:val="16"/>
          <w:szCs w:val="16"/>
          <w:vertAlign w:val="superscript"/>
          <w:lang w:val="ro-RO"/>
        </w:rPr>
        <w:t>2</w:t>
      </w:r>
      <w:r w:rsidRPr="00A75ED2">
        <w:rPr>
          <w:rFonts w:asciiTheme="majorHAnsi" w:hAnsiTheme="majorHAnsi" w:cstheme="majorHAnsi"/>
          <w:sz w:val="16"/>
          <w:szCs w:val="16"/>
          <w:lang w:val="ro-RO"/>
        </w:rPr>
        <w:t xml:space="preserve"> cu valoare</w:t>
      </w:r>
      <w:r>
        <w:rPr>
          <w:rFonts w:asciiTheme="majorHAnsi" w:hAnsiTheme="majorHAnsi" w:cstheme="majorHAnsi"/>
          <w:sz w:val="16"/>
          <w:szCs w:val="16"/>
          <w:lang w:val="ro-RO"/>
        </w:rPr>
        <w:t>a</w:t>
      </w:r>
      <w:r w:rsidRPr="00A75ED2">
        <w:rPr>
          <w:rFonts w:asciiTheme="majorHAnsi" w:hAnsiTheme="majorHAnsi" w:cstheme="majorHAnsi"/>
          <w:sz w:val="16"/>
          <w:szCs w:val="16"/>
          <w:lang w:val="ro-RO"/>
        </w:rPr>
        <w:t xml:space="preserve"> de 3</w:t>
      </w:r>
      <w:r>
        <w:rPr>
          <w:rFonts w:asciiTheme="majorHAnsi" w:hAnsiTheme="majorHAnsi" w:cstheme="majorHAnsi"/>
          <w:sz w:val="16"/>
          <w:szCs w:val="16"/>
          <w:lang w:val="ro-RO"/>
        </w:rPr>
        <w:t>.</w:t>
      </w:r>
      <w:r w:rsidRPr="00A75ED2">
        <w:rPr>
          <w:rFonts w:asciiTheme="majorHAnsi" w:hAnsiTheme="majorHAnsi" w:cstheme="majorHAnsi"/>
          <w:sz w:val="16"/>
          <w:szCs w:val="16"/>
          <w:lang w:val="ro-RO"/>
        </w:rPr>
        <w:t xml:space="preserve">781,4 mii lei; </w:t>
      </w:r>
      <w:r w:rsidRPr="00A75ED2">
        <w:rPr>
          <w:rFonts w:asciiTheme="majorHAnsi" w:hAnsiTheme="majorHAnsi" w:cstheme="majorHAnsi"/>
          <w:sz w:val="16"/>
          <w:szCs w:val="16"/>
        </w:rPr>
        <w:t>Institutul de Genetic</w:t>
      </w:r>
      <w:r>
        <w:rPr>
          <w:rFonts w:asciiTheme="majorHAnsi" w:hAnsiTheme="majorHAnsi" w:cstheme="majorHAnsi"/>
          <w:sz w:val="16"/>
          <w:szCs w:val="16"/>
        </w:rPr>
        <w:t>ă</w:t>
      </w:r>
      <w:r w:rsidRPr="00A75ED2">
        <w:rPr>
          <w:rFonts w:asciiTheme="majorHAnsi" w:hAnsiTheme="majorHAnsi" w:cstheme="majorHAnsi"/>
          <w:sz w:val="16"/>
          <w:szCs w:val="16"/>
        </w:rPr>
        <w:t xml:space="preserve">, Fiziologie și Protecție a Plantelor (16325) : </w:t>
      </w:r>
      <w:r w:rsidRPr="00A75ED2">
        <w:rPr>
          <w:rFonts w:asciiTheme="majorHAnsi" w:hAnsiTheme="majorHAnsi" w:cstheme="majorHAnsi"/>
          <w:sz w:val="16"/>
          <w:szCs w:val="16"/>
          <w:lang w:val="ro-RO"/>
        </w:rPr>
        <w:t>0100119010.10 cu suprafața de 577,1 m</w:t>
      </w:r>
      <w:r w:rsidRPr="00F42E6E">
        <w:rPr>
          <w:rFonts w:asciiTheme="majorHAnsi" w:hAnsiTheme="majorHAnsi" w:cstheme="majorHAnsi"/>
          <w:sz w:val="16"/>
          <w:szCs w:val="16"/>
          <w:vertAlign w:val="superscript"/>
          <w:lang w:val="ro-RO"/>
        </w:rPr>
        <w:t>2</w:t>
      </w:r>
      <w:r w:rsidRPr="00A75ED2">
        <w:rPr>
          <w:rFonts w:asciiTheme="majorHAnsi" w:hAnsiTheme="majorHAnsi" w:cstheme="majorHAnsi"/>
          <w:sz w:val="16"/>
          <w:szCs w:val="16"/>
          <w:lang w:val="ro-RO"/>
        </w:rPr>
        <w:t xml:space="preserve"> în valoare </w:t>
      </w:r>
      <w:r>
        <w:rPr>
          <w:rFonts w:asciiTheme="majorHAnsi" w:hAnsiTheme="majorHAnsi" w:cstheme="majorHAnsi"/>
          <w:sz w:val="16"/>
          <w:szCs w:val="16"/>
          <w:lang w:val="ro-RO"/>
        </w:rPr>
        <w:t xml:space="preserve">de </w:t>
      </w:r>
      <w:r w:rsidRPr="00A75ED2">
        <w:rPr>
          <w:rFonts w:asciiTheme="majorHAnsi" w:hAnsiTheme="majorHAnsi" w:cstheme="majorHAnsi"/>
          <w:sz w:val="16"/>
          <w:szCs w:val="16"/>
          <w:lang w:val="ro-RO"/>
        </w:rPr>
        <w:t>2</w:t>
      </w:r>
      <w:r>
        <w:rPr>
          <w:rFonts w:asciiTheme="majorHAnsi" w:hAnsiTheme="majorHAnsi" w:cstheme="majorHAnsi"/>
          <w:sz w:val="16"/>
          <w:szCs w:val="16"/>
          <w:lang w:val="ro-RO"/>
        </w:rPr>
        <w:t>.</w:t>
      </w:r>
      <w:r w:rsidRPr="00A75ED2">
        <w:rPr>
          <w:rFonts w:asciiTheme="majorHAnsi" w:hAnsiTheme="majorHAnsi" w:cstheme="majorHAnsi"/>
          <w:sz w:val="16"/>
          <w:szCs w:val="16"/>
          <w:lang w:val="ro-RO"/>
        </w:rPr>
        <w:t xml:space="preserve">950,4 mii lei; </w:t>
      </w:r>
      <w:r w:rsidRPr="00A75ED2">
        <w:rPr>
          <w:rFonts w:asciiTheme="majorHAnsi" w:hAnsiTheme="majorHAnsi" w:cstheme="majorHAnsi"/>
          <w:sz w:val="16"/>
          <w:szCs w:val="16"/>
        </w:rPr>
        <w:t xml:space="preserve">Centrul Sportiv de Pregătire a Loturilor Naționale (16440): 0100301695.12 </w:t>
      </w:r>
      <w:r>
        <w:rPr>
          <w:rFonts w:asciiTheme="majorHAnsi" w:hAnsiTheme="majorHAnsi" w:cstheme="majorHAnsi"/>
          <w:sz w:val="16"/>
          <w:szCs w:val="16"/>
        </w:rPr>
        <w:t xml:space="preserve">cu suprafața de </w:t>
      </w:r>
      <w:r w:rsidRPr="00A75ED2">
        <w:rPr>
          <w:rFonts w:asciiTheme="majorHAnsi" w:hAnsiTheme="majorHAnsi" w:cstheme="majorHAnsi"/>
          <w:sz w:val="16"/>
          <w:szCs w:val="16"/>
        </w:rPr>
        <w:t>10,8 m</w:t>
      </w:r>
      <w:r w:rsidRPr="00F42E6E">
        <w:rPr>
          <w:rFonts w:asciiTheme="majorHAnsi" w:hAnsiTheme="majorHAnsi" w:cstheme="majorHAnsi"/>
          <w:sz w:val="16"/>
          <w:szCs w:val="16"/>
          <w:vertAlign w:val="superscript"/>
        </w:rPr>
        <w:t>2</w:t>
      </w:r>
      <w:r>
        <w:rPr>
          <w:rFonts w:asciiTheme="majorHAnsi" w:hAnsiTheme="majorHAnsi" w:cstheme="majorHAnsi"/>
          <w:sz w:val="16"/>
          <w:szCs w:val="16"/>
          <w:lang w:val="ro-RO"/>
        </w:rPr>
        <w:t>,</w:t>
      </w:r>
      <w:r w:rsidRPr="00A75ED2">
        <w:rPr>
          <w:rFonts w:asciiTheme="majorHAnsi" w:hAnsiTheme="majorHAnsi" w:cstheme="majorHAnsi"/>
          <w:sz w:val="16"/>
          <w:szCs w:val="16"/>
          <w:lang w:val="ro-RO"/>
        </w:rPr>
        <w:t xml:space="preserve"> </w:t>
      </w:r>
      <w:r>
        <w:rPr>
          <w:rFonts w:asciiTheme="majorHAnsi" w:hAnsiTheme="majorHAnsi" w:cstheme="majorHAnsi"/>
          <w:sz w:val="16"/>
          <w:szCs w:val="16"/>
          <w:lang w:val="ro-RO"/>
        </w:rPr>
        <w:t xml:space="preserve">în </w:t>
      </w:r>
      <w:r w:rsidRPr="00A75ED2">
        <w:rPr>
          <w:rFonts w:asciiTheme="majorHAnsi" w:hAnsiTheme="majorHAnsi" w:cstheme="majorHAnsi"/>
          <w:sz w:val="16"/>
          <w:szCs w:val="16"/>
          <w:lang w:val="ro-RO"/>
        </w:rPr>
        <w:t xml:space="preserve">valoare de </w:t>
      </w:r>
      <w:r w:rsidRPr="00A75ED2">
        <w:rPr>
          <w:rFonts w:asciiTheme="majorHAnsi" w:hAnsiTheme="majorHAnsi" w:cstheme="majorHAnsi"/>
          <w:sz w:val="16"/>
          <w:szCs w:val="16"/>
        </w:rPr>
        <w:t xml:space="preserve">8,52 mii lei; 0100301695.13 </w:t>
      </w:r>
      <w:r>
        <w:rPr>
          <w:rFonts w:asciiTheme="majorHAnsi" w:hAnsiTheme="majorHAnsi" w:cstheme="majorHAnsi"/>
          <w:sz w:val="16"/>
          <w:szCs w:val="16"/>
        </w:rPr>
        <w:t xml:space="preserve">cu suprafața de </w:t>
      </w:r>
      <w:r w:rsidRPr="00A75ED2">
        <w:rPr>
          <w:rFonts w:asciiTheme="majorHAnsi" w:hAnsiTheme="majorHAnsi" w:cstheme="majorHAnsi"/>
          <w:sz w:val="16"/>
          <w:szCs w:val="16"/>
        </w:rPr>
        <w:t>194,4 m</w:t>
      </w:r>
      <w:r w:rsidRPr="00F42E6E">
        <w:rPr>
          <w:rFonts w:asciiTheme="majorHAnsi" w:hAnsiTheme="majorHAnsi" w:cstheme="majorHAnsi"/>
          <w:sz w:val="16"/>
          <w:szCs w:val="16"/>
          <w:vertAlign w:val="superscript"/>
        </w:rPr>
        <w:t>2</w:t>
      </w:r>
      <w:r w:rsidRPr="00A75ED2">
        <w:rPr>
          <w:rFonts w:asciiTheme="majorHAnsi" w:hAnsiTheme="majorHAnsi" w:cstheme="majorHAnsi"/>
          <w:sz w:val="16"/>
          <w:szCs w:val="16"/>
          <w:lang w:val="ro-RO"/>
        </w:rPr>
        <w:t xml:space="preserve"> </w:t>
      </w:r>
      <w:r>
        <w:rPr>
          <w:rFonts w:asciiTheme="majorHAnsi" w:hAnsiTheme="majorHAnsi" w:cstheme="majorHAnsi"/>
          <w:sz w:val="16"/>
          <w:szCs w:val="16"/>
          <w:lang w:val="ro-RO"/>
        </w:rPr>
        <w:t>în</w:t>
      </w:r>
      <w:r w:rsidRPr="00A75ED2">
        <w:rPr>
          <w:rFonts w:asciiTheme="majorHAnsi" w:hAnsiTheme="majorHAnsi" w:cstheme="majorHAnsi"/>
          <w:sz w:val="16"/>
          <w:szCs w:val="16"/>
          <w:lang w:val="ro-RO"/>
        </w:rPr>
        <w:t xml:space="preserve"> valoare de </w:t>
      </w:r>
      <w:r w:rsidRPr="00A75ED2">
        <w:rPr>
          <w:rFonts w:asciiTheme="majorHAnsi" w:hAnsiTheme="majorHAnsi" w:cstheme="majorHAnsi"/>
          <w:sz w:val="16"/>
          <w:szCs w:val="16"/>
        </w:rPr>
        <w:t xml:space="preserve">281,22 mii lei. </w:t>
      </w:r>
    </w:p>
  </w:footnote>
  <w:footnote w:id="3">
    <w:p w14:paraId="299BB0DC" w14:textId="4E2E6B1C" w:rsidR="00A35504" w:rsidRPr="00B751DF" w:rsidRDefault="00A35504" w:rsidP="003E7904">
      <w:pPr>
        <w:pStyle w:val="a5"/>
        <w:jc w:val="both"/>
        <w:rPr>
          <w:rFonts w:asciiTheme="majorHAnsi" w:hAnsiTheme="majorHAnsi" w:cstheme="majorHAnsi"/>
          <w:sz w:val="16"/>
          <w:szCs w:val="16"/>
        </w:rPr>
      </w:pPr>
      <w:r w:rsidRPr="00B751DF">
        <w:rPr>
          <w:rStyle w:val="a7"/>
          <w:rFonts w:asciiTheme="majorHAnsi" w:hAnsiTheme="majorHAnsi" w:cstheme="majorHAnsi"/>
          <w:sz w:val="16"/>
          <w:szCs w:val="16"/>
        </w:rPr>
        <w:footnoteRef/>
      </w:r>
      <w:r w:rsidRPr="00B751DF">
        <w:rPr>
          <w:rFonts w:asciiTheme="majorHAnsi" w:hAnsiTheme="majorHAnsi" w:cstheme="majorHAnsi"/>
          <w:sz w:val="16"/>
          <w:szCs w:val="16"/>
        </w:rPr>
        <w:t xml:space="preserve"> </w:t>
      </w:r>
      <w:r w:rsidRPr="00B751DF">
        <w:rPr>
          <w:rFonts w:asciiTheme="majorHAnsi" w:eastAsia="Calibri" w:hAnsiTheme="majorHAnsi" w:cstheme="majorHAnsi"/>
          <w:sz w:val="16"/>
          <w:szCs w:val="16"/>
        </w:rPr>
        <w:t>Școala Republican</w:t>
      </w:r>
      <w:r>
        <w:rPr>
          <w:rFonts w:asciiTheme="majorHAnsi" w:eastAsia="Calibri" w:hAnsiTheme="majorHAnsi" w:cstheme="majorHAnsi"/>
          <w:sz w:val="16"/>
          <w:szCs w:val="16"/>
        </w:rPr>
        <w:t>ă</w:t>
      </w:r>
      <w:r w:rsidRPr="00B751DF">
        <w:rPr>
          <w:rFonts w:asciiTheme="majorHAnsi" w:eastAsia="Calibri" w:hAnsiTheme="majorHAnsi" w:cstheme="majorHAnsi"/>
          <w:sz w:val="16"/>
          <w:szCs w:val="16"/>
        </w:rPr>
        <w:t xml:space="preserve"> Specializat</w:t>
      </w:r>
      <w:r>
        <w:rPr>
          <w:rFonts w:asciiTheme="majorHAnsi" w:eastAsia="Calibri" w:hAnsiTheme="majorHAnsi" w:cstheme="majorHAnsi"/>
          <w:sz w:val="16"/>
          <w:szCs w:val="16"/>
        </w:rPr>
        <w:t>ă</w:t>
      </w:r>
      <w:r w:rsidRPr="00B751DF">
        <w:rPr>
          <w:rFonts w:asciiTheme="majorHAnsi" w:eastAsia="Calibri" w:hAnsiTheme="majorHAnsi" w:cstheme="majorHAnsi"/>
          <w:sz w:val="16"/>
          <w:szCs w:val="16"/>
        </w:rPr>
        <w:t xml:space="preserve"> de Hipism </w:t>
      </w:r>
      <w:r>
        <w:rPr>
          <w:rFonts w:asciiTheme="majorHAnsi" w:eastAsia="Calibri" w:hAnsiTheme="majorHAnsi" w:cstheme="majorHAnsi"/>
          <w:sz w:val="16"/>
          <w:szCs w:val="16"/>
        </w:rPr>
        <w:t>ș</w:t>
      </w:r>
      <w:r w:rsidRPr="00B751DF">
        <w:rPr>
          <w:rFonts w:asciiTheme="majorHAnsi" w:eastAsia="Calibri" w:hAnsiTheme="majorHAnsi" w:cstheme="majorHAnsi"/>
          <w:sz w:val="16"/>
          <w:szCs w:val="16"/>
        </w:rPr>
        <w:t>i Pentatlon Modern</w:t>
      </w:r>
      <w:r w:rsidRPr="00B751DF">
        <w:rPr>
          <w:rFonts w:asciiTheme="majorHAnsi" w:hAnsiTheme="majorHAnsi" w:cstheme="majorHAnsi"/>
          <w:sz w:val="16"/>
          <w:szCs w:val="16"/>
        </w:rPr>
        <w:t>: (9277215442.06</w:t>
      </w:r>
      <w:r w:rsidR="00101320">
        <w:rPr>
          <w:rFonts w:asciiTheme="majorHAnsi" w:hAnsiTheme="majorHAnsi" w:cstheme="majorHAnsi"/>
          <w:sz w:val="16"/>
          <w:szCs w:val="16"/>
        </w:rPr>
        <w:t>, index plan</w:t>
      </w:r>
      <w:r w:rsidRPr="00B751DF">
        <w:rPr>
          <w:rFonts w:asciiTheme="majorHAnsi" w:hAnsiTheme="majorHAnsi" w:cstheme="majorHAnsi"/>
          <w:sz w:val="16"/>
          <w:szCs w:val="16"/>
        </w:rPr>
        <w:t xml:space="preserve"> </w:t>
      </w:r>
      <w:r w:rsidR="00101320">
        <w:rPr>
          <w:rFonts w:asciiTheme="majorHAnsi" w:hAnsiTheme="majorHAnsi" w:cstheme="majorHAnsi"/>
          <w:sz w:val="16"/>
          <w:szCs w:val="16"/>
        </w:rPr>
        <w:t xml:space="preserve">lit. </w:t>
      </w:r>
      <w:r w:rsidRPr="00101320">
        <w:rPr>
          <w:rFonts w:asciiTheme="majorHAnsi" w:hAnsiTheme="majorHAnsi" w:cstheme="majorHAnsi"/>
          <w:sz w:val="16"/>
          <w:szCs w:val="16"/>
        </w:rPr>
        <w:t>K-</w:t>
      </w:r>
      <w:r>
        <w:rPr>
          <w:rFonts w:asciiTheme="majorHAnsi" w:hAnsiTheme="majorHAnsi" w:cstheme="majorHAnsi"/>
          <w:sz w:val="16"/>
          <w:szCs w:val="16"/>
        </w:rPr>
        <w:t xml:space="preserve"> </w:t>
      </w:r>
      <w:r w:rsidRPr="00B751DF">
        <w:rPr>
          <w:rFonts w:asciiTheme="majorHAnsi" w:hAnsiTheme="majorHAnsi" w:cstheme="majorHAnsi"/>
          <w:sz w:val="16"/>
          <w:szCs w:val="16"/>
        </w:rPr>
        <w:t>340 m</w:t>
      </w:r>
      <w:r w:rsidRPr="00F42E6E">
        <w:rPr>
          <w:rFonts w:asciiTheme="majorHAnsi" w:hAnsiTheme="majorHAnsi" w:cstheme="majorHAnsi"/>
          <w:sz w:val="16"/>
          <w:szCs w:val="16"/>
          <w:vertAlign w:val="superscript"/>
        </w:rPr>
        <w:t>2</w:t>
      </w:r>
      <w:r w:rsidRPr="00B751DF">
        <w:rPr>
          <w:rFonts w:asciiTheme="majorHAnsi" w:hAnsiTheme="majorHAnsi" w:cstheme="majorHAnsi"/>
          <w:sz w:val="16"/>
          <w:szCs w:val="16"/>
        </w:rPr>
        <w:t>; 9277215442.11</w:t>
      </w:r>
      <w:r w:rsidR="00101320">
        <w:rPr>
          <w:rFonts w:asciiTheme="majorHAnsi" w:hAnsiTheme="majorHAnsi" w:cstheme="majorHAnsi"/>
          <w:sz w:val="16"/>
          <w:szCs w:val="16"/>
        </w:rPr>
        <w:t>,</w:t>
      </w:r>
      <w:r w:rsidRPr="00B751DF">
        <w:rPr>
          <w:rFonts w:asciiTheme="majorHAnsi" w:hAnsiTheme="majorHAnsi" w:cstheme="majorHAnsi"/>
          <w:sz w:val="16"/>
          <w:szCs w:val="16"/>
        </w:rPr>
        <w:t xml:space="preserve"> </w:t>
      </w:r>
      <w:r w:rsidR="00101320">
        <w:rPr>
          <w:rFonts w:asciiTheme="majorHAnsi" w:hAnsiTheme="majorHAnsi" w:cstheme="majorHAnsi"/>
          <w:sz w:val="16"/>
          <w:szCs w:val="16"/>
        </w:rPr>
        <w:t xml:space="preserve">lit. </w:t>
      </w:r>
      <w:r w:rsidRPr="00101320">
        <w:rPr>
          <w:rFonts w:asciiTheme="majorHAnsi" w:hAnsiTheme="majorHAnsi" w:cstheme="majorHAnsi"/>
          <w:sz w:val="16"/>
          <w:szCs w:val="16"/>
        </w:rPr>
        <w:t>G</w:t>
      </w:r>
      <w:r w:rsidRPr="00B751DF">
        <w:rPr>
          <w:rFonts w:asciiTheme="majorHAnsi" w:hAnsiTheme="majorHAnsi" w:cstheme="majorHAnsi"/>
          <w:sz w:val="16"/>
          <w:szCs w:val="16"/>
        </w:rPr>
        <w:t>-</w:t>
      </w:r>
      <w:r w:rsidR="00101320">
        <w:rPr>
          <w:rFonts w:asciiTheme="majorHAnsi" w:hAnsiTheme="majorHAnsi" w:cstheme="majorHAnsi"/>
          <w:sz w:val="16"/>
          <w:szCs w:val="16"/>
        </w:rPr>
        <w:t xml:space="preserve"> </w:t>
      </w:r>
      <w:r w:rsidRPr="00B751DF">
        <w:rPr>
          <w:rFonts w:asciiTheme="majorHAnsi" w:hAnsiTheme="majorHAnsi" w:cstheme="majorHAnsi"/>
          <w:sz w:val="16"/>
          <w:szCs w:val="16"/>
        </w:rPr>
        <w:t>1</w:t>
      </w:r>
      <w:r>
        <w:rPr>
          <w:rFonts w:asciiTheme="majorHAnsi" w:hAnsiTheme="majorHAnsi" w:cstheme="majorHAnsi"/>
          <w:sz w:val="16"/>
          <w:szCs w:val="16"/>
        </w:rPr>
        <w:t>.</w:t>
      </w:r>
      <w:r w:rsidRPr="00B751DF">
        <w:rPr>
          <w:rFonts w:asciiTheme="majorHAnsi" w:hAnsiTheme="majorHAnsi" w:cstheme="majorHAnsi"/>
          <w:sz w:val="16"/>
          <w:szCs w:val="16"/>
        </w:rPr>
        <w:t>050 m</w:t>
      </w:r>
      <w:r w:rsidRPr="00F42E6E">
        <w:rPr>
          <w:rFonts w:asciiTheme="majorHAnsi" w:hAnsiTheme="majorHAnsi" w:cstheme="majorHAnsi"/>
          <w:sz w:val="16"/>
          <w:szCs w:val="16"/>
          <w:vertAlign w:val="superscript"/>
        </w:rPr>
        <w:t>2</w:t>
      </w:r>
      <w:r w:rsidRPr="00B751DF">
        <w:rPr>
          <w:rFonts w:asciiTheme="majorHAnsi" w:hAnsiTheme="majorHAnsi" w:cstheme="majorHAnsi"/>
          <w:sz w:val="16"/>
          <w:szCs w:val="16"/>
        </w:rPr>
        <w:t>)</w:t>
      </w:r>
      <w:r>
        <w:rPr>
          <w:rFonts w:asciiTheme="majorHAnsi" w:hAnsiTheme="majorHAnsi" w:cstheme="majorHAnsi"/>
          <w:sz w:val="16"/>
          <w:szCs w:val="16"/>
        </w:rPr>
        <w:t>.</w:t>
      </w:r>
    </w:p>
  </w:footnote>
  <w:footnote w:id="4">
    <w:p w14:paraId="03A34100" w14:textId="65CFFE91" w:rsidR="00A35504" w:rsidRPr="00E56BC4" w:rsidRDefault="00A35504" w:rsidP="00E56BC4">
      <w:pPr>
        <w:spacing w:after="0" w:line="240" w:lineRule="auto"/>
        <w:jc w:val="both"/>
        <w:rPr>
          <w:rFonts w:asciiTheme="majorHAnsi" w:eastAsia="Calibri" w:hAnsiTheme="majorHAnsi" w:cstheme="majorHAnsi"/>
          <w:i/>
          <w:sz w:val="16"/>
          <w:szCs w:val="16"/>
        </w:rPr>
      </w:pPr>
      <w:r w:rsidRPr="00E56BC4">
        <w:rPr>
          <w:rStyle w:val="a7"/>
          <w:rFonts w:asciiTheme="majorHAnsi" w:hAnsiTheme="majorHAnsi" w:cstheme="majorHAnsi"/>
          <w:sz w:val="16"/>
          <w:szCs w:val="16"/>
        </w:rPr>
        <w:footnoteRef/>
      </w:r>
      <w:r w:rsidRPr="00E56BC4">
        <w:rPr>
          <w:rFonts w:asciiTheme="majorHAnsi" w:hAnsiTheme="majorHAnsi" w:cstheme="majorHAnsi"/>
          <w:sz w:val="16"/>
          <w:szCs w:val="16"/>
        </w:rPr>
        <w:t xml:space="preserve"> Institutul Național de Cercetări Economice (imobil privatizat în anul 2009 </w:t>
      </w:r>
      <w:r>
        <w:rPr>
          <w:rFonts w:asciiTheme="majorHAnsi" w:hAnsiTheme="majorHAnsi" w:cstheme="majorHAnsi"/>
          <w:sz w:val="16"/>
          <w:szCs w:val="16"/>
        </w:rPr>
        <w:t>–</w:t>
      </w:r>
      <w:r w:rsidRPr="00E56BC4">
        <w:rPr>
          <w:rFonts w:asciiTheme="majorHAnsi" w:hAnsiTheme="majorHAnsi" w:cstheme="majorHAnsi"/>
          <w:sz w:val="16"/>
          <w:szCs w:val="16"/>
        </w:rPr>
        <w:t xml:space="preserve"> 1</w:t>
      </w:r>
      <w:r>
        <w:rPr>
          <w:rFonts w:asciiTheme="majorHAnsi" w:hAnsiTheme="majorHAnsi" w:cstheme="majorHAnsi"/>
          <w:sz w:val="16"/>
          <w:szCs w:val="16"/>
        </w:rPr>
        <w:t>.</w:t>
      </w:r>
      <w:r w:rsidRPr="00E56BC4">
        <w:rPr>
          <w:rFonts w:asciiTheme="majorHAnsi" w:hAnsiTheme="majorHAnsi" w:cstheme="majorHAnsi"/>
          <w:sz w:val="16"/>
          <w:szCs w:val="16"/>
        </w:rPr>
        <w:t>618,7 mii lei); Școala republicană de Hipism și Pentatlon Modern (20 apartamente – 2</w:t>
      </w:r>
      <w:r>
        <w:rPr>
          <w:rFonts w:asciiTheme="majorHAnsi" w:hAnsiTheme="majorHAnsi" w:cstheme="majorHAnsi"/>
          <w:sz w:val="16"/>
          <w:szCs w:val="16"/>
        </w:rPr>
        <w:t>.</w:t>
      </w:r>
      <w:r w:rsidRPr="00E56BC4">
        <w:rPr>
          <w:rFonts w:asciiTheme="majorHAnsi" w:hAnsiTheme="majorHAnsi" w:cstheme="majorHAnsi"/>
          <w:sz w:val="16"/>
          <w:szCs w:val="16"/>
        </w:rPr>
        <w:t>898,4 mii lei).</w:t>
      </w:r>
    </w:p>
  </w:footnote>
  <w:footnote w:id="5">
    <w:p w14:paraId="00888B43" w14:textId="771DEFBA" w:rsidR="00A35504" w:rsidRPr="00437AB2" w:rsidRDefault="00A35504" w:rsidP="00A32611">
      <w:pPr>
        <w:pStyle w:val="a5"/>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w:t>
      </w:r>
      <w:r w:rsidRPr="00437AB2">
        <w:rPr>
          <w:rFonts w:asciiTheme="majorHAnsi" w:eastAsia="Calibri" w:hAnsiTheme="majorHAnsi" w:cstheme="majorHAnsi"/>
          <w:sz w:val="16"/>
          <w:szCs w:val="16"/>
        </w:rPr>
        <w:t>Școala Republican</w:t>
      </w:r>
      <w:r>
        <w:rPr>
          <w:rFonts w:asciiTheme="majorHAnsi" w:eastAsia="Calibri" w:hAnsiTheme="majorHAnsi" w:cstheme="majorHAnsi"/>
          <w:sz w:val="16"/>
          <w:szCs w:val="16"/>
        </w:rPr>
        <w:t>ă</w:t>
      </w:r>
      <w:r w:rsidRPr="00437AB2">
        <w:rPr>
          <w:rFonts w:asciiTheme="majorHAnsi" w:eastAsia="Calibri" w:hAnsiTheme="majorHAnsi" w:cstheme="majorHAnsi"/>
          <w:sz w:val="16"/>
          <w:szCs w:val="16"/>
        </w:rPr>
        <w:t xml:space="preserve"> Specializat</w:t>
      </w:r>
      <w:r>
        <w:rPr>
          <w:rFonts w:asciiTheme="majorHAnsi" w:eastAsia="Calibri" w:hAnsiTheme="majorHAnsi" w:cstheme="majorHAnsi"/>
          <w:sz w:val="16"/>
          <w:szCs w:val="16"/>
        </w:rPr>
        <w:t>ă</w:t>
      </w:r>
      <w:r w:rsidRPr="00437AB2">
        <w:rPr>
          <w:rFonts w:asciiTheme="majorHAnsi" w:eastAsia="Calibri" w:hAnsiTheme="majorHAnsi" w:cstheme="majorHAnsi"/>
          <w:sz w:val="16"/>
          <w:szCs w:val="16"/>
        </w:rPr>
        <w:t xml:space="preserve"> de Hipism </w:t>
      </w:r>
      <w:r>
        <w:rPr>
          <w:rFonts w:asciiTheme="majorHAnsi" w:eastAsia="Calibri" w:hAnsiTheme="majorHAnsi" w:cstheme="majorHAnsi"/>
          <w:sz w:val="16"/>
          <w:szCs w:val="16"/>
        </w:rPr>
        <w:t>ș</w:t>
      </w:r>
      <w:r w:rsidRPr="00437AB2">
        <w:rPr>
          <w:rFonts w:asciiTheme="majorHAnsi" w:eastAsia="Calibri" w:hAnsiTheme="majorHAnsi" w:cstheme="majorHAnsi"/>
          <w:sz w:val="16"/>
          <w:szCs w:val="16"/>
        </w:rPr>
        <w:t>i Pentatlon Modern.</w:t>
      </w:r>
    </w:p>
  </w:footnote>
  <w:footnote w:id="6">
    <w:p w14:paraId="746B6650" w14:textId="7565F40F" w:rsidR="00A35504" w:rsidRPr="002F35AD" w:rsidRDefault="00A35504" w:rsidP="00A465CE">
      <w:pPr>
        <w:pStyle w:val="a5"/>
        <w:jc w:val="both"/>
        <w:rPr>
          <w:rFonts w:asciiTheme="majorHAnsi" w:hAnsiTheme="majorHAnsi" w:cstheme="majorHAnsi"/>
          <w:sz w:val="16"/>
        </w:rPr>
      </w:pPr>
      <w:r w:rsidRPr="002F35AD">
        <w:rPr>
          <w:rStyle w:val="a7"/>
          <w:rFonts w:asciiTheme="majorHAnsi" w:hAnsiTheme="majorHAnsi" w:cstheme="majorHAnsi"/>
          <w:sz w:val="16"/>
        </w:rPr>
        <w:footnoteRef/>
      </w:r>
      <w:r w:rsidRPr="002F35AD">
        <w:rPr>
          <w:rFonts w:asciiTheme="majorHAnsi" w:hAnsiTheme="majorHAnsi" w:cstheme="majorHAnsi"/>
          <w:sz w:val="16"/>
        </w:rPr>
        <w:t xml:space="preserve"> IP Universitate</w:t>
      </w:r>
      <w:r>
        <w:rPr>
          <w:rFonts w:asciiTheme="majorHAnsi" w:hAnsiTheme="majorHAnsi" w:cstheme="majorHAnsi"/>
          <w:sz w:val="16"/>
        </w:rPr>
        <w:t>a</w:t>
      </w:r>
      <w:r w:rsidRPr="002F35AD">
        <w:rPr>
          <w:rFonts w:asciiTheme="majorHAnsi" w:hAnsiTheme="majorHAnsi" w:cstheme="majorHAnsi"/>
          <w:sz w:val="16"/>
        </w:rPr>
        <w:t xml:space="preserve"> Tehnică a Moldovei –</w:t>
      </w:r>
      <w:r>
        <w:rPr>
          <w:rFonts w:asciiTheme="majorHAnsi" w:hAnsiTheme="majorHAnsi" w:cstheme="majorHAnsi"/>
          <w:sz w:val="16"/>
        </w:rPr>
        <w:t xml:space="preserve"> </w:t>
      </w:r>
      <w:r w:rsidRPr="002F35AD">
        <w:rPr>
          <w:rFonts w:asciiTheme="majorHAnsi" w:hAnsiTheme="majorHAnsi" w:cstheme="majorHAnsi"/>
          <w:sz w:val="16"/>
        </w:rPr>
        <w:t>1</w:t>
      </w:r>
      <w:r>
        <w:rPr>
          <w:rFonts w:asciiTheme="majorHAnsi" w:hAnsiTheme="majorHAnsi" w:cstheme="majorHAnsi"/>
          <w:sz w:val="16"/>
        </w:rPr>
        <w:t>.</w:t>
      </w:r>
      <w:r w:rsidRPr="002F35AD">
        <w:rPr>
          <w:rFonts w:asciiTheme="majorHAnsi" w:hAnsiTheme="majorHAnsi" w:cstheme="majorHAnsi"/>
          <w:sz w:val="16"/>
        </w:rPr>
        <w:t>875,5 mii lei</w:t>
      </w:r>
      <w:r>
        <w:rPr>
          <w:rFonts w:asciiTheme="majorHAnsi" w:hAnsiTheme="majorHAnsi" w:cstheme="majorHAnsi"/>
          <w:sz w:val="16"/>
        </w:rPr>
        <w:t xml:space="preserve"> și </w:t>
      </w:r>
      <w:r w:rsidR="0027785F">
        <w:rPr>
          <w:rFonts w:asciiTheme="majorHAnsi" w:hAnsiTheme="majorHAnsi" w:cstheme="majorHAnsi"/>
          <w:sz w:val="16"/>
        </w:rPr>
        <w:t>771,3</w:t>
      </w:r>
      <w:r>
        <w:rPr>
          <w:rFonts w:asciiTheme="majorHAnsi" w:hAnsiTheme="majorHAnsi" w:cstheme="majorHAnsi"/>
          <w:sz w:val="16"/>
        </w:rPr>
        <w:t xml:space="preserve"> mii lei</w:t>
      </w:r>
      <w:r w:rsidRPr="002F35AD">
        <w:rPr>
          <w:rFonts w:asciiTheme="majorHAnsi" w:hAnsiTheme="majorHAnsi" w:cstheme="majorHAnsi"/>
          <w:sz w:val="16"/>
        </w:rPr>
        <w:t>, IP Universitate</w:t>
      </w:r>
      <w:r>
        <w:rPr>
          <w:rFonts w:asciiTheme="majorHAnsi" w:hAnsiTheme="majorHAnsi" w:cstheme="majorHAnsi"/>
          <w:sz w:val="16"/>
        </w:rPr>
        <w:t>a</w:t>
      </w:r>
      <w:r w:rsidRPr="002F35AD">
        <w:rPr>
          <w:rFonts w:asciiTheme="majorHAnsi" w:hAnsiTheme="majorHAnsi" w:cstheme="majorHAnsi"/>
          <w:sz w:val="16"/>
        </w:rPr>
        <w:t xml:space="preserve"> de Stat din Moldova – 1</w:t>
      </w:r>
      <w:r>
        <w:rPr>
          <w:rFonts w:asciiTheme="majorHAnsi" w:hAnsiTheme="majorHAnsi" w:cstheme="majorHAnsi"/>
          <w:sz w:val="16"/>
        </w:rPr>
        <w:t>.</w:t>
      </w:r>
      <w:r w:rsidRPr="002F35AD">
        <w:rPr>
          <w:rFonts w:asciiTheme="majorHAnsi" w:hAnsiTheme="majorHAnsi" w:cstheme="majorHAnsi"/>
          <w:sz w:val="16"/>
        </w:rPr>
        <w:t>056,3 mii lei</w:t>
      </w:r>
      <w:r w:rsidRPr="002F7FD5">
        <w:rPr>
          <w:rFonts w:asciiTheme="majorHAnsi" w:hAnsiTheme="majorHAnsi" w:cstheme="majorHAnsi"/>
          <w:sz w:val="16"/>
        </w:rPr>
        <w:t xml:space="preserve"> </w:t>
      </w:r>
      <w:r>
        <w:rPr>
          <w:rFonts w:asciiTheme="majorHAnsi" w:hAnsiTheme="majorHAnsi" w:cstheme="majorHAnsi"/>
          <w:sz w:val="16"/>
        </w:rPr>
        <w:t>și 641,5 mii lei</w:t>
      </w:r>
      <w:r w:rsidRPr="002F35AD">
        <w:rPr>
          <w:rFonts w:asciiTheme="majorHAnsi" w:hAnsiTheme="majorHAnsi" w:cstheme="majorHAnsi"/>
          <w:sz w:val="16"/>
        </w:rPr>
        <w:t xml:space="preserve">, Academia de Studii Economice – </w:t>
      </w:r>
      <w:r w:rsidR="0027785F">
        <w:rPr>
          <w:rFonts w:asciiTheme="majorHAnsi" w:hAnsiTheme="majorHAnsi" w:cstheme="majorHAnsi"/>
          <w:sz w:val="16"/>
        </w:rPr>
        <w:t>717,8</w:t>
      </w:r>
      <w:r w:rsidRPr="002F35AD">
        <w:rPr>
          <w:rFonts w:asciiTheme="majorHAnsi" w:hAnsiTheme="majorHAnsi" w:cstheme="majorHAnsi"/>
          <w:sz w:val="16"/>
        </w:rPr>
        <w:t xml:space="preserve"> mii lei</w:t>
      </w:r>
      <w:r>
        <w:rPr>
          <w:rFonts w:asciiTheme="majorHAnsi" w:hAnsiTheme="majorHAnsi" w:cstheme="majorHAnsi"/>
          <w:sz w:val="16"/>
        </w:rPr>
        <w:t xml:space="preserve"> și </w:t>
      </w:r>
      <w:r w:rsidR="0027785F">
        <w:rPr>
          <w:rFonts w:asciiTheme="majorHAnsi" w:hAnsiTheme="majorHAnsi" w:cstheme="majorHAnsi"/>
          <w:sz w:val="16"/>
        </w:rPr>
        <w:t>352,3</w:t>
      </w:r>
      <w:r>
        <w:rPr>
          <w:rFonts w:asciiTheme="majorHAnsi" w:hAnsiTheme="majorHAnsi" w:cstheme="majorHAnsi"/>
          <w:sz w:val="16"/>
        </w:rPr>
        <w:t xml:space="preserve"> mii lei</w:t>
      </w:r>
      <w:r w:rsidRPr="002F35AD">
        <w:rPr>
          <w:rFonts w:asciiTheme="majorHAnsi" w:hAnsiTheme="majorHAnsi" w:cstheme="majorHAnsi"/>
          <w:sz w:val="16"/>
        </w:rPr>
        <w:t>, IP Universitate</w:t>
      </w:r>
      <w:r>
        <w:rPr>
          <w:rFonts w:asciiTheme="majorHAnsi" w:hAnsiTheme="majorHAnsi" w:cstheme="majorHAnsi"/>
          <w:sz w:val="16"/>
        </w:rPr>
        <w:t>a</w:t>
      </w:r>
      <w:r w:rsidRPr="002F35AD">
        <w:rPr>
          <w:rFonts w:asciiTheme="majorHAnsi" w:hAnsiTheme="majorHAnsi" w:cstheme="majorHAnsi"/>
          <w:sz w:val="16"/>
        </w:rPr>
        <w:t xml:space="preserve"> de St</w:t>
      </w:r>
      <w:r>
        <w:rPr>
          <w:rFonts w:asciiTheme="majorHAnsi" w:hAnsiTheme="majorHAnsi" w:cstheme="majorHAnsi"/>
          <w:sz w:val="16"/>
        </w:rPr>
        <w:t>at din Tiraspol – 414,1 mii lei și 140,5 mii lei</w:t>
      </w:r>
      <w:r w:rsidRPr="002F35AD">
        <w:rPr>
          <w:rFonts w:asciiTheme="majorHAnsi" w:hAnsiTheme="majorHAnsi" w:cstheme="majorHAnsi"/>
          <w:sz w:val="16"/>
        </w:rPr>
        <w:t>, IP Universitate</w:t>
      </w:r>
      <w:r>
        <w:rPr>
          <w:rFonts w:asciiTheme="majorHAnsi" w:hAnsiTheme="majorHAnsi" w:cstheme="majorHAnsi"/>
          <w:sz w:val="16"/>
        </w:rPr>
        <w:t>a</w:t>
      </w:r>
      <w:r w:rsidRPr="002F35AD">
        <w:rPr>
          <w:rFonts w:asciiTheme="majorHAnsi" w:hAnsiTheme="majorHAnsi" w:cstheme="majorHAnsi"/>
          <w:sz w:val="16"/>
        </w:rPr>
        <w:t xml:space="preserve"> de Stat </w:t>
      </w:r>
      <w:r>
        <w:rPr>
          <w:rFonts w:asciiTheme="majorHAnsi" w:hAnsiTheme="majorHAnsi" w:cstheme="majorHAnsi"/>
          <w:sz w:val="16"/>
        </w:rPr>
        <w:t xml:space="preserve">de </w:t>
      </w:r>
      <w:r w:rsidRPr="002F35AD">
        <w:rPr>
          <w:rFonts w:asciiTheme="majorHAnsi" w:hAnsiTheme="majorHAnsi" w:cstheme="majorHAnsi"/>
          <w:sz w:val="16"/>
        </w:rPr>
        <w:t>Educație Fizică și Sport – 282,7 mii lei</w:t>
      </w:r>
      <w:r>
        <w:rPr>
          <w:rFonts w:asciiTheme="majorHAnsi" w:hAnsiTheme="majorHAnsi" w:cstheme="majorHAnsi"/>
          <w:sz w:val="16"/>
        </w:rPr>
        <w:t xml:space="preserve"> și 340,0 mii lei.</w:t>
      </w:r>
    </w:p>
  </w:footnote>
  <w:footnote w:id="7">
    <w:p w14:paraId="1A9FC686" w14:textId="709831C5" w:rsidR="00A35504" w:rsidRPr="00437AB2" w:rsidRDefault="00A35504" w:rsidP="00A465CE">
      <w:pPr>
        <w:pStyle w:val="a5"/>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APL s. Cobani, Glodeni: școala – 2</w:t>
      </w:r>
      <w:r>
        <w:rPr>
          <w:rFonts w:asciiTheme="majorHAnsi" w:hAnsiTheme="majorHAnsi" w:cstheme="majorHAnsi"/>
          <w:sz w:val="16"/>
          <w:szCs w:val="16"/>
        </w:rPr>
        <w:t>.</w:t>
      </w:r>
      <w:r w:rsidRPr="00437AB2">
        <w:rPr>
          <w:rFonts w:asciiTheme="majorHAnsi" w:hAnsiTheme="majorHAnsi" w:cstheme="majorHAnsi"/>
          <w:sz w:val="16"/>
          <w:szCs w:val="16"/>
        </w:rPr>
        <w:t>145,0 mii lei; APL or. Strășeni, grădinița de copii – 1</w:t>
      </w:r>
      <w:r>
        <w:rPr>
          <w:rFonts w:asciiTheme="majorHAnsi" w:hAnsiTheme="majorHAnsi" w:cstheme="majorHAnsi"/>
          <w:sz w:val="16"/>
          <w:szCs w:val="16"/>
        </w:rPr>
        <w:t>.</w:t>
      </w:r>
      <w:r w:rsidRPr="00437AB2">
        <w:rPr>
          <w:rFonts w:asciiTheme="majorHAnsi" w:hAnsiTheme="majorHAnsi" w:cstheme="majorHAnsi"/>
          <w:sz w:val="16"/>
          <w:szCs w:val="16"/>
        </w:rPr>
        <w:t>600,7 mii lei; APL s. Răcești, Șoldănești – 2</w:t>
      </w:r>
      <w:r>
        <w:rPr>
          <w:rFonts w:asciiTheme="majorHAnsi" w:hAnsiTheme="majorHAnsi" w:cstheme="majorHAnsi"/>
          <w:sz w:val="16"/>
          <w:szCs w:val="16"/>
        </w:rPr>
        <w:t>.</w:t>
      </w:r>
      <w:r w:rsidRPr="00437AB2">
        <w:rPr>
          <w:rFonts w:asciiTheme="majorHAnsi" w:hAnsiTheme="majorHAnsi" w:cstheme="majorHAnsi"/>
          <w:sz w:val="16"/>
          <w:szCs w:val="16"/>
        </w:rPr>
        <w:t>246,2 mii lei; APL s. Ruseștii Noi, Ialoveni – 1</w:t>
      </w:r>
      <w:r>
        <w:rPr>
          <w:rFonts w:asciiTheme="majorHAnsi" w:hAnsiTheme="majorHAnsi" w:cstheme="majorHAnsi"/>
          <w:sz w:val="16"/>
          <w:szCs w:val="16"/>
        </w:rPr>
        <w:t>.</w:t>
      </w:r>
      <w:r w:rsidRPr="00437AB2">
        <w:rPr>
          <w:rFonts w:asciiTheme="majorHAnsi" w:hAnsiTheme="majorHAnsi" w:cstheme="majorHAnsi"/>
          <w:sz w:val="16"/>
          <w:szCs w:val="16"/>
        </w:rPr>
        <w:t>808,9 mii lei; APL s. Andrușul de Sus, Cahul – 484,5 mii lei; APL s. Cerlina, Soroca – 254,8 mii lei; APL s. Delacău, Anenii Noi – 5</w:t>
      </w:r>
      <w:r>
        <w:rPr>
          <w:rFonts w:asciiTheme="majorHAnsi" w:hAnsiTheme="majorHAnsi" w:cstheme="majorHAnsi"/>
          <w:sz w:val="16"/>
          <w:szCs w:val="16"/>
        </w:rPr>
        <w:t>.</w:t>
      </w:r>
      <w:r w:rsidRPr="00437AB2">
        <w:rPr>
          <w:rFonts w:asciiTheme="majorHAnsi" w:hAnsiTheme="majorHAnsi" w:cstheme="majorHAnsi"/>
          <w:sz w:val="16"/>
          <w:szCs w:val="16"/>
        </w:rPr>
        <w:t>944,7 mii lei.</w:t>
      </w:r>
    </w:p>
  </w:footnote>
  <w:footnote w:id="8">
    <w:p w14:paraId="7E8FCA88" w14:textId="41152F10" w:rsidR="00A35504" w:rsidRPr="00437AB2" w:rsidRDefault="00A35504" w:rsidP="00A465CE">
      <w:pPr>
        <w:pStyle w:val="a5"/>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APL or. Râșcani: grădinița de copii – 3</w:t>
      </w:r>
      <w:r>
        <w:rPr>
          <w:rFonts w:asciiTheme="majorHAnsi" w:hAnsiTheme="majorHAnsi" w:cstheme="majorHAnsi"/>
          <w:sz w:val="16"/>
          <w:szCs w:val="16"/>
        </w:rPr>
        <w:t>.</w:t>
      </w:r>
      <w:r w:rsidRPr="00437AB2">
        <w:rPr>
          <w:rFonts w:asciiTheme="majorHAnsi" w:hAnsiTheme="majorHAnsi" w:cstheme="majorHAnsi"/>
          <w:sz w:val="16"/>
          <w:szCs w:val="16"/>
        </w:rPr>
        <w:t>355,4 mii lei, școala – 6</w:t>
      </w:r>
      <w:r>
        <w:rPr>
          <w:rFonts w:asciiTheme="majorHAnsi" w:hAnsiTheme="majorHAnsi" w:cstheme="majorHAnsi"/>
          <w:sz w:val="16"/>
          <w:szCs w:val="16"/>
        </w:rPr>
        <w:t>.</w:t>
      </w:r>
      <w:r w:rsidRPr="00437AB2">
        <w:rPr>
          <w:rFonts w:asciiTheme="majorHAnsi" w:hAnsiTheme="majorHAnsi" w:cstheme="majorHAnsi"/>
          <w:sz w:val="16"/>
          <w:szCs w:val="16"/>
        </w:rPr>
        <w:t>493,8 mii lei; APL Sireți, r-nul Strășeni: școala – 5</w:t>
      </w:r>
      <w:r>
        <w:rPr>
          <w:rFonts w:asciiTheme="majorHAnsi" w:hAnsiTheme="majorHAnsi" w:cstheme="majorHAnsi"/>
          <w:sz w:val="16"/>
          <w:szCs w:val="16"/>
        </w:rPr>
        <w:t>.</w:t>
      </w:r>
      <w:r w:rsidRPr="00437AB2">
        <w:rPr>
          <w:rFonts w:asciiTheme="majorHAnsi" w:hAnsiTheme="majorHAnsi" w:cstheme="majorHAnsi"/>
          <w:sz w:val="16"/>
          <w:szCs w:val="16"/>
        </w:rPr>
        <w:t>622,0 mii lei.</w:t>
      </w:r>
    </w:p>
  </w:footnote>
  <w:footnote w:id="9">
    <w:p w14:paraId="3A5C0240" w14:textId="4E46249A" w:rsidR="00A35504" w:rsidRPr="00FD4DB3" w:rsidRDefault="00A35504" w:rsidP="00F42E6E">
      <w:pPr>
        <w:pStyle w:val="a5"/>
        <w:jc w:val="both"/>
        <w:rPr>
          <w:rFonts w:asciiTheme="majorHAnsi" w:hAnsiTheme="majorHAnsi" w:cstheme="majorHAnsi"/>
          <w:sz w:val="16"/>
        </w:rPr>
      </w:pPr>
      <w:r w:rsidRPr="00830B52">
        <w:rPr>
          <w:rStyle w:val="a7"/>
          <w:rFonts w:asciiTheme="majorHAnsi" w:hAnsiTheme="majorHAnsi" w:cstheme="majorHAnsi"/>
          <w:sz w:val="16"/>
        </w:rPr>
        <w:footnoteRef/>
      </w:r>
      <w:r w:rsidRPr="00FD4DB3">
        <w:rPr>
          <w:rFonts w:asciiTheme="majorHAnsi" w:hAnsiTheme="majorHAnsi" w:cstheme="majorHAnsi"/>
          <w:sz w:val="16"/>
        </w:rPr>
        <w:t xml:space="preserve"> </w:t>
      </w:r>
      <w:r w:rsidR="00830B52">
        <w:rPr>
          <w:rFonts w:asciiTheme="majorHAnsi" w:hAnsiTheme="majorHAnsi" w:cstheme="majorHAnsi"/>
          <w:sz w:val="16"/>
        </w:rPr>
        <w:t xml:space="preserve"> Centru de Excelență și Economie în Finanțe – </w:t>
      </w:r>
      <w:r w:rsidR="00EB508B">
        <w:rPr>
          <w:rFonts w:asciiTheme="majorHAnsi" w:hAnsiTheme="majorHAnsi" w:cstheme="majorHAnsi"/>
          <w:sz w:val="16"/>
        </w:rPr>
        <w:t>32.815,4</w:t>
      </w:r>
      <w:r w:rsidR="00830B52">
        <w:rPr>
          <w:rFonts w:asciiTheme="majorHAnsi" w:hAnsiTheme="majorHAnsi" w:cstheme="majorHAnsi"/>
          <w:sz w:val="16"/>
        </w:rPr>
        <w:t xml:space="preserve"> mii lei; Centru de Excelență Energetică și Electronică – </w:t>
      </w:r>
      <w:r w:rsidR="00EB508B">
        <w:rPr>
          <w:rFonts w:asciiTheme="majorHAnsi" w:hAnsiTheme="majorHAnsi" w:cstheme="majorHAnsi"/>
          <w:sz w:val="16"/>
        </w:rPr>
        <w:t>32.578,2</w:t>
      </w:r>
      <w:r w:rsidR="00830B52">
        <w:rPr>
          <w:rFonts w:asciiTheme="majorHAnsi" w:hAnsiTheme="majorHAnsi" w:cstheme="majorHAnsi"/>
          <w:sz w:val="16"/>
        </w:rPr>
        <w:t xml:space="preserve"> mii lei.</w:t>
      </w:r>
    </w:p>
  </w:footnote>
  <w:footnote w:id="10">
    <w:p w14:paraId="32CE94C3" w14:textId="0B68B401" w:rsidR="00A35504" w:rsidRPr="00437AB2" w:rsidRDefault="00A35504" w:rsidP="00A32611">
      <w:pPr>
        <w:pStyle w:val="a5"/>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Instituții de învățăm</w:t>
      </w:r>
      <w:r>
        <w:rPr>
          <w:rFonts w:asciiTheme="majorHAnsi" w:hAnsiTheme="majorHAnsi" w:cstheme="majorHAnsi"/>
          <w:sz w:val="16"/>
          <w:szCs w:val="16"/>
        </w:rPr>
        <w:t>â</w:t>
      </w:r>
      <w:r w:rsidRPr="00437AB2">
        <w:rPr>
          <w:rFonts w:asciiTheme="majorHAnsi" w:hAnsiTheme="majorHAnsi" w:cstheme="majorHAnsi"/>
          <w:sz w:val="16"/>
          <w:szCs w:val="16"/>
        </w:rPr>
        <w:t>nt: superior – 8</w:t>
      </w:r>
      <w:r>
        <w:rPr>
          <w:rFonts w:asciiTheme="majorHAnsi" w:hAnsiTheme="majorHAnsi" w:cstheme="majorHAnsi"/>
          <w:sz w:val="16"/>
          <w:szCs w:val="16"/>
        </w:rPr>
        <w:t>.</w:t>
      </w:r>
      <w:r w:rsidRPr="00437AB2">
        <w:rPr>
          <w:rFonts w:asciiTheme="majorHAnsi" w:hAnsiTheme="majorHAnsi" w:cstheme="majorHAnsi"/>
          <w:sz w:val="16"/>
          <w:szCs w:val="16"/>
        </w:rPr>
        <w:t>344,8 mii lei, profesional tehnic secundar – 10</w:t>
      </w:r>
      <w:r>
        <w:rPr>
          <w:rFonts w:asciiTheme="majorHAnsi" w:hAnsiTheme="majorHAnsi" w:cstheme="majorHAnsi"/>
          <w:sz w:val="16"/>
          <w:szCs w:val="16"/>
        </w:rPr>
        <w:t>.</w:t>
      </w:r>
      <w:r w:rsidRPr="00437AB2">
        <w:rPr>
          <w:rFonts w:asciiTheme="majorHAnsi" w:hAnsiTheme="majorHAnsi" w:cstheme="majorHAnsi"/>
          <w:sz w:val="16"/>
          <w:szCs w:val="16"/>
        </w:rPr>
        <w:t>432</w:t>
      </w:r>
      <w:r>
        <w:rPr>
          <w:rFonts w:asciiTheme="majorHAnsi" w:hAnsiTheme="majorHAnsi" w:cstheme="majorHAnsi"/>
          <w:sz w:val="16"/>
          <w:szCs w:val="16"/>
        </w:rPr>
        <w:t>,0</w:t>
      </w:r>
      <w:r w:rsidRPr="00437AB2">
        <w:rPr>
          <w:rFonts w:asciiTheme="majorHAnsi" w:hAnsiTheme="majorHAnsi" w:cstheme="majorHAnsi"/>
          <w:sz w:val="16"/>
          <w:szCs w:val="16"/>
        </w:rPr>
        <w:t xml:space="preserve"> mii lei, pro</w:t>
      </w:r>
      <w:r>
        <w:rPr>
          <w:rFonts w:asciiTheme="majorHAnsi" w:hAnsiTheme="majorHAnsi" w:cstheme="majorHAnsi"/>
          <w:sz w:val="16"/>
          <w:szCs w:val="16"/>
        </w:rPr>
        <w:t>fesional tehnic post secundar–</w:t>
      </w:r>
      <w:r w:rsidRPr="00437AB2">
        <w:rPr>
          <w:rFonts w:asciiTheme="majorHAnsi" w:hAnsiTheme="majorHAnsi" w:cstheme="majorHAnsi"/>
          <w:sz w:val="16"/>
          <w:szCs w:val="16"/>
        </w:rPr>
        <w:t>13</w:t>
      </w:r>
      <w:r>
        <w:rPr>
          <w:rFonts w:asciiTheme="majorHAnsi" w:hAnsiTheme="majorHAnsi" w:cstheme="majorHAnsi"/>
          <w:sz w:val="16"/>
          <w:szCs w:val="16"/>
        </w:rPr>
        <w:t>.</w:t>
      </w:r>
      <w:r w:rsidRPr="00437AB2">
        <w:rPr>
          <w:rFonts w:asciiTheme="majorHAnsi" w:hAnsiTheme="majorHAnsi" w:cstheme="majorHAnsi"/>
          <w:sz w:val="16"/>
          <w:szCs w:val="16"/>
        </w:rPr>
        <w:t xml:space="preserve">113,9 mii lei. </w:t>
      </w:r>
    </w:p>
  </w:footnote>
  <w:footnote w:id="11">
    <w:p w14:paraId="56CCCA58" w14:textId="63444881" w:rsidR="00A35504" w:rsidRPr="00437AB2" w:rsidRDefault="00A35504" w:rsidP="00E1242D">
      <w:pPr>
        <w:pStyle w:val="a5"/>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Instituții de învățăm</w:t>
      </w:r>
      <w:r>
        <w:rPr>
          <w:rFonts w:asciiTheme="majorHAnsi" w:hAnsiTheme="majorHAnsi" w:cstheme="majorHAnsi"/>
          <w:sz w:val="16"/>
          <w:szCs w:val="16"/>
        </w:rPr>
        <w:t>â</w:t>
      </w:r>
      <w:r w:rsidRPr="00437AB2">
        <w:rPr>
          <w:rFonts w:asciiTheme="majorHAnsi" w:hAnsiTheme="majorHAnsi" w:cstheme="majorHAnsi"/>
          <w:sz w:val="16"/>
          <w:szCs w:val="16"/>
        </w:rPr>
        <w:t>nt profesional tehnic: secundar – 5</w:t>
      </w:r>
      <w:r>
        <w:rPr>
          <w:rFonts w:asciiTheme="majorHAnsi" w:hAnsiTheme="majorHAnsi" w:cstheme="majorHAnsi"/>
          <w:sz w:val="16"/>
          <w:szCs w:val="16"/>
        </w:rPr>
        <w:t>.</w:t>
      </w:r>
      <w:r w:rsidRPr="00437AB2">
        <w:rPr>
          <w:rFonts w:asciiTheme="majorHAnsi" w:hAnsiTheme="majorHAnsi" w:cstheme="majorHAnsi"/>
          <w:sz w:val="16"/>
          <w:szCs w:val="16"/>
        </w:rPr>
        <w:t xml:space="preserve">160,0 mii </w:t>
      </w:r>
      <w:r>
        <w:rPr>
          <w:rFonts w:asciiTheme="majorHAnsi" w:hAnsiTheme="majorHAnsi" w:cstheme="majorHAnsi"/>
          <w:sz w:val="16"/>
          <w:szCs w:val="16"/>
        </w:rPr>
        <w:t>l</w:t>
      </w:r>
      <w:r w:rsidRPr="00437AB2">
        <w:rPr>
          <w:rFonts w:asciiTheme="majorHAnsi" w:hAnsiTheme="majorHAnsi" w:cstheme="majorHAnsi"/>
          <w:sz w:val="16"/>
          <w:szCs w:val="16"/>
        </w:rPr>
        <w:t>ei</w:t>
      </w:r>
      <w:r>
        <w:rPr>
          <w:rFonts w:asciiTheme="majorHAnsi" w:hAnsiTheme="majorHAnsi" w:cstheme="majorHAnsi"/>
          <w:sz w:val="16"/>
          <w:szCs w:val="16"/>
        </w:rPr>
        <w:t>,</w:t>
      </w:r>
      <w:r w:rsidRPr="00437AB2">
        <w:rPr>
          <w:rFonts w:asciiTheme="majorHAnsi" w:hAnsiTheme="majorHAnsi" w:cstheme="majorHAnsi"/>
          <w:sz w:val="16"/>
          <w:szCs w:val="16"/>
        </w:rPr>
        <w:t xml:space="preserve"> și post secundar – 6</w:t>
      </w:r>
      <w:r>
        <w:rPr>
          <w:rFonts w:asciiTheme="majorHAnsi" w:hAnsiTheme="majorHAnsi" w:cstheme="majorHAnsi"/>
          <w:sz w:val="16"/>
          <w:szCs w:val="16"/>
        </w:rPr>
        <w:t>.</w:t>
      </w:r>
      <w:r w:rsidRPr="00437AB2">
        <w:rPr>
          <w:rFonts w:asciiTheme="majorHAnsi" w:hAnsiTheme="majorHAnsi" w:cstheme="majorHAnsi"/>
          <w:sz w:val="16"/>
          <w:szCs w:val="16"/>
        </w:rPr>
        <w:t>966</w:t>
      </w:r>
      <w:r>
        <w:rPr>
          <w:rFonts w:asciiTheme="majorHAnsi" w:hAnsiTheme="majorHAnsi" w:cstheme="majorHAnsi"/>
          <w:sz w:val="16"/>
          <w:szCs w:val="16"/>
        </w:rPr>
        <w:t>,0</w:t>
      </w:r>
      <w:r w:rsidRPr="00437AB2">
        <w:rPr>
          <w:rFonts w:asciiTheme="majorHAnsi" w:hAnsiTheme="majorHAnsi" w:cstheme="majorHAnsi"/>
          <w:sz w:val="16"/>
          <w:szCs w:val="16"/>
        </w:rPr>
        <w:t xml:space="preserve"> mii lei.</w:t>
      </w:r>
    </w:p>
  </w:footnote>
  <w:footnote w:id="12">
    <w:p w14:paraId="02FE8458" w14:textId="1194C086" w:rsidR="00E45D29" w:rsidRPr="00F42E6E" w:rsidRDefault="00E45D29" w:rsidP="00F42E6E">
      <w:pPr>
        <w:pStyle w:val="a5"/>
        <w:jc w:val="both"/>
        <w:rPr>
          <w:rFonts w:asciiTheme="majorHAnsi" w:hAnsiTheme="majorHAnsi" w:cstheme="majorHAnsi"/>
          <w:sz w:val="16"/>
        </w:rPr>
      </w:pPr>
      <w:r w:rsidRPr="00F42E6E">
        <w:rPr>
          <w:rStyle w:val="a7"/>
          <w:rFonts w:asciiTheme="majorHAnsi" w:hAnsiTheme="majorHAnsi" w:cstheme="majorHAnsi"/>
          <w:sz w:val="16"/>
        </w:rPr>
        <w:footnoteRef/>
      </w:r>
      <w:r w:rsidRPr="00F42E6E">
        <w:rPr>
          <w:rFonts w:asciiTheme="majorHAnsi" w:hAnsiTheme="majorHAnsi" w:cstheme="majorHAnsi"/>
          <w:sz w:val="16"/>
        </w:rPr>
        <w:t xml:space="preserve"> Regulamentul privind finanțarea în bază de cost per elev a instituțiilor publice de învățământ profesional tehnic, aprobat prin HG nr.1077 din 23.09.2016.</w:t>
      </w:r>
    </w:p>
  </w:footnote>
  <w:footnote w:id="13">
    <w:p w14:paraId="13BB62ED" w14:textId="09C8FECA" w:rsidR="00A35504" w:rsidRPr="00A75ED2" w:rsidRDefault="00A35504" w:rsidP="00E1242D">
      <w:pPr>
        <w:pStyle w:val="a5"/>
        <w:jc w:val="both"/>
        <w:rPr>
          <w:rFonts w:asciiTheme="majorHAnsi" w:hAnsiTheme="majorHAnsi" w:cstheme="majorHAnsi"/>
          <w:sz w:val="16"/>
          <w:szCs w:val="16"/>
        </w:rPr>
      </w:pPr>
      <w:r w:rsidRPr="00A75ED2">
        <w:rPr>
          <w:rStyle w:val="a7"/>
          <w:rFonts w:asciiTheme="majorHAnsi" w:hAnsiTheme="majorHAnsi" w:cstheme="majorHAnsi"/>
          <w:sz w:val="16"/>
          <w:szCs w:val="16"/>
        </w:rPr>
        <w:footnoteRef/>
      </w:r>
      <w:r w:rsidRPr="00A75ED2">
        <w:rPr>
          <w:rFonts w:asciiTheme="majorHAnsi" w:hAnsiTheme="majorHAnsi" w:cstheme="majorHAnsi"/>
          <w:sz w:val="16"/>
          <w:szCs w:val="16"/>
        </w:rPr>
        <w:t xml:space="preserve"> </w:t>
      </w:r>
      <w:r>
        <w:rPr>
          <w:rFonts w:asciiTheme="majorHAnsi" w:hAnsiTheme="majorHAnsi" w:cstheme="majorHAnsi"/>
          <w:color w:val="000000"/>
          <w:sz w:val="16"/>
          <w:szCs w:val="16"/>
          <w:shd w:val="clear" w:color="auto" w:fill="FFFFFF"/>
        </w:rPr>
        <w:t>D</w:t>
      </w:r>
      <w:r w:rsidRPr="00A75ED2">
        <w:rPr>
          <w:rFonts w:asciiTheme="majorHAnsi" w:hAnsiTheme="majorHAnsi" w:cstheme="majorHAnsi"/>
          <w:color w:val="000000"/>
          <w:sz w:val="16"/>
          <w:szCs w:val="16"/>
          <w:shd w:val="clear" w:color="auto" w:fill="FFFFFF"/>
        </w:rPr>
        <w:t>iminuarea cu </w:t>
      </w:r>
      <w:r w:rsidRPr="00A75ED2">
        <w:rPr>
          <w:rStyle w:val="af7"/>
          <w:rFonts w:asciiTheme="majorHAnsi" w:hAnsiTheme="majorHAnsi" w:cstheme="majorHAnsi"/>
          <w:i w:val="0"/>
          <w:color w:val="000000"/>
          <w:sz w:val="16"/>
          <w:szCs w:val="16"/>
          <w:shd w:val="clear" w:color="auto" w:fill="FFFFFF"/>
        </w:rPr>
        <w:t>1,9 mil. lei ca urmare a nereflectării calculelor plăților de folosință neautorizată a proprietății în anii 2014 -2021</w:t>
      </w:r>
      <w:r w:rsidRPr="00A75ED2">
        <w:rPr>
          <w:rStyle w:val="af7"/>
          <w:rFonts w:asciiTheme="majorHAnsi" w:hAnsiTheme="majorHAnsi" w:cstheme="majorHAnsi"/>
          <w:color w:val="000000"/>
          <w:sz w:val="16"/>
          <w:szCs w:val="16"/>
          <w:shd w:val="clear" w:color="auto" w:fill="FFFFFF"/>
        </w:rPr>
        <w:t> </w:t>
      </w:r>
      <w:r w:rsidRPr="00A75ED2">
        <w:rPr>
          <w:rFonts w:asciiTheme="majorHAnsi" w:hAnsiTheme="majorHAnsi" w:cstheme="majorHAnsi"/>
          <w:color w:val="000000"/>
          <w:sz w:val="16"/>
          <w:szCs w:val="16"/>
          <w:shd w:val="clear" w:color="auto" w:fill="FFFFFF"/>
        </w:rPr>
        <w:t xml:space="preserve">(din care 0,13 mil.lei în 4 luni </w:t>
      </w:r>
      <w:r>
        <w:rPr>
          <w:rFonts w:asciiTheme="majorHAnsi" w:hAnsiTheme="majorHAnsi" w:cstheme="majorHAnsi"/>
          <w:color w:val="000000"/>
          <w:sz w:val="16"/>
          <w:szCs w:val="16"/>
          <w:shd w:val="clear" w:color="auto" w:fill="FFFFFF"/>
        </w:rPr>
        <w:t xml:space="preserve">ale anului </w:t>
      </w:r>
      <w:r w:rsidRPr="00A75ED2">
        <w:rPr>
          <w:rFonts w:asciiTheme="majorHAnsi" w:hAnsiTheme="majorHAnsi" w:cstheme="majorHAnsi"/>
          <w:color w:val="000000"/>
          <w:sz w:val="16"/>
          <w:szCs w:val="16"/>
          <w:shd w:val="clear" w:color="auto" w:fill="FFFFFF"/>
        </w:rPr>
        <w:t>2021) și neachitării de </w:t>
      </w:r>
      <w:r w:rsidR="00101320">
        <w:rPr>
          <w:rStyle w:val="af7"/>
          <w:rFonts w:asciiTheme="majorHAnsi" w:hAnsiTheme="majorHAnsi" w:cstheme="majorHAnsi"/>
          <w:i w:val="0"/>
          <w:color w:val="000000"/>
          <w:sz w:val="16"/>
          <w:szCs w:val="16"/>
          <w:shd w:val="clear" w:color="auto" w:fill="FFFFFF"/>
        </w:rPr>
        <w:t>c</w:t>
      </w:r>
      <w:r w:rsidRPr="00A75ED2">
        <w:rPr>
          <w:rStyle w:val="af7"/>
          <w:rFonts w:asciiTheme="majorHAnsi" w:hAnsiTheme="majorHAnsi" w:cstheme="majorHAnsi"/>
          <w:i w:val="0"/>
          <w:color w:val="000000"/>
          <w:sz w:val="16"/>
          <w:szCs w:val="16"/>
          <w:shd w:val="clear" w:color="auto" w:fill="FFFFFF"/>
        </w:rPr>
        <w:t xml:space="preserve">ompanii prestatoare de servicii de rețele publice de comunicații electronice </w:t>
      </w:r>
      <w:r>
        <w:rPr>
          <w:rStyle w:val="af7"/>
          <w:rFonts w:asciiTheme="majorHAnsi" w:hAnsiTheme="majorHAnsi" w:cstheme="majorHAnsi"/>
          <w:i w:val="0"/>
          <w:color w:val="000000"/>
          <w:sz w:val="16"/>
          <w:szCs w:val="16"/>
          <w:shd w:val="clear" w:color="auto" w:fill="FFFFFF"/>
        </w:rPr>
        <w:t>–</w:t>
      </w:r>
      <w:r w:rsidRPr="00A75ED2">
        <w:rPr>
          <w:rStyle w:val="af7"/>
          <w:rFonts w:asciiTheme="majorHAnsi" w:hAnsiTheme="majorHAnsi" w:cstheme="majorHAnsi"/>
          <w:i w:val="0"/>
          <w:color w:val="000000"/>
          <w:sz w:val="16"/>
          <w:szCs w:val="16"/>
          <w:shd w:val="clear" w:color="auto" w:fill="FFFFFF"/>
        </w:rPr>
        <w:t xml:space="preserve"> 0,45 mil. lei</w:t>
      </w:r>
      <w:r w:rsidRPr="00A75ED2">
        <w:rPr>
          <w:rFonts w:asciiTheme="majorHAnsi" w:hAnsiTheme="majorHAnsi" w:cstheme="majorHAnsi"/>
          <w:color w:val="000000"/>
          <w:sz w:val="16"/>
          <w:szCs w:val="16"/>
          <w:shd w:val="clear" w:color="auto" w:fill="FFFFFF"/>
        </w:rPr>
        <w:t xml:space="preserve">: Institutul de </w:t>
      </w:r>
      <w:r w:rsidRPr="00F9434B">
        <w:rPr>
          <w:rFonts w:asciiTheme="majorHAnsi" w:hAnsiTheme="majorHAnsi" w:cstheme="majorHAnsi"/>
          <w:color w:val="000000"/>
          <w:sz w:val="16"/>
          <w:szCs w:val="16"/>
          <w:shd w:val="clear" w:color="auto" w:fill="FFFFFF"/>
        </w:rPr>
        <w:t>Științe</w:t>
      </w:r>
      <w:r w:rsidRPr="00A75ED2">
        <w:rPr>
          <w:rFonts w:asciiTheme="majorHAnsi" w:hAnsiTheme="majorHAnsi" w:cstheme="majorHAnsi"/>
          <w:color w:val="000000"/>
          <w:sz w:val="16"/>
          <w:szCs w:val="16"/>
          <w:shd w:val="clear" w:color="auto" w:fill="FFFFFF"/>
        </w:rPr>
        <w:t xml:space="preserve"> ale </w:t>
      </w:r>
      <w:r w:rsidRPr="00F9434B">
        <w:rPr>
          <w:rFonts w:asciiTheme="majorHAnsi" w:hAnsiTheme="majorHAnsi" w:cstheme="majorHAnsi"/>
          <w:color w:val="000000"/>
          <w:sz w:val="16"/>
          <w:szCs w:val="16"/>
          <w:shd w:val="clear" w:color="auto" w:fill="FFFFFF"/>
        </w:rPr>
        <w:t>Educației</w:t>
      </w:r>
      <w:r w:rsidRPr="00A75ED2">
        <w:rPr>
          <w:rFonts w:asciiTheme="majorHAnsi" w:hAnsiTheme="majorHAnsi" w:cstheme="majorHAnsi"/>
          <w:color w:val="000000"/>
          <w:sz w:val="16"/>
          <w:szCs w:val="16"/>
          <w:shd w:val="clear" w:color="auto" w:fill="FFFFFF"/>
        </w:rPr>
        <w:t xml:space="preserve"> – 0,37 mil. lei; Institutul de </w:t>
      </w:r>
      <w:r w:rsidRPr="00101320">
        <w:rPr>
          <w:rFonts w:asciiTheme="majorHAnsi" w:hAnsiTheme="majorHAnsi" w:cstheme="majorHAnsi"/>
          <w:color w:val="000000"/>
          <w:sz w:val="16"/>
          <w:szCs w:val="16"/>
          <w:shd w:val="clear" w:color="auto" w:fill="FFFFFF"/>
        </w:rPr>
        <w:t>I</w:t>
      </w:r>
      <w:r w:rsidR="00101320">
        <w:rPr>
          <w:rFonts w:asciiTheme="majorHAnsi" w:hAnsiTheme="majorHAnsi" w:cstheme="majorHAnsi"/>
          <w:color w:val="000000"/>
          <w:sz w:val="16"/>
          <w:szCs w:val="16"/>
          <w:shd w:val="clear" w:color="auto" w:fill="FFFFFF"/>
        </w:rPr>
        <w:t xml:space="preserve">nginerie </w:t>
      </w:r>
      <w:r w:rsidRPr="00101320">
        <w:rPr>
          <w:rFonts w:asciiTheme="majorHAnsi" w:hAnsiTheme="majorHAnsi" w:cstheme="majorHAnsi"/>
          <w:color w:val="000000"/>
          <w:sz w:val="16"/>
          <w:szCs w:val="16"/>
          <w:shd w:val="clear" w:color="auto" w:fill="FFFFFF"/>
        </w:rPr>
        <w:t>E</w:t>
      </w:r>
      <w:r w:rsidR="00101320">
        <w:rPr>
          <w:rFonts w:asciiTheme="majorHAnsi" w:hAnsiTheme="majorHAnsi" w:cstheme="majorHAnsi"/>
          <w:color w:val="000000"/>
          <w:sz w:val="16"/>
          <w:szCs w:val="16"/>
          <w:shd w:val="clear" w:color="auto" w:fill="FFFFFF"/>
        </w:rPr>
        <w:t>lectronică</w:t>
      </w:r>
      <w:r w:rsidRPr="00A75ED2">
        <w:rPr>
          <w:rFonts w:asciiTheme="majorHAnsi" w:hAnsiTheme="majorHAnsi" w:cstheme="majorHAnsi"/>
          <w:color w:val="000000"/>
          <w:sz w:val="16"/>
          <w:szCs w:val="16"/>
          <w:shd w:val="clear" w:color="auto" w:fill="FFFFFF"/>
        </w:rPr>
        <w:t xml:space="preserve"> </w:t>
      </w:r>
      <w:r>
        <w:rPr>
          <w:rFonts w:asciiTheme="majorHAnsi" w:hAnsiTheme="majorHAnsi" w:cstheme="majorHAnsi"/>
          <w:color w:val="000000"/>
          <w:sz w:val="16"/>
          <w:szCs w:val="16"/>
          <w:shd w:val="clear" w:color="auto" w:fill="FFFFFF"/>
        </w:rPr>
        <w:t>ș</w:t>
      </w:r>
      <w:r w:rsidRPr="00A75ED2">
        <w:rPr>
          <w:rFonts w:asciiTheme="majorHAnsi" w:hAnsiTheme="majorHAnsi" w:cstheme="majorHAnsi"/>
          <w:color w:val="000000"/>
          <w:sz w:val="16"/>
          <w:szCs w:val="16"/>
          <w:shd w:val="clear" w:color="auto" w:fill="FFFFFF"/>
        </w:rPr>
        <w:t xml:space="preserve">i Nanotehnologii </w:t>
      </w:r>
      <w:r>
        <w:rPr>
          <w:rFonts w:asciiTheme="majorHAnsi" w:hAnsiTheme="majorHAnsi" w:cstheme="majorHAnsi"/>
          <w:color w:val="000000"/>
          <w:sz w:val="16"/>
          <w:szCs w:val="16"/>
          <w:shd w:val="clear" w:color="auto" w:fill="FFFFFF"/>
        </w:rPr>
        <w:t>„</w:t>
      </w:r>
      <w:r w:rsidRPr="00A75ED2">
        <w:rPr>
          <w:rFonts w:asciiTheme="majorHAnsi" w:hAnsiTheme="majorHAnsi" w:cstheme="majorHAnsi"/>
          <w:color w:val="000000"/>
          <w:sz w:val="16"/>
          <w:szCs w:val="16"/>
          <w:shd w:val="clear" w:color="auto" w:fill="FFFFFF"/>
        </w:rPr>
        <w:t>D. Ghițu</w:t>
      </w:r>
      <w:r>
        <w:rPr>
          <w:rFonts w:asciiTheme="majorHAnsi" w:hAnsiTheme="majorHAnsi" w:cstheme="majorHAnsi"/>
          <w:color w:val="000000"/>
          <w:sz w:val="16"/>
          <w:szCs w:val="16"/>
          <w:shd w:val="clear" w:color="auto" w:fill="FFFFFF"/>
        </w:rPr>
        <w:t>”</w:t>
      </w:r>
      <w:r w:rsidRPr="00A75ED2">
        <w:rPr>
          <w:rFonts w:asciiTheme="majorHAnsi" w:hAnsiTheme="majorHAnsi" w:cstheme="majorHAnsi"/>
          <w:color w:val="000000"/>
          <w:sz w:val="16"/>
          <w:szCs w:val="16"/>
          <w:shd w:val="clear" w:color="auto" w:fill="FFFFFF"/>
        </w:rPr>
        <w:t xml:space="preserve"> – 0,04 mil. lei; Centrul Sportiv de Pregătire a Loturilor Naționale – 0,04 mil. lei (imperfecțiun</w:t>
      </w:r>
      <w:r w:rsidR="00101320">
        <w:rPr>
          <w:rFonts w:asciiTheme="majorHAnsi" w:hAnsiTheme="majorHAnsi" w:cstheme="majorHAnsi"/>
          <w:color w:val="000000"/>
          <w:sz w:val="16"/>
          <w:szCs w:val="16"/>
          <w:shd w:val="clear" w:color="auto" w:fill="FFFFFF"/>
        </w:rPr>
        <w:t>ea</w:t>
      </w:r>
      <w:r w:rsidRPr="00A75ED2">
        <w:rPr>
          <w:rFonts w:asciiTheme="majorHAnsi" w:hAnsiTheme="majorHAnsi" w:cstheme="majorHAnsi"/>
          <w:color w:val="000000"/>
          <w:sz w:val="16"/>
          <w:szCs w:val="16"/>
          <w:shd w:val="clear" w:color="auto" w:fill="FFFFFF"/>
        </w:rPr>
        <w:t xml:space="preserve"> cadrului de reglementare, ce permite diverse interpretări la stabilirea tarifului pentru dreptul de acces</w:t>
      </w:r>
      <w:r>
        <w:rPr>
          <w:rFonts w:asciiTheme="majorHAnsi" w:hAnsiTheme="majorHAnsi" w:cstheme="majorHAnsi"/>
          <w:color w:val="000000"/>
          <w:sz w:val="16"/>
          <w:szCs w:val="16"/>
          <w:shd w:val="clear" w:color="auto" w:fill="FFFFFF"/>
        </w:rPr>
        <w:t>).</w:t>
      </w:r>
    </w:p>
  </w:footnote>
  <w:footnote w:id="14">
    <w:p w14:paraId="41BDD2E7" w14:textId="7219EB1F" w:rsidR="00A35504" w:rsidRPr="00437AB2" w:rsidRDefault="00A35504" w:rsidP="00E1242D">
      <w:pPr>
        <w:pStyle w:val="a5"/>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w:t>
      </w:r>
      <w:r w:rsidRPr="00A75ED2">
        <w:rPr>
          <w:rFonts w:asciiTheme="majorHAnsi" w:hAnsiTheme="majorHAnsi" w:cstheme="majorHAnsi"/>
          <w:sz w:val="16"/>
          <w:szCs w:val="16"/>
        </w:rPr>
        <w:t>HG nr.117 din 12.08.2021 „Cu privire la restructurarea administrației publice centrale de specialitate”.</w:t>
      </w:r>
    </w:p>
  </w:footnote>
  <w:footnote w:id="15">
    <w:p w14:paraId="2A50AD01" w14:textId="7C5AD42E" w:rsidR="00A35504" w:rsidRPr="00A75ED2" w:rsidRDefault="00A35504" w:rsidP="00E1242D">
      <w:pPr>
        <w:spacing w:after="0" w:line="240" w:lineRule="auto"/>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w:t>
      </w:r>
      <w:r w:rsidR="007C7DB7">
        <w:rPr>
          <w:rFonts w:asciiTheme="majorHAnsi" w:hAnsiTheme="majorHAnsi" w:cstheme="majorHAnsi"/>
          <w:sz w:val="16"/>
          <w:szCs w:val="16"/>
        </w:rPr>
        <w:t>P</w:t>
      </w:r>
      <w:r w:rsidRPr="00437AB2">
        <w:rPr>
          <w:rFonts w:asciiTheme="majorHAnsi" w:hAnsiTheme="majorHAnsi" w:cstheme="majorHAnsi"/>
          <w:sz w:val="16"/>
          <w:szCs w:val="16"/>
        </w:rPr>
        <w:t xml:space="preserve">roiectul actului de transmitere:  </w:t>
      </w:r>
      <w:r w:rsidR="00101320">
        <w:rPr>
          <w:rFonts w:asciiTheme="majorHAnsi" w:hAnsiTheme="majorHAnsi" w:cstheme="majorHAnsi"/>
          <w:sz w:val="16"/>
          <w:szCs w:val="16"/>
        </w:rPr>
        <w:t>T</w:t>
      </w:r>
      <w:r w:rsidRPr="00437AB2">
        <w:rPr>
          <w:rFonts w:asciiTheme="majorHAnsi" w:hAnsiTheme="majorHAnsi" w:cstheme="majorHAnsi"/>
          <w:sz w:val="16"/>
          <w:szCs w:val="16"/>
        </w:rPr>
        <w:t>otal</w:t>
      </w:r>
      <w:r>
        <w:rPr>
          <w:rFonts w:asciiTheme="majorHAnsi" w:hAnsiTheme="majorHAnsi" w:cstheme="majorHAnsi"/>
          <w:sz w:val="16"/>
          <w:szCs w:val="16"/>
        </w:rPr>
        <w:t>,</w:t>
      </w:r>
      <w:r w:rsidRPr="00437AB2">
        <w:rPr>
          <w:rFonts w:asciiTheme="majorHAnsi" w:hAnsiTheme="majorHAnsi" w:cstheme="majorHAnsi"/>
          <w:sz w:val="16"/>
          <w:szCs w:val="16"/>
        </w:rPr>
        <w:t xml:space="preserve"> mijloace fixe –</w:t>
      </w:r>
      <w:r>
        <w:rPr>
          <w:rFonts w:asciiTheme="majorHAnsi" w:hAnsiTheme="majorHAnsi" w:cstheme="majorHAnsi"/>
          <w:sz w:val="16"/>
          <w:szCs w:val="16"/>
        </w:rPr>
        <w:t xml:space="preserve"> </w:t>
      </w:r>
      <w:r w:rsidRPr="00437AB2">
        <w:rPr>
          <w:rFonts w:asciiTheme="majorHAnsi" w:hAnsiTheme="majorHAnsi" w:cstheme="majorHAnsi"/>
          <w:sz w:val="16"/>
          <w:szCs w:val="16"/>
        </w:rPr>
        <w:t>77,7 mil.lei</w:t>
      </w:r>
      <w:r>
        <w:rPr>
          <w:rFonts w:asciiTheme="majorHAnsi" w:hAnsiTheme="majorHAnsi" w:cstheme="majorHAnsi"/>
          <w:sz w:val="16"/>
          <w:szCs w:val="16"/>
        </w:rPr>
        <w:t>,</w:t>
      </w:r>
      <w:r w:rsidRPr="00437AB2">
        <w:rPr>
          <w:rFonts w:asciiTheme="majorHAnsi" w:hAnsiTheme="majorHAnsi" w:cstheme="majorHAnsi"/>
          <w:sz w:val="16"/>
          <w:szCs w:val="16"/>
        </w:rPr>
        <w:t xml:space="preserve"> și uzura –</w:t>
      </w:r>
      <w:r>
        <w:rPr>
          <w:rFonts w:asciiTheme="majorHAnsi" w:hAnsiTheme="majorHAnsi" w:cstheme="majorHAnsi"/>
          <w:sz w:val="16"/>
          <w:szCs w:val="16"/>
        </w:rPr>
        <w:t xml:space="preserve"> </w:t>
      </w:r>
      <w:r w:rsidRPr="00437AB2">
        <w:rPr>
          <w:rFonts w:asciiTheme="majorHAnsi" w:hAnsiTheme="majorHAnsi" w:cstheme="majorHAnsi"/>
          <w:sz w:val="16"/>
          <w:szCs w:val="16"/>
        </w:rPr>
        <w:t>0,75 mil.lei; materiale circulante – 0,28 mil.lei; terenuri – 0,76 mil.lei; active financiare – 405,87 mil.lei (inclusiv 392,95 mil. lei constituie contul 415</w:t>
      </w:r>
      <w:r>
        <w:rPr>
          <w:rFonts w:asciiTheme="majorHAnsi" w:hAnsiTheme="majorHAnsi" w:cstheme="majorHAnsi"/>
          <w:sz w:val="16"/>
          <w:szCs w:val="16"/>
        </w:rPr>
        <w:t xml:space="preserve"> </w:t>
      </w:r>
      <w:r w:rsidRPr="00F9434B">
        <w:rPr>
          <w:rFonts w:asciiTheme="majorHAnsi" w:hAnsiTheme="majorHAnsi" w:cstheme="majorHAnsi"/>
          <w:sz w:val="16"/>
          <w:szCs w:val="16"/>
        </w:rPr>
        <w:t>„Acțiuni și alte forme de participare în capital în interiorul țării”</w:t>
      </w:r>
      <w:r w:rsidRPr="00437AB2">
        <w:rPr>
          <w:rFonts w:asciiTheme="majorHAnsi" w:hAnsiTheme="majorHAnsi" w:cstheme="majorHAnsi"/>
          <w:sz w:val="16"/>
          <w:szCs w:val="16"/>
        </w:rPr>
        <w:t>).</w:t>
      </w:r>
    </w:p>
  </w:footnote>
  <w:footnote w:id="16">
    <w:p w14:paraId="195E015A" w14:textId="438AE77D" w:rsidR="00A35504" w:rsidRPr="00437AB2" w:rsidRDefault="00A35504" w:rsidP="00E1242D">
      <w:pPr>
        <w:pStyle w:val="a5"/>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Hotărârea Curții de Conturi nr.2 din 24.01.2020 „Cu privire la Cadrul Declarațiilor Profesionale ale INTOSAI</w:t>
      </w:r>
      <w:r>
        <w:rPr>
          <w:rFonts w:asciiTheme="majorHAnsi" w:hAnsiTheme="majorHAnsi" w:cstheme="majorHAnsi"/>
          <w:sz w:val="16"/>
          <w:szCs w:val="16"/>
        </w:rPr>
        <w:t>”.</w:t>
      </w:r>
    </w:p>
  </w:footnote>
  <w:footnote w:id="17">
    <w:p w14:paraId="30CEEA08" w14:textId="31ECA581" w:rsidR="00A35504" w:rsidRPr="00A75ED2" w:rsidRDefault="00A35504" w:rsidP="00F42E6E">
      <w:pPr>
        <w:pStyle w:val="a5"/>
        <w:jc w:val="both"/>
        <w:rPr>
          <w:rFonts w:asciiTheme="majorHAnsi" w:hAnsiTheme="majorHAnsi" w:cstheme="majorHAnsi"/>
          <w:sz w:val="16"/>
          <w:szCs w:val="16"/>
        </w:rPr>
      </w:pPr>
      <w:r w:rsidRPr="00A75ED2">
        <w:rPr>
          <w:rStyle w:val="a7"/>
          <w:rFonts w:asciiTheme="majorHAnsi" w:hAnsiTheme="majorHAnsi" w:cstheme="majorHAnsi"/>
          <w:sz w:val="16"/>
          <w:szCs w:val="16"/>
        </w:rPr>
        <w:footnoteRef/>
      </w:r>
      <w:r w:rsidRPr="00A75ED2">
        <w:rPr>
          <w:rFonts w:asciiTheme="majorHAnsi" w:hAnsiTheme="majorHAnsi" w:cstheme="majorHAnsi"/>
          <w:sz w:val="16"/>
          <w:szCs w:val="16"/>
        </w:rPr>
        <w:t xml:space="preserve"> Pct. 3.4.21</w:t>
      </w:r>
      <w:r w:rsidRPr="00A75ED2">
        <w:rPr>
          <w:rFonts w:asciiTheme="majorHAnsi" w:hAnsiTheme="majorHAnsi" w:cstheme="majorHAnsi"/>
          <w:sz w:val="16"/>
          <w:szCs w:val="16"/>
          <w:vertAlign w:val="superscript"/>
        </w:rPr>
        <w:t>1</w:t>
      </w:r>
      <w:r>
        <w:rPr>
          <w:rFonts w:asciiTheme="majorHAnsi" w:hAnsiTheme="majorHAnsi" w:cstheme="majorHAnsi"/>
          <w:sz w:val="16"/>
          <w:szCs w:val="16"/>
        </w:rPr>
        <w:t>:</w:t>
      </w:r>
      <w:r>
        <w:rPr>
          <w:rFonts w:asciiTheme="majorHAnsi" w:hAnsiTheme="majorHAnsi" w:cstheme="majorHAnsi"/>
          <w:sz w:val="16"/>
          <w:szCs w:val="16"/>
          <w:vertAlign w:val="superscript"/>
        </w:rPr>
        <w:t xml:space="preserve"> </w:t>
      </w:r>
      <w:r w:rsidRPr="00A75ED2">
        <w:rPr>
          <w:rFonts w:asciiTheme="majorHAnsi" w:hAnsiTheme="majorHAnsi" w:cstheme="majorHAnsi"/>
          <w:sz w:val="16"/>
          <w:szCs w:val="16"/>
        </w:rPr>
        <w:t xml:space="preserve">Autoritatea publică va </w:t>
      </w:r>
      <w:r w:rsidRPr="00FB4D17">
        <w:rPr>
          <w:rFonts w:asciiTheme="majorHAnsi" w:hAnsiTheme="majorHAnsi" w:cstheme="majorHAnsi"/>
          <w:sz w:val="16"/>
          <w:szCs w:val="16"/>
        </w:rPr>
        <w:t>ține</w:t>
      </w:r>
      <w:r w:rsidRPr="00A75ED2">
        <w:rPr>
          <w:rFonts w:asciiTheme="majorHAnsi" w:hAnsiTheme="majorHAnsi" w:cstheme="majorHAnsi"/>
          <w:sz w:val="16"/>
          <w:szCs w:val="16"/>
        </w:rPr>
        <w:t xml:space="preserve"> </w:t>
      </w:r>
      <w:r w:rsidRPr="00FB4D17">
        <w:rPr>
          <w:rFonts w:asciiTheme="majorHAnsi" w:hAnsiTheme="majorHAnsi" w:cstheme="majorHAnsi"/>
          <w:sz w:val="16"/>
          <w:szCs w:val="16"/>
        </w:rPr>
        <w:t>evidența</w:t>
      </w:r>
      <w:r w:rsidRPr="00A75ED2">
        <w:rPr>
          <w:rFonts w:asciiTheme="majorHAnsi" w:hAnsiTheme="majorHAnsi" w:cstheme="majorHAnsi"/>
          <w:sz w:val="16"/>
          <w:szCs w:val="16"/>
        </w:rPr>
        <w:t xml:space="preserve"> analitică a bunurilor transmise în gestiune economică la nivel de entitate. Entitatea va înregistra bunurile în patrimoniul său şi va calcula uzura mijloacelor fixe şi amortizarea activelor nemateriale primite în gestiune economică. </w:t>
      </w:r>
    </w:p>
    <w:p w14:paraId="0CF50E00" w14:textId="51A3DD2E" w:rsidR="00A35504" w:rsidRPr="00A75ED2" w:rsidRDefault="00A35504" w:rsidP="00F42E6E">
      <w:pPr>
        <w:pStyle w:val="a5"/>
        <w:jc w:val="both"/>
        <w:rPr>
          <w:rFonts w:asciiTheme="majorHAnsi" w:hAnsiTheme="majorHAnsi" w:cstheme="majorHAnsi"/>
          <w:sz w:val="16"/>
          <w:szCs w:val="16"/>
        </w:rPr>
      </w:pPr>
      <w:r w:rsidRPr="00A75ED2">
        <w:rPr>
          <w:rFonts w:asciiTheme="majorHAnsi" w:hAnsiTheme="majorHAnsi" w:cstheme="majorHAnsi"/>
          <w:sz w:val="16"/>
          <w:szCs w:val="16"/>
        </w:rPr>
        <w:t xml:space="preserve">În condiţiile casării şi/sau comercializării bunurilor transmise în gestiune economică, mărimea </w:t>
      </w:r>
      <w:r w:rsidRPr="00FB4D17">
        <w:rPr>
          <w:rFonts w:asciiTheme="majorHAnsi" w:hAnsiTheme="majorHAnsi" w:cstheme="majorHAnsi"/>
          <w:sz w:val="16"/>
          <w:szCs w:val="16"/>
        </w:rPr>
        <w:t>investițiilor</w:t>
      </w:r>
      <w:r w:rsidRPr="00A75ED2">
        <w:rPr>
          <w:rFonts w:asciiTheme="majorHAnsi" w:hAnsiTheme="majorHAnsi" w:cstheme="majorHAnsi"/>
          <w:sz w:val="16"/>
          <w:szCs w:val="16"/>
        </w:rPr>
        <w:t xml:space="preserve"> statului nu se modifică.</w:t>
      </w:r>
    </w:p>
    <w:p w14:paraId="7CF6D134" w14:textId="600EA451" w:rsidR="00A35504" w:rsidRPr="00A75ED2" w:rsidRDefault="00A35504" w:rsidP="00D02297">
      <w:pPr>
        <w:pStyle w:val="a8"/>
        <w:spacing w:before="0" w:beforeAutospacing="0" w:after="0" w:afterAutospacing="0"/>
        <w:jc w:val="both"/>
        <w:rPr>
          <w:rFonts w:asciiTheme="majorHAnsi" w:hAnsiTheme="majorHAnsi" w:cstheme="majorHAnsi"/>
          <w:sz w:val="16"/>
          <w:szCs w:val="16"/>
        </w:rPr>
      </w:pPr>
      <w:r>
        <w:rPr>
          <w:rFonts w:asciiTheme="majorHAnsi" w:hAnsiTheme="majorHAnsi" w:cstheme="majorHAnsi"/>
          <w:bCs/>
          <w:kern w:val="36"/>
          <w:sz w:val="16"/>
          <w:szCs w:val="16"/>
          <w:lang w:val="ro-MD" w:eastAsia="ro-RO"/>
        </w:rPr>
        <w:t>P</w:t>
      </w:r>
      <w:r w:rsidRPr="00A75ED2">
        <w:rPr>
          <w:rFonts w:asciiTheme="majorHAnsi" w:hAnsiTheme="majorHAnsi" w:cstheme="majorHAnsi"/>
          <w:bCs/>
          <w:kern w:val="36"/>
          <w:sz w:val="16"/>
          <w:szCs w:val="16"/>
          <w:lang w:val="ro-MD" w:eastAsia="ro-RO"/>
        </w:rPr>
        <w:t>ct.3.3.48</w:t>
      </w:r>
      <w:r w:rsidRPr="00A75ED2">
        <w:rPr>
          <w:rFonts w:asciiTheme="majorHAnsi" w:hAnsiTheme="majorHAnsi" w:cstheme="majorHAnsi"/>
          <w:bCs/>
          <w:kern w:val="36"/>
          <w:sz w:val="16"/>
          <w:szCs w:val="16"/>
          <w:vertAlign w:val="superscript"/>
          <w:lang w:val="ro-MD" w:eastAsia="ro-RO"/>
        </w:rPr>
        <w:t xml:space="preserve">2 </w:t>
      </w:r>
      <w:r>
        <w:rPr>
          <w:rFonts w:asciiTheme="majorHAnsi" w:hAnsiTheme="majorHAnsi" w:cstheme="majorHAnsi"/>
          <w:bCs/>
          <w:kern w:val="36"/>
          <w:sz w:val="16"/>
          <w:szCs w:val="16"/>
          <w:lang w:val="ro-MD" w:eastAsia="ro-RO"/>
        </w:rPr>
        <w:t xml:space="preserve">din Ordinul MF nr.216/2015: </w:t>
      </w:r>
      <w:r w:rsidRPr="00A75ED2">
        <w:rPr>
          <w:rFonts w:asciiTheme="majorHAnsi" w:hAnsiTheme="majorHAnsi" w:cstheme="majorHAnsi"/>
          <w:sz w:val="16"/>
          <w:szCs w:val="16"/>
          <w:lang w:val="ro-MD"/>
        </w:rPr>
        <w:t>Operațiunile aferente gestiunii delegate se înregistrează în evidența contabilă după cum urmează: - autoritatea/instituţia bugetară care transmite bunurile în gestiune delegată menține bunurile în contabilitate şi calculează uzura acestora; - entitatea care primeşte bunurile în gestiune delegată înregistrează valoarea acestora la conturi extrabilanţiere şi transmite p</w:t>
      </w:r>
      <w:r>
        <w:rPr>
          <w:rFonts w:asciiTheme="majorHAnsi" w:hAnsiTheme="majorHAnsi" w:cstheme="majorHAnsi"/>
          <w:sz w:val="16"/>
          <w:szCs w:val="16"/>
          <w:lang w:val="ro-MD"/>
        </w:rPr>
        <w:t>â</w:t>
      </w:r>
      <w:r w:rsidRPr="00A75ED2">
        <w:rPr>
          <w:rFonts w:asciiTheme="majorHAnsi" w:hAnsiTheme="majorHAnsi" w:cstheme="majorHAnsi"/>
          <w:sz w:val="16"/>
          <w:szCs w:val="16"/>
          <w:lang w:val="ro-MD"/>
        </w:rPr>
        <w:t>nă la sf</w:t>
      </w:r>
      <w:r>
        <w:rPr>
          <w:rFonts w:asciiTheme="majorHAnsi" w:hAnsiTheme="majorHAnsi" w:cstheme="majorHAnsi"/>
          <w:sz w:val="16"/>
          <w:szCs w:val="16"/>
          <w:lang w:val="ro-MD"/>
        </w:rPr>
        <w:t>â</w:t>
      </w:r>
      <w:r w:rsidRPr="00A75ED2">
        <w:rPr>
          <w:rFonts w:asciiTheme="majorHAnsi" w:hAnsiTheme="majorHAnsi" w:cstheme="majorHAnsi"/>
          <w:sz w:val="16"/>
          <w:szCs w:val="16"/>
          <w:lang w:val="ro-MD"/>
        </w:rPr>
        <w:t>rşitul anului de gestiune autorităţii/instituţiei bugetare sumele investițiilor efectuate impuse prin contract.</w:t>
      </w:r>
    </w:p>
  </w:footnote>
  <w:footnote w:id="18">
    <w:p w14:paraId="1A9813D9" w14:textId="78A9A429" w:rsidR="00A35504" w:rsidRPr="002F35AD" w:rsidRDefault="00A35504" w:rsidP="00D02297">
      <w:pPr>
        <w:pStyle w:val="a5"/>
        <w:jc w:val="both"/>
        <w:rPr>
          <w:rFonts w:asciiTheme="majorHAnsi" w:hAnsiTheme="majorHAnsi" w:cstheme="majorHAnsi"/>
          <w:sz w:val="16"/>
          <w:szCs w:val="16"/>
          <w:lang w:val="en-US"/>
        </w:rPr>
      </w:pPr>
      <w:r w:rsidRPr="002F35AD">
        <w:rPr>
          <w:rStyle w:val="a7"/>
          <w:rFonts w:asciiTheme="majorHAnsi" w:hAnsiTheme="majorHAnsi" w:cstheme="majorHAnsi"/>
          <w:sz w:val="16"/>
          <w:szCs w:val="16"/>
        </w:rPr>
        <w:footnoteRef/>
      </w:r>
      <w:r w:rsidRPr="002F35AD">
        <w:rPr>
          <w:rFonts w:asciiTheme="majorHAnsi" w:hAnsiTheme="majorHAnsi" w:cstheme="majorHAnsi"/>
          <w:sz w:val="16"/>
          <w:szCs w:val="16"/>
        </w:rPr>
        <w:t xml:space="preserve"> Legea nr.121-XVI din 04.05.2007 </w:t>
      </w:r>
      <w:r>
        <w:rPr>
          <w:rFonts w:asciiTheme="majorHAnsi" w:hAnsiTheme="majorHAnsi" w:cstheme="majorHAnsi"/>
          <w:sz w:val="16"/>
          <w:szCs w:val="16"/>
        </w:rPr>
        <w:t>p</w:t>
      </w:r>
      <w:r w:rsidRPr="00EC44BB">
        <w:rPr>
          <w:rFonts w:asciiTheme="majorHAnsi" w:hAnsiTheme="majorHAnsi" w:cstheme="majorHAnsi"/>
          <w:sz w:val="16"/>
          <w:szCs w:val="16"/>
        </w:rPr>
        <w:t xml:space="preserve">rivind </w:t>
      </w:r>
      <w:r w:rsidRPr="002F35AD">
        <w:rPr>
          <w:rFonts w:asciiTheme="majorHAnsi" w:hAnsiTheme="majorHAnsi" w:cstheme="majorHAnsi"/>
          <w:sz w:val="16"/>
          <w:szCs w:val="16"/>
        </w:rPr>
        <w:t>administrarea şi deetatizarea proprietăţii publice</w:t>
      </w:r>
      <w:r>
        <w:rPr>
          <w:rFonts w:asciiTheme="majorHAnsi" w:hAnsiTheme="majorHAnsi" w:cstheme="majorHAnsi"/>
          <w:sz w:val="16"/>
          <w:szCs w:val="16"/>
        </w:rPr>
        <w:t>.</w:t>
      </w:r>
    </w:p>
  </w:footnote>
  <w:footnote w:id="19">
    <w:p w14:paraId="1B7D61C7" w14:textId="1F0BA911" w:rsidR="00A35504" w:rsidRPr="00A75ED2" w:rsidRDefault="00A35504" w:rsidP="00F42E6E">
      <w:pPr>
        <w:pStyle w:val="a5"/>
        <w:jc w:val="both"/>
        <w:rPr>
          <w:rFonts w:asciiTheme="majorHAnsi" w:hAnsiTheme="majorHAnsi" w:cstheme="majorHAnsi"/>
          <w:sz w:val="16"/>
          <w:szCs w:val="16"/>
        </w:rPr>
      </w:pPr>
      <w:r w:rsidRPr="00A75ED2">
        <w:rPr>
          <w:rStyle w:val="a7"/>
          <w:rFonts w:asciiTheme="majorHAnsi" w:hAnsiTheme="majorHAnsi" w:cstheme="majorHAnsi"/>
          <w:sz w:val="16"/>
          <w:szCs w:val="16"/>
        </w:rPr>
        <w:footnoteRef/>
      </w:r>
      <w:r w:rsidRPr="00A75ED2">
        <w:rPr>
          <w:rFonts w:asciiTheme="majorHAnsi" w:hAnsiTheme="majorHAnsi" w:cstheme="majorHAnsi"/>
          <w:sz w:val="16"/>
          <w:szCs w:val="16"/>
        </w:rPr>
        <w:t xml:space="preserve"> Legea nr.29 din 05.04.2018</w:t>
      </w:r>
      <w:r>
        <w:rPr>
          <w:rFonts w:asciiTheme="majorHAnsi" w:hAnsiTheme="majorHAnsi" w:cstheme="majorHAnsi"/>
          <w:sz w:val="16"/>
          <w:szCs w:val="16"/>
        </w:rPr>
        <w:t xml:space="preserve"> </w:t>
      </w:r>
      <w:r w:rsidRPr="00A75ED2">
        <w:rPr>
          <w:rFonts w:asciiTheme="majorHAnsi" w:hAnsiTheme="majorHAnsi" w:cstheme="majorHAnsi"/>
          <w:sz w:val="16"/>
          <w:szCs w:val="16"/>
        </w:rPr>
        <w:t>privind delimitarea proprietății publice.</w:t>
      </w:r>
    </w:p>
  </w:footnote>
  <w:footnote w:id="20">
    <w:p w14:paraId="253E7B1B" w14:textId="77777777" w:rsidR="00A35504" w:rsidRPr="00437AB2" w:rsidRDefault="00A35504" w:rsidP="00D02297">
      <w:pPr>
        <w:pStyle w:val="a5"/>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Școala Republicană Specializată de Hipism și Pentatlon Modern.</w:t>
      </w:r>
    </w:p>
  </w:footnote>
  <w:footnote w:id="21">
    <w:p w14:paraId="35B8C2E5" w14:textId="25494B26" w:rsidR="0069374B" w:rsidRPr="00F42E6E" w:rsidRDefault="0069374B">
      <w:pPr>
        <w:pStyle w:val="a5"/>
        <w:rPr>
          <w:rFonts w:asciiTheme="majorHAnsi" w:hAnsiTheme="majorHAnsi" w:cstheme="majorHAnsi"/>
          <w:sz w:val="16"/>
        </w:rPr>
      </w:pPr>
      <w:r w:rsidRPr="00F42E6E">
        <w:rPr>
          <w:rStyle w:val="a7"/>
          <w:rFonts w:asciiTheme="majorHAnsi" w:hAnsiTheme="majorHAnsi" w:cstheme="majorHAnsi"/>
          <w:sz w:val="16"/>
        </w:rPr>
        <w:footnoteRef/>
      </w:r>
      <w:r w:rsidRPr="00F42E6E">
        <w:rPr>
          <w:rFonts w:asciiTheme="majorHAnsi" w:hAnsiTheme="majorHAnsi" w:cstheme="majorHAnsi"/>
          <w:sz w:val="16"/>
        </w:rPr>
        <w:t xml:space="preserve"> Ordinul MF nr.216/2015 (pct. 3.3.135)</w:t>
      </w:r>
      <w:r>
        <w:rPr>
          <w:rFonts w:asciiTheme="majorHAnsi" w:hAnsiTheme="majorHAnsi" w:cstheme="majorHAnsi"/>
          <w:sz w:val="16"/>
        </w:rPr>
        <w:t>.</w:t>
      </w:r>
    </w:p>
  </w:footnote>
  <w:footnote w:id="22">
    <w:p w14:paraId="5A4CDC99" w14:textId="6047968A" w:rsidR="00A35504" w:rsidRPr="00A75ED2" w:rsidRDefault="00A35504" w:rsidP="00D02297">
      <w:pPr>
        <w:pStyle w:val="a5"/>
        <w:jc w:val="both"/>
        <w:rPr>
          <w:rFonts w:asciiTheme="majorHAnsi" w:hAnsiTheme="majorHAnsi" w:cstheme="majorHAnsi"/>
          <w:sz w:val="16"/>
          <w:szCs w:val="16"/>
        </w:rPr>
      </w:pPr>
      <w:r w:rsidRPr="00A75ED2">
        <w:rPr>
          <w:rStyle w:val="a7"/>
          <w:rFonts w:asciiTheme="majorHAnsi" w:hAnsiTheme="majorHAnsi" w:cstheme="majorHAnsi"/>
          <w:sz w:val="16"/>
          <w:szCs w:val="16"/>
        </w:rPr>
        <w:footnoteRef/>
      </w:r>
      <w:r w:rsidRPr="00A75ED2">
        <w:rPr>
          <w:rFonts w:asciiTheme="majorHAnsi" w:hAnsiTheme="majorHAnsi" w:cstheme="majorHAnsi"/>
          <w:sz w:val="16"/>
          <w:szCs w:val="16"/>
        </w:rPr>
        <w:t xml:space="preserve"> Porumb plantat pe un teren cu suprafața de 90 ha (781 tone </w:t>
      </w:r>
      <w:r w:rsidRPr="0069374B">
        <w:rPr>
          <w:rFonts w:asciiTheme="majorHAnsi" w:hAnsiTheme="majorHAnsi" w:cstheme="majorHAnsi"/>
          <w:sz w:val="16"/>
          <w:szCs w:val="16"/>
        </w:rPr>
        <w:t>recoltat în februarie</w:t>
      </w:r>
      <w:r w:rsidRPr="00A75ED2">
        <w:rPr>
          <w:rFonts w:asciiTheme="majorHAnsi" w:hAnsiTheme="majorHAnsi" w:cstheme="majorHAnsi"/>
          <w:sz w:val="16"/>
          <w:szCs w:val="16"/>
        </w:rPr>
        <w:t>-2022)</w:t>
      </w:r>
      <w:r>
        <w:rPr>
          <w:rFonts w:asciiTheme="majorHAnsi" w:hAnsiTheme="majorHAnsi" w:cstheme="majorHAnsi"/>
          <w:sz w:val="16"/>
          <w:szCs w:val="16"/>
        </w:rPr>
        <w:t xml:space="preserve">, </w:t>
      </w:r>
      <w:r w:rsidRPr="00437AB2">
        <w:rPr>
          <w:rFonts w:asciiTheme="majorHAnsi" w:eastAsia="Times New Roman" w:hAnsiTheme="majorHAnsi" w:cstheme="majorHAnsi"/>
          <w:sz w:val="16"/>
          <w:szCs w:val="16"/>
        </w:rPr>
        <w:t xml:space="preserve">inclusiv </w:t>
      </w:r>
      <w:r>
        <w:rPr>
          <w:rFonts w:asciiTheme="majorHAnsi" w:eastAsia="Times New Roman" w:hAnsiTheme="majorHAnsi" w:cstheme="majorHAnsi"/>
          <w:sz w:val="16"/>
          <w:szCs w:val="16"/>
        </w:rPr>
        <w:t xml:space="preserve">circa </w:t>
      </w:r>
      <w:r w:rsidRPr="00437AB2">
        <w:rPr>
          <w:rFonts w:asciiTheme="majorHAnsi" w:eastAsia="Times New Roman" w:hAnsiTheme="majorHAnsi" w:cstheme="majorHAnsi"/>
          <w:sz w:val="16"/>
          <w:szCs w:val="16"/>
        </w:rPr>
        <w:t xml:space="preserve">2 ha </w:t>
      </w:r>
      <w:r w:rsidR="0069374B">
        <w:rPr>
          <w:rFonts w:asciiTheme="majorHAnsi" w:eastAsia="Times New Roman" w:hAnsiTheme="majorHAnsi" w:cstheme="majorHAnsi"/>
          <w:sz w:val="16"/>
          <w:szCs w:val="16"/>
        </w:rPr>
        <w:t>de semănături distruse</w:t>
      </w:r>
      <w:r w:rsidRPr="00437AB2">
        <w:rPr>
          <w:rFonts w:asciiTheme="majorHAnsi" w:eastAsia="Times New Roman" w:hAnsiTheme="majorHAnsi" w:cstheme="majorHAnsi"/>
          <w:sz w:val="16"/>
          <w:szCs w:val="16"/>
        </w:rPr>
        <w:t xml:space="preserve"> </w:t>
      </w:r>
      <w:r w:rsidRPr="00EE1719">
        <w:rPr>
          <w:rFonts w:asciiTheme="majorHAnsi" w:eastAsia="Times New Roman" w:hAnsiTheme="majorHAnsi" w:cstheme="majorHAnsi"/>
          <w:sz w:val="16"/>
          <w:szCs w:val="16"/>
        </w:rPr>
        <w:t>înaintate acțiuni în organele de justiție de apreciere a răspunderii persoanelor din cadrul Colegiului Agroindustrial Ungheni</w:t>
      </w:r>
      <w:r w:rsidR="0069374B" w:rsidRPr="00F42E6E">
        <w:rPr>
          <w:rFonts w:asciiTheme="majorHAnsi" w:hAnsiTheme="majorHAnsi" w:cstheme="majorHAnsi"/>
          <w:sz w:val="16"/>
          <w:szCs w:val="16"/>
        </w:rPr>
        <w:t xml:space="preserve">; altă </w:t>
      </w:r>
      <w:r w:rsidRPr="007C6FC0">
        <w:rPr>
          <w:rFonts w:asciiTheme="majorHAnsi" w:hAnsiTheme="majorHAnsi" w:cstheme="majorHAnsi"/>
          <w:sz w:val="16"/>
          <w:szCs w:val="16"/>
        </w:rPr>
        <w:t>suprafaț</w:t>
      </w:r>
      <w:r w:rsidR="0069374B" w:rsidRPr="00F42E6E">
        <w:rPr>
          <w:rFonts w:asciiTheme="majorHAnsi" w:hAnsiTheme="majorHAnsi" w:cstheme="majorHAnsi"/>
          <w:sz w:val="16"/>
          <w:szCs w:val="16"/>
        </w:rPr>
        <w:t>ă</w:t>
      </w:r>
      <w:r w:rsidRPr="00EE1719">
        <w:rPr>
          <w:rFonts w:asciiTheme="majorHAnsi" w:hAnsiTheme="majorHAnsi" w:cstheme="majorHAnsi"/>
          <w:sz w:val="16"/>
          <w:szCs w:val="16"/>
        </w:rPr>
        <w:t xml:space="preserve"> de 27 ha </w:t>
      </w:r>
      <w:r w:rsidR="0069374B" w:rsidRPr="00F42E6E">
        <w:rPr>
          <w:rFonts w:asciiTheme="majorHAnsi" w:hAnsiTheme="majorHAnsi" w:cstheme="majorHAnsi"/>
          <w:sz w:val="16"/>
          <w:szCs w:val="16"/>
        </w:rPr>
        <w:t xml:space="preserve">cu lucernă </w:t>
      </w:r>
      <w:r w:rsidRPr="00EE1719">
        <w:rPr>
          <w:rFonts w:asciiTheme="majorHAnsi" w:hAnsiTheme="majorHAnsi" w:cstheme="majorHAnsi"/>
          <w:sz w:val="16"/>
          <w:szCs w:val="16"/>
        </w:rPr>
        <w:t>(91,6 t lucernă și 18,3 t de amestec furajer recoltate).</w:t>
      </w:r>
    </w:p>
  </w:footnote>
  <w:footnote w:id="23">
    <w:p w14:paraId="5A5908BD" w14:textId="37B5B431" w:rsidR="00A35504" w:rsidRPr="006257D5" w:rsidRDefault="00A35504">
      <w:pPr>
        <w:pStyle w:val="a5"/>
        <w:jc w:val="both"/>
        <w:rPr>
          <w:rFonts w:asciiTheme="majorHAnsi" w:hAnsiTheme="majorHAnsi" w:cstheme="majorHAnsi"/>
          <w:sz w:val="16"/>
          <w:szCs w:val="16"/>
        </w:rPr>
      </w:pPr>
      <w:r w:rsidRPr="006257D5">
        <w:rPr>
          <w:rStyle w:val="a7"/>
          <w:rFonts w:asciiTheme="majorHAnsi" w:hAnsiTheme="majorHAnsi" w:cstheme="majorHAnsi"/>
          <w:sz w:val="16"/>
          <w:szCs w:val="16"/>
        </w:rPr>
        <w:footnoteRef/>
      </w:r>
      <w:r w:rsidRPr="006257D5">
        <w:rPr>
          <w:rFonts w:asciiTheme="majorHAnsi" w:hAnsiTheme="majorHAnsi" w:cstheme="majorHAnsi"/>
          <w:sz w:val="16"/>
          <w:szCs w:val="16"/>
        </w:rPr>
        <w:t xml:space="preserve"> Școala Republican</w:t>
      </w:r>
      <w:r>
        <w:rPr>
          <w:rFonts w:asciiTheme="majorHAnsi" w:hAnsiTheme="majorHAnsi" w:cstheme="majorHAnsi"/>
          <w:sz w:val="16"/>
          <w:szCs w:val="16"/>
        </w:rPr>
        <w:t>ă</w:t>
      </w:r>
      <w:r w:rsidRPr="006257D5">
        <w:rPr>
          <w:rFonts w:asciiTheme="majorHAnsi" w:hAnsiTheme="majorHAnsi" w:cstheme="majorHAnsi"/>
          <w:sz w:val="16"/>
          <w:szCs w:val="16"/>
        </w:rPr>
        <w:t xml:space="preserve"> Specializat</w:t>
      </w:r>
      <w:r>
        <w:rPr>
          <w:rFonts w:asciiTheme="majorHAnsi" w:hAnsiTheme="majorHAnsi" w:cstheme="majorHAnsi"/>
          <w:sz w:val="16"/>
          <w:szCs w:val="16"/>
        </w:rPr>
        <w:t>ă</w:t>
      </w:r>
      <w:r w:rsidRPr="006257D5">
        <w:rPr>
          <w:rFonts w:asciiTheme="majorHAnsi" w:hAnsiTheme="majorHAnsi" w:cstheme="majorHAnsi"/>
          <w:sz w:val="16"/>
          <w:szCs w:val="16"/>
        </w:rPr>
        <w:t xml:space="preserve"> de Hipism </w:t>
      </w:r>
      <w:r>
        <w:rPr>
          <w:rFonts w:asciiTheme="majorHAnsi" w:hAnsiTheme="majorHAnsi" w:cstheme="majorHAnsi"/>
          <w:sz w:val="16"/>
          <w:szCs w:val="16"/>
        </w:rPr>
        <w:t>ș</w:t>
      </w:r>
      <w:r w:rsidRPr="006257D5">
        <w:rPr>
          <w:rFonts w:asciiTheme="majorHAnsi" w:hAnsiTheme="majorHAnsi" w:cstheme="majorHAnsi"/>
          <w:sz w:val="16"/>
          <w:szCs w:val="16"/>
        </w:rPr>
        <w:t>i Pentatlon Modern – supraevaluarea</w:t>
      </w:r>
      <w:r w:rsidRPr="00597270">
        <w:rPr>
          <w:rFonts w:asciiTheme="majorHAnsi" w:hAnsiTheme="majorHAnsi" w:cstheme="majorHAnsi"/>
          <w:sz w:val="16"/>
          <w:szCs w:val="16"/>
        </w:rPr>
        <w:t xml:space="preserve"> </w:t>
      </w:r>
      <w:r>
        <w:rPr>
          <w:rFonts w:asciiTheme="majorHAnsi" w:hAnsiTheme="majorHAnsi" w:cstheme="majorHAnsi"/>
          <w:sz w:val="16"/>
          <w:szCs w:val="16"/>
        </w:rPr>
        <w:t>conturilor</w:t>
      </w:r>
      <w:r w:rsidRPr="006257D5">
        <w:rPr>
          <w:rFonts w:asciiTheme="majorHAnsi" w:hAnsiTheme="majorHAnsi" w:cstheme="majorHAnsi"/>
          <w:sz w:val="16"/>
          <w:szCs w:val="16"/>
        </w:rPr>
        <w:t>: 332</w:t>
      </w:r>
      <w:r>
        <w:rPr>
          <w:rFonts w:asciiTheme="majorHAnsi" w:hAnsiTheme="majorHAnsi" w:cstheme="majorHAnsi"/>
          <w:sz w:val="16"/>
          <w:szCs w:val="16"/>
        </w:rPr>
        <w:t xml:space="preserve"> – cu </w:t>
      </w:r>
      <w:r w:rsidRPr="006257D5">
        <w:rPr>
          <w:rFonts w:asciiTheme="majorHAnsi" w:hAnsiTheme="majorHAnsi" w:cstheme="majorHAnsi"/>
          <w:sz w:val="16"/>
          <w:szCs w:val="16"/>
        </w:rPr>
        <w:t xml:space="preserve">145,1 mii lei; 339 – </w:t>
      </w:r>
      <w:r>
        <w:rPr>
          <w:rFonts w:asciiTheme="majorHAnsi" w:hAnsiTheme="majorHAnsi" w:cstheme="majorHAnsi"/>
          <w:sz w:val="16"/>
          <w:szCs w:val="16"/>
        </w:rPr>
        <w:t xml:space="preserve">cu </w:t>
      </w:r>
      <w:r w:rsidRPr="006257D5">
        <w:rPr>
          <w:rFonts w:asciiTheme="majorHAnsi" w:hAnsiTheme="majorHAnsi" w:cstheme="majorHAnsi"/>
          <w:sz w:val="16"/>
          <w:szCs w:val="16"/>
        </w:rPr>
        <w:t xml:space="preserve">343,6 mii lei; 337 – </w:t>
      </w:r>
      <w:r>
        <w:rPr>
          <w:rFonts w:asciiTheme="majorHAnsi" w:hAnsiTheme="majorHAnsi" w:cstheme="majorHAnsi"/>
          <w:sz w:val="16"/>
          <w:szCs w:val="16"/>
        </w:rPr>
        <w:t xml:space="preserve">cu </w:t>
      </w:r>
      <w:r w:rsidRPr="006257D5">
        <w:rPr>
          <w:rFonts w:asciiTheme="majorHAnsi" w:hAnsiTheme="majorHAnsi" w:cstheme="majorHAnsi"/>
          <w:sz w:val="16"/>
          <w:szCs w:val="16"/>
        </w:rPr>
        <w:t xml:space="preserve">211,1 mii lei. </w:t>
      </w:r>
    </w:p>
  </w:footnote>
  <w:footnote w:id="24">
    <w:p w14:paraId="3D13DD05" w14:textId="50CE9C88" w:rsidR="00A35504" w:rsidRPr="000B530E" w:rsidRDefault="00A35504" w:rsidP="00864E49">
      <w:pPr>
        <w:pStyle w:val="a5"/>
        <w:jc w:val="both"/>
        <w:rPr>
          <w:rFonts w:asciiTheme="majorHAnsi" w:hAnsiTheme="majorHAnsi" w:cstheme="majorHAnsi"/>
          <w:sz w:val="16"/>
          <w:szCs w:val="16"/>
        </w:rPr>
      </w:pPr>
      <w:r w:rsidRPr="000B530E">
        <w:rPr>
          <w:rStyle w:val="a7"/>
          <w:rFonts w:asciiTheme="majorHAnsi" w:hAnsiTheme="majorHAnsi" w:cstheme="majorHAnsi"/>
          <w:sz w:val="16"/>
          <w:szCs w:val="16"/>
        </w:rPr>
        <w:footnoteRef/>
      </w:r>
      <w:r w:rsidRPr="000B530E">
        <w:rPr>
          <w:rFonts w:asciiTheme="majorHAnsi" w:hAnsiTheme="majorHAnsi" w:cstheme="majorHAnsi"/>
          <w:sz w:val="16"/>
          <w:szCs w:val="16"/>
        </w:rPr>
        <w:t xml:space="preserve"> </w:t>
      </w:r>
      <w:r>
        <w:rPr>
          <w:rFonts w:asciiTheme="majorHAnsi" w:hAnsiTheme="majorHAnsi" w:cstheme="majorHAnsi"/>
          <w:sz w:val="16"/>
          <w:szCs w:val="16"/>
        </w:rPr>
        <w:t>R</w:t>
      </w:r>
      <w:r w:rsidRPr="000B530E">
        <w:rPr>
          <w:rFonts w:asciiTheme="majorHAnsi" w:hAnsiTheme="majorHAnsi" w:cstheme="majorHAnsi"/>
          <w:sz w:val="16"/>
          <w:szCs w:val="16"/>
        </w:rPr>
        <w:t xml:space="preserve">aportate la contul 314 „Mașini și utilaje”; </w:t>
      </w:r>
      <w:r>
        <w:rPr>
          <w:rFonts w:asciiTheme="majorHAnsi" w:hAnsiTheme="majorHAnsi" w:cstheme="majorHAnsi"/>
          <w:sz w:val="16"/>
          <w:szCs w:val="16"/>
        </w:rPr>
        <w:t xml:space="preserve">contul </w:t>
      </w:r>
      <w:r w:rsidRPr="000B530E">
        <w:rPr>
          <w:rFonts w:asciiTheme="majorHAnsi" w:hAnsiTheme="majorHAnsi" w:cstheme="majorHAnsi"/>
          <w:sz w:val="16"/>
          <w:szCs w:val="16"/>
        </w:rPr>
        <w:t>316 „Unelte şi scule, inventar de producere şi gospodăresc”.</w:t>
      </w:r>
    </w:p>
  </w:footnote>
  <w:footnote w:id="25">
    <w:p w14:paraId="58A12B9B" w14:textId="67344B03" w:rsidR="00A35504" w:rsidRPr="005E38EF" w:rsidRDefault="00A35504" w:rsidP="00BC6305">
      <w:pPr>
        <w:pStyle w:val="a5"/>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ECO 222930</w:t>
      </w:r>
      <w:r>
        <w:rPr>
          <w:rFonts w:asciiTheme="majorHAnsi" w:hAnsiTheme="majorHAnsi" w:cstheme="majorHAnsi"/>
          <w:sz w:val="16"/>
          <w:szCs w:val="16"/>
        </w:rPr>
        <w:t>,</w:t>
      </w:r>
      <w:r w:rsidRPr="00437AB2">
        <w:rPr>
          <w:rFonts w:asciiTheme="majorHAnsi" w:hAnsiTheme="majorHAnsi" w:cstheme="majorHAnsi"/>
          <w:sz w:val="16"/>
          <w:szCs w:val="16"/>
        </w:rPr>
        <w:t xml:space="preserve"> în total 5.982,6 mii lei: IP Universitate</w:t>
      </w:r>
      <w:r>
        <w:rPr>
          <w:rFonts w:asciiTheme="majorHAnsi" w:hAnsiTheme="majorHAnsi" w:cstheme="majorHAnsi"/>
          <w:sz w:val="16"/>
          <w:szCs w:val="16"/>
        </w:rPr>
        <w:t>a</w:t>
      </w:r>
      <w:r w:rsidRPr="00437AB2">
        <w:rPr>
          <w:rFonts w:asciiTheme="majorHAnsi" w:hAnsiTheme="majorHAnsi" w:cstheme="majorHAnsi"/>
          <w:sz w:val="16"/>
          <w:szCs w:val="16"/>
        </w:rPr>
        <w:t xml:space="preserve"> de Stat  din Moldova – 2</w:t>
      </w:r>
      <w:r>
        <w:rPr>
          <w:rFonts w:asciiTheme="majorHAnsi" w:hAnsiTheme="majorHAnsi" w:cstheme="majorHAnsi"/>
          <w:sz w:val="16"/>
          <w:szCs w:val="16"/>
        </w:rPr>
        <w:t>.</w:t>
      </w:r>
      <w:r w:rsidRPr="00437AB2">
        <w:rPr>
          <w:rFonts w:asciiTheme="majorHAnsi" w:hAnsiTheme="majorHAnsi" w:cstheme="majorHAnsi"/>
          <w:sz w:val="16"/>
          <w:szCs w:val="16"/>
        </w:rPr>
        <w:t>772,2 mii lei, IP Universitate</w:t>
      </w:r>
      <w:r>
        <w:rPr>
          <w:rFonts w:asciiTheme="majorHAnsi" w:hAnsiTheme="majorHAnsi" w:cstheme="majorHAnsi"/>
          <w:sz w:val="16"/>
          <w:szCs w:val="16"/>
        </w:rPr>
        <w:t>a</w:t>
      </w:r>
      <w:r w:rsidRPr="00437AB2">
        <w:rPr>
          <w:rFonts w:asciiTheme="majorHAnsi" w:hAnsiTheme="majorHAnsi" w:cstheme="majorHAnsi"/>
          <w:sz w:val="16"/>
          <w:szCs w:val="16"/>
        </w:rPr>
        <w:t xml:space="preserve"> Tehnică a Moldovei – 1</w:t>
      </w:r>
      <w:r>
        <w:rPr>
          <w:rFonts w:asciiTheme="majorHAnsi" w:hAnsiTheme="majorHAnsi" w:cstheme="majorHAnsi"/>
          <w:sz w:val="16"/>
          <w:szCs w:val="16"/>
        </w:rPr>
        <w:t>.</w:t>
      </w:r>
      <w:r w:rsidRPr="00437AB2">
        <w:rPr>
          <w:rFonts w:asciiTheme="majorHAnsi" w:hAnsiTheme="majorHAnsi" w:cstheme="majorHAnsi"/>
          <w:sz w:val="16"/>
          <w:szCs w:val="16"/>
        </w:rPr>
        <w:t>628,0 mii lei, IP Universitate</w:t>
      </w:r>
      <w:r>
        <w:rPr>
          <w:rFonts w:asciiTheme="majorHAnsi" w:hAnsiTheme="majorHAnsi" w:cstheme="majorHAnsi"/>
          <w:sz w:val="16"/>
          <w:szCs w:val="16"/>
        </w:rPr>
        <w:t>a</w:t>
      </w:r>
      <w:r w:rsidRPr="00437AB2">
        <w:rPr>
          <w:rFonts w:asciiTheme="majorHAnsi" w:hAnsiTheme="majorHAnsi" w:cstheme="majorHAnsi"/>
          <w:sz w:val="16"/>
          <w:szCs w:val="16"/>
        </w:rPr>
        <w:t xml:space="preserve"> de Stat din Tiraspol – 835,9 mii lei, IP Universitate</w:t>
      </w:r>
      <w:r>
        <w:rPr>
          <w:rFonts w:asciiTheme="majorHAnsi" w:hAnsiTheme="majorHAnsi" w:cstheme="majorHAnsi"/>
          <w:sz w:val="16"/>
          <w:szCs w:val="16"/>
        </w:rPr>
        <w:t>a</w:t>
      </w:r>
      <w:r w:rsidRPr="00437AB2">
        <w:rPr>
          <w:rFonts w:asciiTheme="majorHAnsi" w:hAnsiTheme="majorHAnsi" w:cstheme="majorHAnsi"/>
          <w:sz w:val="16"/>
          <w:szCs w:val="16"/>
        </w:rPr>
        <w:t xml:space="preserve"> Pedagogică de Stat – 458,2 mii lei, Academia de Studii Economice – 48,7 mii lei, IP Universitate</w:t>
      </w:r>
      <w:r>
        <w:rPr>
          <w:rFonts w:asciiTheme="majorHAnsi" w:hAnsiTheme="majorHAnsi" w:cstheme="majorHAnsi"/>
          <w:sz w:val="16"/>
          <w:szCs w:val="16"/>
        </w:rPr>
        <w:t>a</w:t>
      </w:r>
      <w:r w:rsidRPr="00437AB2">
        <w:rPr>
          <w:rFonts w:asciiTheme="majorHAnsi" w:hAnsiTheme="majorHAnsi" w:cstheme="majorHAnsi"/>
          <w:sz w:val="16"/>
          <w:szCs w:val="16"/>
        </w:rPr>
        <w:t xml:space="preserve"> de Stat </w:t>
      </w:r>
      <w:r>
        <w:rPr>
          <w:rFonts w:asciiTheme="majorHAnsi" w:hAnsiTheme="majorHAnsi" w:cstheme="majorHAnsi"/>
          <w:sz w:val="16"/>
          <w:szCs w:val="16"/>
        </w:rPr>
        <w:t xml:space="preserve">de </w:t>
      </w:r>
      <w:r w:rsidRPr="00437AB2">
        <w:rPr>
          <w:rFonts w:asciiTheme="majorHAnsi" w:hAnsiTheme="majorHAnsi" w:cstheme="majorHAnsi"/>
          <w:sz w:val="16"/>
          <w:szCs w:val="16"/>
        </w:rPr>
        <w:t>Educație Fizică și Sport – 239,6 mii lei.</w:t>
      </w:r>
    </w:p>
  </w:footnote>
  <w:footnote w:id="26">
    <w:p w14:paraId="50F647DC" w14:textId="22760636" w:rsidR="00A35504" w:rsidRPr="00437AB2" w:rsidRDefault="00A35504" w:rsidP="00BC6305">
      <w:pPr>
        <w:pStyle w:val="a5"/>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HG nr.382 din 01.08.2019</w:t>
      </w:r>
      <w:r>
        <w:rPr>
          <w:rFonts w:asciiTheme="majorHAnsi" w:hAnsiTheme="majorHAnsi" w:cstheme="majorHAnsi"/>
          <w:sz w:val="16"/>
          <w:szCs w:val="16"/>
        </w:rPr>
        <w:t xml:space="preserve"> „</w:t>
      </w:r>
      <w:r w:rsidRPr="00437AB2">
        <w:rPr>
          <w:rFonts w:asciiTheme="majorHAnsi" w:hAnsiTheme="majorHAnsi" w:cstheme="majorHAnsi"/>
          <w:sz w:val="16"/>
          <w:szCs w:val="16"/>
        </w:rPr>
        <w:t>Cu privire la aprobarea Metodologiei de finanțare a proiectelor din domeniile cercetării și inovării</w:t>
      </w:r>
      <w:r>
        <w:rPr>
          <w:rFonts w:asciiTheme="majorHAnsi" w:hAnsiTheme="majorHAnsi" w:cstheme="majorHAnsi"/>
          <w:sz w:val="16"/>
          <w:szCs w:val="16"/>
        </w:rPr>
        <w:t>”</w:t>
      </w:r>
      <w:r w:rsidRPr="00437AB2">
        <w:rPr>
          <w:rFonts w:asciiTheme="majorHAnsi" w:hAnsiTheme="majorHAnsi" w:cstheme="majorHAnsi"/>
          <w:sz w:val="16"/>
          <w:szCs w:val="16"/>
        </w:rPr>
        <w:t>.</w:t>
      </w:r>
    </w:p>
  </w:footnote>
  <w:footnote w:id="27">
    <w:p w14:paraId="7775DD04" w14:textId="2798E1D3" w:rsidR="00A35504" w:rsidRPr="00437AB2" w:rsidRDefault="00A35504" w:rsidP="00BC6305">
      <w:pPr>
        <w:pStyle w:val="a5"/>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IP USEFS: cont</w:t>
      </w:r>
      <w:r>
        <w:rPr>
          <w:rFonts w:asciiTheme="majorHAnsi" w:hAnsiTheme="majorHAnsi" w:cstheme="majorHAnsi"/>
          <w:sz w:val="16"/>
          <w:szCs w:val="16"/>
        </w:rPr>
        <w:t>ul</w:t>
      </w:r>
      <w:r w:rsidRPr="00437AB2">
        <w:rPr>
          <w:rFonts w:asciiTheme="majorHAnsi" w:hAnsiTheme="majorHAnsi" w:cstheme="majorHAnsi"/>
          <w:sz w:val="16"/>
          <w:szCs w:val="16"/>
        </w:rPr>
        <w:t xml:space="preserve"> 314 – 205,6 mii lei.</w:t>
      </w:r>
    </w:p>
  </w:footnote>
  <w:footnote w:id="28">
    <w:p w14:paraId="7EC29C61" w14:textId="2157FA5B" w:rsidR="00A35504" w:rsidRPr="00FB4D17" w:rsidRDefault="00A35504" w:rsidP="00BC6305">
      <w:pPr>
        <w:spacing w:after="0" w:line="240" w:lineRule="auto"/>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w:t>
      </w:r>
      <w:r>
        <w:rPr>
          <w:rFonts w:asciiTheme="majorHAnsi" w:hAnsiTheme="majorHAnsi" w:cstheme="majorHAnsi"/>
          <w:sz w:val="16"/>
          <w:szCs w:val="16"/>
        </w:rPr>
        <w:t>P</w:t>
      </w:r>
      <w:r w:rsidRPr="00437AB2">
        <w:rPr>
          <w:rFonts w:asciiTheme="majorHAnsi" w:hAnsiTheme="majorHAnsi" w:cstheme="majorHAnsi"/>
          <w:sz w:val="16"/>
          <w:szCs w:val="16"/>
        </w:rPr>
        <w:t xml:space="preserve">ct. </w:t>
      </w:r>
      <w:r w:rsidRPr="00B63495">
        <w:rPr>
          <w:rFonts w:asciiTheme="majorHAnsi" w:eastAsia="Times New Roman" w:hAnsiTheme="majorHAnsi" w:cstheme="majorHAnsi"/>
          <w:bCs/>
          <w:sz w:val="16"/>
          <w:szCs w:val="16"/>
        </w:rPr>
        <w:t>3.3.48 din</w:t>
      </w:r>
      <w:r>
        <w:rPr>
          <w:rFonts w:asciiTheme="majorHAnsi" w:eastAsia="Times New Roman" w:hAnsiTheme="majorHAnsi" w:cstheme="majorHAnsi"/>
          <w:b/>
          <w:bCs/>
          <w:sz w:val="16"/>
          <w:szCs w:val="16"/>
        </w:rPr>
        <w:t xml:space="preserve"> </w:t>
      </w:r>
      <w:r w:rsidRPr="00437AB2">
        <w:rPr>
          <w:rFonts w:asciiTheme="majorHAnsi" w:hAnsiTheme="majorHAnsi" w:cstheme="majorHAnsi"/>
          <w:sz w:val="16"/>
          <w:szCs w:val="16"/>
        </w:rPr>
        <w:t>O</w:t>
      </w:r>
      <w:r>
        <w:rPr>
          <w:rFonts w:asciiTheme="majorHAnsi" w:hAnsiTheme="majorHAnsi" w:cstheme="majorHAnsi"/>
          <w:sz w:val="16"/>
          <w:szCs w:val="16"/>
        </w:rPr>
        <w:t xml:space="preserve">rdinul </w:t>
      </w:r>
      <w:r w:rsidRPr="00437AB2">
        <w:rPr>
          <w:rFonts w:asciiTheme="majorHAnsi" w:hAnsiTheme="majorHAnsi" w:cstheme="majorHAnsi"/>
          <w:sz w:val="16"/>
          <w:szCs w:val="16"/>
        </w:rPr>
        <w:t>MF nr.216/2015</w:t>
      </w:r>
      <w:r w:rsidRPr="00437AB2">
        <w:rPr>
          <w:rFonts w:asciiTheme="majorHAnsi" w:eastAsia="Times New Roman" w:hAnsiTheme="majorHAnsi" w:cstheme="majorHAnsi"/>
          <w:b/>
          <w:bCs/>
          <w:sz w:val="16"/>
          <w:szCs w:val="16"/>
        </w:rPr>
        <w:t>.</w:t>
      </w:r>
    </w:p>
  </w:footnote>
  <w:footnote w:id="29">
    <w:p w14:paraId="52E76185" w14:textId="04B71A76" w:rsidR="00A35504" w:rsidRPr="00437AB2" w:rsidRDefault="00A35504" w:rsidP="00A75ED2">
      <w:pPr>
        <w:pStyle w:val="a5"/>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Art.16, 21 și 24 din Legea nr.270 din 23.11.2018 </w:t>
      </w:r>
      <w:r>
        <w:rPr>
          <w:rFonts w:asciiTheme="majorHAnsi" w:hAnsiTheme="majorHAnsi" w:cstheme="majorHAnsi"/>
          <w:sz w:val="16"/>
          <w:szCs w:val="16"/>
        </w:rPr>
        <w:t>p</w:t>
      </w:r>
      <w:r w:rsidRPr="00437AB2">
        <w:rPr>
          <w:rFonts w:asciiTheme="majorHAnsi" w:hAnsiTheme="majorHAnsi" w:cstheme="majorHAnsi"/>
          <w:sz w:val="16"/>
          <w:szCs w:val="16"/>
        </w:rPr>
        <w:t>rivind sistemul unitar de salarizare în sectorul bugetar</w:t>
      </w:r>
      <w:r w:rsidR="00BB3605">
        <w:rPr>
          <w:rFonts w:asciiTheme="majorHAnsi" w:hAnsiTheme="majorHAnsi" w:cstheme="majorHAnsi"/>
          <w:sz w:val="16"/>
          <w:szCs w:val="16"/>
        </w:rPr>
        <w:t xml:space="preserve"> (în continuare - Legea nr.270 din 23.11.2018)</w:t>
      </w:r>
      <w:r w:rsidRPr="00437AB2">
        <w:rPr>
          <w:rFonts w:asciiTheme="majorHAnsi" w:hAnsiTheme="majorHAnsi" w:cstheme="majorHAnsi"/>
          <w:sz w:val="16"/>
          <w:szCs w:val="16"/>
        </w:rPr>
        <w:t>.</w:t>
      </w:r>
    </w:p>
  </w:footnote>
  <w:footnote w:id="30">
    <w:p w14:paraId="1195036F" w14:textId="77777777" w:rsidR="00A35504" w:rsidRPr="00437AB2" w:rsidRDefault="00A35504" w:rsidP="00A75ED2">
      <w:pPr>
        <w:pStyle w:val="a5"/>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w:t>
      </w:r>
      <w:r w:rsidRPr="00437AB2">
        <w:rPr>
          <w:rFonts w:asciiTheme="majorHAnsi" w:hAnsiTheme="majorHAnsi" w:cstheme="majorHAnsi"/>
          <w:bCs/>
          <w:sz w:val="16"/>
          <w:szCs w:val="16"/>
        </w:rPr>
        <w:t xml:space="preserve">Ministerul Educației și Cercetării: </w:t>
      </w:r>
      <w:r w:rsidRPr="00437AB2">
        <w:rPr>
          <w:rFonts w:asciiTheme="majorHAnsi" w:hAnsiTheme="majorHAnsi" w:cstheme="majorHAnsi"/>
          <w:sz w:val="16"/>
          <w:szCs w:val="16"/>
        </w:rPr>
        <w:t>Serviciul audit intern; Serviciul probleme speciale; Direcția management instituțional; Secția resurse umane; Secția financiar-administrativă; Serviciul tehnologiei informației și comunicațiilor; Secția managementul documentelor; Secția juridică; Serviciul informare și comunicare cu mass-media (9 subdiviziuni structurale).</w:t>
      </w:r>
    </w:p>
  </w:footnote>
  <w:footnote w:id="31">
    <w:p w14:paraId="1CB1842E" w14:textId="33903CAB" w:rsidR="00A35504" w:rsidRPr="00437AB2" w:rsidRDefault="00A35504" w:rsidP="00A75ED2">
      <w:pPr>
        <w:pStyle w:val="a5"/>
        <w:jc w:val="both"/>
        <w:rPr>
          <w:rFonts w:asciiTheme="majorHAnsi" w:hAnsiTheme="majorHAnsi" w:cstheme="majorHAnsi"/>
          <w:bCs/>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1) Institutul de Genetică, Fiziologie și Protecție a Plantelor:</w:t>
      </w:r>
      <w:r w:rsidRPr="00437AB2">
        <w:rPr>
          <w:rFonts w:asciiTheme="majorHAnsi" w:hAnsiTheme="majorHAnsi" w:cstheme="majorHAnsi"/>
          <w:bCs/>
          <w:sz w:val="16"/>
          <w:szCs w:val="16"/>
        </w:rPr>
        <w:t xml:space="preserve"> premii unice cu ocazia zilelor de sărbătoare nelucrătoare și sărbătorilor profesionale </w:t>
      </w:r>
      <w:r>
        <w:rPr>
          <w:rFonts w:asciiTheme="majorHAnsi" w:hAnsiTheme="majorHAnsi" w:cstheme="majorHAnsi"/>
          <w:bCs/>
          <w:sz w:val="16"/>
          <w:szCs w:val="16"/>
        </w:rPr>
        <w:t>–</w:t>
      </w:r>
      <w:r w:rsidRPr="00437AB2">
        <w:rPr>
          <w:rFonts w:asciiTheme="majorHAnsi" w:hAnsiTheme="majorHAnsi" w:cstheme="majorHAnsi"/>
          <w:bCs/>
          <w:sz w:val="16"/>
          <w:szCs w:val="16"/>
        </w:rPr>
        <w:t xml:space="preserve"> 516</w:t>
      </w:r>
      <w:r>
        <w:rPr>
          <w:rFonts w:asciiTheme="majorHAnsi" w:hAnsiTheme="majorHAnsi" w:cstheme="majorHAnsi"/>
          <w:bCs/>
          <w:sz w:val="16"/>
          <w:szCs w:val="16"/>
        </w:rPr>
        <w:t>.</w:t>
      </w:r>
      <w:r w:rsidRPr="00437AB2">
        <w:rPr>
          <w:rFonts w:asciiTheme="majorHAnsi" w:hAnsiTheme="majorHAnsi" w:cstheme="majorHAnsi"/>
          <w:bCs/>
          <w:sz w:val="16"/>
          <w:szCs w:val="16"/>
        </w:rPr>
        <w:t xml:space="preserve">657,00 lei (4 luni, după reorganizarea MECC). 2) Agenția Națională pentru Curriculum și Evaluare: premii unice cu ocazia zilelor de sărbătoare nelucrătoare și sărbătorilor profesionale </w:t>
      </w:r>
      <w:r>
        <w:rPr>
          <w:rFonts w:asciiTheme="majorHAnsi" w:hAnsiTheme="majorHAnsi" w:cstheme="majorHAnsi"/>
          <w:bCs/>
          <w:sz w:val="16"/>
          <w:szCs w:val="16"/>
        </w:rPr>
        <w:t>–</w:t>
      </w:r>
      <w:r w:rsidRPr="00437AB2">
        <w:rPr>
          <w:rFonts w:asciiTheme="majorHAnsi" w:hAnsiTheme="majorHAnsi" w:cstheme="majorHAnsi"/>
          <w:bCs/>
          <w:sz w:val="16"/>
          <w:szCs w:val="16"/>
        </w:rPr>
        <w:t xml:space="preserve"> 55</w:t>
      </w:r>
      <w:r>
        <w:rPr>
          <w:rFonts w:asciiTheme="majorHAnsi" w:hAnsiTheme="majorHAnsi" w:cstheme="majorHAnsi"/>
          <w:bCs/>
          <w:sz w:val="16"/>
          <w:szCs w:val="16"/>
        </w:rPr>
        <w:t>.</w:t>
      </w:r>
      <w:r w:rsidRPr="00437AB2">
        <w:rPr>
          <w:rFonts w:asciiTheme="majorHAnsi" w:hAnsiTheme="majorHAnsi" w:cstheme="majorHAnsi"/>
          <w:bCs/>
          <w:sz w:val="16"/>
          <w:szCs w:val="16"/>
        </w:rPr>
        <w:t xml:space="preserve">840,00 lei (4 luni, după reorganizarea MECC). 3) Centrul Sportiv de Pregătire a Loturilor Naționale: </w:t>
      </w:r>
      <w:r w:rsidR="00053BEE">
        <w:rPr>
          <w:rFonts w:asciiTheme="majorHAnsi" w:hAnsiTheme="majorHAnsi" w:cstheme="majorHAnsi"/>
          <w:bCs/>
          <w:sz w:val="16"/>
          <w:szCs w:val="16"/>
        </w:rPr>
        <w:t xml:space="preserve">la </w:t>
      </w:r>
      <w:r w:rsidR="00053BEE" w:rsidRPr="009C33C8">
        <w:rPr>
          <w:rFonts w:asciiTheme="majorHAnsi" w:hAnsiTheme="majorHAnsi" w:cstheme="majorHAnsi"/>
          <w:bCs/>
          <w:sz w:val="16"/>
          <w:szCs w:val="16"/>
        </w:rPr>
        <w:t>cumul</w:t>
      </w:r>
      <w:r w:rsidR="00053BEE">
        <w:rPr>
          <w:rFonts w:asciiTheme="majorHAnsi" w:hAnsiTheme="majorHAnsi" w:cstheme="majorHAnsi"/>
          <w:bCs/>
          <w:sz w:val="16"/>
          <w:szCs w:val="16"/>
        </w:rPr>
        <w:t>area</w:t>
      </w:r>
      <w:r w:rsidR="00053BEE" w:rsidRPr="009C33C8">
        <w:rPr>
          <w:rFonts w:asciiTheme="majorHAnsi" w:hAnsiTheme="majorHAnsi" w:cstheme="majorHAnsi"/>
          <w:bCs/>
          <w:sz w:val="16"/>
          <w:szCs w:val="16"/>
        </w:rPr>
        <w:t xml:space="preserve"> funcții</w:t>
      </w:r>
      <w:r w:rsidR="00053BEE">
        <w:rPr>
          <w:rFonts w:asciiTheme="majorHAnsi" w:hAnsiTheme="majorHAnsi" w:cstheme="majorHAnsi"/>
          <w:bCs/>
          <w:sz w:val="16"/>
          <w:szCs w:val="16"/>
        </w:rPr>
        <w:t xml:space="preserve">lor au fost acordate plăți </w:t>
      </w:r>
      <w:r w:rsidR="00053BEE" w:rsidRPr="009C33C8">
        <w:rPr>
          <w:rFonts w:asciiTheme="majorHAnsi" w:hAnsiTheme="majorHAnsi" w:cstheme="majorHAnsi"/>
          <w:bCs/>
          <w:sz w:val="16"/>
          <w:szCs w:val="16"/>
        </w:rPr>
        <w:t>supliment</w:t>
      </w:r>
      <w:r w:rsidR="00053BEE">
        <w:rPr>
          <w:rFonts w:asciiTheme="majorHAnsi" w:hAnsiTheme="majorHAnsi" w:cstheme="majorHAnsi"/>
          <w:bCs/>
          <w:sz w:val="16"/>
          <w:szCs w:val="16"/>
        </w:rPr>
        <w:t xml:space="preserve">are pe lângă salariul de bază </w:t>
      </w:r>
      <w:r>
        <w:rPr>
          <w:rFonts w:asciiTheme="majorHAnsi" w:hAnsiTheme="majorHAnsi" w:cstheme="majorHAnsi"/>
          <w:bCs/>
          <w:sz w:val="16"/>
          <w:szCs w:val="16"/>
        </w:rPr>
        <w:t>–</w:t>
      </w:r>
      <w:r w:rsidRPr="00437AB2">
        <w:rPr>
          <w:rFonts w:asciiTheme="majorHAnsi" w:hAnsiTheme="majorHAnsi" w:cstheme="majorHAnsi"/>
          <w:bCs/>
          <w:sz w:val="16"/>
          <w:szCs w:val="16"/>
        </w:rPr>
        <w:t xml:space="preserve"> 7</w:t>
      </w:r>
      <w:r>
        <w:rPr>
          <w:rFonts w:asciiTheme="majorHAnsi" w:hAnsiTheme="majorHAnsi" w:cstheme="majorHAnsi"/>
          <w:bCs/>
          <w:sz w:val="16"/>
          <w:szCs w:val="16"/>
        </w:rPr>
        <w:t>.</w:t>
      </w:r>
      <w:r w:rsidRPr="00437AB2">
        <w:rPr>
          <w:rFonts w:asciiTheme="majorHAnsi" w:hAnsiTheme="majorHAnsi" w:cstheme="majorHAnsi"/>
          <w:bCs/>
          <w:sz w:val="16"/>
          <w:szCs w:val="16"/>
        </w:rPr>
        <w:t xml:space="preserve">767,78 lei (4 luni, după reorganizarea MECC); sporul pentru performanță </w:t>
      </w:r>
      <w:r>
        <w:rPr>
          <w:rFonts w:asciiTheme="majorHAnsi" w:hAnsiTheme="majorHAnsi" w:cstheme="majorHAnsi"/>
          <w:bCs/>
          <w:sz w:val="16"/>
          <w:szCs w:val="16"/>
        </w:rPr>
        <w:t>–</w:t>
      </w:r>
      <w:r w:rsidRPr="00437AB2">
        <w:rPr>
          <w:rFonts w:asciiTheme="majorHAnsi" w:hAnsiTheme="majorHAnsi" w:cstheme="majorHAnsi"/>
          <w:bCs/>
          <w:sz w:val="16"/>
          <w:szCs w:val="16"/>
        </w:rPr>
        <w:t xml:space="preserve"> 49</w:t>
      </w:r>
      <w:r>
        <w:rPr>
          <w:rFonts w:asciiTheme="majorHAnsi" w:hAnsiTheme="majorHAnsi" w:cstheme="majorHAnsi"/>
          <w:bCs/>
          <w:sz w:val="16"/>
          <w:szCs w:val="16"/>
        </w:rPr>
        <w:t>.</w:t>
      </w:r>
      <w:r w:rsidRPr="00437AB2">
        <w:rPr>
          <w:rFonts w:asciiTheme="majorHAnsi" w:hAnsiTheme="majorHAnsi" w:cstheme="majorHAnsi"/>
          <w:bCs/>
          <w:sz w:val="16"/>
          <w:szCs w:val="16"/>
        </w:rPr>
        <w:t>410,96 lei (4 luni, după reorganizarea MECC). 4) Ministerul Educației și Cercetării: majorarea claselor de salarizare pentru unii angajați care nu au fost încadrați în subdiviziunile de profil de elaborare și monitorizare a politicilor – circa 138</w:t>
      </w:r>
      <w:r>
        <w:rPr>
          <w:rFonts w:asciiTheme="majorHAnsi" w:hAnsiTheme="majorHAnsi" w:cstheme="majorHAnsi"/>
          <w:bCs/>
          <w:sz w:val="16"/>
          <w:szCs w:val="16"/>
        </w:rPr>
        <w:t>.</w:t>
      </w:r>
      <w:r w:rsidRPr="00437AB2">
        <w:rPr>
          <w:rFonts w:asciiTheme="majorHAnsi" w:hAnsiTheme="majorHAnsi" w:cstheme="majorHAnsi"/>
          <w:bCs/>
          <w:sz w:val="16"/>
          <w:szCs w:val="16"/>
        </w:rPr>
        <w:t>961,91 lei (estimativ, luând în considera</w:t>
      </w:r>
      <w:r>
        <w:rPr>
          <w:rFonts w:asciiTheme="majorHAnsi" w:hAnsiTheme="majorHAnsi" w:cstheme="majorHAnsi"/>
          <w:bCs/>
          <w:sz w:val="16"/>
          <w:szCs w:val="16"/>
        </w:rPr>
        <w:t>r</w:t>
      </w:r>
      <w:r w:rsidRPr="00437AB2">
        <w:rPr>
          <w:rFonts w:asciiTheme="majorHAnsi" w:hAnsiTheme="majorHAnsi" w:cstheme="majorHAnsi"/>
          <w:bCs/>
          <w:sz w:val="16"/>
          <w:szCs w:val="16"/>
        </w:rPr>
        <w:t>e salariul de bază, sporul pentru performanță și indemnizația de concediu, cu excluderea din calcul a premiilor unice).</w:t>
      </w:r>
    </w:p>
  </w:footnote>
  <w:footnote w:id="32">
    <w:p w14:paraId="05586876" w14:textId="3F744B35" w:rsidR="00A35504" w:rsidRPr="00437AB2" w:rsidRDefault="00A35504" w:rsidP="00A75ED2">
      <w:pPr>
        <w:pStyle w:val="a5"/>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w:t>
      </w:r>
      <w:r w:rsidRPr="00437AB2">
        <w:rPr>
          <w:rFonts w:asciiTheme="majorHAnsi" w:hAnsiTheme="majorHAnsi" w:cstheme="majorHAnsi"/>
          <w:bCs/>
          <w:sz w:val="16"/>
          <w:szCs w:val="16"/>
        </w:rPr>
        <w:t>Centrul Sportiv de Pregătire a Loturilor Naționale:</w:t>
      </w:r>
      <w:r w:rsidRPr="00437AB2">
        <w:rPr>
          <w:rFonts w:asciiTheme="majorHAnsi" w:hAnsiTheme="majorHAnsi" w:cstheme="majorHAnsi"/>
          <w:sz w:val="16"/>
          <w:szCs w:val="16"/>
        </w:rPr>
        <w:t xml:space="preserve"> </w:t>
      </w:r>
      <w:r w:rsidRPr="00437AB2">
        <w:rPr>
          <w:rFonts w:asciiTheme="majorHAnsi" w:hAnsiTheme="majorHAnsi" w:cstheme="majorHAnsi"/>
          <w:bCs/>
          <w:sz w:val="16"/>
          <w:szCs w:val="16"/>
        </w:rPr>
        <w:t xml:space="preserve">supravegherea tehnică la lucrările de reparație capitală </w:t>
      </w:r>
      <w:r>
        <w:rPr>
          <w:rFonts w:asciiTheme="majorHAnsi" w:hAnsiTheme="majorHAnsi" w:cstheme="majorHAnsi"/>
          <w:bCs/>
          <w:sz w:val="16"/>
          <w:szCs w:val="16"/>
        </w:rPr>
        <w:t>–</w:t>
      </w:r>
      <w:r w:rsidRPr="00437AB2">
        <w:rPr>
          <w:rFonts w:asciiTheme="majorHAnsi" w:hAnsiTheme="majorHAnsi" w:cstheme="majorHAnsi"/>
          <w:bCs/>
          <w:sz w:val="16"/>
          <w:szCs w:val="16"/>
        </w:rPr>
        <w:t xml:space="preserve"> 40</w:t>
      </w:r>
      <w:r>
        <w:rPr>
          <w:rFonts w:asciiTheme="majorHAnsi" w:hAnsiTheme="majorHAnsi" w:cstheme="majorHAnsi"/>
          <w:bCs/>
          <w:sz w:val="16"/>
          <w:szCs w:val="16"/>
        </w:rPr>
        <w:t>.</w:t>
      </w:r>
      <w:r w:rsidRPr="00437AB2">
        <w:rPr>
          <w:rFonts w:asciiTheme="majorHAnsi" w:hAnsiTheme="majorHAnsi" w:cstheme="majorHAnsi"/>
          <w:bCs/>
          <w:sz w:val="16"/>
          <w:szCs w:val="16"/>
        </w:rPr>
        <w:t>157,02 lei.</w:t>
      </w:r>
    </w:p>
  </w:footnote>
  <w:footnote w:id="33">
    <w:p w14:paraId="04ED1A26" w14:textId="77777777" w:rsidR="00A35504" w:rsidRPr="00437AB2" w:rsidRDefault="00A35504" w:rsidP="00A75ED2">
      <w:pPr>
        <w:pStyle w:val="a5"/>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Subcontul 311120 „Reparații capitale ale clădirilor”.</w:t>
      </w:r>
    </w:p>
  </w:footnote>
  <w:footnote w:id="34">
    <w:p w14:paraId="7A484C09" w14:textId="77777777" w:rsidR="00A35504" w:rsidRPr="00437AB2" w:rsidRDefault="00A35504" w:rsidP="00A75ED2">
      <w:pPr>
        <w:pStyle w:val="a5"/>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Pct.3.2.50. din Planul de conturi contabile – „La subcontul de nivelul II 281600 „Alte cheltuieli în bază de contracte cu persoane fizice” se reflectă cheltuielile aferente contractelor individuale de muncă și de prestare a serviciilor cu persoanele fizice, care nu ocupă funcții instituite în structura autorităților/instituțiilor bugetare, pentru efectuarea unor lucrări/munci sau activități specifice pe un termen determinat în cadrul autorităților/instituțiilor”.</w:t>
      </w:r>
    </w:p>
  </w:footnote>
  <w:footnote w:id="35">
    <w:p w14:paraId="4299E656" w14:textId="02BAB7AD" w:rsidR="00A35504" w:rsidRPr="00437AB2" w:rsidRDefault="00A35504" w:rsidP="00A75ED2">
      <w:pPr>
        <w:pStyle w:val="a5"/>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Persoana fizică, servicii de suport și consiliere/consultanță aferente activității de audit intern (14.01. – 31.12.2021); persoana fizică, servicii de suport și consiliere/consultanță aferente activității de audit intern (08.02. – 31.12.2021); trei persoane fizice (plata muncii cu ora) </w:t>
      </w:r>
      <w:r>
        <w:rPr>
          <w:rFonts w:asciiTheme="majorHAnsi" w:hAnsiTheme="majorHAnsi" w:cstheme="majorHAnsi"/>
          <w:sz w:val="16"/>
          <w:szCs w:val="16"/>
        </w:rPr>
        <w:t>–</w:t>
      </w:r>
      <w:r w:rsidRPr="00437AB2">
        <w:rPr>
          <w:rFonts w:asciiTheme="majorHAnsi" w:hAnsiTheme="majorHAnsi" w:cstheme="majorHAnsi"/>
          <w:sz w:val="16"/>
          <w:szCs w:val="16"/>
        </w:rPr>
        <w:t xml:space="preserve"> servicii de elaborare a Programului Național de </w:t>
      </w:r>
      <w:r>
        <w:rPr>
          <w:rFonts w:asciiTheme="majorHAnsi" w:hAnsiTheme="majorHAnsi" w:cstheme="majorHAnsi"/>
          <w:sz w:val="16"/>
          <w:szCs w:val="16"/>
        </w:rPr>
        <w:t>D</w:t>
      </w:r>
      <w:r w:rsidRPr="00437AB2">
        <w:rPr>
          <w:rFonts w:asciiTheme="majorHAnsi" w:hAnsiTheme="majorHAnsi" w:cstheme="majorHAnsi"/>
          <w:sz w:val="16"/>
          <w:szCs w:val="16"/>
        </w:rPr>
        <w:t xml:space="preserve">ezvoltare a Cadrului Național al Calificărilor pe termen mediu, 2022-2027 și a Planului de acțiuni pentru implementarea Programului Național de </w:t>
      </w:r>
      <w:r>
        <w:rPr>
          <w:rFonts w:asciiTheme="majorHAnsi" w:hAnsiTheme="majorHAnsi" w:cstheme="majorHAnsi"/>
          <w:sz w:val="16"/>
          <w:szCs w:val="16"/>
        </w:rPr>
        <w:t>D</w:t>
      </w:r>
      <w:r w:rsidRPr="00437AB2">
        <w:rPr>
          <w:rFonts w:asciiTheme="majorHAnsi" w:hAnsiTheme="majorHAnsi" w:cstheme="majorHAnsi"/>
          <w:sz w:val="16"/>
          <w:szCs w:val="16"/>
        </w:rPr>
        <w:t>ezvoltare a Cadrului Național al Calificărilor (21.10.2021 – 21.02.2022).</w:t>
      </w:r>
    </w:p>
  </w:footnote>
  <w:footnote w:id="36">
    <w:p w14:paraId="25264ED4" w14:textId="77777777" w:rsidR="00A35504" w:rsidRPr="00437AB2" w:rsidRDefault="00A35504" w:rsidP="00A75ED2">
      <w:pPr>
        <w:pStyle w:val="a5"/>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Pct.3.2.23. din Planul de conturi contabile – „La subcontul de nivelul II 222990 „Servicii neatribuite altor alineate” se reflectă cheltuielile pentru alte tipuri de servicii care nu pot fi reflectate la subconturile (222910)-(222980), inclusiv serviciile de alimentare a copiilor și elevilor din instituțiile de învățământ, precum și a păturilor socialmente vulnerabile în cantinele de ajutor social, flori/cadouri care nu pot fi atribuite la grupa de conturi 339 „Alte materiale” și nu pot fi reflectate la subcontul 222920, precum şi cheltuielile pentru audit intern prin asociere sau pe bază de contract”.</w:t>
      </w:r>
    </w:p>
  </w:footnote>
  <w:footnote w:id="37">
    <w:p w14:paraId="2D20D78A" w14:textId="77777777" w:rsidR="00A35504" w:rsidRPr="00437AB2" w:rsidRDefault="00A35504" w:rsidP="00E56BC4">
      <w:pPr>
        <w:pStyle w:val="a5"/>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Centrul Sportiv de Pregătire a Loturilor Naționale.</w:t>
      </w:r>
    </w:p>
  </w:footnote>
  <w:footnote w:id="38">
    <w:p w14:paraId="3DBFAFE5" w14:textId="3CD21717" w:rsidR="00A35504" w:rsidRPr="00437AB2" w:rsidRDefault="00A35504" w:rsidP="00A75ED2">
      <w:pPr>
        <w:pStyle w:val="a5"/>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Pentru perioada de 4 luni, nu au fost raportate cheltuielile efective la indemnizația pentru incapacitatea temporară de muncă în sumă de 4</w:t>
      </w:r>
      <w:r>
        <w:rPr>
          <w:rFonts w:asciiTheme="majorHAnsi" w:hAnsiTheme="majorHAnsi" w:cstheme="majorHAnsi"/>
          <w:sz w:val="16"/>
          <w:szCs w:val="16"/>
        </w:rPr>
        <w:t>.</w:t>
      </w:r>
      <w:r w:rsidRPr="00437AB2">
        <w:rPr>
          <w:rFonts w:asciiTheme="majorHAnsi" w:hAnsiTheme="majorHAnsi" w:cstheme="majorHAnsi"/>
          <w:sz w:val="16"/>
          <w:szCs w:val="16"/>
        </w:rPr>
        <w:t xml:space="preserve">243,65 lei, </w:t>
      </w:r>
      <w:r>
        <w:rPr>
          <w:rFonts w:asciiTheme="majorHAnsi" w:hAnsiTheme="majorHAnsi" w:cstheme="majorHAnsi"/>
          <w:sz w:val="16"/>
          <w:szCs w:val="16"/>
        </w:rPr>
        <w:t>ac</w:t>
      </w:r>
      <w:r w:rsidRPr="00437AB2">
        <w:rPr>
          <w:rFonts w:asciiTheme="majorHAnsi" w:hAnsiTheme="majorHAnsi" w:cstheme="majorHAnsi"/>
          <w:sz w:val="16"/>
          <w:szCs w:val="16"/>
        </w:rPr>
        <w:t>ea</w:t>
      </w:r>
      <w:r>
        <w:rPr>
          <w:rFonts w:asciiTheme="majorHAnsi" w:hAnsiTheme="majorHAnsi" w:cstheme="majorHAnsi"/>
          <w:sz w:val="16"/>
          <w:szCs w:val="16"/>
        </w:rPr>
        <w:t>sta</w:t>
      </w:r>
      <w:r w:rsidRPr="00437AB2">
        <w:rPr>
          <w:rFonts w:asciiTheme="majorHAnsi" w:hAnsiTheme="majorHAnsi" w:cstheme="majorHAnsi"/>
          <w:sz w:val="16"/>
          <w:szCs w:val="16"/>
        </w:rPr>
        <w:t xml:space="preserve"> fiind atribuită spre achitare din contul </w:t>
      </w:r>
      <w:r>
        <w:rPr>
          <w:rFonts w:asciiTheme="majorHAnsi" w:hAnsiTheme="majorHAnsi" w:cstheme="majorHAnsi"/>
          <w:sz w:val="16"/>
          <w:szCs w:val="16"/>
        </w:rPr>
        <w:t>BASS</w:t>
      </w:r>
      <w:r w:rsidRPr="00437AB2">
        <w:rPr>
          <w:rFonts w:asciiTheme="majorHAnsi" w:hAnsiTheme="majorHAnsi" w:cstheme="majorHAnsi"/>
          <w:sz w:val="16"/>
          <w:szCs w:val="16"/>
        </w:rPr>
        <w:t>.</w:t>
      </w:r>
    </w:p>
  </w:footnote>
  <w:footnote w:id="39">
    <w:p w14:paraId="7026649D" w14:textId="6E1B49E4" w:rsidR="00A35504" w:rsidRPr="00EF45CF" w:rsidRDefault="00A35504" w:rsidP="00EF45CF">
      <w:pPr>
        <w:pStyle w:val="a5"/>
        <w:jc w:val="both"/>
        <w:rPr>
          <w:rFonts w:asciiTheme="majorHAnsi" w:hAnsiTheme="majorHAnsi" w:cstheme="majorHAnsi"/>
          <w:sz w:val="16"/>
          <w:szCs w:val="16"/>
        </w:rPr>
      </w:pPr>
      <w:r w:rsidRPr="00EF45CF">
        <w:rPr>
          <w:rStyle w:val="a7"/>
          <w:rFonts w:asciiTheme="majorHAnsi" w:hAnsiTheme="majorHAnsi" w:cstheme="majorHAnsi"/>
          <w:sz w:val="16"/>
          <w:szCs w:val="16"/>
        </w:rPr>
        <w:footnoteRef/>
      </w:r>
      <w:r w:rsidRPr="00EF45CF">
        <w:rPr>
          <w:rFonts w:asciiTheme="majorHAnsi" w:hAnsiTheme="majorHAnsi" w:cstheme="majorHAnsi"/>
          <w:sz w:val="16"/>
          <w:szCs w:val="16"/>
        </w:rPr>
        <w:t xml:space="preserve"> Unele operațiuni nu a</w:t>
      </w:r>
      <w:r>
        <w:rPr>
          <w:rFonts w:asciiTheme="majorHAnsi" w:hAnsiTheme="majorHAnsi" w:cstheme="majorHAnsi"/>
          <w:sz w:val="16"/>
          <w:szCs w:val="16"/>
        </w:rPr>
        <w:t>u</w:t>
      </w:r>
      <w:r w:rsidRPr="00EF45CF">
        <w:rPr>
          <w:rFonts w:asciiTheme="majorHAnsi" w:hAnsiTheme="majorHAnsi" w:cstheme="majorHAnsi"/>
          <w:sz w:val="16"/>
          <w:szCs w:val="16"/>
        </w:rPr>
        <w:t xml:space="preserve"> fost înregistrate și raportate corect și nu au fost confirmate prin documente primare de evidență contabilă și extrasul din fișa contribuabilului de la Serviciul Fiscal de Stat. Creanța/datoria a fost raportată la următoarele subconturi de evidență contabilă (debit 419 – credit 519): 1) 419420 „Creanțe aferente decontărilor personalului privind impozitele” (credit 519520 „Datorii</w:t>
      </w:r>
      <w:r w:rsidRPr="00424987">
        <w:rPr>
          <w:rFonts w:asciiTheme="majorHAnsi" w:hAnsiTheme="majorHAnsi" w:cstheme="majorHAnsi"/>
          <w:sz w:val="16"/>
          <w:szCs w:val="16"/>
        </w:rPr>
        <w:t xml:space="preserve"> aferente decontărilor personalului privind impozitele”) – </w:t>
      </w:r>
      <w:r w:rsidRPr="0043107E">
        <w:rPr>
          <w:rFonts w:asciiTheme="majorHAnsi" w:hAnsiTheme="majorHAnsi" w:cstheme="majorHAnsi"/>
          <w:i/>
          <w:sz w:val="16"/>
          <w:szCs w:val="16"/>
        </w:rPr>
        <w:t>308</w:t>
      </w:r>
      <w:r>
        <w:rPr>
          <w:rFonts w:asciiTheme="majorHAnsi" w:hAnsiTheme="majorHAnsi" w:cstheme="majorHAnsi"/>
          <w:i/>
          <w:sz w:val="16"/>
          <w:szCs w:val="16"/>
        </w:rPr>
        <w:t>.</w:t>
      </w:r>
      <w:r w:rsidRPr="00EF45CF">
        <w:rPr>
          <w:rFonts w:asciiTheme="majorHAnsi" w:hAnsiTheme="majorHAnsi" w:cstheme="majorHAnsi"/>
          <w:i/>
          <w:sz w:val="16"/>
          <w:szCs w:val="16"/>
        </w:rPr>
        <w:t>339,80 lei</w:t>
      </w:r>
      <w:r w:rsidRPr="00EF45CF">
        <w:rPr>
          <w:rFonts w:asciiTheme="majorHAnsi" w:hAnsiTheme="majorHAnsi" w:cstheme="majorHAnsi"/>
          <w:sz w:val="16"/>
          <w:szCs w:val="16"/>
        </w:rPr>
        <w:t xml:space="preserve">; 2) 419440 „Creanțe aferente decontărilor personalului privind primele de asigurare obligatorie de asistență medicală” (credit 519440 „Datorii aferente decontărilor personalului privind primele de asigurări medicale obligatorii”) – </w:t>
      </w:r>
      <w:r w:rsidRPr="00EF45CF">
        <w:rPr>
          <w:rFonts w:asciiTheme="majorHAnsi" w:hAnsiTheme="majorHAnsi" w:cstheme="majorHAnsi"/>
          <w:i/>
          <w:sz w:val="16"/>
          <w:szCs w:val="16"/>
        </w:rPr>
        <w:t>262</w:t>
      </w:r>
      <w:r>
        <w:rPr>
          <w:rFonts w:asciiTheme="majorHAnsi" w:hAnsiTheme="majorHAnsi" w:cstheme="majorHAnsi"/>
          <w:i/>
          <w:sz w:val="16"/>
          <w:szCs w:val="16"/>
        </w:rPr>
        <w:t>.</w:t>
      </w:r>
      <w:r w:rsidRPr="00EF45CF">
        <w:rPr>
          <w:rFonts w:asciiTheme="majorHAnsi" w:hAnsiTheme="majorHAnsi" w:cstheme="majorHAnsi"/>
          <w:i/>
          <w:sz w:val="16"/>
          <w:szCs w:val="16"/>
        </w:rPr>
        <w:t>616,13 lei</w:t>
      </w:r>
      <w:r w:rsidRPr="00EF45CF">
        <w:rPr>
          <w:rFonts w:asciiTheme="majorHAnsi" w:hAnsiTheme="majorHAnsi" w:cstheme="majorHAnsi"/>
          <w:sz w:val="16"/>
          <w:szCs w:val="16"/>
        </w:rPr>
        <w:t>; 3) 419450 „Creanțe aferente de</w:t>
      </w:r>
      <w:r w:rsidRPr="00424987">
        <w:rPr>
          <w:rFonts w:asciiTheme="majorHAnsi" w:hAnsiTheme="majorHAnsi" w:cstheme="majorHAnsi"/>
          <w:sz w:val="16"/>
          <w:szCs w:val="16"/>
        </w:rPr>
        <w:t xml:space="preserve">contărilor cu membrii sindicatelor privind cotizațiile de membru al sindicatului” (credit 519450 „Datorii aferente decontărilor cu membrii sindicatelor privind cotizațiile de membru al sindicatului”) – </w:t>
      </w:r>
      <w:r w:rsidRPr="0043107E">
        <w:rPr>
          <w:rFonts w:asciiTheme="majorHAnsi" w:hAnsiTheme="majorHAnsi" w:cstheme="majorHAnsi"/>
          <w:i/>
          <w:sz w:val="16"/>
          <w:szCs w:val="16"/>
        </w:rPr>
        <w:t>20</w:t>
      </w:r>
      <w:r>
        <w:rPr>
          <w:rFonts w:asciiTheme="majorHAnsi" w:hAnsiTheme="majorHAnsi" w:cstheme="majorHAnsi"/>
          <w:i/>
          <w:sz w:val="16"/>
          <w:szCs w:val="16"/>
        </w:rPr>
        <w:t>.</w:t>
      </w:r>
      <w:r w:rsidRPr="00EF45CF">
        <w:rPr>
          <w:rFonts w:asciiTheme="majorHAnsi" w:hAnsiTheme="majorHAnsi" w:cstheme="majorHAnsi"/>
          <w:i/>
          <w:sz w:val="16"/>
          <w:szCs w:val="16"/>
        </w:rPr>
        <w:t>416,50 lei</w:t>
      </w:r>
      <w:r w:rsidRPr="00EF45CF">
        <w:rPr>
          <w:rFonts w:asciiTheme="majorHAnsi" w:hAnsiTheme="majorHAnsi" w:cstheme="majorHAnsi"/>
          <w:sz w:val="16"/>
          <w:szCs w:val="16"/>
        </w:rPr>
        <w:t xml:space="preserve">; 4) 419800 „Alte creanțe” (credit 519800 „Alte datorii”) – </w:t>
      </w:r>
      <w:r w:rsidRPr="00EF45CF">
        <w:rPr>
          <w:rFonts w:asciiTheme="majorHAnsi" w:hAnsiTheme="majorHAnsi" w:cstheme="majorHAnsi"/>
          <w:i/>
          <w:sz w:val="16"/>
          <w:szCs w:val="16"/>
        </w:rPr>
        <w:t>41</w:t>
      </w:r>
      <w:r>
        <w:rPr>
          <w:rFonts w:asciiTheme="majorHAnsi" w:hAnsiTheme="majorHAnsi" w:cstheme="majorHAnsi"/>
          <w:i/>
          <w:sz w:val="16"/>
          <w:szCs w:val="16"/>
        </w:rPr>
        <w:t>.</w:t>
      </w:r>
      <w:r w:rsidRPr="00EF45CF">
        <w:rPr>
          <w:rFonts w:asciiTheme="majorHAnsi" w:hAnsiTheme="majorHAnsi" w:cstheme="majorHAnsi"/>
          <w:i/>
          <w:sz w:val="16"/>
          <w:szCs w:val="16"/>
        </w:rPr>
        <w:t>371,09 lei</w:t>
      </w:r>
      <w:r w:rsidRPr="00EF45CF">
        <w:rPr>
          <w:rFonts w:asciiTheme="majorHAnsi" w:hAnsiTheme="majorHAnsi" w:cstheme="majorHAnsi"/>
          <w:sz w:val="16"/>
          <w:szCs w:val="16"/>
        </w:rPr>
        <w:t xml:space="preserve"> (alte operațiuni cu persoane fizice).</w:t>
      </w:r>
    </w:p>
  </w:footnote>
  <w:footnote w:id="40">
    <w:p w14:paraId="0537E6BB" w14:textId="77777777" w:rsidR="00A35504" w:rsidRPr="00EF45CF" w:rsidRDefault="00A35504" w:rsidP="00424987">
      <w:pPr>
        <w:pStyle w:val="a5"/>
        <w:jc w:val="both"/>
        <w:rPr>
          <w:rFonts w:asciiTheme="majorHAnsi" w:hAnsiTheme="majorHAnsi" w:cstheme="majorHAnsi"/>
          <w:sz w:val="16"/>
          <w:szCs w:val="16"/>
        </w:rPr>
      </w:pPr>
      <w:r w:rsidRPr="00EF45CF">
        <w:rPr>
          <w:rStyle w:val="a7"/>
          <w:rFonts w:asciiTheme="majorHAnsi" w:hAnsiTheme="majorHAnsi" w:cstheme="majorHAnsi"/>
          <w:sz w:val="16"/>
          <w:szCs w:val="16"/>
        </w:rPr>
        <w:footnoteRef/>
      </w:r>
      <w:r w:rsidRPr="00EF45CF">
        <w:rPr>
          <w:rFonts w:asciiTheme="majorHAnsi" w:hAnsiTheme="majorHAnsi" w:cstheme="majorHAnsi"/>
          <w:sz w:val="16"/>
          <w:szCs w:val="16"/>
        </w:rPr>
        <w:t xml:space="preserve"> 0100212239 – 0,6035 ha; 0100212238 – 0,488 ha.</w:t>
      </w:r>
    </w:p>
  </w:footnote>
  <w:footnote w:id="41">
    <w:p w14:paraId="4A6B8411" w14:textId="65901AC0" w:rsidR="00A35504" w:rsidRPr="00E95E30" w:rsidRDefault="00A35504" w:rsidP="00F42E6E">
      <w:pPr>
        <w:pStyle w:val="a5"/>
        <w:jc w:val="both"/>
        <w:rPr>
          <w:rFonts w:asciiTheme="majorHAnsi" w:hAnsiTheme="majorHAnsi" w:cstheme="majorHAnsi"/>
          <w:sz w:val="16"/>
          <w:szCs w:val="16"/>
        </w:rPr>
      </w:pPr>
      <w:r w:rsidRPr="00F42E6E">
        <w:rPr>
          <w:rStyle w:val="a7"/>
          <w:rFonts w:asciiTheme="majorHAnsi" w:hAnsiTheme="majorHAnsi" w:cstheme="majorHAnsi"/>
          <w:sz w:val="16"/>
          <w:szCs w:val="16"/>
        </w:rPr>
        <w:footnoteRef/>
      </w:r>
      <w:r w:rsidRPr="00F42E6E">
        <w:rPr>
          <w:rFonts w:asciiTheme="majorHAnsi" w:hAnsiTheme="majorHAnsi" w:cstheme="majorHAnsi"/>
          <w:sz w:val="16"/>
          <w:szCs w:val="16"/>
        </w:rPr>
        <w:t xml:space="preserve"> </w:t>
      </w:r>
      <w:r w:rsidRPr="00EF45CF">
        <w:rPr>
          <w:rFonts w:asciiTheme="majorHAnsi" w:hAnsiTheme="majorHAnsi" w:cstheme="majorHAnsi"/>
          <w:sz w:val="16"/>
          <w:szCs w:val="16"/>
        </w:rPr>
        <w:t>a) cheltuielile aferente întreţinerii căminelor, inclusiv a cheltuielilor de personal; b) prestaţiile sociale; c) alte cheltuieli (burselor); d) produsele alimentare, serviciile de alimentare a elevilor; e) mijloacele fixe; f) cheltuielile pentru dezvoltarea instituţiei, conform indicatorilor de performanţă şi bugetului aferent acestora, aprobaţi de Ministerul Educaţiei, Culturii şi Cercetării, cu respectarea limitei alocaţiilor bugetare planificate în acest scop.</w:t>
      </w:r>
    </w:p>
  </w:footnote>
  <w:footnote w:id="42">
    <w:p w14:paraId="4C9B3D12" w14:textId="3DF66953" w:rsidR="00A35504" w:rsidRPr="00424987" w:rsidRDefault="00A35504" w:rsidP="00EF45CF">
      <w:pPr>
        <w:pStyle w:val="a5"/>
        <w:jc w:val="both"/>
        <w:rPr>
          <w:rFonts w:asciiTheme="majorHAnsi" w:hAnsiTheme="majorHAnsi" w:cstheme="majorHAnsi"/>
          <w:sz w:val="16"/>
          <w:szCs w:val="16"/>
        </w:rPr>
      </w:pPr>
      <w:r w:rsidRPr="00EF45CF">
        <w:rPr>
          <w:rStyle w:val="a7"/>
          <w:rFonts w:asciiTheme="majorHAnsi" w:hAnsiTheme="majorHAnsi" w:cstheme="majorHAnsi"/>
          <w:sz w:val="16"/>
          <w:szCs w:val="16"/>
        </w:rPr>
        <w:footnoteRef/>
      </w:r>
      <w:r w:rsidRPr="00EF45CF">
        <w:rPr>
          <w:rFonts w:asciiTheme="majorHAnsi" w:hAnsiTheme="majorHAnsi" w:cstheme="majorHAnsi"/>
          <w:sz w:val="16"/>
          <w:szCs w:val="16"/>
        </w:rPr>
        <w:t xml:space="preserve"> Codul educației </w:t>
      </w:r>
      <w:r w:rsidRPr="00424987">
        <w:rPr>
          <w:rFonts w:asciiTheme="majorHAnsi" w:hAnsiTheme="majorHAnsi" w:cstheme="majorHAnsi"/>
          <w:sz w:val="16"/>
          <w:szCs w:val="16"/>
        </w:rPr>
        <w:t>nr.152 din 17.07.2014.</w:t>
      </w:r>
    </w:p>
  </w:footnote>
  <w:footnote w:id="43">
    <w:p w14:paraId="7A82AAA9" w14:textId="3133657A" w:rsidR="00A35504" w:rsidRPr="00FB4D17" w:rsidRDefault="00A35504" w:rsidP="00A75ED2">
      <w:pPr>
        <w:spacing w:after="0" w:line="240" w:lineRule="auto"/>
        <w:jc w:val="both"/>
        <w:rPr>
          <w:rFonts w:asciiTheme="majorHAnsi" w:eastAsia="Times New Roman" w:hAnsiTheme="majorHAnsi" w:cstheme="majorHAnsi"/>
          <w:bCs/>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H</w:t>
      </w:r>
      <w:r>
        <w:rPr>
          <w:rFonts w:asciiTheme="majorHAnsi" w:hAnsiTheme="majorHAnsi" w:cstheme="majorHAnsi"/>
          <w:sz w:val="16"/>
          <w:szCs w:val="16"/>
        </w:rPr>
        <w:t>G</w:t>
      </w:r>
      <w:r w:rsidRPr="00437AB2">
        <w:rPr>
          <w:rFonts w:asciiTheme="majorHAnsi" w:hAnsiTheme="majorHAnsi" w:cstheme="majorHAnsi"/>
          <w:sz w:val="16"/>
          <w:szCs w:val="16"/>
        </w:rPr>
        <w:t xml:space="preserve"> nr.98 din 16.06.2021 „C</w:t>
      </w:r>
      <w:r w:rsidRPr="00437AB2">
        <w:rPr>
          <w:rFonts w:asciiTheme="majorHAnsi" w:eastAsia="Times New Roman" w:hAnsiTheme="majorHAnsi" w:cstheme="majorHAnsi"/>
          <w:bCs/>
          <w:sz w:val="16"/>
          <w:szCs w:val="16"/>
        </w:rPr>
        <w:t xml:space="preserve">u privire la planurile (comanda de stat) de pregătire a cadrelor de specialitate pe meserii, specialități în </w:t>
      </w:r>
      <w:r w:rsidRPr="003F3417">
        <w:rPr>
          <w:rFonts w:asciiTheme="majorHAnsi" w:eastAsia="Times New Roman" w:hAnsiTheme="majorHAnsi" w:cstheme="majorHAnsi"/>
          <w:bCs/>
          <w:sz w:val="16"/>
          <w:szCs w:val="16"/>
        </w:rPr>
        <w:t xml:space="preserve">instituțiile de </w:t>
      </w:r>
      <w:r w:rsidRPr="00FB4D17">
        <w:rPr>
          <w:rFonts w:asciiTheme="majorHAnsi" w:eastAsia="Times New Roman" w:hAnsiTheme="majorHAnsi" w:cstheme="majorHAnsi"/>
          <w:bCs/>
          <w:sz w:val="16"/>
          <w:szCs w:val="16"/>
        </w:rPr>
        <w:t>învățământ profesional tehnic pentru anul de studii 2021-2022 şi modificarea unor hotărâri ale Guvernului”.</w:t>
      </w:r>
    </w:p>
  </w:footnote>
  <w:footnote w:id="44">
    <w:p w14:paraId="01DA0E68" w14:textId="00BBB032" w:rsidR="00A35504" w:rsidRPr="00437AB2" w:rsidRDefault="00A35504" w:rsidP="00A75ED2">
      <w:pPr>
        <w:pStyle w:val="a5"/>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Învațăm</w:t>
      </w:r>
      <w:r w:rsidR="00EC21F4">
        <w:rPr>
          <w:rFonts w:asciiTheme="majorHAnsi" w:hAnsiTheme="majorHAnsi" w:cstheme="majorHAnsi"/>
          <w:sz w:val="16"/>
          <w:szCs w:val="16"/>
        </w:rPr>
        <w:t>â</w:t>
      </w:r>
      <w:r w:rsidRPr="00437AB2">
        <w:rPr>
          <w:rFonts w:asciiTheme="majorHAnsi" w:hAnsiTheme="majorHAnsi" w:cstheme="majorHAnsi"/>
          <w:sz w:val="16"/>
          <w:szCs w:val="16"/>
        </w:rPr>
        <w:t>ntul superior – 204,5 mil.lei, învățăm</w:t>
      </w:r>
      <w:r w:rsidR="00EC21F4">
        <w:rPr>
          <w:rFonts w:asciiTheme="majorHAnsi" w:hAnsiTheme="majorHAnsi" w:cstheme="majorHAnsi"/>
          <w:sz w:val="16"/>
          <w:szCs w:val="16"/>
        </w:rPr>
        <w:t>â</w:t>
      </w:r>
      <w:r w:rsidRPr="00437AB2">
        <w:rPr>
          <w:rFonts w:asciiTheme="majorHAnsi" w:hAnsiTheme="majorHAnsi" w:cstheme="majorHAnsi"/>
          <w:sz w:val="16"/>
          <w:szCs w:val="16"/>
        </w:rPr>
        <w:t>ntul profesional tehnic: post secundar – 122,8 mil.lei</w:t>
      </w:r>
      <w:r w:rsidR="00EC21F4">
        <w:rPr>
          <w:rFonts w:asciiTheme="majorHAnsi" w:hAnsiTheme="majorHAnsi" w:cstheme="majorHAnsi"/>
          <w:sz w:val="16"/>
          <w:szCs w:val="16"/>
        </w:rPr>
        <w:t>,</w:t>
      </w:r>
      <w:r w:rsidRPr="00437AB2">
        <w:rPr>
          <w:rFonts w:asciiTheme="majorHAnsi" w:hAnsiTheme="majorHAnsi" w:cstheme="majorHAnsi"/>
          <w:sz w:val="16"/>
          <w:szCs w:val="16"/>
        </w:rPr>
        <w:t xml:space="preserve"> și secundar – 9,4 mil.lei.</w:t>
      </w:r>
    </w:p>
  </w:footnote>
  <w:footnote w:id="45">
    <w:p w14:paraId="25676CBF" w14:textId="61EF4634" w:rsidR="00A35504" w:rsidRPr="00437AB2" w:rsidRDefault="00A35504" w:rsidP="00A75ED2">
      <w:pPr>
        <w:pStyle w:val="a5"/>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1</w:t>
      </w:r>
      <w:r w:rsidR="00B64F4B">
        <w:rPr>
          <w:rFonts w:asciiTheme="majorHAnsi" w:hAnsiTheme="majorHAnsi" w:cstheme="majorHAnsi"/>
          <w:sz w:val="16"/>
          <w:szCs w:val="16"/>
        </w:rPr>
        <w:t>.</w:t>
      </w:r>
      <w:r w:rsidRPr="00437AB2">
        <w:rPr>
          <w:rFonts w:asciiTheme="majorHAnsi" w:hAnsiTheme="majorHAnsi" w:cstheme="majorHAnsi"/>
          <w:sz w:val="16"/>
          <w:szCs w:val="16"/>
        </w:rPr>
        <w:t xml:space="preserve">748 (studenți </w:t>
      </w:r>
      <w:r w:rsidR="00B64F4B">
        <w:rPr>
          <w:rFonts w:asciiTheme="majorHAnsi" w:hAnsiTheme="majorHAnsi" w:cstheme="majorHAnsi"/>
          <w:sz w:val="16"/>
          <w:szCs w:val="16"/>
        </w:rPr>
        <w:t xml:space="preserve">din </w:t>
      </w:r>
      <w:r w:rsidRPr="00437AB2">
        <w:rPr>
          <w:rFonts w:asciiTheme="majorHAnsi" w:hAnsiTheme="majorHAnsi" w:cstheme="majorHAnsi"/>
          <w:sz w:val="16"/>
          <w:szCs w:val="16"/>
        </w:rPr>
        <w:t>învățăm</w:t>
      </w:r>
      <w:r w:rsidR="00B64F4B">
        <w:rPr>
          <w:rFonts w:asciiTheme="majorHAnsi" w:hAnsiTheme="majorHAnsi" w:cstheme="majorHAnsi"/>
          <w:sz w:val="16"/>
          <w:szCs w:val="16"/>
        </w:rPr>
        <w:t>â</w:t>
      </w:r>
      <w:r w:rsidRPr="00437AB2">
        <w:rPr>
          <w:rFonts w:asciiTheme="majorHAnsi" w:hAnsiTheme="majorHAnsi" w:cstheme="majorHAnsi"/>
          <w:sz w:val="16"/>
          <w:szCs w:val="16"/>
        </w:rPr>
        <w:t>ntul superior) x 20,68 mii lei</w:t>
      </w:r>
      <w:r w:rsidR="00B64F4B">
        <w:rPr>
          <w:rFonts w:asciiTheme="majorHAnsi" w:hAnsiTheme="majorHAnsi" w:cstheme="majorHAnsi"/>
          <w:sz w:val="16"/>
          <w:szCs w:val="16"/>
        </w:rPr>
        <w:t xml:space="preserve"> </w:t>
      </w:r>
      <w:r w:rsidRPr="00437AB2">
        <w:rPr>
          <w:rFonts w:asciiTheme="majorHAnsi" w:hAnsiTheme="majorHAnsi" w:cstheme="majorHAnsi"/>
          <w:sz w:val="16"/>
          <w:szCs w:val="16"/>
        </w:rPr>
        <w:t>=</w:t>
      </w:r>
      <w:r w:rsidR="00B64F4B">
        <w:rPr>
          <w:rFonts w:asciiTheme="majorHAnsi" w:hAnsiTheme="majorHAnsi" w:cstheme="majorHAnsi"/>
          <w:sz w:val="16"/>
          <w:szCs w:val="16"/>
        </w:rPr>
        <w:t xml:space="preserve"> </w:t>
      </w:r>
      <w:r w:rsidRPr="00437AB2">
        <w:rPr>
          <w:rFonts w:asciiTheme="majorHAnsi" w:hAnsiTheme="majorHAnsi" w:cstheme="majorHAnsi"/>
          <w:sz w:val="16"/>
          <w:szCs w:val="16"/>
        </w:rPr>
        <w:t>36</w:t>
      </w:r>
      <w:r w:rsidR="00B64F4B">
        <w:rPr>
          <w:rFonts w:asciiTheme="majorHAnsi" w:hAnsiTheme="majorHAnsi" w:cstheme="majorHAnsi"/>
          <w:sz w:val="16"/>
          <w:szCs w:val="16"/>
        </w:rPr>
        <w:t>.</w:t>
      </w:r>
      <w:r w:rsidRPr="00437AB2">
        <w:rPr>
          <w:rFonts w:asciiTheme="majorHAnsi" w:hAnsiTheme="majorHAnsi" w:cstheme="majorHAnsi"/>
          <w:sz w:val="16"/>
          <w:szCs w:val="16"/>
        </w:rPr>
        <w:t>148,6 mii lei și 427 (elevi din învățăm</w:t>
      </w:r>
      <w:r w:rsidR="00B64F4B">
        <w:rPr>
          <w:rFonts w:asciiTheme="majorHAnsi" w:hAnsiTheme="majorHAnsi" w:cstheme="majorHAnsi"/>
          <w:sz w:val="16"/>
          <w:szCs w:val="16"/>
        </w:rPr>
        <w:t>â</w:t>
      </w:r>
      <w:r w:rsidRPr="00437AB2">
        <w:rPr>
          <w:rFonts w:asciiTheme="majorHAnsi" w:hAnsiTheme="majorHAnsi" w:cstheme="majorHAnsi"/>
          <w:sz w:val="16"/>
          <w:szCs w:val="16"/>
        </w:rPr>
        <w:t>ntul post secundar ) x 20,34 mii lei = 8</w:t>
      </w:r>
      <w:r w:rsidR="00B64F4B">
        <w:rPr>
          <w:rFonts w:asciiTheme="majorHAnsi" w:hAnsiTheme="majorHAnsi" w:cstheme="majorHAnsi"/>
          <w:sz w:val="16"/>
          <w:szCs w:val="16"/>
        </w:rPr>
        <w:t>.</w:t>
      </w:r>
      <w:r w:rsidRPr="00437AB2">
        <w:rPr>
          <w:rFonts w:asciiTheme="majorHAnsi" w:hAnsiTheme="majorHAnsi" w:cstheme="majorHAnsi"/>
          <w:sz w:val="16"/>
          <w:szCs w:val="16"/>
        </w:rPr>
        <w:t>685,0 mii lei.</w:t>
      </w:r>
    </w:p>
  </w:footnote>
  <w:footnote w:id="46">
    <w:p w14:paraId="184EE650" w14:textId="7776A8DB" w:rsidR="00A35504" w:rsidRPr="00437AB2" w:rsidRDefault="00A35504" w:rsidP="00E56BC4">
      <w:pPr>
        <w:spacing w:after="0" w:line="240" w:lineRule="auto"/>
        <w:jc w:val="both"/>
        <w:rPr>
          <w:rFonts w:asciiTheme="majorHAnsi" w:eastAsia="Times New Roman" w:hAnsiTheme="majorHAnsi" w:cstheme="majorHAnsi"/>
          <w:bCs/>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Legea nr.270 din 23.11.2018</w:t>
      </w:r>
      <w:r w:rsidR="00096B78">
        <w:rPr>
          <w:rFonts w:asciiTheme="majorHAnsi" w:hAnsiTheme="majorHAnsi" w:cstheme="majorHAnsi"/>
          <w:sz w:val="16"/>
          <w:szCs w:val="16"/>
        </w:rPr>
        <w:t>;</w:t>
      </w:r>
      <w:r w:rsidRPr="00437AB2">
        <w:rPr>
          <w:rFonts w:asciiTheme="majorHAnsi" w:hAnsiTheme="majorHAnsi" w:cstheme="majorHAnsi"/>
          <w:sz w:val="16"/>
          <w:szCs w:val="16"/>
        </w:rPr>
        <w:t xml:space="preserve"> HG nr.1234 din 12.12.2018 „P</w:t>
      </w:r>
      <w:r w:rsidRPr="00437AB2">
        <w:rPr>
          <w:rFonts w:asciiTheme="majorHAnsi" w:eastAsia="Times New Roman" w:hAnsiTheme="majorHAnsi" w:cstheme="majorHAnsi"/>
          <w:bCs/>
          <w:sz w:val="16"/>
          <w:szCs w:val="16"/>
        </w:rPr>
        <w:t xml:space="preserve">rivind condițiile de salarizare a personalului din instituțiile de </w:t>
      </w:r>
      <w:r w:rsidR="00F34E9D" w:rsidRPr="00437AB2">
        <w:rPr>
          <w:rFonts w:asciiTheme="majorHAnsi" w:eastAsia="Times New Roman" w:hAnsiTheme="majorHAnsi" w:cstheme="majorHAnsi"/>
          <w:bCs/>
          <w:sz w:val="16"/>
          <w:szCs w:val="16"/>
        </w:rPr>
        <w:t>învățăm</w:t>
      </w:r>
      <w:r w:rsidR="00F34E9D">
        <w:rPr>
          <w:rFonts w:asciiTheme="majorHAnsi" w:eastAsia="Times New Roman" w:hAnsiTheme="majorHAnsi" w:cstheme="majorHAnsi"/>
          <w:bCs/>
          <w:sz w:val="16"/>
          <w:szCs w:val="16"/>
        </w:rPr>
        <w:t>â</w:t>
      </w:r>
      <w:r w:rsidR="00F34E9D" w:rsidRPr="00437AB2">
        <w:rPr>
          <w:rFonts w:asciiTheme="majorHAnsi" w:eastAsia="Times New Roman" w:hAnsiTheme="majorHAnsi" w:cstheme="majorHAnsi"/>
          <w:bCs/>
          <w:sz w:val="16"/>
          <w:szCs w:val="16"/>
        </w:rPr>
        <w:t>nt</w:t>
      </w:r>
      <w:r w:rsidRPr="00437AB2">
        <w:rPr>
          <w:rFonts w:asciiTheme="majorHAnsi" w:eastAsia="Times New Roman" w:hAnsiTheme="majorHAnsi" w:cstheme="majorHAnsi"/>
          <w:bCs/>
          <w:sz w:val="16"/>
          <w:szCs w:val="16"/>
        </w:rPr>
        <w:t xml:space="preserve"> care funcționează în regim de autogestiune financiar-economică”</w:t>
      </w:r>
      <w:r w:rsidR="00B64F4B">
        <w:rPr>
          <w:rFonts w:asciiTheme="majorHAnsi" w:eastAsia="Times New Roman" w:hAnsiTheme="majorHAnsi" w:cstheme="majorHAnsi"/>
          <w:bCs/>
          <w:sz w:val="16"/>
          <w:szCs w:val="16"/>
        </w:rPr>
        <w:t>,</w:t>
      </w:r>
      <w:r w:rsidRPr="00437AB2">
        <w:rPr>
          <w:rFonts w:asciiTheme="majorHAnsi" w:eastAsia="Times New Roman" w:hAnsiTheme="majorHAnsi" w:cstheme="majorHAnsi"/>
          <w:bCs/>
          <w:sz w:val="16"/>
          <w:szCs w:val="16"/>
        </w:rPr>
        <w:t xml:space="preserve"> </w:t>
      </w:r>
      <w:r w:rsidRPr="00437AB2">
        <w:rPr>
          <w:rFonts w:asciiTheme="majorHAnsi" w:hAnsiTheme="majorHAnsi" w:cstheme="majorHAnsi"/>
          <w:sz w:val="16"/>
          <w:szCs w:val="16"/>
        </w:rPr>
        <w:t>potrivit Ordin</w:t>
      </w:r>
      <w:r w:rsidR="00B64F4B">
        <w:rPr>
          <w:rFonts w:asciiTheme="majorHAnsi" w:hAnsiTheme="majorHAnsi" w:cstheme="majorHAnsi"/>
          <w:sz w:val="16"/>
          <w:szCs w:val="16"/>
        </w:rPr>
        <w:t>elor</w:t>
      </w:r>
      <w:r w:rsidRPr="00437AB2">
        <w:rPr>
          <w:rFonts w:asciiTheme="majorHAnsi" w:hAnsiTheme="majorHAnsi" w:cstheme="majorHAnsi"/>
          <w:sz w:val="16"/>
          <w:szCs w:val="16"/>
        </w:rPr>
        <w:t xml:space="preserve"> nr.52 și </w:t>
      </w:r>
      <w:r w:rsidR="00B64F4B">
        <w:rPr>
          <w:rFonts w:asciiTheme="majorHAnsi" w:hAnsiTheme="majorHAnsi" w:cstheme="majorHAnsi"/>
          <w:sz w:val="16"/>
          <w:szCs w:val="16"/>
        </w:rPr>
        <w:t>nr.</w:t>
      </w:r>
      <w:r w:rsidRPr="00437AB2">
        <w:rPr>
          <w:rFonts w:asciiTheme="majorHAnsi" w:hAnsiTheme="majorHAnsi" w:cstheme="majorHAnsi"/>
          <w:sz w:val="16"/>
          <w:szCs w:val="16"/>
        </w:rPr>
        <w:t>52a din 27.04.2021</w:t>
      </w:r>
      <w:r>
        <w:rPr>
          <w:rFonts w:asciiTheme="majorHAnsi" w:hAnsiTheme="majorHAnsi" w:cstheme="majorHAnsi"/>
          <w:sz w:val="16"/>
          <w:szCs w:val="16"/>
        </w:rPr>
        <w:t xml:space="preserve"> </w:t>
      </w:r>
      <w:r w:rsidRPr="00437AB2">
        <w:rPr>
          <w:rFonts w:asciiTheme="majorHAnsi" w:hAnsiTheme="majorHAnsi" w:cstheme="majorHAnsi"/>
          <w:sz w:val="16"/>
          <w:szCs w:val="16"/>
        </w:rPr>
        <w:t xml:space="preserve">(la 3 persoane </w:t>
      </w:r>
      <w:r w:rsidR="00B64F4B">
        <w:rPr>
          <w:rFonts w:asciiTheme="majorHAnsi" w:hAnsiTheme="majorHAnsi" w:cstheme="majorHAnsi"/>
          <w:sz w:val="16"/>
          <w:szCs w:val="16"/>
        </w:rPr>
        <w:t xml:space="preserve">– </w:t>
      </w:r>
      <w:r w:rsidRPr="00437AB2">
        <w:rPr>
          <w:rFonts w:asciiTheme="majorHAnsi" w:hAnsiTheme="majorHAnsi" w:cstheme="majorHAnsi"/>
          <w:sz w:val="16"/>
          <w:szCs w:val="16"/>
        </w:rPr>
        <w:t>60% și la 2</w:t>
      </w:r>
      <w:r w:rsidR="00B64F4B">
        <w:rPr>
          <w:rFonts w:asciiTheme="majorHAnsi" w:hAnsiTheme="majorHAnsi" w:cstheme="majorHAnsi"/>
          <w:sz w:val="16"/>
          <w:szCs w:val="16"/>
        </w:rPr>
        <w:t xml:space="preserve"> – </w:t>
      </w:r>
      <w:r w:rsidRPr="00437AB2">
        <w:rPr>
          <w:rFonts w:asciiTheme="majorHAnsi" w:hAnsiTheme="majorHAnsi" w:cstheme="majorHAnsi"/>
          <w:sz w:val="16"/>
          <w:szCs w:val="16"/>
        </w:rPr>
        <w:t>50%) și nr.82a din 30.06.2021 (la 6 persoane s</w:t>
      </w:r>
      <w:r w:rsidR="00B64F4B">
        <w:rPr>
          <w:rFonts w:asciiTheme="majorHAnsi" w:hAnsiTheme="majorHAnsi" w:cstheme="majorHAnsi"/>
          <w:sz w:val="16"/>
          <w:szCs w:val="16"/>
        </w:rPr>
        <w:t>-</w:t>
      </w:r>
      <w:r w:rsidRPr="00437AB2">
        <w:rPr>
          <w:rFonts w:asciiTheme="majorHAnsi" w:hAnsiTheme="majorHAnsi" w:cstheme="majorHAnsi"/>
          <w:sz w:val="16"/>
          <w:szCs w:val="16"/>
        </w:rPr>
        <w:t>a aprobat în mărime de 100% și la 1</w:t>
      </w:r>
      <w:r w:rsidR="00B64F4B">
        <w:rPr>
          <w:rFonts w:asciiTheme="majorHAnsi" w:hAnsiTheme="majorHAnsi" w:cstheme="majorHAnsi"/>
          <w:sz w:val="16"/>
          <w:szCs w:val="16"/>
        </w:rPr>
        <w:t xml:space="preserve"> – </w:t>
      </w:r>
      <w:r w:rsidRPr="00437AB2">
        <w:rPr>
          <w:rFonts w:asciiTheme="majorHAnsi" w:hAnsiTheme="majorHAnsi" w:cstheme="majorHAnsi"/>
          <w:sz w:val="16"/>
          <w:szCs w:val="16"/>
        </w:rPr>
        <w:t>50%).</w:t>
      </w:r>
    </w:p>
  </w:footnote>
  <w:footnote w:id="47">
    <w:p w14:paraId="107DBD54" w14:textId="40A00F35" w:rsidR="00A35504" w:rsidRPr="00437AB2" w:rsidRDefault="00A35504">
      <w:pPr>
        <w:pStyle w:val="a5"/>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w:t>
      </w:r>
      <w:r>
        <w:rPr>
          <w:rFonts w:asciiTheme="majorHAnsi" w:hAnsiTheme="majorHAnsi" w:cstheme="majorHAnsi"/>
          <w:sz w:val="16"/>
          <w:szCs w:val="16"/>
        </w:rPr>
        <w:t>HG</w:t>
      </w:r>
      <w:r w:rsidRPr="00437AB2">
        <w:rPr>
          <w:rFonts w:asciiTheme="majorHAnsi" w:hAnsiTheme="majorHAnsi" w:cstheme="majorHAnsi"/>
          <w:sz w:val="16"/>
          <w:szCs w:val="16"/>
        </w:rPr>
        <w:t xml:space="preserve">  nr.1231 din 12.12.2018 „Pentru punerea în aplicare a prevederilor Legii nr.270/2018 privind sistemul unitar de salarizare în sectorul bugetar”.</w:t>
      </w:r>
    </w:p>
  </w:footnote>
  <w:footnote w:id="48">
    <w:p w14:paraId="42D50101" w14:textId="7EFA1760" w:rsidR="00A35504" w:rsidRPr="00437AB2" w:rsidRDefault="00A35504">
      <w:pPr>
        <w:pStyle w:val="a5"/>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Ordin</w:t>
      </w:r>
      <w:r w:rsidR="000F6005">
        <w:rPr>
          <w:rFonts w:asciiTheme="majorHAnsi" w:hAnsiTheme="majorHAnsi" w:cstheme="majorHAnsi"/>
          <w:sz w:val="16"/>
          <w:szCs w:val="16"/>
        </w:rPr>
        <w:t>ele</w:t>
      </w:r>
      <w:r w:rsidRPr="00437AB2">
        <w:rPr>
          <w:rFonts w:asciiTheme="majorHAnsi" w:hAnsiTheme="majorHAnsi" w:cstheme="majorHAnsi"/>
          <w:sz w:val="16"/>
          <w:szCs w:val="16"/>
        </w:rPr>
        <w:t xml:space="preserve"> ȘP nr.9 din Chișinău nr.30a, </w:t>
      </w:r>
      <w:r w:rsidR="000F6005">
        <w:rPr>
          <w:rFonts w:asciiTheme="majorHAnsi" w:hAnsiTheme="majorHAnsi" w:cstheme="majorHAnsi"/>
          <w:sz w:val="16"/>
          <w:szCs w:val="16"/>
        </w:rPr>
        <w:t>nr.</w:t>
      </w:r>
      <w:r w:rsidRPr="00437AB2">
        <w:rPr>
          <w:rFonts w:asciiTheme="majorHAnsi" w:hAnsiTheme="majorHAnsi" w:cstheme="majorHAnsi"/>
          <w:sz w:val="16"/>
          <w:szCs w:val="16"/>
        </w:rPr>
        <w:t>31a din 01.03.2021, nr.37 din 01.04.2021, nr.81a din 30.06.2021, nr.83a din 02.07.2021, nr.89 din 26.08.2021 „Cu privire la acordarea sporului cu caracter specific”</w:t>
      </w:r>
      <w:r w:rsidR="000F6005">
        <w:rPr>
          <w:rFonts w:asciiTheme="majorHAnsi" w:hAnsiTheme="majorHAnsi" w:cstheme="majorHAnsi"/>
          <w:sz w:val="16"/>
          <w:szCs w:val="16"/>
        </w:rPr>
        <w:t>.</w:t>
      </w:r>
    </w:p>
  </w:footnote>
  <w:footnote w:id="49">
    <w:p w14:paraId="0BC3A160" w14:textId="5B5FB1B6" w:rsidR="00A35504" w:rsidRPr="00437AB2" w:rsidRDefault="00A35504" w:rsidP="00A75ED2">
      <w:pPr>
        <w:pStyle w:val="a5"/>
        <w:jc w:val="both"/>
        <w:rPr>
          <w:rFonts w:asciiTheme="majorHAnsi" w:hAnsiTheme="majorHAnsi" w:cstheme="majorHAnsi"/>
          <w:bCs/>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w:t>
      </w:r>
      <w:r w:rsidRPr="00437AB2">
        <w:rPr>
          <w:rFonts w:asciiTheme="majorHAnsi" w:hAnsiTheme="majorHAnsi" w:cstheme="majorHAnsi"/>
          <w:bCs/>
          <w:iCs/>
          <w:sz w:val="16"/>
          <w:szCs w:val="16"/>
        </w:rPr>
        <w:t>H</w:t>
      </w:r>
      <w:r w:rsidR="000F6005">
        <w:rPr>
          <w:rFonts w:asciiTheme="majorHAnsi" w:hAnsiTheme="majorHAnsi" w:cstheme="majorHAnsi"/>
          <w:bCs/>
          <w:iCs/>
          <w:sz w:val="16"/>
          <w:szCs w:val="16"/>
        </w:rPr>
        <w:t>G</w:t>
      </w:r>
      <w:r w:rsidRPr="00437AB2">
        <w:rPr>
          <w:rFonts w:asciiTheme="majorHAnsi" w:hAnsiTheme="majorHAnsi" w:cstheme="majorHAnsi"/>
          <w:bCs/>
          <w:iCs/>
          <w:sz w:val="16"/>
          <w:szCs w:val="16"/>
        </w:rPr>
        <w:t xml:space="preserve"> nr.868 din 08.10.2014</w:t>
      </w:r>
      <w:r w:rsidRPr="00437AB2">
        <w:rPr>
          <w:rFonts w:asciiTheme="majorHAnsi" w:hAnsiTheme="majorHAnsi" w:cstheme="majorHAnsi"/>
          <w:bCs/>
          <w:sz w:val="16"/>
          <w:szCs w:val="16"/>
        </w:rPr>
        <w:t xml:space="preserve"> „Privind finanțarea în bază de cost-standard per elev a instituțiilor de învățământ primar și secundar general din subordinea autorităților publice locale de nivelul al doilea”</w:t>
      </w:r>
      <w:r w:rsidRPr="00437AB2">
        <w:rPr>
          <w:rFonts w:asciiTheme="majorHAnsi" w:hAnsiTheme="majorHAnsi" w:cstheme="majorHAnsi"/>
          <w:bCs/>
          <w:iCs/>
          <w:sz w:val="16"/>
          <w:szCs w:val="16"/>
        </w:rPr>
        <w:t>.</w:t>
      </w:r>
    </w:p>
  </w:footnote>
  <w:footnote w:id="50">
    <w:p w14:paraId="6B129D04" w14:textId="01318C6E" w:rsidR="00A35504" w:rsidRPr="00437AB2" w:rsidRDefault="00A35504" w:rsidP="00A75ED2">
      <w:pPr>
        <w:pStyle w:val="a5"/>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w:t>
      </w:r>
      <w:r w:rsidRPr="00437AB2">
        <w:rPr>
          <w:rFonts w:asciiTheme="majorHAnsi" w:hAnsiTheme="majorHAnsi" w:cstheme="majorHAnsi"/>
          <w:iCs/>
          <w:sz w:val="16"/>
          <w:szCs w:val="16"/>
        </w:rPr>
        <w:t>Circulara Ministerului Finanțelor</w:t>
      </w:r>
      <w:r w:rsidR="000F6005">
        <w:rPr>
          <w:rFonts w:asciiTheme="majorHAnsi" w:hAnsiTheme="majorHAnsi" w:cstheme="majorHAnsi"/>
          <w:iCs/>
          <w:sz w:val="16"/>
          <w:szCs w:val="16"/>
        </w:rPr>
        <w:t>:</w:t>
      </w:r>
      <w:r w:rsidRPr="00437AB2">
        <w:rPr>
          <w:rFonts w:asciiTheme="majorHAnsi" w:hAnsiTheme="majorHAnsi" w:cstheme="majorHAnsi"/>
          <w:iCs/>
          <w:sz w:val="16"/>
          <w:szCs w:val="16"/>
        </w:rPr>
        <w:t xml:space="preserve"> </w:t>
      </w:r>
      <w:hyperlink r:id="rId1" w:history="1">
        <w:r w:rsidRPr="00E22DD8">
          <w:rPr>
            <w:rStyle w:val="af"/>
            <w:rFonts w:asciiTheme="majorHAnsi" w:hAnsiTheme="majorHAnsi" w:cstheme="majorHAnsi"/>
            <w:iCs/>
            <w:sz w:val="16"/>
            <w:szCs w:val="16"/>
          </w:rPr>
          <w:t>https://mf.gov.md/ro/buget/circulara-bugetar%C4%83#</w:t>
        </w:r>
      </w:hyperlink>
      <w:r>
        <w:rPr>
          <w:rFonts w:asciiTheme="majorHAnsi" w:hAnsiTheme="majorHAnsi" w:cstheme="majorHAnsi"/>
          <w:iCs/>
          <w:sz w:val="16"/>
          <w:szCs w:val="16"/>
        </w:rPr>
        <w:t xml:space="preserve"> </w:t>
      </w:r>
    </w:p>
  </w:footnote>
  <w:footnote w:id="51">
    <w:p w14:paraId="441E84AF" w14:textId="77777777" w:rsidR="00A35504" w:rsidRPr="00437AB2" w:rsidRDefault="00A35504" w:rsidP="00A75ED2">
      <w:pPr>
        <w:pStyle w:val="a5"/>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Starea creanțelor înregistrate este descrisă pe bază de angajamente începând cu 01.01.2021, deoarece MEC este succesorul legal al MECC. </w:t>
      </w:r>
    </w:p>
  </w:footnote>
  <w:footnote w:id="52">
    <w:p w14:paraId="61D50C82" w14:textId="64E50E5B" w:rsidR="00A35504" w:rsidRPr="003F3417" w:rsidRDefault="00A35504" w:rsidP="00A75ED2">
      <w:pPr>
        <w:pStyle w:val="a5"/>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Asociația Obștească Federația de Lupte din RM: la 01.01.2021 </w:t>
      </w:r>
      <w:r>
        <w:rPr>
          <w:rFonts w:asciiTheme="majorHAnsi" w:hAnsiTheme="majorHAnsi" w:cstheme="majorHAnsi"/>
          <w:sz w:val="16"/>
          <w:szCs w:val="16"/>
        </w:rPr>
        <w:t>–</w:t>
      </w:r>
      <w:r w:rsidRPr="00437AB2">
        <w:rPr>
          <w:rFonts w:asciiTheme="majorHAnsi" w:hAnsiTheme="majorHAnsi" w:cstheme="majorHAnsi"/>
          <w:sz w:val="16"/>
          <w:szCs w:val="16"/>
        </w:rPr>
        <w:t xml:space="preserve"> 7</w:t>
      </w:r>
      <w:r>
        <w:rPr>
          <w:rFonts w:asciiTheme="majorHAnsi" w:hAnsiTheme="majorHAnsi" w:cstheme="majorHAnsi"/>
          <w:sz w:val="16"/>
          <w:szCs w:val="16"/>
        </w:rPr>
        <w:t>.</w:t>
      </w:r>
      <w:r w:rsidRPr="00437AB2">
        <w:rPr>
          <w:rFonts w:asciiTheme="majorHAnsi" w:hAnsiTheme="majorHAnsi" w:cstheme="majorHAnsi"/>
          <w:sz w:val="16"/>
          <w:szCs w:val="16"/>
        </w:rPr>
        <w:t xml:space="preserve">473,3 mii lei, la 31.12.2021 </w:t>
      </w:r>
      <w:r>
        <w:rPr>
          <w:rFonts w:asciiTheme="majorHAnsi" w:hAnsiTheme="majorHAnsi" w:cstheme="majorHAnsi"/>
          <w:sz w:val="16"/>
          <w:szCs w:val="16"/>
        </w:rPr>
        <w:t>–</w:t>
      </w:r>
      <w:r w:rsidRPr="00437AB2">
        <w:rPr>
          <w:rFonts w:asciiTheme="majorHAnsi" w:hAnsiTheme="majorHAnsi" w:cstheme="majorHAnsi"/>
          <w:sz w:val="16"/>
          <w:szCs w:val="16"/>
        </w:rPr>
        <w:t xml:space="preserve"> 10</w:t>
      </w:r>
      <w:r>
        <w:rPr>
          <w:rFonts w:asciiTheme="majorHAnsi" w:hAnsiTheme="majorHAnsi" w:cstheme="majorHAnsi"/>
          <w:sz w:val="16"/>
          <w:szCs w:val="16"/>
        </w:rPr>
        <w:t>.</w:t>
      </w:r>
      <w:r w:rsidRPr="00437AB2">
        <w:rPr>
          <w:rFonts w:asciiTheme="majorHAnsi" w:hAnsiTheme="majorHAnsi" w:cstheme="majorHAnsi"/>
          <w:sz w:val="16"/>
          <w:szCs w:val="16"/>
        </w:rPr>
        <w:t xml:space="preserve">735,8 mii lei;  Asociația Obștească Federația de Judo din RM: la 01.01.2021 </w:t>
      </w:r>
      <w:r>
        <w:rPr>
          <w:rFonts w:asciiTheme="majorHAnsi" w:hAnsiTheme="majorHAnsi" w:cstheme="majorHAnsi"/>
          <w:sz w:val="16"/>
          <w:szCs w:val="16"/>
        </w:rPr>
        <w:t>–</w:t>
      </w:r>
      <w:r w:rsidRPr="00437AB2">
        <w:rPr>
          <w:rFonts w:asciiTheme="majorHAnsi" w:hAnsiTheme="majorHAnsi" w:cstheme="majorHAnsi"/>
          <w:sz w:val="16"/>
          <w:szCs w:val="16"/>
        </w:rPr>
        <w:t xml:space="preserve"> 7</w:t>
      </w:r>
      <w:r>
        <w:rPr>
          <w:rFonts w:asciiTheme="majorHAnsi" w:hAnsiTheme="majorHAnsi" w:cstheme="majorHAnsi"/>
          <w:sz w:val="16"/>
          <w:szCs w:val="16"/>
        </w:rPr>
        <w:t>.</w:t>
      </w:r>
      <w:r w:rsidRPr="00437AB2">
        <w:rPr>
          <w:rFonts w:asciiTheme="majorHAnsi" w:hAnsiTheme="majorHAnsi" w:cstheme="majorHAnsi"/>
          <w:sz w:val="16"/>
          <w:szCs w:val="16"/>
        </w:rPr>
        <w:t xml:space="preserve">007,6 mii lei, la 31.12.2021 </w:t>
      </w:r>
      <w:r>
        <w:rPr>
          <w:rFonts w:asciiTheme="majorHAnsi" w:hAnsiTheme="majorHAnsi" w:cstheme="majorHAnsi"/>
          <w:sz w:val="16"/>
          <w:szCs w:val="16"/>
        </w:rPr>
        <w:t>–</w:t>
      </w:r>
      <w:r w:rsidRPr="00437AB2">
        <w:rPr>
          <w:rFonts w:asciiTheme="majorHAnsi" w:hAnsiTheme="majorHAnsi" w:cstheme="majorHAnsi"/>
          <w:sz w:val="16"/>
          <w:szCs w:val="16"/>
        </w:rPr>
        <w:t xml:space="preserve"> 11</w:t>
      </w:r>
      <w:r>
        <w:rPr>
          <w:rFonts w:asciiTheme="majorHAnsi" w:hAnsiTheme="majorHAnsi" w:cstheme="majorHAnsi"/>
          <w:sz w:val="16"/>
          <w:szCs w:val="16"/>
        </w:rPr>
        <w:t>.</w:t>
      </w:r>
      <w:r w:rsidRPr="00437AB2">
        <w:rPr>
          <w:rFonts w:asciiTheme="majorHAnsi" w:hAnsiTheme="majorHAnsi" w:cstheme="majorHAnsi"/>
          <w:sz w:val="16"/>
          <w:szCs w:val="16"/>
        </w:rPr>
        <w:t xml:space="preserve">297,5 mii lei; Asociația Obștească Federația de Haltere din RM: la 01.01.2021 </w:t>
      </w:r>
      <w:r>
        <w:rPr>
          <w:rFonts w:asciiTheme="majorHAnsi" w:hAnsiTheme="majorHAnsi" w:cstheme="majorHAnsi"/>
          <w:sz w:val="16"/>
          <w:szCs w:val="16"/>
        </w:rPr>
        <w:t>–</w:t>
      </w:r>
      <w:r w:rsidRPr="00437AB2">
        <w:rPr>
          <w:rFonts w:asciiTheme="majorHAnsi" w:hAnsiTheme="majorHAnsi" w:cstheme="majorHAnsi"/>
          <w:sz w:val="16"/>
          <w:szCs w:val="16"/>
        </w:rPr>
        <w:t xml:space="preserve"> 2</w:t>
      </w:r>
      <w:r>
        <w:rPr>
          <w:rFonts w:asciiTheme="majorHAnsi" w:hAnsiTheme="majorHAnsi" w:cstheme="majorHAnsi"/>
          <w:sz w:val="16"/>
          <w:szCs w:val="16"/>
        </w:rPr>
        <w:t>.</w:t>
      </w:r>
      <w:r w:rsidRPr="00437AB2">
        <w:rPr>
          <w:rFonts w:asciiTheme="majorHAnsi" w:hAnsiTheme="majorHAnsi" w:cstheme="majorHAnsi"/>
          <w:sz w:val="16"/>
          <w:szCs w:val="16"/>
        </w:rPr>
        <w:t xml:space="preserve">856,6 mii lei, la 31.12.2021 </w:t>
      </w:r>
      <w:r>
        <w:rPr>
          <w:rFonts w:asciiTheme="majorHAnsi" w:hAnsiTheme="majorHAnsi" w:cstheme="majorHAnsi"/>
          <w:sz w:val="16"/>
          <w:szCs w:val="16"/>
        </w:rPr>
        <w:t>–</w:t>
      </w:r>
      <w:r w:rsidRPr="00437AB2">
        <w:rPr>
          <w:rFonts w:asciiTheme="majorHAnsi" w:hAnsiTheme="majorHAnsi" w:cstheme="majorHAnsi"/>
          <w:sz w:val="16"/>
          <w:szCs w:val="16"/>
        </w:rPr>
        <w:t xml:space="preserve"> 4</w:t>
      </w:r>
      <w:r>
        <w:rPr>
          <w:rFonts w:asciiTheme="majorHAnsi" w:hAnsiTheme="majorHAnsi" w:cstheme="majorHAnsi"/>
          <w:sz w:val="16"/>
          <w:szCs w:val="16"/>
        </w:rPr>
        <w:t>.</w:t>
      </w:r>
      <w:r w:rsidRPr="00437AB2">
        <w:rPr>
          <w:rFonts w:asciiTheme="majorHAnsi" w:hAnsiTheme="majorHAnsi" w:cstheme="majorHAnsi"/>
          <w:sz w:val="16"/>
          <w:szCs w:val="16"/>
        </w:rPr>
        <w:t xml:space="preserve">404,3 mii lei; Federația Independentă de Sporturi Nautice din RM: la 01.01.2021 </w:t>
      </w:r>
      <w:r>
        <w:rPr>
          <w:rFonts w:asciiTheme="majorHAnsi" w:hAnsiTheme="majorHAnsi" w:cstheme="majorHAnsi"/>
          <w:sz w:val="16"/>
          <w:szCs w:val="16"/>
        </w:rPr>
        <w:t>–</w:t>
      </w:r>
      <w:r w:rsidRPr="00437AB2">
        <w:rPr>
          <w:rFonts w:asciiTheme="majorHAnsi" w:hAnsiTheme="majorHAnsi" w:cstheme="majorHAnsi"/>
          <w:sz w:val="16"/>
          <w:szCs w:val="16"/>
        </w:rPr>
        <w:t xml:space="preserve"> 1</w:t>
      </w:r>
      <w:r>
        <w:rPr>
          <w:rFonts w:asciiTheme="majorHAnsi" w:hAnsiTheme="majorHAnsi" w:cstheme="majorHAnsi"/>
          <w:sz w:val="16"/>
          <w:szCs w:val="16"/>
        </w:rPr>
        <w:t>.</w:t>
      </w:r>
      <w:r w:rsidRPr="00437AB2">
        <w:rPr>
          <w:rFonts w:asciiTheme="majorHAnsi" w:hAnsiTheme="majorHAnsi" w:cstheme="majorHAnsi"/>
          <w:sz w:val="16"/>
          <w:szCs w:val="16"/>
        </w:rPr>
        <w:t xml:space="preserve">758,7 mii lei, la 31.12.2021 </w:t>
      </w:r>
      <w:r>
        <w:rPr>
          <w:rFonts w:asciiTheme="majorHAnsi" w:hAnsiTheme="majorHAnsi" w:cstheme="majorHAnsi"/>
          <w:sz w:val="16"/>
          <w:szCs w:val="16"/>
        </w:rPr>
        <w:t>–</w:t>
      </w:r>
      <w:r w:rsidRPr="00437AB2">
        <w:rPr>
          <w:rFonts w:asciiTheme="majorHAnsi" w:hAnsiTheme="majorHAnsi" w:cstheme="majorHAnsi"/>
          <w:sz w:val="16"/>
          <w:szCs w:val="16"/>
        </w:rPr>
        <w:t xml:space="preserve"> 3</w:t>
      </w:r>
      <w:r>
        <w:rPr>
          <w:rFonts w:asciiTheme="majorHAnsi" w:hAnsiTheme="majorHAnsi" w:cstheme="majorHAnsi"/>
          <w:sz w:val="16"/>
          <w:szCs w:val="16"/>
        </w:rPr>
        <w:t>.</w:t>
      </w:r>
      <w:r w:rsidRPr="00437AB2">
        <w:rPr>
          <w:rFonts w:asciiTheme="majorHAnsi" w:hAnsiTheme="majorHAnsi" w:cstheme="majorHAnsi"/>
          <w:sz w:val="16"/>
          <w:szCs w:val="16"/>
        </w:rPr>
        <w:t xml:space="preserve">509,9 mii lei; Asociația Obștească Federația de </w:t>
      </w:r>
      <w:r>
        <w:rPr>
          <w:rFonts w:asciiTheme="majorHAnsi" w:hAnsiTheme="majorHAnsi" w:cstheme="majorHAnsi"/>
          <w:sz w:val="16"/>
          <w:szCs w:val="16"/>
        </w:rPr>
        <w:t>Canotaj</w:t>
      </w:r>
      <w:r w:rsidRPr="00437AB2">
        <w:rPr>
          <w:rFonts w:asciiTheme="majorHAnsi" w:hAnsiTheme="majorHAnsi" w:cstheme="majorHAnsi"/>
          <w:sz w:val="16"/>
          <w:szCs w:val="16"/>
        </w:rPr>
        <w:t xml:space="preserve"> din RM: la 01.01.2021 </w:t>
      </w:r>
      <w:r w:rsidR="00B100F6">
        <w:rPr>
          <w:rFonts w:asciiTheme="majorHAnsi" w:hAnsiTheme="majorHAnsi" w:cstheme="majorHAnsi"/>
          <w:sz w:val="16"/>
          <w:szCs w:val="16"/>
        </w:rPr>
        <w:t>–</w:t>
      </w:r>
      <w:r w:rsidRPr="00437AB2">
        <w:rPr>
          <w:rFonts w:asciiTheme="majorHAnsi" w:hAnsiTheme="majorHAnsi" w:cstheme="majorHAnsi"/>
          <w:sz w:val="16"/>
          <w:szCs w:val="16"/>
        </w:rPr>
        <w:t xml:space="preserve"> 670,6 mii lei, la 31.12.2021 </w:t>
      </w:r>
      <w:r>
        <w:rPr>
          <w:rFonts w:asciiTheme="majorHAnsi" w:hAnsiTheme="majorHAnsi" w:cstheme="majorHAnsi"/>
          <w:sz w:val="16"/>
          <w:szCs w:val="16"/>
        </w:rPr>
        <w:t>–</w:t>
      </w:r>
      <w:r w:rsidRPr="00437AB2">
        <w:rPr>
          <w:rFonts w:asciiTheme="majorHAnsi" w:hAnsiTheme="majorHAnsi" w:cstheme="majorHAnsi"/>
          <w:sz w:val="16"/>
          <w:szCs w:val="16"/>
        </w:rPr>
        <w:t xml:space="preserve"> 1</w:t>
      </w:r>
      <w:r>
        <w:rPr>
          <w:rFonts w:asciiTheme="majorHAnsi" w:hAnsiTheme="majorHAnsi" w:cstheme="majorHAnsi"/>
          <w:sz w:val="16"/>
          <w:szCs w:val="16"/>
        </w:rPr>
        <w:t>.</w:t>
      </w:r>
      <w:r w:rsidRPr="00437AB2">
        <w:rPr>
          <w:rFonts w:asciiTheme="majorHAnsi" w:hAnsiTheme="majorHAnsi" w:cstheme="majorHAnsi"/>
          <w:sz w:val="16"/>
          <w:szCs w:val="16"/>
        </w:rPr>
        <w:t>062,4 mii lei.</w:t>
      </w:r>
    </w:p>
  </w:footnote>
  <w:footnote w:id="53">
    <w:p w14:paraId="454DB663" w14:textId="6F3DF8E8" w:rsidR="00A35504" w:rsidRPr="00A75ED2" w:rsidRDefault="00A35504" w:rsidP="00A75ED2">
      <w:pPr>
        <w:pStyle w:val="a5"/>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w:t>
      </w:r>
      <w:r w:rsidRPr="00A75ED2">
        <w:rPr>
          <w:rFonts w:asciiTheme="majorHAnsi" w:hAnsiTheme="majorHAnsi" w:cstheme="majorHAnsi"/>
          <w:sz w:val="16"/>
          <w:szCs w:val="16"/>
        </w:rPr>
        <w:t xml:space="preserve">Activități sportive – 71,46 mil. lei, </w:t>
      </w:r>
      <w:r w:rsidR="00B100F6">
        <w:rPr>
          <w:rFonts w:asciiTheme="majorHAnsi" w:hAnsiTheme="majorHAnsi" w:cstheme="majorHAnsi"/>
          <w:sz w:val="16"/>
          <w:szCs w:val="16"/>
        </w:rPr>
        <w:t>s</w:t>
      </w:r>
      <w:r w:rsidRPr="00A75ED2">
        <w:rPr>
          <w:rFonts w:asciiTheme="majorHAnsi" w:hAnsiTheme="majorHAnsi" w:cstheme="majorHAnsi"/>
          <w:sz w:val="16"/>
          <w:szCs w:val="16"/>
        </w:rPr>
        <w:t>ervicii pentru tineret – 0,</w:t>
      </w:r>
      <w:r w:rsidR="0015044C" w:rsidRPr="00A75ED2">
        <w:rPr>
          <w:rFonts w:asciiTheme="majorHAnsi" w:hAnsiTheme="majorHAnsi" w:cstheme="majorHAnsi"/>
          <w:sz w:val="16"/>
          <w:szCs w:val="16"/>
        </w:rPr>
        <w:t>0</w:t>
      </w:r>
      <w:r w:rsidR="0015044C">
        <w:rPr>
          <w:rFonts w:asciiTheme="majorHAnsi" w:hAnsiTheme="majorHAnsi" w:cstheme="majorHAnsi"/>
          <w:sz w:val="16"/>
          <w:szCs w:val="16"/>
        </w:rPr>
        <w:t>9</w:t>
      </w:r>
      <w:r w:rsidR="0015044C" w:rsidRPr="00A75ED2">
        <w:rPr>
          <w:rFonts w:asciiTheme="majorHAnsi" w:hAnsiTheme="majorHAnsi" w:cstheme="majorHAnsi"/>
          <w:sz w:val="16"/>
          <w:szCs w:val="16"/>
        </w:rPr>
        <w:t xml:space="preserve"> </w:t>
      </w:r>
      <w:r w:rsidRPr="00A75ED2">
        <w:rPr>
          <w:rFonts w:asciiTheme="majorHAnsi" w:hAnsiTheme="majorHAnsi" w:cstheme="majorHAnsi"/>
          <w:sz w:val="16"/>
          <w:szCs w:val="16"/>
        </w:rPr>
        <w:t>mil. lei.</w:t>
      </w:r>
    </w:p>
  </w:footnote>
  <w:footnote w:id="54">
    <w:p w14:paraId="562E3B93" w14:textId="1A096C2C" w:rsidR="00A35504" w:rsidRPr="00437AB2" w:rsidRDefault="00A35504" w:rsidP="002363C3">
      <w:pPr>
        <w:pStyle w:val="a5"/>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w:t>
      </w:r>
      <w:r w:rsidRPr="00F65D6A">
        <w:rPr>
          <w:rFonts w:asciiTheme="majorHAnsi" w:hAnsiTheme="majorHAnsi" w:cstheme="majorHAnsi"/>
          <w:sz w:val="16"/>
          <w:szCs w:val="16"/>
        </w:rPr>
        <w:t xml:space="preserve">Legea nr.330 din 25.03.1999 </w:t>
      </w:r>
      <w:r w:rsidR="00B100F6">
        <w:rPr>
          <w:rFonts w:asciiTheme="majorHAnsi" w:hAnsiTheme="majorHAnsi" w:cstheme="majorHAnsi"/>
          <w:sz w:val="16"/>
          <w:szCs w:val="16"/>
        </w:rPr>
        <w:t>c</w:t>
      </w:r>
      <w:r w:rsidRPr="00F65D6A">
        <w:rPr>
          <w:rFonts w:asciiTheme="majorHAnsi" w:hAnsiTheme="majorHAnsi" w:cstheme="majorHAnsi"/>
          <w:sz w:val="16"/>
          <w:szCs w:val="16"/>
        </w:rPr>
        <w:t xml:space="preserve">u privire la cultura fizică și </w:t>
      </w:r>
      <w:r w:rsidR="00B100F6">
        <w:rPr>
          <w:rFonts w:asciiTheme="majorHAnsi" w:hAnsiTheme="majorHAnsi" w:cstheme="majorHAnsi"/>
          <w:sz w:val="16"/>
          <w:szCs w:val="16"/>
        </w:rPr>
        <w:t>s</w:t>
      </w:r>
      <w:r w:rsidRPr="00F65D6A">
        <w:rPr>
          <w:rFonts w:asciiTheme="majorHAnsi" w:hAnsiTheme="majorHAnsi" w:cstheme="majorHAnsi"/>
          <w:sz w:val="16"/>
          <w:szCs w:val="16"/>
        </w:rPr>
        <w:t xml:space="preserve">port (în continuare </w:t>
      </w:r>
      <w:r w:rsidR="00B100F6">
        <w:rPr>
          <w:rFonts w:asciiTheme="majorHAnsi" w:hAnsiTheme="majorHAnsi" w:cstheme="majorHAnsi"/>
          <w:sz w:val="16"/>
          <w:szCs w:val="16"/>
        </w:rPr>
        <w:t xml:space="preserve">– </w:t>
      </w:r>
      <w:r w:rsidRPr="00F65D6A">
        <w:rPr>
          <w:rFonts w:asciiTheme="majorHAnsi" w:hAnsiTheme="majorHAnsi" w:cstheme="majorHAnsi"/>
          <w:sz w:val="16"/>
          <w:szCs w:val="16"/>
        </w:rPr>
        <w:t xml:space="preserve"> Legea nr.330 din 25.03.1999).</w:t>
      </w:r>
    </w:p>
  </w:footnote>
  <w:footnote w:id="55">
    <w:p w14:paraId="46B065F8" w14:textId="66CDC2AC" w:rsidR="00A35504" w:rsidRPr="00F65D6A" w:rsidRDefault="00A35504" w:rsidP="002363C3">
      <w:pPr>
        <w:pStyle w:val="a5"/>
        <w:jc w:val="both"/>
        <w:rPr>
          <w:rFonts w:asciiTheme="majorHAnsi" w:hAnsiTheme="majorHAnsi" w:cstheme="majorHAnsi"/>
          <w:bCs/>
          <w:sz w:val="16"/>
          <w:szCs w:val="16"/>
        </w:rPr>
      </w:pPr>
      <w:r w:rsidRPr="00F65D6A">
        <w:rPr>
          <w:rStyle w:val="a7"/>
          <w:rFonts w:asciiTheme="majorHAnsi" w:hAnsiTheme="majorHAnsi" w:cstheme="majorHAnsi"/>
          <w:sz w:val="16"/>
          <w:szCs w:val="16"/>
        </w:rPr>
        <w:footnoteRef/>
      </w:r>
      <w:r w:rsidRPr="00F65D6A">
        <w:rPr>
          <w:rFonts w:asciiTheme="majorHAnsi" w:hAnsiTheme="majorHAnsi" w:cstheme="majorHAnsi"/>
          <w:sz w:val="16"/>
          <w:szCs w:val="16"/>
        </w:rPr>
        <w:t xml:space="preserve"> H</w:t>
      </w:r>
      <w:r w:rsidR="00B100F6">
        <w:rPr>
          <w:rFonts w:asciiTheme="majorHAnsi" w:hAnsiTheme="majorHAnsi" w:cstheme="majorHAnsi"/>
          <w:sz w:val="16"/>
          <w:szCs w:val="16"/>
        </w:rPr>
        <w:t>G</w:t>
      </w:r>
      <w:r w:rsidRPr="00F65D6A">
        <w:rPr>
          <w:rFonts w:asciiTheme="majorHAnsi" w:hAnsiTheme="majorHAnsi" w:cstheme="majorHAnsi"/>
          <w:sz w:val="16"/>
          <w:szCs w:val="16"/>
        </w:rPr>
        <w:t xml:space="preserve"> nr.642 din 17.12.2019 „P</w:t>
      </w:r>
      <w:r w:rsidRPr="00F65D6A">
        <w:rPr>
          <w:rFonts w:asciiTheme="majorHAnsi" w:hAnsiTheme="majorHAnsi" w:cstheme="majorHAnsi"/>
          <w:bCs/>
          <w:sz w:val="16"/>
          <w:szCs w:val="16"/>
        </w:rPr>
        <w:t>entru aprobarea Regulamentului privind modul de calcul şi de plată a indemnizației viagere antrenorilor sportivilor de performanță”.</w:t>
      </w:r>
    </w:p>
  </w:footnote>
  <w:footnote w:id="56">
    <w:p w14:paraId="7844C6B0" w14:textId="77777777" w:rsidR="00A35504" w:rsidRPr="00437AB2" w:rsidRDefault="00A35504" w:rsidP="002363C3">
      <w:pPr>
        <w:pStyle w:val="a5"/>
        <w:jc w:val="both"/>
        <w:rPr>
          <w:rFonts w:asciiTheme="majorHAnsi" w:hAnsiTheme="majorHAnsi" w:cstheme="majorHAnsi"/>
          <w:sz w:val="16"/>
          <w:szCs w:val="16"/>
        </w:rPr>
      </w:pPr>
      <w:r w:rsidRPr="00F65D6A">
        <w:rPr>
          <w:rStyle w:val="a7"/>
          <w:rFonts w:asciiTheme="majorHAnsi" w:hAnsiTheme="majorHAnsi" w:cstheme="majorHAnsi"/>
          <w:sz w:val="16"/>
          <w:szCs w:val="16"/>
        </w:rPr>
        <w:footnoteRef/>
      </w:r>
      <w:r w:rsidRPr="00F65D6A">
        <w:rPr>
          <w:rFonts w:asciiTheme="majorHAnsi" w:hAnsiTheme="majorHAnsi" w:cstheme="majorHAnsi"/>
          <w:sz w:val="16"/>
          <w:szCs w:val="16"/>
        </w:rPr>
        <w:t xml:space="preserve"> Art.34</w:t>
      </w:r>
      <w:r w:rsidRPr="00F65D6A">
        <w:rPr>
          <w:rFonts w:asciiTheme="majorHAnsi" w:hAnsiTheme="majorHAnsi" w:cstheme="majorHAnsi"/>
          <w:sz w:val="16"/>
          <w:szCs w:val="16"/>
          <w:vertAlign w:val="superscript"/>
        </w:rPr>
        <w:t>1</w:t>
      </w:r>
      <w:r w:rsidRPr="00F65D6A">
        <w:rPr>
          <w:rFonts w:asciiTheme="majorHAnsi" w:hAnsiTheme="majorHAnsi" w:cstheme="majorHAnsi"/>
          <w:sz w:val="16"/>
          <w:szCs w:val="16"/>
        </w:rPr>
        <w:t xml:space="preserve"> alin.(4) din Legea nr.330 din 25.03.1999: „Mijloacele necesare pentru achitarea indemnizației viagere antrenorilor se alocă din bugetul de stat şi se achită de către Casa Națională de Asigurări Sociale”. </w:t>
      </w:r>
    </w:p>
  </w:footnote>
  <w:footnote w:id="57">
    <w:p w14:paraId="18CB129E" w14:textId="1D511EFE" w:rsidR="00A35504" w:rsidRPr="00B63495" w:rsidRDefault="00A35504">
      <w:pPr>
        <w:pStyle w:val="a5"/>
        <w:rPr>
          <w:rFonts w:asciiTheme="majorHAnsi" w:hAnsiTheme="majorHAnsi" w:cstheme="majorHAnsi"/>
          <w:sz w:val="16"/>
          <w:szCs w:val="16"/>
        </w:rPr>
      </w:pPr>
      <w:r w:rsidRPr="00B63495">
        <w:rPr>
          <w:rStyle w:val="a7"/>
          <w:rFonts w:asciiTheme="majorHAnsi" w:hAnsiTheme="majorHAnsi" w:cstheme="majorHAnsi"/>
          <w:sz w:val="16"/>
          <w:szCs w:val="16"/>
        </w:rPr>
        <w:footnoteRef/>
      </w:r>
      <w:r w:rsidRPr="00B63495">
        <w:rPr>
          <w:rFonts w:asciiTheme="majorHAnsi" w:hAnsiTheme="majorHAnsi" w:cstheme="majorHAnsi"/>
          <w:sz w:val="16"/>
          <w:szCs w:val="16"/>
        </w:rPr>
        <w:t xml:space="preserve"> </w:t>
      </w:r>
      <w:r>
        <w:rPr>
          <w:rFonts w:asciiTheme="majorHAnsi" w:hAnsiTheme="majorHAnsi" w:cstheme="majorHAnsi"/>
          <w:sz w:val="16"/>
          <w:szCs w:val="16"/>
        </w:rPr>
        <w:t>S</w:t>
      </w:r>
      <w:r w:rsidRPr="00B63495">
        <w:rPr>
          <w:rFonts w:asciiTheme="majorHAnsi" w:hAnsiTheme="majorHAnsi" w:cstheme="majorHAnsi"/>
          <w:sz w:val="16"/>
          <w:szCs w:val="16"/>
          <w:lang w:val="ro-RO"/>
        </w:rPr>
        <w:t>crisoarea de comunicare a Biroului Național de Statistică nr. 08-3/68 din 22.08.2019, adresată MECC</w:t>
      </w:r>
      <w:r>
        <w:rPr>
          <w:rFonts w:asciiTheme="majorHAnsi" w:hAnsiTheme="majorHAnsi" w:cstheme="majorHAnsi"/>
          <w:sz w:val="16"/>
          <w:szCs w:val="16"/>
          <w:lang w:val="ro-RO"/>
        </w:rPr>
        <w:t>.</w:t>
      </w:r>
    </w:p>
  </w:footnote>
  <w:footnote w:id="58">
    <w:p w14:paraId="4F5E2475" w14:textId="0D65EC57" w:rsidR="00A35504" w:rsidRPr="00437AB2" w:rsidRDefault="00A35504" w:rsidP="00DF1BA8">
      <w:pPr>
        <w:pStyle w:val="a5"/>
        <w:jc w:val="both"/>
        <w:rPr>
          <w:rFonts w:asciiTheme="majorHAnsi" w:hAnsiTheme="majorHAnsi" w:cstheme="majorHAnsi"/>
          <w:bCs/>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H</w:t>
      </w:r>
      <w:r w:rsidR="00F74375">
        <w:rPr>
          <w:rFonts w:asciiTheme="majorHAnsi" w:hAnsiTheme="majorHAnsi" w:cstheme="majorHAnsi"/>
          <w:sz w:val="16"/>
          <w:szCs w:val="16"/>
        </w:rPr>
        <w:t>G</w:t>
      </w:r>
      <w:r w:rsidRPr="00437AB2">
        <w:rPr>
          <w:rFonts w:asciiTheme="majorHAnsi" w:hAnsiTheme="majorHAnsi" w:cstheme="majorHAnsi"/>
          <w:sz w:val="16"/>
          <w:szCs w:val="16"/>
        </w:rPr>
        <w:t xml:space="preserve"> nr.942 din 22.12.2020 </w:t>
      </w:r>
      <w:r w:rsidRPr="00437AB2">
        <w:rPr>
          <w:rFonts w:asciiTheme="majorHAnsi" w:hAnsiTheme="majorHAnsi" w:cstheme="majorHAnsi"/>
          <w:bCs/>
          <w:sz w:val="16"/>
          <w:szCs w:val="16"/>
        </w:rPr>
        <w:t>„Pentru stabilirea moratoriului temporar privind încadrarea personalului din sectorul bugetar în funcțiile vacante înregistrate”</w:t>
      </w:r>
      <w:r w:rsidRPr="00437AB2">
        <w:rPr>
          <w:rFonts w:asciiTheme="majorHAnsi" w:hAnsiTheme="majorHAnsi" w:cstheme="majorHAnsi"/>
          <w:sz w:val="16"/>
          <w:szCs w:val="16"/>
        </w:rPr>
        <w:t>.</w:t>
      </w:r>
    </w:p>
  </w:footnote>
  <w:footnote w:id="59">
    <w:p w14:paraId="64121A6F" w14:textId="1E9D0216" w:rsidR="00A35504" w:rsidRPr="00437AB2" w:rsidRDefault="00A35504" w:rsidP="00E56BC4">
      <w:pPr>
        <w:pStyle w:val="a5"/>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w:t>
      </w:r>
      <w:r>
        <w:rPr>
          <w:rFonts w:asciiTheme="majorHAnsi" w:hAnsiTheme="majorHAnsi" w:cstheme="majorHAnsi"/>
          <w:sz w:val="16"/>
          <w:szCs w:val="16"/>
        </w:rPr>
        <w:t>3</w:t>
      </w:r>
      <w:r w:rsidR="00F74375">
        <w:rPr>
          <w:rFonts w:asciiTheme="majorHAnsi" w:hAnsiTheme="majorHAnsi" w:cstheme="majorHAnsi"/>
          <w:sz w:val="16"/>
          <w:szCs w:val="16"/>
        </w:rPr>
        <w:t>.</w:t>
      </w:r>
      <w:r>
        <w:rPr>
          <w:rFonts w:asciiTheme="majorHAnsi" w:hAnsiTheme="majorHAnsi" w:cstheme="majorHAnsi"/>
          <w:sz w:val="16"/>
          <w:szCs w:val="16"/>
        </w:rPr>
        <w:t>018,9</w:t>
      </w:r>
      <w:r w:rsidRPr="00437AB2">
        <w:rPr>
          <w:rFonts w:asciiTheme="majorHAnsi" w:hAnsiTheme="majorHAnsi" w:cstheme="majorHAnsi"/>
          <w:sz w:val="16"/>
          <w:szCs w:val="16"/>
        </w:rPr>
        <w:t xml:space="preserve"> mii lei/</w:t>
      </w:r>
      <w:r>
        <w:rPr>
          <w:rFonts w:asciiTheme="majorHAnsi" w:hAnsiTheme="majorHAnsi" w:cstheme="majorHAnsi"/>
          <w:sz w:val="16"/>
          <w:szCs w:val="16"/>
        </w:rPr>
        <w:t>53</w:t>
      </w:r>
      <w:r w:rsidRPr="00437AB2">
        <w:rPr>
          <w:rFonts w:asciiTheme="majorHAnsi" w:hAnsiTheme="majorHAnsi" w:cstheme="majorHAnsi"/>
          <w:sz w:val="16"/>
          <w:szCs w:val="16"/>
        </w:rPr>
        <w:t xml:space="preserve"> funcții, entități bugetare: Ministerul Educației, Culturii și Cercetării </w:t>
      </w:r>
      <w:r w:rsidR="00F74375">
        <w:rPr>
          <w:rFonts w:asciiTheme="majorHAnsi" w:hAnsiTheme="majorHAnsi" w:cstheme="majorHAnsi"/>
          <w:sz w:val="16"/>
          <w:szCs w:val="16"/>
        </w:rPr>
        <w:t>–</w:t>
      </w:r>
      <w:r w:rsidRPr="00437AB2">
        <w:rPr>
          <w:rFonts w:asciiTheme="majorHAnsi" w:hAnsiTheme="majorHAnsi" w:cstheme="majorHAnsi"/>
          <w:sz w:val="16"/>
          <w:szCs w:val="16"/>
        </w:rPr>
        <w:t xml:space="preserve"> 16 unități de personal supuse moratoriului cu un fond de salarizare de 591,4 mii lei; Ministerul Educației și Cercetării – 6 unități, 240,6 mii lei; Agenția Națională pentru Curriculum și Evaluare – 25 unități, 1</w:t>
      </w:r>
      <w:r w:rsidR="00F74375">
        <w:rPr>
          <w:rFonts w:asciiTheme="majorHAnsi" w:hAnsiTheme="majorHAnsi" w:cstheme="majorHAnsi"/>
          <w:sz w:val="16"/>
          <w:szCs w:val="16"/>
        </w:rPr>
        <w:t>.</w:t>
      </w:r>
      <w:r w:rsidRPr="00437AB2">
        <w:rPr>
          <w:rFonts w:asciiTheme="majorHAnsi" w:hAnsiTheme="majorHAnsi" w:cstheme="majorHAnsi"/>
          <w:sz w:val="16"/>
          <w:szCs w:val="16"/>
        </w:rPr>
        <w:t xml:space="preserve">838,9 mii lei; Centrul Sportiv de Pregătire a Loturilor Naționale </w:t>
      </w:r>
      <w:r w:rsidR="00F74375">
        <w:rPr>
          <w:rFonts w:asciiTheme="majorHAnsi" w:hAnsiTheme="majorHAnsi" w:cstheme="majorHAnsi"/>
          <w:sz w:val="16"/>
          <w:szCs w:val="16"/>
        </w:rPr>
        <w:t>–</w:t>
      </w:r>
      <w:r w:rsidRPr="00437AB2">
        <w:rPr>
          <w:rFonts w:asciiTheme="majorHAnsi" w:hAnsiTheme="majorHAnsi" w:cstheme="majorHAnsi"/>
          <w:sz w:val="16"/>
          <w:szCs w:val="16"/>
        </w:rPr>
        <w:t xml:space="preserve"> 6 unități, 348,0 mii lei.</w:t>
      </w:r>
    </w:p>
  </w:footnote>
  <w:footnote w:id="60">
    <w:p w14:paraId="258CFBE1" w14:textId="091D324F" w:rsidR="00A35504" w:rsidRPr="00437AB2" w:rsidRDefault="00A35504" w:rsidP="00A75ED2">
      <w:pPr>
        <w:spacing w:after="0" w:line="240" w:lineRule="auto"/>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entități bugetare: Ministerul Educației și Cercetării: alocații neutilizate – 70,5 mii lei; Agenția Națională pentru Curriculum și Evaluare: alocații neutilizate</w:t>
      </w:r>
      <w:r w:rsidR="00F74375">
        <w:rPr>
          <w:rFonts w:asciiTheme="majorHAnsi" w:hAnsiTheme="majorHAnsi" w:cstheme="majorHAnsi"/>
          <w:sz w:val="16"/>
          <w:szCs w:val="16"/>
        </w:rPr>
        <w:t>–</w:t>
      </w:r>
      <w:r w:rsidR="00EC2114">
        <w:rPr>
          <w:rFonts w:asciiTheme="majorHAnsi" w:hAnsiTheme="majorHAnsi" w:cstheme="majorHAnsi"/>
          <w:sz w:val="16"/>
          <w:szCs w:val="16"/>
        </w:rPr>
        <w:t xml:space="preserve"> </w:t>
      </w:r>
      <w:r w:rsidRPr="00437AB2">
        <w:rPr>
          <w:rFonts w:asciiTheme="majorHAnsi" w:hAnsiTheme="majorHAnsi" w:cstheme="majorHAnsi"/>
          <w:sz w:val="16"/>
          <w:szCs w:val="16"/>
        </w:rPr>
        <w:t>22,8 mii lei, cumul</w:t>
      </w:r>
      <w:r w:rsidR="00F74375">
        <w:rPr>
          <w:rFonts w:asciiTheme="majorHAnsi" w:hAnsiTheme="majorHAnsi" w:cstheme="majorHAnsi"/>
          <w:sz w:val="16"/>
          <w:szCs w:val="16"/>
        </w:rPr>
        <w:t>–</w:t>
      </w:r>
      <w:r w:rsidRPr="00437AB2">
        <w:rPr>
          <w:rFonts w:asciiTheme="majorHAnsi" w:hAnsiTheme="majorHAnsi" w:cstheme="majorHAnsi"/>
          <w:sz w:val="16"/>
          <w:szCs w:val="16"/>
        </w:rPr>
        <w:t xml:space="preserve">1 unitate cu remunerare în sumă de 23,9 mii lei, munca suplimentară </w:t>
      </w:r>
      <w:r w:rsidR="00F74375">
        <w:rPr>
          <w:rFonts w:asciiTheme="majorHAnsi" w:hAnsiTheme="majorHAnsi" w:cstheme="majorHAnsi"/>
          <w:sz w:val="16"/>
          <w:szCs w:val="16"/>
        </w:rPr>
        <w:t xml:space="preserve">– </w:t>
      </w:r>
      <w:r w:rsidRPr="00EA212C">
        <w:rPr>
          <w:rFonts w:asciiTheme="majorHAnsi" w:hAnsiTheme="majorHAnsi" w:cstheme="majorHAnsi"/>
          <w:sz w:val="16"/>
          <w:szCs w:val="16"/>
        </w:rPr>
        <w:t>504 ore cu</w:t>
      </w:r>
      <w:r w:rsidRPr="00437AB2">
        <w:rPr>
          <w:rFonts w:asciiTheme="majorHAnsi" w:hAnsiTheme="majorHAnsi" w:cstheme="majorHAnsi"/>
          <w:sz w:val="16"/>
          <w:szCs w:val="16"/>
        </w:rPr>
        <w:t xml:space="preserve"> remunerare în sumă de 67,5 mii lei; Centrul Sportiv de Pregătire a Loturilor Naționale: alocații neutilizate </w:t>
      </w:r>
      <w:r w:rsidR="00F74375">
        <w:rPr>
          <w:rFonts w:asciiTheme="majorHAnsi" w:hAnsiTheme="majorHAnsi" w:cstheme="majorHAnsi"/>
          <w:sz w:val="16"/>
          <w:szCs w:val="16"/>
        </w:rPr>
        <w:t>–</w:t>
      </w:r>
      <w:r w:rsidRPr="00437AB2">
        <w:rPr>
          <w:rFonts w:asciiTheme="majorHAnsi" w:hAnsiTheme="majorHAnsi" w:cstheme="majorHAnsi"/>
          <w:sz w:val="16"/>
          <w:szCs w:val="16"/>
        </w:rPr>
        <w:t xml:space="preserve"> 26,1 mii lei</w:t>
      </w:r>
      <w:r w:rsidR="00F74375">
        <w:rPr>
          <w:rFonts w:asciiTheme="majorHAnsi" w:hAnsiTheme="majorHAnsi" w:cstheme="majorHAnsi"/>
          <w:sz w:val="16"/>
          <w:szCs w:val="16"/>
        </w:rPr>
        <w:t>,</w:t>
      </w:r>
      <w:r w:rsidRPr="00437AB2">
        <w:rPr>
          <w:rFonts w:asciiTheme="majorHAnsi" w:hAnsiTheme="majorHAnsi" w:cstheme="majorHAnsi"/>
          <w:sz w:val="16"/>
          <w:szCs w:val="16"/>
        </w:rPr>
        <w:t xml:space="preserve"> cumul–14,1 unități cu remunerare în sumă de 224,0 mii lei.</w:t>
      </w:r>
    </w:p>
  </w:footnote>
  <w:footnote w:id="61">
    <w:p w14:paraId="2CA79B44" w14:textId="1A4A5FCA" w:rsidR="00A35504" w:rsidRPr="00437AB2" w:rsidRDefault="00A35504" w:rsidP="00E56BC4">
      <w:pPr>
        <w:pStyle w:val="a5"/>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Registrul funcțiilor din sectorul bugetar cuprinde </w:t>
      </w:r>
      <w:r w:rsidRPr="00437AB2">
        <w:rPr>
          <w:rFonts w:asciiTheme="majorHAnsi" w:eastAsia="Times New Roman" w:hAnsiTheme="majorHAnsi" w:cstheme="majorHAnsi"/>
          <w:sz w:val="16"/>
          <w:szCs w:val="16"/>
        </w:rPr>
        <w:t xml:space="preserve">Grupul ocupațional „Cultură, tineret şi sport (F)” </w:t>
      </w:r>
      <w:r w:rsidRPr="00437AB2">
        <w:rPr>
          <w:rFonts w:asciiTheme="majorHAnsi" w:hAnsiTheme="majorHAnsi" w:cstheme="majorHAnsi"/>
          <w:sz w:val="16"/>
          <w:szCs w:val="16"/>
        </w:rPr>
        <w:t>corespunzătoare domeniilor de activitate bugetară</w:t>
      </w:r>
      <w:r w:rsidRPr="00437AB2">
        <w:rPr>
          <w:rFonts w:asciiTheme="majorHAnsi" w:eastAsia="Times New Roman" w:hAnsiTheme="majorHAnsi" w:cstheme="majorHAnsi"/>
          <w:sz w:val="16"/>
          <w:szCs w:val="16"/>
        </w:rPr>
        <w:t xml:space="preserve"> ce este aprobat prin Anexa nr.8 </w:t>
      </w:r>
      <w:r w:rsidR="00F74375">
        <w:rPr>
          <w:rFonts w:asciiTheme="majorHAnsi" w:eastAsia="Times New Roman" w:hAnsiTheme="majorHAnsi" w:cstheme="majorHAnsi"/>
          <w:sz w:val="16"/>
          <w:szCs w:val="16"/>
        </w:rPr>
        <w:t>la</w:t>
      </w:r>
      <w:r w:rsidRPr="00437AB2">
        <w:rPr>
          <w:rFonts w:asciiTheme="majorHAnsi" w:eastAsia="Times New Roman" w:hAnsiTheme="majorHAnsi" w:cstheme="majorHAnsi"/>
          <w:sz w:val="16"/>
          <w:szCs w:val="16"/>
        </w:rPr>
        <w:t xml:space="preserve"> Legea nr.270</w:t>
      </w:r>
      <w:r w:rsidR="00BB3605" w:rsidRPr="00BB3605">
        <w:rPr>
          <w:rFonts w:asciiTheme="majorHAnsi" w:hAnsiTheme="majorHAnsi" w:cstheme="majorHAnsi"/>
          <w:sz w:val="16"/>
          <w:szCs w:val="16"/>
        </w:rPr>
        <w:t xml:space="preserve"> </w:t>
      </w:r>
      <w:r w:rsidR="00BB3605" w:rsidRPr="00437AB2">
        <w:rPr>
          <w:rFonts w:asciiTheme="majorHAnsi" w:hAnsiTheme="majorHAnsi" w:cstheme="majorHAnsi"/>
          <w:sz w:val="16"/>
          <w:szCs w:val="16"/>
        </w:rPr>
        <w:t>din 23.11.</w:t>
      </w:r>
      <w:r w:rsidRPr="00437AB2">
        <w:rPr>
          <w:rFonts w:asciiTheme="majorHAnsi" w:eastAsia="Times New Roman" w:hAnsiTheme="majorHAnsi" w:cstheme="majorHAnsi"/>
          <w:sz w:val="16"/>
          <w:szCs w:val="16"/>
        </w:rPr>
        <w:t>2018.</w:t>
      </w:r>
    </w:p>
  </w:footnote>
  <w:footnote w:id="62">
    <w:p w14:paraId="34FC3FD8" w14:textId="659C8C77" w:rsidR="00A35504" w:rsidRPr="00437AB2" w:rsidRDefault="00A35504">
      <w:pPr>
        <w:pStyle w:val="a5"/>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ȘRSHPM: în total înregistrate 21 funcții vacante</w:t>
      </w:r>
      <w:r w:rsidR="00F74375">
        <w:rPr>
          <w:rFonts w:asciiTheme="majorHAnsi" w:hAnsiTheme="majorHAnsi" w:cstheme="majorHAnsi"/>
          <w:sz w:val="16"/>
          <w:szCs w:val="16"/>
        </w:rPr>
        <w:t>,</w:t>
      </w:r>
      <w:r w:rsidRPr="00437AB2">
        <w:rPr>
          <w:rFonts w:asciiTheme="majorHAnsi" w:hAnsiTheme="majorHAnsi" w:cstheme="majorHAnsi"/>
          <w:sz w:val="16"/>
          <w:szCs w:val="16"/>
        </w:rPr>
        <w:t xml:space="preserve"> din care 18 atribuite personalului auxiliar, iar 2 funcții cumulate nu sunt raportate ca vacante.</w:t>
      </w:r>
    </w:p>
  </w:footnote>
  <w:footnote w:id="63">
    <w:p w14:paraId="0DFD385D" w14:textId="4C856607" w:rsidR="00A35504" w:rsidRPr="00437AB2" w:rsidRDefault="00A35504">
      <w:pPr>
        <w:pStyle w:val="rg"/>
        <w:jc w:val="both"/>
        <w:rPr>
          <w:rFonts w:asciiTheme="majorHAnsi" w:hAnsiTheme="majorHAnsi" w:cstheme="majorHAnsi"/>
          <w:sz w:val="16"/>
          <w:szCs w:val="16"/>
          <w:lang w:val="ro-MD"/>
        </w:rPr>
      </w:pPr>
      <w:r w:rsidRPr="00437AB2">
        <w:rPr>
          <w:rStyle w:val="a7"/>
          <w:rFonts w:asciiTheme="majorHAnsi" w:hAnsiTheme="majorHAnsi" w:cstheme="majorHAnsi"/>
          <w:sz w:val="16"/>
          <w:szCs w:val="16"/>
          <w:lang w:val="ro-MD"/>
        </w:rPr>
        <w:footnoteRef/>
      </w:r>
      <w:r w:rsidRPr="00437AB2">
        <w:rPr>
          <w:rFonts w:asciiTheme="majorHAnsi" w:hAnsiTheme="majorHAnsi" w:cstheme="majorHAnsi"/>
          <w:sz w:val="16"/>
          <w:szCs w:val="16"/>
          <w:lang w:val="ro-MD"/>
        </w:rPr>
        <w:t xml:space="preserve"> Regulamentul privind inventarierea</w:t>
      </w:r>
      <w:r w:rsidR="00F74375">
        <w:rPr>
          <w:rFonts w:asciiTheme="majorHAnsi" w:hAnsiTheme="majorHAnsi" w:cstheme="majorHAnsi"/>
          <w:sz w:val="16"/>
          <w:szCs w:val="16"/>
          <w:lang w:val="ro-MD"/>
        </w:rPr>
        <w:t>,</w:t>
      </w:r>
      <w:r w:rsidRPr="00437AB2">
        <w:rPr>
          <w:rFonts w:asciiTheme="majorHAnsi" w:hAnsiTheme="majorHAnsi" w:cstheme="majorHAnsi"/>
          <w:sz w:val="16"/>
          <w:szCs w:val="16"/>
          <w:lang w:val="ro-MD"/>
        </w:rPr>
        <w:t xml:space="preserve"> aprobat prin Ordinul ministrului </w:t>
      </w:r>
      <w:r w:rsidR="00F74375">
        <w:rPr>
          <w:rFonts w:asciiTheme="majorHAnsi" w:hAnsiTheme="majorHAnsi" w:cstheme="majorHAnsi"/>
          <w:sz w:val="16"/>
          <w:szCs w:val="16"/>
          <w:lang w:val="ro-MD"/>
        </w:rPr>
        <w:t>F</w:t>
      </w:r>
      <w:r w:rsidRPr="00437AB2">
        <w:rPr>
          <w:rFonts w:asciiTheme="majorHAnsi" w:hAnsiTheme="majorHAnsi" w:cstheme="majorHAnsi"/>
          <w:sz w:val="16"/>
          <w:szCs w:val="16"/>
          <w:lang w:val="ro-MD"/>
        </w:rPr>
        <w:t xml:space="preserve">inanțelor nr.60 din 29.05.2012 (Pct.8 alin.1). </w:t>
      </w:r>
    </w:p>
  </w:footnote>
  <w:footnote w:id="64">
    <w:p w14:paraId="46680EE4" w14:textId="35483A5B" w:rsidR="00A35504" w:rsidRPr="00437AB2" w:rsidRDefault="00A35504" w:rsidP="00513798">
      <w:pPr>
        <w:pStyle w:val="a5"/>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w:t>
      </w:r>
      <w:r w:rsidR="00F74375">
        <w:rPr>
          <w:rFonts w:asciiTheme="majorHAnsi" w:hAnsiTheme="majorHAnsi" w:cstheme="majorHAnsi"/>
          <w:sz w:val="16"/>
          <w:szCs w:val="16"/>
        </w:rPr>
        <w:t>P</w:t>
      </w:r>
      <w:r w:rsidRPr="00437AB2">
        <w:rPr>
          <w:rFonts w:asciiTheme="majorHAnsi" w:hAnsiTheme="majorHAnsi" w:cstheme="majorHAnsi"/>
          <w:sz w:val="16"/>
          <w:szCs w:val="16"/>
        </w:rPr>
        <w:t xml:space="preserve">ct.60 </w:t>
      </w:r>
      <w:r>
        <w:rPr>
          <w:rFonts w:asciiTheme="majorHAnsi" w:hAnsiTheme="majorHAnsi" w:cstheme="majorHAnsi"/>
          <w:sz w:val="16"/>
          <w:szCs w:val="16"/>
        </w:rPr>
        <w:t xml:space="preserve">din </w:t>
      </w:r>
      <w:r w:rsidRPr="00437AB2">
        <w:rPr>
          <w:rFonts w:asciiTheme="majorHAnsi" w:hAnsiTheme="majorHAnsi" w:cstheme="majorHAnsi"/>
          <w:sz w:val="16"/>
          <w:szCs w:val="16"/>
        </w:rPr>
        <w:t>Ordin</w:t>
      </w:r>
      <w:r>
        <w:rPr>
          <w:rFonts w:asciiTheme="majorHAnsi" w:hAnsiTheme="majorHAnsi" w:cstheme="majorHAnsi"/>
          <w:sz w:val="16"/>
          <w:szCs w:val="16"/>
        </w:rPr>
        <w:t>ul</w:t>
      </w:r>
      <w:r w:rsidRPr="00437AB2">
        <w:rPr>
          <w:rFonts w:asciiTheme="majorHAnsi" w:hAnsiTheme="majorHAnsi" w:cstheme="majorHAnsi"/>
          <w:sz w:val="16"/>
          <w:szCs w:val="16"/>
        </w:rPr>
        <w:t xml:space="preserve"> MF </w:t>
      </w:r>
      <w:r>
        <w:rPr>
          <w:rFonts w:asciiTheme="majorHAnsi" w:hAnsiTheme="majorHAnsi" w:cstheme="majorHAnsi"/>
          <w:sz w:val="16"/>
          <w:szCs w:val="16"/>
        </w:rPr>
        <w:t>nr.</w:t>
      </w:r>
      <w:r w:rsidRPr="00437AB2">
        <w:rPr>
          <w:rFonts w:asciiTheme="majorHAnsi" w:hAnsiTheme="majorHAnsi" w:cstheme="majorHAnsi"/>
          <w:sz w:val="16"/>
          <w:szCs w:val="16"/>
        </w:rPr>
        <w:t>60</w:t>
      </w:r>
      <w:r>
        <w:rPr>
          <w:rFonts w:asciiTheme="majorHAnsi" w:hAnsiTheme="majorHAnsi" w:cstheme="majorHAnsi"/>
          <w:sz w:val="16"/>
          <w:szCs w:val="16"/>
        </w:rPr>
        <w:t xml:space="preserve"> din 29.05.</w:t>
      </w:r>
      <w:r w:rsidRPr="00437AB2">
        <w:rPr>
          <w:rFonts w:asciiTheme="majorHAnsi" w:hAnsiTheme="majorHAnsi" w:cstheme="majorHAnsi"/>
          <w:sz w:val="16"/>
          <w:szCs w:val="16"/>
        </w:rPr>
        <w:t>2012</w:t>
      </w:r>
      <w:r>
        <w:rPr>
          <w:rFonts w:asciiTheme="majorHAnsi" w:hAnsiTheme="majorHAnsi" w:cstheme="majorHAnsi"/>
          <w:sz w:val="16"/>
          <w:szCs w:val="16"/>
        </w:rPr>
        <w:t xml:space="preserve"> „</w:t>
      </w:r>
      <w:r w:rsidRPr="00513798">
        <w:rPr>
          <w:rFonts w:asciiTheme="majorHAnsi" w:hAnsiTheme="majorHAnsi" w:cstheme="majorHAnsi"/>
          <w:sz w:val="16"/>
          <w:szCs w:val="16"/>
        </w:rPr>
        <w:t>Cu privire la aprobarea Regulamentului</w:t>
      </w:r>
      <w:r>
        <w:rPr>
          <w:rFonts w:asciiTheme="majorHAnsi" w:hAnsiTheme="majorHAnsi" w:cstheme="majorHAnsi"/>
          <w:sz w:val="16"/>
          <w:szCs w:val="16"/>
        </w:rPr>
        <w:t xml:space="preserve"> </w:t>
      </w:r>
      <w:r w:rsidRPr="00513798">
        <w:rPr>
          <w:rFonts w:asciiTheme="majorHAnsi" w:hAnsiTheme="majorHAnsi" w:cstheme="majorHAnsi"/>
          <w:sz w:val="16"/>
          <w:szCs w:val="16"/>
        </w:rPr>
        <w:t>privind inventarierea</w:t>
      </w:r>
      <w:r>
        <w:rPr>
          <w:rFonts w:asciiTheme="majorHAnsi" w:hAnsiTheme="majorHAnsi" w:cstheme="majorHAnsi"/>
          <w:sz w:val="16"/>
          <w:szCs w:val="16"/>
        </w:rPr>
        <w:t>”</w:t>
      </w:r>
      <w:r w:rsidRPr="00437AB2">
        <w:rPr>
          <w:rFonts w:asciiTheme="majorHAnsi" w:hAnsiTheme="majorHAnsi" w:cstheme="majorHAnsi"/>
          <w:sz w:val="16"/>
          <w:szCs w:val="16"/>
        </w:rPr>
        <w:t xml:space="preserve">, </w:t>
      </w:r>
      <w:r w:rsidRPr="00437AB2">
        <w:rPr>
          <w:rFonts w:asciiTheme="majorHAnsi" w:hAnsiTheme="majorHAnsi" w:cstheme="majorHAnsi"/>
          <w:i/>
          <w:iCs/>
          <w:sz w:val="16"/>
          <w:szCs w:val="16"/>
        </w:rPr>
        <w:t xml:space="preserve">INV-5 </w:t>
      </w:r>
      <w:r>
        <w:rPr>
          <w:rFonts w:asciiTheme="majorHAnsi" w:hAnsiTheme="majorHAnsi" w:cstheme="majorHAnsi"/>
          <w:i/>
          <w:iCs/>
          <w:sz w:val="16"/>
          <w:szCs w:val="16"/>
        </w:rPr>
        <w:t>„</w:t>
      </w:r>
      <w:r w:rsidRPr="00437AB2">
        <w:rPr>
          <w:rFonts w:asciiTheme="majorHAnsi" w:hAnsiTheme="majorHAnsi" w:cstheme="majorHAnsi"/>
          <w:i/>
          <w:iCs/>
          <w:sz w:val="16"/>
          <w:szCs w:val="16"/>
        </w:rPr>
        <w:t xml:space="preserve">Lista de inventariere a producției în curs de </w:t>
      </w:r>
      <w:r w:rsidR="00F57ED2" w:rsidRPr="00437AB2">
        <w:rPr>
          <w:rFonts w:asciiTheme="majorHAnsi" w:hAnsiTheme="majorHAnsi" w:cstheme="majorHAnsi"/>
          <w:i/>
          <w:iCs/>
          <w:sz w:val="16"/>
          <w:szCs w:val="16"/>
        </w:rPr>
        <w:t>execuție</w:t>
      </w:r>
      <w:r w:rsidRPr="00437AB2">
        <w:rPr>
          <w:rFonts w:asciiTheme="majorHAnsi" w:hAnsiTheme="majorHAnsi" w:cstheme="majorHAnsi"/>
          <w:i/>
          <w:iCs/>
          <w:sz w:val="16"/>
          <w:szCs w:val="16"/>
        </w:rPr>
        <w:t>” (Anexa 8).</w:t>
      </w:r>
    </w:p>
  </w:footnote>
  <w:footnote w:id="65">
    <w:p w14:paraId="10D065C6" w14:textId="77777777" w:rsidR="00A35504" w:rsidRPr="00907535" w:rsidRDefault="00A35504" w:rsidP="007F0008">
      <w:pPr>
        <w:pStyle w:val="a5"/>
        <w:jc w:val="both"/>
        <w:rPr>
          <w:rFonts w:asciiTheme="majorHAnsi" w:hAnsiTheme="majorHAnsi" w:cstheme="majorHAnsi"/>
          <w:sz w:val="16"/>
          <w:szCs w:val="16"/>
        </w:rPr>
      </w:pPr>
      <w:r w:rsidRPr="00907535">
        <w:rPr>
          <w:rStyle w:val="a7"/>
          <w:rFonts w:asciiTheme="majorHAnsi" w:hAnsiTheme="majorHAnsi" w:cstheme="majorHAnsi"/>
          <w:sz w:val="16"/>
          <w:szCs w:val="16"/>
        </w:rPr>
        <w:footnoteRef/>
      </w:r>
      <w:r w:rsidRPr="00907535">
        <w:rPr>
          <w:rFonts w:asciiTheme="majorHAnsi" w:hAnsiTheme="majorHAnsi" w:cstheme="majorHAnsi"/>
          <w:sz w:val="16"/>
          <w:szCs w:val="16"/>
        </w:rPr>
        <w:t xml:space="preserve"> Aprobat prin Hotărârea Curții de Conturi nr.73 din 22 decembrie 2020.</w:t>
      </w:r>
    </w:p>
  </w:footnote>
  <w:footnote w:id="66">
    <w:p w14:paraId="0406AAD6" w14:textId="6FA05D1F" w:rsidR="00A35504" w:rsidRPr="00907535" w:rsidRDefault="00A35504">
      <w:pPr>
        <w:pStyle w:val="a5"/>
        <w:jc w:val="both"/>
        <w:rPr>
          <w:rFonts w:asciiTheme="majorHAnsi" w:hAnsiTheme="majorHAnsi" w:cstheme="majorHAnsi"/>
          <w:sz w:val="16"/>
          <w:szCs w:val="16"/>
        </w:rPr>
      </w:pPr>
      <w:r w:rsidRPr="00907535">
        <w:rPr>
          <w:rStyle w:val="a7"/>
          <w:rFonts w:asciiTheme="majorHAnsi" w:hAnsiTheme="majorHAnsi" w:cstheme="majorHAnsi"/>
          <w:sz w:val="16"/>
          <w:szCs w:val="16"/>
        </w:rPr>
        <w:footnoteRef/>
      </w:r>
      <w:r w:rsidRPr="00907535">
        <w:rPr>
          <w:rFonts w:asciiTheme="majorHAnsi" w:hAnsiTheme="majorHAnsi" w:cstheme="majorHAnsi"/>
          <w:sz w:val="16"/>
          <w:szCs w:val="16"/>
        </w:rPr>
        <w:t xml:space="preserve"> Prin H</w:t>
      </w:r>
      <w:r w:rsidR="00907535">
        <w:rPr>
          <w:rFonts w:asciiTheme="majorHAnsi" w:hAnsiTheme="majorHAnsi" w:cstheme="majorHAnsi"/>
          <w:sz w:val="16"/>
          <w:szCs w:val="16"/>
        </w:rPr>
        <w:t>G</w:t>
      </w:r>
      <w:r w:rsidRPr="00907535">
        <w:rPr>
          <w:rFonts w:asciiTheme="majorHAnsi" w:hAnsiTheme="majorHAnsi" w:cstheme="majorHAnsi"/>
          <w:sz w:val="16"/>
          <w:szCs w:val="16"/>
        </w:rPr>
        <w:t xml:space="preserve"> nr.321 din 10.07.2019, sunt operate unele modificări în lista proiectelor din Anexa nr.2 la H</w:t>
      </w:r>
      <w:r w:rsidR="00907535">
        <w:rPr>
          <w:rFonts w:asciiTheme="majorHAnsi" w:hAnsiTheme="majorHAnsi" w:cstheme="majorHAnsi"/>
          <w:sz w:val="16"/>
          <w:szCs w:val="16"/>
        </w:rPr>
        <w:t>G</w:t>
      </w:r>
      <w:r w:rsidRPr="00907535">
        <w:rPr>
          <w:rFonts w:asciiTheme="majorHAnsi" w:hAnsiTheme="majorHAnsi" w:cstheme="majorHAnsi"/>
          <w:sz w:val="16"/>
          <w:szCs w:val="16"/>
        </w:rPr>
        <w:t xml:space="preserve"> nr.246 din 08.04.2010. Publicat</w:t>
      </w:r>
      <w:r w:rsidR="00907535">
        <w:rPr>
          <w:rFonts w:asciiTheme="majorHAnsi" w:hAnsiTheme="majorHAnsi" w:cstheme="majorHAnsi"/>
          <w:sz w:val="16"/>
          <w:szCs w:val="16"/>
        </w:rPr>
        <w:t xml:space="preserve"> la</w:t>
      </w:r>
      <w:r w:rsidRPr="00907535">
        <w:rPr>
          <w:rFonts w:asciiTheme="majorHAnsi" w:hAnsiTheme="majorHAnsi" w:cstheme="majorHAnsi"/>
          <w:sz w:val="16"/>
          <w:szCs w:val="16"/>
        </w:rPr>
        <w:t xml:space="preserve"> 12.07.2019 în MO</w:t>
      </w:r>
      <w:r w:rsidR="00907535">
        <w:rPr>
          <w:rFonts w:asciiTheme="majorHAnsi" w:hAnsiTheme="majorHAnsi" w:cstheme="majorHAnsi"/>
          <w:sz w:val="16"/>
          <w:szCs w:val="16"/>
        </w:rPr>
        <w:t>RM,</w:t>
      </w:r>
      <w:r w:rsidRPr="00907535">
        <w:rPr>
          <w:rFonts w:asciiTheme="majorHAnsi" w:hAnsiTheme="majorHAnsi" w:cstheme="majorHAnsi"/>
          <w:sz w:val="16"/>
          <w:szCs w:val="16"/>
        </w:rPr>
        <w:t xml:space="preserve"> </w:t>
      </w:r>
      <w:r w:rsidR="00907535">
        <w:rPr>
          <w:rFonts w:asciiTheme="majorHAnsi" w:hAnsiTheme="majorHAnsi" w:cstheme="majorHAnsi"/>
          <w:sz w:val="16"/>
          <w:szCs w:val="16"/>
        </w:rPr>
        <w:t>n</w:t>
      </w:r>
      <w:r w:rsidRPr="00907535">
        <w:rPr>
          <w:rFonts w:asciiTheme="majorHAnsi" w:hAnsiTheme="majorHAnsi" w:cstheme="majorHAnsi"/>
          <w:sz w:val="16"/>
          <w:szCs w:val="16"/>
        </w:rPr>
        <w:t>r.223-229</w:t>
      </w:r>
      <w:r w:rsidR="00907535">
        <w:rPr>
          <w:rFonts w:asciiTheme="majorHAnsi" w:hAnsiTheme="majorHAnsi" w:cstheme="majorHAnsi"/>
          <w:sz w:val="16"/>
          <w:szCs w:val="16"/>
        </w:rPr>
        <w:t>,</w:t>
      </w:r>
      <w:r w:rsidRPr="00907535">
        <w:rPr>
          <w:rFonts w:asciiTheme="majorHAnsi" w:hAnsiTheme="majorHAnsi" w:cstheme="majorHAnsi"/>
          <w:sz w:val="16"/>
          <w:szCs w:val="16"/>
        </w:rPr>
        <w:t xml:space="preserve"> art. 390, &lt;</w:t>
      </w:r>
      <w:hyperlink r:id="rId2" w:history="1">
        <w:r w:rsidRPr="00907535">
          <w:rPr>
            <w:rStyle w:val="af"/>
            <w:rFonts w:asciiTheme="majorHAnsi" w:hAnsiTheme="majorHAnsi" w:cstheme="majorHAnsi"/>
            <w:sz w:val="16"/>
            <w:szCs w:val="16"/>
          </w:rPr>
          <w:t>https://www.legis.md/cautare/getResults?doc_id=115173&amp;lang=ro</w:t>
        </w:r>
      </w:hyperlink>
      <w:r w:rsidRPr="00907535">
        <w:rPr>
          <w:rFonts w:asciiTheme="majorHAnsi" w:hAnsiTheme="majorHAnsi" w:cstheme="majorHAnsi"/>
          <w:sz w:val="16"/>
          <w:szCs w:val="16"/>
        </w:rPr>
        <w:t xml:space="preserve"> &gt;</w:t>
      </w:r>
    </w:p>
  </w:footnote>
  <w:footnote w:id="67">
    <w:p w14:paraId="76AF0097" w14:textId="77777777" w:rsidR="0021050D" w:rsidRPr="00EF45CF" w:rsidRDefault="0021050D" w:rsidP="0021050D">
      <w:pPr>
        <w:pStyle w:val="a5"/>
        <w:jc w:val="both"/>
        <w:rPr>
          <w:rFonts w:asciiTheme="majorHAnsi" w:hAnsiTheme="majorHAnsi" w:cstheme="majorHAnsi"/>
          <w:sz w:val="16"/>
          <w:szCs w:val="16"/>
        </w:rPr>
      </w:pPr>
      <w:r w:rsidRPr="00EF45CF">
        <w:rPr>
          <w:rStyle w:val="a7"/>
          <w:rFonts w:asciiTheme="majorHAnsi" w:hAnsiTheme="majorHAnsi" w:cstheme="majorHAnsi"/>
          <w:sz w:val="16"/>
          <w:szCs w:val="16"/>
        </w:rPr>
        <w:footnoteRef/>
      </w:r>
      <w:r w:rsidRPr="00EF45CF">
        <w:rPr>
          <w:rFonts w:asciiTheme="majorHAnsi" w:hAnsiTheme="majorHAnsi" w:cstheme="majorHAnsi"/>
          <w:sz w:val="16"/>
          <w:szCs w:val="16"/>
        </w:rPr>
        <w:t xml:space="preserve"> Institutul de Genetică, Fiziologie și Protecție a Plantelor.</w:t>
      </w:r>
    </w:p>
  </w:footnote>
  <w:footnote w:id="68">
    <w:p w14:paraId="32B6A4CE" w14:textId="77777777" w:rsidR="0021050D" w:rsidRPr="00EF45CF" w:rsidRDefault="0021050D" w:rsidP="0021050D">
      <w:pPr>
        <w:pStyle w:val="a5"/>
        <w:jc w:val="both"/>
        <w:rPr>
          <w:rFonts w:asciiTheme="majorHAnsi" w:hAnsiTheme="majorHAnsi" w:cstheme="majorHAnsi"/>
          <w:sz w:val="16"/>
          <w:szCs w:val="16"/>
        </w:rPr>
      </w:pPr>
      <w:r w:rsidRPr="00EF45CF">
        <w:rPr>
          <w:rStyle w:val="a7"/>
          <w:rFonts w:asciiTheme="majorHAnsi" w:hAnsiTheme="majorHAnsi" w:cstheme="majorHAnsi"/>
          <w:sz w:val="16"/>
          <w:szCs w:val="16"/>
        </w:rPr>
        <w:footnoteRef/>
      </w:r>
      <w:r w:rsidRPr="00EF45CF">
        <w:rPr>
          <w:rFonts w:asciiTheme="majorHAnsi" w:hAnsiTheme="majorHAnsi" w:cstheme="majorHAnsi"/>
          <w:sz w:val="16"/>
          <w:szCs w:val="16"/>
        </w:rPr>
        <w:t xml:space="preserve"> </w:t>
      </w:r>
      <w:r>
        <w:rPr>
          <w:rFonts w:asciiTheme="majorHAnsi" w:hAnsiTheme="majorHAnsi" w:cstheme="majorHAnsi"/>
          <w:sz w:val="16"/>
          <w:szCs w:val="16"/>
        </w:rPr>
        <w:t>P</w:t>
      </w:r>
      <w:r w:rsidRPr="00EF45CF">
        <w:rPr>
          <w:rFonts w:asciiTheme="majorHAnsi" w:hAnsiTheme="majorHAnsi" w:cstheme="majorHAnsi"/>
          <w:sz w:val="16"/>
          <w:szCs w:val="16"/>
        </w:rPr>
        <w:t>atru luni: cercetător științific – cumul specialist în secția relații internaționale; cercetător științific – cumul șef de laborator; secretar – cumul dactilograf; specialist principal – cumul specialist coordonator serviciul de personal; specialist serviciul de personal – cumul arhivar; inginer coordonator – cumul șef de depozit; contabil coordonator – cumul specialist în secția relații internaționale; economist coordonator – cumul specialist în secția relații internaționale; jurist – cumul specialist coordonator/brevete; economist</w:t>
      </w:r>
      <w:r>
        <w:rPr>
          <w:rFonts w:asciiTheme="majorHAnsi" w:hAnsiTheme="majorHAnsi" w:cstheme="majorHAnsi"/>
          <w:sz w:val="16"/>
          <w:szCs w:val="16"/>
        </w:rPr>
        <w:t>-</w:t>
      </w:r>
      <w:r w:rsidRPr="00EF45CF">
        <w:rPr>
          <w:rFonts w:asciiTheme="majorHAnsi" w:hAnsiTheme="majorHAnsi" w:cstheme="majorHAnsi"/>
          <w:sz w:val="16"/>
          <w:szCs w:val="16"/>
        </w:rPr>
        <w:t>șef – cumul specialist coordonator/brevete; contabil coordonator – cumul specialist coordonator/brevete; specialist serviciul personal – cumul operator telecomunicații; șef de depozit – cumul magazioner; contabil</w:t>
      </w:r>
      <w:r>
        <w:rPr>
          <w:rFonts w:asciiTheme="majorHAnsi" w:hAnsiTheme="majorHAnsi" w:cstheme="majorHAnsi"/>
          <w:sz w:val="16"/>
          <w:szCs w:val="16"/>
        </w:rPr>
        <w:t>-</w:t>
      </w:r>
      <w:r w:rsidRPr="00EF45CF">
        <w:rPr>
          <w:rFonts w:asciiTheme="majorHAnsi" w:hAnsiTheme="majorHAnsi" w:cstheme="majorHAnsi"/>
          <w:sz w:val="16"/>
          <w:szCs w:val="16"/>
        </w:rPr>
        <w:t>șef – cumul arhivar; contabil coordonator – cumul specialist coordonator serviciul personal.</w:t>
      </w:r>
    </w:p>
  </w:footnote>
  <w:footnote w:id="69">
    <w:p w14:paraId="23DD47BB" w14:textId="77777777" w:rsidR="0021050D" w:rsidRPr="00EF45CF" w:rsidRDefault="0021050D" w:rsidP="0021050D">
      <w:pPr>
        <w:pStyle w:val="a5"/>
        <w:jc w:val="both"/>
        <w:rPr>
          <w:rFonts w:asciiTheme="majorHAnsi" w:hAnsiTheme="majorHAnsi" w:cstheme="majorHAnsi"/>
          <w:sz w:val="16"/>
          <w:szCs w:val="16"/>
        </w:rPr>
      </w:pPr>
      <w:r w:rsidRPr="00EF45CF">
        <w:rPr>
          <w:rStyle w:val="a7"/>
          <w:rFonts w:asciiTheme="majorHAnsi" w:hAnsiTheme="majorHAnsi" w:cstheme="majorHAnsi"/>
          <w:sz w:val="16"/>
          <w:szCs w:val="16"/>
        </w:rPr>
        <w:footnoteRef/>
      </w:r>
      <w:r w:rsidRPr="00EF45CF">
        <w:rPr>
          <w:rFonts w:asciiTheme="majorHAnsi" w:hAnsiTheme="majorHAnsi" w:cstheme="majorHAnsi"/>
          <w:sz w:val="16"/>
          <w:szCs w:val="16"/>
        </w:rPr>
        <w:t xml:space="preserve"> Chiria vilei de odihnă</w:t>
      </w:r>
      <w:r w:rsidRPr="00EF45CF">
        <w:rPr>
          <w:rFonts w:asciiTheme="majorHAnsi" w:eastAsia="Times New Roman" w:hAnsiTheme="majorHAnsi" w:cstheme="majorHAnsi"/>
          <w:sz w:val="16"/>
          <w:szCs w:val="16"/>
          <w:lang w:eastAsia="ru-RU"/>
        </w:rPr>
        <w:t xml:space="preserve"> de la </w:t>
      </w:r>
      <w:r w:rsidRPr="00EF45CF">
        <w:rPr>
          <w:rFonts w:asciiTheme="majorHAnsi" w:hAnsiTheme="majorHAnsi" w:cstheme="majorHAnsi"/>
          <w:sz w:val="16"/>
          <w:szCs w:val="16"/>
        </w:rPr>
        <w:t>Î.S. „Pensiunea din Holercani” (nr.04, 197,0 m/p, or. Dubăsari). Subcontul 222300 „Servicii de locațiune”.</w:t>
      </w:r>
    </w:p>
  </w:footnote>
  <w:footnote w:id="70">
    <w:p w14:paraId="6450AF0B" w14:textId="78225BBC" w:rsidR="00A35504" w:rsidRPr="00A75ED2" w:rsidRDefault="00A35504" w:rsidP="00A75ED2">
      <w:pPr>
        <w:pStyle w:val="a5"/>
        <w:jc w:val="both"/>
        <w:rPr>
          <w:rFonts w:asciiTheme="majorHAnsi" w:hAnsiTheme="majorHAnsi" w:cstheme="majorHAnsi"/>
          <w:sz w:val="16"/>
          <w:szCs w:val="16"/>
        </w:rPr>
      </w:pPr>
      <w:r w:rsidRPr="00EC2114">
        <w:rPr>
          <w:rStyle w:val="a7"/>
          <w:rFonts w:asciiTheme="majorHAnsi" w:hAnsiTheme="majorHAnsi" w:cstheme="majorHAnsi"/>
          <w:sz w:val="16"/>
          <w:szCs w:val="16"/>
        </w:rPr>
        <w:footnoteRef/>
      </w:r>
      <w:r w:rsidRPr="00EC2114">
        <w:rPr>
          <w:rFonts w:asciiTheme="majorHAnsi" w:hAnsiTheme="majorHAnsi" w:cstheme="majorHAnsi"/>
          <w:sz w:val="16"/>
          <w:szCs w:val="16"/>
        </w:rPr>
        <w:t xml:space="preserve"> Școala Republicană Specializată de Hipism și Pentatlon Modern: a reînregistrat soldul construcțiilor speciale neidentificat la extrabilanț </w:t>
      </w:r>
      <w:r w:rsidR="00546881" w:rsidRPr="00EC2114">
        <w:rPr>
          <w:rFonts w:asciiTheme="majorHAnsi" w:hAnsiTheme="majorHAnsi" w:cstheme="majorHAnsi"/>
          <w:sz w:val="16"/>
          <w:szCs w:val="16"/>
        </w:rPr>
        <w:t xml:space="preserve">în sumă de </w:t>
      </w:r>
      <w:r w:rsidRPr="00EC2114">
        <w:rPr>
          <w:rFonts w:asciiTheme="majorHAnsi" w:hAnsiTheme="majorHAnsi" w:cstheme="majorHAnsi"/>
          <w:sz w:val="16"/>
          <w:szCs w:val="16"/>
        </w:rPr>
        <w:t xml:space="preserve">2.534,8 mii lei și </w:t>
      </w:r>
      <w:r w:rsidR="00546881" w:rsidRPr="00EC2114">
        <w:rPr>
          <w:rFonts w:asciiTheme="majorHAnsi" w:hAnsiTheme="majorHAnsi" w:cstheme="majorHAnsi"/>
          <w:sz w:val="16"/>
          <w:szCs w:val="16"/>
        </w:rPr>
        <w:t xml:space="preserve">a </w:t>
      </w:r>
      <w:r w:rsidRPr="00EC2114">
        <w:rPr>
          <w:rFonts w:asciiTheme="majorHAnsi" w:hAnsiTheme="majorHAnsi" w:cstheme="majorHAnsi"/>
          <w:sz w:val="16"/>
          <w:szCs w:val="16"/>
        </w:rPr>
        <w:t>uzurii calculate de 974,8 mii lei</w:t>
      </w:r>
      <w:r w:rsidR="00546881" w:rsidRPr="00EC2114">
        <w:rPr>
          <w:rFonts w:asciiTheme="majorHAnsi" w:hAnsiTheme="majorHAnsi" w:cstheme="majorHAnsi"/>
          <w:sz w:val="16"/>
          <w:szCs w:val="16"/>
        </w:rPr>
        <w:t>,</w:t>
      </w:r>
      <w:r w:rsidRPr="00EC2114">
        <w:rPr>
          <w:rFonts w:asciiTheme="majorHAnsi" w:hAnsiTheme="majorHAnsi" w:cstheme="majorHAnsi"/>
          <w:sz w:val="16"/>
          <w:szCs w:val="16"/>
        </w:rPr>
        <w:t xml:space="preserve"> uzura instalațiilor de transmise calculată în plus de 297,2 mii lei; la cont 332 </w:t>
      </w:r>
      <w:r w:rsidR="00A755EE" w:rsidRPr="00F42E6E">
        <w:rPr>
          <w:rFonts w:asciiTheme="majorHAnsi" w:hAnsiTheme="majorHAnsi" w:cstheme="majorHAnsi"/>
          <w:sz w:val="16"/>
          <w:szCs w:val="16"/>
        </w:rPr>
        <w:t xml:space="preserve">înregistrarea </w:t>
      </w:r>
      <w:r w:rsidRPr="00EC2114">
        <w:rPr>
          <w:rFonts w:asciiTheme="majorHAnsi" w:hAnsiTheme="majorHAnsi" w:cstheme="majorHAnsi"/>
          <w:sz w:val="16"/>
          <w:szCs w:val="16"/>
        </w:rPr>
        <w:t>pieselor de schimb neidentificate – 145,1 mii lei și cont 339 „Alte materiale” de 343,6 mii lei; sold cont 317 „Active nemateriale” lipsă de 218,2 mii lei și înregistrate dublu 261,8 mii lei.</w:t>
      </w:r>
    </w:p>
  </w:footnote>
  <w:footnote w:id="71">
    <w:p w14:paraId="38EBF17F" w14:textId="7CDD6CB6" w:rsidR="00A35504" w:rsidRPr="00437AB2" w:rsidRDefault="00A35504" w:rsidP="00E56BC4">
      <w:pPr>
        <w:pStyle w:val="a5"/>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Școala Republicană Specializată de Hipism și Pentatlon Modern </w:t>
      </w:r>
      <w:r w:rsidR="00546881">
        <w:rPr>
          <w:rFonts w:asciiTheme="majorHAnsi" w:hAnsiTheme="majorHAnsi" w:cstheme="majorHAnsi"/>
          <w:sz w:val="16"/>
          <w:szCs w:val="16"/>
        </w:rPr>
        <w:t xml:space="preserve">– </w:t>
      </w:r>
      <w:r w:rsidRPr="00437AB2">
        <w:rPr>
          <w:rFonts w:asciiTheme="majorHAnsi" w:hAnsiTheme="majorHAnsi" w:cstheme="majorHAnsi"/>
          <w:sz w:val="16"/>
          <w:szCs w:val="16"/>
        </w:rPr>
        <w:t>34,4 mii lei corectare la venituri și creanțe din prejudiciul admis la deteriorarea semănăturilor de porumb</w:t>
      </w:r>
      <w:r>
        <w:rPr>
          <w:rFonts w:asciiTheme="majorHAnsi" w:hAnsiTheme="majorHAnsi" w:cstheme="majorHAnsi"/>
          <w:sz w:val="16"/>
          <w:szCs w:val="16"/>
        </w:rPr>
        <w:t>.</w:t>
      </w:r>
    </w:p>
  </w:footnote>
  <w:footnote w:id="72">
    <w:p w14:paraId="0BCCD014" w14:textId="5E42B624" w:rsidR="00A35504" w:rsidRPr="00437AB2" w:rsidRDefault="00A35504" w:rsidP="00A75ED2">
      <w:pPr>
        <w:pStyle w:val="a5"/>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Art.13 alin.(2) din Legea contabilității nr.113-XVI din 27.04.2007; pct.1.4.1.3. din Anexa nr.1 la </w:t>
      </w:r>
      <w:r w:rsidRPr="00437AB2">
        <w:rPr>
          <w:rFonts w:asciiTheme="majorHAnsi" w:eastAsia="Times New Roman" w:hAnsiTheme="majorHAnsi" w:cstheme="majorHAnsi"/>
          <w:sz w:val="16"/>
          <w:szCs w:val="16"/>
        </w:rPr>
        <w:t xml:space="preserve">Ordinul </w:t>
      </w:r>
      <w:r w:rsidR="00546881">
        <w:rPr>
          <w:rFonts w:asciiTheme="majorHAnsi" w:eastAsia="Times New Roman" w:hAnsiTheme="majorHAnsi" w:cstheme="majorHAnsi"/>
          <w:sz w:val="16"/>
          <w:szCs w:val="16"/>
        </w:rPr>
        <w:t>MF</w:t>
      </w:r>
      <w:r w:rsidRPr="00437AB2">
        <w:rPr>
          <w:rFonts w:asciiTheme="majorHAnsi" w:eastAsia="Times New Roman" w:hAnsiTheme="majorHAnsi" w:cstheme="majorHAnsi"/>
          <w:sz w:val="16"/>
          <w:szCs w:val="16"/>
        </w:rPr>
        <w:t xml:space="preserve"> nr.216</w:t>
      </w:r>
      <w:r w:rsidR="00B67057">
        <w:rPr>
          <w:rFonts w:asciiTheme="majorHAnsi" w:eastAsia="Times New Roman" w:hAnsiTheme="majorHAnsi" w:cstheme="majorHAnsi"/>
          <w:sz w:val="16"/>
          <w:szCs w:val="16"/>
        </w:rPr>
        <w:t>/</w:t>
      </w:r>
      <w:r w:rsidRPr="00437AB2">
        <w:rPr>
          <w:rFonts w:asciiTheme="majorHAnsi" w:eastAsia="Times New Roman" w:hAnsiTheme="majorHAnsi" w:cstheme="majorHAnsi"/>
          <w:sz w:val="16"/>
          <w:szCs w:val="16"/>
        </w:rPr>
        <w:t>2015.</w:t>
      </w:r>
    </w:p>
  </w:footnote>
  <w:footnote w:id="73">
    <w:p w14:paraId="4B573F85" w14:textId="6E18416C" w:rsidR="00A35504" w:rsidRPr="00437AB2" w:rsidRDefault="00A35504" w:rsidP="00A75ED2">
      <w:pPr>
        <w:pStyle w:val="a5"/>
        <w:jc w:val="both"/>
        <w:rPr>
          <w:rFonts w:asciiTheme="majorHAnsi" w:hAnsiTheme="majorHAnsi" w:cstheme="majorHAnsi"/>
          <w:sz w:val="16"/>
          <w:szCs w:val="16"/>
        </w:rPr>
      </w:pPr>
      <w:r w:rsidRPr="00437AB2">
        <w:rPr>
          <w:rStyle w:val="a7"/>
          <w:rFonts w:asciiTheme="majorHAnsi" w:hAnsiTheme="majorHAnsi" w:cstheme="majorHAnsi"/>
          <w:sz w:val="16"/>
          <w:szCs w:val="16"/>
        </w:rPr>
        <w:footnoteRef/>
      </w:r>
      <w:r w:rsidRPr="00437AB2">
        <w:rPr>
          <w:rFonts w:asciiTheme="majorHAnsi" w:hAnsiTheme="majorHAnsi" w:cstheme="majorHAnsi"/>
          <w:sz w:val="16"/>
          <w:szCs w:val="16"/>
        </w:rPr>
        <w:t xml:space="preserve"> Legea contabilității nr.</w:t>
      </w:r>
      <w:r w:rsidRPr="00437AB2">
        <w:rPr>
          <w:rFonts w:asciiTheme="majorHAnsi" w:eastAsia="Times New Roman" w:hAnsiTheme="majorHAnsi" w:cstheme="majorHAnsi"/>
          <w:sz w:val="16"/>
          <w:szCs w:val="16"/>
        </w:rPr>
        <w:t>113-XVI din 27.04.2007;</w:t>
      </w:r>
      <w:r w:rsidRPr="00437AB2">
        <w:rPr>
          <w:rFonts w:asciiTheme="majorHAnsi" w:hAnsiTheme="majorHAnsi" w:cstheme="majorHAnsi"/>
          <w:sz w:val="16"/>
          <w:szCs w:val="16"/>
        </w:rPr>
        <w:t xml:space="preserve"> </w:t>
      </w:r>
      <w:r w:rsidRPr="00437AB2">
        <w:rPr>
          <w:rFonts w:asciiTheme="majorHAnsi" w:eastAsia="Times New Roman" w:hAnsiTheme="majorHAnsi" w:cstheme="majorHAnsi"/>
          <w:sz w:val="16"/>
          <w:szCs w:val="16"/>
        </w:rPr>
        <w:t xml:space="preserve">Ordinul </w:t>
      </w:r>
      <w:r w:rsidR="00546881">
        <w:rPr>
          <w:rFonts w:asciiTheme="majorHAnsi" w:eastAsia="Times New Roman" w:hAnsiTheme="majorHAnsi" w:cstheme="majorHAnsi"/>
          <w:sz w:val="16"/>
          <w:szCs w:val="16"/>
        </w:rPr>
        <w:t>MF</w:t>
      </w:r>
      <w:r w:rsidRPr="00437AB2">
        <w:rPr>
          <w:rFonts w:asciiTheme="majorHAnsi" w:eastAsia="Times New Roman" w:hAnsiTheme="majorHAnsi" w:cstheme="majorHAnsi"/>
          <w:sz w:val="16"/>
          <w:szCs w:val="16"/>
        </w:rPr>
        <w:t xml:space="preserve"> nr.216</w:t>
      </w:r>
      <w:r w:rsidR="00B67057">
        <w:rPr>
          <w:rFonts w:asciiTheme="majorHAnsi" w:eastAsia="Times New Roman" w:hAnsiTheme="majorHAnsi" w:cstheme="majorHAnsi"/>
          <w:sz w:val="16"/>
          <w:szCs w:val="16"/>
        </w:rPr>
        <w:t>/</w:t>
      </w:r>
      <w:r w:rsidRPr="00437AB2">
        <w:rPr>
          <w:rFonts w:asciiTheme="majorHAnsi" w:eastAsia="Times New Roman" w:hAnsiTheme="majorHAnsi" w:cstheme="majorHAnsi"/>
          <w:sz w:val="16"/>
          <w:szCs w:val="16"/>
        </w:rPr>
        <w:t xml:space="preserve">2015; </w:t>
      </w:r>
      <w:r w:rsidRPr="00A75ED2">
        <w:rPr>
          <w:rFonts w:asciiTheme="majorHAnsi" w:eastAsia="Times New Roman" w:hAnsiTheme="majorHAnsi" w:cstheme="majorHAnsi"/>
          <w:sz w:val="16"/>
          <w:szCs w:val="16"/>
        </w:rPr>
        <w:t>Ordinul ministrului finanțelor nr.164 din 30.12.2016 „Cu privire la aprobarea Cerințelor la întocmirea Raportului narativ privind executarea bugetelor autorităților/instituțiilor bugetare”</w:t>
      </w:r>
      <w:r w:rsidRPr="00437AB2">
        <w:rPr>
          <w:rFonts w:asciiTheme="majorHAnsi" w:eastAsia="Times New Roman" w:hAnsiTheme="majorHAnsi" w:cs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10DDD" w14:textId="7EFB7F24" w:rsidR="00A35504" w:rsidRDefault="00A35504" w:rsidP="000A3829">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6331"/>
    <w:multiLevelType w:val="multilevel"/>
    <w:tmpl w:val="0DF4AA56"/>
    <w:lvl w:ilvl="0">
      <w:start w:val="3"/>
      <w:numFmt w:val="upperRoman"/>
      <w:lvlText w:val="%1."/>
      <w:lvlJc w:val="left"/>
      <w:pPr>
        <w:ind w:left="1080" w:hanging="720"/>
      </w:pPr>
      <w:rPr>
        <w:rFonts w:eastAsiaTheme="minorHAnsi" w:cstheme="minorHAnsi" w:hint="default"/>
        <w:b/>
        <w:i w:val="0"/>
        <w:color w:val="auto"/>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F13335"/>
    <w:multiLevelType w:val="multilevel"/>
    <w:tmpl w:val="EBE8A6A6"/>
    <w:lvl w:ilvl="0">
      <w:start w:val="2"/>
      <w:numFmt w:val="upperRoman"/>
      <w:lvlText w:val="%1."/>
      <w:lvlJc w:val="left"/>
      <w:pPr>
        <w:ind w:left="1080" w:hanging="720"/>
      </w:pPr>
      <w:rPr>
        <w:rFonts w:hint="default"/>
      </w:rPr>
    </w:lvl>
    <w:lvl w:ilvl="1">
      <w:start w:val="5"/>
      <w:numFmt w:val="decimal"/>
      <w:isLgl/>
      <w:lvlText w:val="%1.%2."/>
      <w:lvlJc w:val="left"/>
      <w:pPr>
        <w:ind w:left="1069" w:hanging="360"/>
      </w:pPr>
      <w:rPr>
        <w:rFonts w:eastAsiaTheme="minorHAnsi" w:hint="default"/>
        <w:color w:val="000000" w:themeColor="text1"/>
      </w:rPr>
    </w:lvl>
    <w:lvl w:ilvl="2">
      <w:start w:val="1"/>
      <w:numFmt w:val="decimal"/>
      <w:isLgl/>
      <w:lvlText w:val="%1.%2.%3."/>
      <w:lvlJc w:val="left"/>
      <w:pPr>
        <w:ind w:left="1778" w:hanging="720"/>
      </w:pPr>
      <w:rPr>
        <w:rFonts w:eastAsiaTheme="minorHAnsi" w:hint="default"/>
        <w:color w:val="000000" w:themeColor="text1"/>
      </w:rPr>
    </w:lvl>
    <w:lvl w:ilvl="3">
      <w:start w:val="1"/>
      <w:numFmt w:val="decimal"/>
      <w:isLgl/>
      <w:lvlText w:val="%1.%2.%3.%4."/>
      <w:lvlJc w:val="left"/>
      <w:pPr>
        <w:ind w:left="2127" w:hanging="720"/>
      </w:pPr>
      <w:rPr>
        <w:rFonts w:eastAsiaTheme="minorHAnsi" w:hint="default"/>
        <w:color w:val="000000" w:themeColor="text1"/>
      </w:rPr>
    </w:lvl>
    <w:lvl w:ilvl="4">
      <w:start w:val="1"/>
      <w:numFmt w:val="decimal"/>
      <w:isLgl/>
      <w:lvlText w:val="%1.%2.%3.%4.%5."/>
      <w:lvlJc w:val="left"/>
      <w:pPr>
        <w:ind w:left="2836" w:hanging="1080"/>
      </w:pPr>
      <w:rPr>
        <w:rFonts w:eastAsiaTheme="minorHAnsi" w:hint="default"/>
        <w:color w:val="000000" w:themeColor="text1"/>
      </w:rPr>
    </w:lvl>
    <w:lvl w:ilvl="5">
      <w:start w:val="1"/>
      <w:numFmt w:val="decimal"/>
      <w:isLgl/>
      <w:lvlText w:val="%1.%2.%3.%4.%5.%6."/>
      <w:lvlJc w:val="left"/>
      <w:pPr>
        <w:ind w:left="3185" w:hanging="1080"/>
      </w:pPr>
      <w:rPr>
        <w:rFonts w:eastAsiaTheme="minorHAnsi" w:hint="default"/>
        <w:color w:val="000000" w:themeColor="text1"/>
      </w:rPr>
    </w:lvl>
    <w:lvl w:ilvl="6">
      <w:start w:val="1"/>
      <w:numFmt w:val="decimal"/>
      <w:isLgl/>
      <w:lvlText w:val="%1.%2.%3.%4.%5.%6.%7."/>
      <w:lvlJc w:val="left"/>
      <w:pPr>
        <w:ind w:left="3894" w:hanging="1440"/>
      </w:pPr>
      <w:rPr>
        <w:rFonts w:eastAsiaTheme="minorHAnsi" w:hint="default"/>
        <w:color w:val="000000" w:themeColor="text1"/>
      </w:rPr>
    </w:lvl>
    <w:lvl w:ilvl="7">
      <w:start w:val="1"/>
      <w:numFmt w:val="decimal"/>
      <w:isLgl/>
      <w:lvlText w:val="%1.%2.%3.%4.%5.%6.%7.%8."/>
      <w:lvlJc w:val="left"/>
      <w:pPr>
        <w:ind w:left="4243" w:hanging="1440"/>
      </w:pPr>
      <w:rPr>
        <w:rFonts w:eastAsiaTheme="minorHAnsi" w:hint="default"/>
        <w:color w:val="000000" w:themeColor="text1"/>
      </w:rPr>
    </w:lvl>
    <w:lvl w:ilvl="8">
      <w:start w:val="1"/>
      <w:numFmt w:val="decimal"/>
      <w:isLgl/>
      <w:lvlText w:val="%1.%2.%3.%4.%5.%6.%7.%8.%9."/>
      <w:lvlJc w:val="left"/>
      <w:pPr>
        <w:ind w:left="4952" w:hanging="1800"/>
      </w:pPr>
      <w:rPr>
        <w:rFonts w:eastAsiaTheme="minorHAnsi" w:hint="default"/>
        <w:color w:val="000000" w:themeColor="text1"/>
      </w:rPr>
    </w:lvl>
  </w:abstractNum>
  <w:abstractNum w:abstractNumId="2" w15:restartNumberingAfterBreak="0">
    <w:nsid w:val="0E6B4CD2"/>
    <w:multiLevelType w:val="hybridMultilevel"/>
    <w:tmpl w:val="7EE6DB30"/>
    <w:lvl w:ilvl="0" w:tplc="8E40C22A">
      <w:start w:val="339"/>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115799D"/>
    <w:multiLevelType w:val="hybridMultilevel"/>
    <w:tmpl w:val="84C60F7E"/>
    <w:lvl w:ilvl="0" w:tplc="47CCB2EE">
      <w:start w:val="1"/>
      <w:numFmt w:val="bullet"/>
      <w:lvlText w:val="­"/>
      <w:lvlJc w:val="left"/>
      <w:pPr>
        <w:ind w:left="1287" w:hanging="360"/>
      </w:pPr>
      <w:rPr>
        <w:rFonts w:ascii="Calibri Light" w:hAnsi="Calibri Light"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38500F6"/>
    <w:multiLevelType w:val="multilevel"/>
    <w:tmpl w:val="FB86CEEC"/>
    <w:styleLink w:val="1111111"/>
    <w:lvl w:ilvl="0">
      <w:start w:val="1"/>
      <w:numFmt w:val="upperRoman"/>
      <w:lvlText w:val="%1."/>
      <w:lvlJc w:val="left"/>
      <w:pPr>
        <w:ind w:left="1080" w:hanging="720"/>
      </w:pPr>
      <w:rPr>
        <w:rFonts w:asciiTheme="majorHAnsi" w:hAnsiTheme="majorHAnsi"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6893E5B"/>
    <w:multiLevelType w:val="hybridMultilevel"/>
    <w:tmpl w:val="1690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7551E"/>
    <w:multiLevelType w:val="multilevel"/>
    <w:tmpl w:val="3564A794"/>
    <w:lvl w:ilvl="0">
      <w:start w:val="6"/>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2157348E"/>
    <w:multiLevelType w:val="hybridMultilevel"/>
    <w:tmpl w:val="7FAEBAF0"/>
    <w:lvl w:ilvl="0" w:tplc="328CAF96">
      <w:start w:val="1"/>
      <w:numFmt w:val="bullet"/>
      <w:lvlText w:val=""/>
      <w:lvlJc w:val="left"/>
      <w:pPr>
        <w:ind w:left="720" w:hanging="360"/>
      </w:pPr>
      <w:rPr>
        <w:rFonts w:ascii="Symbol" w:hAnsi="Symbol" w:hint="default"/>
        <w:color w:val="auto"/>
        <w:lang w:val="ro-M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23DA8"/>
    <w:multiLevelType w:val="hybridMultilevel"/>
    <w:tmpl w:val="F516D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CC47EF"/>
    <w:multiLevelType w:val="hybridMultilevel"/>
    <w:tmpl w:val="A9FEF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9337A"/>
    <w:multiLevelType w:val="hybridMultilevel"/>
    <w:tmpl w:val="5404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61ABE"/>
    <w:multiLevelType w:val="hybridMultilevel"/>
    <w:tmpl w:val="205247DE"/>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2" w15:restartNumberingAfterBreak="0">
    <w:nsid w:val="33AB69DA"/>
    <w:multiLevelType w:val="hybridMultilevel"/>
    <w:tmpl w:val="4DB8F3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15C7D"/>
    <w:multiLevelType w:val="hybridMultilevel"/>
    <w:tmpl w:val="5B18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535DD"/>
    <w:multiLevelType w:val="hybridMultilevel"/>
    <w:tmpl w:val="3AB24D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86039"/>
    <w:multiLevelType w:val="hybridMultilevel"/>
    <w:tmpl w:val="4BA46BF2"/>
    <w:lvl w:ilvl="0" w:tplc="47CCB2EE">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D6FFB"/>
    <w:multiLevelType w:val="hybridMultilevel"/>
    <w:tmpl w:val="85963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A84024"/>
    <w:multiLevelType w:val="hybridMultilevel"/>
    <w:tmpl w:val="DCC6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93806"/>
    <w:multiLevelType w:val="hybridMultilevel"/>
    <w:tmpl w:val="07269F00"/>
    <w:lvl w:ilvl="0" w:tplc="47CCB2EE">
      <w:start w:val="1"/>
      <w:numFmt w:val="bullet"/>
      <w:lvlText w:val="­"/>
      <w:lvlJc w:val="left"/>
      <w:pPr>
        <w:ind w:left="1647" w:hanging="360"/>
      </w:pPr>
      <w:rPr>
        <w:rFonts w:ascii="Calibri Light" w:hAnsi="Calibri Light"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9" w15:restartNumberingAfterBreak="0">
    <w:nsid w:val="447D3C37"/>
    <w:multiLevelType w:val="hybridMultilevel"/>
    <w:tmpl w:val="7680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F4B08"/>
    <w:multiLevelType w:val="hybridMultilevel"/>
    <w:tmpl w:val="DFAC8806"/>
    <w:lvl w:ilvl="0" w:tplc="0409000F">
      <w:start w:val="1"/>
      <w:numFmt w:val="decimal"/>
      <w:lvlText w:val="%1."/>
      <w:lvlJc w:val="left"/>
      <w:pPr>
        <w:ind w:left="720" w:hanging="360"/>
      </w:pPr>
      <w:rPr>
        <w:rFonts w:hint="default"/>
      </w:rPr>
    </w:lvl>
    <w:lvl w:ilvl="1" w:tplc="E0A6DE46">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9D49C9"/>
    <w:multiLevelType w:val="multilevel"/>
    <w:tmpl w:val="3DBA672A"/>
    <w:lvl w:ilvl="0">
      <w:start w:val="1"/>
      <w:numFmt w:val="upperRoman"/>
      <w:lvlText w:val="%1."/>
      <w:lvlJc w:val="left"/>
      <w:pPr>
        <w:ind w:left="1080" w:hanging="720"/>
      </w:pPr>
      <w:rPr>
        <w:rFonts w:eastAsiaTheme="minorHAnsi" w:cstheme="minorHAnsi" w:hint="default"/>
        <w:b/>
        <w:i w:val="0"/>
        <w:color w:val="auto"/>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C646208"/>
    <w:multiLevelType w:val="hybridMultilevel"/>
    <w:tmpl w:val="26B2050A"/>
    <w:lvl w:ilvl="0" w:tplc="47CCB2EE">
      <w:start w:val="1"/>
      <w:numFmt w:val="bullet"/>
      <w:lvlText w:val="­"/>
      <w:lvlJc w:val="left"/>
      <w:pPr>
        <w:ind w:left="1287" w:hanging="360"/>
      </w:pPr>
      <w:rPr>
        <w:rFonts w:ascii="Calibri Light" w:hAnsi="Calibri Light"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3" w15:restartNumberingAfterBreak="0">
    <w:nsid w:val="4FB9352F"/>
    <w:multiLevelType w:val="hybridMultilevel"/>
    <w:tmpl w:val="16BEF664"/>
    <w:lvl w:ilvl="0" w:tplc="9E2C7DE4">
      <w:numFmt w:val="bullet"/>
      <w:lvlText w:val="-"/>
      <w:lvlJc w:val="left"/>
      <w:pPr>
        <w:ind w:left="1050" w:hanging="360"/>
      </w:pPr>
      <w:rPr>
        <w:rFonts w:ascii="Times New Roman" w:eastAsia="Times New Roman"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4" w15:restartNumberingAfterBreak="0">
    <w:nsid w:val="4FC511D7"/>
    <w:multiLevelType w:val="hybridMultilevel"/>
    <w:tmpl w:val="3EFA7BB4"/>
    <w:lvl w:ilvl="0" w:tplc="9E2C7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B5566A"/>
    <w:multiLevelType w:val="multilevel"/>
    <w:tmpl w:val="E8860B3E"/>
    <w:lvl w:ilvl="0">
      <w:start w:val="1"/>
      <w:numFmt w:val="upperRoman"/>
      <w:lvlText w:val="%1."/>
      <w:lvlJc w:val="left"/>
      <w:pPr>
        <w:ind w:left="1080" w:hanging="720"/>
      </w:pPr>
      <w:rPr>
        <w:rFonts w:asciiTheme="majorHAnsi" w:hAnsiTheme="majorHAnsi" w:hint="default"/>
        <w:b/>
      </w:rPr>
    </w:lvl>
    <w:lvl w:ilvl="1">
      <w:start w:val="1"/>
      <w:numFmt w:val="decimal"/>
      <w:isLgl/>
      <w:lvlText w:val="%1.%2"/>
      <w:lvlJc w:val="left"/>
      <w:pPr>
        <w:ind w:left="730" w:hanging="3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5B0D46C9"/>
    <w:multiLevelType w:val="hybridMultilevel"/>
    <w:tmpl w:val="B0202AA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57B5A4B"/>
    <w:multiLevelType w:val="hybridMultilevel"/>
    <w:tmpl w:val="81760BA4"/>
    <w:lvl w:ilvl="0" w:tplc="D70461C6">
      <w:start w:val="1"/>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47D7E"/>
    <w:multiLevelType w:val="hybridMultilevel"/>
    <w:tmpl w:val="57A4A48A"/>
    <w:lvl w:ilvl="0" w:tplc="0C845F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D2D13"/>
    <w:multiLevelType w:val="hybridMultilevel"/>
    <w:tmpl w:val="DC28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7F48C3"/>
    <w:multiLevelType w:val="multilevel"/>
    <w:tmpl w:val="99DC1A4E"/>
    <w:lvl w:ilvl="0">
      <w:start w:val="1"/>
      <w:numFmt w:val="upperRoman"/>
      <w:lvlText w:val="%1."/>
      <w:lvlJc w:val="right"/>
      <w:pPr>
        <w:ind w:left="502" w:hanging="360"/>
      </w:pPr>
      <w:rPr>
        <w:rFonts w:hint="default"/>
      </w:rPr>
    </w:lvl>
    <w:lvl w:ilvl="1">
      <w:start w:val="1"/>
      <w:numFmt w:val="bullet"/>
      <w:lvlText w:val=""/>
      <w:lvlJc w:val="left"/>
      <w:pPr>
        <w:ind w:left="432" w:hanging="432"/>
      </w:pPr>
      <w:rPr>
        <w:rFonts w:ascii="Symbol" w:hAnsi="Symbol" w:hint="default"/>
        <w:b/>
        <w:i w:val="0"/>
        <w:strike w:val="0"/>
        <w:color w:val="auto"/>
        <w:sz w:val="24"/>
        <w:szCs w:val="24"/>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31" w15:restartNumberingAfterBreak="0">
    <w:nsid w:val="68294922"/>
    <w:multiLevelType w:val="hybridMultilevel"/>
    <w:tmpl w:val="E00CB75E"/>
    <w:lvl w:ilvl="0" w:tplc="9E2C7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5B3BE3"/>
    <w:multiLevelType w:val="hybridMultilevel"/>
    <w:tmpl w:val="63D8E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FE4B60"/>
    <w:multiLevelType w:val="hybridMultilevel"/>
    <w:tmpl w:val="BC14C156"/>
    <w:lvl w:ilvl="0" w:tplc="1AEEA6C8">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E304FB"/>
    <w:multiLevelType w:val="hybridMultilevel"/>
    <w:tmpl w:val="0388E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30875"/>
    <w:multiLevelType w:val="hybridMultilevel"/>
    <w:tmpl w:val="5E4A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24FA4"/>
    <w:multiLevelType w:val="hybridMultilevel"/>
    <w:tmpl w:val="0C42B560"/>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4"/>
  </w:num>
  <w:num w:numId="2">
    <w:abstractNumId w:val="21"/>
  </w:num>
  <w:num w:numId="3">
    <w:abstractNumId w:val="15"/>
  </w:num>
  <w:num w:numId="4">
    <w:abstractNumId w:val="16"/>
  </w:num>
  <w:num w:numId="5">
    <w:abstractNumId w:val="7"/>
  </w:num>
  <w:num w:numId="6">
    <w:abstractNumId w:val="8"/>
  </w:num>
  <w:num w:numId="7">
    <w:abstractNumId w:val="14"/>
  </w:num>
  <w:num w:numId="8">
    <w:abstractNumId w:val="10"/>
  </w:num>
  <w:num w:numId="9">
    <w:abstractNumId w:val="11"/>
  </w:num>
  <w:num w:numId="10">
    <w:abstractNumId w:val="17"/>
  </w:num>
  <w:num w:numId="11">
    <w:abstractNumId w:val="19"/>
  </w:num>
  <w:num w:numId="12">
    <w:abstractNumId w:val="35"/>
  </w:num>
  <w:num w:numId="13">
    <w:abstractNumId w:val="5"/>
  </w:num>
  <w:num w:numId="14">
    <w:abstractNumId w:val="25"/>
  </w:num>
  <w:num w:numId="15">
    <w:abstractNumId w:val="6"/>
  </w:num>
  <w:num w:numId="16">
    <w:abstractNumId w:val="26"/>
  </w:num>
  <w:num w:numId="17">
    <w:abstractNumId w:val="26"/>
  </w:num>
  <w:num w:numId="18">
    <w:abstractNumId w:val="36"/>
  </w:num>
  <w:num w:numId="19">
    <w:abstractNumId w:val="9"/>
  </w:num>
  <w:num w:numId="20">
    <w:abstractNumId w:val="32"/>
  </w:num>
  <w:num w:numId="21">
    <w:abstractNumId w:val="30"/>
  </w:num>
  <w:num w:numId="22">
    <w:abstractNumId w:val="34"/>
  </w:num>
  <w:num w:numId="23">
    <w:abstractNumId w:val="12"/>
  </w:num>
  <w:num w:numId="24">
    <w:abstractNumId w:val="13"/>
  </w:num>
  <w:num w:numId="25">
    <w:abstractNumId w:val="28"/>
  </w:num>
  <w:num w:numId="26">
    <w:abstractNumId w:val="33"/>
  </w:num>
  <w:num w:numId="27">
    <w:abstractNumId w:val="27"/>
  </w:num>
  <w:num w:numId="28">
    <w:abstractNumId w:val="29"/>
  </w:num>
  <w:num w:numId="29">
    <w:abstractNumId w:val="3"/>
  </w:num>
  <w:num w:numId="30">
    <w:abstractNumId w:val="31"/>
  </w:num>
  <w:num w:numId="31">
    <w:abstractNumId w:val="20"/>
  </w:num>
  <w:num w:numId="32">
    <w:abstractNumId w:val="23"/>
  </w:num>
  <w:num w:numId="33">
    <w:abstractNumId w:val="2"/>
  </w:num>
  <w:num w:numId="34">
    <w:abstractNumId w:val="18"/>
  </w:num>
  <w:num w:numId="35">
    <w:abstractNumId w:val="1"/>
  </w:num>
  <w:num w:numId="36">
    <w:abstractNumId w:val="0"/>
  </w:num>
  <w:num w:numId="37">
    <w:abstractNumId w:val="2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EC"/>
    <w:rsid w:val="000013A1"/>
    <w:rsid w:val="00001CB2"/>
    <w:rsid w:val="00005DC4"/>
    <w:rsid w:val="000066F7"/>
    <w:rsid w:val="000101E2"/>
    <w:rsid w:val="00011AA9"/>
    <w:rsid w:val="000238E3"/>
    <w:rsid w:val="00026B1E"/>
    <w:rsid w:val="0002700E"/>
    <w:rsid w:val="00027CD8"/>
    <w:rsid w:val="00033C83"/>
    <w:rsid w:val="00035C73"/>
    <w:rsid w:val="00043ED5"/>
    <w:rsid w:val="00045DCB"/>
    <w:rsid w:val="00047EA8"/>
    <w:rsid w:val="0005120D"/>
    <w:rsid w:val="00053BEE"/>
    <w:rsid w:val="0005497E"/>
    <w:rsid w:val="00056010"/>
    <w:rsid w:val="00061992"/>
    <w:rsid w:val="00061E12"/>
    <w:rsid w:val="000642D0"/>
    <w:rsid w:val="0006531F"/>
    <w:rsid w:val="00067503"/>
    <w:rsid w:val="0007105E"/>
    <w:rsid w:val="00072883"/>
    <w:rsid w:val="000766EC"/>
    <w:rsid w:val="0007734E"/>
    <w:rsid w:val="000827FA"/>
    <w:rsid w:val="000832C2"/>
    <w:rsid w:val="00084E51"/>
    <w:rsid w:val="00090BC4"/>
    <w:rsid w:val="0009644F"/>
    <w:rsid w:val="00096B78"/>
    <w:rsid w:val="000A0690"/>
    <w:rsid w:val="000A092D"/>
    <w:rsid w:val="000A123D"/>
    <w:rsid w:val="000A1869"/>
    <w:rsid w:val="000A3829"/>
    <w:rsid w:val="000A3C5C"/>
    <w:rsid w:val="000A6997"/>
    <w:rsid w:val="000B0182"/>
    <w:rsid w:val="000B0E9B"/>
    <w:rsid w:val="000B463C"/>
    <w:rsid w:val="000C12D9"/>
    <w:rsid w:val="000C49C5"/>
    <w:rsid w:val="000C4FA6"/>
    <w:rsid w:val="000C6BFC"/>
    <w:rsid w:val="000C70A8"/>
    <w:rsid w:val="000C7BAF"/>
    <w:rsid w:val="000C7E6F"/>
    <w:rsid w:val="000C7EBB"/>
    <w:rsid w:val="000D2BB5"/>
    <w:rsid w:val="000D55F0"/>
    <w:rsid w:val="000D5DDD"/>
    <w:rsid w:val="000E484B"/>
    <w:rsid w:val="000E51EB"/>
    <w:rsid w:val="000E54CD"/>
    <w:rsid w:val="000F35E4"/>
    <w:rsid w:val="000F56A4"/>
    <w:rsid w:val="000F6005"/>
    <w:rsid w:val="0010088F"/>
    <w:rsid w:val="00101320"/>
    <w:rsid w:val="00101325"/>
    <w:rsid w:val="0010322C"/>
    <w:rsid w:val="00104438"/>
    <w:rsid w:val="00112FEC"/>
    <w:rsid w:val="00115B0C"/>
    <w:rsid w:val="001170DC"/>
    <w:rsid w:val="0013026B"/>
    <w:rsid w:val="00133E73"/>
    <w:rsid w:val="0013501F"/>
    <w:rsid w:val="00137ED2"/>
    <w:rsid w:val="001408E1"/>
    <w:rsid w:val="00142A7F"/>
    <w:rsid w:val="00145F0A"/>
    <w:rsid w:val="0015044C"/>
    <w:rsid w:val="00150797"/>
    <w:rsid w:val="00151108"/>
    <w:rsid w:val="001564FD"/>
    <w:rsid w:val="001602BE"/>
    <w:rsid w:val="001607DE"/>
    <w:rsid w:val="00162D3A"/>
    <w:rsid w:val="00163542"/>
    <w:rsid w:val="00165FB0"/>
    <w:rsid w:val="00167D09"/>
    <w:rsid w:val="00172664"/>
    <w:rsid w:val="00174959"/>
    <w:rsid w:val="00184E2C"/>
    <w:rsid w:val="00186DD1"/>
    <w:rsid w:val="00190E60"/>
    <w:rsid w:val="00192BE7"/>
    <w:rsid w:val="0019483A"/>
    <w:rsid w:val="00194ADA"/>
    <w:rsid w:val="00195C79"/>
    <w:rsid w:val="001A1A53"/>
    <w:rsid w:val="001A3910"/>
    <w:rsid w:val="001A6F49"/>
    <w:rsid w:val="001B3E24"/>
    <w:rsid w:val="001C1152"/>
    <w:rsid w:val="001C3C86"/>
    <w:rsid w:val="001C41DC"/>
    <w:rsid w:val="001D33C8"/>
    <w:rsid w:val="001D401F"/>
    <w:rsid w:val="001D50CF"/>
    <w:rsid w:val="001D7BAD"/>
    <w:rsid w:val="001D7FC2"/>
    <w:rsid w:val="001E3592"/>
    <w:rsid w:val="001F0EEE"/>
    <w:rsid w:val="001F7294"/>
    <w:rsid w:val="001F7A24"/>
    <w:rsid w:val="00204523"/>
    <w:rsid w:val="00205A3D"/>
    <w:rsid w:val="00207761"/>
    <w:rsid w:val="00207B46"/>
    <w:rsid w:val="0021050D"/>
    <w:rsid w:val="00210B68"/>
    <w:rsid w:val="00212141"/>
    <w:rsid w:val="00215412"/>
    <w:rsid w:val="002210E4"/>
    <w:rsid w:val="0022132C"/>
    <w:rsid w:val="002223E2"/>
    <w:rsid w:val="002251ED"/>
    <w:rsid w:val="0022561E"/>
    <w:rsid w:val="00225B7F"/>
    <w:rsid w:val="00232418"/>
    <w:rsid w:val="002363C3"/>
    <w:rsid w:val="00243CD1"/>
    <w:rsid w:val="002613B9"/>
    <w:rsid w:val="00270FBC"/>
    <w:rsid w:val="00270FD6"/>
    <w:rsid w:val="00273134"/>
    <w:rsid w:val="0027321D"/>
    <w:rsid w:val="002740B5"/>
    <w:rsid w:val="0027491F"/>
    <w:rsid w:val="002768A3"/>
    <w:rsid w:val="0027785F"/>
    <w:rsid w:val="00280219"/>
    <w:rsid w:val="00282A66"/>
    <w:rsid w:val="002867CF"/>
    <w:rsid w:val="002914AE"/>
    <w:rsid w:val="00291A5B"/>
    <w:rsid w:val="00293800"/>
    <w:rsid w:val="0029528A"/>
    <w:rsid w:val="002A3D8E"/>
    <w:rsid w:val="002B08C4"/>
    <w:rsid w:val="002B16D4"/>
    <w:rsid w:val="002B7D33"/>
    <w:rsid w:val="002C0DDF"/>
    <w:rsid w:val="002C21BE"/>
    <w:rsid w:val="002C3687"/>
    <w:rsid w:val="002C3C82"/>
    <w:rsid w:val="002C3FF0"/>
    <w:rsid w:val="002C5AC0"/>
    <w:rsid w:val="002C6BF7"/>
    <w:rsid w:val="002D06FA"/>
    <w:rsid w:val="002D5D26"/>
    <w:rsid w:val="002E6035"/>
    <w:rsid w:val="002F1FB1"/>
    <w:rsid w:val="002F35AD"/>
    <w:rsid w:val="002F3B2C"/>
    <w:rsid w:val="002F50A7"/>
    <w:rsid w:val="002F79C7"/>
    <w:rsid w:val="002F7FD5"/>
    <w:rsid w:val="0030282A"/>
    <w:rsid w:val="00305B61"/>
    <w:rsid w:val="00306EAD"/>
    <w:rsid w:val="00313037"/>
    <w:rsid w:val="00317374"/>
    <w:rsid w:val="00317F9F"/>
    <w:rsid w:val="00322464"/>
    <w:rsid w:val="00322DAA"/>
    <w:rsid w:val="00324029"/>
    <w:rsid w:val="003304B3"/>
    <w:rsid w:val="00332DE0"/>
    <w:rsid w:val="0033340E"/>
    <w:rsid w:val="00333DA9"/>
    <w:rsid w:val="003343A4"/>
    <w:rsid w:val="00334448"/>
    <w:rsid w:val="0033786E"/>
    <w:rsid w:val="003410B3"/>
    <w:rsid w:val="003414CB"/>
    <w:rsid w:val="00342B28"/>
    <w:rsid w:val="00345251"/>
    <w:rsid w:val="00345252"/>
    <w:rsid w:val="0034597E"/>
    <w:rsid w:val="0034686F"/>
    <w:rsid w:val="00347C3D"/>
    <w:rsid w:val="0035248E"/>
    <w:rsid w:val="003530F9"/>
    <w:rsid w:val="00363472"/>
    <w:rsid w:val="00367414"/>
    <w:rsid w:val="0036799D"/>
    <w:rsid w:val="00370A8A"/>
    <w:rsid w:val="0037100D"/>
    <w:rsid w:val="00371850"/>
    <w:rsid w:val="003723D7"/>
    <w:rsid w:val="003826F1"/>
    <w:rsid w:val="00384A48"/>
    <w:rsid w:val="00386D71"/>
    <w:rsid w:val="003875F4"/>
    <w:rsid w:val="003878B8"/>
    <w:rsid w:val="00392EE0"/>
    <w:rsid w:val="00394C67"/>
    <w:rsid w:val="00395DFB"/>
    <w:rsid w:val="003A0E04"/>
    <w:rsid w:val="003B2CC4"/>
    <w:rsid w:val="003B7896"/>
    <w:rsid w:val="003C0C70"/>
    <w:rsid w:val="003C2CB7"/>
    <w:rsid w:val="003C714F"/>
    <w:rsid w:val="003C79E2"/>
    <w:rsid w:val="003D59B0"/>
    <w:rsid w:val="003E0BD4"/>
    <w:rsid w:val="003E11BD"/>
    <w:rsid w:val="003E59F9"/>
    <w:rsid w:val="003E7904"/>
    <w:rsid w:val="003F3417"/>
    <w:rsid w:val="003F70ED"/>
    <w:rsid w:val="004002DA"/>
    <w:rsid w:val="0040349D"/>
    <w:rsid w:val="00405EA7"/>
    <w:rsid w:val="0040711E"/>
    <w:rsid w:val="0041040F"/>
    <w:rsid w:val="0041177B"/>
    <w:rsid w:val="004142FB"/>
    <w:rsid w:val="0041495E"/>
    <w:rsid w:val="00414E1B"/>
    <w:rsid w:val="004165E8"/>
    <w:rsid w:val="00417443"/>
    <w:rsid w:val="00417FD0"/>
    <w:rsid w:val="004220E1"/>
    <w:rsid w:val="00424987"/>
    <w:rsid w:val="004253DD"/>
    <w:rsid w:val="00427090"/>
    <w:rsid w:val="0043107E"/>
    <w:rsid w:val="00432ED2"/>
    <w:rsid w:val="004349CF"/>
    <w:rsid w:val="00435FC1"/>
    <w:rsid w:val="00437A5D"/>
    <w:rsid w:val="00437AB2"/>
    <w:rsid w:val="00440439"/>
    <w:rsid w:val="00442CC2"/>
    <w:rsid w:val="0044536C"/>
    <w:rsid w:val="00450E7A"/>
    <w:rsid w:val="00451874"/>
    <w:rsid w:val="0046745B"/>
    <w:rsid w:val="00471349"/>
    <w:rsid w:val="004722ED"/>
    <w:rsid w:val="00472F83"/>
    <w:rsid w:val="0047437B"/>
    <w:rsid w:val="0047719D"/>
    <w:rsid w:val="00481AF6"/>
    <w:rsid w:val="00483EFF"/>
    <w:rsid w:val="00486E08"/>
    <w:rsid w:val="00490061"/>
    <w:rsid w:val="0049012F"/>
    <w:rsid w:val="00490A68"/>
    <w:rsid w:val="0049471C"/>
    <w:rsid w:val="00496329"/>
    <w:rsid w:val="00496CE8"/>
    <w:rsid w:val="004975A7"/>
    <w:rsid w:val="004A08DA"/>
    <w:rsid w:val="004A0CC1"/>
    <w:rsid w:val="004B0B69"/>
    <w:rsid w:val="004B36FD"/>
    <w:rsid w:val="004C17B1"/>
    <w:rsid w:val="004C3C28"/>
    <w:rsid w:val="004C5132"/>
    <w:rsid w:val="004C5CC2"/>
    <w:rsid w:val="004E04EA"/>
    <w:rsid w:val="004E1D82"/>
    <w:rsid w:val="004E38B4"/>
    <w:rsid w:val="004E4E81"/>
    <w:rsid w:val="004E623E"/>
    <w:rsid w:val="004E6961"/>
    <w:rsid w:val="004F3E09"/>
    <w:rsid w:val="00504446"/>
    <w:rsid w:val="00505116"/>
    <w:rsid w:val="00507E25"/>
    <w:rsid w:val="005135A0"/>
    <w:rsid w:val="00513798"/>
    <w:rsid w:val="00513EE5"/>
    <w:rsid w:val="005147AC"/>
    <w:rsid w:val="00515777"/>
    <w:rsid w:val="00523217"/>
    <w:rsid w:val="005271A6"/>
    <w:rsid w:val="005316E4"/>
    <w:rsid w:val="0053186E"/>
    <w:rsid w:val="00535E11"/>
    <w:rsid w:val="00540FD0"/>
    <w:rsid w:val="00541FDA"/>
    <w:rsid w:val="00546322"/>
    <w:rsid w:val="00546881"/>
    <w:rsid w:val="00550F42"/>
    <w:rsid w:val="005522A3"/>
    <w:rsid w:val="00554526"/>
    <w:rsid w:val="0055710F"/>
    <w:rsid w:val="00560317"/>
    <w:rsid w:val="00561BF0"/>
    <w:rsid w:val="00562AB8"/>
    <w:rsid w:val="00577320"/>
    <w:rsid w:val="00577D2D"/>
    <w:rsid w:val="00581BB0"/>
    <w:rsid w:val="00582112"/>
    <w:rsid w:val="00584161"/>
    <w:rsid w:val="0058446C"/>
    <w:rsid w:val="00584BBC"/>
    <w:rsid w:val="005852F3"/>
    <w:rsid w:val="005860C3"/>
    <w:rsid w:val="00586DE7"/>
    <w:rsid w:val="00594FB8"/>
    <w:rsid w:val="00595A1A"/>
    <w:rsid w:val="00597270"/>
    <w:rsid w:val="005A11E0"/>
    <w:rsid w:val="005A6A78"/>
    <w:rsid w:val="005A724E"/>
    <w:rsid w:val="005B1FEF"/>
    <w:rsid w:val="005B7DDE"/>
    <w:rsid w:val="005C3085"/>
    <w:rsid w:val="005C4D45"/>
    <w:rsid w:val="005C5B5C"/>
    <w:rsid w:val="005D08B0"/>
    <w:rsid w:val="005D1E02"/>
    <w:rsid w:val="005E1A43"/>
    <w:rsid w:val="005E46AA"/>
    <w:rsid w:val="005E5F6D"/>
    <w:rsid w:val="005E6055"/>
    <w:rsid w:val="005E7679"/>
    <w:rsid w:val="005F6445"/>
    <w:rsid w:val="00602900"/>
    <w:rsid w:val="006044B6"/>
    <w:rsid w:val="006054C8"/>
    <w:rsid w:val="00607A78"/>
    <w:rsid w:val="0061244E"/>
    <w:rsid w:val="00615579"/>
    <w:rsid w:val="00622029"/>
    <w:rsid w:val="00627467"/>
    <w:rsid w:val="00627CAA"/>
    <w:rsid w:val="0063259D"/>
    <w:rsid w:val="006374BF"/>
    <w:rsid w:val="006413CD"/>
    <w:rsid w:val="006435A8"/>
    <w:rsid w:val="00646E3D"/>
    <w:rsid w:val="006505A5"/>
    <w:rsid w:val="006642CE"/>
    <w:rsid w:val="00664A96"/>
    <w:rsid w:val="00667633"/>
    <w:rsid w:val="00674868"/>
    <w:rsid w:val="00677576"/>
    <w:rsid w:val="00681CAB"/>
    <w:rsid w:val="006822EA"/>
    <w:rsid w:val="006861A7"/>
    <w:rsid w:val="006878DB"/>
    <w:rsid w:val="0069374B"/>
    <w:rsid w:val="00693D45"/>
    <w:rsid w:val="00695000"/>
    <w:rsid w:val="006966B1"/>
    <w:rsid w:val="00696C95"/>
    <w:rsid w:val="006A03B7"/>
    <w:rsid w:val="006A050B"/>
    <w:rsid w:val="006A271D"/>
    <w:rsid w:val="006A4B4C"/>
    <w:rsid w:val="006A6F93"/>
    <w:rsid w:val="006B1F36"/>
    <w:rsid w:val="006C0B1D"/>
    <w:rsid w:val="006C28E2"/>
    <w:rsid w:val="006C345B"/>
    <w:rsid w:val="006C453B"/>
    <w:rsid w:val="006D327C"/>
    <w:rsid w:val="006D3B5A"/>
    <w:rsid w:val="006D72DF"/>
    <w:rsid w:val="006D7D46"/>
    <w:rsid w:val="006E2BF2"/>
    <w:rsid w:val="006E3DF6"/>
    <w:rsid w:val="006E5CDC"/>
    <w:rsid w:val="006E68BE"/>
    <w:rsid w:val="006E7718"/>
    <w:rsid w:val="006F197F"/>
    <w:rsid w:val="006F4D9B"/>
    <w:rsid w:val="00700286"/>
    <w:rsid w:val="007015CA"/>
    <w:rsid w:val="007018BC"/>
    <w:rsid w:val="00703557"/>
    <w:rsid w:val="00712691"/>
    <w:rsid w:val="007146B0"/>
    <w:rsid w:val="00714C95"/>
    <w:rsid w:val="007231DB"/>
    <w:rsid w:val="00731984"/>
    <w:rsid w:val="00733FD2"/>
    <w:rsid w:val="00734D04"/>
    <w:rsid w:val="00734F03"/>
    <w:rsid w:val="00735CCA"/>
    <w:rsid w:val="00737524"/>
    <w:rsid w:val="00740C13"/>
    <w:rsid w:val="007430ED"/>
    <w:rsid w:val="00746955"/>
    <w:rsid w:val="00752364"/>
    <w:rsid w:val="00752DCF"/>
    <w:rsid w:val="0076507E"/>
    <w:rsid w:val="007651CB"/>
    <w:rsid w:val="0076752B"/>
    <w:rsid w:val="0077126F"/>
    <w:rsid w:val="00771D54"/>
    <w:rsid w:val="007748CB"/>
    <w:rsid w:val="007772D2"/>
    <w:rsid w:val="00785B50"/>
    <w:rsid w:val="0079132F"/>
    <w:rsid w:val="00793934"/>
    <w:rsid w:val="00793A97"/>
    <w:rsid w:val="00794F68"/>
    <w:rsid w:val="00797B5B"/>
    <w:rsid w:val="007A54B6"/>
    <w:rsid w:val="007A6D29"/>
    <w:rsid w:val="007A6E88"/>
    <w:rsid w:val="007A7742"/>
    <w:rsid w:val="007B2E51"/>
    <w:rsid w:val="007B45BE"/>
    <w:rsid w:val="007B5BC1"/>
    <w:rsid w:val="007B5EE5"/>
    <w:rsid w:val="007C6FC0"/>
    <w:rsid w:val="007C7DB7"/>
    <w:rsid w:val="007D0796"/>
    <w:rsid w:val="007D3BEC"/>
    <w:rsid w:val="007D4003"/>
    <w:rsid w:val="007D51B9"/>
    <w:rsid w:val="007D5476"/>
    <w:rsid w:val="007D6551"/>
    <w:rsid w:val="007E1091"/>
    <w:rsid w:val="007E17C8"/>
    <w:rsid w:val="007E5137"/>
    <w:rsid w:val="007E6753"/>
    <w:rsid w:val="007E6E08"/>
    <w:rsid w:val="007E7B6C"/>
    <w:rsid w:val="007F0008"/>
    <w:rsid w:val="007F498C"/>
    <w:rsid w:val="007F71A5"/>
    <w:rsid w:val="00804731"/>
    <w:rsid w:val="00804E68"/>
    <w:rsid w:val="00804F52"/>
    <w:rsid w:val="00806B35"/>
    <w:rsid w:val="008175DD"/>
    <w:rsid w:val="0081772D"/>
    <w:rsid w:val="00817FFA"/>
    <w:rsid w:val="00823622"/>
    <w:rsid w:val="0082606C"/>
    <w:rsid w:val="00827278"/>
    <w:rsid w:val="00830B52"/>
    <w:rsid w:val="00831580"/>
    <w:rsid w:val="00833495"/>
    <w:rsid w:val="008334CA"/>
    <w:rsid w:val="00834B12"/>
    <w:rsid w:val="00835DB4"/>
    <w:rsid w:val="00840203"/>
    <w:rsid w:val="008429AE"/>
    <w:rsid w:val="00847642"/>
    <w:rsid w:val="00850098"/>
    <w:rsid w:val="0085232F"/>
    <w:rsid w:val="00854F99"/>
    <w:rsid w:val="008570AD"/>
    <w:rsid w:val="00864E49"/>
    <w:rsid w:val="00865526"/>
    <w:rsid w:val="00866500"/>
    <w:rsid w:val="00872DE4"/>
    <w:rsid w:val="008760E2"/>
    <w:rsid w:val="00881590"/>
    <w:rsid w:val="008840D1"/>
    <w:rsid w:val="00884A9F"/>
    <w:rsid w:val="00885FD9"/>
    <w:rsid w:val="008860B5"/>
    <w:rsid w:val="00892A92"/>
    <w:rsid w:val="00892B7A"/>
    <w:rsid w:val="00895E6F"/>
    <w:rsid w:val="008A015C"/>
    <w:rsid w:val="008A3E12"/>
    <w:rsid w:val="008A5BEB"/>
    <w:rsid w:val="008A776C"/>
    <w:rsid w:val="008B7B82"/>
    <w:rsid w:val="008B7C19"/>
    <w:rsid w:val="008C1B57"/>
    <w:rsid w:val="008C45DF"/>
    <w:rsid w:val="008D4A5A"/>
    <w:rsid w:val="008D6382"/>
    <w:rsid w:val="008E0158"/>
    <w:rsid w:val="008E247A"/>
    <w:rsid w:val="008E449E"/>
    <w:rsid w:val="008E7D67"/>
    <w:rsid w:val="008F047E"/>
    <w:rsid w:val="008F268F"/>
    <w:rsid w:val="008F3420"/>
    <w:rsid w:val="008F3953"/>
    <w:rsid w:val="008F4DF7"/>
    <w:rsid w:val="00901939"/>
    <w:rsid w:val="0090385F"/>
    <w:rsid w:val="00907535"/>
    <w:rsid w:val="0090763D"/>
    <w:rsid w:val="00907FA2"/>
    <w:rsid w:val="009153BC"/>
    <w:rsid w:val="0091544B"/>
    <w:rsid w:val="009227E3"/>
    <w:rsid w:val="0092428A"/>
    <w:rsid w:val="00927622"/>
    <w:rsid w:val="009308BC"/>
    <w:rsid w:val="00944340"/>
    <w:rsid w:val="00944E0B"/>
    <w:rsid w:val="0095005C"/>
    <w:rsid w:val="00951508"/>
    <w:rsid w:val="009612E9"/>
    <w:rsid w:val="009646AD"/>
    <w:rsid w:val="00966878"/>
    <w:rsid w:val="0096689C"/>
    <w:rsid w:val="009709E3"/>
    <w:rsid w:val="00975CF3"/>
    <w:rsid w:val="00983962"/>
    <w:rsid w:val="00990C8D"/>
    <w:rsid w:val="00992011"/>
    <w:rsid w:val="0099268E"/>
    <w:rsid w:val="00997B76"/>
    <w:rsid w:val="009A1E1B"/>
    <w:rsid w:val="009A62BC"/>
    <w:rsid w:val="009B10C2"/>
    <w:rsid w:val="009B2AD6"/>
    <w:rsid w:val="009B67F0"/>
    <w:rsid w:val="009B6CCB"/>
    <w:rsid w:val="009C275C"/>
    <w:rsid w:val="009C5087"/>
    <w:rsid w:val="009C564C"/>
    <w:rsid w:val="009C5D0D"/>
    <w:rsid w:val="009D327D"/>
    <w:rsid w:val="009D360A"/>
    <w:rsid w:val="009E6B3E"/>
    <w:rsid w:val="009E76F8"/>
    <w:rsid w:val="00A00379"/>
    <w:rsid w:val="00A05F5B"/>
    <w:rsid w:val="00A14ACD"/>
    <w:rsid w:val="00A15F13"/>
    <w:rsid w:val="00A16E1D"/>
    <w:rsid w:val="00A17F73"/>
    <w:rsid w:val="00A2107B"/>
    <w:rsid w:val="00A24959"/>
    <w:rsid w:val="00A272DD"/>
    <w:rsid w:val="00A27F1E"/>
    <w:rsid w:val="00A32611"/>
    <w:rsid w:val="00A3533E"/>
    <w:rsid w:val="00A35504"/>
    <w:rsid w:val="00A35860"/>
    <w:rsid w:val="00A37146"/>
    <w:rsid w:val="00A40EF7"/>
    <w:rsid w:val="00A41326"/>
    <w:rsid w:val="00A41919"/>
    <w:rsid w:val="00A4364A"/>
    <w:rsid w:val="00A465CE"/>
    <w:rsid w:val="00A54E00"/>
    <w:rsid w:val="00A55040"/>
    <w:rsid w:val="00A62021"/>
    <w:rsid w:val="00A64D8A"/>
    <w:rsid w:val="00A701D5"/>
    <w:rsid w:val="00A702B3"/>
    <w:rsid w:val="00A70684"/>
    <w:rsid w:val="00A72256"/>
    <w:rsid w:val="00A755EE"/>
    <w:rsid w:val="00A75ED2"/>
    <w:rsid w:val="00A803BE"/>
    <w:rsid w:val="00A805AE"/>
    <w:rsid w:val="00A806BC"/>
    <w:rsid w:val="00A85982"/>
    <w:rsid w:val="00A86311"/>
    <w:rsid w:val="00A8666C"/>
    <w:rsid w:val="00A9066C"/>
    <w:rsid w:val="00A918EB"/>
    <w:rsid w:val="00A92C22"/>
    <w:rsid w:val="00A9340E"/>
    <w:rsid w:val="00A937F8"/>
    <w:rsid w:val="00A958CF"/>
    <w:rsid w:val="00A95FBC"/>
    <w:rsid w:val="00A963EC"/>
    <w:rsid w:val="00AA1537"/>
    <w:rsid w:val="00AA2BAE"/>
    <w:rsid w:val="00AA4350"/>
    <w:rsid w:val="00AC454F"/>
    <w:rsid w:val="00AC6414"/>
    <w:rsid w:val="00AC6626"/>
    <w:rsid w:val="00AD250D"/>
    <w:rsid w:val="00AD660D"/>
    <w:rsid w:val="00AE4A27"/>
    <w:rsid w:val="00AE63D0"/>
    <w:rsid w:val="00AF1F02"/>
    <w:rsid w:val="00AF4A20"/>
    <w:rsid w:val="00B0369E"/>
    <w:rsid w:val="00B03DC1"/>
    <w:rsid w:val="00B07A08"/>
    <w:rsid w:val="00B100F6"/>
    <w:rsid w:val="00B17233"/>
    <w:rsid w:val="00B17369"/>
    <w:rsid w:val="00B24DFF"/>
    <w:rsid w:val="00B3187F"/>
    <w:rsid w:val="00B4323D"/>
    <w:rsid w:val="00B4458F"/>
    <w:rsid w:val="00B54570"/>
    <w:rsid w:val="00B548C0"/>
    <w:rsid w:val="00B55C20"/>
    <w:rsid w:val="00B565A3"/>
    <w:rsid w:val="00B56848"/>
    <w:rsid w:val="00B574A7"/>
    <w:rsid w:val="00B57828"/>
    <w:rsid w:val="00B62CEF"/>
    <w:rsid w:val="00B63495"/>
    <w:rsid w:val="00B64F4B"/>
    <w:rsid w:val="00B66F03"/>
    <w:rsid w:val="00B67057"/>
    <w:rsid w:val="00B671ED"/>
    <w:rsid w:val="00B76C66"/>
    <w:rsid w:val="00B77343"/>
    <w:rsid w:val="00B80E8D"/>
    <w:rsid w:val="00B87F4A"/>
    <w:rsid w:val="00B94DC9"/>
    <w:rsid w:val="00B96411"/>
    <w:rsid w:val="00B968E7"/>
    <w:rsid w:val="00BA385C"/>
    <w:rsid w:val="00BA3D73"/>
    <w:rsid w:val="00BA70AB"/>
    <w:rsid w:val="00BA7803"/>
    <w:rsid w:val="00BB0853"/>
    <w:rsid w:val="00BB282B"/>
    <w:rsid w:val="00BB33B5"/>
    <w:rsid w:val="00BB3605"/>
    <w:rsid w:val="00BC3AB9"/>
    <w:rsid w:val="00BC6305"/>
    <w:rsid w:val="00BD4EFA"/>
    <w:rsid w:val="00BD5633"/>
    <w:rsid w:val="00BE3AB3"/>
    <w:rsid w:val="00BE5662"/>
    <w:rsid w:val="00C0016C"/>
    <w:rsid w:val="00C01BB5"/>
    <w:rsid w:val="00C01C41"/>
    <w:rsid w:val="00C0582B"/>
    <w:rsid w:val="00C103FA"/>
    <w:rsid w:val="00C15DC2"/>
    <w:rsid w:val="00C16177"/>
    <w:rsid w:val="00C17035"/>
    <w:rsid w:val="00C1714B"/>
    <w:rsid w:val="00C17C32"/>
    <w:rsid w:val="00C21BAA"/>
    <w:rsid w:val="00C331A4"/>
    <w:rsid w:val="00C34694"/>
    <w:rsid w:val="00C3688E"/>
    <w:rsid w:val="00C37355"/>
    <w:rsid w:val="00C378B8"/>
    <w:rsid w:val="00C3799B"/>
    <w:rsid w:val="00C4429E"/>
    <w:rsid w:val="00C466CE"/>
    <w:rsid w:val="00C471E5"/>
    <w:rsid w:val="00C47713"/>
    <w:rsid w:val="00C564EB"/>
    <w:rsid w:val="00C573C8"/>
    <w:rsid w:val="00C63BBA"/>
    <w:rsid w:val="00C64B22"/>
    <w:rsid w:val="00C67356"/>
    <w:rsid w:val="00C67825"/>
    <w:rsid w:val="00C77443"/>
    <w:rsid w:val="00C83720"/>
    <w:rsid w:val="00C920D1"/>
    <w:rsid w:val="00C92E10"/>
    <w:rsid w:val="00C97582"/>
    <w:rsid w:val="00C975D3"/>
    <w:rsid w:val="00C976A4"/>
    <w:rsid w:val="00C97BE9"/>
    <w:rsid w:val="00CA7CF5"/>
    <w:rsid w:val="00CB2B70"/>
    <w:rsid w:val="00CB5456"/>
    <w:rsid w:val="00CC3165"/>
    <w:rsid w:val="00CC4A64"/>
    <w:rsid w:val="00CC6C8F"/>
    <w:rsid w:val="00CD3570"/>
    <w:rsid w:val="00CD5897"/>
    <w:rsid w:val="00CE6BF6"/>
    <w:rsid w:val="00CE70CE"/>
    <w:rsid w:val="00CE768F"/>
    <w:rsid w:val="00CF5642"/>
    <w:rsid w:val="00D02297"/>
    <w:rsid w:val="00D052A7"/>
    <w:rsid w:val="00D14330"/>
    <w:rsid w:val="00D21616"/>
    <w:rsid w:val="00D25402"/>
    <w:rsid w:val="00D25735"/>
    <w:rsid w:val="00D25D3B"/>
    <w:rsid w:val="00D31D4F"/>
    <w:rsid w:val="00D3691A"/>
    <w:rsid w:val="00D41C04"/>
    <w:rsid w:val="00D43B26"/>
    <w:rsid w:val="00D44E58"/>
    <w:rsid w:val="00D566EF"/>
    <w:rsid w:val="00D643DC"/>
    <w:rsid w:val="00D72554"/>
    <w:rsid w:val="00D73601"/>
    <w:rsid w:val="00D74946"/>
    <w:rsid w:val="00D74D64"/>
    <w:rsid w:val="00D75CDC"/>
    <w:rsid w:val="00D76248"/>
    <w:rsid w:val="00D76E3F"/>
    <w:rsid w:val="00D770E0"/>
    <w:rsid w:val="00D80F4A"/>
    <w:rsid w:val="00D81B46"/>
    <w:rsid w:val="00D868F0"/>
    <w:rsid w:val="00D87476"/>
    <w:rsid w:val="00D90F71"/>
    <w:rsid w:val="00D91283"/>
    <w:rsid w:val="00D923F8"/>
    <w:rsid w:val="00D92976"/>
    <w:rsid w:val="00DA0D6D"/>
    <w:rsid w:val="00DA31F7"/>
    <w:rsid w:val="00DA4A56"/>
    <w:rsid w:val="00DA635C"/>
    <w:rsid w:val="00DB0440"/>
    <w:rsid w:val="00DB0B3C"/>
    <w:rsid w:val="00DB19E7"/>
    <w:rsid w:val="00DB2093"/>
    <w:rsid w:val="00DB3356"/>
    <w:rsid w:val="00DB7396"/>
    <w:rsid w:val="00DC1F54"/>
    <w:rsid w:val="00DC5212"/>
    <w:rsid w:val="00DC5C8E"/>
    <w:rsid w:val="00DC6708"/>
    <w:rsid w:val="00DC711D"/>
    <w:rsid w:val="00DC71E5"/>
    <w:rsid w:val="00DD0526"/>
    <w:rsid w:val="00DD1517"/>
    <w:rsid w:val="00DE0FF0"/>
    <w:rsid w:val="00DE2A91"/>
    <w:rsid w:val="00DE4130"/>
    <w:rsid w:val="00DE5E57"/>
    <w:rsid w:val="00DE62D5"/>
    <w:rsid w:val="00DE7B6D"/>
    <w:rsid w:val="00DF124E"/>
    <w:rsid w:val="00DF1BA8"/>
    <w:rsid w:val="00DF21AC"/>
    <w:rsid w:val="00DF3F31"/>
    <w:rsid w:val="00DF456C"/>
    <w:rsid w:val="00DF6AF8"/>
    <w:rsid w:val="00E07128"/>
    <w:rsid w:val="00E07D08"/>
    <w:rsid w:val="00E10E54"/>
    <w:rsid w:val="00E1242D"/>
    <w:rsid w:val="00E16DA7"/>
    <w:rsid w:val="00E309CE"/>
    <w:rsid w:val="00E37BEF"/>
    <w:rsid w:val="00E43078"/>
    <w:rsid w:val="00E441FB"/>
    <w:rsid w:val="00E4538A"/>
    <w:rsid w:val="00E45D29"/>
    <w:rsid w:val="00E472C6"/>
    <w:rsid w:val="00E47D64"/>
    <w:rsid w:val="00E502B3"/>
    <w:rsid w:val="00E52695"/>
    <w:rsid w:val="00E54B66"/>
    <w:rsid w:val="00E5620F"/>
    <w:rsid w:val="00E56BC4"/>
    <w:rsid w:val="00E56F5D"/>
    <w:rsid w:val="00E6421A"/>
    <w:rsid w:val="00E6541B"/>
    <w:rsid w:val="00E6578D"/>
    <w:rsid w:val="00E6578F"/>
    <w:rsid w:val="00E670FA"/>
    <w:rsid w:val="00E677F9"/>
    <w:rsid w:val="00E71BC1"/>
    <w:rsid w:val="00E744CA"/>
    <w:rsid w:val="00E74A0F"/>
    <w:rsid w:val="00E765E0"/>
    <w:rsid w:val="00E801A0"/>
    <w:rsid w:val="00E81489"/>
    <w:rsid w:val="00E817A5"/>
    <w:rsid w:val="00E854AB"/>
    <w:rsid w:val="00E86230"/>
    <w:rsid w:val="00E87368"/>
    <w:rsid w:val="00E95E30"/>
    <w:rsid w:val="00E960A0"/>
    <w:rsid w:val="00E96123"/>
    <w:rsid w:val="00E97A77"/>
    <w:rsid w:val="00EA00C5"/>
    <w:rsid w:val="00EA212C"/>
    <w:rsid w:val="00EA4ECD"/>
    <w:rsid w:val="00EA7896"/>
    <w:rsid w:val="00EB4626"/>
    <w:rsid w:val="00EB480A"/>
    <w:rsid w:val="00EB508B"/>
    <w:rsid w:val="00EC0425"/>
    <w:rsid w:val="00EC1CD4"/>
    <w:rsid w:val="00EC2114"/>
    <w:rsid w:val="00EC21F4"/>
    <w:rsid w:val="00EC380C"/>
    <w:rsid w:val="00EC44BB"/>
    <w:rsid w:val="00ED134F"/>
    <w:rsid w:val="00ED1775"/>
    <w:rsid w:val="00ED2D9E"/>
    <w:rsid w:val="00ED3875"/>
    <w:rsid w:val="00EE11E6"/>
    <w:rsid w:val="00EE1719"/>
    <w:rsid w:val="00EE26E1"/>
    <w:rsid w:val="00EE6A31"/>
    <w:rsid w:val="00EE6E9C"/>
    <w:rsid w:val="00EF0122"/>
    <w:rsid w:val="00EF0FE0"/>
    <w:rsid w:val="00EF11C0"/>
    <w:rsid w:val="00EF1E00"/>
    <w:rsid w:val="00EF368F"/>
    <w:rsid w:val="00EF3AC3"/>
    <w:rsid w:val="00EF45CF"/>
    <w:rsid w:val="00EF6023"/>
    <w:rsid w:val="00EF6FDE"/>
    <w:rsid w:val="00EF722D"/>
    <w:rsid w:val="00F03CCE"/>
    <w:rsid w:val="00F03F7D"/>
    <w:rsid w:val="00F06305"/>
    <w:rsid w:val="00F10C87"/>
    <w:rsid w:val="00F12409"/>
    <w:rsid w:val="00F14E10"/>
    <w:rsid w:val="00F16BB7"/>
    <w:rsid w:val="00F22F06"/>
    <w:rsid w:val="00F267BF"/>
    <w:rsid w:val="00F309A5"/>
    <w:rsid w:val="00F30B5F"/>
    <w:rsid w:val="00F34E9D"/>
    <w:rsid w:val="00F40191"/>
    <w:rsid w:val="00F42E6E"/>
    <w:rsid w:val="00F45A11"/>
    <w:rsid w:val="00F5215C"/>
    <w:rsid w:val="00F52390"/>
    <w:rsid w:val="00F55946"/>
    <w:rsid w:val="00F57ED2"/>
    <w:rsid w:val="00F61429"/>
    <w:rsid w:val="00F62D3E"/>
    <w:rsid w:val="00F632CF"/>
    <w:rsid w:val="00F639BB"/>
    <w:rsid w:val="00F673D4"/>
    <w:rsid w:val="00F718EC"/>
    <w:rsid w:val="00F74375"/>
    <w:rsid w:val="00F74A05"/>
    <w:rsid w:val="00F74AF4"/>
    <w:rsid w:val="00F7528F"/>
    <w:rsid w:val="00F77A1D"/>
    <w:rsid w:val="00F81BF5"/>
    <w:rsid w:val="00F82F09"/>
    <w:rsid w:val="00F83E9A"/>
    <w:rsid w:val="00F85941"/>
    <w:rsid w:val="00F85F5E"/>
    <w:rsid w:val="00F865AA"/>
    <w:rsid w:val="00F90829"/>
    <w:rsid w:val="00F90AFF"/>
    <w:rsid w:val="00F93EB6"/>
    <w:rsid w:val="00F9434B"/>
    <w:rsid w:val="00F97964"/>
    <w:rsid w:val="00FA032C"/>
    <w:rsid w:val="00FA3692"/>
    <w:rsid w:val="00FA6419"/>
    <w:rsid w:val="00FB00A8"/>
    <w:rsid w:val="00FB23BB"/>
    <w:rsid w:val="00FB2AC0"/>
    <w:rsid w:val="00FB4464"/>
    <w:rsid w:val="00FB4D17"/>
    <w:rsid w:val="00FB5442"/>
    <w:rsid w:val="00FC35C1"/>
    <w:rsid w:val="00FC4AB3"/>
    <w:rsid w:val="00FD175D"/>
    <w:rsid w:val="00FD4DB3"/>
    <w:rsid w:val="00FD670B"/>
    <w:rsid w:val="00FE1933"/>
    <w:rsid w:val="00FE6D9A"/>
    <w:rsid w:val="00FF08D0"/>
    <w:rsid w:val="00FF43E8"/>
    <w:rsid w:val="00FF5677"/>
    <w:rsid w:val="00FF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C88EF"/>
  <w15:chartTrackingRefBased/>
  <w15:docId w15:val="{B3EB86DA-3D99-4A09-B110-4E676932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8EC"/>
    <w:rPr>
      <w:lang w:val="ro-MD"/>
    </w:rPr>
  </w:style>
  <w:style w:type="paragraph" w:styleId="4">
    <w:name w:val="heading 4"/>
    <w:basedOn w:val="a"/>
    <w:link w:val="40"/>
    <w:uiPriority w:val="9"/>
    <w:qFormat/>
    <w:rsid w:val="001F7A24"/>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1,Scriptoria bullet points,Абзац списка1,Bullets,References,Liste 1,List Paragraph nowy,Numbered List Paragraph,List Paragraph (numbered (a)),Medium Grid 1 - Accent 21,Paragraphe de liste2,Paragraphe de liste1,Dot pt,Stil3"/>
    <w:basedOn w:val="a"/>
    <w:link w:val="a4"/>
    <w:uiPriority w:val="34"/>
    <w:qFormat/>
    <w:rsid w:val="00F718EC"/>
    <w:pPr>
      <w:ind w:left="720"/>
      <w:contextualSpacing/>
    </w:pPr>
  </w:style>
  <w:style w:type="character" w:customStyle="1" w:styleId="a4">
    <w:name w:val="Абзац списка Знак"/>
    <w:aliases w:val="List Paragraph 1 Знак,Scriptoria bullet points Знак,Абзац списка1 Знак,Bullets Знак,References Знак,Liste 1 Знак,List Paragraph nowy Знак,Numbered List Paragraph Знак,List Paragraph (numbered (a)) Знак,Medium Grid 1 - Accent 21 Знак"/>
    <w:link w:val="a3"/>
    <w:uiPriority w:val="34"/>
    <w:qFormat/>
    <w:rsid w:val="00F718EC"/>
    <w:rPr>
      <w:lang w:val="ro-MD"/>
    </w:rPr>
  </w:style>
  <w:style w:type="paragraph" w:styleId="a5">
    <w:name w:val="footnote text"/>
    <w:aliases w:val="Char,Знак, Знак, Char,Знак1, Знак1,single space,FOOTNOTES,fn,Footnote Text Char1,Footnote Text Char2 Char,Footnote Text Char1 Char Char,Footnote Text Char2 Char Char Char,Footnote Text Char1 Char Char Char Char,Cha,ft,Fußnote Char Char,A"/>
    <w:basedOn w:val="a"/>
    <w:link w:val="a6"/>
    <w:unhideWhenUsed/>
    <w:qFormat/>
    <w:rsid w:val="00F718EC"/>
    <w:pPr>
      <w:spacing w:after="0" w:line="240" w:lineRule="auto"/>
    </w:pPr>
    <w:rPr>
      <w:sz w:val="20"/>
      <w:szCs w:val="20"/>
    </w:rPr>
  </w:style>
  <w:style w:type="character" w:customStyle="1" w:styleId="a6">
    <w:name w:val="Текст сноски Знак"/>
    <w:aliases w:val="Char Знак,Знак Знак, Знак Знак, Char Знак,Знак1 Знак, Знак1 Знак,single space Знак,FOOTNOTES Знак,fn Знак,Footnote Text Char1 Знак,Footnote Text Char2 Char Знак,Footnote Text Char1 Char Char Знак,Footnote Text Char2 Char Char Char Знак"/>
    <w:basedOn w:val="a0"/>
    <w:link w:val="a5"/>
    <w:rsid w:val="00F718EC"/>
    <w:rPr>
      <w:sz w:val="20"/>
      <w:szCs w:val="20"/>
      <w:lang w:val="ro-MD"/>
    </w:rPr>
  </w:style>
  <w:style w:type="character" w:styleId="a7">
    <w:name w:val="footnote reference"/>
    <w:aliases w:val="ftref,Times 10 Point,Exposant 3 Point,Footnote symbol,Footnote reference number,EN Footnote Reference,note TESI,16 Point,Superscript 6 Point,Footnote Text Char2,FOOTNOTES Char1,fn Char1,single space Char1,ft Char1,Ref,BVI fnr,fr,FR"/>
    <w:link w:val="FNRefeCharChar"/>
    <w:uiPriority w:val="99"/>
    <w:unhideWhenUsed/>
    <w:rsid w:val="00F718EC"/>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7"/>
    <w:uiPriority w:val="99"/>
    <w:qFormat/>
    <w:rsid w:val="00F718EC"/>
    <w:pPr>
      <w:spacing w:line="240" w:lineRule="exact"/>
    </w:pPr>
    <w:rPr>
      <w:vertAlign w:val="superscript"/>
      <w:lang w:val="en-US"/>
    </w:rPr>
  </w:style>
  <w:style w:type="numbering" w:customStyle="1" w:styleId="1111111">
    <w:name w:val="1 / 1.1 / 1.1.11"/>
    <w:basedOn w:val="a2"/>
    <w:next w:val="111111"/>
    <w:uiPriority w:val="99"/>
    <w:semiHidden/>
    <w:unhideWhenUsed/>
    <w:rsid w:val="00F718EC"/>
    <w:pPr>
      <w:numPr>
        <w:numId w:val="1"/>
      </w:numPr>
    </w:pPr>
  </w:style>
  <w:style w:type="numbering" w:styleId="111111">
    <w:name w:val="Outline List 2"/>
    <w:basedOn w:val="a2"/>
    <w:uiPriority w:val="99"/>
    <w:semiHidden/>
    <w:unhideWhenUsed/>
    <w:rsid w:val="00F718EC"/>
  </w:style>
  <w:style w:type="paragraph" w:styleId="HTML">
    <w:name w:val="HTML Preformatted"/>
    <w:basedOn w:val="a"/>
    <w:link w:val="HTML0"/>
    <w:uiPriority w:val="99"/>
    <w:unhideWhenUsed/>
    <w:rsid w:val="005E1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5E1A43"/>
    <w:rPr>
      <w:rFonts w:ascii="Courier New" w:eastAsia="Times New Roman" w:hAnsi="Courier New" w:cs="Courier New"/>
      <w:sz w:val="20"/>
      <w:szCs w:val="20"/>
    </w:rPr>
  </w:style>
  <w:style w:type="paragraph" w:customStyle="1" w:styleId="cp">
    <w:name w:val="cp"/>
    <w:basedOn w:val="a"/>
    <w:rsid w:val="004C5132"/>
    <w:pPr>
      <w:spacing w:after="0" w:line="240" w:lineRule="auto"/>
      <w:jc w:val="center"/>
    </w:pPr>
    <w:rPr>
      <w:rFonts w:ascii="Times New Roman" w:eastAsia="Times New Roman" w:hAnsi="Times New Roman" w:cs="Times New Roman"/>
      <w:b/>
      <w:bCs/>
      <w:sz w:val="24"/>
      <w:szCs w:val="24"/>
      <w:lang w:val="ru-RU" w:eastAsia="ru-RU"/>
    </w:rPr>
  </w:style>
  <w:style w:type="character" w:customStyle="1" w:styleId="40">
    <w:name w:val="Заголовок 4 Знак"/>
    <w:basedOn w:val="a0"/>
    <w:link w:val="4"/>
    <w:uiPriority w:val="9"/>
    <w:rsid w:val="001F7A24"/>
    <w:rPr>
      <w:rFonts w:ascii="Times New Roman" w:eastAsia="Times New Roman" w:hAnsi="Times New Roman" w:cs="Times New Roman"/>
      <w:b/>
      <w:bCs/>
      <w:sz w:val="24"/>
      <w:szCs w:val="24"/>
    </w:rPr>
  </w:style>
  <w:style w:type="paragraph" w:styleId="a8">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a"/>
    <w:link w:val="a9"/>
    <w:uiPriority w:val="99"/>
    <w:unhideWhenUsed/>
    <w:qFormat/>
    <w:rsid w:val="001F7A2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2iqfc">
    <w:name w:val="y2iqfc"/>
    <w:basedOn w:val="a0"/>
    <w:rsid w:val="0037100D"/>
  </w:style>
  <w:style w:type="paragraph" w:styleId="aa">
    <w:name w:val="header"/>
    <w:basedOn w:val="a"/>
    <w:link w:val="ab"/>
    <w:uiPriority w:val="99"/>
    <w:unhideWhenUsed/>
    <w:rsid w:val="003878B8"/>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3878B8"/>
    <w:rPr>
      <w:lang w:val="ro-MD"/>
    </w:rPr>
  </w:style>
  <w:style w:type="paragraph" w:styleId="ac">
    <w:name w:val="footer"/>
    <w:basedOn w:val="a"/>
    <w:link w:val="ad"/>
    <w:uiPriority w:val="99"/>
    <w:unhideWhenUsed/>
    <w:rsid w:val="003878B8"/>
    <w:pPr>
      <w:tabs>
        <w:tab w:val="center" w:pos="4844"/>
        <w:tab w:val="right" w:pos="9689"/>
      </w:tabs>
      <w:spacing w:after="0" w:line="240" w:lineRule="auto"/>
    </w:pPr>
  </w:style>
  <w:style w:type="character" w:customStyle="1" w:styleId="ad">
    <w:name w:val="Нижний колонтитул Знак"/>
    <w:basedOn w:val="a0"/>
    <w:link w:val="ac"/>
    <w:uiPriority w:val="99"/>
    <w:rsid w:val="003878B8"/>
    <w:rPr>
      <w:lang w:val="ro-MD"/>
    </w:rPr>
  </w:style>
  <w:style w:type="table" w:styleId="ae">
    <w:name w:val="Table Grid"/>
    <w:basedOn w:val="a1"/>
    <w:uiPriority w:val="39"/>
    <w:rsid w:val="00696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6966B1"/>
    <w:rPr>
      <w:color w:val="0563C1" w:themeColor="hyperlink"/>
      <w:u w:val="single"/>
    </w:rPr>
  </w:style>
  <w:style w:type="paragraph" w:customStyle="1" w:styleId="Default">
    <w:name w:val="Default"/>
    <w:rsid w:val="00243CD1"/>
    <w:pPr>
      <w:autoSpaceDE w:val="0"/>
      <w:autoSpaceDN w:val="0"/>
      <w:adjustRightInd w:val="0"/>
      <w:spacing w:after="0" w:line="240" w:lineRule="auto"/>
    </w:pPr>
    <w:rPr>
      <w:rFonts w:ascii="Arial" w:hAnsi="Arial" w:cs="Arial"/>
      <w:color w:val="000000"/>
      <w:sz w:val="24"/>
      <w:szCs w:val="24"/>
    </w:rPr>
  </w:style>
  <w:style w:type="paragraph" w:styleId="af0">
    <w:name w:val="Balloon Text"/>
    <w:basedOn w:val="a"/>
    <w:link w:val="af1"/>
    <w:uiPriority w:val="99"/>
    <w:semiHidden/>
    <w:unhideWhenUsed/>
    <w:rsid w:val="0091544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91544B"/>
    <w:rPr>
      <w:rFonts w:ascii="Segoe UI" w:hAnsi="Segoe UI" w:cs="Segoe UI"/>
      <w:sz w:val="18"/>
      <w:szCs w:val="18"/>
      <w:lang w:val="ro-MD"/>
    </w:rPr>
  </w:style>
  <w:style w:type="character" w:customStyle="1" w:styleId="a9">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8"/>
    <w:uiPriority w:val="99"/>
    <w:rsid w:val="003304B3"/>
    <w:rPr>
      <w:rFonts w:ascii="Times New Roman" w:eastAsia="Times New Roman" w:hAnsi="Times New Roman" w:cs="Times New Roman"/>
      <w:sz w:val="24"/>
      <w:szCs w:val="24"/>
    </w:rPr>
  </w:style>
  <w:style w:type="paragraph" w:customStyle="1" w:styleId="rg">
    <w:name w:val="rg"/>
    <w:basedOn w:val="a"/>
    <w:rsid w:val="00A37146"/>
    <w:pPr>
      <w:spacing w:after="0" w:line="240" w:lineRule="auto"/>
      <w:jc w:val="right"/>
    </w:pPr>
    <w:rPr>
      <w:rFonts w:ascii="Times New Roman" w:eastAsia="Times New Roman" w:hAnsi="Times New Roman" w:cs="Times New Roman"/>
      <w:sz w:val="24"/>
      <w:szCs w:val="24"/>
      <w:lang w:val="en-US"/>
    </w:rPr>
  </w:style>
  <w:style w:type="character" w:styleId="af2">
    <w:name w:val="annotation reference"/>
    <w:basedOn w:val="a0"/>
    <w:uiPriority w:val="99"/>
    <w:semiHidden/>
    <w:unhideWhenUsed/>
    <w:rsid w:val="009A1E1B"/>
    <w:rPr>
      <w:sz w:val="16"/>
      <w:szCs w:val="16"/>
    </w:rPr>
  </w:style>
  <w:style w:type="paragraph" w:styleId="af3">
    <w:name w:val="annotation text"/>
    <w:basedOn w:val="a"/>
    <w:link w:val="af4"/>
    <w:uiPriority w:val="99"/>
    <w:unhideWhenUsed/>
    <w:rsid w:val="009A1E1B"/>
    <w:pPr>
      <w:spacing w:line="240" w:lineRule="auto"/>
    </w:pPr>
    <w:rPr>
      <w:sz w:val="20"/>
      <w:szCs w:val="20"/>
    </w:rPr>
  </w:style>
  <w:style w:type="character" w:customStyle="1" w:styleId="af4">
    <w:name w:val="Текст примечания Знак"/>
    <w:basedOn w:val="a0"/>
    <w:link w:val="af3"/>
    <w:uiPriority w:val="99"/>
    <w:rsid w:val="009A1E1B"/>
    <w:rPr>
      <w:sz w:val="20"/>
      <w:szCs w:val="20"/>
      <w:lang w:val="ro-MD"/>
    </w:rPr>
  </w:style>
  <w:style w:type="paragraph" w:styleId="af5">
    <w:name w:val="annotation subject"/>
    <w:basedOn w:val="af3"/>
    <w:next w:val="af3"/>
    <w:link w:val="af6"/>
    <w:uiPriority w:val="99"/>
    <w:semiHidden/>
    <w:unhideWhenUsed/>
    <w:rsid w:val="009A1E1B"/>
    <w:rPr>
      <w:b/>
      <w:bCs/>
    </w:rPr>
  </w:style>
  <w:style w:type="character" w:customStyle="1" w:styleId="af6">
    <w:name w:val="Тема примечания Знак"/>
    <w:basedOn w:val="af4"/>
    <w:link w:val="af5"/>
    <w:uiPriority w:val="99"/>
    <w:semiHidden/>
    <w:rsid w:val="009A1E1B"/>
    <w:rPr>
      <w:b/>
      <w:bCs/>
      <w:sz w:val="20"/>
      <w:szCs w:val="20"/>
      <w:lang w:val="ro-MD"/>
    </w:rPr>
  </w:style>
  <w:style w:type="character" w:styleId="af7">
    <w:name w:val="Emphasis"/>
    <w:basedOn w:val="a0"/>
    <w:uiPriority w:val="20"/>
    <w:qFormat/>
    <w:rsid w:val="00F943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00367">
      <w:bodyDiv w:val="1"/>
      <w:marLeft w:val="0"/>
      <w:marRight w:val="0"/>
      <w:marTop w:val="0"/>
      <w:marBottom w:val="0"/>
      <w:divBdr>
        <w:top w:val="none" w:sz="0" w:space="0" w:color="auto"/>
        <w:left w:val="none" w:sz="0" w:space="0" w:color="auto"/>
        <w:bottom w:val="none" w:sz="0" w:space="0" w:color="auto"/>
        <w:right w:val="none" w:sz="0" w:space="0" w:color="auto"/>
      </w:divBdr>
    </w:div>
    <w:div w:id="457332861">
      <w:bodyDiv w:val="1"/>
      <w:marLeft w:val="0"/>
      <w:marRight w:val="0"/>
      <w:marTop w:val="0"/>
      <w:marBottom w:val="0"/>
      <w:divBdr>
        <w:top w:val="none" w:sz="0" w:space="0" w:color="auto"/>
        <w:left w:val="none" w:sz="0" w:space="0" w:color="auto"/>
        <w:bottom w:val="none" w:sz="0" w:space="0" w:color="auto"/>
        <w:right w:val="none" w:sz="0" w:space="0" w:color="auto"/>
      </w:divBdr>
    </w:div>
    <w:div w:id="608776813">
      <w:bodyDiv w:val="1"/>
      <w:marLeft w:val="0"/>
      <w:marRight w:val="0"/>
      <w:marTop w:val="0"/>
      <w:marBottom w:val="0"/>
      <w:divBdr>
        <w:top w:val="none" w:sz="0" w:space="0" w:color="auto"/>
        <w:left w:val="none" w:sz="0" w:space="0" w:color="auto"/>
        <w:bottom w:val="none" w:sz="0" w:space="0" w:color="auto"/>
        <w:right w:val="none" w:sz="0" w:space="0" w:color="auto"/>
      </w:divBdr>
    </w:div>
    <w:div w:id="639919289">
      <w:bodyDiv w:val="1"/>
      <w:marLeft w:val="0"/>
      <w:marRight w:val="0"/>
      <w:marTop w:val="0"/>
      <w:marBottom w:val="0"/>
      <w:divBdr>
        <w:top w:val="none" w:sz="0" w:space="0" w:color="auto"/>
        <w:left w:val="none" w:sz="0" w:space="0" w:color="auto"/>
        <w:bottom w:val="none" w:sz="0" w:space="0" w:color="auto"/>
        <w:right w:val="none" w:sz="0" w:space="0" w:color="auto"/>
      </w:divBdr>
    </w:div>
    <w:div w:id="736437991">
      <w:bodyDiv w:val="1"/>
      <w:marLeft w:val="0"/>
      <w:marRight w:val="0"/>
      <w:marTop w:val="0"/>
      <w:marBottom w:val="0"/>
      <w:divBdr>
        <w:top w:val="none" w:sz="0" w:space="0" w:color="auto"/>
        <w:left w:val="none" w:sz="0" w:space="0" w:color="auto"/>
        <w:bottom w:val="none" w:sz="0" w:space="0" w:color="auto"/>
        <w:right w:val="none" w:sz="0" w:space="0" w:color="auto"/>
      </w:divBdr>
    </w:div>
    <w:div w:id="769857101">
      <w:bodyDiv w:val="1"/>
      <w:marLeft w:val="0"/>
      <w:marRight w:val="0"/>
      <w:marTop w:val="0"/>
      <w:marBottom w:val="0"/>
      <w:divBdr>
        <w:top w:val="none" w:sz="0" w:space="0" w:color="auto"/>
        <w:left w:val="none" w:sz="0" w:space="0" w:color="auto"/>
        <w:bottom w:val="none" w:sz="0" w:space="0" w:color="auto"/>
        <w:right w:val="none" w:sz="0" w:space="0" w:color="auto"/>
      </w:divBdr>
    </w:div>
    <w:div w:id="818035852">
      <w:bodyDiv w:val="1"/>
      <w:marLeft w:val="0"/>
      <w:marRight w:val="0"/>
      <w:marTop w:val="0"/>
      <w:marBottom w:val="0"/>
      <w:divBdr>
        <w:top w:val="none" w:sz="0" w:space="0" w:color="auto"/>
        <w:left w:val="none" w:sz="0" w:space="0" w:color="auto"/>
        <w:bottom w:val="none" w:sz="0" w:space="0" w:color="auto"/>
        <w:right w:val="none" w:sz="0" w:space="0" w:color="auto"/>
      </w:divBdr>
    </w:div>
    <w:div w:id="915896079">
      <w:bodyDiv w:val="1"/>
      <w:marLeft w:val="0"/>
      <w:marRight w:val="0"/>
      <w:marTop w:val="0"/>
      <w:marBottom w:val="0"/>
      <w:divBdr>
        <w:top w:val="none" w:sz="0" w:space="0" w:color="auto"/>
        <w:left w:val="none" w:sz="0" w:space="0" w:color="auto"/>
        <w:bottom w:val="none" w:sz="0" w:space="0" w:color="auto"/>
        <w:right w:val="none" w:sz="0" w:space="0" w:color="auto"/>
      </w:divBdr>
    </w:div>
    <w:div w:id="1313634161">
      <w:bodyDiv w:val="1"/>
      <w:marLeft w:val="0"/>
      <w:marRight w:val="0"/>
      <w:marTop w:val="0"/>
      <w:marBottom w:val="0"/>
      <w:divBdr>
        <w:top w:val="none" w:sz="0" w:space="0" w:color="auto"/>
        <w:left w:val="none" w:sz="0" w:space="0" w:color="auto"/>
        <w:bottom w:val="none" w:sz="0" w:space="0" w:color="auto"/>
        <w:right w:val="none" w:sz="0" w:space="0" w:color="auto"/>
      </w:divBdr>
    </w:div>
    <w:div w:id="1417827901">
      <w:bodyDiv w:val="1"/>
      <w:marLeft w:val="0"/>
      <w:marRight w:val="0"/>
      <w:marTop w:val="0"/>
      <w:marBottom w:val="0"/>
      <w:divBdr>
        <w:top w:val="none" w:sz="0" w:space="0" w:color="auto"/>
        <w:left w:val="none" w:sz="0" w:space="0" w:color="auto"/>
        <w:bottom w:val="none" w:sz="0" w:space="0" w:color="auto"/>
        <w:right w:val="none" w:sz="0" w:space="0" w:color="auto"/>
      </w:divBdr>
    </w:div>
    <w:div w:id="1454128994">
      <w:bodyDiv w:val="1"/>
      <w:marLeft w:val="0"/>
      <w:marRight w:val="0"/>
      <w:marTop w:val="0"/>
      <w:marBottom w:val="0"/>
      <w:divBdr>
        <w:top w:val="none" w:sz="0" w:space="0" w:color="auto"/>
        <w:left w:val="none" w:sz="0" w:space="0" w:color="auto"/>
        <w:bottom w:val="none" w:sz="0" w:space="0" w:color="auto"/>
        <w:right w:val="none" w:sz="0" w:space="0" w:color="auto"/>
      </w:divBdr>
    </w:div>
    <w:div w:id="1511094961">
      <w:bodyDiv w:val="1"/>
      <w:marLeft w:val="0"/>
      <w:marRight w:val="0"/>
      <w:marTop w:val="0"/>
      <w:marBottom w:val="0"/>
      <w:divBdr>
        <w:top w:val="none" w:sz="0" w:space="0" w:color="auto"/>
        <w:left w:val="none" w:sz="0" w:space="0" w:color="auto"/>
        <w:bottom w:val="none" w:sz="0" w:space="0" w:color="auto"/>
        <w:right w:val="none" w:sz="0" w:space="0" w:color="auto"/>
      </w:divBdr>
    </w:div>
    <w:div w:id="1518930335">
      <w:bodyDiv w:val="1"/>
      <w:marLeft w:val="0"/>
      <w:marRight w:val="0"/>
      <w:marTop w:val="0"/>
      <w:marBottom w:val="0"/>
      <w:divBdr>
        <w:top w:val="none" w:sz="0" w:space="0" w:color="auto"/>
        <w:left w:val="none" w:sz="0" w:space="0" w:color="auto"/>
        <w:bottom w:val="none" w:sz="0" w:space="0" w:color="auto"/>
        <w:right w:val="none" w:sz="0" w:space="0" w:color="auto"/>
      </w:divBdr>
    </w:div>
    <w:div w:id="1531140514">
      <w:bodyDiv w:val="1"/>
      <w:marLeft w:val="0"/>
      <w:marRight w:val="0"/>
      <w:marTop w:val="0"/>
      <w:marBottom w:val="0"/>
      <w:divBdr>
        <w:top w:val="none" w:sz="0" w:space="0" w:color="auto"/>
        <w:left w:val="none" w:sz="0" w:space="0" w:color="auto"/>
        <w:bottom w:val="none" w:sz="0" w:space="0" w:color="auto"/>
        <w:right w:val="none" w:sz="0" w:space="0" w:color="auto"/>
      </w:divBdr>
    </w:div>
    <w:div w:id="1788936972">
      <w:bodyDiv w:val="1"/>
      <w:marLeft w:val="0"/>
      <w:marRight w:val="0"/>
      <w:marTop w:val="0"/>
      <w:marBottom w:val="0"/>
      <w:divBdr>
        <w:top w:val="none" w:sz="0" w:space="0" w:color="auto"/>
        <w:left w:val="none" w:sz="0" w:space="0" w:color="auto"/>
        <w:bottom w:val="none" w:sz="0" w:space="0" w:color="auto"/>
        <w:right w:val="none" w:sz="0" w:space="0" w:color="auto"/>
      </w:divBdr>
    </w:div>
    <w:div w:id="1896811861">
      <w:bodyDiv w:val="1"/>
      <w:marLeft w:val="0"/>
      <w:marRight w:val="0"/>
      <w:marTop w:val="0"/>
      <w:marBottom w:val="0"/>
      <w:divBdr>
        <w:top w:val="none" w:sz="0" w:space="0" w:color="auto"/>
        <w:left w:val="none" w:sz="0" w:space="0" w:color="auto"/>
        <w:bottom w:val="none" w:sz="0" w:space="0" w:color="auto"/>
        <w:right w:val="none" w:sz="0" w:space="0" w:color="auto"/>
      </w:divBdr>
    </w:div>
    <w:div w:id="1973360536">
      <w:bodyDiv w:val="1"/>
      <w:marLeft w:val="0"/>
      <w:marRight w:val="0"/>
      <w:marTop w:val="0"/>
      <w:marBottom w:val="0"/>
      <w:divBdr>
        <w:top w:val="none" w:sz="0" w:space="0" w:color="auto"/>
        <w:left w:val="none" w:sz="0" w:space="0" w:color="auto"/>
        <w:bottom w:val="none" w:sz="0" w:space="0" w:color="auto"/>
        <w:right w:val="none" w:sz="0" w:space="0" w:color="auto"/>
      </w:divBdr>
    </w:div>
    <w:div w:id="2022076247">
      <w:bodyDiv w:val="1"/>
      <w:marLeft w:val="0"/>
      <w:marRight w:val="0"/>
      <w:marTop w:val="0"/>
      <w:marBottom w:val="0"/>
      <w:divBdr>
        <w:top w:val="none" w:sz="0" w:space="0" w:color="auto"/>
        <w:left w:val="none" w:sz="0" w:space="0" w:color="auto"/>
        <w:bottom w:val="none" w:sz="0" w:space="0" w:color="auto"/>
        <w:right w:val="none" w:sz="0" w:space="0" w:color="auto"/>
      </w:divBdr>
    </w:div>
    <w:div w:id="203623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legis.md/cautare/getResults?doc_id=115173&amp;lang=ro" TargetMode="External"/><Relationship Id="rId1" Type="http://schemas.openxmlformats.org/officeDocument/2006/relationships/hyperlink" Target="https://mf.gov.md/ro/buget/circulara-bugetar%C4%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2AEBB-D471-45FA-B835-5E1614CE8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8251</Words>
  <Characters>47033</Characters>
  <Application>Microsoft Office Word</Application>
  <DocSecurity>0</DocSecurity>
  <Lines>391</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Chiosa Eugenia</dc:creator>
  <cp:keywords/>
  <dc:description/>
  <cp:lastModifiedBy>Paiu Eugenia</cp:lastModifiedBy>
  <cp:revision>3</cp:revision>
  <cp:lastPrinted>2022-07-11T15:39:00Z</cp:lastPrinted>
  <dcterms:created xsi:type="dcterms:W3CDTF">2022-08-10T06:34:00Z</dcterms:created>
  <dcterms:modified xsi:type="dcterms:W3CDTF">2022-08-10T06:34:00Z</dcterms:modified>
</cp:coreProperties>
</file>