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66BD9"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Cs/>
          <w:sz w:val="28"/>
          <w:szCs w:val="28"/>
        </w:rPr>
      </w:pPr>
      <w:r w:rsidRPr="0099048D">
        <w:rPr>
          <w:rFonts w:asciiTheme="majorHAnsi" w:eastAsia="Times New Roman" w:hAnsiTheme="majorHAnsi" w:cstheme="majorHAnsi"/>
          <w:bCs/>
          <w:sz w:val="28"/>
          <w:szCs w:val="28"/>
        </w:rPr>
        <w:t xml:space="preserve">Anexă </w:t>
      </w:r>
    </w:p>
    <w:p w14:paraId="13044278"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Cs/>
          <w:sz w:val="28"/>
          <w:szCs w:val="28"/>
        </w:rPr>
      </w:pPr>
      <w:bookmarkStart w:id="0" w:name="_GoBack"/>
      <w:r w:rsidRPr="0099048D">
        <w:rPr>
          <w:rFonts w:asciiTheme="majorHAnsi" w:eastAsia="Times New Roman" w:hAnsiTheme="majorHAnsi" w:cstheme="majorHAnsi"/>
          <w:bCs/>
          <w:sz w:val="28"/>
          <w:szCs w:val="28"/>
        </w:rPr>
        <w:t xml:space="preserve">la Hotărârea Curții de Conturi </w:t>
      </w:r>
    </w:p>
    <w:bookmarkEnd w:id="0"/>
    <w:p w14:paraId="2576B8E2" w14:textId="0CB8D571" w:rsidR="00AB1B86" w:rsidRPr="0099048D" w:rsidRDefault="00AB1B86" w:rsidP="00AB1B86">
      <w:pPr>
        <w:tabs>
          <w:tab w:val="left" w:pos="720"/>
        </w:tabs>
        <w:spacing w:after="0" w:line="276" w:lineRule="auto"/>
        <w:jc w:val="right"/>
        <w:rPr>
          <w:rFonts w:asciiTheme="majorHAnsi" w:eastAsia="Times New Roman" w:hAnsiTheme="majorHAnsi" w:cstheme="majorHAnsi"/>
          <w:bCs/>
          <w:sz w:val="28"/>
          <w:szCs w:val="28"/>
        </w:rPr>
      </w:pPr>
      <w:r w:rsidRPr="0099048D">
        <w:rPr>
          <w:rFonts w:asciiTheme="majorHAnsi" w:eastAsia="Times New Roman" w:hAnsiTheme="majorHAnsi" w:cstheme="majorHAnsi"/>
          <w:bCs/>
          <w:sz w:val="28"/>
          <w:szCs w:val="28"/>
        </w:rPr>
        <w:t>nr.</w:t>
      </w:r>
      <w:r w:rsidR="002B465E">
        <w:rPr>
          <w:rFonts w:asciiTheme="majorHAnsi" w:eastAsia="Times New Roman" w:hAnsiTheme="majorHAnsi" w:cstheme="majorHAnsi"/>
          <w:bCs/>
          <w:sz w:val="28"/>
          <w:szCs w:val="28"/>
        </w:rPr>
        <w:t xml:space="preserve">42 </w:t>
      </w:r>
      <w:r w:rsidRPr="0099048D">
        <w:rPr>
          <w:rFonts w:asciiTheme="majorHAnsi" w:eastAsia="Times New Roman" w:hAnsiTheme="majorHAnsi" w:cstheme="majorHAnsi"/>
          <w:bCs/>
          <w:sz w:val="28"/>
          <w:szCs w:val="28"/>
        </w:rPr>
        <w:t xml:space="preserve">din </w:t>
      </w:r>
      <w:r w:rsidR="00021A66" w:rsidRPr="0099048D">
        <w:rPr>
          <w:rFonts w:asciiTheme="majorHAnsi" w:eastAsia="Times New Roman" w:hAnsiTheme="majorHAnsi" w:cstheme="majorHAnsi"/>
          <w:bCs/>
          <w:sz w:val="28"/>
          <w:szCs w:val="28"/>
        </w:rPr>
        <w:t xml:space="preserve">29 </w:t>
      </w:r>
      <w:r w:rsidRPr="0099048D">
        <w:rPr>
          <w:rFonts w:asciiTheme="majorHAnsi" w:eastAsia="Times New Roman" w:hAnsiTheme="majorHAnsi" w:cstheme="majorHAnsi"/>
          <w:bCs/>
          <w:sz w:val="28"/>
          <w:szCs w:val="28"/>
        </w:rPr>
        <w:t>iulie 2022</w:t>
      </w:r>
    </w:p>
    <w:p w14:paraId="569F6DEC" w14:textId="77777777" w:rsidR="00AB1B86" w:rsidRPr="0099048D" w:rsidRDefault="00AB1B86" w:rsidP="00AB1B86">
      <w:pPr>
        <w:spacing w:after="0" w:line="276" w:lineRule="auto"/>
        <w:rPr>
          <w:rFonts w:asciiTheme="majorHAnsi" w:hAnsiTheme="majorHAnsi" w:cstheme="majorHAnsi"/>
        </w:rPr>
      </w:pPr>
    </w:p>
    <w:p w14:paraId="3D48DCF0" w14:textId="77777777" w:rsidR="00AB1B86" w:rsidRPr="0099048D" w:rsidRDefault="00AB1B86" w:rsidP="00AB1B86">
      <w:pPr>
        <w:spacing w:after="0" w:line="240" w:lineRule="auto"/>
        <w:rPr>
          <w:rFonts w:asciiTheme="majorHAnsi" w:hAnsiTheme="majorHAnsi" w:cstheme="majorHAnsi"/>
        </w:rPr>
      </w:pPr>
    </w:p>
    <w:p w14:paraId="2F50B3BD" w14:textId="77777777" w:rsidR="00AB1B86" w:rsidRPr="0099048D" w:rsidRDefault="00AB1B86" w:rsidP="00AB1B86">
      <w:pPr>
        <w:spacing w:after="0" w:line="240" w:lineRule="auto"/>
        <w:rPr>
          <w:rFonts w:asciiTheme="majorHAnsi" w:hAnsiTheme="majorHAnsi" w:cstheme="majorHAnsi"/>
        </w:rPr>
      </w:pPr>
    </w:p>
    <w:p w14:paraId="460C1740" w14:textId="77777777" w:rsidR="00AB1B86" w:rsidRPr="0099048D" w:rsidRDefault="00AB1B86" w:rsidP="00AB1B86">
      <w:pPr>
        <w:spacing w:after="0" w:line="240" w:lineRule="auto"/>
        <w:rPr>
          <w:rFonts w:asciiTheme="majorHAnsi" w:hAnsiTheme="majorHAnsi" w:cstheme="majorHAnsi"/>
        </w:rPr>
      </w:pPr>
    </w:p>
    <w:p w14:paraId="58E4D7ED" w14:textId="77777777" w:rsidR="00AB1B86" w:rsidRPr="0099048D" w:rsidRDefault="00AB1B86" w:rsidP="00AB1B86">
      <w:pPr>
        <w:spacing w:after="0" w:line="240" w:lineRule="auto"/>
        <w:jc w:val="center"/>
        <w:rPr>
          <w:rFonts w:asciiTheme="majorHAnsi" w:hAnsiTheme="majorHAnsi" w:cstheme="majorHAnsi"/>
          <w:b/>
          <w:sz w:val="28"/>
          <w:szCs w:val="28"/>
        </w:rPr>
      </w:pPr>
    </w:p>
    <w:p w14:paraId="5E3C8B98" w14:textId="77777777" w:rsidR="00AB1B86" w:rsidRPr="0099048D" w:rsidRDefault="00AB1B86" w:rsidP="00AB1B86">
      <w:pPr>
        <w:spacing w:after="0" w:line="240" w:lineRule="auto"/>
        <w:rPr>
          <w:rFonts w:asciiTheme="majorHAnsi" w:hAnsiTheme="majorHAnsi" w:cstheme="majorHAnsi"/>
          <w:b/>
          <w:sz w:val="28"/>
          <w:szCs w:val="28"/>
        </w:rPr>
      </w:pPr>
      <w:r w:rsidRPr="0099048D">
        <w:rPr>
          <w:rFonts w:asciiTheme="majorHAnsi" w:hAnsiTheme="majorHAnsi" w:cstheme="majorHAnsi"/>
          <w:b/>
          <w:noProof/>
          <w:sz w:val="28"/>
          <w:szCs w:val="28"/>
          <w:lang w:val="ru-RU" w:eastAsia="ru-RU"/>
        </w:rPr>
        <w:drawing>
          <wp:anchor distT="0" distB="0" distL="114300" distR="114300" simplePos="0" relativeHeight="251659264" behindDoc="0" locked="0" layoutInCell="1" allowOverlap="1" wp14:anchorId="01AE4E85" wp14:editId="1706E3A4">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Pr="0099048D">
        <w:rPr>
          <w:rFonts w:asciiTheme="majorHAnsi" w:hAnsiTheme="majorHAnsi" w:cstheme="majorHAnsi"/>
          <w:b/>
          <w:sz w:val="28"/>
          <w:szCs w:val="28"/>
        </w:rPr>
        <w:br w:type="textWrapping" w:clear="all"/>
      </w:r>
    </w:p>
    <w:p w14:paraId="53C420A8" w14:textId="77777777" w:rsidR="00AB1B86" w:rsidRPr="0099048D" w:rsidRDefault="00AB1B86" w:rsidP="00AB1B86">
      <w:pPr>
        <w:spacing w:after="0" w:line="240" w:lineRule="auto"/>
        <w:jc w:val="center"/>
        <w:rPr>
          <w:rFonts w:asciiTheme="majorHAnsi" w:hAnsiTheme="majorHAnsi" w:cstheme="majorHAnsi"/>
          <w:b/>
          <w:sz w:val="28"/>
          <w:szCs w:val="28"/>
        </w:rPr>
      </w:pPr>
    </w:p>
    <w:p w14:paraId="2625B017" w14:textId="77777777" w:rsidR="00AB1B86" w:rsidRPr="0099048D" w:rsidRDefault="00AB1B86" w:rsidP="00AB1B86">
      <w:pPr>
        <w:spacing w:after="0" w:line="240" w:lineRule="auto"/>
        <w:jc w:val="center"/>
        <w:rPr>
          <w:rFonts w:asciiTheme="majorHAnsi" w:hAnsiTheme="majorHAnsi" w:cstheme="majorHAnsi"/>
          <w:b/>
          <w:sz w:val="28"/>
          <w:szCs w:val="28"/>
        </w:rPr>
      </w:pPr>
    </w:p>
    <w:p w14:paraId="0EE11AC8" w14:textId="77777777" w:rsidR="00AB1B86" w:rsidRPr="0099048D" w:rsidRDefault="00AB1B86" w:rsidP="00AB1B86">
      <w:pPr>
        <w:spacing w:after="0" w:line="240" w:lineRule="auto"/>
        <w:jc w:val="center"/>
        <w:rPr>
          <w:rFonts w:asciiTheme="majorHAnsi" w:hAnsiTheme="majorHAnsi" w:cstheme="majorHAnsi"/>
          <w:b/>
          <w:sz w:val="28"/>
          <w:szCs w:val="28"/>
        </w:rPr>
      </w:pPr>
    </w:p>
    <w:p w14:paraId="6CCD1583" w14:textId="3E32CC7B" w:rsidR="00AB1B86" w:rsidRPr="0099048D" w:rsidRDefault="00AB1B86" w:rsidP="00AB1B86">
      <w:pPr>
        <w:spacing w:after="0" w:line="240" w:lineRule="auto"/>
        <w:jc w:val="center"/>
        <w:rPr>
          <w:rFonts w:asciiTheme="majorHAnsi" w:hAnsiTheme="majorHAnsi" w:cstheme="majorHAnsi"/>
          <w:b/>
          <w:sz w:val="28"/>
          <w:szCs w:val="28"/>
        </w:rPr>
      </w:pPr>
      <w:r w:rsidRPr="0099048D">
        <w:rPr>
          <w:rFonts w:asciiTheme="majorHAnsi" w:hAnsiTheme="majorHAnsi" w:cstheme="majorHAnsi"/>
          <w:b/>
          <w:sz w:val="28"/>
          <w:szCs w:val="28"/>
        </w:rPr>
        <w:t>CURTEA DE CONTURI A REPUBLICII MOLDOVA</w:t>
      </w:r>
    </w:p>
    <w:p w14:paraId="3DDB72E9" w14:textId="77777777" w:rsidR="00207A28" w:rsidRPr="0099048D" w:rsidRDefault="00207A28" w:rsidP="00AB1B86">
      <w:pPr>
        <w:spacing w:after="0" w:line="240" w:lineRule="auto"/>
        <w:jc w:val="center"/>
        <w:rPr>
          <w:rFonts w:asciiTheme="majorHAnsi" w:hAnsiTheme="majorHAnsi" w:cstheme="majorHAnsi"/>
          <w:b/>
          <w:sz w:val="28"/>
          <w:szCs w:val="28"/>
        </w:rPr>
      </w:pPr>
    </w:p>
    <w:tbl>
      <w:tblPr>
        <w:tblStyle w:val="ac"/>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B1B86" w:rsidRPr="0099048D" w14:paraId="4DDCBE38" w14:textId="77777777" w:rsidTr="00297C40">
        <w:trPr>
          <w:trHeight w:val="435"/>
        </w:trPr>
        <w:tc>
          <w:tcPr>
            <w:tcW w:w="9026" w:type="dxa"/>
          </w:tcPr>
          <w:p w14:paraId="12BF3EE6" w14:textId="77777777" w:rsidR="00AB1B86" w:rsidRPr="004A262A" w:rsidRDefault="00AB1B86" w:rsidP="00297C40">
            <w:pPr>
              <w:tabs>
                <w:tab w:val="left" w:pos="0"/>
              </w:tabs>
              <w:spacing w:line="276" w:lineRule="auto"/>
              <w:jc w:val="center"/>
              <w:rPr>
                <w:rFonts w:asciiTheme="majorHAnsi" w:hAnsiTheme="majorHAnsi" w:cstheme="majorHAnsi"/>
                <w:b/>
                <w:sz w:val="24"/>
                <w:szCs w:val="24"/>
              </w:rPr>
            </w:pPr>
            <w:r w:rsidRPr="00B02C00">
              <w:rPr>
                <w:rFonts w:asciiTheme="majorHAnsi" w:hAnsiTheme="majorHAnsi" w:cstheme="majorHAnsi"/>
                <w:sz w:val="24"/>
                <w:szCs w:val="24"/>
              </w:rPr>
              <w:t xml:space="preserve">MD-2001, mun. Chișinău, bd. Ștefan cel Mare și Sfânt nr.69, tel. (+373 22) 26 60 02, fax: (+373 22) 26 61 00, web: </w:t>
            </w:r>
            <w:hyperlink r:id="rId9" w:history="1">
              <w:r w:rsidRPr="004A262A">
                <w:rPr>
                  <w:rStyle w:val="ad"/>
                  <w:rFonts w:asciiTheme="majorHAnsi" w:hAnsiTheme="majorHAnsi" w:cstheme="majorHAnsi"/>
                  <w:sz w:val="24"/>
                  <w:szCs w:val="24"/>
                </w:rPr>
                <w:t>www.ccrm.md</w:t>
              </w:r>
            </w:hyperlink>
            <w:r w:rsidRPr="0099048D">
              <w:rPr>
                <w:rFonts w:asciiTheme="majorHAnsi" w:hAnsiTheme="majorHAnsi" w:cstheme="majorHAnsi"/>
                <w:sz w:val="24"/>
                <w:szCs w:val="24"/>
              </w:rPr>
              <w:t xml:space="preserve">, e-mail: </w:t>
            </w:r>
            <w:hyperlink r:id="rId10" w:history="1">
              <w:r w:rsidRPr="004A262A">
                <w:rPr>
                  <w:rStyle w:val="ad"/>
                  <w:rFonts w:asciiTheme="majorHAnsi" w:hAnsiTheme="majorHAnsi" w:cstheme="majorHAnsi"/>
                  <w:sz w:val="24"/>
                  <w:szCs w:val="24"/>
                </w:rPr>
                <w:t>ccrm@ccrm.md</w:t>
              </w:r>
            </w:hyperlink>
          </w:p>
        </w:tc>
      </w:tr>
    </w:tbl>
    <w:p w14:paraId="287A3AD2"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
          <w:bCs/>
          <w:sz w:val="24"/>
          <w:szCs w:val="24"/>
        </w:rPr>
      </w:pPr>
    </w:p>
    <w:p w14:paraId="742F40E9" w14:textId="77777777" w:rsidR="00AB1B86" w:rsidRPr="0099048D" w:rsidRDefault="00AB1B86" w:rsidP="00AB1B86">
      <w:pPr>
        <w:tabs>
          <w:tab w:val="left" w:pos="720"/>
        </w:tabs>
        <w:spacing w:after="0" w:line="276" w:lineRule="auto"/>
        <w:jc w:val="right"/>
        <w:rPr>
          <w:rFonts w:asciiTheme="majorHAnsi" w:eastAsia="Times New Roman" w:hAnsiTheme="majorHAnsi" w:cstheme="majorHAnsi"/>
          <w:b/>
          <w:bCs/>
          <w:sz w:val="24"/>
          <w:szCs w:val="24"/>
        </w:rPr>
      </w:pPr>
    </w:p>
    <w:p w14:paraId="53DA1471" w14:textId="77777777" w:rsidR="00AB1B86" w:rsidRPr="0099048D" w:rsidRDefault="00AB1B86" w:rsidP="00AB1B86">
      <w:pPr>
        <w:tabs>
          <w:tab w:val="left" w:pos="720"/>
        </w:tabs>
        <w:spacing w:after="0" w:line="276" w:lineRule="auto"/>
        <w:ind w:firstLine="720"/>
        <w:jc w:val="center"/>
        <w:rPr>
          <w:rFonts w:asciiTheme="majorHAnsi" w:eastAsia="Times New Roman" w:hAnsiTheme="majorHAnsi" w:cstheme="majorHAnsi"/>
          <w:b/>
          <w:bCs/>
          <w:sz w:val="32"/>
          <w:szCs w:val="32"/>
        </w:rPr>
      </w:pPr>
    </w:p>
    <w:p w14:paraId="704F1F2B" w14:textId="77777777" w:rsidR="00AB1B86" w:rsidRPr="0099048D" w:rsidRDefault="00AB1B86" w:rsidP="00AB1B86">
      <w:pPr>
        <w:tabs>
          <w:tab w:val="left" w:pos="720"/>
        </w:tabs>
        <w:spacing w:after="0" w:line="276" w:lineRule="auto"/>
        <w:jc w:val="center"/>
        <w:rPr>
          <w:rFonts w:asciiTheme="majorHAnsi" w:eastAsia="Times New Roman" w:hAnsiTheme="majorHAnsi" w:cstheme="majorHAnsi"/>
          <w:b/>
          <w:bCs/>
          <w:sz w:val="28"/>
          <w:szCs w:val="28"/>
        </w:rPr>
      </w:pPr>
      <w:r w:rsidRPr="0099048D">
        <w:rPr>
          <w:rFonts w:asciiTheme="majorHAnsi" w:eastAsia="Times New Roman" w:hAnsiTheme="majorHAnsi" w:cstheme="majorHAnsi"/>
          <w:b/>
          <w:bCs/>
          <w:sz w:val="28"/>
          <w:szCs w:val="28"/>
        </w:rPr>
        <w:t xml:space="preserve">RAPORTUL </w:t>
      </w:r>
    </w:p>
    <w:p w14:paraId="266BB8F2" w14:textId="77777777" w:rsidR="004B4FAF" w:rsidRPr="004A262A" w:rsidRDefault="00AB1B86" w:rsidP="00AB1B86">
      <w:pPr>
        <w:tabs>
          <w:tab w:val="left" w:pos="720"/>
        </w:tabs>
        <w:spacing w:after="0" w:line="276" w:lineRule="auto"/>
        <w:jc w:val="center"/>
        <w:rPr>
          <w:rFonts w:asciiTheme="majorHAnsi" w:eastAsia="Times New Roman" w:hAnsiTheme="majorHAnsi" w:cstheme="majorHAnsi"/>
          <w:b/>
          <w:bCs/>
          <w:sz w:val="28"/>
          <w:szCs w:val="28"/>
        </w:rPr>
      </w:pPr>
      <w:r w:rsidRPr="004A262A">
        <w:rPr>
          <w:rFonts w:asciiTheme="majorHAnsi" w:eastAsia="Times New Roman" w:hAnsiTheme="majorHAnsi" w:cstheme="majorHAnsi"/>
          <w:b/>
          <w:bCs/>
          <w:sz w:val="28"/>
          <w:szCs w:val="28"/>
        </w:rPr>
        <w:t xml:space="preserve">auditului asupra rapoartelor financiare consolidate ale Ministerului </w:t>
      </w:r>
      <w:r w:rsidR="004B4FAF" w:rsidRPr="004A262A">
        <w:rPr>
          <w:rFonts w:asciiTheme="majorHAnsi" w:eastAsia="Times New Roman" w:hAnsiTheme="majorHAnsi" w:cstheme="majorHAnsi"/>
          <w:b/>
          <w:bCs/>
          <w:sz w:val="28"/>
          <w:szCs w:val="28"/>
        </w:rPr>
        <w:t>Culturii</w:t>
      </w:r>
    </w:p>
    <w:p w14:paraId="0DA2ED5D" w14:textId="5844995B" w:rsidR="00AB1B86" w:rsidRPr="004A262A" w:rsidRDefault="00207A28" w:rsidP="00AB1B86">
      <w:pPr>
        <w:tabs>
          <w:tab w:val="left" w:pos="720"/>
        </w:tabs>
        <w:spacing w:after="0" w:line="276" w:lineRule="auto"/>
        <w:jc w:val="center"/>
        <w:rPr>
          <w:rFonts w:asciiTheme="majorHAnsi" w:eastAsia="Times New Roman" w:hAnsiTheme="majorHAnsi" w:cstheme="majorHAnsi"/>
          <w:b/>
          <w:bCs/>
          <w:sz w:val="28"/>
          <w:szCs w:val="28"/>
        </w:rPr>
      </w:pPr>
      <w:r w:rsidRPr="0099048D">
        <w:rPr>
          <w:rFonts w:asciiTheme="majorHAnsi" w:eastAsia="Times New Roman" w:hAnsiTheme="majorHAnsi" w:cstheme="majorHAnsi"/>
          <w:b/>
          <w:bCs/>
          <w:sz w:val="28"/>
          <w:szCs w:val="28"/>
        </w:rPr>
        <w:t xml:space="preserve">încheiate </w:t>
      </w:r>
      <w:r w:rsidR="00AB1B86" w:rsidRPr="004A262A">
        <w:rPr>
          <w:rFonts w:asciiTheme="majorHAnsi" w:eastAsia="Times New Roman" w:hAnsiTheme="majorHAnsi" w:cstheme="majorHAnsi"/>
          <w:b/>
          <w:bCs/>
          <w:sz w:val="28"/>
          <w:szCs w:val="28"/>
        </w:rPr>
        <w:t>la 31 decembrie 2021</w:t>
      </w:r>
    </w:p>
    <w:p w14:paraId="3E78CD45" w14:textId="77777777" w:rsidR="00AB1B86" w:rsidRPr="0099048D" w:rsidRDefault="00AB1B86" w:rsidP="00AB1B86">
      <w:pPr>
        <w:rPr>
          <w:rFonts w:asciiTheme="majorHAnsi" w:eastAsia="Times New Roman" w:hAnsiTheme="majorHAnsi" w:cstheme="majorHAnsi"/>
          <w:b/>
          <w:bCs/>
          <w:sz w:val="32"/>
          <w:szCs w:val="32"/>
        </w:rPr>
      </w:pPr>
      <w:r w:rsidRPr="0099048D">
        <w:rPr>
          <w:rFonts w:asciiTheme="majorHAnsi" w:eastAsia="Times New Roman" w:hAnsiTheme="majorHAnsi" w:cstheme="majorHAnsi"/>
          <w:b/>
          <w:bCs/>
          <w:sz w:val="32"/>
          <w:szCs w:val="32"/>
        </w:rPr>
        <w:br w:type="page"/>
      </w:r>
    </w:p>
    <w:p w14:paraId="3B67AAA8" w14:textId="63B1CBF7" w:rsidR="0073208A" w:rsidRPr="0099048D" w:rsidRDefault="00F718EC" w:rsidP="00600DF4">
      <w:pPr>
        <w:numPr>
          <w:ilvl w:val="0"/>
          <w:numId w:val="2"/>
        </w:numPr>
        <w:tabs>
          <w:tab w:val="left" w:pos="709"/>
        </w:tabs>
        <w:spacing w:line="276" w:lineRule="auto"/>
        <w:ind w:hanging="1080"/>
        <w:contextualSpacing/>
        <w:jc w:val="both"/>
        <w:rPr>
          <w:rFonts w:asciiTheme="majorHAnsi" w:eastAsia="Times New Roman" w:hAnsiTheme="majorHAnsi" w:cstheme="majorHAnsi"/>
          <w:b/>
          <w:i/>
          <w:color w:val="002060"/>
          <w:sz w:val="24"/>
          <w:szCs w:val="24"/>
        </w:rPr>
      </w:pPr>
      <w:r w:rsidRPr="0099048D">
        <w:rPr>
          <w:rFonts w:asciiTheme="majorHAnsi" w:hAnsiTheme="majorHAnsi" w:cstheme="majorHAnsi"/>
          <w:b/>
          <w:bCs/>
          <w:sz w:val="24"/>
          <w:szCs w:val="24"/>
        </w:rPr>
        <w:lastRenderedPageBreak/>
        <w:t>OPINIE C</w:t>
      </w:r>
      <w:r w:rsidR="0083577D" w:rsidRPr="0099048D">
        <w:rPr>
          <w:rFonts w:asciiTheme="majorHAnsi" w:hAnsiTheme="majorHAnsi" w:cstheme="majorHAnsi"/>
          <w:b/>
          <w:bCs/>
          <w:sz w:val="24"/>
          <w:szCs w:val="24"/>
        </w:rPr>
        <w:t>ONTRARĂ</w:t>
      </w:r>
    </w:p>
    <w:p w14:paraId="130AB9AA" w14:textId="77777777" w:rsidR="0073208A" w:rsidRPr="0099048D" w:rsidRDefault="0073208A" w:rsidP="0073208A">
      <w:pPr>
        <w:pStyle w:val="a5"/>
        <w:spacing w:line="276" w:lineRule="auto"/>
        <w:jc w:val="both"/>
        <w:rPr>
          <w:rFonts w:asciiTheme="majorHAnsi" w:hAnsiTheme="majorHAnsi" w:cstheme="majorHAnsi"/>
          <w:sz w:val="24"/>
          <w:szCs w:val="24"/>
        </w:rPr>
      </w:pPr>
      <w:r w:rsidRPr="0099048D">
        <w:rPr>
          <w:rFonts w:asciiTheme="majorHAnsi" w:hAnsiTheme="majorHAnsi" w:cstheme="majorHAnsi"/>
          <w:sz w:val="24"/>
          <w:szCs w:val="24"/>
        </w:rPr>
        <w:t xml:space="preserve">Am auditat rapoartele financiare consolidate ale Ministerului Culturii pentru exercițiul bugetar încheiat la 31 decembrie 2021, care cuprind </w:t>
      </w:r>
      <w:r w:rsidRPr="0099048D">
        <w:rPr>
          <w:rFonts w:asciiTheme="majorHAnsi" w:eastAsia="Times New Roman" w:hAnsiTheme="majorHAnsi" w:cstheme="majorHAnsi"/>
          <w:sz w:val="24"/>
          <w:szCs w:val="24"/>
        </w:rPr>
        <w:t>Bilanțul contabil, Raportul privind veniturile și cheltuielile, Raportul privind fluxul mijloacelor bănești, Raportul privind executarea bugetului, Raportul narativ privind executarea bugetului, inclusiv un sumar al politicilor contabile semnificative.</w:t>
      </w:r>
    </w:p>
    <w:p w14:paraId="74A2E1E0" w14:textId="77777777" w:rsidR="00600DF4" w:rsidRPr="0099048D" w:rsidRDefault="00600DF4" w:rsidP="00600DF4">
      <w:pPr>
        <w:pStyle w:val="af4"/>
        <w:spacing w:line="276" w:lineRule="auto"/>
        <w:ind w:firstLine="0"/>
        <w:rPr>
          <w:rFonts w:asciiTheme="majorHAnsi" w:hAnsiTheme="majorHAnsi" w:cstheme="majorHAnsi"/>
          <w:lang w:val="ro-MD"/>
        </w:rPr>
      </w:pPr>
      <w:r w:rsidRPr="00B02C00">
        <w:rPr>
          <w:rFonts w:asciiTheme="majorHAnsi" w:hAnsiTheme="majorHAnsi" w:cstheme="majorHAnsi"/>
          <w:lang w:val="ro-MD"/>
        </w:rPr>
        <w:t>În opinia noastră,</w:t>
      </w:r>
      <w:r w:rsidRPr="004A262A">
        <w:rPr>
          <w:rFonts w:asciiTheme="majorHAnsi" w:hAnsiTheme="majorHAnsi" w:cstheme="majorHAnsi"/>
          <w:lang w:val="ro-MD"/>
        </w:rPr>
        <w:t xml:space="preserve"> </w:t>
      </w:r>
      <w:r w:rsidRPr="0099048D">
        <w:rPr>
          <w:rFonts w:asciiTheme="majorHAnsi" w:hAnsiTheme="majorHAnsi" w:cstheme="majorHAnsi"/>
          <w:lang w:val="ro-MD"/>
        </w:rPr>
        <w:t xml:space="preserve">ținând cont de semnificația aspectelor descrise în secțiunea </w:t>
      </w:r>
      <w:r w:rsidRPr="0099048D">
        <w:rPr>
          <w:rFonts w:asciiTheme="majorHAnsi" w:hAnsiTheme="majorHAnsi" w:cstheme="majorHAnsi"/>
          <w:i/>
          <w:lang w:val="ro-MD"/>
        </w:rPr>
        <w:t>Baza pentru opinia contrară</w:t>
      </w:r>
      <w:r w:rsidRPr="0099048D">
        <w:rPr>
          <w:rFonts w:asciiTheme="majorHAnsi" w:hAnsiTheme="majorHAnsi" w:cstheme="majorHAnsi"/>
          <w:lang w:val="ro-MD"/>
        </w:rPr>
        <w:t>, rapoartele financiare</w:t>
      </w:r>
      <w:r w:rsidRPr="004A262A">
        <w:rPr>
          <w:rFonts w:asciiTheme="majorHAnsi" w:hAnsiTheme="majorHAnsi" w:cstheme="majorHAnsi"/>
          <w:lang w:val="ro-MD"/>
        </w:rPr>
        <w:t xml:space="preserve"> </w:t>
      </w:r>
      <w:r w:rsidRPr="0099048D">
        <w:rPr>
          <w:rFonts w:asciiTheme="majorHAnsi" w:hAnsiTheme="majorHAnsi" w:cstheme="majorHAnsi"/>
          <w:b/>
          <w:i/>
          <w:lang w:val="ro-MD"/>
        </w:rPr>
        <w:t>nu prezintă o imagine corectă</w:t>
      </w:r>
      <w:r w:rsidRPr="004A262A">
        <w:rPr>
          <w:rFonts w:asciiTheme="majorHAnsi" w:hAnsiTheme="majorHAnsi" w:cstheme="majorHAnsi"/>
          <w:b/>
          <w:i/>
          <w:lang w:val="ro-MD"/>
        </w:rPr>
        <w:t xml:space="preserve"> </w:t>
      </w:r>
      <w:r w:rsidRPr="0099048D">
        <w:rPr>
          <w:rFonts w:asciiTheme="majorHAnsi" w:hAnsiTheme="majorHAnsi" w:cstheme="majorHAnsi"/>
          <w:b/>
          <w:i/>
          <w:lang w:val="ro-MD"/>
        </w:rPr>
        <w:t>și fidelă</w:t>
      </w:r>
      <w:r w:rsidRPr="0099048D">
        <w:rPr>
          <w:rFonts w:asciiTheme="majorHAnsi" w:hAnsiTheme="majorHAnsi" w:cstheme="majorHAnsi"/>
          <w:lang w:val="ro-MD"/>
        </w:rPr>
        <w:t xml:space="preserve"> în conformitate cu cadrul de raportare financiară aplicabil</w:t>
      </w:r>
      <w:r w:rsidRPr="0099048D">
        <w:rPr>
          <w:rStyle w:val="a7"/>
          <w:rFonts w:asciiTheme="majorHAnsi" w:hAnsiTheme="majorHAnsi" w:cstheme="majorHAnsi"/>
          <w:lang w:val="ro-MD"/>
        </w:rPr>
        <w:footnoteReference w:id="1"/>
      </w:r>
      <w:r w:rsidRPr="0099048D">
        <w:rPr>
          <w:rFonts w:asciiTheme="majorHAnsi" w:hAnsiTheme="majorHAnsi" w:cstheme="majorHAnsi"/>
          <w:lang w:val="ro-MD"/>
        </w:rPr>
        <w:t>.</w:t>
      </w:r>
    </w:p>
    <w:p w14:paraId="27C04F07" w14:textId="77777777" w:rsidR="00600DF4" w:rsidRPr="004A262A" w:rsidRDefault="00600DF4" w:rsidP="00600DF4">
      <w:pPr>
        <w:pStyle w:val="af4"/>
        <w:spacing w:line="276" w:lineRule="auto"/>
        <w:ind w:firstLine="0"/>
        <w:rPr>
          <w:rFonts w:asciiTheme="majorHAnsi" w:hAnsiTheme="majorHAnsi" w:cstheme="majorHAnsi"/>
          <w:lang w:val="ro-MD"/>
        </w:rPr>
      </w:pPr>
    </w:p>
    <w:p w14:paraId="17A494BD" w14:textId="77777777" w:rsidR="00600DF4" w:rsidRPr="0099048D" w:rsidRDefault="00600DF4" w:rsidP="004A262A">
      <w:pPr>
        <w:pStyle w:val="a3"/>
        <w:keepNext/>
        <w:keepLines/>
        <w:numPr>
          <w:ilvl w:val="0"/>
          <w:numId w:val="11"/>
        </w:numPr>
        <w:spacing w:after="120" w:line="276" w:lineRule="auto"/>
        <w:ind w:left="0" w:firstLine="0"/>
        <w:contextualSpacing w:val="0"/>
        <w:outlineLvl w:val="0"/>
        <w:rPr>
          <w:rFonts w:asciiTheme="majorHAnsi" w:eastAsiaTheme="majorEastAsia" w:hAnsiTheme="majorHAnsi" w:cstheme="majorHAnsi"/>
          <w:b/>
          <w:sz w:val="24"/>
          <w:szCs w:val="24"/>
        </w:rPr>
      </w:pPr>
      <w:bookmarkStart w:id="1" w:name="_Toc529544630"/>
      <w:r w:rsidRPr="0099048D">
        <w:rPr>
          <w:rFonts w:asciiTheme="majorHAnsi" w:eastAsiaTheme="majorEastAsia" w:hAnsiTheme="majorHAnsi" w:cstheme="majorHAnsi"/>
          <w:b/>
          <w:sz w:val="24"/>
          <w:szCs w:val="24"/>
        </w:rPr>
        <w:t>BAZA PENTRU OPINIA CONTRARĂ</w:t>
      </w:r>
      <w:bookmarkEnd w:id="1"/>
    </w:p>
    <w:p w14:paraId="2756A173" w14:textId="5058FAFC" w:rsidR="00C12B7B" w:rsidRPr="0099048D" w:rsidRDefault="00AF28C0" w:rsidP="00575EAC">
      <w:pPr>
        <w:spacing w:after="0" w:line="276" w:lineRule="auto"/>
        <w:jc w:val="both"/>
        <w:rPr>
          <w:rFonts w:asciiTheme="majorHAnsi" w:eastAsia="Times New Roman" w:hAnsiTheme="majorHAnsi" w:cstheme="majorHAnsi"/>
          <w:bCs/>
          <w:iCs/>
          <w:sz w:val="24"/>
          <w:szCs w:val="24"/>
        </w:rPr>
      </w:pPr>
      <w:r w:rsidRPr="0099048D">
        <w:rPr>
          <w:rFonts w:asciiTheme="majorHAnsi" w:eastAsia="Times New Roman" w:hAnsiTheme="majorHAnsi" w:cstheme="majorHAnsi"/>
          <w:b/>
          <w:bCs/>
          <w:iCs/>
          <w:sz w:val="24"/>
          <w:szCs w:val="24"/>
        </w:rPr>
        <w:t>2.1.</w:t>
      </w:r>
      <w:r w:rsidRPr="0099048D">
        <w:rPr>
          <w:rFonts w:asciiTheme="majorHAnsi" w:eastAsia="Times New Roman" w:hAnsiTheme="majorHAnsi" w:cstheme="majorHAnsi"/>
          <w:bCs/>
          <w:iCs/>
          <w:sz w:val="24"/>
          <w:szCs w:val="24"/>
        </w:rPr>
        <w:t xml:space="preserve"> </w:t>
      </w:r>
      <w:r w:rsidR="00C12B7B" w:rsidRPr="0099048D">
        <w:rPr>
          <w:rFonts w:asciiTheme="majorHAnsi" w:hAnsiTheme="majorHAnsi" w:cstheme="majorHAnsi"/>
          <w:sz w:val="24"/>
          <w:szCs w:val="24"/>
        </w:rPr>
        <w:t xml:space="preserve">Ministerul </w:t>
      </w:r>
      <w:r w:rsidR="00783B0C" w:rsidRPr="0099048D">
        <w:rPr>
          <w:rFonts w:asciiTheme="majorHAnsi" w:eastAsia="Times New Roman" w:hAnsiTheme="majorHAnsi" w:cstheme="majorHAnsi"/>
          <w:sz w:val="24"/>
          <w:szCs w:val="24"/>
        </w:rPr>
        <w:t>deține 113,</w:t>
      </w:r>
      <w:r w:rsidR="00C12B7B" w:rsidRPr="0099048D">
        <w:rPr>
          <w:rFonts w:asciiTheme="majorHAnsi" w:eastAsia="Times New Roman" w:hAnsiTheme="majorHAnsi" w:cstheme="majorHAnsi"/>
          <w:sz w:val="24"/>
          <w:szCs w:val="24"/>
        </w:rPr>
        <w:t xml:space="preserve">86 ha de teren a căror valoare de recunoaștere nu este reflectată în evidența contabilă a ministerului. Ministerul nu a respectat regulile de recunoaștere a bunurilor </w:t>
      </w:r>
      <w:r w:rsidR="00622EE8" w:rsidRPr="0099048D">
        <w:rPr>
          <w:rFonts w:asciiTheme="majorHAnsi" w:eastAsia="Times New Roman" w:hAnsiTheme="majorHAnsi" w:cstheme="majorHAnsi"/>
          <w:sz w:val="24"/>
          <w:szCs w:val="24"/>
        </w:rPr>
        <w:t xml:space="preserve">stabilite conform </w:t>
      </w:r>
      <w:r w:rsidR="00C12B7B" w:rsidRPr="0099048D">
        <w:rPr>
          <w:rFonts w:asciiTheme="majorHAnsi" w:eastAsia="Times New Roman" w:hAnsiTheme="majorHAnsi" w:cstheme="majorHAnsi"/>
          <w:sz w:val="24"/>
          <w:szCs w:val="24"/>
        </w:rPr>
        <w:t xml:space="preserve">Ordinului MF </w:t>
      </w:r>
      <w:r w:rsidR="0099048D" w:rsidRPr="0099048D">
        <w:rPr>
          <w:rFonts w:asciiTheme="majorHAnsi" w:eastAsia="Times New Roman" w:hAnsiTheme="majorHAnsi" w:cstheme="majorHAnsi"/>
          <w:sz w:val="24"/>
          <w:szCs w:val="24"/>
        </w:rPr>
        <w:t>nr.</w:t>
      </w:r>
      <w:r w:rsidR="00C12B7B" w:rsidRPr="0099048D">
        <w:rPr>
          <w:rFonts w:asciiTheme="majorHAnsi" w:eastAsia="Times New Roman" w:hAnsiTheme="majorHAnsi" w:cstheme="majorHAnsi"/>
          <w:sz w:val="24"/>
          <w:szCs w:val="24"/>
        </w:rPr>
        <w:t>216/2015, care prevăd că ministerul trebuie să aplice metoda de calcul a</w:t>
      </w:r>
      <w:r w:rsidR="0099048D" w:rsidRPr="0099048D">
        <w:rPr>
          <w:rFonts w:asciiTheme="majorHAnsi" w:eastAsia="Times New Roman" w:hAnsiTheme="majorHAnsi" w:cstheme="majorHAnsi"/>
          <w:sz w:val="24"/>
          <w:szCs w:val="24"/>
        </w:rPr>
        <w:t>l</w:t>
      </w:r>
      <w:r w:rsidR="00C12B7B" w:rsidRPr="0099048D">
        <w:rPr>
          <w:rFonts w:asciiTheme="majorHAnsi" w:eastAsia="Times New Roman" w:hAnsiTheme="majorHAnsi" w:cstheme="majorHAnsi"/>
          <w:sz w:val="24"/>
          <w:szCs w:val="24"/>
        </w:rPr>
        <w:t xml:space="preserve"> prețului normativ a</w:t>
      </w:r>
      <w:r w:rsidR="0099048D" w:rsidRPr="0099048D">
        <w:rPr>
          <w:rFonts w:asciiTheme="majorHAnsi" w:eastAsia="Times New Roman" w:hAnsiTheme="majorHAnsi" w:cstheme="majorHAnsi"/>
          <w:sz w:val="24"/>
          <w:szCs w:val="24"/>
        </w:rPr>
        <w:t>l</w:t>
      </w:r>
      <w:r w:rsidR="00C12B7B" w:rsidRPr="0099048D">
        <w:rPr>
          <w:rFonts w:asciiTheme="majorHAnsi" w:eastAsia="Times New Roman" w:hAnsiTheme="majorHAnsi" w:cstheme="majorHAnsi"/>
          <w:sz w:val="24"/>
          <w:szCs w:val="24"/>
        </w:rPr>
        <w:t xml:space="preserve"> terenurilor în conformitate cu Legea nr.1308/1997</w:t>
      </w:r>
      <w:r w:rsidR="00A01E3B" w:rsidRPr="004A262A">
        <w:rPr>
          <w:rStyle w:val="a7"/>
          <w:rFonts w:asciiTheme="majorHAnsi" w:hAnsiTheme="majorHAnsi" w:cstheme="majorHAnsi"/>
          <w:sz w:val="24"/>
          <w:szCs w:val="24"/>
        </w:rPr>
        <w:footnoteReference w:id="2"/>
      </w:r>
      <w:r w:rsidR="00C12B7B" w:rsidRPr="0099048D">
        <w:rPr>
          <w:rFonts w:asciiTheme="majorHAnsi" w:eastAsia="Times New Roman" w:hAnsiTheme="majorHAnsi" w:cstheme="majorHAnsi"/>
          <w:sz w:val="24"/>
          <w:szCs w:val="24"/>
        </w:rPr>
        <w:t xml:space="preserve"> pentru terenurile care nu au valoarea cadastrală.</w:t>
      </w:r>
      <w:r w:rsidR="00622EE8" w:rsidRPr="0099048D">
        <w:rPr>
          <w:rFonts w:asciiTheme="majorHAnsi" w:eastAsia="Times New Roman" w:hAnsiTheme="majorHAnsi" w:cstheme="majorHAnsi"/>
          <w:sz w:val="24"/>
          <w:szCs w:val="24"/>
        </w:rPr>
        <w:t xml:space="preserve"> </w:t>
      </w:r>
      <w:r w:rsidR="00C12B7B" w:rsidRPr="0099048D">
        <w:rPr>
          <w:rFonts w:asciiTheme="majorHAnsi" w:eastAsia="Times New Roman" w:hAnsiTheme="majorHAnsi" w:cstheme="majorHAnsi"/>
          <w:sz w:val="24"/>
          <w:szCs w:val="24"/>
        </w:rPr>
        <w:t>Neaplicarea acestor cerințe a dus la subevalua</w:t>
      </w:r>
      <w:r w:rsidR="005738BF" w:rsidRPr="0099048D">
        <w:rPr>
          <w:rFonts w:asciiTheme="majorHAnsi" w:eastAsia="Times New Roman" w:hAnsiTheme="majorHAnsi" w:cstheme="majorHAnsi"/>
          <w:sz w:val="24"/>
          <w:szCs w:val="24"/>
        </w:rPr>
        <w:t>rea valorii terenurilor</w:t>
      </w:r>
      <w:r w:rsidR="00783B0C" w:rsidRPr="0099048D">
        <w:rPr>
          <w:rFonts w:asciiTheme="majorHAnsi" w:eastAsia="Times New Roman" w:hAnsiTheme="majorHAnsi" w:cstheme="majorHAnsi"/>
          <w:sz w:val="24"/>
          <w:szCs w:val="24"/>
        </w:rPr>
        <w:t xml:space="preserve"> cu 147,</w:t>
      </w:r>
      <w:r w:rsidR="00C12B7B" w:rsidRPr="0099048D">
        <w:rPr>
          <w:rFonts w:asciiTheme="majorHAnsi" w:eastAsia="Times New Roman" w:hAnsiTheme="majorHAnsi" w:cstheme="majorHAnsi"/>
          <w:sz w:val="24"/>
          <w:szCs w:val="24"/>
        </w:rPr>
        <w:t>1 mil. lei.</w:t>
      </w:r>
    </w:p>
    <w:p w14:paraId="062C07B7" w14:textId="4CEA52BF" w:rsidR="00AF28C0" w:rsidRPr="0099048D" w:rsidRDefault="00AF28C0" w:rsidP="00575EAC">
      <w:pPr>
        <w:spacing w:after="0" w:line="276" w:lineRule="auto"/>
        <w:ind w:right="-35"/>
        <w:contextualSpacing/>
        <w:jc w:val="both"/>
        <w:rPr>
          <w:rFonts w:asciiTheme="majorHAnsi" w:hAnsiTheme="majorHAnsi" w:cstheme="majorHAnsi"/>
          <w:iCs/>
          <w:sz w:val="24"/>
          <w:szCs w:val="24"/>
        </w:rPr>
      </w:pPr>
      <w:r w:rsidRPr="0099048D">
        <w:rPr>
          <w:rFonts w:asciiTheme="majorHAnsi" w:eastAsia="Times New Roman" w:hAnsiTheme="majorHAnsi" w:cstheme="majorHAnsi"/>
          <w:b/>
          <w:bCs/>
          <w:iCs/>
          <w:sz w:val="24"/>
          <w:szCs w:val="24"/>
        </w:rPr>
        <w:t xml:space="preserve">2.2. </w:t>
      </w:r>
      <w:r w:rsidRPr="0099048D">
        <w:rPr>
          <w:rFonts w:asciiTheme="majorHAnsi" w:hAnsiTheme="majorHAnsi" w:cstheme="majorHAnsi"/>
          <w:sz w:val="24"/>
          <w:szCs w:val="24"/>
        </w:rPr>
        <w:t xml:space="preserve">Diminuarea valorii contului 311 „Clădiri” </w:t>
      </w:r>
      <w:r w:rsidRPr="0099048D">
        <w:rPr>
          <w:rFonts w:asciiTheme="majorHAnsi" w:hAnsiTheme="majorHAnsi" w:cstheme="majorHAnsi"/>
          <w:iCs/>
          <w:sz w:val="24"/>
          <w:szCs w:val="24"/>
        </w:rPr>
        <w:t xml:space="preserve">cu </w:t>
      </w:r>
      <w:r w:rsidRPr="0099048D">
        <w:rPr>
          <w:rFonts w:asciiTheme="majorHAnsi" w:hAnsiTheme="majorHAnsi" w:cstheme="majorHAnsi"/>
          <w:b/>
          <w:sz w:val="24"/>
          <w:szCs w:val="24"/>
        </w:rPr>
        <w:t>6,0 mil.lei,</w:t>
      </w:r>
      <w:r w:rsidRPr="0099048D">
        <w:rPr>
          <w:rFonts w:asciiTheme="majorHAnsi" w:hAnsiTheme="majorHAnsi" w:cstheme="majorHAnsi"/>
          <w:sz w:val="24"/>
          <w:szCs w:val="24"/>
        </w:rPr>
        <w:t xml:space="preserve"> inclusiv</w:t>
      </w:r>
      <w:r w:rsidR="00C12B7B" w:rsidRPr="0099048D">
        <w:rPr>
          <w:rFonts w:asciiTheme="majorHAnsi" w:eastAsia="Times New Roman" w:hAnsiTheme="majorHAnsi" w:cstheme="majorHAnsi"/>
          <w:sz w:val="24"/>
          <w:szCs w:val="24"/>
        </w:rPr>
        <w:t xml:space="preserve"> </w:t>
      </w:r>
      <w:r w:rsidRPr="0099048D">
        <w:rPr>
          <w:rFonts w:asciiTheme="majorHAnsi" w:eastAsia="Times New Roman" w:hAnsiTheme="majorHAnsi" w:cstheme="majorHAnsi"/>
          <w:sz w:val="24"/>
          <w:szCs w:val="24"/>
        </w:rPr>
        <w:t xml:space="preserve">cu 5,9 mil.lei, </w:t>
      </w:r>
      <w:r w:rsidRPr="0099048D">
        <w:rPr>
          <w:rFonts w:asciiTheme="majorHAnsi" w:hAnsiTheme="majorHAnsi" w:cstheme="majorHAnsi"/>
          <w:sz w:val="24"/>
          <w:szCs w:val="24"/>
        </w:rPr>
        <w:t>ca urmare a neajustării</w:t>
      </w:r>
      <w:r w:rsidR="0099048D" w:rsidRPr="0099048D">
        <w:rPr>
          <w:rFonts w:asciiTheme="majorHAnsi" w:hAnsiTheme="majorHAnsi" w:cstheme="majorHAnsi"/>
          <w:sz w:val="24"/>
          <w:szCs w:val="24"/>
        </w:rPr>
        <w:t>,</w:t>
      </w:r>
      <w:r w:rsidRPr="0099048D">
        <w:rPr>
          <w:rFonts w:asciiTheme="majorHAnsi" w:hAnsiTheme="majorHAnsi" w:cstheme="majorHAnsi"/>
          <w:sz w:val="24"/>
          <w:szCs w:val="24"/>
        </w:rPr>
        <w:t xml:space="preserve"> </w:t>
      </w:r>
      <w:r w:rsidR="00622EE8" w:rsidRPr="0099048D">
        <w:rPr>
          <w:rFonts w:asciiTheme="majorHAnsi" w:hAnsiTheme="majorHAnsi" w:cstheme="majorHAnsi"/>
          <w:sz w:val="24"/>
          <w:szCs w:val="24"/>
        </w:rPr>
        <w:t>de către 3 instituții</w:t>
      </w:r>
      <w:r w:rsidR="0099048D" w:rsidRPr="0099048D">
        <w:rPr>
          <w:rFonts w:asciiTheme="majorHAnsi" w:hAnsiTheme="majorHAnsi" w:cstheme="majorHAnsi"/>
          <w:sz w:val="24"/>
          <w:szCs w:val="24"/>
        </w:rPr>
        <w:t>,</w:t>
      </w:r>
      <w:r w:rsidR="00622EE8" w:rsidRPr="0099048D">
        <w:rPr>
          <w:rFonts w:asciiTheme="majorHAnsi" w:hAnsiTheme="majorHAnsi" w:cstheme="majorHAnsi"/>
          <w:sz w:val="24"/>
          <w:szCs w:val="24"/>
        </w:rPr>
        <w:t xml:space="preserve"> a </w:t>
      </w:r>
      <w:r w:rsidR="00AC0281" w:rsidRPr="0099048D">
        <w:rPr>
          <w:rFonts w:asciiTheme="majorHAnsi" w:hAnsiTheme="majorHAnsi" w:cstheme="majorHAnsi"/>
          <w:sz w:val="24"/>
          <w:szCs w:val="24"/>
        </w:rPr>
        <w:t>valorii</w:t>
      </w:r>
      <w:r w:rsidR="00622EE8" w:rsidRPr="0099048D">
        <w:rPr>
          <w:rFonts w:asciiTheme="majorHAnsi" w:hAnsiTheme="majorHAnsi" w:cstheme="majorHAnsi"/>
          <w:sz w:val="24"/>
          <w:szCs w:val="24"/>
        </w:rPr>
        <w:t xml:space="preserve"> a</w:t>
      </w:r>
      <w:r w:rsidR="00AC0281" w:rsidRPr="0099048D">
        <w:rPr>
          <w:rFonts w:asciiTheme="majorHAnsi" w:hAnsiTheme="majorHAnsi" w:cstheme="majorHAnsi"/>
          <w:sz w:val="24"/>
          <w:szCs w:val="24"/>
        </w:rPr>
        <w:t xml:space="preserve"> </w:t>
      </w:r>
      <w:r w:rsidR="00622EE8" w:rsidRPr="0099048D">
        <w:rPr>
          <w:rFonts w:asciiTheme="majorHAnsi" w:hAnsiTheme="majorHAnsi" w:cstheme="majorHAnsi"/>
          <w:sz w:val="24"/>
          <w:szCs w:val="24"/>
        </w:rPr>
        <w:t xml:space="preserve">5 clădiri administrate la cea </w:t>
      </w:r>
      <w:r w:rsidR="00AC0281" w:rsidRPr="0099048D">
        <w:rPr>
          <w:rFonts w:asciiTheme="majorHAnsi" w:hAnsiTheme="majorHAnsi" w:cstheme="majorHAnsi"/>
          <w:sz w:val="24"/>
          <w:szCs w:val="24"/>
        </w:rPr>
        <w:t>cadastral</w:t>
      </w:r>
      <w:r w:rsidR="00622EE8" w:rsidRPr="0099048D">
        <w:rPr>
          <w:rFonts w:asciiTheme="majorHAnsi" w:hAnsiTheme="majorHAnsi" w:cstheme="majorHAnsi"/>
          <w:sz w:val="24"/>
          <w:szCs w:val="24"/>
        </w:rPr>
        <w:t>ă</w:t>
      </w:r>
      <w:r w:rsidR="004149B7" w:rsidRPr="0099048D">
        <w:rPr>
          <w:rFonts w:asciiTheme="majorHAnsi" w:eastAsia="Times New Roman" w:hAnsiTheme="majorHAnsi" w:cstheme="majorHAnsi"/>
          <w:bCs/>
          <w:sz w:val="24"/>
          <w:szCs w:val="24"/>
          <w:vertAlign w:val="superscript"/>
          <w:lang w:val="ro-RO"/>
        </w:rPr>
        <w:footnoteReference w:id="3"/>
      </w:r>
      <w:r w:rsidR="00AC0281" w:rsidRPr="0099048D">
        <w:rPr>
          <w:rFonts w:asciiTheme="majorHAnsi" w:hAnsiTheme="majorHAnsi" w:cstheme="majorHAnsi"/>
          <w:sz w:val="24"/>
          <w:szCs w:val="24"/>
        </w:rPr>
        <w:t xml:space="preserve"> </w:t>
      </w:r>
      <w:r w:rsidR="00C12B7B" w:rsidRPr="0099048D">
        <w:rPr>
          <w:rFonts w:asciiTheme="majorHAnsi" w:hAnsiTheme="majorHAnsi" w:cstheme="majorHAnsi"/>
          <w:sz w:val="24"/>
          <w:szCs w:val="24"/>
        </w:rPr>
        <w:t>și</w:t>
      </w:r>
      <w:r w:rsidRPr="0099048D">
        <w:rPr>
          <w:rFonts w:asciiTheme="majorHAnsi" w:hAnsiTheme="majorHAnsi" w:cstheme="majorHAnsi"/>
          <w:sz w:val="24"/>
          <w:szCs w:val="24"/>
        </w:rPr>
        <w:t xml:space="preserve"> </w:t>
      </w:r>
      <w:r w:rsidRPr="0099048D">
        <w:rPr>
          <w:rFonts w:asciiTheme="majorHAnsi" w:hAnsiTheme="majorHAnsi" w:cstheme="majorHAnsi"/>
          <w:iCs/>
          <w:sz w:val="24"/>
          <w:szCs w:val="24"/>
        </w:rPr>
        <w:t xml:space="preserve">cu 0,1 mil.lei, </w:t>
      </w:r>
      <w:r w:rsidR="0099048D" w:rsidRPr="0099048D">
        <w:rPr>
          <w:rFonts w:asciiTheme="majorHAnsi" w:hAnsiTheme="majorHAnsi" w:cstheme="majorHAnsi"/>
          <w:iCs/>
          <w:sz w:val="24"/>
          <w:szCs w:val="24"/>
        </w:rPr>
        <w:t>ca urmare a</w:t>
      </w:r>
      <w:r w:rsidRPr="0099048D">
        <w:rPr>
          <w:rFonts w:asciiTheme="majorHAnsi" w:hAnsiTheme="majorHAnsi" w:cstheme="majorHAnsi"/>
          <w:iCs/>
          <w:sz w:val="24"/>
          <w:szCs w:val="24"/>
        </w:rPr>
        <w:t xml:space="preserve"> necontabilizării unor clădiri</w:t>
      </w:r>
      <w:r w:rsidR="00270B6E" w:rsidRPr="004A262A">
        <w:rPr>
          <w:rStyle w:val="a7"/>
          <w:rFonts w:asciiTheme="majorHAnsi" w:hAnsiTheme="majorHAnsi" w:cstheme="majorHAnsi"/>
          <w:bCs/>
          <w:iCs/>
          <w:sz w:val="24"/>
          <w:szCs w:val="24"/>
          <w:lang w:val="ro-RO"/>
        </w:rPr>
        <w:footnoteReference w:id="4"/>
      </w:r>
      <w:r w:rsidR="00C12B7B" w:rsidRPr="0099048D">
        <w:rPr>
          <w:rFonts w:asciiTheme="majorHAnsi" w:hAnsiTheme="majorHAnsi" w:cstheme="majorHAnsi"/>
          <w:iCs/>
          <w:sz w:val="24"/>
          <w:szCs w:val="24"/>
        </w:rPr>
        <w:t>.</w:t>
      </w:r>
    </w:p>
    <w:p w14:paraId="6230AD0D" w14:textId="53392394" w:rsidR="00AF28C0" w:rsidRPr="0099048D" w:rsidRDefault="00AF28C0" w:rsidP="00575EAC">
      <w:pPr>
        <w:spacing w:after="0" w:line="276" w:lineRule="auto"/>
        <w:jc w:val="both"/>
        <w:rPr>
          <w:rFonts w:asciiTheme="majorHAnsi" w:eastAsia="Calibri" w:hAnsiTheme="majorHAnsi" w:cstheme="majorHAnsi"/>
          <w:sz w:val="24"/>
          <w:szCs w:val="24"/>
        </w:rPr>
      </w:pPr>
      <w:r w:rsidRPr="0099048D">
        <w:rPr>
          <w:rFonts w:asciiTheme="majorHAnsi" w:hAnsiTheme="majorHAnsi" w:cstheme="majorHAnsi"/>
          <w:b/>
          <w:sz w:val="24"/>
          <w:szCs w:val="24"/>
        </w:rPr>
        <w:t>2.3.</w:t>
      </w:r>
      <w:r w:rsidRPr="0099048D">
        <w:rPr>
          <w:rFonts w:asciiTheme="majorHAnsi" w:hAnsiTheme="majorHAnsi" w:cstheme="majorHAnsi"/>
          <w:sz w:val="24"/>
          <w:szCs w:val="24"/>
        </w:rPr>
        <w:t xml:space="preserve"> </w:t>
      </w:r>
      <w:r w:rsidR="008B2975" w:rsidRPr="0099048D">
        <w:rPr>
          <w:rFonts w:asciiTheme="majorHAnsi" w:hAnsiTheme="majorHAnsi" w:cstheme="majorHAnsi"/>
          <w:iCs/>
          <w:sz w:val="24"/>
          <w:szCs w:val="24"/>
        </w:rPr>
        <w:t>N</w:t>
      </w:r>
      <w:r w:rsidR="00E26743" w:rsidRPr="0099048D">
        <w:rPr>
          <w:rFonts w:asciiTheme="majorHAnsi" w:hAnsiTheme="majorHAnsi" w:cstheme="majorHAnsi"/>
          <w:iCs/>
          <w:sz w:val="24"/>
          <w:szCs w:val="24"/>
        </w:rPr>
        <w:t>erespectarea principiului contabil „</w:t>
      </w:r>
      <w:r w:rsidR="00E26743" w:rsidRPr="0099048D">
        <w:rPr>
          <w:rFonts w:asciiTheme="majorHAnsi" w:eastAsia="Calibri" w:hAnsiTheme="majorHAnsi" w:cstheme="majorHAnsi"/>
          <w:sz w:val="24"/>
          <w:szCs w:val="24"/>
        </w:rPr>
        <w:t>prioritatea conținutului asupra formei” la</w:t>
      </w:r>
      <w:r w:rsidR="00E26743" w:rsidRPr="0099048D">
        <w:rPr>
          <w:rFonts w:asciiTheme="majorHAnsi" w:eastAsia="Times New Roman" w:hAnsiTheme="majorHAnsi" w:cstheme="majorHAnsi"/>
          <w:sz w:val="24"/>
          <w:szCs w:val="24"/>
        </w:rPr>
        <w:t xml:space="preserve"> aprob</w:t>
      </w:r>
      <w:r w:rsidR="0099048D">
        <w:rPr>
          <w:rFonts w:asciiTheme="majorHAnsi" w:eastAsia="Times New Roman" w:hAnsiTheme="majorHAnsi" w:cstheme="majorHAnsi"/>
          <w:sz w:val="24"/>
          <w:szCs w:val="24"/>
        </w:rPr>
        <w:t>area</w:t>
      </w:r>
      <w:r w:rsidR="00E26743" w:rsidRPr="0099048D">
        <w:rPr>
          <w:rFonts w:asciiTheme="majorHAnsi" w:eastAsia="Times New Roman" w:hAnsiTheme="majorHAnsi" w:cstheme="majorHAnsi"/>
          <w:sz w:val="24"/>
          <w:szCs w:val="24"/>
        </w:rPr>
        <w:t xml:space="preserve"> actului de recepție </w:t>
      </w:r>
      <w:r w:rsidR="0099048D">
        <w:rPr>
          <w:rFonts w:asciiTheme="majorHAnsi" w:eastAsia="Times New Roman" w:hAnsiTheme="majorHAnsi" w:cstheme="majorHAnsi"/>
          <w:sz w:val="24"/>
          <w:szCs w:val="24"/>
        </w:rPr>
        <w:t>privind</w:t>
      </w:r>
      <w:r w:rsidR="00E26743" w:rsidRPr="0099048D">
        <w:rPr>
          <w:rFonts w:asciiTheme="majorHAnsi" w:eastAsia="Times New Roman" w:hAnsiTheme="majorHAnsi" w:cstheme="majorHAnsi"/>
          <w:sz w:val="24"/>
          <w:szCs w:val="24"/>
        </w:rPr>
        <w:t xml:space="preserve"> terminarea lucrărilor capitale suportate în anul 2020 la clădirea Casei-</w:t>
      </w:r>
      <w:r w:rsidR="0099048D">
        <w:rPr>
          <w:rFonts w:asciiTheme="majorHAnsi" w:eastAsia="Times New Roman" w:hAnsiTheme="majorHAnsi" w:cstheme="majorHAnsi"/>
          <w:sz w:val="24"/>
          <w:szCs w:val="24"/>
        </w:rPr>
        <w:t>m</w:t>
      </w:r>
      <w:r w:rsidR="00E26743" w:rsidRPr="0099048D">
        <w:rPr>
          <w:rFonts w:asciiTheme="majorHAnsi" w:eastAsia="Times New Roman" w:hAnsiTheme="majorHAnsi" w:cstheme="majorHAnsi"/>
          <w:sz w:val="24"/>
          <w:szCs w:val="24"/>
        </w:rPr>
        <w:t>uzeu „Conacul familiei Lazo”, a dus la majorarea contului 319 „</w:t>
      </w:r>
      <w:r w:rsidR="0099048D">
        <w:rPr>
          <w:rFonts w:asciiTheme="majorHAnsi" w:eastAsia="Calibri" w:hAnsiTheme="majorHAnsi" w:cstheme="majorHAnsi"/>
          <w:sz w:val="24"/>
          <w:szCs w:val="24"/>
        </w:rPr>
        <w:t>I</w:t>
      </w:r>
      <w:r w:rsidR="00E26743" w:rsidRPr="0099048D">
        <w:rPr>
          <w:rFonts w:asciiTheme="majorHAnsi" w:eastAsia="Calibri" w:hAnsiTheme="majorHAnsi" w:cstheme="majorHAnsi"/>
          <w:sz w:val="24"/>
          <w:szCs w:val="24"/>
        </w:rPr>
        <w:t xml:space="preserve">nvestiții capitale în active în curs de execuție” cu </w:t>
      </w:r>
      <w:r w:rsidR="00E26743" w:rsidRPr="0099048D">
        <w:rPr>
          <w:rFonts w:asciiTheme="majorHAnsi" w:eastAsia="Calibri" w:hAnsiTheme="majorHAnsi" w:cstheme="majorHAnsi"/>
          <w:b/>
          <w:sz w:val="24"/>
          <w:szCs w:val="24"/>
        </w:rPr>
        <w:t xml:space="preserve">12,0 mil. lei </w:t>
      </w:r>
      <w:r w:rsidR="00E26743" w:rsidRPr="0099048D">
        <w:rPr>
          <w:rFonts w:asciiTheme="majorHAnsi" w:eastAsia="Calibri" w:hAnsiTheme="majorHAnsi" w:cstheme="majorHAnsi"/>
          <w:sz w:val="24"/>
          <w:szCs w:val="24"/>
        </w:rPr>
        <w:t xml:space="preserve">și subevaluarea valorii contului </w:t>
      </w:r>
      <w:r w:rsidR="00655021" w:rsidRPr="0099048D">
        <w:rPr>
          <w:rFonts w:asciiTheme="majorHAnsi" w:hAnsiTheme="majorHAnsi" w:cstheme="majorHAnsi"/>
          <w:sz w:val="24"/>
          <w:szCs w:val="24"/>
        </w:rPr>
        <w:t>363 „Activele moștenirii culturale”</w:t>
      </w:r>
      <w:r w:rsidR="00E26743" w:rsidRPr="0099048D">
        <w:rPr>
          <w:rFonts w:asciiTheme="majorHAnsi" w:hAnsiTheme="majorHAnsi" w:cstheme="majorHAnsi"/>
          <w:sz w:val="24"/>
          <w:szCs w:val="24"/>
        </w:rPr>
        <w:t>.</w:t>
      </w:r>
      <w:r w:rsidR="008B2975" w:rsidRPr="0099048D">
        <w:rPr>
          <w:rFonts w:asciiTheme="majorHAnsi" w:eastAsia="Times New Roman" w:hAnsiTheme="majorHAnsi" w:cstheme="majorHAnsi"/>
          <w:sz w:val="24"/>
          <w:szCs w:val="24"/>
        </w:rPr>
        <w:t xml:space="preserve"> </w:t>
      </w:r>
    </w:p>
    <w:p w14:paraId="006BC70F" w14:textId="02639F30" w:rsidR="00113E2A" w:rsidRPr="0099048D" w:rsidRDefault="00113E2A" w:rsidP="00575EAC">
      <w:pPr>
        <w:tabs>
          <w:tab w:val="left" w:pos="0"/>
        </w:tabs>
        <w:spacing w:after="0" w:line="276" w:lineRule="auto"/>
        <w:jc w:val="both"/>
        <w:rPr>
          <w:rFonts w:asciiTheme="majorHAnsi" w:hAnsiTheme="majorHAnsi" w:cstheme="majorHAnsi"/>
          <w:iCs/>
          <w:sz w:val="24"/>
          <w:szCs w:val="24"/>
        </w:rPr>
      </w:pPr>
      <w:r w:rsidRPr="0099048D">
        <w:rPr>
          <w:rFonts w:asciiTheme="majorHAnsi" w:hAnsiTheme="majorHAnsi" w:cstheme="majorHAnsi"/>
          <w:b/>
          <w:i/>
          <w:iCs/>
          <w:sz w:val="24"/>
          <w:szCs w:val="24"/>
        </w:rPr>
        <w:t>2.</w:t>
      </w:r>
      <w:r w:rsidR="004671E7" w:rsidRPr="0099048D">
        <w:rPr>
          <w:rFonts w:asciiTheme="majorHAnsi" w:hAnsiTheme="majorHAnsi" w:cstheme="majorHAnsi"/>
          <w:b/>
          <w:i/>
          <w:iCs/>
          <w:sz w:val="24"/>
          <w:szCs w:val="24"/>
        </w:rPr>
        <w:t>4</w:t>
      </w:r>
      <w:r w:rsidRPr="0099048D">
        <w:rPr>
          <w:rFonts w:asciiTheme="majorHAnsi" w:hAnsiTheme="majorHAnsi" w:cstheme="majorHAnsi"/>
          <w:b/>
          <w:i/>
          <w:iCs/>
          <w:sz w:val="24"/>
          <w:szCs w:val="24"/>
        </w:rPr>
        <w:t>.</w:t>
      </w:r>
      <w:r w:rsidRPr="0099048D">
        <w:rPr>
          <w:rFonts w:asciiTheme="majorHAnsi" w:hAnsiTheme="majorHAnsi" w:cstheme="majorHAnsi"/>
          <w:i/>
          <w:iCs/>
          <w:sz w:val="24"/>
          <w:szCs w:val="24"/>
        </w:rPr>
        <w:t xml:space="preserve"> </w:t>
      </w:r>
      <w:r w:rsidR="006510FC" w:rsidRPr="0099048D">
        <w:rPr>
          <w:rFonts w:asciiTheme="majorHAnsi" w:hAnsiTheme="majorHAnsi" w:cstheme="majorHAnsi"/>
          <w:i/>
          <w:iCs/>
          <w:sz w:val="24"/>
          <w:szCs w:val="24"/>
        </w:rPr>
        <w:t>D</w:t>
      </w:r>
      <w:r w:rsidRPr="0099048D">
        <w:rPr>
          <w:rFonts w:asciiTheme="majorHAnsi" w:hAnsiTheme="majorHAnsi" w:cstheme="majorHAnsi"/>
          <w:i/>
          <w:iCs/>
          <w:sz w:val="24"/>
          <w:szCs w:val="24"/>
        </w:rPr>
        <w:t>iminua</w:t>
      </w:r>
      <w:r w:rsidR="006510FC" w:rsidRPr="0099048D">
        <w:rPr>
          <w:rFonts w:asciiTheme="majorHAnsi" w:hAnsiTheme="majorHAnsi" w:cstheme="majorHAnsi"/>
          <w:i/>
          <w:iCs/>
          <w:sz w:val="24"/>
          <w:szCs w:val="24"/>
        </w:rPr>
        <w:t xml:space="preserve">rea </w:t>
      </w:r>
      <w:r w:rsidRPr="0099048D">
        <w:rPr>
          <w:rFonts w:asciiTheme="majorHAnsi" w:hAnsiTheme="majorHAnsi" w:cstheme="majorHAnsi"/>
          <w:i/>
          <w:iCs/>
          <w:sz w:val="24"/>
          <w:szCs w:val="24"/>
        </w:rPr>
        <w:t>valor</w:t>
      </w:r>
      <w:r w:rsidR="006510FC" w:rsidRPr="0099048D">
        <w:rPr>
          <w:rFonts w:asciiTheme="majorHAnsi" w:hAnsiTheme="majorHAnsi" w:cstheme="majorHAnsi"/>
          <w:i/>
          <w:iCs/>
          <w:sz w:val="24"/>
          <w:szCs w:val="24"/>
        </w:rPr>
        <w:t>ii</w:t>
      </w:r>
      <w:r w:rsidRPr="0099048D">
        <w:rPr>
          <w:rFonts w:asciiTheme="majorHAnsi" w:hAnsiTheme="majorHAnsi" w:cstheme="majorHAnsi"/>
          <w:i/>
          <w:iCs/>
          <w:sz w:val="24"/>
          <w:szCs w:val="24"/>
        </w:rPr>
        <w:t xml:space="preserve"> activelor moștenirii culturale (cont 363) cu cel puțin </w:t>
      </w:r>
      <w:r w:rsidRPr="0099048D">
        <w:rPr>
          <w:rFonts w:asciiTheme="majorHAnsi" w:hAnsiTheme="majorHAnsi" w:cstheme="majorHAnsi"/>
          <w:b/>
          <w:i/>
          <w:iCs/>
          <w:sz w:val="24"/>
          <w:szCs w:val="24"/>
        </w:rPr>
        <w:t>181,59 mil.lei</w:t>
      </w:r>
      <w:r w:rsidRPr="0099048D">
        <w:rPr>
          <w:rFonts w:asciiTheme="majorHAnsi" w:hAnsiTheme="majorHAnsi" w:cstheme="majorHAnsi"/>
          <w:i/>
          <w:iCs/>
          <w:sz w:val="24"/>
          <w:szCs w:val="24"/>
        </w:rPr>
        <w:t xml:space="preserve">, </w:t>
      </w:r>
      <w:r w:rsidRPr="0099048D">
        <w:rPr>
          <w:rFonts w:asciiTheme="majorHAnsi" w:hAnsiTheme="majorHAnsi" w:cstheme="majorHAnsi"/>
          <w:iCs/>
          <w:sz w:val="24"/>
          <w:szCs w:val="24"/>
        </w:rPr>
        <w:t xml:space="preserve">din cauza </w:t>
      </w:r>
      <w:r w:rsidR="006510FC" w:rsidRPr="004A262A">
        <w:rPr>
          <w:rFonts w:asciiTheme="majorHAnsi" w:hAnsiTheme="majorHAnsi" w:cstheme="majorHAnsi"/>
          <w:i/>
          <w:iCs/>
          <w:sz w:val="24"/>
          <w:szCs w:val="24"/>
        </w:rPr>
        <w:t>ne</w:t>
      </w:r>
      <w:r w:rsidR="006510FC" w:rsidRPr="0099048D">
        <w:rPr>
          <w:rFonts w:asciiTheme="majorHAnsi" w:hAnsiTheme="majorHAnsi" w:cstheme="majorHAnsi"/>
          <w:i/>
          <w:iCs/>
          <w:sz w:val="24"/>
          <w:szCs w:val="24"/>
        </w:rPr>
        <w:t>întreprinderii măsurilor necesare pentru</w:t>
      </w:r>
      <w:r w:rsidR="006510FC" w:rsidRPr="004A262A">
        <w:rPr>
          <w:rFonts w:asciiTheme="majorHAnsi" w:hAnsiTheme="majorHAnsi" w:cstheme="majorHAnsi"/>
          <w:i/>
          <w:sz w:val="24"/>
          <w:szCs w:val="24"/>
        </w:rPr>
        <w:t xml:space="preserve"> </w:t>
      </w:r>
      <w:r w:rsidRPr="004A262A">
        <w:rPr>
          <w:rFonts w:asciiTheme="majorHAnsi" w:hAnsiTheme="majorHAnsi" w:cstheme="majorHAnsi"/>
          <w:i/>
          <w:sz w:val="24"/>
          <w:szCs w:val="24"/>
        </w:rPr>
        <w:t>contabiliz</w:t>
      </w:r>
      <w:r w:rsidR="006510FC" w:rsidRPr="004A262A">
        <w:rPr>
          <w:rFonts w:asciiTheme="majorHAnsi" w:hAnsiTheme="majorHAnsi" w:cstheme="majorHAnsi"/>
          <w:i/>
          <w:sz w:val="24"/>
          <w:szCs w:val="24"/>
        </w:rPr>
        <w:t>area</w:t>
      </w:r>
      <w:r w:rsidRPr="0099048D">
        <w:rPr>
          <w:rFonts w:asciiTheme="majorHAnsi" w:hAnsiTheme="majorHAnsi" w:cstheme="majorHAnsi"/>
          <w:sz w:val="24"/>
          <w:szCs w:val="24"/>
        </w:rPr>
        <w:t xml:space="preserve"> clădirilor-monumente cu valoarea de cel puțin 180,3 mil.lei</w:t>
      </w:r>
      <w:r w:rsidRPr="0099048D">
        <w:rPr>
          <w:rStyle w:val="a7"/>
          <w:rFonts w:asciiTheme="majorHAnsi" w:hAnsiTheme="majorHAnsi" w:cstheme="majorHAnsi"/>
          <w:sz w:val="24"/>
          <w:szCs w:val="24"/>
        </w:rPr>
        <w:footnoteReference w:id="5"/>
      </w:r>
      <w:r w:rsidRPr="0099048D">
        <w:rPr>
          <w:rFonts w:asciiTheme="majorHAnsi" w:hAnsiTheme="majorHAnsi" w:cstheme="majorHAnsi"/>
          <w:sz w:val="24"/>
          <w:szCs w:val="24"/>
        </w:rPr>
        <w:t xml:space="preserve"> (2 din 634 de monumente/edificii de cult ocrotite de stat aflate în proprietatea de stat</w:t>
      </w:r>
      <w:r w:rsidRPr="0099048D">
        <w:rPr>
          <w:rStyle w:val="a7"/>
          <w:rFonts w:asciiTheme="majorHAnsi" w:hAnsiTheme="majorHAnsi" w:cstheme="majorHAnsi"/>
          <w:sz w:val="24"/>
          <w:szCs w:val="24"/>
        </w:rPr>
        <w:footnoteReference w:id="6"/>
      </w:r>
      <w:r w:rsidRPr="0099048D">
        <w:rPr>
          <w:rFonts w:asciiTheme="majorHAnsi" w:hAnsiTheme="majorHAnsi" w:cstheme="majorHAnsi"/>
          <w:sz w:val="24"/>
          <w:szCs w:val="24"/>
        </w:rPr>
        <w:t xml:space="preserve">); </w:t>
      </w:r>
      <w:r w:rsidRPr="0099048D">
        <w:rPr>
          <w:rFonts w:asciiTheme="majorHAnsi" w:hAnsiTheme="majorHAnsi" w:cstheme="majorHAnsi"/>
          <w:iCs/>
          <w:sz w:val="24"/>
          <w:szCs w:val="24"/>
        </w:rPr>
        <w:t>neînregistrării operelor de artă</w:t>
      </w:r>
      <w:r w:rsidRPr="0099048D">
        <w:rPr>
          <w:rStyle w:val="a7"/>
          <w:rFonts w:asciiTheme="majorHAnsi" w:hAnsiTheme="majorHAnsi" w:cstheme="majorHAnsi"/>
          <w:sz w:val="24"/>
          <w:szCs w:val="24"/>
        </w:rPr>
        <w:footnoteReference w:id="7"/>
      </w:r>
      <w:r w:rsidRPr="0099048D">
        <w:rPr>
          <w:rFonts w:asciiTheme="majorHAnsi" w:hAnsiTheme="majorHAnsi" w:cstheme="majorHAnsi"/>
          <w:iCs/>
          <w:sz w:val="24"/>
          <w:szCs w:val="24"/>
        </w:rPr>
        <w:t xml:space="preserve"> primite cu titlu gratuit de la MECC (0,53 mil.lei)</w:t>
      </w:r>
      <w:r w:rsidRPr="0099048D">
        <w:rPr>
          <w:rFonts w:asciiTheme="majorHAnsi" w:hAnsiTheme="majorHAnsi" w:cstheme="majorHAnsi"/>
          <w:sz w:val="24"/>
          <w:szCs w:val="24"/>
        </w:rPr>
        <w:t xml:space="preserve">; </w:t>
      </w:r>
      <w:r w:rsidRPr="0099048D">
        <w:rPr>
          <w:rFonts w:asciiTheme="majorHAnsi" w:hAnsiTheme="majorHAnsi" w:cstheme="majorHAnsi"/>
          <w:iCs/>
          <w:sz w:val="24"/>
          <w:szCs w:val="24"/>
        </w:rPr>
        <w:t>casării neargumentate a bunurilor muzeale mobile procurate (0,14 mil.lei); neînregistrării obiectelor culturale ale Rezervației cultural-naturale Orheiul Vechi (0,27 mil.lei); clasificării incorecte a bunurilor culturale (0,36 mil.lei).</w:t>
      </w:r>
    </w:p>
    <w:p w14:paraId="395EDBE8" w14:textId="5216BCBB" w:rsidR="00D34ABC" w:rsidRPr="0099048D" w:rsidRDefault="004671E7" w:rsidP="00575EAC">
      <w:pPr>
        <w:spacing w:after="0" w:line="276" w:lineRule="auto"/>
        <w:jc w:val="both"/>
        <w:rPr>
          <w:rFonts w:asciiTheme="majorHAnsi" w:hAnsiTheme="majorHAnsi" w:cstheme="majorHAnsi"/>
          <w:bCs/>
          <w:sz w:val="24"/>
          <w:szCs w:val="24"/>
        </w:rPr>
      </w:pPr>
      <w:r w:rsidRPr="0099048D">
        <w:rPr>
          <w:rFonts w:asciiTheme="majorHAnsi" w:hAnsiTheme="majorHAnsi" w:cstheme="majorHAnsi"/>
          <w:b/>
          <w:iCs/>
          <w:sz w:val="24"/>
          <w:szCs w:val="24"/>
        </w:rPr>
        <w:t xml:space="preserve">2.5. </w:t>
      </w:r>
      <w:r w:rsidR="00844EE3" w:rsidRPr="0099048D">
        <w:rPr>
          <w:rFonts w:asciiTheme="majorHAnsi" w:hAnsiTheme="majorHAnsi" w:cstheme="majorHAnsi"/>
          <w:sz w:val="24"/>
          <w:szCs w:val="24"/>
        </w:rPr>
        <w:t>Subsidiile pentru susținerea activității organizațiilor teatral-concertistice, acordate în septembrie-decembrie 2021 în sumă de 87,9</w:t>
      </w:r>
      <w:r w:rsidR="00783B0C" w:rsidRPr="0099048D">
        <w:rPr>
          <w:rFonts w:asciiTheme="majorHAnsi" w:hAnsiTheme="majorHAnsi" w:cstheme="majorHAnsi"/>
          <w:sz w:val="24"/>
          <w:szCs w:val="24"/>
        </w:rPr>
        <w:t>5</w:t>
      </w:r>
      <w:r w:rsidR="00844EE3" w:rsidRPr="0099048D">
        <w:rPr>
          <w:rFonts w:asciiTheme="majorHAnsi" w:hAnsiTheme="majorHAnsi" w:cstheme="majorHAnsi"/>
          <w:sz w:val="24"/>
          <w:szCs w:val="24"/>
        </w:rPr>
        <w:t xml:space="preserve"> mil. lei, au fost alocate nerespect</w:t>
      </w:r>
      <w:r w:rsidR="0099048D">
        <w:rPr>
          <w:rFonts w:asciiTheme="majorHAnsi" w:hAnsiTheme="majorHAnsi" w:cstheme="majorHAnsi"/>
          <w:sz w:val="24"/>
          <w:szCs w:val="24"/>
        </w:rPr>
        <w:t>â</w:t>
      </w:r>
      <w:r w:rsidR="00844EE3" w:rsidRPr="0099048D">
        <w:rPr>
          <w:rFonts w:asciiTheme="majorHAnsi" w:hAnsiTheme="majorHAnsi" w:cstheme="majorHAnsi"/>
          <w:sz w:val="24"/>
          <w:szCs w:val="24"/>
        </w:rPr>
        <w:t>nd prevederile regulamentare</w:t>
      </w:r>
      <w:r w:rsidR="00844EE3" w:rsidRPr="0099048D">
        <w:rPr>
          <w:rStyle w:val="a7"/>
          <w:rFonts w:asciiTheme="majorHAnsi" w:hAnsiTheme="majorHAnsi" w:cstheme="majorHAnsi"/>
          <w:sz w:val="24"/>
          <w:szCs w:val="24"/>
        </w:rPr>
        <w:footnoteReference w:id="8"/>
      </w:r>
      <w:r w:rsidR="00844EE3" w:rsidRPr="0099048D">
        <w:rPr>
          <w:rFonts w:asciiTheme="majorHAnsi" w:hAnsiTheme="majorHAnsi" w:cstheme="majorHAnsi"/>
          <w:sz w:val="24"/>
          <w:szCs w:val="24"/>
        </w:rPr>
        <w:t xml:space="preserve"> prin care: pentru instituțiile cu statut național urmau a fi acordate subsidii în proporție de 80% față de cheltuielile totale; pentru restul instituțiilor – în proporție de 60% din cheltuielile totale. </w:t>
      </w:r>
      <w:r w:rsidR="00D34ABC" w:rsidRPr="0099048D">
        <w:rPr>
          <w:rFonts w:asciiTheme="majorHAnsi" w:hAnsiTheme="majorHAnsi" w:cstheme="majorHAnsi"/>
          <w:sz w:val="24"/>
          <w:szCs w:val="24"/>
        </w:rPr>
        <w:t xml:space="preserve">Contrar </w:t>
      </w:r>
      <w:r w:rsidR="00D34ABC" w:rsidRPr="0099048D">
        <w:rPr>
          <w:rFonts w:asciiTheme="majorHAnsi" w:hAnsiTheme="majorHAnsi" w:cstheme="majorHAnsi"/>
          <w:i/>
          <w:sz w:val="24"/>
          <w:szCs w:val="24"/>
        </w:rPr>
        <w:t>normel</w:t>
      </w:r>
      <w:r w:rsidR="00D34ABC" w:rsidRPr="0099048D">
        <w:rPr>
          <w:rFonts w:asciiTheme="majorHAnsi" w:hAnsiTheme="majorHAnsi" w:cstheme="majorHAnsi"/>
          <w:sz w:val="24"/>
          <w:szCs w:val="24"/>
        </w:rPr>
        <w:t>or</w:t>
      </w:r>
      <w:r w:rsidR="00D34ABC" w:rsidRPr="0099048D">
        <w:rPr>
          <w:rFonts w:asciiTheme="majorHAnsi" w:hAnsiTheme="majorHAnsi" w:cstheme="majorHAnsi"/>
          <w:i/>
          <w:sz w:val="24"/>
          <w:szCs w:val="24"/>
        </w:rPr>
        <w:t xml:space="preserve"> prevăzute de pct.37 din HG nr.1242 din 15.10.2003</w:t>
      </w:r>
      <w:r w:rsidR="00D34ABC" w:rsidRPr="0099048D">
        <w:rPr>
          <w:rStyle w:val="a7"/>
          <w:rFonts w:asciiTheme="majorHAnsi" w:hAnsiTheme="majorHAnsi" w:cstheme="majorHAnsi"/>
          <w:i/>
          <w:sz w:val="24"/>
          <w:szCs w:val="24"/>
        </w:rPr>
        <w:footnoteReference w:id="9"/>
      </w:r>
      <w:r w:rsidR="00D34ABC" w:rsidRPr="0099048D">
        <w:rPr>
          <w:rFonts w:asciiTheme="majorHAnsi" w:hAnsiTheme="majorHAnsi" w:cstheme="majorHAnsi"/>
          <w:sz w:val="24"/>
          <w:szCs w:val="24"/>
        </w:rPr>
        <w:t>, la determinarea subvențiilor s-au luat ca bază cheltuielile de personal și cotele procentuale stabilite în legislație, dar nu cheltuielile totale ale instituțiilor, precum prevede cadrul normativ.</w:t>
      </w:r>
    </w:p>
    <w:p w14:paraId="34438727" w14:textId="40D5378F" w:rsidR="00844EE3" w:rsidRPr="0099048D" w:rsidRDefault="00D34ABC" w:rsidP="00575EAC">
      <w:pPr>
        <w:tabs>
          <w:tab w:val="left" w:pos="720"/>
        </w:tabs>
        <w:spacing w:after="0" w:line="276" w:lineRule="auto"/>
        <w:jc w:val="both"/>
        <w:rPr>
          <w:rFonts w:asciiTheme="majorHAnsi" w:hAnsiTheme="majorHAnsi" w:cstheme="majorHAnsi"/>
          <w:bCs/>
          <w:sz w:val="24"/>
          <w:szCs w:val="24"/>
        </w:rPr>
      </w:pPr>
      <w:r w:rsidRPr="0099048D">
        <w:rPr>
          <w:rFonts w:asciiTheme="majorHAnsi" w:hAnsiTheme="majorHAnsi" w:cstheme="majorHAnsi"/>
          <w:sz w:val="24"/>
          <w:szCs w:val="24"/>
        </w:rPr>
        <w:t xml:space="preserve">Auditul a fost limitat în determinarea majorării cheltuielilor pentru subsidii pentru perioada septembrie-decembrie 2021, însă pentru </w:t>
      </w:r>
      <w:r w:rsidR="00AE1161" w:rsidRPr="00ED245F">
        <w:rPr>
          <w:rFonts w:asciiTheme="majorHAnsi" w:hAnsiTheme="majorHAnsi" w:cstheme="majorHAnsi"/>
          <w:sz w:val="24"/>
          <w:szCs w:val="24"/>
        </w:rPr>
        <w:t xml:space="preserve">tot </w:t>
      </w:r>
      <w:r w:rsidRPr="00ED245F">
        <w:rPr>
          <w:rFonts w:asciiTheme="majorHAnsi" w:hAnsiTheme="majorHAnsi" w:cstheme="majorHAnsi"/>
          <w:sz w:val="24"/>
          <w:szCs w:val="24"/>
        </w:rPr>
        <w:t xml:space="preserve">anul 2021 subsidiile acordate neregulamentar au constituit  </w:t>
      </w:r>
      <w:r w:rsidR="00844EE3" w:rsidRPr="00ED245F">
        <w:rPr>
          <w:rFonts w:asciiTheme="majorHAnsi" w:hAnsiTheme="majorHAnsi" w:cstheme="majorHAnsi"/>
          <w:i/>
          <w:sz w:val="24"/>
          <w:szCs w:val="24"/>
        </w:rPr>
        <w:t>16,5</w:t>
      </w:r>
      <w:r w:rsidR="00783B0C" w:rsidRPr="00ED245F">
        <w:rPr>
          <w:rFonts w:asciiTheme="majorHAnsi" w:hAnsiTheme="majorHAnsi" w:cstheme="majorHAnsi"/>
          <w:i/>
          <w:sz w:val="24"/>
          <w:szCs w:val="24"/>
        </w:rPr>
        <w:t>5</w:t>
      </w:r>
      <w:r w:rsidR="00844EE3" w:rsidRPr="00ED245F">
        <w:rPr>
          <w:rFonts w:asciiTheme="majorHAnsi" w:hAnsiTheme="majorHAnsi" w:cstheme="majorHAnsi"/>
          <w:i/>
          <w:sz w:val="24"/>
          <w:szCs w:val="24"/>
        </w:rPr>
        <w:t xml:space="preserve"> mil. lei</w:t>
      </w:r>
      <w:r w:rsidR="00844EE3" w:rsidRPr="0099048D">
        <w:rPr>
          <w:rStyle w:val="a7"/>
          <w:rFonts w:asciiTheme="majorHAnsi" w:hAnsiTheme="majorHAnsi" w:cstheme="majorHAnsi"/>
          <w:i/>
          <w:sz w:val="24"/>
          <w:szCs w:val="24"/>
        </w:rPr>
        <w:footnoteReference w:id="10"/>
      </w:r>
      <w:r w:rsidR="00844EE3" w:rsidRPr="0099048D">
        <w:rPr>
          <w:rFonts w:asciiTheme="majorHAnsi" w:hAnsiTheme="majorHAnsi" w:cstheme="majorHAnsi"/>
          <w:i/>
          <w:sz w:val="24"/>
          <w:szCs w:val="24"/>
        </w:rPr>
        <w:t xml:space="preserve">, din care </w:t>
      </w:r>
      <w:r w:rsidR="007D305B">
        <w:rPr>
          <w:rFonts w:asciiTheme="majorHAnsi" w:hAnsiTheme="majorHAnsi" w:cstheme="majorHAnsi"/>
          <w:i/>
          <w:sz w:val="24"/>
          <w:szCs w:val="24"/>
        </w:rPr>
        <w:t>i</w:t>
      </w:r>
      <w:r w:rsidR="007D305B" w:rsidRPr="0099048D">
        <w:rPr>
          <w:rFonts w:asciiTheme="majorHAnsi" w:hAnsiTheme="majorHAnsi" w:cstheme="majorHAnsi"/>
          <w:i/>
          <w:sz w:val="24"/>
          <w:szCs w:val="24"/>
        </w:rPr>
        <w:t xml:space="preserve">nstituțiile </w:t>
      </w:r>
      <w:r w:rsidR="00844EE3" w:rsidRPr="0099048D">
        <w:rPr>
          <w:rFonts w:asciiTheme="majorHAnsi" w:hAnsiTheme="majorHAnsi" w:cstheme="majorHAnsi"/>
          <w:i/>
          <w:sz w:val="24"/>
          <w:szCs w:val="24"/>
        </w:rPr>
        <w:t xml:space="preserve">teatrale </w:t>
      </w:r>
      <w:r w:rsidR="00ED245F">
        <w:rPr>
          <w:rFonts w:asciiTheme="majorHAnsi" w:hAnsiTheme="majorHAnsi" w:cstheme="majorHAnsi"/>
          <w:i/>
          <w:sz w:val="24"/>
          <w:szCs w:val="24"/>
        </w:rPr>
        <w:t>au beneficiat</w:t>
      </w:r>
      <w:r w:rsidR="00844EE3" w:rsidRPr="0099048D">
        <w:rPr>
          <w:rFonts w:asciiTheme="majorHAnsi" w:hAnsiTheme="majorHAnsi" w:cstheme="majorHAnsi"/>
          <w:i/>
          <w:sz w:val="24"/>
          <w:szCs w:val="24"/>
        </w:rPr>
        <w:t xml:space="preserve"> de 13,47 mil. lei și instituțiile concertistice – de 3,08 mil. lei. </w:t>
      </w:r>
      <w:r w:rsidRPr="0099048D">
        <w:rPr>
          <w:rFonts w:asciiTheme="majorHAnsi" w:hAnsiTheme="majorHAnsi" w:cstheme="majorHAnsi"/>
          <w:i/>
          <w:sz w:val="24"/>
          <w:szCs w:val="24"/>
        </w:rPr>
        <w:t>Considerăm că majorarea cheltuielilor pentru perioada indicată este substanțială.</w:t>
      </w:r>
    </w:p>
    <w:p w14:paraId="6B285C75" w14:textId="66C1B5D6" w:rsidR="00AE2BA8" w:rsidRPr="0099048D" w:rsidRDefault="00113E2A" w:rsidP="00575EAC">
      <w:pPr>
        <w:shd w:val="clear" w:color="auto" w:fill="FFFFFF"/>
        <w:spacing w:after="0" w:line="276" w:lineRule="auto"/>
        <w:jc w:val="both"/>
        <w:rPr>
          <w:rFonts w:asciiTheme="majorHAnsi" w:hAnsiTheme="majorHAnsi" w:cstheme="majorHAnsi"/>
          <w:iCs/>
          <w:sz w:val="24"/>
          <w:szCs w:val="24"/>
        </w:rPr>
      </w:pPr>
      <w:r w:rsidRPr="00ED245F">
        <w:rPr>
          <w:rFonts w:asciiTheme="majorHAnsi" w:eastAsia="Times New Roman" w:hAnsiTheme="majorHAnsi" w:cstheme="majorHAnsi"/>
          <w:b/>
          <w:bCs/>
          <w:sz w:val="24"/>
          <w:szCs w:val="24"/>
        </w:rPr>
        <w:t>2.</w:t>
      </w:r>
      <w:r w:rsidR="00895376" w:rsidRPr="00ED245F">
        <w:rPr>
          <w:rFonts w:asciiTheme="majorHAnsi" w:eastAsia="Times New Roman" w:hAnsiTheme="majorHAnsi" w:cstheme="majorHAnsi"/>
          <w:b/>
          <w:bCs/>
          <w:sz w:val="24"/>
          <w:szCs w:val="24"/>
        </w:rPr>
        <w:t>6</w:t>
      </w:r>
      <w:r w:rsidRPr="00ED245F">
        <w:rPr>
          <w:rFonts w:asciiTheme="majorHAnsi" w:eastAsia="Times New Roman" w:hAnsiTheme="majorHAnsi" w:cstheme="majorHAnsi"/>
          <w:b/>
          <w:bCs/>
          <w:sz w:val="24"/>
          <w:szCs w:val="24"/>
        </w:rPr>
        <w:t xml:space="preserve">.  </w:t>
      </w:r>
      <w:r w:rsidR="00AE2BA8" w:rsidRPr="00ED245F">
        <w:rPr>
          <w:rFonts w:asciiTheme="majorHAnsi" w:eastAsia="Times New Roman" w:hAnsiTheme="majorHAnsi" w:cstheme="majorHAnsi"/>
          <w:sz w:val="24"/>
          <w:szCs w:val="24"/>
        </w:rPr>
        <w:t>Politicile de contabilitate a</w:t>
      </w:r>
      <w:r w:rsidR="00ED245F">
        <w:rPr>
          <w:rFonts w:asciiTheme="majorHAnsi" w:eastAsia="Times New Roman" w:hAnsiTheme="majorHAnsi" w:cstheme="majorHAnsi"/>
          <w:sz w:val="24"/>
          <w:szCs w:val="24"/>
        </w:rPr>
        <w:t>le</w:t>
      </w:r>
      <w:r w:rsidR="00AE2BA8" w:rsidRPr="00ED245F">
        <w:rPr>
          <w:rFonts w:asciiTheme="majorHAnsi" w:eastAsia="Times New Roman" w:hAnsiTheme="majorHAnsi" w:cstheme="majorHAnsi"/>
          <w:sz w:val="24"/>
          <w:szCs w:val="24"/>
        </w:rPr>
        <w:t xml:space="preserve"> Ministerului Culturii și a</w:t>
      </w:r>
      <w:r w:rsidR="00B02C00">
        <w:rPr>
          <w:rFonts w:asciiTheme="majorHAnsi" w:eastAsia="Times New Roman" w:hAnsiTheme="majorHAnsi" w:cstheme="majorHAnsi"/>
          <w:sz w:val="24"/>
          <w:szCs w:val="24"/>
        </w:rPr>
        <w:t>le</w:t>
      </w:r>
      <w:r w:rsidR="00AE2BA8" w:rsidRPr="00ED245F">
        <w:rPr>
          <w:rFonts w:asciiTheme="majorHAnsi" w:eastAsia="Times New Roman" w:hAnsiTheme="majorHAnsi" w:cstheme="majorHAnsi"/>
          <w:sz w:val="24"/>
          <w:szCs w:val="24"/>
        </w:rPr>
        <w:t xml:space="preserve"> entităților din subordine nu specifică criterii și modalități uniforme de atribuire/clasificare a bunurilor ca mijloace fixe sau ca stocuri de materiale circulante, în </w:t>
      </w:r>
      <w:r w:rsidR="00B02C00">
        <w:rPr>
          <w:rFonts w:asciiTheme="majorHAnsi" w:eastAsia="Times New Roman" w:hAnsiTheme="majorHAnsi" w:cstheme="majorHAnsi"/>
          <w:sz w:val="24"/>
          <w:szCs w:val="24"/>
        </w:rPr>
        <w:t>funcție</w:t>
      </w:r>
      <w:r w:rsidR="00B02C00" w:rsidRPr="00ED245F">
        <w:rPr>
          <w:rFonts w:asciiTheme="majorHAnsi" w:eastAsia="Times New Roman" w:hAnsiTheme="majorHAnsi" w:cstheme="majorHAnsi"/>
          <w:sz w:val="24"/>
          <w:szCs w:val="24"/>
        </w:rPr>
        <w:t xml:space="preserve"> </w:t>
      </w:r>
      <w:r w:rsidR="00AE2BA8" w:rsidRPr="00ED245F">
        <w:rPr>
          <w:rFonts w:asciiTheme="majorHAnsi" w:eastAsia="Times New Roman" w:hAnsiTheme="majorHAnsi" w:cstheme="majorHAnsi"/>
          <w:sz w:val="24"/>
          <w:szCs w:val="24"/>
        </w:rPr>
        <w:t>de criterii</w:t>
      </w:r>
      <w:r w:rsidR="00B02C00">
        <w:rPr>
          <w:rFonts w:asciiTheme="majorHAnsi" w:eastAsia="Times New Roman" w:hAnsiTheme="majorHAnsi" w:cstheme="majorHAnsi"/>
          <w:sz w:val="24"/>
          <w:szCs w:val="24"/>
        </w:rPr>
        <w:t>le</w:t>
      </w:r>
      <w:r w:rsidR="00AE2BA8" w:rsidRPr="00ED245F">
        <w:rPr>
          <w:rFonts w:asciiTheme="majorHAnsi" w:eastAsia="Times New Roman" w:hAnsiTheme="majorHAnsi" w:cstheme="majorHAnsi"/>
          <w:sz w:val="24"/>
          <w:szCs w:val="24"/>
        </w:rPr>
        <w:t xml:space="preserve"> valoare </w:t>
      </w:r>
      <w:r w:rsidR="00AE2BA8" w:rsidRPr="0099048D">
        <w:rPr>
          <w:rFonts w:asciiTheme="majorHAnsi" w:eastAsia="Times New Roman" w:hAnsiTheme="majorHAnsi" w:cstheme="majorHAnsi"/>
          <w:sz w:val="24"/>
          <w:szCs w:val="24"/>
        </w:rPr>
        <w:t xml:space="preserve">și/sau durata de utilizare, tipul bunului potrivit unui nomenclator etc., ceea ce afectează raportarea financiară și rezultatul financiar. Ca urmare </w:t>
      </w:r>
      <w:r w:rsidR="00AE2BA8" w:rsidRPr="0099048D">
        <w:rPr>
          <w:rFonts w:asciiTheme="majorHAnsi" w:hAnsiTheme="majorHAnsi" w:cstheme="majorHAnsi"/>
          <w:sz w:val="24"/>
          <w:szCs w:val="24"/>
        </w:rPr>
        <w:t xml:space="preserve">a atribuirii eronate a materialelor circulante la categoria de mijloace fixe </w:t>
      </w:r>
      <w:r w:rsidR="00AE2BA8" w:rsidRPr="0099048D">
        <w:rPr>
          <w:rFonts w:asciiTheme="majorHAnsi" w:eastAsia="Times New Roman" w:hAnsiTheme="majorHAnsi" w:cstheme="majorHAnsi"/>
          <w:sz w:val="24"/>
          <w:szCs w:val="24"/>
        </w:rPr>
        <w:t xml:space="preserve">a fost </w:t>
      </w:r>
      <w:r w:rsidR="00AE2BA8" w:rsidRPr="0099048D">
        <w:rPr>
          <w:rFonts w:asciiTheme="majorHAnsi" w:hAnsiTheme="majorHAnsi" w:cstheme="majorHAnsi"/>
          <w:sz w:val="24"/>
          <w:szCs w:val="24"/>
        </w:rPr>
        <w:t>diminuat</w:t>
      </w:r>
      <w:r w:rsidR="00FB754A" w:rsidRPr="004A262A">
        <w:rPr>
          <w:rStyle w:val="a7"/>
          <w:rFonts w:asciiTheme="majorHAnsi" w:eastAsia="Times New Roman" w:hAnsiTheme="majorHAnsi" w:cstheme="majorHAnsi"/>
          <w:sz w:val="24"/>
          <w:szCs w:val="24"/>
          <w:lang w:val="ro-RO"/>
        </w:rPr>
        <w:footnoteReference w:id="11"/>
      </w:r>
      <w:r w:rsidR="00AE2BA8" w:rsidRPr="0099048D">
        <w:rPr>
          <w:rFonts w:asciiTheme="majorHAnsi" w:hAnsiTheme="majorHAnsi" w:cstheme="majorHAnsi"/>
          <w:sz w:val="24"/>
          <w:szCs w:val="24"/>
        </w:rPr>
        <w:t xml:space="preserve"> contul 336 și, respectiv, </w:t>
      </w:r>
      <w:r w:rsidR="00B02C00">
        <w:rPr>
          <w:rFonts w:asciiTheme="majorHAnsi" w:hAnsiTheme="majorHAnsi" w:cstheme="majorHAnsi"/>
          <w:sz w:val="24"/>
          <w:szCs w:val="24"/>
        </w:rPr>
        <w:t xml:space="preserve">a fost </w:t>
      </w:r>
      <w:r w:rsidR="00AE2BA8" w:rsidRPr="0099048D">
        <w:rPr>
          <w:rFonts w:asciiTheme="majorHAnsi" w:hAnsiTheme="majorHAnsi" w:cstheme="majorHAnsi"/>
          <w:sz w:val="24"/>
          <w:szCs w:val="24"/>
        </w:rPr>
        <w:t>supraevaluat contul 316 „</w:t>
      </w:r>
      <w:r w:rsidR="00AE2BA8" w:rsidRPr="0099048D">
        <w:rPr>
          <w:rFonts w:asciiTheme="majorHAnsi" w:hAnsiTheme="majorHAnsi" w:cstheme="majorHAnsi"/>
          <w:iCs/>
          <w:sz w:val="24"/>
          <w:szCs w:val="24"/>
        </w:rPr>
        <w:t>Unelte şi scule, inventar de producere şi gospodăresc</w:t>
      </w:r>
      <w:r w:rsidR="00AE2BA8" w:rsidRPr="0099048D">
        <w:rPr>
          <w:rFonts w:asciiTheme="majorHAnsi" w:hAnsiTheme="majorHAnsi" w:cstheme="majorHAnsi"/>
          <w:sz w:val="24"/>
          <w:szCs w:val="24"/>
        </w:rPr>
        <w:t xml:space="preserve">” cu 2,2 mil.lei și contul 391 </w:t>
      </w:r>
      <w:r w:rsidR="00FB754A" w:rsidRPr="0099048D">
        <w:rPr>
          <w:rFonts w:asciiTheme="majorHAnsi" w:hAnsiTheme="majorHAnsi" w:cstheme="majorHAnsi"/>
          <w:sz w:val="24"/>
          <w:szCs w:val="24"/>
        </w:rPr>
        <w:t>„</w:t>
      </w:r>
      <w:r w:rsidR="00AE2BA8" w:rsidRPr="0099048D">
        <w:rPr>
          <w:rFonts w:asciiTheme="majorHAnsi" w:hAnsiTheme="majorHAnsi" w:cstheme="majorHAnsi"/>
          <w:sz w:val="24"/>
          <w:szCs w:val="24"/>
        </w:rPr>
        <w:t xml:space="preserve">Uzura </w:t>
      </w:r>
      <w:r w:rsidR="00B02C00">
        <w:rPr>
          <w:rFonts w:asciiTheme="majorHAnsi" w:hAnsiTheme="majorHAnsi" w:cstheme="majorHAnsi"/>
          <w:sz w:val="24"/>
          <w:szCs w:val="24"/>
        </w:rPr>
        <w:t>m</w:t>
      </w:r>
      <w:r w:rsidR="00AE2BA8" w:rsidRPr="0099048D">
        <w:rPr>
          <w:rFonts w:asciiTheme="majorHAnsi" w:hAnsiTheme="majorHAnsi" w:cstheme="majorHAnsi"/>
          <w:sz w:val="24"/>
          <w:szCs w:val="24"/>
        </w:rPr>
        <w:t>ijloacelor fixe</w:t>
      </w:r>
      <w:r w:rsidR="00FB754A" w:rsidRPr="0099048D">
        <w:rPr>
          <w:rFonts w:asciiTheme="majorHAnsi" w:hAnsiTheme="majorHAnsi" w:cstheme="majorHAnsi"/>
          <w:sz w:val="24"/>
          <w:szCs w:val="24"/>
        </w:rPr>
        <w:t>”</w:t>
      </w:r>
      <w:r w:rsidR="00AE2BA8" w:rsidRPr="0099048D">
        <w:rPr>
          <w:rFonts w:asciiTheme="majorHAnsi" w:hAnsiTheme="majorHAnsi" w:cstheme="majorHAnsi"/>
          <w:sz w:val="24"/>
          <w:szCs w:val="24"/>
        </w:rPr>
        <w:t xml:space="preserve"> cu 1,5 mil.lei (din care 0,15 mil. lei calculate în 2021)</w:t>
      </w:r>
      <w:r w:rsidR="00AE2BA8" w:rsidRPr="0099048D">
        <w:rPr>
          <w:rFonts w:asciiTheme="majorHAnsi" w:hAnsiTheme="majorHAnsi" w:cstheme="majorHAnsi"/>
          <w:iCs/>
          <w:sz w:val="24"/>
          <w:szCs w:val="24"/>
        </w:rPr>
        <w:t>.</w:t>
      </w:r>
    </w:p>
    <w:p w14:paraId="00232281" w14:textId="3CC2A042" w:rsidR="004A3775" w:rsidRPr="0099048D" w:rsidRDefault="00E435FF" w:rsidP="00575EAC">
      <w:pPr>
        <w:shd w:val="clear" w:color="auto" w:fill="FFFFFF"/>
        <w:spacing w:after="0" w:line="276" w:lineRule="auto"/>
        <w:jc w:val="both"/>
        <w:rPr>
          <w:rFonts w:asciiTheme="majorHAnsi" w:eastAsia="Times New Roman" w:hAnsiTheme="majorHAnsi" w:cstheme="majorHAnsi"/>
          <w:color w:val="212121"/>
          <w:sz w:val="24"/>
          <w:szCs w:val="24"/>
        </w:rPr>
      </w:pPr>
      <w:r w:rsidRPr="0099048D">
        <w:rPr>
          <w:rFonts w:asciiTheme="majorHAnsi" w:eastAsia="Times New Roman" w:hAnsiTheme="majorHAnsi" w:cstheme="majorHAnsi"/>
          <w:b/>
          <w:iCs/>
          <w:sz w:val="24"/>
          <w:szCs w:val="24"/>
        </w:rPr>
        <w:t>2.7.</w:t>
      </w:r>
      <w:r w:rsidRPr="0099048D">
        <w:rPr>
          <w:rFonts w:asciiTheme="majorHAnsi" w:eastAsia="Times New Roman" w:hAnsiTheme="majorHAnsi" w:cstheme="majorHAnsi"/>
          <w:iCs/>
          <w:sz w:val="24"/>
          <w:szCs w:val="24"/>
        </w:rPr>
        <w:t xml:space="preserve"> </w:t>
      </w:r>
      <w:r w:rsidR="008B032E" w:rsidRPr="0099048D">
        <w:rPr>
          <w:rFonts w:asciiTheme="majorHAnsi" w:eastAsia="Times New Roman" w:hAnsiTheme="majorHAnsi" w:cstheme="majorHAnsi"/>
          <w:iCs/>
          <w:sz w:val="24"/>
          <w:szCs w:val="24"/>
        </w:rPr>
        <w:t xml:space="preserve">Auditul </w:t>
      </w:r>
      <w:r w:rsidR="008C0790" w:rsidRPr="0099048D">
        <w:rPr>
          <w:rFonts w:asciiTheme="majorHAnsi" w:eastAsia="Times New Roman" w:hAnsiTheme="majorHAnsi" w:cstheme="majorHAnsi"/>
          <w:iCs/>
          <w:sz w:val="24"/>
          <w:szCs w:val="24"/>
        </w:rPr>
        <w:t>a fost</w:t>
      </w:r>
      <w:r w:rsidR="008B032E" w:rsidRPr="0099048D">
        <w:rPr>
          <w:rFonts w:asciiTheme="majorHAnsi" w:eastAsia="Times New Roman" w:hAnsiTheme="majorHAnsi" w:cstheme="majorHAnsi"/>
          <w:iCs/>
          <w:sz w:val="24"/>
          <w:szCs w:val="24"/>
        </w:rPr>
        <w:t xml:space="preserve"> </w:t>
      </w:r>
      <w:r w:rsidR="003F2F9D" w:rsidRPr="0099048D">
        <w:rPr>
          <w:rFonts w:asciiTheme="majorHAnsi" w:eastAsia="Times New Roman" w:hAnsiTheme="majorHAnsi" w:cstheme="majorHAnsi"/>
          <w:iCs/>
          <w:sz w:val="24"/>
          <w:szCs w:val="24"/>
        </w:rPr>
        <w:t xml:space="preserve">limitat </w:t>
      </w:r>
      <w:r w:rsidR="003F2F9D" w:rsidRPr="0099048D">
        <w:rPr>
          <w:rFonts w:asciiTheme="majorHAnsi" w:eastAsia="Times New Roman" w:hAnsiTheme="majorHAnsi" w:cstheme="majorHAnsi"/>
          <w:color w:val="212121"/>
          <w:sz w:val="24"/>
          <w:szCs w:val="24"/>
        </w:rPr>
        <w:t xml:space="preserve">în confirmarea plenitudinii creanțelor în valoare de </w:t>
      </w:r>
      <w:r w:rsidR="003F2F9D" w:rsidRPr="0099048D">
        <w:rPr>
          <w:rFonts w:asciiTheme="majorHAnsi" w:eastAsia="Times New Roman" w:hAnsiTheme="majorHAnsi" w:cstheme="majorHAnsi"/>
          <w:b/>
          <w:color w:val="212121"/>
          <w:sz w:val="24"/>
          <w:szCs w:val="24"/>
        </w:rPr>
        <w:t>0</w:t>
      </w:r>
      <w:r w:rsidR="00151719" w:rsidRPr="0099048D">
        <w:rPr>
          <w:rFonts w:asciiTheme="majorHAnsi" w:eastAsia="Times New Roman" w:hAnsiTheme="majorHAnsi" w:cstheme="majorHAnsi"/>
          <w:b/>
          <w:color w:val="212121"/>
          <w:sz w:val="24"/>
          <w:szCs w:val="24"/>
        </w:rPr>
        <w:t>,</w:t>
      </w:r>
      <w:r w:rsidR="003F2F9D" w:rsidRPr="0099048D">
        <w:rPr>
          <w:rFonts w:asciiTheme="majorHAnsi" w:eastAsia="Times New Roman" w:hAnsiTheme="majorHAnsi" w:cstheme="majorHAnsi"/>
          <w:b/>
          <w:color w:val="212121"/>
          <w:sz w:val="24"/>
          <w:szCs w:val="24"/>
        </w:rPr>
        <w:t>33 mil</w:t>
      </w:r>
      <w:r w:rsidR="00ED23E2" w:rsidRPr="0099048D">
        <w:rPr>
          <w:rFonts w:asciiTheme="majorHAnsi" w:eastAsia="Times New Roman" w:hAnsiTheme="majorHAnsi" w:cstheme="majorHAnsi"/>
          <w:b/>
          <w:color w:val="212121"/>
          <w:sz w:val="24"/>
          <w:szCs w:val="24"/>
        </w:rPr>
        <w:t>.</w:t>
      </w:r>
      <w:r w:rsidR="003F2F9D" w:rsidRPr="0099048D">
        <w:rPr>
          <w:rFonts w:asciiTheme="majorHAnsi" w:eastAsia="Times New Roman" w:hAnsiTheme="majorHAnsi" w:cstheme="majorHAnsi"/>
          <w:b/>
          <w:color w:val="212121"/>
          <w:sz w:val="24"/>
          <w:szCs w:val="24"/>
        </w:rPr>
        <w:t xml:space="preserve"> lei</w:t>
      </w:r>
      <w:r w:rsidR="003F2F9D" w:rsidRPr="0099048D">
        <w:rPr>
          <w:rFonts w:asciiTheme="majorHAnsi" w:eastAsia="Times New Roman" w:hAnsiTheme="majorHAnsi" w:cstheme="majorHAnsi"/>
          <w:color w:val="212121"/>
          <w:sz w:val="24"/>
          <w:szCs w:val="24"/>
        </w:rPr>
        <w:t xml:space="preserve"> și datoriilor în valoare de </w:t>
      </w:r>
      <w:r w:rsidR="003F2F9D" w:rsidRPr="0099048D">
        <w:rPr>
          <w:rFonts w:asciiTheme="majorHAnsi" w:eastAsia="Times New Roman" w:hAnsiTheme="majorHAnsi" w:cstheme="majorHAnsi"/>
          <w:b/>
          <w:color w:val="212121"/>
          <w:sz w:val="24"/>
          <w:szCs w:val="24"/>
        </w:rPr>
        <w:t>2</w:t>
      </w:r>
      <w:r w:rsidR="00151719" w:rsidRPr="0099048D">
        <w:rPr>
          <w:rFonts w:asciiTheme="majorHAnsi" w:eastAsia="Times New Roman" w:hAnsiTheme="majorHAnsi" w:cstheme="majorHAnsi"/>
          <w:b/>
          <w:color w:val="212121"/>
          <w:sz w:val="24"/>
          <w:szCs w:val="24"/>
        </w:rPr>
        <w:t>,</w:t>
      </w:r>
      <w:r w:rsidR="003F2F9D" w:rsidRPr="0099048D">
        <w:rPr>
          <w:rFonts w:asciiTheme="majorHAnsi" w:eastAsia="Times New Roman" w:hAnsiTheme="majorHAnsi" w:cstheme="majorHAnsi"/>
          <w:b/>
          <w:color w:val="212121"/>
          <w:sz w:val="24"/>
          <w:szCs w:val="24"/>
        </w:rPr>
        <w:t>58 mil</w:t>
      </w:r>
      <w:r w:rsidR="00ED23E2" w:rsidRPr="0099048D">
        <w:rPr>
          <w:rFonts w:asciiTheme="majorHAnsi" w:eastAsia="Times New Roman" w:hAnsiTheme="majorHAnsi" w:cstheme="majorHAnsi"/>
          <w:b/>
          <w:color w:val="212121"/>
          <w:sz w:val="24"/>
          <w:szCs w:val="24"/>
        </w:rPr>
        <w:t>.</w:t>
      </w:r>
      <w:r w:rsidR="003F2F9D" w:rsidRPr="0099048D">
        <w:rPr>
          <w:rFonts w:asciiTheme="majorHAnsi" w:eastAsia="Times New Roman" w:hAnsiTheme="majorHAnsi" w:cstheme="majorHAnsi"/>
          <w:b/>
          <w:color w:val="212121"/>
          <w:sz w:val="24"/>
          <w:szCs w:val="24"/>
        </w:rPr>
        <w:t xml:space="preserve"> lei</w:t>
      </w:r>
      <w:r w:rsidR="003F2F9D" w:rsidRPr="0099048D">
        <w:rPr>
          <w:rFonts w:asciiTheme="majorHAnsi" w:eastAsia="Times New Roman" w:hAnsiTheme="majorHAnsi" w:cstheme="majorHAnsi"/>
          <w:color w:val="212121"/>
          <w:sz w:val="24"/>
          <w:szCs w:val="24"/>
        </w:rPr>
        <w:t xml:space="preserve"> aferente acordării în anul 2021 (4 luni) a subsidiilor </w:t>
      </w:r>
      <w:r w:rsidR="008C0790" w:rsidRPr="0099048D">
        <w:rPr>
          <w:rFonts w:asciiTheme="majorHAnsi" w:eastAsia="Times New Roman" w:hAnsiTheme="majorHAnsi" w:cstheme="majorHAnsi"/>
          <w:color w:val="212121"/>
          <w:sz w:val="24"/>
          <w:szCs w:val="24"/>
        </w:rPr>
        <w:t xml:space="preserve">(inclusiv instituțiilor din subordine) </w:t>
      </w:r>
      <w:r w:rsidR="008B032E" w:rsidRPr="0099048D">
        <w:rPr>
          <w:rFonts w:asciiTheme="majorHAnsi" w:eastAsia="Times New Roman" w:hAnsiTheme="majorHAnsi" w:cstheme="majorHAnsi"/>
          <w:iCs/>
          <w:sz w:val="24"/>
          <w:szCs w:val="24"/>
        </w:rPr>
        <w:t xml:space="preserve">în sumă de </w:t>
      </w:r>
      <w:r w:rsidR="008B032E" w:rsidRPr="0099048D">
        <w:rPr>
          <w:rFonts w:asciiTheme="majorHAnsi" w:eastAsia="Times New Roman" w:hAnsiTheme="majorHAnsi" w:cstheme="majorHAnsi"/>
          <w:b/>
          <w:iCs/>
          <w:sz w:val="24"/>
          <w:szCs w:val="24"/>
        </w:rPr>
        <w:t>100</w:t>
      </w:r>
      <w:r w:rsidR="008C0790" w:rsidRPr="0099048D">
        <w:rPr>
          <w:rFonts w:asciiTheme="majorHAnsi" w:eastAsia="Times New Roman" w:hAnsiTheme="majorHAnsi" w:cstheme="majorHAnsi"/>
          <w:b/>
          <w:iCs/>
          <w:sz w:val="24"/>
          <w:szCs w:val="24"/>
        </w:rPr>
        <w:t>,</w:t>
      </w:r>
      <w:r w:rsidR="008B032E" w:rsidRPr="0099048D">
        <w:rPr>
          <w:rFonts w:asciiTheme="majorHAnsi" w:eastAsia="Times New Roman" w:hAnsiTheme="majorHAnsi" w:cstheme="majorHAnsi"/>
          <w:b/>
          <w:iCs/>
          <w:sz w:val="24"/>
          <w:szCs w:val="24"/>
        </w:rPr>
        <w:t>8</w:t>
      </w:r>
      <w:r w:rsidR="008C0790" w:rsidRPr="0099048D">
        <w:rPr>
          <w:rFonts w:asciiTheme="majorHAnsi" w:eastAsia="Times New Roman" w:hAnsiTheme="majorHAnsi" w:cstheme="majorHAnsi"/>
          <w:b/>
          <w:iCs/>
          <w:sz w:val="24"/>
          <w:szCs w:val="24"/>
        </w:rPr>
        <w:t>4</w:t>
      </w:r>
      <w:r w:rsidR="008B032E" w:rsidRPr="0099048D">
        <w:rPr>
          <w:rFonts w:asciiTheme="majorHAnsi" w:eastAsia="Times New Roman" w:hAnsiTheme="majorHAnsi" w:cstheme="majorHAnsi"/>
          <w:b/>
          <w:iCs/>
          <w:sz w:val="24"/>
          <w:szCs w:val="24"/>
        </w:rPr>
        <w:t xml:space="preserve"> mi</w:t>
      </w:r>
      <w:r w:rsidR="008C0790" w:rsidRPr="0099048D">
        <w:rPr>
          <w:rFonts w:asciiTheme="majorHAnsi" w:eastAsia="Times New Roman" w:hAnsiTheme="majorHAnsi" w:cstheme="majorHAnsi"/>
          <w:b/>
          <w:iCs/>
          <w:sz w:val="24"/>
          <w:szCs w:val="24"/>
        </w:rPr>
        <w:t>l.</w:t>
      </w:r>
      <w:r w:rsidR="008B032E" w:rsidRPr="0099048D">
        <w:rPr>
          <w:rFonts w:asciiTheme="majorHAnsi" w:eastAsia="Times New Roman" w:hAnsiTheme="majorHAnsi" w:cstheme="majorHAnsi"/>
          <w:b/>
          <w:iCs/>
          <w:sz w:val="24"/>
          <w:szCs w:val="24"/>
        </w:rPr>
        <w:t>lei</w:t>
      </w:r>
      <w:r w:rsidR="008C0790" w:rsidRPr="0099048D">
        <w:rPr>
          <w:rFonts w:asciiTheme="majorHAnsi" w:eastAsia="Times New Roman" w:hAnsiTheme="majorHAnsi" w:cstheme="majorHAnsi"/>
          <w:iCs/>
          <w:sz w:val="24"/>
          <w:szCs w:val="24"/>
        </w:rPr>
        <w:t>.</w:t>
      </w:r>
      <w:r w:rsidR="008B032E" w:rsidRPr="0099048D">
        <w:rPr>
          <w:rFonts w:asciiTheme="majorHAnsi" w:eastAsia="Times New Roman" w:hAnsiTheme="majorHAnsi" w:cstheme="majorHAnsi"/>
          <w:iCs/>
          <w:sz w:val="24"/>
          <w:szCs w:val="24"/>
        </w:rPr>
        <w:t xml:space="preserve"> </w:t>
      </w:r>
      <w:r w:rsidR="008C0790" w:rsidRPr="0099048D">
        <w:rPr>
          <w:rFonts w:asciiTheme="majorHAnsi" w:eastAsia="Times New Roman" w:hAnsiTheme="majorHAnsi" w:cstheme="majorHAnsi"/>
          <w:color w:val="212121"/>
          <w:sz w:val="24"/>
          <w:szCs w:val="24"/>
        </w:rPr>
        <w:t>Această situație a fost determinată de faptul că</w:t>
      </w:r>
      <w:r w:rsidR="00B02C00">
        <w:rPr>
          <w:rFonts w:asciiTheme="majorHAnsi" w:eastAsia="Times New Roman" w:hAnsiTheme="majorHAnsi" w:cstheme="majorHAnsi"/>
          <w:color w:val="212121"/>
          <w:sz w:val="24"/>
          <w:szCs w:val="24"/>
        </w:rPr>
        <w:t>,</w:t>
      </w:r>
      <w:r w:rsidR="008C0790" w:rsidRPr="0099048D">
        <w:rPr>
          <w:rFonts w:asciiTheme="majorHAnsi" w:eastAsia="Times New Roman" w:hAnsiTheme="majorHAnsi" w:cstheme="majorHAnsi"/>
          <w:color w:val="212121"/>
          <w:sz w:val="24"/>
          <w:szCs w:val="24"/>
        </w:rPr>
        <w:t xml:space="preserve"> </w:t>
      </w:r>
      <w:r w:rsidR="005C3599" w:rsidRPr="0099048D">
        <w:rPr>
          <w:rFonts w:asciiTheme="majorHAnsi" w:eastAsia="Times New Roman" w:hAnsiTheme="majorHAnsi" w:cstheme="majorHAnsi"/>
          <w:color w:val="212121"/>
          <w:sz w:val="24"/>
          <w:szCs w:val="24"/>
        </w:rPr>
        <w:t>pentru perioada 01.01.2021-31.08.2021</w:t>
      </w:r>
      <w:r w:rsidR="00B02C00">
        <w:rPr>
          <w:rFonts w:asciiTheme="majorHAnsi" w:eastAsia="Times New Roman" w:hAnsiTheme="majorHAnsi" w:cstheme="majorHAnsi"/>
          <w:color w:val="212121"/>
          <w:sz w:val="24"/>
          <w:szCs w:val="24"/>
        </w:rPr>
        <w:t>,</w:t>
      </w:r>
      <w:r w:rsidR="005C3599" w:rsidRPr="0099048D">
        <w:rPr>
          <w:rFonts w:asciiTheme="majorHAnsi" w:eastAsia="Times New Roman" w:hAnsiTheme="majorHAnsi" w:cstheme="majorHAnsi"/>
          <w:color w:val="212121"/>
          <w:sz w:val="24"/>
          <w:szCs w:val="24"/>
        </w:rPr>
        <w:t xml:space="preserve"> entitățile au primit subvenții </w:t>
      </w:r>
      <w:r w:rsidR="00520C2D" w:rsidRPr="0099048D">
        <w:rPr>
          <w:rFonts w:asciiTheme="majorHAnsi" w:eastAsia="Times New Roman" w:hAnsiTheme="majorHAnsi" w:cstheme="majorHAnsi"/>
          <w:color w:val="212121"/>
          <w:sz w:val="24"/>
          <w:szCs w:val="24"/>
        </w:rPr>
        <w:t xml:space="preserve">și granturi </w:t>
      </w:r>
      <w:r w:rsidR="005C3599" w:rsidRPr="0099048D">
        <w:rPr>
          <w:rFonts w:asciiTheme="majorHAnsi" w:eastAsia="Times New Roman" w:hAnsiTheme="majorHAnsi" w:cstheme="majorHAnsi"/>
          <w:color w:val="212121"/>
          <w:sz w:val="24"/>
          <w:szCs w:val="24"/>
        </w:rPr>
        <w:t xml:space="preserve">de la </w:t>
      </w:r>
      <w:r w:rsidR="009C2956" w:rsidRPr="0099048D">
        <w:rPr>
          <w:rFonts w:asciiTheme="majorHAnsi" w:eastAsia="Times New Roman" w:hAnsiTheme="majorHAnsi" w:cstheme="majorHAnsi"/>
          <w:color w:val="212121"/>
          <w:sz w:val="24"/>
          <w:szCs w:val="24"/>
        </w:rPr>
        <w:t>Ministerul Educației, Culturii și Cercetării (MECC)</w:t>
      </w:r>
      <w:r w:rsidR="005C3599" w:rsidRPr="0099048D">
        <w:rPr>
          <w:rFonts w:asciiTheme="majorHAnsi" w:eastAsia="Times New Roman" w:hAnsiTheme="majorHAnsi" w:cstheme="majorHAnsi"/>
          <w:color w:val="212121"/>
          <w:sz w:val="24"/>
          <w:szCs w:val="24"/>
        </w:rPr>
        <w:t>, pentru care nu au prezentat justificări</w:t>
      </w:r>
      <w:r w:rsidR="00C431FF" w:rsidRPr="0099048D">
        <w:rPr>
          <w:rFonts w:asciiTheme="majorHAnsi" w:eastAsia="Times New Roman" w:hAnsiTheme="majorHAnsi" w:cstheme="majorHAnsi"/>
          <w:color w:val="212121"/>
          <w:sz w:val="24"/>
          <w:szCs w:val="24"/>
        </w:rPr>
        <w:t>,</w:t>
      </w:r>
      <w:r w:rsidR="005C3599" w:rsidRPr="0099048D">
        <w:rPr>
          <w:rFonts w:asciiTheme="majorHAnsi" w:eastAsia="Times New Roman" w:hAnsiTheme="majorHAnsi" w:cstheme="majorHAnsi"/>
          <w:color w:val="212121"/>
          <w:sz w:val="24"/>
          <w:szCs w:val="24"/>
        </w:rPr>
        <w:t xml:space="preserve"> astfel MECC a înregistrat creanțe în sumă de </w:t>
      </w:r>
      <w:r w:rsidR="005C3599" w:rsidRPr="004A262A">
        <w:rPr>
          <w:rFonts w:asciiTheme="majorHAnsi" w:hAnsiTheme="majorHAnsi" w:cstheme="majorHAnsi"/>
          <w:b/>
          <w:iCs/>
          <w:sz w:val="24"/>
          <w:szCs w:val="24"/>
        </w:rPr>
        <w:t>12,9 mil.lei</w:t>
      </w:r>
      <w:r w:rsidR="005C3599" w:rsidRPr="00B02C00">
        <w:rPr>
          <w:rFonts w:asciiTheme="majorHAnsi" w:hAnsiTheme="majorHAnsi" w:cstheme="majorHAnsi"/>
          <w:sz w:val="24"/>
          <w:szCs w:val="24"/>
        </w:rPr>
        <w:t>,</w:t>
      </w:r>
      <w:r w:rsidR="008C0790" w:rsidRPr="00B02C00">
        <w:rPr>
          <w:rFonts w:asciiTheme="majorHAnsi" w:eastAsia="Times New Roman" w:hAnsiTheme="majorHAnsi" w:cstheme="majorHAnsi"/>
          <w:color w:val="212121"/>
          <w:sz w:val="24"/>
          <w:szCs w:val="24"/>
        </w:rPr>
        <w:t xml:space="preserve"> </w:t>
      </w:r>
      <w:r w:rsidR="005C3599" w:rsidRPr="0099048D">
        <w:rPr>
          <w:rFonts w:asciiTheme="majorHAnsi" w:eastAsia="Times New Roman" w:hAnsiTheme="majorHAnsi" w:cstheme="majorHAnsi"/>
          <w:color w:val="212121"/>
          <w:sz w:val="24"/>
          <w:szCs w:val="24"/>
        </w:rPr>
        <w:t xml:space="preserve">care nu au fost transmise către </w:t>
      </w:r>
      <w:r w:rsidR="0084653B">
        <w:rPr>
          <w:rFonts w:asciiTheme="majorHAnsi" w:eastAsia="Times New Roman" w:hAnsiTheme="majorHAnsi" w:cstheme="majorHAnsi"/>
          <w:color w:val="212121"/>
          <w:sz w:val="24"/>
          <w:szCs w:val="24"/>
        </w:rPr>
        <w:t>Ministerul Culturii (</w:t>
      </w:r>
      <w:r w:rsidR="005C3599" w:rsidRPr="0099048D">
        <w:rPr>
          <w:rFonts w:asciiTheme="majorHAnsi" w:eastAsia="Times New Roman" w:hAnsiTheme="majorHAnsi" w:cstheme="majorHAnsi"/>
          <w:color w:val="212121"/>
          <w:sz w:val="24"/>
          <w:szCs w:val="24"/>
        </w:rPr>
        <w:t>MC</w:t>
      </w:r>
      <w:r w:rsidR="0084653B">
        <w:rPr>
          <w:rFonts w:asciiTheme="majorHAnsi" w:eastAsia="Times New Roman" w:hAnsiTheme="majorHAnsi" w:cstheme="majorHAnsi"/>
          <w:color w:val="212121"/>
          <w:sz w:val="24"/>
          <w:szCs w:val="24"/>
        </w:rPr>
        <w:t>)</w:t>
      </w:r>
      <w:r w:rsidR="005C3599" w:rsidRPr="0099048D">
        <w:rPr>
          <w:rFonts w:asciiTheme="majorHAnsi" w:eastAsia="Times New Roman" w:hAnsiTheme="majorHAnsi" w:cstheme="majorHAnsi"/>
          <w:color w:val="212121"/>
          <w:sz w:val="24"/>
          <w:szCs w:val="24"/>
        </w:rPr>
        <w:t xml:space="preserve"> prin act</w:t>
      </w:r>
      <w:r w:rsidR="00ED23E2" w:rsidRPr="0099048D">
        <w:rPr>
          <w:rFonts w:asciiTheme="majorHAnsi" w:eastAsia="Times New Roman" w:hAnsiTheme="majorHAnsi" w:cstheme="majorHAnsi"/>
          <w:color w:val="212121"/>
          <w:sz w:val="24"/>
          <w:szCs w:val="24"/>
        </w:rPr>
        <w:t>.</w:t>
      </w:r>
      <w:r w:rsidR="005C3599" w:rsidRPr="0099048D">
        <w:rPr>
          <w:rFonts w:asciiTheme="majorHAnsi" w:eastAsia="Times New Roman" w:hAnsiTheme="majorHAnsi" w:cstheme="majorHAnsi"/>
          <w:color w:val="212121"/>
          <w:sz w:val="24"/>
          <w:szCs w:val="24"/>
        </w:rPr>
        <w:t xml:space="preserve"> </w:t>
      </w:r>
    </w:p>
    <w:p w14:paraId="456E2C8D" w14:textId="2EBCFEF2" w:rsidR="004A3775" w:rsidRPr="0099048D" w:rsidRDefault="00E435FF" w:rsidP="00575EAC">
      <w:pPr>
        <w:shd w:val="clear" w:color="auto" w:fill="FFFFFF"/>
        <w:spacing w:after="0" w:line="276" w:lineRule="auto"/>
        <w:jc w:val="both"/>
        <w:rPr>
          <w:rFonts w:asciiTheme="majorHAnsi" w:eastAsia="Times New Roman" w:hAnsiTheme="majorHAnsi" w:cstheme="majorHAnsi"/>
          <w:bCs/>
          <w:sz w:val="24"/>
          <w:szCs w:val="24"/>
        </w:rPr>
      </w:pPr>
      <w:r w:rsidRPr="0099048D">
        <w:rPr>
          <w:rFonts w:asciiTheme="majorHAnsi" w:eastAsia="Times New Roman" w:hAnsiTheme="majorHAnsi" w:cstheme="majorHAnsi"/>
          <w:b/>
          <w:iCs/>
          <w:sz w:val="24"/>
          <w:szCs w:val="24"/>
        </w:rPr>
        <w:t xml:space="preserve">2.8. </w:t>
      </w:r>
      <w:r w:rsidR="00B600B6" w:rsidRPr="0099048D">
        <w:rPr>
          <w:rFonts w:asciiTheme="majorHAnsi" w:eastAsia="Times New Roman" w:hAnsiTheme="majorHAnsi" w:cstheme="majorHAnsi"/>
          <w:color w:val="212121"/>
          <w:sz w:val="24"/>
          <w:szCs w:val="24"/>
        </w:rPr>
        <w:t>MC</w:t>
      </w:r>
      <w:r w:rsidR="00600B30" w:rsidRPr="0099048D">
        <w:rPr>
          <w:rFonts w:asciiTheme="majorHAnsi" w:eastAsia="Times New Roman" w:hAnsiTheme="majorHAnsi" w:cstheme="majorHAnsi"/>
          <w:color w:val="212121"/>
          <w:sz w:val="24"/>
          <w:szCs w:val="24"/>
        </w:rPr>
        <w:t xml:space="preserve"> a fost creat </w:t>
      </w:r>
      <w:r w:rsidR="00B02C00">
        <w:rPr>
          <w:rFonts w:asciiTheme="majorHAnsi" w:eastAsia="Times New Roman" w:hAnsiTheme="majorHAnsi" w:cstheme="majorHAnsi"/>
          <w:color w:val="212121"/>
          <w:sz w:val="24"/>
          <w:szCs w:val="24"/>
        </w:rPr>
        <w:t xml:space="preserve">ca </w:t>
      </w:r>
      <w:r w:rsidR="00B600B6" w:rsidRPr="00B02C00">
        <w:rPr>
          <w:rFonts w:asciiTheme="majorHAnsi" w:eastAsia="Times New Roman" w:hAnsiTheme="majorHAnsi" w:cstheme="majorHAnsi"/>
          <w:color w:val="212121"/>
          <w:sz w:val="24"/>
          <w:szCs w:val="24"/>
        </w:rPr>
        <w:t xml:space="preserve">urmare a </w:t>
      </w:r>
      <w:r w:rsidR="00600B30" w:rsidRPr="00B02C00">
        <w:rPr>
          <w:rFonts w:asciiTheme="majorHAnsi" w:eastAsia="Times New Roman" w:hAnsiTheme="majorHAnsi" w:cstheme="majorHAnsi"/>
          <w:color w:val="212121"/>
          <w:sz w:val="24"/>
          <w:szCs w:val="24"/>
        </w:rPr>
        <w:t>diviz</w:t>
      </w:r>
      <w:r w:rsidR="00B600B6" w:rsidRPr="00B02C00">
        <w:rPr>
          <w:rFonts w:asciiTheme="majorHAnsi" w:eastAsia="Times New Roman" w:hAnsiTheme="majorHAnsi" w:cstheme="majorHAnsi"/>
          <w:color w:val="212121"/>
          <w:sz w:val="24"/>
          <w:szCs w:val="24"/>
        </w:rPr>
        <w:t xml:space="preserve">ării </w:t>
      </w:r>
      <w:r w:rsidR="00600B30" w:rsidRPr="00B02C00">
        <w:rPr>
          <w:rFonts w:asciiTheme="majorHAnsi" w:eastAsia="Times New Roman" w:hAnsiTheme="majorHAnsi" w:cstheme="majorHAnsi"/>
          <w:color w:val="212121"/>
          <w:sz w:val="24"/>
          <w:szCs w:val="24"/>
        </w:rPr>
        <w:t>MECC</w:t>
      </w:r>
      <w:r w:rsidR="00DE0AE8" w:rsidRPr="004A262A">
        <w:rPr>
          <w:rStyle w:val="a7"/>
          <w:rFonts w:asciiTheme="majorHAnsi" w:hAnsiTheme="majorHAnsi" w:cstheme="majorHAnsi"/>
          <w:sz w:val="24"/>
          <w:szCs w:val="24"/>
        </w:rPr>
        <w:footnoteReference w:id="12"/>
      </w:r>
      <w:r w:rsidR="00600B30" w:rsidRPr="00B02C00">
        <w:rPr>
          <w:rFonts w:asciiTheme="majorHAnsi" w:eastAsia="Times New Roman" w:hAnsiTheme="majorHAnsi" w:cstheme="majorHAnsi"/>
          <w:color w:val="212121"/>
          <w:sz w:val="24"/>
          <w:szCs w:val="24"/>
        </w:rPr>
        <w:t>, în</w:t>
      </w:r>
      <w:r w:rsidR="00600B30" w:rsidRPr="0099048D">
        <w:rPr>
          <w:rFonts w:asciiTheme="majorHAnsi" w:eastAsia="Times New Roman" w:hAnsiTheme="majorHAnsi" w:cstheme="majorHAnsi"/>
          <w:color w:val="212121"/>
          <w:sz w:val="24"/>
          <w:szCs w:val="24"/>
        </w:rPr>
        <w:t xml:space="preserve">să procesul de transmitere a activelor și pasivelor nu a fost realizat de către conducerea ministerului </w:t>
      </w:r>
      <w:r w:rsidR="004A3775" w:rsidRPr="0099048D">
        <w:rPr>
          <w:rFonts w:asciiTheme="majorHAnsi" w:eastAsia="Times New Roman" w:hAnsiTheme="majorHAnsi" w:cstheme="majorHAnsi"/>
          <w:color w:val="212121"/>
          <w:sz w:val="24"/>
          <w:szCs w:val="24"/>
        </w:rPr>
        <w:t>vechi (</w:t>
      </w:r>
      <w:r w:rsidR="00B600B6" w:rsidRPr="0099048D">
        <w:rPr>
          <w:rFonts w:asciiTheme="majorHAnsi" w:eastAsia="Times New Roman" w:hAnsiTheme="majorHAnsi" w:cstheme="majorHAnsi"/>
          <w:color w:val="212121"/>
          <w:sz w:val="24"/>
          <w:szCs w:val="24"/>
        </w:rPr>
        <w:t>MECC</w:t>
      </w:r>
      <w:r w:rsidR="004A3775" w:rsidRPr="0099048D">
        <w:rPr>
          <w:rFonts w:asciiTheme="majorHAnsi" w:eastAsia="Times New Roman" w:hAnsiTheme="majorHAnsi" w:cstheme="majorHAnsi"/>
          <w:color w:val="212121"/>
          <w:sz w:val="24"/>
          <w:szCs w:val="24"/>
        </w:rPr>
        <w:t>)</w:t>
      </w:r>
      <w:r w:rsidR="00600B30" w:rsidRPr="0099048D">
        <w:rPr>
          <w:rFonts w:asciiTheme="majorHAnsi" w:eastAsia="Times New Roman" w:hAnsiTheme="majorHAnsi" w:cstheme="majorHAnsi"/>
          <w:color w:val="212121"/>
          <w:sz w:val="24"/>
          <w:szCs w:val="24"/>
        </w:rPr>
        <w:t xml:space="preserve"> și ministerul </w:t>
      </w:r>
      <w:r w:rsidR="004A3775" w:rsidRPr="0099048D">
        <w:rPr>
          <w:rFonts w:asciiTheme="majorHAnsi" w:eastAsia="Times New Roman" w:hAnsiTheme="majorHAnsi" w:cstheme="majorHAnsi"/>
          <w:color w:val="212121"/>
          <w:sz w:val="24"/>
          <w:szCs w:val="24"/>
        </w:rPr>
        <w:t xml:space="preserve">reorganizat </w:t>
      </w:r>
      <w:r w:rsidR="00003495">
        <w:rPr>
          <w:rFonts w:asciiTheme="majorHAnsi" w:eastAsia="Times New Roman" w:hAnsiTheme="majorHAnsi" w:cstheme="majorHAnsi"/>
          <w:color w:val="212121"/>
          <w:sz w:val="24"/>
          <w:szCs w:val="24"/>
        </w:rPr>
        <w:t xml:space="preserve">Ministerul Educației </w:t>
      </w:r>
      <w:r w:rsidR="00003495" w:rsidRPr="0099048D">
        <w:rPr>
          <w:rFonts w:asciiTheme="majorHAnsi" w:eastAsia="Times New Roman" w:hAnsiTheme="majorHAnsi" w:cstheme="majorHAnsi"/>
          <w:color w:val="212121"/>
          <w:sz w:val="24"/>
          <w:szCs w:val="24"/>
        </w:rPr>
        <w:t xml:space="preserve">și Cercetării </w:t>
      </w:r>
      <w:r w:rsidR="004A3775" w:rsidRPr="0099048D">
        <w:rPr>
          <w:rFonts w:asciiTheme="majorHAnsi" w:eastAsia="Times New Roman" w:hAnsiTheme="majorHAnsi" w:cstheme="majorHAnsi"/>
          <w:color w:val="212121"/>
          <w:sz w:val="24"/>
          <w:szCs w:val="24"/>
        </w:rPr>
        <w:t>(</w:t>
      </w:r>
      <w:r w:rsidR="00B600B6" w:rsidRPr="0099048D">
        <w:rPr>
          <w:rFonts w:asciiTheme="majorHAnsi" w:eastAsia="Times New Roman" w:hAnsiTheme="majorHAnsi" w:cstheme="majorHAnsi"/>
          <w:color w:val="212121"/>
          <w:sz w:val="24"/>
          <w:szCs w:val="24"/>
        </w:rPr>
        <w:t>MEC</w:t>
      </w:r>
      <w:r w:rsidR="004A3775" w:rsidRPr="0099048D">
        <w:rPr>
          <w:rFonts w:asciiTheme="majorHAnsi" w:eastAsia="Times New Roman" w:hAnsiTheme="majorHAnsi" w:cstheme="majorHAnsi"/>
          <w:color w:val="212121"/>
          <w:sz w:val="24"/>
          <w:szCs w:val="24"/>
        </w:rPr>
        <w:t>)</w:t>
      </w:r>
      <w:r w:rsidR="00600B30" w:rsidRPr="0099048D">
        <w:rPr>
          <w:rFonts w:asciiTheme="majorHAnsi" w:eastAsia="Times New Roman" w:hAnsiTheme="majorHAnsi" w:cstheme="majorHAnsi"/>
          <w:color w:val="212121"/>
          <w:sz w:val="24"/>
          <w:szCs w:val="24"/>
        </w:rPr>
        <w:t>. </w:t>
      </w:r>
      <w:r w:rsidR="004A3775" w:rsidRPr="0099048D">
        <w:rPr>
          <w:rFonts w:asciiTheme="majorHAnsi" w:eastAsia="Times New Roman" w:hAnsiTheme="majorHAnsi" w:cstheme="majorHAnsi"/>
          <w:color w:val="212121"/>
          <w:sz w:val="24"/>
          <w:szCs w:val="24"/>
        </w:rPr>
        <w:t xml:space="preserve">Deși MC gestionează </w:t>
      </w:r>
      <w:r w:rsidR="004A3775" w:rsidRPr="0099048D">
        <w:rPr>
          <w:rFonts w:asciiTheme="majorHAnsi" w:eastAsia="Times New Roman" w:hAnsiTheme="majorHAnsi" w:cstheme="majorHAnsi"/>
          <w:bCs/>
          <w:sz w:val="24"/>
          <w:szCs w:val="24"/>
        </w:rPr>
        <w:t>active și pasive cu valoare</w:t>
      </w:r>
      <w:r w:rsidR="00B02C00">
        <w:rPr>
          <w:rFonts w:asciiTheme="majorHAnsi" w:eastAsia="Times New Roman" w:hAnsiTheme="majorHAnsi" w:cstheme="majorHAnsi"/>
          <w:bCs/>
          <w:sz w:val="24"/>
          <w:szCs w:val="24"/>
        </w:rPr>
        <w:t>a</w:t>
      </w:r>
      <w:r w:rsidR="004A3775" w:rsidRPr="0099048D">
        <w:rPr>
          <w:rFonts w:asciiTheme="majorHAnsi" w:eastAsia="Times New Roman" w:hAnsiTheme="majorHAnsi" w:cstheme="majorHAnsi"/>
          <w:bCs/>
          <w:sz w:val="24"/>
          <w:szCs w:val="24"/>
        </w:rPr>
        <w:t xml:space="preserve"> de bilanț de 485,2 mil.lei</w:t>
      </w:r>
      <w:r w:rsidR="004A3775" w:rsidRPr="0099048D">
        <w:rPr>
          <w:rStyle w:val="a7"/>
          <w:rFonts w:asciiTheme="majorHAnsi" w:eastAsia="Times New Roman" w:hAnsiTheme="majorHAnsi" w:cstheme="majorHAnsi"/>
          <w:bCs/>
          <w:sz w:val="24"/>
          <w:szCs w:val="24"/>
        </w:rPr>
        <w:footnoteReference w:id="13"/>
      </w:r>
      <w:r w:rsidR="004A3775" w:rsidRPr="0099048D">
        <w:rPr>
          <w:rFonts w:asciiTheme="majorHAnsi" w:eastAsia="Times New Roman" w:hAnsiTheme="majorHAnsi" w:cstheme="majorHAnsi"/>
          <w:bCs/>
          <w:sz w:val="24"/>
          <w:szCs w:val="24"/>
        </w:rPr>
        <w:t>, acestea nu au fost transmise conform actelor de primire-predare cu anexarea documentelor ce confirmă valoarea, drepturile și obligațiile, în termen</w:t>
      </w:r>
      <w:r w:rsidR="00B02C00">
        <w:rPr>
          <w:rFonts w:asciiTheme="majorHAnsi" w:eastAsia="Times New Roman" w:hAnsiTheme="majorHAnsi" w:cstheme="majorHAnsi"/>
          <w:bCs/>
          <w:sz w:val="24"/>
          <w:szCs w:val="24"/>
        </w:rPr>
        <w:t>ele</w:t>
      </w:r>
      <w:r w:rsidR="004A3775" w:rsidRPr="0099048D">
        <w:rPr>
          <w:rFonts w:asciiTheme="majorHAnsi" w:eastAsia="Times New Roman" w:hAnsiTheme="majorHAnsi" w:cstheme="majorHAnsi"/>
          <w:bCs/>
          <w:sz w:val="24"/>
          <w:szCs w:val="24"/>
        </w:rPr>
        <w:t xml:space="preserve"> limită stabili</w:t>
      </w:r>
      <w:r w:rsidR="00B02C00">
        <w:rPr>
          <w:rFonts w:asciiTheme="majorHAnsi" w:eastAsia="Times New Roman" w:hAnsiTheme="majorHAnsi" w:cstheme="majorHAnsi"/>
          <w:bCs/>
          <w:sz w:val="24"/>
          <w:szCs w:val="24"/>
        </w:rPr>
        <w:t>te</w:t>
      </w:r>
      <w:r w:rsidR="004A3775" w:rsidRPr="0099048D">
        <w:rPr>
          <w:rFonts w:asciiTheme="majorHAnsi" w:eastAsia="Times New Roman" w:hAnsiTheme="majorHAnsi" w:cstheme="majorHAnsi"/>
          <w:bCs/>
          <w:sz w:val="24"/>
          <w:szCs w:val="24"/>
        </w:rPr>
        <w:t xml:space="preserve"> regulamentar. </w:t>
      </w:r>
      <w:r w:rsidR="004A3775" w:rsidRPr="0099048D">
        <w:rPr>
          <w:rFonts w:asciiTheme="majorHAnsi" w:eastAsia="Times New Roman" w:hAnsiTheme="majorHAnsi" w:cstheme="majorHAnsi"/>
          <w:color w:val="212121"/>
          <w:sz w:val="24"/>
          <w:szCs w:val="24"/>
        </w:rPr>
        <w:t>Ca urmare,</w:t>
      </w:r>
      <w:r w:rsidR="004A3775" w:rsidRPr="0099048D">
        <w:rPr>
          <w:rFonts w:asciiTheme="majorHAnsi" w:eastAsia="Times New Roman" w:hAnsiTheme="majorHAnsi" w:cstheme="majorHAnsi"/>
          <w:bCs/>
          <w:sz w:val="24"/>
          <w:szCs w:val="24"/>
        </w:rPr>
        <w:t xml:space="preserve"> la 31.12.2021 Bilanțul contabil a</w:t>
      </w:r>
      <w:r w:rsidR="00B02C00">
        <w:rPr>
          <w:rFonts w:asciiTheme="majorHAnsi" w:eastAsia="Times New Roman" w:hAnsiTheme="majorHAnsi" w:cstheme="majorHAnsi"/>
          <w:bCs/>
          <w:sz w:val="24"/>
          <w:szCs w:val="24"/>
        </w:rPr>
        <w:t>l</w:t>
      </w:r>
      <w:r w:rsidR="004A3775" w:rsidRPr="0099048D">
        <w:rPr>
          <w:rFonts w:asciiTheme="majorHAnsi" w:eastAsia="Times New Roman" w:hAnsiTheme="majorHAnsi" w:cstheme="majorHAnsi"/>
          <w:bCs/>
          <w:sz w:val="24"/>
          <w:szCs w:val="24"/>
        </w:rPr>
        <w:t xml:space="preserve"> MC </w:t>
      </w:r>
      <w:r w:rsidR="00B02C00">
        <w:rPr>
          <w:rFonts w:asciiTheme="majorHAnsi" w:eastAsia="Times New Roman" w:hAnsiTheme="majorHAnsi" w:cstheme="majorHAnsi"/>
          <w:bCs/>
          <w:sz w:val="24"/>
          <w:szCs w:val="24"/>
        </w:rPr>
        <w:t>era</w:t>
      </w:r>
      <w:r w:rsidR="004A3775" w:rsidRPr="0099048D">
        <w:rPr>
          <w:rFonts w:asciiTheme="majorHAnsi" w:eastAsia="Times New Roman" w:hAnsiTheme="majorHAnsi" w:cstheme="majorHAnsi"/>
          <w:bCs/>
          <w:sz w:val="24"/>
          <w:szCs w:val="24"/>
        </w:rPr>
        <w:t xml:space="preserve"> afectat de erori în ace</w:t>
      </w:r>
      <w:r w:rsidR="00B02C00">
        <w:rPr>
          <w:rFonts w:asciiTheme="majorHAnsi" w:eastAsia="Times New Roman" w:hAnsiTheme="majorHAnsi" w:cstheme="majorHAnsi"/>
          <w:bCs/>
          <w:sz w:val="24"/>
          <w:szCs w:val="24"/>
        </w:rPr>
        <w:t>e</w:t>
      </w:r>
      <w:r w:rsidR="004A3775" w:rsidRPr="0099048D">
        <w:rPr>
          <w:rFonts w:asciiTheme="majorHAnsi" w:eastAsia="Times New Roman" w:hAnsiTheme="majorHAnsi" w:cstheme="majorHAnsi"/>
          <w:bCs/>
          <w:sz w:val="24"/>
          <w:szCs w:val="24"/>
        </w:rPr>
        <w:t>ași sumă at</w:t>
      </w:r>
      <w:r w:rsidR="00B02C00">
        <w:rPr>
          <w:rFonts w:asciiTheme="majorHAnsi" w:eastAsia="Times New Roman" w:hAnsiTheme="majorHAnsi" w:cstheme="majorHAnsi"/>
          <w:bCs/>
          <w:sz w:val="24"/>
          <w:szCs w:val="24"/>
        </w:rPr>
        <w:t>â</w:t>
      </w:r>
      <w:r w:rsidR="004A3775" w:rsidRPr="0099048D">
        <w:rPr>
          <w:rFonts w:asciiTheme="majorHAnsi" w:eastAsia="Times New Roman" w:hAnsiTheme="majorHAnsi" w:cstheme="majorHAnsi"/>
          <w:bCs/>
          <w:sz w:val="24"/>
          <w:szCs w:val="24"/>
        </w:rPr>
        <w:t>t la partea de activ</w:t>
      </w:r>
      <w:r w:rsidR="00B02C00">
        <w:rPr>
          <w:rFonts w:asciiTheme="majorHAnsi" w:eastAsia="Times New Roman" w:hAnsiTheme="majorHAnsi" w:cstheme="majorHAnsi"/>
          <w:bCs/>
          <w:sz w:val="24"/>
          <w:szCs w:val="24"/>
        </w:rPr>
        <w:t>,</w:t>
      </w:r>
      <w:r w:rsidR="004A3775" w:rsidRPr="0099048D">
        <w:rPr>
          <w:rFonts w:asciiTheme="majorHAnsi" w:eastAsia="Times New Roman" w:hAnsiTheme="majorHAnsi" w:cstheme="majorHAnsi"/>
          <w:bCs/>
          <w:sz w:val="24"/>
          <w:szCs w:val="24"/>
        </w:rPr>
        <w:t xml:space="preserve"> c</w:t>
      </w:r>
      <w:r w:rsidR="00B02C00">
        <w:rPr>
          <w:rFonts w:asciiTheme="majorHAnsi" w:eastAsia="Times New Roman" w:hAnsiTheme="majorHAnsi" w:cstheme="majorHAnsi"/>
          <w:bCs/>
          <w:sz w:val="24"/>
          <w:szCs w:val="24"/>
        </w:rPr>
        <w:t>â</w:t>
      </w:r>
      <w:r w:rsidR="004A3775" w:rsidRPr="0099048D">
        <w:rPr>
          <w:rFonts w:asciiTheme="majorHAnsi" w:eastAsia="Times New Roman" w:hAnsiTheme="majorHAnsi" w:cstheme="majorHAnsi"/>
          <w:bCs/>
          <w:sz w:val="24"/>
          <w:szCs w:val="24"/>
        </w:rPr>
        <w:t>t și la partea de pasiv.</w:t>
      </w:r>
    </w:p>
    <w:p w14:paraId="29C3F880" w14:textId="7FD19075" w:rsidR="004A3775" w:rsidRPr="0099048D" w:rsidRDefault="00E435FF" w:rsidP="00575EAC">
      <w:pPr>
        <w:shd w:val="clear" w:color="auto" w:fill="FFFFFF"/>
        <w:spacing w:after="0" w:line="276" w:lineRule="auto"/>
        <w:jc w:val="both"/>
        <w:rPr>
          <w:rFonts w:asciiTheme="majorHAnsi" w:eastAsia="Times New Roman" w:hAnsiTheme="majorHAnsi" w:cstheme="majorHAnsi"/>
          <w:color w:val="212121"/>
          <w:sz w:val="24"/>
          <w:szCs w:val="24"/>
        </w:rPr>
      </w:pPr>
      <w:r w:rsidRPr="0099048D">
        <w:rPr>
          <w:rFonts w:asciiTheme="majorHAnsi" w:hAnsiTheme="majorHAnsi" w:cstheme="majorHAnsi"/>
          <w:b/>
          <w:sz w:val="24"/>
          <w:szCs w:val="24"/>
        </w:rPr>
        <w:t>2.9.</w:t>
      </w:r>
      <w:r w:rsidRPr="0099048D">
        <w:rPr>
          <w:rFonts w:asciiTheme="majorHAnsi" w:hAnsiTheme="majorHAnsi" w:cstheme="majorHAnsi"/>
          <w:sz w:val="24"/>
          <w:szCs w:val="24"/>
        </w:rPr>
        <w:t xml:space="preserve"> </w:t>
      </w:r>
      <w:r w:rsidR="004A3775" w:rsidRPr="0099048D">
        <w:rPr>
          <w:rFonts w:asciiTheme="majorHAnsi" w:hAnsiTheme="majorHAnsi" w:cstheme="majorHAnsi"/>
          <w:sz w:val="24"/>
          <w:szCs w:val="24"/>
        </w:rPr>
        <w:t xml:space="preserve">Valoarea contului 415 „Acțiuni și alte forme de participare în capital în interiorul țării”, care </w:t>
      </w:r>
      <w:r w:rsidR="004A3775" w:rsidRPr="008A1179">
        <w:rPr>
          <w:rFonts w:asciiTheme="majorHAnsi" w:hAnsiTheme="majorHAnsi" w:cstheme="majorHAnsi"/>
          <w:sz w:val="24"/>
          <w:szCs w:val="24"/>
        </w:rPr>
        <w:t>urmează a fi transmis</w:t>
      </w:r>
      <w:r w:rsidR="008A1179" w:rsidRPr="008A1179">
        <w:rPr>
          <w:rFonts w:asciiTheme="majorHAnsi" w:hAnsiTheme="majorHAnsi" w:cstheme="majorHAnsi"/>
          <w:sz w:val="24"/>
          <w:szCs w:val="24"/>
        </w:rPr>
        <w:t>ă</w:t>
      </w:r>
      <w:r w:rsidR="004A3775" w:rsidRPr="0099048D">
        <w:rPr>
          <w:rFonts w:asciiTheme="majorHAnsi" w:hAnsiTheme="majorHAnsi" w:cstheme="majorHAnsi"/>
          <w:sz w:val="24"/>
          <w:szCs w:val="24"/>
        </w:rPr>
        <w:t xml:space="preserve"> de către MEC către MC </w:t>
      </w:r>
      <w:r w:rsidR="00DE0AE8" w:rsidRPr="0099048D">
        <w:rPr>
          <w:rFonts w:asciiTheme="majorHAnsi" w:hAnsiTheme="majorHAnsi" w:cstheme="majorHAnsi"/>
          <w:sz w:val="24"/>
          <w:szCs w:val="24"/>
        </w:rPr>
        <w:t>este d</w:t>
      </w:r>
      <w:r w:rsidR="004A3775" w:rsidRPr="0099048D">
        <w:rPr>
          <w:rFonts w:asciiTheme="majorHAnsi" w:hAnsiTheme="majorHAnsi" w:cstheme="majorHAnsi"/>
          <w:sz w:val="24"/>
          <w:szCs w:val="24"/>
        </w:rPr>
        <w:t>iminua</w:t>
      </w:r>
      <w:r w:rsidR="00DE0AE8" w:rsidRPr="0099048D">
        <w:rPr>
          <w:rFonts w:asciiTheme="majorHAnsi" w:hAnsiTheme="majorHAnsi" w:cstheme="majorHAnsi"/>
          <w:sz w:val="24"/>
          <w:szCs w:val="24"/>
        </w:rPr>
        <w:t>t</w:t>
      </w:r>
      <w:r w:rsidR="008A1179">
        <w:rPr>
          <w:rFonts w:asciiTheme="majorHAnsi" w:hAnsiTheme="majorHAnsi" w:cstheme="majorHAnsi"/>
          <w:sz w:val="24"/>
          <w:szCs w:val="24"/>
        </w:rPr>
        <w:t>ă</w:t>
      </w:r>
      <w:r w:rsidR="00DE0AE8" w:rsidRPr="0099048D">
        <w:rPr>
          <w:rFonts w:asciiTheme="majorHAnsi" w:hAnsiTheme="majorHAnsi" w:cstheme="majorHAnsi"/>
          <w:sz w:val="24"/>
          <w:szCs w:val="24"/>
        </w:rPr>
        <w:t xml:space="preserve"> </w:t>
      </w:r>
      <w:r w:rsidR="004A3775" w:rsidRPr="0099048D">
        <w:rPr>
          <w:rFonts w:asciiTheme="majorHAnsi" w:hAnsiTheme="majorHAnsi" w:cstheme="majorHAnsi"/>
          <w:sz w:val="24"/>
          <w:szCs w:val="24"/>
        </w:rPr>
        <w:t xml:space="preserve">cu </w:t>
      </w:r>
      <w:r w:rsidR="00DE0AE8" w:rsidRPr="0099048D">
        <w:rPr>
          <w:rFonts w:asciiTheme="majorHAnsi" w:hAnsiTheme="majorHAnsi" w:cstheme="majorHAnsi"/>
          <w:sz w:val="24"/>
          <w:szCs w:val="24"/>
        </w:rPr>
        <w:t xml:space="preserve">circa </w:t>
      </w:r>
      <w:r w:rsidR="004272F9" w:rsidRPr="0099048D">
        <w:rPr>
          <w:rFonts w:asciiTheme="majorHAnsi" w:hAnsiTheme="majorHAnsi" w:cstheme="majorHAnsi"/>
          <w:b/>
          <w:i/>
          <w:sz w:val="24"/>
          <w:szCs w:val="24"/>
        </w:rPr>
        <w:t xml:space="preserve">462,52 </w:t>
      </w:r>
      <w:r w:rsidR="004A3775" w:rsidRPr="0099048D">
        <w:rPr>
          <w:rFonts w:asciiTheme="majorHAnsi" w:hAnsiTheme="majorHAnsi" w:cstheme="majorHAnsi"/>
          <w:b/>
          <w:i/>
          <w:sz w:val="24"/>
          <w:szCs w:val="24"/>
        </w:rPr>
        <w:t>mil. lei</w:t>
      </w:r>
      <w:r w:rsidR="004A3775" w:rsidRPr="0099048D">
        <w:rPr>
          <w:rFonts w:asciiTheme="majorHAnsi" w:hAnsiTheme="majorHAnsi" w:cstheme="majorHAnsi"/>
          <w:sz w:val="24"/>
          <w:szCs w:val="24"/>
        </w:rPr>
        <w:t xml:space="preserve">, </w:t>
      </w:r>
      <w:r w:rsidR="003136C8">
        <w:rPr>
          <w:rFonts w:asciiTheme="majorHAnsi" w:hAnsiTheme="majorHAnsi" w:cstheme="majorHAnsi"/>
          <w:sz w:val="24"/>
          <w:szCs w:val="24"/>
        </w:rPr>
        <w:t xml:space="preserve">fapt </w:t>
      </w:r>
      <w:r w:rsidR="004A3775" w:rsidRPr="0099048D">
        <w:rPr>
          <w:rFonts w:asciiTheme="majorHAnsi" w:hAnsiTheme="majorHAnsi" w:cstheme="majorHAnsi"/>
          <w:sz w:val="24"/>
          <w:szCs w:val="24"/>
        </w:rPr>
        <w:t>cauzat</w:t>
      </w:r>
      <w:r w:rsidR="004A3775" w:rsidRPr="0099048D">
        <w:rPr>
          <w:rFonts w:asciiTheme="majorHAnsi" w:eastAsiaTheme="minorEastAsia" w:hAnsiTheme="majorHAnsi" w:cstheme="majorHAnsi"/>
          <w:sz w:val="24"/>
          <w:szCs w:val="24"/>
        </w:rPr>
        <w:t xml:space="preserve"> de </w:t>
      </w:r>
      <w:r w:rsidR="00DE0AE8" w:rsidRPr="0099048D">
        <w:rPr>
          <w:rFonts w:asciiTheme="majorHAnsi" w:eastAsiaTheme="minorEastAsia" w:hAnsiTheme="majorHAnsi" w:cstheme="majorHAnsi"/>
          <w:sz w:val="24"/>
          <w:szCs w:val="24"/>
        </w:rPr>
        <w:t>necapitalizarea investițiilor efectuate în entitățile fondate pe parcursul anilor, nereflect</w:t>
      </w:r>
      <w:r w:rsidR="003136C8">
        <w:rPr>
          <w:rFonts w:asciiTheme="majorHAnsi" w:eastAsiaTheme="minorEastAsia" w:hAnsiTheme="majorHAnsi" w:cstheme="majorHAnsi"/>
          <w:sz w:val="24"/>
          <w:szCs w:val="24"/>
        </w:rPr>
        <w:t>area</w:t>
      </w:r>
      <w:r w:rsidR="00DE0AE8" w:rsidRPr="0099048D">
        <w:rPr>
          <w:rFonts w:asciiTheme="majorHAnsi" w:eastAsiaTheme="minorEastAsia" w:hAnsiTheme="majorHAnsi" w:cstheme="majorHAnsi"/>
          <w:sz w:val="24"/>
          <w:szCs w:val="24"/>
        </w:rPr>
        <w:t xml:space="preserve"> în evidența contabilă a terenurilor și clădirilor proprietate publică din domeniul public etc.</w:t>
      </w:r>
    </w:p>
    <w:p w14:paraId="0973F5F7" w14:textId="77777777" w:rsidR="00155034" w:rsidRPr="00470B67" w:rsidRDefault="00155034">
      <w:pPr>
        <w:widowControl w:val="0"/>
        <w:shd w:val="clear" w:color="auto" w:fill="FFFFFF" w:themeFill="background1"/>
        <w:tabs>
          <w:tab w:val="left" w:pos="0"/>
          <w:tab w:val="left" w:pos="567"/>
          <w:tab w:val="left" w:pos="720"/>
        </w:tabs>
        <w:spacing w:after="60" w:line="276" w:lineRule="auto"/>
        <w:jc w:val="both"/>
        <w:rPr>
          <w:rFonts w:asciiTheme="majorHAnsi" w:eastAsia="Times New Roman" w:hAnsiTheme="majorHAnsi" w:cstheme="majorHAnsi"/>
          <w:b/>
          <w:bCs/>
          <w:sz w:val="16"/>
          <w:szCs w:val="24"/>
        </w:rPr>
      </w:pPr>
    </w:p>
    <w:p w14:paraId="795BDA4C" w14:textId="259FD7CF" w:rsidR="00115509" w:rsidRPr="0099048D" w:rsidRDefault="00115509">
      <w:pPr>
        <w:tabs>
          <w:tab w:val="left" w:pos="720"/>
        </w:tabs>
        <w:spacing w:after="240" w:line="276" w:lineRule="auto"/>
        <w:jc w:val="both"/>
        <w:rPr>
          <w:rFonts w:asciiTheme="majorHAnsi" w:eastAsia="Times New Roman" w:hAnsiTheme="majorHAnsi" w:cstheme="majorHAnsi"/>
          <w:color w:val="000000" w:themeColor="text1"/>
          <w:sz w:val="24"/>
          <w:szCs w:val="24"/>
        </w:rPr>
      </w:pPr>
      <w:r w:rsidRPr="0099048D">
        <w:rPr>
          <w:rFonts w:asciiTheme="majorHAnsi" w:eastAsia="Times New Roman" w:hAnsiTheme="majorHAnsi" w:cstheme="majorHAnsi"/>
          <w:color w:val="000000" w:themeColor="text1"/>
          <w:sz w:val="24"/>
          <w:szCs w:val="24"/>
        </w:rPr>
        <w:t>Am realizat misiunea de audit în conformitate cu Standardele Internaționale ale Instituțiilor Supreme de Audit aplicate de Curtea de Conturi</w:t>
      </w:r>
      <w:r w:rsidRPr="0099048D">
        <w:rPr>
          <w:rStyle w:val="a7"/>
          <w:rFonts w:asciiTheme="majorHAnsi" w:eastAsia="Times New Roman" w:hAnsiTheme="majorHAnsi" w:cstheme="majorHAnsi"/>
          <w:color w:val="000000" w:themeColor="text1"/>
          <w:sz w:val="24"/>
          <w:szCs w:val="24"/>
        </w:rPr>
        <w:footnoteReference w:id="14"/>
      </w:r>
      <w:r w:rsidRPr="0099048D">
        <w:rPr>
          <w:rFonts w:asciiTheme="majorHAnsi" w:eastAsia="Times New Roman" w:hAnsiTheme="majorHAnsi" w:cstheme="majorHAnsi"/>
          <w:color w:val="000000" w:themeColor="text1"/>
          <w:sz w:val="24"/>
          <w:szCs w:val="24"/>
        </w:rPr>
        <w:t xml:space="preserve">. Responsabilitățile noastre, potrivit standardelor respective, sunt expuse în secțiunea </w:t>
      </w:r>
      <w:r w:rsidRPr="0099048D">
        <w:rPr>
          <w:rFonts w:asciiTheme="majorHAnsi" w:eastAsia="Times New Roman" w:hAnsiTheme="majorHAnsi" w:cstheme="majorHAnsi"/>
          <w:i/>
          <w:color w:val="000000" w:themeColor="text1"/>
          <w:sz w:val="24"/>
          <w:szCs w:val="24"/>
        </w:rPr>
        <w:t>Responsabilitățile auditorului într-un audit al situațiilor financiare consolidate</w:t>
      </w:r>
      <w:r w:rsidRPr="0099048D">
        <w:rPr>
          <w:rFonts w:asciiTheme="majorHAnsi" w:eastAsia="Times New Roman" w:hAnsiTheme="majorHAnsi" w:cstheme="majorHAnsi"/>
          <w:color w:val="000000" w:themeColor="text1"/>
          <w:sz w:val="24"/>
          <w:szCs w:val="24"/>
        </w:rPr>
        <w:t xml:space="preserve"> 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53D2A04D" w14:textId="77777777" w:rsidR="00F718EC" w:rsidRPr="0099048D" w:rsidRDefault="00F718EC" w:rsidP="00E92A26">
      <w:pPr>
        <w:numPr>
          <w:ilvl w:val="0"/>
          <w:numId w:val="13"/>
        </w:numPr>
        <w:tabs>
          <w:tab w:val="left" w:pos="720"/>
        </w:tabs>
        <w:spacing w:line="276" w:lineRule="auto"/>
        <w:ind w:left="709"/>
        <w:jc w:val="both"/>
        <w:rPr>
          <w:rFonts w:asciiTheme="majorHAnsi" w:hAnsiTheme="majorHAnsi" w:cstheme="majorHAnsi"/>
          <w:b/>
          <w:bCs/>
          <w:sz w:val="24"/>
          <w:szCs w:val="24"/>
        </w:rPr>
      </w:pPr>
      <w:r w:rsidRPr="0099048D">
        <w:rPr>
          <w:rFonts w:asciiTheme="majorHAnsi" w:hAnsiTheme="majorHAnsi" w:cstheme="majorHAnsi"/>
          <w:b/>
          <w:bCs/>
          <w:sz w:val="24"/>
          <w:szCs w:val="24"/>
        </w:rPr>
        <w:t>PARAGRAF DE EVIDENȚIERE</w:t>
      </w:r>
    </w:p>
    <w:p w14:paraId="525C8C34" w14:textId="6A550F3A" w:rsidR="009A5283" w:rsidRPr="00FF2438" w:rsidRDefault="009A5283" w:rsidP="00AF28C0">
      <w:pPr>
        <w:spacing w:after="60" w:line="276" w:lineRule="auto"/>
        <w:jc w:val="both"/>
        <w:rPr>
          <w:rFonts w:asciiTheme="majorHAnsi" w:hAnsiTheme="majorHAnsi" w:cstheme="majorHAnsi"/>
          <w:sz w:val="24"/>
          <w:szCs w:val="24"/>
        </w:rPr>
      </w:pPr>
      <w:r w:rsidRPr="00B02C00">
        <w:rPr>
          <w:rFonts w:asciiTheme="majorHAnsi" w:hAnsiTheme="majorHAnsi" w:cstheme="majorHAnsi"/>
          <w:sz w:val="24"/>
          <w:szCs w:val="24"/>
        </w:rPr>
        <w:t xml:space="preserve">Atragem atenția că rapoartele financiare ale ministerului sunt un instrument de informare a utilizatorilor rapoartelor financiare cu </w:t>
      </w:r>
      <w:r w:rsidR="00FF2438">
        <w:rPr>
          <w:rFonts w:asciiTheme="majorHAnsi" w:hAnsiTheme="majorHAnsi" w:cstheme="majorHAnsi"/>
          <w:sz w:val="24"/>
          <w:szCs w:val="24"/>
        </w:rPr>
        <w:t>date</w:t>
      </w:r>
      <w:r w:rsidR="00FF2438" w:rsidRPr="00B02C00">
        <w:rPr>
          <w:rFonts w:asciiTheme="majorHAnsi" w:hAnsiTheme="majorHAnsi" w:cstheme="majorHAnsi"/>
          <w:sz w:val="24"/>
          <w:szCs w:val="24"/>
        </w:rPr>
        <w:t xml:space="preserve"> </w:t>
      </w:r>
      <w:r w:rsidRPr="00B02C00">
        <w:rPr>
          <w:rFonts w:asciiTheme="majorHAnsi" w:hAnsiTheme="majorHAnsi" w:cstheme="majorHAnsi"/>
          <w:sz w:val="24"/>
          <w:szCs w:val="24"/>
        </w:rPr>
        <w:t>real</w:t>
      </w:r>
      <w:r w:rsidR="00FF2438">
        <w:rPr>
          <w:rFonts w:asciiTheme="majorHAnsi" w:hAnsiTheme="majorHAnsi" w:cstheme="majorHAnsi"/>
          <w:sz w:val="24"/>
          <w:szCs w:val="24"/>
        </w:rPr>
        <w:t>e</w:t>
      </w:r>
      <w:r w:rsidRPr="00B02C00">
        <w:rPr>
          <w:rFonts w:asciiTheme="majorHAnsi" w:hAnsiTheme="majorHAnsi" w:cstheme="majorHAnsi"/>
          <w:sz w:val="24"/>
          <w:szCs w:val="24"/>
        </w:rPr>
        <w:t>, fidel</w:t>
      </w:r>
      <w:r w:rsidR="00FF2438">
        <w:rPr>
          <w:rFonts w:asciiTheme="majorHAnsi" w:hAnsiTheme="majorHAnsi" w:cstheme="majorHAnsi"/>
          <w:sz w:val="24"/>
          <w:szCs w:val="24"/>
        </w:rPr>
        <w:t>e</w:t>
      </w:r>
      <w:r w:rsidRPr="00B02C00">
        <w:rPr>
          <w:rFonts w:asciiTheme="majorHAnsi" w:hAnsiTheme="majorHAnsi" w:cstheme="majorHAnsi"/>
          <w:sz w:val="24"/>
          <w:szCs w:val="24"/>
        </w:rPr>
        <w:t xml:space="preserve"> și operativ</w:t>
      </w:r>
      <w:r w:rsidR="00FF2438">
        <w:rPr>
          <w:rFonts w:asciiTheme="majorHAnsi" w:hAnsiTheme="majorHAnsi" w:cstheme="majorHAnsi"/>
          <w:sz w:val="24"/>
          <w:szCs w:val="24"/>
        </w:rPr>
        <w:t>e</w:t>
      </w:r>
      <w:r w:rsidRPr="00B02C00">
        <w:rPr>
          <w:rFonts w:asciiTheme="majorHAnsi" w:hAnsiTheme="majorHAnsi" w:cstheme="majorHAnsi"/>
          <w:sz w:val="24"/>
          <w:szCs w:val="24"/>
        </w:rPr>
        <w:t xml:space="preserve"> pentru luarea dec</w:t>
      </w:r>
      <w:r w:rsidRPr="00FF2438">
        <w:rPr>
          <w:rFonts w:asciiTheme="majorHAnsi" w:hAnsiTheme="majorHAnsi" w:cstheme="majorHAnsi"/>
          <w:sz w:val="24"/>
          <w:szCs w:val="24"/>
        </w:rPr>
        <w:t>iziilor și sunt un mijloc de control referitor la activitatea entității. Pentru perioada auditată</w:t>
      </w:r>
      <w:r w:rsidR="00FF2438">
        <w:rPr>
          <w:rFonts w:asciiTheme="majorHAnsi" w:hAnsiTheme="majorHAnsi" w:cstheme="majorHAnsi"/>
          <w:sz w:val="24"/>
          <w:szCs w:val="24"/>
        </w:rPr>
        <w:t>,</w:t>
      </w:r>
      <w:r w:rsidRPr="00FF2438">
        <w:rPr>
          <w:rFonts w:asciiTheme="majorHAnsi" w:hAnsiTheme="majorHAnsi" w:cstheme="majorHAnsi"/>
          <w:sz w:val="24"/>
          <w:szCs w:val="24"/>
        </w:rPr>
        <w:t xml:space="preserve"> soldurile inițiale ale rapoartelor financiare consolidate ale ministerului au fost prezentate la  valoarea zero, </w:t>
      </w:r>
      <w:r w:rsidR="00FF2438">
        <w:rPr>
          <w:rFonts w:asciiTheme="majorHAnsi" w:hAnsiTheme="majorHAnsi" w:cstheme="majorHAnsi"/>
          <w:sz w:val="24"/>
          <w:szCs w:val="24"/>
        </w:rPr>
        <w:t>ca</w:t>
      </w:r>
      <w:r w:rsidRPr="00FF2438">
        <w:rPr>
          <w:rFonts w:asciiTheme="majorHAnsi" w:hAnsiTheme="majorHAnsi" w:cstheme="majorHAnsi"/>
          <w:sz w:val="24"/>
          <w:szCs w:val="24"/>
        </w:rPr>
        <w:t xml:space="preserve"> rezultat bilanțul contabil prin care se apreciază valoarea și structura patrimoniului ministerului nu prezintă informați</w:t>
      </w:r>
      <w:r w:rsidR="00FF2438">
        <w:rPr>
          <w:rFonts w:asciiTheme="majorHAnsi" w:hAnsiTheme="majorHAnsi" w:cstheme="majorHAnsi"/>
          <w:sz w:val="24"/>
          <w:szCs w:val="24"/>
        </w:rPr>
        <w:t>i</w:t>
      </w:r>
      <w:r w:rsidRPr="00FF2438">
        <w:rPr>
          <w:rFonts w:asciiTheme="majorHAnsi" w:hAnsiTheme="majorHAnsi" w:cstheme="majorHAnsi"/>
          <w:sz w:val="24"/>
          <w:szCs w:val="24"/>
        </w:rPr>
        <w:t xml:space="preserve"> financiar</w:t>
      </w:r>
      <w:r w:rsidR="00FF2438">
        <w:rPr>
          <w:rFonts w:asciiTheme="majorHAnsi" w:hAnsiTheme="majorHAnsi" w:cstheme="majorHAnsi"/>
          <w:sz w:val="24"/>
          <w:szCs w:val="24"/>
        </w:rPr>
        <w:t>e</w:t>
      </w:r>
      <w:r w:rsidRPr="00FF2438">
        <w:rPr>
          <w:rFonts w:asciiTheme="majorHAnsi" w:hAnsiTheme="majorHAnsi" w:cstheme="majorHAnsi"/>
          <w:sz w:val="24"/>
          <w:szCs w:val="24"/>
        </w:rPr>
        <w:t xml:space="preserve"> real</w:t>
      </w:r>
      <w:r w:rsidR="00FF2438">
        <w:rPr>
          <w:rFonts w:asciiTheme="majorHAnsi" w:hAnsiTheme="majorHAnsi" w:cstheme="majorHAnsi"/>
          <w:sz w:val="24"/>
          <w:szCs w:val="24"/>
        </w:rPr>
        <w:t>e</w:t>
      </w:r>
      <w:r w:rsidRPr="00FF2438">
        <w:rPr>
          <w:rFonts w:asciiTheme="majorHAnsi" w:hAnsiTheme="majorHAnsi" w:cstheme="majorHAnsi"/>
          <w:sz w:val="24"/>
          <w:szCs w:val="24"/>
        </w:rPr>
        <w:t>, care a stat la baza creării noului minister.</w:t>
      </w:r>
    </w:p>
    <w:p w14:paraId="437B85C0" w14:textId="77777777" w:rsidR="009A5283" w:rsidRPr="00D91CFF" w:rsidRDefault="009A5283" w:rsidP="009A5283">
      <w:pPr>
        <w:spacing w:after="0" w:line="276" w:lineRule="auto"/>
        <w:jc w:val="both"/>
        <w:rPr>
          <w:rFonts w:asciiTheme="majorHAnsi" w:hAnsiTheme="majorHAnsi" w:cstheme="majorHAnsi"/>
          <w:color w:val="333333"/>
          <w:sz w:val="24"/>
          <w:szCs w:val="24"/>
          <w:shd w:val="clear" w:color="auto" w:fill="FFFFFF"/>
        </w:rPr>
      </w:pPr>
      <w:r w:rsidRPr="00D91CFF">
        <w:rPr>
          <w:rFonts w:asciiTheme="majorHAnsi" w:hAnsiTheme="majorHAnsi" w:cstheme="majorHAnsi"/>
          <w:color w:val="000000" w:themeColor="text1"/>
          <w:sz w:val="24"/>
          <w:szCs w:val="24"/>
        </w:rPr>
        <w:t>Opinia nu este modificată din cauza acestui aspect.</w:t>
      </w:r>
    </w:p>
    <w:p w14:paraId="74C6EEF0" w14:textId="77777777" w:rsidR="00F718EC" w:rsidRPr="004A262A" w:rsidRDefault="00E8014F" w:rsidP="00E4457B">
      <w:pPr>
        <w:spacing w:line="276" w:lineRule="auto"/>
        <w:ind w:firstLine="720"/>
        <w:jc w:val="both"/>
        <w:rPr>
          <w:rFonts w:asciiTheme="majorHAnsi" w:eastAsia="Times New Roman" w:hAnsiTheme="majorHAnsi" w:cstheme="majorHAnsi"/>
          <w:b/>
          <w:color w:val="FF0000"/>
          <w:sz w:val="24"/>
          <w:szCs w:val="24"/>
        </w:rPr>
      </w:pPr>
      <w:r w:rsidRPr="0099048D">
        <w:rPr>
          <w:rFonts w:asciiTheme="majorHAnsi" w:eastAsia="Times New Roman" w:hAnsiTheme="majorHAnsi" w:cstheme="majorHAnsi"/>
          <w:b/>
          <w:color w:val="FF0000"/>
          <w:sz w:val="24"/>
          <w:szCs w:val="24"/>
        </w:rPr>
        <w:t xml:space="preserve"> </w:t>
      </w:r>
    </w:p>
    <w:p w14:paraId="0EC96560" w14:textId="77777777" w:rsidR="00370CB4" w:rsidRPr="0099048D" w:rsidRDefault="00F718EC" w:rsidP="00E92A26">
      <w:pPr>
        <w:numPr>
          <w:ilvl w:val="0"/>
          <w:numId w:val="13"/>
        </w:numPr>
        <w:tabs>
          <w:tab w:val="left" w:pos="720"/>
        </w:tabs>
        <w:spacing w:line="276" w:lineRule="auto"/>
        <w:ind w:left="709"/>
        <w:contextualSpacing/>
        <w:jc w:val="both"/>
        <w:rPr>
          <w:rFonts w:asciiTheme="majorHAnsi" w:hAnsiTheme="majorHAnsi" w:cstheme="majorHAnsi"/>
          <w:b/>
          <w:bCs/>
          <w:sz w:val="24"/>
          <w:szCs w:val="24"/>
        </w:rPr>
      </w:pPr>
      <w:r w:rsidRPr="0099048D">
        <w:rPr>
          <w:rFonts w:asciiTheme="majorHAnsi" w:hAnsiTheme="majorHAnsi" w:cstheme="majorHAnsi"/>
          <w:b/>
          <w:bCs/>
          <w:sz w:val="24"/>
          <w:szCs w:val="24"/>
        </w:rPr>
        <w:t>ASPECTE-CHEIE DE AUDIT</w:t>
      </w:r>
    </w:p>
    <w:p w14:paraId="5F42D4D6" w14:textId="17310AAE" w:rsidR="00370CB4" w:rsidRPr="0099048D" w:rsidRDefault="00E74DE3" w:rsidP="00E74DE3">
      <w:pPr>
        <w:spacing w:line="276" w:lineRule="auto"/>
        <w:contextualSpacing/>
        <w:jc w:val="both"/>
        <w:rPr>
          <w:rFonts w:asciiTheme="majorHAnsi" w:hAnsiTheme="majorHAnsi" w:cstheme="majorHAnsi"/>
          <w:sz w:val="24"/>
          <w:szCs w:val="24"/>
        </w:rPr>
      </w:pPr>
      <w:r w:rsidRPr="0099048D">
        <w:rPr>
          <w:rFonts w:asciiTheme="majorHAnsi" w:hAnsiTheme="majorHAnsi" w:cstheme="majorHAnsi"/>
          <w:sz w:val="24"/>
          <w:szCs w:val="24"/>
        </w:rPr>
        <w:t xml:space="preserve">Aspectele-cheie de audit sunt acele aspecte care, în baza raționamentului nostru profesional, au avut cea mai mare importanță pentru auditul rapoartelor financiare ale Ministerului </w:t>
      </w:r>
      <w:r w:rsidR="00C94827" w:rsidRPr="0099048D">
        <w:rPr>
          <w:rFonts w:asciiTheme="majorHAnsi" w:hAnsiTheme="majorHAnsi" w:cstheme="majorHAnsi"/>
          <w:sz w:val="24"/>
          <w:szCs w:val="24"/>
        </w:rPr>
        <w:t>Culturii</w:t>
      </w:r>
      <w:r w:rsidRPr="00AB494E">
        <w:rPr>
          <w:rFonts w:asciiTheme="majorHAnsi" w:hAnsiTheme="majorHAnsi" w:cstheme="majorHAnsi"/>
          <w:sz w:val="24"/>
          <w:szCs w:val="24"/>
        </w:rPr>
        <w:t xml:space="preserve"> încheiate la 31 decembrie 2021. Aceste aspecte au fost abordate în</w:t>
      </w:r>
      <w:r w:rsidRPr="0099048D">
        <w:rPr>
          <w:rFonts w:asciiTheme="majorHAnsi" w:hAnsiTheme="majorHAnsi" w:cstheme="majorHAnsi"/>
          <w:sz w:val="24"/>
          <w:szCs w:val="24"/>
        </w:rPr>
        <w:t xml:space="preserve"> contextul auditului rapoartelor financiare în ansamblu și nu oferim o opinie separată cu privire la acestea. Cu excepția aspect</w:t>
      </w:r>
      <w:r w:rsidR="00783B0C" w:rsidRPr="0099048D">
        <w:rPr>
          <w:rFonts w:asciiTheme="majorHAnsi" w:hAnsiTheme="majorHAnsi" w:cstheme="majorHAnsi"/>
          <w:sz w:val="24"/>
          <w:szCs w:val="24"/>
        </w:rPr>
        <w:t>elor</w:t>
      </w:r>
      <w:r w:rsidRPr="0099048D">
        <w:rPr>
          <w:rFonts w:asciiTheme="majorHAnsi" w:hAnsiTheme="majorHAnsi" w:cstheme="majorHAnsi"/>
          <w:sz w:val="24"/>
          <w:szCs w:val="24"/>
        </w:rPr>
        <w:t xml:space="preserve"> descris</w:t>
      </w:r>
      <w:r w:rsidR="00783B0C" w:rsidRPr="0099048D">
        <w:rPr>
          <w:rFonts w:asciiTheme="majorHAnsi" w:hAnsiTheme="majorHAnsi" w:cstheme="majorHAnsi"/>
          <w:sz w:val="24"/>
          <w:szCs w:val="24"/>
        </w:rPr>
        <w:t>e</w:t>
      </w:r>
      <w:r w:rsidRPr="0099048D">
        <w:rPr>
          <w:rFonts w:asciiTheme="majorHAnsi" w:hAnsiTheme="majorHAnsi" w:cstheme="majorHAnsi"/>
          <w:sz w:val="24"/>
          <w:szCs w:val="24"/>
        </w:rPr>
        <w:t xml:space="preserve"> în secțiunea </w:t>
      </w:r>
      <w:r w:rsidRPr="004A262A">
        <w:rPr>
          <w:rFonts w:asciiTheme="majorHAnsi" w:hAnsiTheme="majorHAnsi" w:cstheme="majorHAnsi"/>
          <w:i/>
          <w:sz w:val="24"/>
          <w:szCs w:val="24"/>
        </w:rPr>
        <w:t xml:space="preserve">Baza pentru opinia </w:t>
      </w:r>
      <w:r w:rsidR="0049405E" w:rsidRPr="004A262A">
        <w:rPr>
          <w:rFonts w:asciiTheme="majorHAnsi" w:hAnsiTheme="majorHAnsi" w:cstheme="majorHAnsi"/>
          <w:i/>
          <w:sz w:val="24"/>
          <w:szCs w:val="24"/>
        </w:rPr>
        <w:t>contrară</w:t>
      </w:r>
      <w:r w:rsidRPr="0099048D">
        <w:rPr>
          <w:rFonts w:asciiTheme="majorHAnsi" w:hAnsiTheme="majorHAnsi" w:cstheme="majorHAnsi"/>
          <w:sz w:val="24"/>
          <w:szCs w:val="24"/>
        </w:rPr>
        <w:t>, am determinat că nu mai există alte aspecte-cheie de audit ce trebuie comunicate în Raportul de audit.</w:t>
      </w:r>
    </w:p>
    <w:p w14:paraId="21EC0217" w14:textId="77777777" w:rsidR="00993438" w:rsidRPr="0099048D" w:rsidRDefault="00993438" w:rsidP="00E74DE3">
      <w:pPr>
        <w:spacing w:line="276" w:lineRule="auto"/>
        <w:contextualSpacing/>
        <w:jc w:val="both"/>
        <w:rPr>
          <w:rFonts w:asciiTheme="majorHAnsi" w:hAnsiTheme="majorHAnsi" w:cstheme="majorHAnsi"/>
          <w:sz w:val="24"/>
          <w:szCs w:val="24"/>
        </w:rPr>
      </w:pPr>
    </w:p>
    <w:p w14:paraId="7618F8DB" w14:textId="77777777" w:rsidR="00F718EC" w:rsidRPr="0099048D" w:rsidRDefault="00F718EC" w:rsidP="00E92A26">
      <w:pPr>
        <w:numPr>
          <w:ilvl w:val="0"/>
          <w:numId w:val="13"/>
        </w:numPr>
        <w:tabs>
          <w:tab w:val="left" w:pos="720"/>
        </w:tabs>
        <w:spacing w:after="60" w:line="276" w:lineRule="auto"/>
        <w:ind w:left="709"/>
        <w:jc w:val="both"/>
        <w:rPr>
          <w:rFonts w:asciiTheme="majorHAnsi" w:hAnsiTheme="majorHAnsi" w:cstheme="majorHAnsi"/>
          <w:b/>
          <w:bCs/>
          <w:sz w:val="24"/>
          <w:szCs w:val="24"/>
        </w:rPr>
      </w:pPr>
      <w:r w:rsidRPr="0099048D">
        <w:rPr>
          <w:rFonts w:asciiTheme="majorHAnsi" w:hAnsiTheme="majorHAnsi" w:cstheme="majorHAnsi"/>
          <w:b/>
          <w:bCs/>
          <w:sz w:val="24"/>
          <w:szCs w:val="24"/>
        </w:rPr>
        <w:t xml:space="preserve">ALTE INFORMAȚII </w:t>
      </w:r>
    </w:p>
    <w:p w14:paraId="370FD4DB" w14:textId="5C361CA1" w:rsidR="00932ED4" w:rsidRPr="0099048D" w:rsidRDefault="00B616AE" w:rsidP="00B20CF3">
      <w:pPr>
        <w:spacing w:after="60" w:line="276" w:lineRule="auto"/>
        <w:rPr>
          <w:rFonts w:asciiTheme="majorHAnsi" w:hAnsiTheme="majorHAnsi" w:cstheme="majorHAnsi"/>
          <w:b/>
          <w:sz w:val="24"/>
          <w:szCs w:val="24"/>
        </w:rPr>
      </w:pPr>
      <w:r w:rsidRPr="0099048D">
        <w:rPr>
          <w:rFonts w:asciiTheme="majorHAnsi" w:hAnsiTheme="majorHAnsi" w:cstheme="majorHAnsi"/>
          <w:b/>
          <w:sz w:val="24"/>
          <w:szCs w:val="24"/>
        </w:rPr>
        <w:t>5</w:t>
      </w:r>
      <w:r w:rsidR="00932ED4" w:rsidRPr="0099048D">
        <w:rPr>
          <w:rFonts w:asciiTheme="majorHAnsi" w:hAnsiTheme="majorHAnsi" w:cstheme="majorHAnsi"/>
          <w:b/>
          <w:sz w:val="24"/>
          <w:szCs w:val="24"/>
        </w:rPr>
        <w:t xml:space="preserve">.1. </w:t>
      </w:r>
      <w:r w:rsidR="001D777B" w:rsidRPr="0099048D">
        <w:rPr>
          <w:rFonts w:asciiTheme="majorHAnsi" w:eastAsia="Times New Roman" w:hAnsiTheme="majorHAnsi" w:cstheme="majorHAnsi"/>
          <w:b/>
          <w:bCs/>
          <w:sz w:val="24"/>
          <w:szCs w:val="24"/>
        </w:rPr>
        <w:t>Deficiențele</w:t>
      </w:r>
      <w:r w:rsidR="001D777B" w:rsidRPr="0099048D">
        <w:rPr>
          <w:rFonts w:asciiTheme="majorHAnsi" w:hAnsiTheme="majorHAnsi" w:cstheme="majorHAnsi"/>
          <w:b/>
          <w:sz w:val="24"/>
          <w:szCs w:val="24"/>
        </w:rPr>
        <w:t xml:space="preserve"> </w:t>
      </w:r>
      <w:r w:rsidR="001D777B" w:rsidRPr="0099048D">
        <w:rPr>
          <w:rFonts w:asciiTheme="majorHAnsi" w:eastAsia="Times New Roman" w:hAnsiTheme="majorHAnsi" w:cstheme="majorHAnsi"/>
          <w:b/>
          <w:bCs/>
          <w:sz w:val="24"/>
          <w:szCs w:val="24"/>
        </w:rPr>
        <w:t>constatate</w:t>
      </w:r>
      <w:r w:rsidR="001D777B" w:rsidRPr="0099048D">
        <w:rPr>
          <w:rFonts w:asciiTheme="majorHAnsi" w:hAnsiTheme="majorHAnsi" w:cstheme="majorHAnsi"/>
          <w:b/>
          <w:sz w:val="24"/>
          <w:szCs w:val="24"/>
        </w:rPr>
        <w:t xml:space="preserve"> l</w:t>
      </w:r>
      <w:r w:rsidR="00A90993" w:rsidRPr="0099048D">
        <w:rPr>
          <w:rFonts w:asciiTheme="majorHAnsi" w:hAnsiTheme="majorHAnsi" w:cstheme="majorHAnsi"/>
          <w:b/>
          <w:sz w:val="24"/>
          <w:szCs w:val="24"/>
        </w:rPr>
        <w:t xml:space="preserve">a </w:t>
      </w:r>
      <w:r w:rsidR="00A90993" w:rsidRPr="0099048D">
        <w:rPr>
          <w:rFonts w:asciiTheme="majorHAnsi" w:eastAsia="Times New Roman" w:hAnsiTheme="majorHAnsi" w:cstheme="majorHAnsi"/>
          <w:b/>
          <w:bCs/>
          <w:sz w:val="24"/>
          <w:szCs w:val="24"/>
        </w:rPr>
        <w:t>r</w:t>
      </w:r>
      <w:r w:rsidR="00932ED4" w:rsidRPr="0099048D">
        <w:rPr>
          <w:rFonts w:asciiTheme="majorHAnsi" w:eastAsia="Times New Roman" w:hAnsiTheme="majorHAnsi" w:cstheme="majorHAnsi"/>
          <w:b/>
          <w:bCs/>
          <w:sz w:val="24"/>
          <w:szCs w:val="24"/>
        </w:rPr>
        <w:t>emunerarea muncii</w:t>
      </w:r>
    </w:p>
    <w:p w14:paraId="7565B397" w14:textId="6142CC1F" w:rsidR="00895376" w:rsidRPr="0099048D" w:rsidRDefault="00895376" w:rsidP="00895376">
      <w:pPr>
        <w:pStyle w:val="a3"/>
        <w:widowControl w:val="0"/>
        <w:numPr>
          <w:ilvl w:val="0"/>
          <w:numId w:val="7"/>
        </w:numPr>
        <w:shd w:val="clear" w:color="auto" w:fill="FFFFFF" w:themeFill="background1"/>
        <w:spacing w:after="60" w:line="276" w:lineRule="auto"/>
        <w:ind w:left="0" w:firstLine="0"/>
        <w:jc w:val="both"/>
        <w:rPr>
          <w:rFonts w:asciiTheme="majorHAnsi" w:eastAsia="Times New Roman" w:hAnsiTheme="majorHAnsi" w:cstheme="majorHAnsi"/>
          <w:bCs/>
          <w:sz w:val="24"/>
          <w:szCs w:val="24"/>
        </w:rPr>
      </w:pPr>
      <w:r w:rsidRPr="0099048D">
        <w:rPr>
          <w:rFonts w:asciiTheme="majorHAnsi" w:eastAsia="Times New Roman" w:hAnsiTheme="majorHAnsi" w:cstheme="majorHAnsi"/>
          <w:sz w:val="24"/>
          <w:szCs w:val="24"/>
        </w:rPr>
        <w:t>Ministerul și unele entități publice subordonate, prin aplicarea eronată a prevederilor normative</w:t>
      </w:r>
      <w:r w:rsidRPr="004A262A">
        <w:rPr>
          <w:rFonts w:asciiTheme="majorHAnsi" w:hAnsiTheme="majorHAnsi" w:cstheme="majorHAnsi"/>
          <w:sz w:val="24"/>
          <w:szCs w:val="24"/>
          <w:vertAlign w:val="superscript"/>
        </w:rPr>
        <w:footnoteReference w:id="15"/>
      </w:r>
      <w:r w:rsidRPr="0099048D">
        <w:rPr>
          <w:rFonts w:asciiTheme="majorHAnsi" w:eastAsia="Times New Roman" w:hAnsiTheme="majorHAnsi" w:cstheme="majorHAnsi"/>
          <w:sz w:val="24"/>
          <w:szCs w:val="24"/>
        </w:rPr>
        <w:t xml:space="preserve">, au acordat drepturi salariale neconforme, peste limitele reglementate, care s-au atribuit la </w:t>
      </w:r>
      <w:r w:rsidRPr="0099048D">
        <w:rPr>
          <w:rFonts w:asciiTheme="majorHAnsi" w:eastAsia="Times New Roman" w:hAnsiTheme="majorHAnsi" w:cstheme="majorHAnsi"/>
          <w:bCs/>
          <w:sz w:val="24"/>
          <w:szCs w:val="24"/>
        </w:rPr>
        <w:t>sporul pentru performanță, premiile unice cu ocazia zilelor de sărbătoare nelucrătoare și sărbătorilor profesionale</w:t>
      </w:r>
      <w:r w:rsidRPr="0099048D">
        <w:rPr>
          <w:rFonts w:asciiTheme="majorHAnsi" w:eastAsia="Times New Roman" w:hAnsiTheme="majorHAnsi" w:cstheme="majorHAnsi"/>
          <w:sz w:val="24"/>
          <w:szCs w:val="24"/>
        </w:rPr>
        <w:t>,</w:t>
      </w:r>
      <w:r w:rsidRPr="00AB494E">
        <w:rPr>
          <w:rFonts w:asciiTheme="majorHAnsi" w:eastAsia="Times New Roman" w:hAnsiTheme="majorHAnsi" w:cstheme="majorHAnsi"/>
          <w:bCs/>
          <w:sz w:val="24"/>
          <w:szCs w:val="24"/>
        </w:rPr>
        <w:t xml:space="preserve"> sporul pentru munca suplimentară depusă în zilele de repaos și sporul pentru participare în proiecte de dezvoltare finanțate din surse externe</w:t>
      </w:r>
      <w:r w:rsidRPr="0099048D">
        <w:rPr>
          <w:rFonts w:asciiTheme="majorHAnsi" w:eastAsia="Times New Roman" w:hAnsiTheme="majorHAnsi" w:cstheme="majorHAnsi"/>
          <w:sz w:val="24"/>
          <w:szCs w:val="24"/>
        </w:rPr>
        <w:t>. Această deficiență a dus la majorarea nejustificată a cheltuielilor destinate pentru remunerarea muncii și la</w:t>
      </w:r>
      <w:r w:rsidRPr="0099048D">
        <w:rPr>
          <w:rFonts w:asciiTheme="majorHAnsi" w:eastAsia="Times New Roman" w:hAnsiTheme="majorHAnsi" w:cstheme="majorHAnsi"/>
          <w:bCs/>
          <w:sz w:val="24"/>
          <w:szCs w:val="24"/>
        </w:rPr>
        <w:t xml:space="preserve"> supraevaluarea valorii contului 211 „Remunerarea muncii” cu suma totală de </w:t>
      </w:r>
      <w:r w:rsidRPr="0099048D">
        <w:rPr>
          <w:rFonts w:asciiTheme="majorHAnsi" w:eastAsia="Times New Roman" w:hAnsiTheme="majorHAnsi" w:cstheme="majorHAnsi"/>
          <w:b/>
          <w:bCs/>
          <w:sz w:val="24"/>
          <w:szCs w:val="24"/>
        </w:rPr>
        <w:t>191,1 mii lei</w:t>
      </w:r>
      <w:r w:rsidRPr="004A262A">
        <w:rPr>
          <w:rFonts w:asciiTheme="majorHAnsi" w:hAnsiTheme="majorHAnsi" w:cstheme="majorHAnsi"/>
          <w:bCs/>
          <w:sz w:val="24"/>
          <w:szCs w:val="24"/>
          <w:vertAlign w:val="superscript"/>
        </w:rPr>
        <w:footnoteReference w:id="16"/>
      </w:r>
      <w:r w:rsidRPr="0099048D">
        <w:rPr>
          <w:rFonts w:asciiTheme="majorHAnsi" w:eastAsia="Times New Roman" w:hAnsiTheme="majorHAnsi" w:cstheme="majorHAnsi"/>
          <w:bCs/>
          <w:sz w:val="24"/>
          <w:szCs w:val="24"/>
        </w:rPr>
        <w:t>.</w:t>
      </w:r>
    </w:p>
    <w:p w14:paraId="59A7A67C" w14:textId="22F5304B" w:rsidR="00D0404A" w:rsidRPr="00ED245F" w:rsidRDefault="00D0404A" w:rsidP="00575EAC">
      <w:pPr>
        <w:pStyle w:val="a3"/>
        <w:widowControl w:val="0"/>
        <w:numPr>
          <w:ilvl w:val="0"/>
          <w:numId w:val="7"/>
        </w:numPr>
        <w:shd w:val="clear" w:color="auto" w:fill="FFFFFF" w:themeFill="background1"/>
        <w:tabs>
          <w:tab w:val="left" w:pos="0"/>
        </w:tabs>
        <w:spacing w:after="60" w:line="276" w:lineRule="auto"/>
        <w:ind w:left="0" w:firstLine="0"/>
        <w:contextualSpacing w:val="0"/>
        <w:jc w:val="both"/>
        <w:rPr>
          <w:rFonts w:asciiTheme="majorHAnsi" w:eastAsia="Times New Roman" w:hAnsiTheme="majorHAnsi" w:cstheme="majorHAnsi"/>
          <w:bCs/>
          <w:sz w:val="24"/>
          <w:szCs w:val="24"/>
        </w:rPr>
      </w:pPr>
      <w:r w:rsidRPr="0099048D">
        <w:rPr>
          <w:rFonts w:asciiTheme="majorHAnsi" w:eastAsia="Times New Roman" w:hAnsiTheme="majorHAnsi" w:cstheme="majorHAnsi"/>
          <w:bCs/>
          <w:sz w:val="24"/>
          <w:szCs w:val="24"/>
        </w:rPr>
        <w:t xml:space="preserve">Valoarea grupei de conturi  211 „Remunerarea muncii” a fost supraevaluată cu suma de </w:t>
      </w:r>
      <w:r w:rsidR="007C2A49" w:rsidRPr="0099048D">
        <w:rPr>
          <w:rFonts w:asciiTheme="majorHAnsi" w:eastAsia="Times New Roman" w:hAnsiTheme="majorHAnsi" w:cstheme="majorHAnsi"/>
          <w:b/>
          <w:bCs/>
          <w:sz w:val="24"/>
          <w:szCs w:val="24"/>
        </w:rPr>
        <w:t>37,3 mii</w:t>
      </w:r>
      <w:r w:rsidRPr="0099048D">
        <w:rPr>
          <w:rFonts w:asciiTheme="majorHAnsi" w:eastAsia="Times New Roman" w:hAnsiTheme="majorHAnsi" w:cstheme="majorHAnsi"/>
          <w:b/>
          <w:bCs/>
          <w:sz w:val="24"/>
          <w:szCs w:val="24"/>
        </w:rPr>
        <w:t xml:space="preserve"> lei</w:t>
      </w:r>
      <w:r w:rsidRPr="0099048D">
        <w:rPr>
          <w:rFonts w:asciiTheme="majorHAnsi" w:eastAsia="Times New Roman" w:hAnsiTheme="majorHAnsi" w:cstheme="majorHAnsi"/>
          <w:bCs/>
          <w:sz w:val="24"/>
          <w:szCs w:val="24"/>
          <w:vertAlign w:val="superscript"/>
        </w:rPr>
        <w:footnoteReference w:id="17"/>
      </w:r>
      <w:r w:rsidRPr="0099048D">
        <w:rPr>
          <w:rFonts w:asciiTheme="majorHAnsi" w:eastAsia="Times New Roman" w:hAnsiTheme="majorHAnsi" w:cstheme="majorHAnsi"/>
          <w:bCs/>
          <w:sz w:val="24"/>
          <w:szCs w:val="24"/>
        </w:rPr>
        <w:t xml:space="preserve">, din cauza neaplicării conforme </w:t>
      </w:r>
      <w:r w:rsidR="00A203A4" w:rsidRPr="0099048D">
        <w:rPr>
          <w:rFonts w:asciiTheme="majorHAnsi" w:eastAsia="Times New Roman" w:hAnsiTheme="majorHAnsi" w:cstheme="majorHAnsi"/>
          <w:bCs/>
          <w:sz w:val="24"/>
          <w:szCs w:val="24"/>
        </w:rPr>
        <w:t xml:space="preserve">de către o entitate bugetară </w:t>
      </w:r>
      <w:r w:rsidRPr="0099048D">
        <w:rPr>
          <w:rFonts w:asciiTheme="majorHAnsi" w:eastAsia="Times New Roman" w:hAnsiTheme="majorHAnsi" w:cstheme="majorHAnsi"/>
          <w:bCs/>
          <w:sz w:val="24"/>
          <w:szCs w:val="24"/>
        </w:rPr>
        <w:t>a regulilor de clasificare și înregistrare</w:t>
      </w:r>
      <w:r w:rsidRPr="0099048D">
        <w:rPr>
          <w:rFonts w:asciiTheme="majorHAnsi" w:eastAsia="Times New Roman" w:hAnsiTheme="majorHAnsi" w:cstheme="majorHAnsi"/>
          <w:bCs/>
          <w:sz w:val="24"/>
          <w:szCs w:val="24"/>
          <w:vertAlign w:val="superscript"/>
        </w:rPr>
        <w:footnoteReference w:id="18"/>
      </w:r>
      <w:r w:rsidRPr="0099048D">
        <w:rPr>
          <w:rFonts w:asciiTheme="majorHAnsi" w:eastAsia="Times New Roman" w:hAnsiTheme="majorHAnsi" w:cstheme="majorHAnsi"/>
          <w:bCs/>
          <w:sz w:val="24"/>
          <w:szCs w:val="24"/>
        </w:rPr>
        <w:t xml:space="preserve"> a tranzacțiilor pentru efectuarea unor lucrări/munci, ceea ce a determinat subevaluarea </w:t>
      </w:r>
      <w:r w:rsidR="006472F9" w:rsidRPr="0099048D">
        <w:rPr>
          <w:rFonts w:asciiTheme="majorHAnsi" w:eastAsia="Times New Roman" w:hAnsiTheme="majorHAnsi" w:cstheme="majorHAnsi"/>
          <w:bCs/>
          <w:sz w:val="24"/>
          <w:szCs w:val="24"/>
        </w:rPr>
        <w:t>subcontul</w:t>
      </w:r>
      <w:r w:rsidR="006472F9" w:rsidRPr="00AB494E">
        <w:rPr>
          <w:rFonts w:asciiTheme="majorHAnsi" w:eastAsia="Times New Roman" w:hAnsiTheme="majorHAnsi" w:cstheme="majorHAnsi"/>
          <w:bCs/>
          <w:sz w:val="24"/>
          <w:szCs w:val="24"/>
        </w:rPr>
        <w:t>ui 281600 „Alte cheltuieli în bază de contracte cu persoane fizice”.</w:t>
      </w:r>
      <w:r w:rsidR="006472F9" w:rsidRPr="00ED245F">
        <w:rPr>
          <w:rFonts w:asciiTheme="majorHAnsi" w:eastAsia="Times New Roman" w:hAnsiTheme="majorHAnsi" w:cstheme="majorHAnsi"/>
          <w:bCs/>
          <w:sz w:val="24"/>
          <w:szCs w:val="24"/>
        </w:rPr>
        <w:t xml:space="preserve"> </w:t>
      </w:r>
    </w:p>
    <w:p w14:paraId="61A26447" w14:textId="3AE23153" w:rsidR="00F6672A" w:rsidRDefault="00B616AE" w:rsidP="00B20CF3">
      <w:pPr>
        <w:spacing w:after="60" w:line="276" w:lineRule="auto"/>
        <w:ind w:left="-52" w:right="-54"/>
        <w:jc w:val="both"/>
        <w:rPr>
          <w:rFonts w:asciiTheme="majorHAnsi" w:hAnsiTheme="majorHAnsi" w:cstheme="majorHAnsi"/>
          <w:sz w:val="24"/>
          <w:szCs w:val="24"/>
        </w:rPr>
      </w:pPr>
      <w:r w:rsidRPr="0099048D">
        <w:rPr>
          <w:rFonts w:asciiTheme="majorHAnsi" w:eastAsia="Times New Roman" w:hAnsiTheme="majorHAnsi" w:cstheme="majorHAnsi"/>
          <w:b/>
          <w:bCs/>
          <w:sz w:val="24"/>
          <w:szCs w:val="24"/>
        </w:rPr>
        <w:t>5</w:t>
      </w:r>
      <w:r w:rsidR="00507A7D" w:rsidRPr="0099048D">
        <w:rPr>
          <w:rFonts w:asciiTheme="majorHAnsi" w:hAnsiTheme="majorHAnsi" w:cstheme="majorHAnsi"/>
          <w:b/>
          <w:sz w:val="24"/>
          <w:szCs w:val="24"/>
        </w:rPr>
        <w:t xml:space="preserve">.3. </w:t>
      </w:r>
      <w:r w:rsidR="00954CE3" w:rsidRPr="0099048D">
        <w:rPr>
          <w:rFonts w:asciiTheme="majorHAnsi" w:hAnsiTheme="majorHAnsi" w:cstheme="majorHAnsi"/>
          <w:sz w:val="24"/>
          <w:szCs w:val="24"/>
        </w:rPr>
        <w:t xml:space="preserve">Neinventarierea și neevaluarea justă </w:t>
      </w:r>
      <w:r w:rsidR="002555D1" w:rsidRPr="0099048D">
        <w:rPr>
          <w:rFonts w:asciiTheme="majorHAnsi" w:hAnsiTheme="majorHAnsi" w:cstheme="majorHAnsi"/>
          <w:sz w:val="24"/>
          <w:szCs w:val="24"/>
        </w:rPr>
        <w:t xml:space="preserve">a stocurilor </w:t>
      </w:r>
      <w:r w:rsidR="00954CE3" w:rsidRPr="0099048D">
        <w:rPr>
          <w:rFonts w:asciiTheme="majorHAnsi" w:hAnsiTheme="majorHAnsi" w:cstheme="majorHAnsi"/>
          <w:sz w:val="24"/>
          <w:szCs w:val="24"/>
        </w:rPr>
        <w:t>de către</w:t>
      </w:r>
      <w:r w:rsidR="00F6672A" w:rsidRPr="0099048D">
        <w:rPr>
          <w:rFonts w:asciiTheme="majorHAnsi" w:hAnsiTheme="majorHAnsi" w:cstheme="majorHAnsi"/>
          <w:sz w:val="24"/>
          <w:szCs w:val="24"/>
        </w:rPr>
        <w:t xml:space="preserve"> o entitate</w:t>
      </w:r>
      <w:r w:rsidR="00F6672A" w:rsidRPr="0099048D">
        <w:rPr>
          <w:rStyle w:val="a7"/>
          <w:rFonts w:asciiTheme="majorHAnsi" w:hAnsiTheme="majorHAnsi" w:cstheme="majorHAnsi"/>
          <w:sz w:val="24"/>
          <w:szCs w:val="24"/>
        </w:rPr>
        <w:footnoteReference w:id="19"/>
      </w:r>
      <w:r w:rsidR="002555D1" w:rsidRPr="0099048D">
        <w:rPr>
          <w:rFonts w:asciiTheme="majorHAnsi" w:hAnsiTheme="majorHAnsi" w:cstheme="majorHAnsi"/>
          <w:sz w:val="24"/>
          <w:szCs w:val="24"/>
        </w:rPr>
        <w:t xml:space="preserve">, a condus la majorarea valorii </w:t>
      </w:r>
      <w:r w:rsidR="0078691F" w:rsidRPr="0099048D">
        <w:rPr>
          <w:rFonts w:asciiTheme="majorHAnsi" w:hAnsiTheme="majorHAnsi" w:cstheme="majorHAnsi"/>
          <w:sz w:val="24"/>
          <w:szCs w:val="24"/>
        </w:rPr>
        <w:t>s</w:t>
      </w:r>
      <w:r w:rsidR="002555D1" w:rsidRPr="0099048D">
        <w:rPr>
          <w:rFonts w:asciiTheme="majorHAnsi" w:hAnsiTheme="majorHAnsi" w:cstheme="majorHAnsi"/>
          <w:sz w:val="24"/>
          <w:szCs w:val="24"/>
        </w:rPr>
        <w:t>tocuri</w:t>
      </w:r>
      <w:r w:rsidR="0078691F" w:rsidRPr="00AB494E">
        <w:rPr>
          <w:rFonts w:asciiTheme="majorHAnsi" w:hAnsiTheme="majorHAnsi" w:cstheme="majorHAnsi"/>
          <w:sz w:val="24"/>
          <w:szCs w:val="24"/>
        </w:rPr>
        <w:t>lor de materiale circulante consumate în perioade</w:t>
      </w:r>
      <w:r w:rsidR="00A203A4">
        <w:rPr>
          <w:rFonts w:asciiTheme="majorHAnsi" w:hAnsiTheme="majorHAnsi" w:cstheme="majorHAnsi"/>
          <w:sz w:val="24"/>
          <w:szCs w:val="24"/>
        </w:rPr>
        <w:t>le</w:t>
      </w:r>
      <w:r w:rsidR="0078691F" w:rsidRPr="00AB494E">
        <w:rPr>
          <w:rFonts w:asciiTheme="majorHAnsi" w:hAnsiTheme="majorHAnsi" w:cstheme="majorHAnsi"/>
          <w:sz w:val="24"/>
          <w:szCs w:val="24"/>
        </w:rPr>
        <w:t xml:space="preserve"> precedente</w:t>
      </w:r>
      <w:r w:rsidR="00A203A4">
        <w:rPr>
          <w:rFonts w:asciiTheme="majorHAnsi" w:hAnsiTheme="majorHAnsi" w:cstheme="majorHAnsi"/>
          <w:sz w:val="24"/>
          <w:szCs w:val="24"/>
        </w:rPr>
        <w:t>,</w:t>
      </w:r>
      <w:r w:rsidR="002555D1" w:rsidRPr="00ED245F">
        <w:rPr>
          <w:rFonts w:asciiTheme="majorHAnsi" w:hAnsiTheme="majorHAnsi" w:cstheme="majorHAnsi"/>
          <w:sz w:val="24"/>
          <w:szCs w:val="24"/>
        </w:rPr>
        <w:t xml:space="preserve"> cu </w:t>
      </w:r>
      <w:r w:rsidR="00F6672A" w:rsidRPr="00ED245F">
        <w:rPr>
          <w:rFonts w:asciiTheme="majorHAnsi" w:hAnsiTheme="majorHAnsi" w:cstheme="majorHAnsi"/>
          <w:sz w:val="24"/>
          <w:szCs w:val="24"/>
        </w:rPr>
        <w:t>38,4 mii lei</w:t>
      </w:r>
      <w:r w:rsidR="00A203A4">
        <w:rPr>
          <w:rFonts w:asciiTheme="majorHAnsi" w:hAnsiTheme="majorHAnsi" w:cstheme="majorHAnsi"/>
          <w:sz w:val="24"/>
          <w:szCs w:val="24"/>
        </w:rPr>
        <w:t>,</w:t>
      </w:r>
      <w:r w:rsidR="00F6672A" w:rsidRPr="00ED245F">
        <w:rPr>
          <w:rFonts w:asciiTheme="majorHAnsi" w:hAnsiTheme="majorHAnsi" w:cstheme="majorHAnsi"/>
          <w:sz w:val="24"/>
          <w:szCs w:val="24"/>
        </w:rPr>
        <w:t xml:space="preserve"> </w:t>
      </w:r>
      <w:r w:rsidR="002555D1" w:rsidRPr="0099048D">
        <w:rPr>
          <w:rFonts w:asciiTheme="majorHAnsi" w:hAnsiTheme="majorHAnsi" w:cstheme="majorHAnsi"/>
          <w:sz w:val="24"/>
          <w:szCs w:val="24"/>
        </w:rPr>
        <w:t xml:space="preserve">și </w:t>
      </w:r>
      <w:r w:rsidR="00A203A4">
        <w:rPr>
          <w:rFonts w:asciiTheme="majorHAnsi" w:hAnsiTheme="majorHAnsi" w:cstheme="majorHAnsi"/>
          <w:sz w:val="24"/>
          <w:szCs w:val="24"/>
        </w:rPr>
        <w:t xml:space="preserve">la </w:t>
      </w:r>
      <w:r w:rsidR="00954CE3" w:rsidRPr="0099048D">
        <w:rPr>
          <w:rFonts w:asciiTheme="majorHAnsi" w:hAnsiTheme="majorHAnsi" w:cstheme="majorHAnsi"/>
          <w:sz w:val="24"/>
          <w:szCs w:val="24"/>
        </w:rPr>
        <w:t xml:space="preserve">neevaluarea </w:t>
      </w:r>
      <w:r w:rsidR="00F6672A" w:rsidRPr="0099048D">
        <w:rPr>
          <w:rFonts w:asciiTheme="majorHAnsi" w:hAnsiTheme="majorHAnsi" w:cstheme="majorHAnsi"/>
          <w:sz w:val="24"/>
          <w:szCs w:val="24"/>
        </w:rPr>
        <w:t>bunuri</w:t>
      </w:r>
      <w:r w:rsidR="00954CE3" w:rsidRPr="0099048D">
        <w:rPr>
          <w:rFonts w:asciiTheme="majorHAnsi" w:hAnsiTheme="majorHAnsi" w:cstheme="majorHAnsi"/>
          <w:sz w:val="24"/>
          <w:szCs w:val="24"/>
        </w:rPr>
        <w:t>lor înregistrate</w:t>
      </w:r>
      <w:r w:rsidR="00F6672A" w:rsidRPr="0099048D">
        <w:rPr>
          <w:rFonts w:asciiTheme="majorHAnsi" w:hAnsiTheme="majorHAnsi" w:cstheme="majorHAnsi"/>
          <w:sz w:val="24"/>
          <w:szCs w:val="24"/>
        </w:rPr>
        <w:t xml:space="preserve"> fără valoare</w:t>
      </w:r>
      <w:r w:rsidR="00A203A4">
        <w:rPr>
          <w:rFonts w:asciiTheme="majorHAnsi" w:hAnsiTheme="majorHAnsi" w:cstheme="majorHAnsi"/>
          <w:sz w:val="24"/>
          <w:szCs w:val="24"/>
        </w:rPr>
        <w:t>,</w:t>
      </w:r>
      <w:r w:rsidR="00F6672A" w:rsidRPr="0099048D">
        <w:rPr>
          <w:rFonts w:asciiTheme="majorHAnsi" w:hAnsiTheme="majorHAnsi" w:cstheme="majorHAnsi"/>
          <w:sz w:val="24"/>
          <w:szCs w:val="24"/>
        </w:rPr>
        <w:t xml:space="preserve"> de 5,5 mii lei</w:t>
      </w:r>
      <w:r w:rsidR="00F426A8" w:rsidRPr="0099048D">
        <w:rPr>
          <w:rFonts w:asciiTheme="majorHAnsi" w:hAnsiTheme="majorHAnsi" w:cstheme="majorHAnsi"/>
          <w:sz w:val="24"/>
          <w:szCs w:val="24"/>
        </w:rPr>
        <w:t>.</w:t>
      </w:r>
    </w:p>
    <w:p w14:paraId="128B15CC" w14:textId="77777777" w:rsidR="00127B57" w:rsidRPr="0099048D" w:rsidRDefault="00127B57" w:rsidP="00993438">
      <w:pPr>
        <w:spacing w:after="60" w:line="276" w:lineRule="auto"/>
        <w:ind w:left="-52" w:right="-54" w:firstLine="412"/>
        <w:jc w:val="both"/>
        <w:rPr>
          <w:rFonts w:asciiTheme="majorHAnsi" w:hAnsiTheme="majorHAnsi" w:cstheme="majorHAnsi"/>
          <w:sz w:val="24"/>
          <w:szCs w:val="24"/>
        </w:rPr>
      </w:pPr>
    </w:p>
    <w:p w14:paraId="5B5B519C" w14:textId="07B007E0" w:rsidR="00F718EC" w:rsidRPr="0099048D" w:rsidRDefault="00F718EC" w:rsidP="00E92A26">
      <w:pPr>
        <w:numPr>
          <w:ilvl w:val="0"/>
          <w:numId w:val="13"/>
        </w:numPr>
        <w:tabs>
          <w:tab w:val="left" w:pos="720"/>
        </w:tabs>
        <w:spacing w:after="120" w:line="276" w:lineRule="auto"/>
        <w:ind w:left="709"/>
        <w:jc w:val="both"/>
        <w:rPr>
          <w:rFonts w:asciiTheme="majorHAnsi" w:hAnsiTheme="majorHAnsi" w:cstheme="majorHAnsi"/>
          <w:b/>
          <w:bCs/>
          <w:sz w:val="24"/>
          <w:szCs w:val="24"/>
        </w:rPr>
      </w:pPr>
      <w:r w:rsidRPr="0099048D">
        <w:rPr>
          <w:rFonts w:asciiTheme="majorHAnsi" w:hAnsiTheme="majorHAnsi" w:cstheme="majorHAnsi"/>
          <w:b/>
          <w:bCs/>
          <w:sz w:val="24"/>
          <w:szCs w:val="24"/>
        </w:rPr>
        <w:t>BUNA GUVERNANȚĂ</w:t>
      </w:r>
    </w:p>
    <w:p w14:paraId="5956C1CF" w14:textId="58E9E74D" w:rsidR="00503DFD" w:rsidRPr="0099048D" w:rsidRDefault="00DF461F" w:rsidP="00B20CF3">
      <w:pPr>
        <w:spacing w:after="120" w:line="276" w:lineRule="auto"/>
        <w:jc w:val="both"/>
        <w:rPr>
          <w:rFonts w:asciiTheme="majorHAnsi" w:hAnsiTheme="majorHAnsi" w:cstheme="majorHAnsi"/>
          <w:sz w:val="24"/>
          <w:szCs w:val="24"/>
        </w:rPr>
      </w:pPr>
      <w:r w:rsidRPr="0099048D">
        <w:rPr>
          <w:rFonts w:asciiTheme="majorHAnsi" w:hAnsiTheme="majorHAnsi" w:cstheme="majorHAnsi"/>
          <w:b/>
          <w:sz w:val="24"/>
          <w:szCs w:val="24"/>
        </w:rPr>
        <w:t>6.1.</w:t>
      </w:r>
      <w:r w:rsidRPr="0099048D">
        <w:rPr>
          <w:rFonts w:asciiTheme="majorHAnsi" w:hAnsiTheme="majorHAnsi" w:cstheme="majorHAnsi"/>
          <w:sz w:val="24"/>
          <w:szCs w:val="24"/>
        </w:rPr>
        <w:t xml:space="preserve"> </w:t>
      </w:r>
      <w:r w:rsidR="00503DFD" w:rsidRPr="00AB494E">
        <w:rPr>
          <w:rFonts w:asciiTheme="majorHAnsi" w:hAnsiTheme="majorHAnsi" w:cstheme="majorHAnsi"/>
          <w:sz w:val="24"/>
          <w:szCs w:val="24"/>
        </w:rPr>
        <w:t xml:space="preserve">HG nr.117 din 12.08.2021 „Cu privire la restructurarea administrației publice centrale de specialitate” a stabilit </w:t>
      </w:r>
      <w:r w:rsidR="007636FA" w:rsidRPr="0099048D">
        <w:rPr>
          <w:rFonts w:asciiTheme="majorHAnsi" w:hAnsiTheme="majorHAnsi" w:cstheme="majorHAnsi"/>
          <w:sz w:val="24"/>
          <w:szCs w:val="24"/>
        </w:rPr>
        <w:t xml:space="preserve">divizarea </w:t>
      </w:r>
      <w:r w:rsidR="00503DFD" w:rsidRPr="0099048D">
        <w:rPr>
          <w:rFonts w:asciiTheme="majorHAnsi" w:hAnsiTheme="majorHAnsi" w:cstheme="majorHAnsi"/>
          <w:sz w:val="24"/>
          <w:szCs w:val="24"/>
        </w:rPr>
        <w:t>MECC în MEC și MC din 01.09.2021. MF a reglementat prin circulare interne modul și termenele de desfășurare a procesului de reorganizare a ministerului. Conform cerințelor stipulate de MF,</w:t>
      </w:r>
      <w:r w:rsidR="00503DFD" w:rsidRPr="0099048D">
        <w:rPr>
          <w:rFonts w:asciiTheme="majorHAnsi" w:eastAsia="Times New Roman" w:hAnsiTheme="majorHAnsi" w:cstheme="majorHAnsi"/>
          <w:sz w:val="24"/>
          <w:szCs w:val="24"/>
          <w:lang w:eastAsia="ru-RU"/>
        </w:rPr>
        <w:t xml:space="preserve"> aparatul central </w:t>
      </w:r>
      <w:r w:rsidR="004723B7">
        <w:rPr>
          <w:rFonts w:asciiTheme="majorHAnsi" w:eastAsia="Times New Roman" w:hAnsiTheme="majorHAnsi" w:cstheme="majorHAnsi"/>
          <w:sz w:val="24"/>
          <w:szCs w:val="24"/>
          <w:lang w:eastAsia="ru-RU"/>
        </w:rPr>
        <w:t xml:space="preserve">al </w:t>
      </w:r>
      <w:r w:rsidR="00503DFD" w:rsidRPr="0099048D">
        <w:rPr>
          <w:rFonts w:asciiTheme="majorHAnsi" w:eastAsia="Times New Roman" w:hAnsiTheme="majorHAnsi" w:cstheme="majorHAnsi"/>
          <w:sz w:val="24"/>
          <w:szCs w:val="24"/>
          <w:lang w:eastAsia="ru-RU"/>
        </w:rPr>
        <w:t xml:space="preserve">MEC trebuia să transmită aparatului central </w:t>
      </w:r>
      <w:r w:rsidR="00C90D99">
        <w:rPr>
          <w:rFonts w:asciiTheme="majorHAnsi" w:eastAsia="Times New Roman" w:hAnsiTheme="majorHAnsi" w:cstheme="majorHAnsi"/>
          <w:sz w:val="24"/>
          <w:szCs w:val="24"/>
          <w:lang w:eastAsia="ru-RU"/>
        </w:rPr>
        <w:t xml:space="preserve">al </w:t>
      </w:r>
      <w:r w:rsidR="00503DFD" w:rsidRPr="0099048D">
        <w:rPr>
          <w:rFonts w:asciiTheme="majorHAnsi" w:eastAsia="Times New Roman" w:hAnsiTheme="majorHAnsi" w:cstheme="majorHAnsi"/>
          <w:sz w:val="24"/>
          <w:szCs w:val="24"/>
          <w:lang w:eastAsia="ru-RU"/>
        </w:rPr>
        <w:t xml:space="preserve">MC activele și pasivele care au trecut în gestiunea MC conform HG </w:t>
      </w:r>
      <w:r w:rsidR="00403BB5" w:rsidRPr="0099048D">
        <w:rPr>
          <w:rFonts w:asciiTheme="majorHAnsi" w:eastAsia="Times New Roman" w:hAnsiTheme="majorHAnsi" w:cstheme="majorHAnsi"/>
          <w:sz w:val="24"/>
          <w:szCs w:val="24"/>
          <w:lang w:eastAsia="ru-RU"/>
        </w:rPr>
        <w:t>nr.</w:t>
      </w:r>
      <w:r w:rsidR="00503DFD" w:rsidRPr="0099048D">
        <w:rPr>
          <w:rFonts w:asciiTheme="majorHAnsi" w:eastAsia="Times New Roman" w:hAnsiTheme="majorHAnsi" w:cstheme="majorHAnsi"/>
          <w:sz w:val="24"/>
          <w:szCs w:val="24"/>
          <w:lang w:eastAsia="ru-RU"/>
        </w:rPr>
        <w:t xml:space="preserve">147/2021, precum și mijloacele fixe care ar fi trebuit să asigure activitatea aparatului central al MC. Persoanele însărcinate cu guvernanța din </w:t>
      </w:r>
      <w:r w:rsidR="00E9676D">
        <w:rPr>
          <w:rFonts w:asciiTheme="majorHAnsi" w:eastAsia="Times New Roman" w:hAnsiTheme="majorHAnsi" w:cstheme="majorHAnsi"/>
          <w:sz w:val="24"/>
          <w:szCs w:val="24"/>
          <w:lang w:eastAsia="ru-RU"/>
        </w:rPr>
        <w:t xml:space="preserve">cadrul </w:t>
      </w:r>
      <w:r w:rsidR="007636FA" w:rsidRPr="0099048D">
        <w:rPr>
          <w:rFonts w:asciiTheme="majorHAnsi" w:eastAsia="Times New Roman" w:hAnsiTheme="majorHAnsi" w:cstheme="majorHAnsi"/>
          <w:sz w:val="24"/>
          <w:szCs w:val="24"/>
          <w:lang w:eastAsia="ru-RU"/>
        </w:rPr>
        <w:t>MEC</w:t>
      </w:r>
      <w:r w:rsidR="00E9676D">
        <w:rPr>
          <w:rFonts w:asciiTheme="majorHAnsi" w:eastAsia="Times New Roman" w:hAnsiTheme="majorHAnsi" w:cstheme="majorHAnsi"/>
          <w:sz w:val="24"/>
          <w:szCs w:val="24"/>
          <w:lang w:eastAsia="ru-RU"/>
        </w:rPr>
        <w:t>,</w:t>
      </w:r>
      <w:r w:rsidR="007636FA" w:rsidRPr="0099048D">
        <w:rPr>
          <w:rFonts w:asciiTheme="majorHAnsi" w:eastAsia="Times New Roman" w:hAnsiTheme="majorHAnsi" w:cstheme="majorHAnsi"/>
          <w:sz w:val="24"/>
          <w:szCs w:val="24"/>
          <w:lang w:eastAsia="ru-RU"/>
        </w:rPr>
        <w:t xml:space="preserve"> </w:t>
      </w:r>
      <w:r w:rsidR="00503DFD" w:rsidRPr="0099048D">
        <w:rPr>
          <w:rFonts w:asciiTheme="majorHAnsi" w:eastAsia="Times New Roman" w:hAnsiTheme="majorHAnsi" w:cstheme="majorHAnsi"/>
          <w:sz w:val="24"/>
          <w:szCs w:val="24"/>
          <w:lang w:eastAsia="ru-RU"/>
        </w:rPr>
        <w:t xml:space="preserve">cât și </w:t>
      </w:r>
      <w:r w:rsidR="00A23F81" w:rsidRPr="0099048D">
        <w:rPr>
          <w:rFonts w:asciiTheme="majorHAnsi" w:eastAsia="Times New Roman" w:hAnsiTheme="majorHAnsi" w:cstheme="majorHAnsi"/>
          <w:sz w:val="24"/>
          <w:szCs w:val="24"/>
          <w:lang w:eastAsia="ru-RU"/>
        </w:rPr>
        <w:t>din</w:t>
      </w:r>
      <w:r w:rsidR="00E9676D">
        <w:rPr>
          <w:rFonts w:asciiTheme="majorHAnsi" w:eastAsia="Times New Roman" w:hAnsiTheme="majorHAnsi" w:cstheme="majorHAnsi"/>
          <w:sz w:val="24"/>
          <w:szCs w:val="24"/>
          <w:lang w:eastAsia="ru-RU"/>
        </w:rPr>
        <w:t xml:space="preserve"> cadrul</w:t>
      </w:r>
      <w:r w:rsidR="00A23F81" w:rsidRPr="0099048D">
        <w:rPr>
          <w:rFonts w:asciiTheme="majorHAnsi" w:eastAsia="Times New Roman" w:hAnsiTheme="majorHAnsi" w:cstheme="majorHAnsi"/>
          <w:sz w:val="24"/>
          <w:szCs w:val="24"/>
          <w:lang w:eastAsia="ru-RU"/>
        </w:rPr>
        <w:t xml:space="preserve"> </w:t>
      </w:r>
      <w:r w:rsidR="007636FA" w:rsidRPr="0099048D">
        <w:rPr>
          <w:rFonts w:asciiTheme="majorHAnsi" w:eastAsia="Times New Roman" w:hAnsiTheme="majorHAnsi" w:cstheme="majorHAnsi"/>
          <w:sz w:val="24"/>
          <w:szCs w:val="24"/>
          <w:lang w:eastAsia="ru-RU"/>
        </w:rPr>
        <w:t>MC</w:t>
      </w:r>
      <w:r w:rsidR="007636FA" w:rsidRPr="0099048D" w:rsidDel="007636FA">
        <w:rPr>
          <w:rFonts w:asciiTheme="majorHAnsi" w:eastAsia="Times New Roman" w:hAnsiTheme="majorHAnsi" w:cstheme="majorHAnsi"/>
          <w:sz w:val="24"/>
          <w:szCs w:val="24"/>
          <w:lang w:eastAsia="ru-RU"/>
        </w:rPr>
        <w:t xml:space="preserve"> </w:t>
      </w:r>
      <w:r w:rsidR="00503DFD" w:rsidRPr="0099048D">
        <w:rPr>
          <w:rFonts w:asciiTheme="majorHAnsi" w:eastAsia="Times New Roman" w:hAnsiTheme="majorHAnsi" w:cstheme="majorHAnsi"/>
          <w:sz w:val="24"/>
          <w:szCs w:val="24"/>
          <w:lang w:eastAsia="ru-RU"/>
        </w:rPr>
        <w:t>nu s-au conformat cerințelor MF care reglementau</w:t>
      </w:r>
      <w:r w:rsidR="00503DFD" w:rsidRPr="0099048D">
        <w:rPr>
          <w:rFonts w:asciiTheme="majorHAnsi" w:hAnsiTheme="majorHAnsi" w:cstheme="majorHAnsi"/>
          <w:sz w:val="24"/>
          <w:szCs w:val="24"/>
        </w:rPr>
        <w:t xml:space="preserve"> aspectele importante de respectat de către managementul APC reorganizate, și anume</w:t>
      </w:r>
      <w:r w:rsidR="00C90D99">
        <w:rPr>
          <w:rFonts w:asciiTheme="majorHAnsi" w:hAnsiTheme="majorHAnsi" w:cstheme="majorHAnsi"/>
          <w:sz w:val="24"/>
          <w:szCs w:val="24"/>
        </w:rPr>
        <w:t>:</w:t>
      </w:r>
      <w:r w:rsidR="00503DFD" w:rsidRPr="0099048D">
        <w:rPr>
          <w:rFonts w:asciiTheme="majorHAnsi" w:hAnsiTheme="majorHAnsi" w:cstheme="majorHAnsi"/>
          <w:sz w:val="24"/>
          <w:szCs w:val="24"/>
        </w:rPr>
        <w:t xml:space="preserve"> nu a fost instituită comisia de restructurare a APC în termene proxime din data intrării în vigoare a HG </w:t>
      </w:r>
      <w:r w:rsidR="00E9676D">
        <w:rPr>
          <w:rFonts w:asciiTheme="majorHAnsi" w:hAnsiTheme="majorHAnsi" w:cstheme="majorHAnsi"/>
          <w:sz w:val="24"/>
          <w:szCs w:val="24"/>
        </w:rPr>
        <w:t>nr.</w:t>
      </w:r>
      <w:r w:rsidR="00503DFD" w:rsidRPr="0099048D">
        <w:rPr>
          <w:rFonts w:asciiTheme="majorHAnsi" w:hAnsiTheme="majorHAnsi" w:cstheme="majorHAnsi"/>
          <w:sz w:val="24"/>
          <w:szCs w:val="24"/>
        </w:rPr>
        <w:t>117</w:t>
      </w:r>
      <w:r w:rsidR="007636FA" w:rsidRPr="0099048D">
        <w:rPr>
          <w:rFonts w:asciiTheme="majorHAnsi" w:hAnsiTheme="majorHAnsi" w:cstheme="majorHAnsi"/>
          <w:sz w:val="24"/>
          <w:szCs w:val="24"/>
        </w:rPr>
        <w:t>/</w:t>
      </w:r>
      <w:r w:rsidR="00503DFD" w:rsidRPr="0099048D">
        <w:rPr>
          <w:rFonts w:asciiTheme="majorHAnsi" w:hAnsiTheme="majorHAnsi" w:cstheme="majorHAnsi"/>
          <w:sz w:val="24"/>
          <w:szCs w:val="24"/>
        </w:rPr>
        <w:t xml:space="preserve">2021, nu a fost efectuată inventarierea patrimoniului și transmiterea activelor și pasivelor până la 30.11.2021, nu au fost transmise activele și pasivele între aparatele centrale </w:t>
      </w:r>
      <w:r w:rsidR="007636FA" w:rsidRPr="0099048D">
        <w:rPr>
          <w:rFonts w:asciiTheme="majorHAnsi" w:hAnsiTheme="majorHAnsi" w:cstheme="majorHAnsi"/>
          <w:sz w:val="24"/>
          <w:szCs w:val="24"/>
        </w:rPr>
        <w:t xml:space="preserve">ale MEC și MC </w:t>
      </w:r>
      <w:r w:rsidR="00DC6749" w:rsidRPr="0099048D">
        <w:rPr>
          <w:rFonts w:asciiTheme="majorHAnsi" w:hAnsiTheme="majorHAnsi" w:cstheme="majorHAnsi"/>
          <w:sz w:val="24"/>
          <w:szCs w:val="24"/>
        </w:rPr>
        <w:t xml:space="preserve">și </w:t>
      </w:r>
      <w:r w:rsidR="007636FA" w:rsidRPr="0099048D">
        <w:rPr>
          <w:rFonts w:asciiTheme="majorHAnsi" w:hAnsiTheme="majorHAnsi" w:cstheme="majorHAnsi"/>
          <w:sz w:val="24"/>
          <w:szCs w:val="24"/>
        </w:rPr>
        <w:t xml:space="preserve">investițiile în </w:t>
      </w:r>
      <w:r w:rsidR="00033A68" w:rsidRPr="0099048D">
        <w:rPr>
          <w:rFonts w:asciiTheme="majorHAnsi" w:hAnsiTheme="majorHAnsi" w:cstheme="majorHAnsi"/>
          <w:sz w:val="24"/>
          <w:szCs w:val="24"/>
        </w:rPr>
        <w:t>instituții</w:t>
      </w:r>
      <w:r w:rsidR="007636FA" w:rsidRPr="0099048D">
        <w:rPr>
          <w:rFonts w:asciiTheme="majorHAnsi" w:hAnsiTheme="majorHAnsi" w:cstheme="majorHAnsi"/>
          <w:sz w:val="24"/>
          <w:szCs w:val="24"/>
        </w:rPr>
        <w:t>le</w:t>
      </w:r>
      <w:r w:rsidR="00DC6749" w:rsidRPr="0099048D">
        <w:rPr>
          <w:rFonts w:asciiTheme="majorHAnsi" w:hAnsiTheme="majorHAnsi" w:cstheme="majorHAnsi"/>
          <w:sz w:val="24"/>
          <w:szCs w:val="24"/>
        </w:rPr>
        <w:t xml:space="preserve"> subordonate</w:t>
      </w:r>
      <w:r w:rsidR="007636FA" w:rsidRPr="0099048D">
        <w:rPr>
          <w:rFonts w:asciiTheme="majorHAnsi" w:hAnsiTheme="majorHAnsi" w:cstheme="majorHAnsi"/>
          <w:sz w:val="24"/>
          <w:szCs w:val="24"/>
        </w:rPr>
        <w:t xml:space="preserve"> fondate</w:t>
      </w:r>
      <w:r w:rsidR="00503DFD" w:rsidRPr="0099048D">
        <w:rPr>
          <w:rFonts w:asciiTheme="majorHAnsi" w:hAnsiTheme="majorHAnsi" w:cstheme="majorHAnsi"/>
          <w:sz w:val="24"/>
          <w:szCs w:val="24"/>
        </w:rPr>
        <w:t xml:space="preserve">. </w:t>
      </w:r>
      <w:r w:rsidR="00C90D99">
        <w:rPr>
          <w:rFonts w:asciiTheme="majorHAnsi" w:hAnsiTheme="majorHAnsi" w:cstheme="majorHAnsi"/>
          <w:sz w:val="24"/>
          <w:szCs w:val="24"/>
        </w:rPr>
        <w:t>Ca</w:t>
      </w:r>
      <w:r w:rsidR="00503DFD" w:rsidRPr="0099048D">
        <w:rPr>
          <w:rFonts w:asciiTheme="majorHAnsi" w:hAnsiTheme="majorHAnsi" w:cstheme="majorHAnsi"/>
          <w:sz w:val="24"/>
          <w:szCs w:val="24"/>
        </w:rPr>
        <w:t xml:space="preserve"> rezultat, a fost perturbat procesul de reorganizare a ministerului și au fost afectate semnificativ rapoartele financiare consolidate ale </w:t>
      </w:r>
      <w:r w:rsidR="00C90D99">
        <w:rPr>
          <w:rFonts w:asciiTheme="majorHAnsi" w:hAnsiTheme="majorHAnsi" w:cstheme="majorHAnsi"/>
          <w:sz w:val="24"/>
          <w:szCs w:val="24"/>
        </w:rPr>
        <w:t>acestuia</w:t>
      </w:r>
      <w:r w:rsidR="00BB24CE" w:rsidRPr="0099048D">
        <w:rPr>
          <w:rFonts w:asciiTheme="majorHAnsi" w:hAnsiTheme="majorHAnsi" w:cstheme="majorHAnsi"/>
          <w:sz w:val="24"/>
          <w:szCs w:val="24"/>
        </w:rPr>
        <w:t>.</w:t>
      </w:r>
    </w:p>
    <w:p w14:paraId="705610DE" w14:textId="7B83421C" w:rsidR="001B3BE6" w:rsidRPr="0099048D" w:rsidRDefault="00DF461F" w:rsidP="00B20CF3">
      <w:pPr>
        <w:spacing w:after="0" w:line="276" w:lineRule="auto"/>
        <w:jc w:val="both"/>
        <w:rPr>
          <w:rFonts w:asciiTheme="majorHAnsi" w:hAnsiTheme="majorHAnsi" w:cstheme="majorHAnsi"/>
          <w:sz w:val="24"/>
          <w:szCs w:val="24"/>
        </w:rPr>
      </w:pPr>
      <w:r w:rsidRPr="0099048D">
        <w:rPr>
          <w:rFonts w:asciiTheme="majorHAnsi" w:hAnsiTheme="majorHAnsi" w:cstheme="majorHAnsi"/>
          <w:b/>
          <w:bCs/>
          <w:sz w:val="24"/>
          <w:szCs w:val="24"/>
        </w:rPr>
        <w:t>6.2.</w:t>
      </w:r>
      <w:r w:rsidRPr="0099048D">
        <w:rPr>
          <w:rFonts w:asciiTheme="majorHAnsi" w:hAnsiTheme="majorHAnsi" w:cstheme="majorHAnsi"/>
          <w:bCs/>
          <w:sz w:val="24"/>
          <w:szCs w:val="24"/>
        </w:rPr>
        <w:t xml:space="preserve"> </w:t>
      </w:r>
      <w:r w:rsidR="00A23F81" w:rsidRPr="0099048D">
        <w:rPr>
          <w:rFonts w:asciiTheme="majorHAnsi" w:hAnsiTheme="majorHAnsi" w:cstheme="majorHAnsi"/>
          <w:bCs/>
          <w:sz w:val="24"/>
          <w:szCs w:val="24"/>
        </w:rPr>
        <w:t>MC</w:t>
      </w:r>
      <w:r w:rsidR="001B3BE6" w:rsidRPr="0099048D">
        <w:rPr>
          <w:rFonts w:asciiTheme="majorHAnsi" w:hAnsiTheme="majorHAnsi" w:cstheme="majorHAnsi"/>
          <w:bCs/>
          <w:sz w:val="24"/>
          <w:szCs w:val="24"/>
        </w:rPr>
        <w:t>,</w:t>
      </w:r>
      <w:r w:rsidR="00503DFD" w:rsidRPr="0099048D">
        <w:rPr>
          <w:rFonts w:asciiTheme="majorHAnsi" w:hAnsiTheme="majorHAnsi" w:cstheme="majorHAnsi"/>
          <w:bCs/>
          <w:sz w:val="24"/>
          <w:szCs w:val="24"/>
        </w:rPr>
        <w:t xml:space="preserve"> </w:t>
      </w:r>
      <w:r w:rsidR="001B3BE6" w:rsidRPr="0099048D">
        <w:rPr>
          <w:rFonts w:asciiTheme="majorHAnsi" w:hAnsiTheme="majorHAnsi" w:cstheme="majorHAnsi"/>
          <w:bCs/>
          <w:sz w:val="24"/>
          <w:szCs w:val="24"/>
        </w:rPr>
        <w:t xml:space="preserve">în perioada auditată, </w:t>
      </w:r>
      <w:r w:rsidR="00703E64" w:rsidRPr="0099048D">
        <w:rPr>
          <w:rFonts w:asciiTheme="majorHAnsi" w:hAnsiTheme="majorHAnsi" w:cstheme="majorHAnsi"/>
          <w:bCs/>
          <w:sz w:val="24"/>
          <w:szCs w:val="24"/>
        </w:rPr>
        <w:t xml:space="preserve">nu s-a conformat cerințelor Legii </w:t>
      </w:r>
      <w:r w:rsidR="00366892">
        <w:rPr>
          <w:rFonts w:asciiTheme="majorHAnsi" w:hAnsiTheme="majorHAnsi" w:cstheme="majorHAnsi"/>
          <w:bCs/>
          <w:sz w:val="24"/>
          <w:szCs w:val="24"/>
        </w:rPr>
        <w:t>nr.</w:t>
      </w:r>
      <w:r w:rsidR="00703E64" w:rsidRPr="0099048D">
        <w:rPr>
          <w:rFonts w:asciiTheme="majorHAnsi" w:hAnsiTheme="majorHAnsi" w:cstheme="majorHAnsi"/>
          <w:bCs/>
          <w:sz w:val="24"/>
          <w:szCs w:val="24"/>
        </w:rPr>
        <w:t xml:space="preserve">229/2010 și </w:t>
      </w:r>
      <w:r w:rsidR="001B3BE6" w:rsidRPr="0099048D">
        <w:rPr>
          <w:rFonts w:asciiTheme="majorHAnsi" w:hAnsiTheme="majorHAnsi" w:cstheme="majorHAnsi"/>
          <w:bCs/>
          <w:sz w:val="24"/>
          <w:szCs w:val="24"/>
        </w:rPr>
        <w:t>nu a instituit acțiuni privind organizarea și implementarea CIM</w:t>
      </w:r>
      <w:r w:rsidR="00703E64" w:rsidRPr="0099048D">
        <w:rPr>
          <w:rFonts w:asciiTheme="majorHAnsi" w:hAnsiTheme="majorHAnsi" w:cstheme="majorHAnsi"/>
          <w:bCs/>
          <w:sz w:val="24"/>
          <w:szCs w:val="24"/>
        </w:rPr>
        <w:t xml:space="preserve"> în cadrul ministerului</w:t>
      </w:r>
      <w:r w:rsidR="001B3BE6" w:rsidRPr="0099048D">
        <w:rPr>
          <w:rFonts w:asciiTheme="majorHAnsi" w:hAnsiTheme="majorHAnsi" w:cstheme="majorHAnsi"/>
          <w:bCs/>
          <w:sz w:val="24"/>
          <w:szCs w:val="24"/>
        </w:rPr>
        <w:t>, astfel:</w:t>
      </w:r>
    </w:p>
    <w:p w14:paraId="30D1F95A" w14:textId="77777777" w:rsidR="001B3BE6" w:rsidRPr="0099048D" w:rsidRDefault="00703E64" w:rsidP="006F2AA6">
      <w:pPr>
        <w:pStyle w:val="a3"/>
        <w:numPr>
          <w:ilvl w:val="0"/>
          <w:numId w:val="5"/>
        </w:numPr>
        <w:spacing w:after="0" w:line="276" w:lineRule="auto"/>
        <w:jc w:val="both"/>
        <w:rPr>
          <w:rFonts w:asciiTheme="majorHAnsi" w:hAnsiTheme="majorHAnsi" w:cstheme="majorHAnsi"/>
          <w:sz w:val="24"/>
          <w:szCs w:val="24"/>
        </w:rPr>
      </w:pPr>
      <w:r w:rsidRPr="0099048D">
        <w:rPr>
          <w:rFonts w:asciiTheme="majorHAnsi" w:hAnsiTheme="majorHAnsi" w:cstheme="majorHAnsi"/>
          <w:bCs/>
          <w:sz w:val="24"/>
          <w:szCs w:val="24"/>
        </w:rPr>
        <w:t>n</w:t>
      </w:r>
      <w:r w:rsidR="008C490B" w:rsidRPr="0099048D">
        <w:rPr>
          <w:rFonts w:asciiTheme="majorHAnsi" w:hAnsiTheme="majorHAnsi" w:cstheme="majorHAnsi"/>
          <w:bCs/>
          <w:sz w:val="24"/>
          <w:szCs w:val="24"/>
        </w:rPr>
        <w:t>u a</w:t>
      </w:r>
      <w:r w:rsidR="007527E0" w:rsidRPr="0099048D">
        <w:rPr>
          <w:rFonts w:asciiTheme="majorHAnsi" w:hAnsiTheme="majorHAnsi" w:cstheme="majorHAnsi"/>
          <w:bCs/>
          <w:sz w:val="24"/>
          <w:szCs w:val="24"/>
        </w:rPr>
        <w:t>u</w:t>
      </w:r>
      <w:r w:rsidR="008C490B" w:rsidRPr="0099048D">
        <w:rPr>
          <w:rFonts w:asciiTheme="majorHAnsi" w:hAnsiTheme="majorHAnsi" w:cstheme="majorHAnsi"/>
          <w:bCs/>
          <w:sz w:val="24"/>
          <w:szCs w:val="24"/>
        </w:rPr>
        <w:t xml:space="preserve"> fost desemnat</w:t>
      </w:r>
      <w:r w:rsidR="00891316" w:rsidRPr="0099048D">
        <w:rPr>
          <w:rFonts w:asciiTheme="majorHAnsi" w:hAnsiTheme="majorHAnsi" w:cstheme="majorHAnsi"/>
          <w:bCs/>
          <w:sz w:val="24"/>
          <w:szCs w:val="24"/>
        </w:rPr>
        <w:t>e</w:t>
      </w:r>
      <w:r w:rsidR="008C490B" w:rsidRPr="0099048D">
        <w:rPr>
          <w:rFonts w:asciiTheme="majorHAnsi" w:hAnsiTheme="majorHAnsi" w:cstheme="majorHAnsi"/>
          <w:bCs/>
          <w:sz w:val="24"/>
          <w:szCs w:val="24"/>
        </w:rPr>
        <w:t xml:space="preserve"> </w:t>
      </w:r>
      <w:r w:rsidR="00CA3FBB" w:rsidRPr="0099048D">
        <w:rPr>
          <w:rFonts w:asciiTheme="majorHAnsi" w:hAnsiTheme="majorHAnsi" w:cstheme="majorHAnsi"/>
          <w:bCs/>
          <w:sz w:val="24"/>
          <w:szCs w:val="24"/>
        </w:rPr>
        <w:t>instrumentele</w:t>
      </w:r>
      <w:r w:rsidR="00891316" w:rsidRPr="0099048D">
        <w:rPr>
          <w:rFonts w:asciiTheme="majorHAnsi" w:hAnsiTheme="majorHAnsi" w:cstheme="majorHAnsi"/>
          <w:bCs/>
          <w:sz w:val="24"/>
          <w:szCs w:val="24"/>
        </w:rPr>
        <w:t xml:space="preserve"> importante ale etapei de organizare a sistemului CIM: coordonatorul sistemului CIM și</w:t>
      </w:r>
      <w:r w:rsidR="008C490B" w:rsidRPr="0099048D">
        <w:rPr>
          <w:rFonts w:asciiTheme="majorHAnsi" w:hAnsiTheme="majorHAnsi" w:cstheme="majorHAnsi"/>
          <w:bCs/>
          <w:sz w:val="24"/>
          <w:szCs w:val="24"/>
        </w:rPr>
        <w:t xml:space="preserve"> Grupul de lucr</w:t>
      </w:r>
      <w:r w:rsidR="001B3BE6" w:rsidRPr="0099048D">
        <w:rPr>
          <w:rFonts w:asciiTheme="majorHAnsi" w:hAnsiTheme="majorHAnsi" w:cstheme="majorHAnsi"/>
          <w:bCs/>
          <w:sz w:val="24"/>
          <w:szCs w:val="24"/>
        </w:rPr>
        <w:t>u;</w:t>
      </w:r>
    </w:p>
    <w:p w14:paraId="0257D055" w14:textId="0C11C5C7" w:rsidR="001B3BE6" w:rsidRPr="0099048D" w:rsidRDefault="001B3BE6" w:rsidP="006F2AA6">
      <w:pPr>
        <w:pStyle w:val="a3"/>
        <w:numPr>
          <w:ilvl w:val="0"/>
          <w:numId w:val="5"/>
        </w:numPr>
        <w:spacing w:after="0" w:line="276" w:lineRule="auto"/>
        <w:jc w:val="both"/>
        <w:rPr>
          <w:rFonts w:asciiTheme="majorHAnsi" w:hAnsiTheme="majorHAnsi" w:cstheme="majorHAnsi"/>
          <w:sz w:val="24"/>
          <w:szCs w:val="24"/>
        </w:rPr>
      </w:pPr>
      <w:r w:rsidRPr="0099048D">
        <w:rPr>
          <w:rFonts w:asciiTheme="majorHAnsi" w:hAnsiTheme="majorHAnsi" w:cstheme="majorHAnsi"/>
          <w:bCs/>
          <w:sz w:val="24"/>
          <w:szCs w:val="24"/>
        </w:rPr>
        <w:t>n</w:t>
      </w:r>
      <w:r w:rsidR="008C490B" w:rsidRPr="0099048D">
        <w:rPr>
          <w:rFonts w:asciiTheme="majorHAnsi" w:hAnsiTheme="majorHAnsi" w:cstheme="majorHAnsi"/>
          <w:bCs/>
          <w:sz w:val="24"/>
          <w:szCs w:val="24"/>
        </w:rPr>
        <w:t xml:space="preserve">u a fost </w:t>
      </w:r>
      <w:r w:rsidR="00366892">
        <w:rPr>
          <w:rFonts w:asciiTheme="majorHAnsi" w:hAnsiTheme="majorHAnsi" w:cstheme="majorHAnsi"/>
          <w:bCs/>
          <w:sz w:val="24"/>
          <w:szCs w:val="24"/>
        </w:rPr>
        <w:t>instituit</w:t>
      </w:r>
      <w:r w:rsidR="00366892" w:rsidRPr="0099048D">
        <w:rPr>
          <w:rFonts w:asciiTheme="majorHAnsi" w:hAnsiTheme="majorHAnsi" w:cstheme="majorHAnsi"/>
          <w:bCs/>
          <w:sz w:val="24"/>
          <w:szCs w:val="24"/>
        </w:rPr>
        <w:t xml:space="preserve"> </w:t>
      </w:r>
      <w:r w:rsidR="008C490B" w:rsidRPr="0099048D">
        <w:rPr>
          <w:rFonts w:asciiTheme="majorHAnsi" w:hAnsiTheme="majorHAnsi" w:cstheme="majorHAnsi"/>
          <w:bCs/>
          <w:sz w:val="24"/>
          <w:szCs w:val="24"/>
        </w:rPr>
        <w:t xml:space="preserve">Registrul </w:t>
      </w:r>
      <w:r w:rsidR="00403BB5" w:rsidRPr="0099048D">
        <w:rPr>
          <w:rFonts w:asciiTheme="majorHAnsi" w:hAnsiTheme="majorHAnsi" w:cstheme="majorHAnsi"/>
          <w:bCs/>
          <w:sz w:val="24"/>
          <w:szCs w:val="24"/>
        </w:rPr>
        <w:t>riscurilor</w:t>
      </w:r>
      <w:r w:rsidR="00366892">
        <w:rPr>
          <w:rFonts w:asciiTheme="majorHAnsi" w:hAnsiTheme="majorHAnsi" w:cstheme="majorHAnsi"/>
          <w:bCs/>
          <w:sz w:val="24"/>
          <w:szCs w:val="24"/>
        </w:rPr>
        <w:t>,</w:t>
      </w:r>
      <w:r w:rsidR="00403BB5" w:rsidRPr="0099048D">
        <w:rPr>
          <w:rFonts w:asciiTheme="majorHAnsi" w:hAnsiTheme="majorHAnsi" w:cstheme="majorHAnsi"/>
          <w:bCs/>
          <w:sz w:val="24"/>
          <w:szCs w:val="24"/>
        </w:rPr>
        <w:t xml:space="preserve"> </w:t>
      </w:r>
      <w:r w:rsidR="008C490B" w:rsidRPr="0099048D">
        <w:rPr>
          <w:rFonts w:asciiTheme="majorHAnsi" w:hAnsiTheme="majorHAnsi" w:cstheme="majorHAnsi"/>
          <w:bCs/>
          <w:sz w:val="24"/>
          <w:szCs w:val="24"/>
        </w:rPr>
        <w:t>care să cuprindă identificarea, ev</w:t>
      </w:r>
      <w:r w:rsidR="007527E0" w:rsidRPr="0099048D">
        <w:rPr>
          <w:rFonts w:asciiTheme="majorHAnsi" w:hAnsiTheme="majorHAnsi" w:cstheme="majorHAnsi"/>
          <w:bCs/>
          <w:sz w:val="24"/>
          <w:szCs w:val="24"/>
        </w:rPr>
        <w:t>aluarea, m</w:t>
      </w:r>
      <w:r w:rsidR="00366892">
        <w:rPr>
          <w:rFonts w:asciiTheme="majorHAnsi" w:hAnsiTheme="majorHAnsi" w:cstheme="majorHAnsi"/>
          <w:bCs/>
          <w:sz w:val="24"/>
          <w:szCs w:val="24"/>
        </w:rPr>
        <w:t>ă</w:t>
      </w:r>
      <w:r w:rsidR="007527E0" w:rsidRPr="0099048D">
        <w:rPr>
          <w:rFonts w:asciiTheme="majorHAnsi" w:hAnsiTheme="majorHAnsi" w:cstheme="majorHAnsi"/>
          <w:bCs/>
          <w:sz w:val="24"/>
          <w:szCs w:val="24"/>
        </w:rPr>
        <w:t>surile de prevenire a riscurilor</w:t>
      </w:r>
      <w:r w:rsidR="00D455C8" w:rsidRPr="0099048D">
        <w:rPr>
          <w:rFonts w:asciiTheme="majorHAnsi" w:hAnsiTheme="majorHAnsi" w:cstheme="majorHAnsi"/>
          <w:bCs/>
          <w:sz w:val="24"/>
          <w:szCs w:val="24"/>
        </w:rPr>
        <w:t xml:space="preserve"> (elaborat pentru anul 2022)</w:t>
      </w:r>
      <w:r w:rsidR="00E62944" w:rsidRPr="0099048D">
        <w:rPr>
          <w:rFonts w:asciiTheme="majorHAnsi" w:hAnsiTheme="majorHAnsi" w:cstheme="majorHAnsi"/>
          <w:bCs/>
          <w:sz w:val="24"/>
          <w:szCs w:val="24"/>
        </w:rPr>
        <w:t>. N</w:t>
      </w:r>
      <w:r w:rsidR="007527E0" w:rsidRPr="0099048D">
        <w:rPr>
          <w:rFonts w:asciiTheme="majorHAnsi" w:hAnsiTheme="majorHAnsi" w:cstheme="majorHAnsi"/>
          <w:bCs/>
          <w:sz w:val="24"/>
          <w:szCs w:val="24"/>
        </w:rPr>
        <w:t>u au fost identifica</w:t>
      </w:r>
      <w:r w:rsidR="00366892">
        <w:rPr>
          <w:rFonts w:asciiTheme="majorHAnsi" w:hAnsiTheme="majorHAnsi" w:cstheme="majorHAnsi"/>
          <w:bCs/>
          <w:sz w:val="24"/>
          <w:szCs w:val="24"/>
        </w:rPr>
        <w:t>t</w:t>
      </w:r>
      <w:r w:rsidR="007527E0" w:rsidRPr="0099048D">
        <w:rPr>
          <w:rFonts w:asciiTheme="majorHAnsi" w:hAnsiTheme="majorHAnsi" w:cstheme="majorHAnsi"/>
          <w:bCs/>
          <w:sz w:val="24"/>
          <w:szCs w:val="24"/>
        </w:rPr>
        <w:t>e riscurile de fraudă și corupție</w:t>
      </w:r>
      <w:r w:rsidR="00366892">
        <w:rPr>
          <w:rFonts w:asciiTheme="majorHAnsi" w:hAnsiTheme="majorHAnsi" w:cstheme="majorHAnsi"/>
          <w:bCs/>
          <w:sz w:val="24"/>
          <w:szCs w:val="24"/>
        </w:rPr>
        <w:t>;</w:t>
      </w:r>
    </w:p>
    <w:p w14:paraId="7DE01029" w14:textId="30F1A32B" w:rsidR="001B3BE6" w:rsidRPr="0099048D" w:rsidRDefault="00703E64" w:rsidP="006F2AA6">
      <w:pPr>
        <w:pStyle w:val="a3"/>
        <w:numPr>
          <w:ilvl w:val="0"/>
          <w:numId w:val="5"/>
        </w:numPr>
        <w:spacing w:after="0" w:line="276" w:lineRule="auto"/>
        <w:jc w:val="both"/>
        <w:rPr>
          <w:rFonts w:asciiTheme="majorHAnsi" w:hAnsiTheme="majorHAnsi" w:cstheme="majorHAnsi"/>
          <w:sz w:val="24"/>
          <w:szCs w:val="24"/>
        </w:rPr>
      </w:pPr>
      <w:r w:rsidRPr="0099048D">
        <w:rPr>
          <w:rFonts w:asciiTheme="majorHAnsi" w:hAnsiTheme="majorHAnsi" w:cstheme="majorHAnsi"/>
          <w:bCs/>
          <w:sz w:val="24"/>
          <w:szCs w:val="24"/>
        </w:rPr>
        <w:t>n</w:t>
      </w:r>
      <w:r w:rsidR="008C490B" w:rsidRPr="0099048D">
        <w:rPr>
          <w:rFonts w:asciiTheme="majorHAnsi" w:hAnsiTheme="majorHAnsi" w:cstheme="majorHAnsi"/>
          <w:bCs/>
          <w:sz w:val="24"/>
          <w:szCs w:val="24"/>
        </w:rPr>
        <w:t>u au fost descrise procesele financiar</w:t>
      </w:r>
      <w:r w:rsidR="00366892">
        <w:rPr>
          <w:rFonts w:asciiTheme="majorHAnsi" w:hAnsiTheme="majorHAnsi" w:cstheme="majorHAnsi"/>
          <w:bCs/>
          <w:sz w:val="24"/>
          <w:szCs w:val="24"/>
        </w:rPr>
        <w:t>-</w:t>
      </w:r>
      <w:r w:rsidR="008C490B" w:rsidRPr="0099048D">
        <w:rPr>
          <w:rFonts w:asciiTheme="majorHAnsi" w:hAnsiTheme="majorHAnsi" w:cstheme="majorHAnsi"/>
          <w:bCs/>
          <w:sz w:val="24"/>
          <w:szCs w:val="24"/>
        </w:rPr>
        <w:t>contabile</w:t>
      </w:r>
      <w:r w:rsidR="00891316" w:rsidRPr="0099048D">
        <w:rPr>
          <w:rFonts w:asciiTheme="majorHAnsi" w:hAnsiTheme="majorHAnsi" w:cstheme="majorHAnsi"/>
          <w:bCs/>
          <w:sz w:val="24"/>
          <w:szCs w:val="24"/>
        </w:rPr>
        <w:t xml:space="preserve">, procesul de consolidare a rapoartelor financiare și procesul de </w:t>
      </w:r>
      <w:r w:rsidR="00366892">
        <w:rPr>
          <w:rFonts w:asciiTheme="majorHAnsi" w:hAnsiTheme="majorHAnsi" w:cstheme="majorHAnsi"/>
          <w:bCs/>
          <w:sz w:val="24"/>
          <w:szCs w:val="24"/>
        </w:rPr>
        <w:t>stocare</w:t>
      </w:r>
      <w:r w:rsidR="00366892" w:rsidRPr="0099048D">
        <w:rPr>
          <w:rFonts w:asciiTheme="majorHAnsi" w:hAnsiTheme="majorHAnsi" w:cstheme="majorHAnsi"/>
          <w:bCs/>
          <w:sz w:val="24"/>
          <w:szCs w:val="24"/>
        </w:rPr>
        <w:t xml:space="preserve"> </w:t>
      </w:r>
      <w:r w:rsidR="00891316" w:rsidRPr="0099048D">
        <w:rPr>
          <w:rFonts w:asciiTheme="majorHAnsi" w:hAnsiTheme="majorHAnsi" w:cstheme="majorHAnsi"/>
          <w:bCs/>
          <w:sz w:val="24"/>
          <w:szCs w:val="24"/>
        </w:rPr>
        <w:t>a rapoartelor financiare în SI CNFD</w:t>
      </w:r>
      <w:r w:rsidR="00366892">
        <w:rPr>
          <w:rFonts w:asciiTheme="majorHAnsi" w:hAnsiTheme="majorHAnsi" w:cstheme="majorHAnsi"/>
          <w:bCs/>
          <w:sz w:val="24"/>
          <w:szCs w:val="24"/>
        </w:rPr>
        <w:t>;</w:t>
      </w:r>
    </w:p>
    <w:p w14:paraId="17D8F973" w14:textId="410D65B0" w:rsidR="001B3BE6" w:rsidRPr="0099048D" w:rsidRDefault="00703E64" w:rsidP="006F2AA6">
      <w:pPr>
        <w:pStyle w:val="a3"/>
        <w:numPr>
          <w:ilvl w:val="0"/>
          <w:numId w:val="5"/>
        </w:numPr>
        <w:spacing w:after="0" w:line="276" w:lineRule="auto"/>
        <w:jc w:val="both"/>
        <w:rPr>
          <w:rFonts w:asciiTheme="majorHAnsi" w:hAnsiTheme="majorHAnsi" w:cstheme="majorHAnsi"/>
          <w:sz w:val="24"/>
          <w:szCs w:val="24"/>
        </w:rPr>
      </w:pPr>
      <w:r w:rsidRPr="0099048D">
        <w:rPr>
          <w:rFonts w:asciiTheme="majorHAnsi" w:hAnsiTheme="majorHAnsi" w:cstheme="majorHAnsi"/>
          <w:bCs/>
          <w:sz w:val="24"/>
          <w:szCs w:val="24"/>
        </w:rPr>
        <w:t>î</w:t>
      </w:r>
      <w:r w:rsidR="00CA3FBB" w:rsidRPr="0099048D">
        <w:rPr>
          <w:rFonts w:asciiTheme="majorHAnsi" w:hAnsiTheme="majorHAnsi" w:cstheme="majorHAnsi"/>
          <w:bCs/>
          <w:sz w:val="24"/>
          <w:szCs w:val="24"/>
        </w:rPr>
        <w:t>n cadrul ministerului nu este elaborat și apro</w:t>
      </w:r>
      <w:r w:rsidR="00E62944" w:rsidRPr="0099048D">
        <w:rPr>
          <w:rFonts w:asciiTheme="majorHAnsi" w:hAnsiTheme="majorHAnsi" w:cstheme="majorHAnsi"/>
          <w:bCs/>
          <w:sz w:val="24"/>
          <w:szCs w:val="24"/>
        </w:rPr>
        <w:t>bat Cod</w:t>
      </w:r>
      <w:r w:rsidR="001B3BE6" w:rsidRPr="0099048D">
        <w:rPr>
          <w:rFonts w:asciiTheme="majorHAnsi" w:hAnsiTheme="majorHAnsi" w:cstheme="majorHAnsi"/>
          <w:bCs/>
          <w:sz w:val="24"/>
          <w:szCs w:val="24"/>
        </w:rPr>
        <w:t xml:space="preserve">ul de </w:t>
      </w:r>
      <w:r w:rsidR="00366892">
        <w:rPr>
          <w:rFonts w:asciiTheme="majorHAnsi" w:hAnsiTheme="majorHAnsi" w:cstheme="majorHAnsi"/>
          <w:bCs/>
          <w:sz w:val="24"/>
          <w:szCs w:val="24"/>
        </w:rPr>
        <w:t>e</w:t>
      </w:r>
      <w:r w:rsidR="001B3BE6" w:rsidRPr="0099048D">
        <w:rPr>
          <w:rFonts w:asciiTheme="majorHAnsi" w:hAnsiTheme="majorHAnsi" w:cstheme="majorHAnsi"/>
          <w:bCs/>
          <w:sz w:val="24"/>
          <w:szCs w:val="24"/>
        </w:rPr>
        <w:t>tică</w:t>
      </w:r>
      <w:r w:rsidR="00403BB5" w:rsidRPr="0099048D">
        <w:rPr>
          <w:rFonts w:asciiTheme="majorHAnsi" w:hAnsiTheme="majorHAnsi" w:cstheme="majorHAnsi"/>
          <w:bCs/>
          <w:sz w:val="24"/>
          <w:szCs w:val="24"/>
        </w:rPr>
        <w:t>.</w:t>
      </w:r>
    </w:p>
    <w:p w14:paraId="79E66141" w14:textId="0B7C082D" w:rsidR="003A4070" w:rsidRPr="0099048D" w:rsidRDefault="001B3BE6" w:rsidP="00085251">
      <w:pPr>
        <w:spacing w:after="120" w:line="276" w:lineRule="auto"/>
        <w:jc w:val="both"/>
        <w:rPr>
          <w:rFonts w:asciiTheme="majorHAnsi" w:hAnsiTheme="majorHAnsi" w:cstheme="majorHAnsi"/>
          <w:bCs/>
          <w:sz w:val="24"/>
          <w:szCs w:val="24"/>
        </w:rPr>
      </w:pPr>
      <w:r w:rsidRPr="0099048D">
        <w:rPr>
          <w:rFonts w:asciiTheme="majorHAnsi" w:hAnsiTheme="majorHAnsi" w:cstheme="majorHAnsi"/>
          <w:bCs/>
          <w:sz w:val="24"/>
          <w:szCs w:val="24"/>
        </w:rPr>
        <w:t xml:space="preserve">Desemnarea coordonatorului CIM prin Ordinul ministrului </w:t>
      </w:r>
      <w:r w:rsidR="00366892">
        <w:rPr>
          <w:rFonts w:asciiTheme="majorHAnsi" w:hAnsiTheme="majorHAnsi" w:cstheme="majorHAnsi"/>
          <w:bCs/>
          <w:sz w:val="24"/>
          <w:szCs w:val="24"/>
        </w:rPr>
        <w:t>C</w:t>
      </w:r>
      <w:r w:rsidRPr="0099048D">
        <w:rPr>
          <w:rFonts w:asciiTheme="majorHAnsi" w:hAnsiTheme="majorHAnsi" w:cstheme="majorHAnsi"/>
          <w:bCs/>
          <w:sz w:val="24"/>
          <w:szCs w:val="24"/>
        </w:rPr>
        <w:t>ulturii nr.21 din 24.01.2022 a fost punctul de pornire în documentarea implementării CIM în cadrul ministerului. Prin urmare,</w:t>
      </w:r>
      <w:r w:rsidRPr="0099048D">
        <w:rPr>
          <w:rFonts w:asciiTheme="majorHAnsi" w:hAnsiTheme="majorHAnsi" w:cstheme="majorHAnsi"/>
          <w:sz w:val="24"/>
          <w:szCs w:val="24"/>
        </w:rPr>
        <w:t xml:space="preserve"> m</w:t>
      </w:r>
      <w:r w:rsidR="00703E64" w:rsidRPr="0099048D">
        <w:rPr>
          <w:rFonts w:asciiTheme="majorHAnsi" w:hAnsiTheme="majorHAnsi" w:cstheme="majorHAnsi"/>
          <w:bCs/>
          <w:sz w:val="24"/>
          <w:szCs w:val="24"/>
        </w:rPr>
        <w:t xml:space="preserve">inisterul trebuie </w:t>
      </w:r>
      <w:r w:rsidR="003A4070" w:rsidRPr="0099048D">
        <w:rPr>
          <w:rFonts w:asciiTheme="majorHAnsi" w:hAnsiTheme="majorHAnsi" w:cstheme="majorHAnsi"/>
          <w:bCs/>
          <w:sz w:val="24"/>
          <w:szCs w:val="24"/>
        </w:rPr>
        <w:t>să evalueze activi</w:t>
      </w:r>
      <w:r w:rsidR="00703E64" w:rsidRPr="0099048D">
        <w:rPr>
          <w:rFonts w:asciiTheme="majorHAnsi" w:hAnsiTheme="majorHAnsi" w:cstheme="majorHAnsi"/>
          <w:bCs/>
          <w:sz w:val="24"/>
          <w:szCs w:val="24"/>
        </w:rPr>
        <w:t>tatea tuturor componentelor CIM,</w:t>
      </w:r>
      <w:r w:rsidR="003A4070" w:rsidRPr="0099048D">
        <w:rPr>
          <w:rFonts w:asciiTheme="majorHAnsi" w:hAnsiTheme="majorHAnsi" w:cstheme="majorHAnsi"/>
          <w:bCs/>
          <w:sz w:val="24"/>
          <w:szCs w:val="24"/>
        </w:rPr>
        <w:t xml:space="preserve"> să identifice și </w:t>
      </w:r>
      <w:r w:rsidR="00A23F81" w:rsidRPr="0099048D">
        <w:rPr>
          <w:rFonts w:asciiTheme="majorHAnsi" w:hAnsiTheme="majorHAnsi" w:cstheme="majorHAnsi"/>
          <w:bCs/>
          <w:sz w:val="24"/>
          <w:szCs w:val="24"/>
        </w:rPr>
        <w:t xml:space="preserve">să </w:t>
      </w:r>
      <w:r w:rsidR="003A4070" w:rsidRPr="0099048D">
        <w:rPr>
          <w:rFonts w:asciiTheme="majorHAnsi" w:hAnsiTheme="majorHAnsi" w:cstheme="majorHAnsi"/>
          <w:bCs/>
          <w:sz w:val="24"/>
          <w:szCs w:val="24"/>
        </w:rPr>
        <w:t>analizeze punctele slab</w:t>
      </w:r>
      <w:r w:rsidR="00703E64" w:rsidRPr="0099048D">
        <w:rPr>
          <w:rFonts w:asciiTheme="majorHAnsi" w:hAnsiTheme="majorHAnsi" w:cstheme="majorHAnsi"/>
          <w:bCs/>
          <w:sz w:val="24"/>
          <w:szCs w:val="24"/>
        </w:rPr>
        <w:t xml:space="preserve">e și </w:t>
      </w:r>
      <w:r w:rsidR="00E62944" w:rsidRPr="0099048D">
        <w:rPr>
          <w:rFonts w:asciiTheme="majorHAnsi" w:hAnsiTheme="majorHAnsi" w:cstheme="majorHAnsi"/>
          <w:bCs/>
          <w:sz w:val="24"/>
          <w:szCs w:val="24"/>
        </w:rPr>
        <w:t xml:space="preserve">să proiecteze </w:t>
      </w:r>
      <w:r w:rsidR="003A4070" w:rsidRPr="0099048D">
        <w:rPr>
          <w:rFonts w:asciiTheme="majorHAnsi" w:hAnsiTheme="majorHAnsi" w:cstheme="majorHAnsi"/>
          <w:bCs/>
          <w:sz w:val="24"/>
          <w:szCs w:val="24"/>
        </w:rPr>
        <w:t>acțiunile de dezvoltare a unui sistem CIM</w:t>
      </w:r>
      <w:r w:rsidR="00703E64" w:rsidRPr="0099048D">
        <w:rPr>
          <w:rFonts w:asciiTheme="majorHAnsi" w:hAnsiTheme="majorHAnsi" w:cstheme="majorHAnsi"/>
          <w:bCs/>
          <w:sz w:val="24"/>
          <w:szCs w:val="24"/>
        </w:rPr>
        <w:t xml:space="preserve"> conform</w:t>
      </w:r>
      <w:r w:rsidR="003A4070" w:rsidRPr="0099048D">
        <w:rPr>
          <w:rFonts w:asciiTheme="majorHAnsi" w:hAnsiTheme="majorHAnsi" w:cstheme="majorHAnsi"/>
          <w:bCs/>
          <w:sz w:val="24"/>
          <w:szCs w:val="24"/>
        </w:rPr>
        <w:t>, care prin acțiunile de control implementate ar gestiona riscurile și ar oferi o asigurare rezonabilă privind atingerea obiectivelor și rezultatelor planificate de minister</w:t>
      </w:r>
      <w:r w:rsidR="003A4070" w:rsidRPr="0099048D">
        <w:rPr>
          <w:rFonts w:asciiTheme="majorHAnsi" w:hAnsiTheme="majorHAnsi" w:cstheme="majorHAnsi"/>
          <w:b/>
          <w:bCs/>
          <w:sz w:val="24"/>
          <w:szCs w:val="24"/>
        </w:rPr>
        <w:t>.</w:t>
      </w:r>
    </w:p>
    <w:p w14:paraId="7A3BB56E" w14:textId="07EA23A7" w:rsidR="00D30358" w:rsidRPr="004A262A" w:rsidRDefault="00DF461F" w:rsidP="00085251">
      <w:pPr>
        <w:spacing w:after="120" w:line="276" w:lineRule="auto"/>
        <w:jc w:val="both"/>
        <w:rPr>
          <w:rFonts w:asciiTheme="majorHAnsi" w:hAnsiTheme="majorHAnsi" w:cstheme="majorHAnsi"/>
          <w:bCs/>
          <w:sz w:val="24"/>
          <w:szCs w:val="24"/>
        </w:rPr>
      </w:pPr>
      <w:r w:rsidRPr="0099048D">
        <w:rPr>
          <w:rFonts w:asciiTheme="majorHAnsi" w:hAnsiTheme="majorHAnsi" w:cstheme="majorHAnsi"/>
          <w:b/>
          <w:bCs/>
          <w:sz w:val="24"/>
          <w:szCs w:val="24"/>
        </w:rPr>
        <w:t>6.3.</w:t>
      </w:r>
      <w:r w:rsidRPr="0099048D">
        <w:rPr>
          <w:rFonts w:asciiTheme="majorHAnsi" w:hAnsiTheme="majorHAnsi" w:cstheme="majorHAnsi"/>
          <w:bCs/>
          <w:sz w:val="24"/>
          <w:szCs w:val="24"/>
        </w:rPr>
        <w:t xml:space="preserve"> </w:t>
      </w:r>
      <w:r w:rsidR="003C3133" w:rsidRPr="0099048D">
        <w:rPr>
          <w:rFonts w:asciiTheme="majorHAnsi" w:hAnsiTheme="majorHAnsi" w:cstheme="majorHAnsi"/>
          <w:bCs/>
          <w:sz w:val="24"/>
          <w:szCs w:val="24"/>
        </w:rPr>
        <w:t xml:space="preserve">Pentru </w:t>
      </w:r>
      <w:r w:rsidR="00B967FC" w:rsidRPr="0099048D">
        <w:rPr>
          <w:rFonts w:asciiTheme="majorHAnsi" w:hAnsiTheme="majorHAnsi" w:cstheme="majorHAnsi"/>
          <w:bCs/>
          <w:sz w:val="24"/>
          <w:szCs w:val="24"/>
        </w:rPr>
        <w:t>perioada auditată</w:t>
      </w:r>
      <w:r w:rsidR="00F83353" w:rsidRPr="0099048D">
        <w:rPr>
          <w:rFonts w:asciiTheme="majorHAnsi" w:hAnsiTheme="majorHAnsi" w:cstheme="majorHAnsi"/>
          <w:bCs/>
          <w:sz w:val="24"/>
          <w:szCs w:val="24"/>
        </w:rPr>
        <w:t xml:space="preserve"> </w:t>
      </w:r>
      <w:r w:rsidR="00366892">
        <w:rPr>
          <w:rFonts w:asciiTheme="majorHAnsi" w:hAnsiTheme="majorHAnsi" w:cstheme="majorHAnsi"/>
          <w:bCs/>
          <w:sz w:val="24"/>
          <w:szCs w:val="24"/>
        </w:rPr>
        <w:t xml:space="preserve">a anului </w:t>
      </w:r>
      <w:r w:rsidR="00F83353" w:rsidRPr="0099048D">
        <w:rPr>
          <w:rFonts w:asciiTheme="majorHAnsi" w:hAnsiTheme="majorHAnsi" w:cstheme="majorHAnsi"/>
          <w:bCs/>
          <w:sz w:val="24"/>
          <w:szCs w:val="24"/>
        </w:rPr>
        <w:t>2021</w:t>
      </w:r>
      <w:r w:rsidR="00366892">
        <w:rPr>
          <w:rFonts w:asciiTheme="majorHAnsi" w:hAnsiTheme="majorHAnsi" w:cstheme="majorHAnsi"/>
          <w:bCs/>
          <w:sz w:val="24"/>
          <w:szCs w:val="24"/>
        </w:rPr>
        <w:t>,</w:t>
      </w:r>
      <w:r w:rsidR="00F83353" w:rsidRPr="0099048D">
        <w:rPr>
          <w:rFonts w:asciiTheme="majorHAnsi" w:hAnsiTheme="majorHAnsi" w:cstheme="majorHAnsi"/>
          <w:bCs/>
          <w:sz w:val="24"/>
          <w:szCs w:val="24"/>
        </w:rPr>
        <w:t xml:space="preserve"> funcția de </w:t>
      </w:r>
      <w:r w:rsidR="00B2114A" w:rsidRPr="0099048D">
        <w:rPr>
          <w:rFonts w:asciiTheme="majorHAnsi" w:hAnsiTheme="majorHAnsi" w:cstheme="majorHAnsi"/>
          <w:bCs/>
          <w:sz w:val="24"/>
          <w:szCs w:val="24"/>
        </w:rPr>
        <w:t>a</w:t>
      </w:r>
      <w:r w:rsidR="00F83353" w:rsidRPr="0099048D">
        <w:rPr>
          <w:rFonts w:asciiTheme="majorHAnsi" w:hAnsiTheme="majorHAnsi" w:cstheme="majorHAnsi"/>
          <w:bCs/>
          <w:sz w:val="24"/>
          <w:szCs w:val="24"/>
        </w:rPr>
        <w:t>uditor intern</w:t>
      </w:r>
      <w:r w:rsidR="00B967FC" w:rsidRPr="0099048D">
        <w:rPr>
          <w:rFonts w:asciiTheme="majorHAnsi" w:hAnsiTheme="majorHAnsi" w:cstheme="majorHAnsi"/>
          <w:bCs/>
          <w:sz w:val="24"/>
          <w:szCs w:val="24"/>
        </w:rPr>
        <w:t xml:space="preserve"> în cadrul ministerului a fost vacantă.</w:t>
      </w:r>
      <w:r w:rsidR="00703E64" w:rsidRPr="0099048D">
        <w:rPr>
          <w:rFonts w:asciiTheme="majorHAnsi" w:hAnsiTheme="majorHAnsi" w:cstheme="majorHAnsi"/>
          <w:bCs/>
          <w:sz w:val="24"/>
          <w:szCs w:val="24"/>
        </w:rPr>
        <w:t xml:space="preserve"> </w:t>
      </w:r>
      <w:r w:rsidR="00366892">
        <w:rPr>
          <w:rFonts w:asciiTheme="majorHAnsi" w:hAnsiTheme="majorHAnsi" w:cstheme="majorHAnsi"/>
          <w:bCs/>
          <w:sz w:val="24"/>
          <w:szCs w:val="24"/>
        </w:rPr>
        <w:t>Drept</w:t>
      </w:r>
      <w:r w:rsidR="00703E64" w:rsidRPr="0099048D">
        <w:rPr>
          <w:rFonts w:asciiTheme="majorHAnsi" w:hAnsiTheme="majorHAnsi" w:cstheme="majorHAnsi"/>
          <w:bCs/>
          <w:sz w:val="24"/>
          <w:szCs w:val="24"/>
        </w:rPr>
        <w:t xml:space="preserve"> rezultat,</w:t>
      </w:r>
      <w:r w:rsidR="00B967FC" w:rsidRPr="0099048D">
        <w:rPr>
          <w:rFonts w:asciiTheme="majorHAnsi" w:hAnsiTheme="majorHAnsi" w:cstheme="majorHAnsi"/>
          <w:bCs/>
          <w:sz w:val="24"/>
          <w:szCs w:val="24"/>
        </w:rPr>
        <w:t xml:space="preserve"> Ministrul a fost lipsit de consilierea </w:t>
      </w:r>
      <w:r w:rsidR="00B2114A" w:rsidRPr="0099048D">
        <w:rPr>
          <w:rFonts w:asciiTheme="majorHAnsi" w:hAnsiTheme="majorHAnsi" w:cstheme="majorHAnsi"/>
          <w:bCs/>
          <w:sz w:val="24"/>
          <w:szCs w:val="24"/>
        </w:rPr>
        <w:t>a</w:t>
      </w:r>
      <w:r w:rsidR="00B967FC" w:rsidRPr="0099048D">
        <w:rPr>
          <w:rFonts w:asciiTheme="majorHAnsi" w:hAnsiTheme="majorHAnsi" w:cstheme="majorHAnsi"/>
          <w:bCs/>
          <w:sz w:val="24"/>
          <w:szCs w:val="24"/>
        </w:rPr>
        <w:t xml:space="preserve">uditorului intern în procesul de creare </w:t>
      </w:r>
      <w:r w:rsidR="008A55B8" w:rsidRPr="0099048D">
        <w:rPr>
          <w:rFonts w:asciiTheme="majorHAnsi" w:hAnsiTheme="majorHAnsi" w:cstheme="majorHAnsi"/>
          <w:bCs/>
          <w:sz w:val="24"/>
          <w:szCs w:val="24"/>
        </w:rPr>
        <w:t xml:space="preserve">a </w:t>
      </w:r>
      <w:r w:rsidR="003F3B15" w:rsidRPr="0099048D">
        <w:rPr>
          <w:rFonts w:asciiTheme="majorHAnsi" w:hAnsiTheme="majorHAnsi" w:cstheme="majorHAnsi"/>
          <w:bCs/>
          <w:sz w:val="24"/>
          <w:szCs w:val="24"/>
        </w:rPr>
        <w:t xml:space="preserve">ministerului și în </w:t>
      </w:r>
      <w:r w:rsidR="003F3B15" w:rsidRPr="0099048D">
        <w:rPr>
          <w:rFonts w:asciiTheme="majorHAnsi" w:hAnsiTheme="majorHAnsi" w:cstheme="majorHAnsi"/>
          <w:sz w:val="24"/>
          <w:szCs w:val="24"/>
        </w:rPr>
        <w:t>abordarea provocărilor asociate cu crearea acestuia</w:t>
      </w:r>
      <w:r w:rsidR="003F3B15" w:rsidRPr="0099048D">
        <w:rPr>
          <w:rFonts w:asciiTheme="majorHAnsi" w:hAnsiTheme="majorHAnsi" w:cstheme="majorHAnsi"/>
          <w:bCs/>
          <w:sz w:val="24"/>
          <w:szCs w:val="24"/>
        </w:rPr>
        <w:t xml:space="preserve">. </w:t>
      </w:r>
      <w:r w:rsidR="00B967FC" w:rsidRPr="0099048D">
        <w:rPr>
          <w:rFonts w:asciiTheme="majorHAnsi" w:hAnsiTheme="majorHAnsi" w:cstheme="majorHAnsi"/>
          <w:bCs/>
          <w:sz w:val="24"/>
          <w:szCs w:val="24"/>
        </w:rPr>
        <w:t>Începând cu luna ianuarie 2022</w:t>
      </w:r>
      <w:r w:rsidR="00366892">
        <w:rPr>
          <w:rFonts w:asciiTheme="majorHAnsi" w:hAnsiTheme="majorHAnsi" w:cstheme="majorHAnsi"/>
          <w:bCs/>
          <w:sz w:val="24"/>
          <w:szCs w:val="24"/>
        </w:rPr>
        <w:t>,</w:t>
      </w:r>
      <w:r w:rsidR="00B967FC" w:rsidRPr="0099048D">
        <w:rPr>
          <w:rFonts w:asciiTheme="majorHAnsi" w:hAnsiTheme="majorHAnsi" w:cstheme="majorHAnsi"/>
          <w:bCs/>
          <w:sz w:val="24"/>
          <w:szCs w:val="24"/>
        </w:rPr>
        <w:t xml:space="preserve"> ministerul a suplinit funcția vacantă, astfel la momentul desfășurării auditului extern, auditorul intern al ministerului a elaborat Carta de audit intern, Codul </w:t>
      </w:r>
      <w:r w:rsidR="00366892">
        <w:rPr>
          <w:rFonts w:asciiTheme="majorHAnsi" w:hAnsiTheme="majorHAnsi" w:cstheme="majorHAnsi"/>
          <w:bCs/>
          <w:sz w:val="24"/>
          <w:szCs w:val="24"/>
        </w:rPr>
        <w:t>e</w:t>
      </w:r>
      <w:r w:rsidR="00B967FC" w:rsidRPr="0099048D">
        <w:rPr>
          <w:rFonts w:asciiTheme="majorHAnsi" w:hAnsiTheme="majorHAnsi" w:cstheme="majorHAnsi"/>
          <w:bCs/>
          <w:sz w:val="24"/>
          <w:szCs w:val="24"/>
        </w:rPr>
        <w:t xml:space="preserve">tic al auditorului intern, Planul de acțiuni al auditorului intern pentru anul 2022, care cuprinde acțiuni complexe ale activității </w:t>
      </w:r>
      <w:r w:rsidR="00297C40">
        <w:rPr>
          <w:rFonts w:asciiTheme="majorHAnsi" w:hAnsiTheme="majorHAnsi" w:cstheme="majorHAnsi"/>
          <w:bCs/>
          <w:sz w:val="24"/>
          <w:szCs w:val="24"/>
        </w:rPr>
        <w:t xml:space="preserve">de </w:t>
      </w:r>
      <w:r w:rsidR="00B967FC" w:rsidRPr="0099048D">
        <w:rPr>
          <w:rFonts w:asciiTheme="majorHAnsi" w:hAnsiTheme="majorHAnsi" w:cstheme="majorHAnsi"/>
          <w:bCs/>
          <w:sz w:val="24"/>
          <w:szCs w:val="24"/>
        </w:rPr>
        <w:t>audit intern cu planificare</w:t>
      </w:r>
      <w:r w:rsidR="00366892">
        <w:rPr>
          <w:rFonts w:asciiTheme="majorHAnsi" w:hAnsiTheme="majorHAnsi" w:cstheme="majorHAnsi"/>
          <w:bCs/>
          <w:sz w:val="24"/>
          <w:szCs w:val="24"/>
        </w:rPr>
        <w:t>a</w:t>
      </w:r>
      <w:r w:rsidR="00B967FC" w:rsidRPr="0099048D">
        <w:rPr>
          <w:rFonts w:asciiTheme="majorHAnsi" w:hAnsiTheme="majorHAnsi" w:cstheme="majorHAnsi"/>
          <w:bCs/>
          <w:sz w:val="24"/>
          <w:szCs w:val="24"/>
        </w:rPr>
        <w:t xml:space="preserve"> misiunilor de audit de conformitate, de sistem, financiar. În pofida acțiunilor implementate de auditorul intern, numărul limitat de auditori interni prevăzut în Statul de personal va avea un impact asupra calității consilierii și analizei obiective a auditorului intern privind eficacitatea sistemului de control intern managerial instituit în cadrul ministerului. Ministerul a prevăzut doar o funcție de auditor intern</w:t>
      </w:r>
      <w:r w:rsidR="00297C40">
        <w:rPr>
          <w:rFonts w:asciiTheme="majorHAnsi" w:hAnsiTheme="majorHAnsi" w:cstheme="majorHAnsi"/>
          <w:bCs/>
          <w:sz w:val="24"/>
          <w:szCs w:val="24"/>
        </w:rPr>
        <w:t>,</w:t>
      </w:r>
      <w:r w:rsidR="00B967FC" w:rsidRPr="0099048D">
        <w:rPr>
          <w:rFonts w:asciiTheme="majorHAnsi" w:hAnsiTheme="majorHAnsi" w:cstheme="majorHAnsi"/>
          <w:bCs/>
          <w:sz w:val="24"/>
          <w:szCs w:val="24"/>
        </w:rPr>
        <w:t xml:space="preserve"> ceea ce contravine art. 19 </w:t>
      </w:r>
      <w:r w:rsidR="00297C40">
        <w:rPr>
          <w:rFonts w:asciiTheme="majorHAnsi" w:hAnsiTheme="majorHAnsi" w:cstheme="majorHAnsi"/>
          <w:bCs/>
          <w:sz w:val="24"/>
          <w:szCs w:val="24"/>
        </w:rPr>
        <w:t>alin.</w:t>
      </w:r>
      <w:r w:rsidR="00B967FC" w:rsidRPr="0099048D">
        <w:rPr>
          <w:rFonts w:asciiTheme="majorHAnsi" w:hAnsiTheme="majorHAnsi" w:cstheme="majorHAnsi"/>
          <w:bCs/>
          <w:sz w:val="24"/>
          <w:szCs w:val="24"/>
        </w:rPr>
        <w:t>(1</w:t>
      </w:r>
      <w:r w:rsidR="00297C40" w:rsidRPr="004A262A">
        <w:rPr>
          <w:rFonts w:asciiTheme="majorHAnsi" w:hAnsiTheme="majorHAnsi" w:cstheme="majorHAnsi"/>
          <w:bCs/>
          <w:sz w:val="24"/>
          <w:szCs w:val="24"/>
          <w:vertAlign w:val="superscript"/>
        </w:rPr>
        <w:t>1</w:t>
      </w:r>
      <w:r w:rsidR="00B967FC" w:rsidRPr="0099048D">
        <w:rPr>
          <w:rFonts w:asciiTheme="majorHAnsi" w:hAnsiTheme="majorHAnsi" w:cstheme="majorHAnsi"/>
          <w:bCs/>
          <w:sz w:val="24"/>
          <w:szCs w:val="24"/>
        </w:rPr>
        <w:t xml:space="preserve">) </w:t>
      </w:r>
      <w:r w:rsidR="00831C61" w:rsidRPr="0099048D">
        <w:rPr>
          <w:rFonts w:asciiTheme="majorHAnsi" w:hAnsiTheme="majorHAnsi" w:cstheme="majorHAnsi"/>
          <w:bCs/>
          <w:sz w:val="24"/>
          <w:szCs w:val="24"/>
        </w:rPr>
        <w:t xml:space="preserve">din </w:t>
      </w:r>
      <w:r w:rsidR="00B967FC" w:rsidRPr="0099048D">
        <w:rPr>
          <w:rFonts w:asciiTheme="majorHAnsi" w:hAnsiTheme="majorHAnsi" w:cstheme="majorHAnsi"/>
          <w:bCs/>
          <w:sz w:val="24"/>
          <w:szCs w:val="24"/>
        </w:rPr>
        <w:t xml:space="preserve">Legea </w:t>
      </w:r>
      <w:r w:rsidR="00297C40">
        <w:rPr>
          <w:rFonts w:asciiTheme="majorHAnsi" w:hAnsiTheme="majorHAnsi" w:cstheme="majorHAnsi"/>
          <w:bCs/>
          <w:sz w:val="24"/>
          <w:szCs w:val="24"/>
        </w:rPr>
        <w:t>nr.</w:t>
      </w:r>
      <w:r w:rsidR="00B967FC" w:rsidRPr="0099048D">
        <w:rPr>
          <w:rFonts w:asciiTheme="majorHAnsi" w:hAnsiTheme="majorHAnsi" w:cstheme="majorHAnsi"/>
          <w:bCs/>
          <w:sz w:val="24"/>
          <w:szCs w:val="24"/>
        </w:rPr>
        <w:t>229/2010 privind controlul intern managerial, care prevede că în structura ministerelor este necesar să fie instituită subdiviziunea de audit intern în număr de cel puțin trei unități de personal.</w:t>
      </w:r>
    </w:p>
    <w:p w14:paraId="5BC892B4" w14:textId="3C667A10" w:rsidR="00962373" w:rsidRPr="0099048D" w:rsidRDefault="00DF461F" w:rsidP="00085251">
      <w:pPr>
        <w:spacing w:after="120" w:line="276" w:lineRule="auto"/>
        <w:jc w:val="both"/>
        <w:rPr>
          <w:rFonts w:asciiTheme="majorHAnsi" w:hAnsiTheme="majorHAnsi" w:cstheme="majorHAnsi"/>
          <w:sz w:val="24"/>
          <w:szCs w:val="24"/>
        </w:rPr>
      </w:pPr>
      <w:r w:rsidRPr="0099048D">
        <w:rPr>
          <w:rFonts w:asciiTheme="majorHAnsi" w:hAnsiTheme="majorHAnsi" w:cstheme="majorHAnsi"/>
          <w:b/>
          <w:sz w:val="24"/>
          <w:szCs w:val="24"/>
        </w:rPr>
        <w:t>6.4.</w:t>
      </w:r>
      <w:r w:rsidRPr="0099048D">
        <w:rPr>
          <w:rFonts w:asciiTheme="majorHAnsi" w:hAnsiTheme="majorHAnsi" w:cstheme="majorHAnsi"/>
          <w:sz w:val="24"/>
          <w:szCs w:val="24"/>
        </w:rPr>
        <w:t xml:space="preserve"> </w:t>
      </w:r>
      <w:r w:rsidR="003C3133" w:rsidRPr="0099048D">
        <w:rPr>
          <w:rFonts w:asciiTheme="majorHAnsi" w:hAnsiTheme="majorHAnsi" w:cstheme="majorHAnsi"/>
          <w:sz w:val="24"/>
          <w:szCs w:val="24"/>
        </w:rPr>
        <w:t xml:space="preserve">Prin nerespectarea recomandărilor Curții de Conturi, </w:t>
      </w:r>
      <w:r w:rsidR="0088018A" w:rsidRPr="0099048D">
        <w:rPr>
          <w:rFonts w:asciiTheme="majorHAnsi" w:eastAsia="Times New Roman" w:hAnsiTheme="majorHAnsi" w:cstheme="majorHAnsi"/>
          <w:sz w:val="24"/>
          <w:szCs w:val="24"/>
        </w:rPr>
        <w:t xml:space="preserve">Ministerul Culturii </w:t>
      </w:r>
      <w:r w:rsidR="003C3133" w:rsidRPr="00AB494E">
        <w:rPr>
          <w:rFonts w:asciiTheme="majorHAnsi" w:eastAsia="Times New Roman" w:hAnsiTheme="majorHAnsi" w:cstheme="majorHAnsi"/>
          <w:sz w:val="24"/>
          <w:szCs w:val="24"/>
        </w:rPr>
        <w:t>nu a asigurat elaborarea și aprobarea reglementărilor privind modul de susținere financiară a teatrelor, circurilor și organizațiilor concertistice, precum și corelarea susține</w:t>
      </w:r>
      <w:r w:rsidR="003C3133" w:rsidRPr="0099048D">
        <w:rPr>
          <w:rFonts w:asciiTheme="majorHAnsi" w:eastAsia="Times New Roman" w:hAnsiTheme="majorHAnsi" w:cstheme="majorHAnsi"/>
          <w:sz w:val="24"/>
          <w:szCs w:val="24"/>
        </w:rPr>
        <w:t xml:space="preserve">rii financiare cu activitățile desfășurate de acestea. </w:t>
      </w:r>
      <w:r w:rsidR="00F07D7C" w:rsidRPr="0099048D">
        <w:rPr>
          <w:rFonts w:asciiTheme="majorHAnsi" w:hAnsiTheme="majorHAnsi" w:cstheme="majorHAnsi"/>
          <w:sz w:val="24"/>
          <w:szCs w:val="24"/>
        </w:rPr>
        <w:t>Astfel, prevederile art.</w:t>
      </w:r>
      <w:r w:rsidR="003C3133" w:rsidRPr="0099048D">
        <w:rPr>
          <w:rFonts w:asciiTheme="majorHAnsi" w:hAnsiTheme="majorHAnsi" w:cstheme="majorHAnsi"/>
          <w:sz w:val="24"/>
          <w:szCs w:val="24"/>
        </w:rPr>
        <w:t xml:space="preserve">17 din Legea nr.1421 din 31.10.2002 privind principiile de subvenționare a organizațiilor teatral-concertistice au fost abrogate de la 01.01.2019, iar prevederile </w:t>
      </w:r>
      <w:r w:rsidR="00831C61" w:rsidRPr="0099048D">
        <w:rPr>
          <w:rFonts w:asciiTheme="majorHAnsi" w:hAnsiTheme="majorHAnsi" w:cstheme="majorHAnsi"/>
          <w:sz w:val="24"/>
          <w:szCs w:val="24"/>
        </w:rPr>
        <w:t xml:space="preserve">pct.37 din </w:t>
      </w:r>
      <w:r w:rsidR="003C3133" w:rsidRPr="0099048D">
        <w:rPr>
          <w:rFonts w:asciiTheme="majorHAnsi" w:hAnsiTheme="majorHAnsi" w:cstheme="majorHAnsi"/>
          <w:sz w:val="24"/>
          <w:szCs w:val="24"/>
        </w:rPr>
        <w:t>Regulamentul aprobat prin Hotărârea Guvernului nr.1242 din 15.10.2003, prin care se face trimitere la Legea nr.1421</w:t>
      </w:r>
      <w:r w:rsidR="00A01E3B" w:rsidRPr="0099048D">
        <w:rPr>
          <w:rFonts w:asciiTheme="majorHAnsi" w:hAnsiTheme="majorHAnsi" w:cstheme="majorHAnsi"/>
          <w:sz w:val="24"/>
          <w:szCs w:val="24"/>
        </w:rPr>
        <w:t xml:space="preserve"> din 31.10.2002</w:t>
      </w:r>
      <w:r w:rsidR="003C3133" w:rsidRPr="0099048D">
        <w:rPr>
          <w:rFonts w:asciiTheme="majorHAnsi" w:hAnsiTheme="majorHAnsi" w:cstheme="majorHAnsi"/>
          <w:sz w:val="24"/>
          <w:szCs w:val="24"/>
        </w:rPr>
        <w:t>, nu au fost modificate.</w:t>
      </w:r>
    </w:p>
    <w:p w14:paraId="6B7C60D6" w14:textId="6825ED0C" w:rsidR="00962373" w:rsidRPr="0099048D" w:rsidRDefault="00DF461F" w:rsidP="00085251">
      <w:pPr>
        <w:spacing w:after="120" w:line="276" w:lineRule="auto"/>
        <w:jc w:val="both"/>
        <w:rPr>
          <w:rFonts w:asciiTheme="majorHAnsi" w:hAnsiTheme="majorHAnsi" w:cstheme="majorHAnsi"/>
          <w:sz w:val="24"/>
          <w:szCs w:val="24"/>
          <w:lang w:eastAsia="ru-RU"/>
        </w:rPr>
      </w:pPr>
      <w:r w:rsidRPr="0099048D">
        <w:rPr>
          <w:rFonts w:asciiTheme="majorHAnsi" w:hAnsiTheme="majorHAnsi" w:cstheme="majorHAnsi"/>
          <w:b/>
          <w:sz w:val="24"/>
          <w:szCs w:val="24"/>
        </w:rPr>
        <w:t>6.5.</w:t>
      </w:r>
      <w:r w:rsidRPr="0099048D">
        <w:rPr>
          <w:rFonts w:asciiTheme="majorHAnsi" w:hAnsiTheme="majorHAnsi" w:cstheme="majorHAnsi"/>
          <w:sz w:val="24"/>
          <w:szCs w:val="24"/>
        </w:rPr>
        <w:t xml:space="preserve"> </w:t>
      </w:r>
      <w:r w:rsidR="00E337F0" w:rsidRPr="0099048D">
        <w:rPr>
          <w:rFonts w:asciiTheme="majorHAnsi" w:hAnsiTheme="majorHAnsi" w:cstheme="majorHAnsi"/>
          <w:sz w:val="24"/>
          <w:szCs w:val="24"/>
        </w:rPr>
        <w:t>Ministerul Culturii</w:t>
      </w:r>
      <w:r w:rsidR="003C3133" w:rsidRPr="0099048D">
        <w:rPr>
          <w:rFonts w:asciiTheme="majorHAnsi" w:hAnsiTheme="majorHAnsi" w:cstheme="majorHAnsi"/>
          <w:sz w:val="24"/>
          <w:szCs w:val="24"/>
        </w:rPr>
        <w:t xml:space="preserve"> nu a elaborat principii</w:t>
      </w:r>
      <w:r w:rsidR="00297C40">
        <w:rPr>
          <w:rFonts w:asciiTheme="majorHAnsi" w:hAnsiTheme="majorHAnsi" w:cstheme="majorHAnsi"/>
          <w:sz w:val="24"/>
          <w:szCs w:val="24"/>
        </w:rPr>
        <w:t>le</w:t>
      </w:r>
      <w:r w:rsidR="003C3133" w:rsidRPr="0099048D">
        <w:rPr>
          <w:rFonts w:asciiTheme="majorHAnsi" w:hAnsiTheme="majorHAnsi" w:cstheme="majorHAnsi"/>
          <w:sz w:val="24"/>
          <w:szCs w:val="24"/>
        </w:rPr>
        <w:t xml:space="preserve"> de subvenționare a publicațiilor periodice, precum și a altor instituții culturale de stat, </w:t>
      </w:r>
      <w:r w:rsidR="00962373" w:rsidRPr="0099048D">
        <w:rPr>
          <w:rFonts w:asciiTheme="majorHAnsi" w:hAnsiTheme="majorHAnsi" w:cstheme="majorHAnsi"/>
          <w:sz w:val="24"/>
          <w:szCs w:val="24"/>
        </w:rPr>
        <w:t>pentru care sunt</w:t>
      </w:r>
      <w:r w:rsidR="00DC72EF" w:rsidRPr="0099048D">
        <w:rPr>
          <w:rFonts w:asciiTheme="majorHAnsi" w:hAnsiTheme="majorHAnsi" w:cstheme="majorHAnsi"/>
          <w:sz w:val="24"/>
          <w:szCs w:val="24"/>
        </w:rPr>
        <w:t xml:space="preserve"> suportate cheltuieli</w:t>
      </w:r>
      <w:r w:rsidR="003C3133" w:rsidRPr="0099048D">
        <w:rPr>
          <w:rFonts w:asciiTheme="majorHAnsi" w:hAnsiTheme="majorHAnsi" w:cstheme="majorHAnsi"/>
          <w:sz w:val="24"/>
          <w:szCs w:val="24"/>
        </w:rPr>
        <w:t xml:space="preserve"> </w:t>
      </w:r>
      <w:r w:rsidR="00DC72EF" w:rsidRPr="0099048D">
        <w:rPr>
          <w:rFonts w:asciiTheme="majorHAnsi" w:hAnsiTheme="majorHAnsi" w:cstheme="majorHAnsi"/>
          <w:sz w:val="24"/>
          <w:szCs w:val="24"/>
        </w:rPr>
        <w:t xml:space="preserve">de </w:t>
      </w:r>
      <w:r w:rsidR="003C3133" w:rsidRPr="0099048D">
        <w:rPr>
          <w:rFonts w:asciiTheme="majorHAnsi" w:hAnsiTheme="majorHAnsi" w:cstheme="majorHAnsi"/>
          <w:sz w:val="24"/>
          <w:szCs w:val="24"/>
        </w:rPr>
        <w:t>2.661,7 mii lei</w:t>
      </w:r>
      <w:r w:rsidR="00DC72EF" w:rsidRPr="0099048D">
        <w:rPr>
          <w:rStyle w:val="a7"/>
          <w:rFonts w:asciiTheme="majorHAnsi" w:hAnsiTheme="majorHAnsi" w:cstheme="majorHAnsi"/>
          <w:sz w:val="24"/>
          <w:szCs w:val="24"/>
        </w:rPr>
        <w:footnoteReference w:id="20"/>
      </w:r>
      <w:r w:rsidR="003C3133" w:rsidRPr="0099048D">
        <w:rPr>
          <w:rFonts w:asciiTheme="majorHAnsi" w:hAnsiTheme="majorHAnsi" w:cstheme="majorHAnsi"/>
          <w:sz w:val="24"/>
          <w:szCs w:val="24"/>
        </w:rPr>
        <w:t xml:space="preserve">.  </w:t>
      </w:r>
    </w:p>
    <w:p w14:paraId="5B8571EC" w14:textId="42657AB9" w:rsidR="00962373" w:rsidRPr="0099048D" w:rsidRDefault="00B616AE" w:rsidP="00085251">
      <w:pPr>
        <w:spacing w:after="120" w:line="276" w:lineRule="auto"/>
        <w:jc w:val="both"/>
        <w:rPr>
          <w:rFonts w:asciiTheme="majorHAnsi" w:eastAsia="Times New Roman" w:hAnsiTheme="majorHAnsi" w:cstheme="majorHAnsi"/>
          <w:iCs/>
          <w:sz w:val="24"/>
          <w:szCs w:val="24"/>
        </w:rPr>
      </w:pPr>
      <w:r w:rsidRPr="0099048D">
        <w:rPr>
          <w:rFonts w:asciiTheme="majorHAnsi" w:hAnsiTheme="majorHAnsi" w:cstheme="majorHAnsi"/>
          <w:b/>
          <w:sz w:val="24"/>
          <w:szCs w:val="24"/>
        </w:rPr>
        <w:t>6</w:t>
      </w:r>
      <w:r w:rsidR="00962373" w:rsidRPr="0099048D">
        <w:rPr>
          <w:rFonts w:asciiTheme="majorHAnsi" w:hAnsiTheme="majorHAnsi" w:cstheme="majorHAnsi"/>
          <w:b/>
          <w:sz w:val="24"/>
          <w:szCs w:val="24"/>
        </w:rPr>
        <w:t>.6</w:t>
      </w:r>
      <w:r w:rsidR="00134F5C" w:rsidRPr="00ED245F">
        <w:rPr>
          <w:rFonts w:asciiTheme="majorHAnsi" w:hAnsiTheme="majorHAnsi" w:cstheme="majorHAnsi"/>
          <w:b/>
          <w:sz w:val="24"/>
          <w:szCs w:val="24"/>
        </w:rPr>
        <w:t>.</w:t>
      </w:r>
      <w:r w:rsidR="00962373" w:rsidRPr="00ED245F">
        <w:rPr>
          <w:rFonts w:asciiTheme="majorHAnsi" w:hAnsiTheme="majorHAnsi" w:cstheme="majorHAnsi"/>
          <w:sz w:val="24"/>
          <w:szCs w:val="24"/>
        </w:rPr>
        <w:t xml:space="preserve"> </w:t>
      </w:r>
      <w:r w:rsidR="005C125A" w:rsidRPr="0099048D">
        <w:rPr>
          <w:rFonts w:asciiTheme="majorHAnsi" w:hAnsiTheme="majorHAnsi" w:cstheme="majorHAnsi"/>
          <w:sz w:val="24"/>
          <w:szCs w:val="24"/>
        </w:rPr>
        <w:t>Ministerul Culturii</w:t>
      </w:r>
      <w:r w:rsidR="005C125A" w:rsidRPr="0099048D">
        <w:rPr>
          <w:rFonts w:asciiTheme="majorHAnsi" w:eastAsia="Times New Roman" w:hAnsiTheme="majorHAnsi" w:cstheme="majorHAnsi"/>
          <w:iCs/>
          <w:sz w:val="24"/>
          <w:szCs w:val="24"/>
        </w:rPr>
        <w:t xml:space="preserve"> nu a asigurat delimitarea și înregistrarea conformă a proprietății publice gestionate de entitățile din subordine.</w:t>
      </w:r>
      <w:r w:rsidR="005C125A" w:rsidRPr="0099048D">
        <w:rPr>
          <w:rFonts w:asciiTheme="majorHAnsi" w:hAnsiTheme="majorHAnsi" w:cstheme="majorHAnsi"/>
          <w:sz w:val="24"/>
          <w:szCs w:val="24"/>
        </w:rPr>
        <w:t xml:space="preserve"> </w:t>
      </w:r>
      <w:r w:rsidR="005C125A" w:rsidRPr="0099048D">
        <w:rPr>
          <w:rFonts w:asciiTheme="majorHAnsi" w:eastAsia="Times New Roman" w:hAnsiTheme="majorHAnsi" w:cstheme="majorHAnsi"/>
          <w:iCs/>
          <w:sz w:val="24"/>
          <w:szCs w:val="24"/>
        </w:rPr>
        <w:t xml:space="preserve">Astfel, </w:t>
      </w:r>
      <w:r w:rsidR="005C125A" w:rsidRPr="0099048D">
        <w:rPr>
          <w:rFonts w:asciiTheme="majorHAnsi" w:hAnsiTheme="majorHAnsi" w:cstheme="majorHAnsi"/>
          <w:sz w:val="24"/>
          <w:szCs w:val="24"/>
        </w:rPr>
        <w:t>6 instituții</w:t>
      </w:r>
      <w:r w:rsidR="005C125A" w:rsidRPr="0099048D">
        <w:rPr>
          <w:rStyle w:val="a7"/>
          <w:rFonts w:asciiTheme="majorHAnsi" w:hAnsiTheme="majorHAnsi" w:cstheme="majorHAnsi"/>
          <w:sz w:val="24"/>
          <w:szCs w:val="24"/>
        </w:rPr>
        <w:footnoteReference w:id="21"/>
      </w:r>
      <w:r w:rsidR="005C125A" w:rsidRPr="0099048D">
        <w:rPr>
          <w:rFonts w:asciiTheme="majorHAnsi" w:hAnsiTheme="majorHAnsi" w:cstheme="majorHAnsi"/>
          <w:sz w:val="24"/>
          <w:szCs w:val="24"/>
        </w:rPr>
        <w:t xml:space="preserve"> au </w:t>
      </w:r>
      <w:r w:rsidR="00297C40">
        <w:rPr>
          <w:rFonts w:asciiTheme="majorHAnsi" w:hAnsiTheme="majorHAnsi" w:cstheme="majorHAnsi"/>
          <w:sz w:val="24"/>
          <w:szCs w:val="24"/>
        </w:rPr>
        <w:t>în</w:t>
      </w:r>
      <w:r w:rsidR="005C125A" w:rsidRPr="0099048D">
        <w:rPr>
          <w:rFonts w:asciiTheme="majorHAnsi" w:hAnsiTheme="majorHAnsi" w:cstheme="majorHAnsi"/>
          <w:sz w:val="24"/>
          <w:szCs w:val="24"/>
        </w:rPr>
        <w:t xml:space="preserve"> evidență 49 de clădiri cu valoarea de bilanț de 3</w:t>
      </w:r>
      <w:r w:rsidR="00297C40">
        <w:rPr>
          <w:rFonts w:asciiTheme="majorHAnsi" w:hAnsiTheme="majorHAnsi" w:cstheme="majorHAnsi"/>
          <w:sz w:val="24"/>
          <w:szCs w:val="24"/>
        </w:rPr>
        <w:t>.</w:t>
      </w:r>
      <w:r w:rsidR="005C125A" w:rsidRPr="0099048D">
        <w:rPr>
          <w:rFonts w:asciiTheme="majorHAnsi" w:hAnsiTheme="majorHAnsi" w:cstheme="majorHAnsi"/>
          <w:sz w:val="24"/>
          <w:szCs w:val="24"/>
        </w:rPr>
        <w:t>553,46 mii lei</w:t>
      </w:r>
      <w:r w:rsidR="00297C40">
        <w:rPr>
          <w:rFonts w:asciiTheme="majorHAnsi" w:hAnsiTheme="majorHAnsi" w:cstheme="majorHAnsi"/>
          <w:sz w:val="24"/>
          <w:szCs w:val="24"/>
        </w:rPr>
        <w:t>,</w:t>
      </w:r>
      <w:r w:rsidR="005C125A" w:rsidRPr="0099048D">
        <w:rPr>
          <w:rFonts w:asciiTheme="majorHAnsi" w:hAnsiTheme="majorHAnsi" w:cstheme="majorHAnsi"/>
          <w:sz w:val="24"/>
          <w:szCs w:val="24"/>
        </w:rPr>
        <w:t xml:space="preserve"> care nu sunt înregistrate în Registrul bunurilor imobile.</w:t>
      </w:r>
    </w:p>
    <w:p w14:paraId="48D2F480" w14:textId="68F9D5F2" w:rsidR="00127B57" w:rsidRPr="0099048D" w:rsidRDefault="00B616AE" w:rsidP="00085251">
      <w:pPr>
        <w:spacing w:after="120" w:line="276" w:lineRule="auto"/>
        <w:jc w:val="both"/>
        <w:rPr>
          <w:rFonts w:asciiTheme="majorHAnsi" w:hAnsiTheme="majorHAnsi" w:cstheme="majorHAnsi"/>
          <w:sz w:val="24"/>
          <w:szCs w:val="24"/>
        </w:rPr>
      </w:pPr>
      <w:r w:rsidRPr="0099048D">
        <w:rPr>
          <w:rFonts w:asciiTheme="majorHAnsi" w:hAnsiTheme="majorHAnsi" w:cstheme="majorHAnsi"/>
          <w:b/>
          <w:sz w:val="24"/>
          <w:szCs w:val="24"/>
        </w:rPr>
        <w:t>6</w:t>
      </w:r>
      <w:r w:rsidR="00962373" w:rsidRPr="0099048D">
        <w:rPr>
          <w:rFonts w:asciiTheme="majorHAnsi" w:hAnsiTheme="majorHAnsi" w:cstheme="majorHAnsi"/>
          <w:b/>
          <w:sz w:val="24"/>
          <w:szCs w:val="24"/>
        </w:rPr>
        <w:t>.7</w:t>
      </w:r>
      <w:r w:rsidR="00134F5C" w:rsidRPr="00ED245F">
        <w:rPr>
          <w:rFonts w:asciiTheme="majorHAnsi" w:hAnsiTheme="majorHAnsi" w:cstheme="majorHAnsi"/>
          <w:b/>
          <w:sz w:val="24"/>
          <w:szCs w:val="24"/>
        </w:rPr>
        <w:t>.</w:t>
      </w:r>
      <w:r w:rsidR="00962373" w:rsidRPr="00ED245F">
        <w:rPr>
          <w:rFonts w:asciiTheme="majorHAnsi" w:hAnsiTheme="majorHAnsi" w:cstheme="majorHAnsi"/>
          <w:b/>
          <w:sz w:val="24"/>
          <w:szCs w:val="24"/>
        </w:rPr>
        <w:t xml:space="preserve"> </w:t>
      </w:r>
      <w:r w:rsidR="00127B57" w:rsidRPr="0099048D">
        <w:rPr>
          <w:rFonts w:asciiTheme="majorHAnsi" w:hAnsiTheme="majorHAnsi" w:cstheme="majorHAnsi"/>
          <w:sz w:val="24"/>
          <w:szCs w:val="24"/>
        </w:rPr>
        <w:t xml:space="preserve">Valoarea creanțelor raportate la 31 decembrie 2021 în sumă de </w:t>
      </w:r>
      <w:r w:rsidR="00127B57" w:rsidRPr="0099048D">
        <w:rPr>
          <w:rFonts w:asciiTheme="majorHAnsi" w:hAnsiTheme="majorHAnsi" w:cstheme="majorHAnsi"/>
          <w:b/>
          <w:sz w:val="24"/>
          <w:szCs w:val="24"/>
        </w:rPr>
        <w:t>6,6 mil.lei</w:t>
      </w:r>
      <w:r w:rsidR="00127B57" w:rsidRPr="0099048D">
        <w:rPr>
          <w:rFonts w:asciiTheme="majorHAnsi" w:hAnsiTheme="majorHAnsi" w:cstheme="majorHAnsi"/>
          <w:sz w:val="24"/>
          <w:szCs w:val="24"/>
        </w:rPr>
        <w:t xml:space="preserve"> aferente granturilor capitale acordate au fost formate </w:t>
      </w:r>
      <w:r w:rsidR="00127B57">
        <w:rPr>
          <w:rFonts w:asciiTheme="majorHAnsi" w:hAnsiTheme="majorHAnsi" w:cstheme="majorHAnsi"/>
          <w:sz w:val="24"/>
          <w:szCs w:val="24"/>
        </w:rPr>
        <w:t>din cauza</w:t>
      </w:r>
      <w:r w:rsidR="00127B57" w:rsidRPr="0099048D">
        <w:rPr>
          <w:rFonts w:asciiTheme="majorHAnsi" w:hAnsiTheme="majorHAnsi" w:cstheme="majorHAnsi"/>
          <w:sz w:val="24"/>
          <w:szCs w:val="24"/>
        </w:rPr>
        <w:t xml:space="preserve"> faptului că instituțiile beneficiare nu au prezentat rapoartele de utilizare a mijloacelor acordate. De menționat că reglementări interne privind procedura de depunere a solicitărilor, modul de examinare și condițiile de selectare a proiectelor câștigătoare la moment lipsesc. </w:t>
      </w:r>
    </w:p>
    <w:p w14:paraId="191F8712" w14:textId="13E59F91" w:rsidR="00127B57" w:rsidRPr="0099048D" w:rsidRDefault="00127B57" w:rsidP="00085251">
      <w:pPr>
        <w:shd w:val="clear" w:color="auto" w:fill="FFFFFF" w:themeFill="background1"/>
        <w:spacing w:after="120" w:line="276" w:lineRule="auto"/>
        <w:jc w:val="both"/>
        <w:rPr>
          <w:rFonts w:asciiTheme="majorHAnsi" w:hAnsiTheme="majorHAnsi" w:cstheme="majorHAnsi"/>
          <w:sz w:val="24"/>
          <w:szCs w:val="24"/>
        </w:rPr>
      </w:pPr>
      <w:r>
        <w:rPr>
          <w:rFonts w:asciiTheme="majorHAnsi" w:hAnsiTheme="majorHAnsi" w:cstheme="majorHAnsi"/>
          <w:b/>
          <w:sz w:val="24"/>
          <w:szCs w:val="24"/>
        </w:rPr>
        <w:t>6</w:t>
      </w:r>
      <w:r w:rsidRPr="0099048D">
        <w:rPr>
          <w:rFonts w:asciiTheme="majorHAnsi" w:hAnsiTheme="majorHAnsi" w:cstheme="majorHAnsi"/>
          <w:b/>
          <w:sz w:val="24"/>
          <w:szCs w:val="24"/>
        </w:rPr>
        <w:t>.</w:t>
      </w:r>
      <w:r>
        <w:rPr>
          <w:rFonts w:asciiTheme="majorHAnsi" w:hAnsiTheme="majorHAnsi" w:cstheme="majorHAnsi"/>
          <w:b/>
          <w:sz w:val="24"/>
          <w:szCs w:val="24"/>
        </w:rPr>
        <w:t>8</w:t>
      </w:r>
      <w:r w:rsidRPr="0099048D">
        <w:rPr>
          <w:rFonts w:asciiTheme="majorHAnsi" w:hAnsiTheme="majorHAnsi" w:cstheme="majorHAnsi"/>
          <w:b/>
          <w:sz w:val="24"/>
          <w:szCs w:val="24"/>
        </w:rPr>
        <w:t xml:space="preserve">. </w:t>
      </w:r>
      <w:r w:rsidRPr="0099048D">
        <w:rPr>
          <w:rFonts w:asciiTheme="majorHAnsi" w:hAnsiTheme="majorHAnsi" w:cstheme="majorHAnsi"/>
          <w:sz w:val="24"/>
          <w:szCs w:val="24"/>
        </w:rPr>
        <w:t>Ministerul a achiziționat peste limitele normative stabilite</w:t>
      </w:r>
      <w:r w:rsidRPr="0099048D">
        <w:rPr>
          <w:rStyle w:val="a7"/>
          <w:rFonts w:asciiTheme="majorHAnsi" w:hAnsiTheme="majorHAnsi" w:cstheme="majorHAnsi"/>
          <w:sz w:val="24"/>
          <w:szCs w:val="24"/>
        </w:rPr>
        <w:footnoteReference w:id="22"/>
      </w:r>
      <w:r w:rsidRPr="0099048D">
        <w:rPr>
          <w:rFonts w:asciiTheme="majorHAnsi" w:hAnsiTheme="majorHAnsi" w:cstheme="majorHAnsi"/>
          <w:sz w:val="24"/>
          <w:szCs w:val="24"/>
        </w:rPr>
        <w:t xml:space="preserve"> 13 telefoane mobile în sumă de 59,3 mii lei</w:t>
      </w:r>
      <w:r w:rsidRPr="0099048D">
        <w:rPr>
          <w:rStyle w:val="a7"/>
          <w:rFonts w:asciiTheme="majorHAnsi" w:hAnsiTheme="majorHAnsi" w:cstheme="majorHAnsi"/>
          <w:sz w:val="24"/>
          <w:szCs w:val="24"/>
        </w:rPr>
        <w:footnoteReference w:id="23"/>
      </w:r>
      <w:r w:rsidRPr="0099048D">
        <w:rPr>
          <w:rFonts w:asciiTheme="majorHAnsi" w:hAnsiTheme="majorHAnsi" w:cstheme="majorHAnsi"/>
          <w:sz w:val="24"/>
          <w:szCs w:val="24"/>
        </w:rPr>
        <w:t>,</w:t>
      </w:r>
      <w:r w:rsidRPr="0099048D">
        <w:rPr>
          <w:rFonts w:asciiTheme="majorHAnsi" w:hAnsiTheme="majorHAnsi" w:cstheme="majorHAnsi"/>
          <w:b/>
          <w:sz w:val="24"/>
          <w:szCs w:val="24"/>
        </w:rPr>
        <w:t xml:space="preserve"> </w:t>
      </w:r>
      <w:r w:rsidRPr="0099048D">
        <w:rPr>
          <w:rFonts w:asciiTheme="majorHAnsi" w:hAnsiTheme="majorHAnsi" w:cstheme="majorHAnsi"/>
          <w:sz w:val="24"/>
          <w:szCs w:val="24"/>
        </w:rPr>
        <w:t xml:space="preserve">fiind asigurate pentru acestea și abonamente de telefonie (cu cheltuieli </w:t>
      </w:r>
      <w:r w:rsidRPr="00AB494E">
        <w:rPr>
          <w:rFonts w:asciiTheme="majorHAnsi" w:hAnsiTheme="majorHAnsi" w:cstheme="majorHAnsi"/>
          <w:sz w:val="24"/>
          <w:szCs w:val="24"/>
        </w:rPr>
        <w:t xml:space="preserve">suportate </w:t>
      </w:r>
      <w:r w:rsidRPr="0099048D">
        <w:rPr>
          <w:rFonts w:asciiTheme="majorHAnsi" w:hAnsiTheme="majorHAnsi" w:cstheme="majorHAnsi"/>
          <w:sz w:val="24"/>
          <w:szCs w:val="24"/>
        </w:rPr>
        <w:t>în decembrie</w:t>
      </w:r>
      <w:r>
        <w:rPr>
          <w:rFonts w:asciiTheme="majorHAnsi" w:hAnsiTheme="majorHAnsi" w:cstheme="majorHAnsi"/>
          <w:sz w:val="24"/>
          <w:szCs w:val="24"/>
        </w:rPr>
        <w:t xml:space="preserve"> </w:t>
      </w:r>
      <w:r w:rsidRPr="0099048D">
        <w:rPr>
          <w:rFonts w:asciiTheme="majorHAnsi" w:hAnsiTheme="majorHAnsi" w:cstheme="majorHAnsi"/>
          <w:sz w:val="24"/>
          <w:szCs w:val="24"/>
        </w:rPr>
        <w:t xml:space="preserve">2021 de 11,8 mii lei), </w:t>
      </w:r>
      <w:r w:rsidRPr="0099048D">
        <w:rPr>
          <w:rFonts w:asciiTheme="majorHAnsi" w:eastAsia="Times New Roman" w:hAnsiTheme="majorHAnsi" w:cstheme="majorHAnsi"/>
          <w:sz w:val="24"/>
          <w:szCs w:val="24"/>
        </w:rPr>
        <w:t xml:space="preserve">situație motivată de </w:t>
      </w:r>
      <w:r w:rsidR="00657608">
        <w:rPr>
          <w:rFonts w:asciiTheme="majorHAnsi" w:eastAsia="Times New Roman" w:hAnsiTheme="majorHAnsi" w:cstheme="majorHAnsi"/>
          <w:sz w:val="24"/>
          <w:szCs w:val="24"/>
        </w:rPr>
        <w:t xml:space="preserve">minister prin </w:t>
      </w:r>
      <w:r w:rsidRPr="0099048D">
        <w:rPr>
          <w:rFonts w:asciiTheme="majorHAnsi" w:eastAsia="Times New Roman" w:hAnsiTheme="majorHAnsi" w:cstheme="majorHAnsi"/>
          <w:sz w:val="24"/>
          <w:szCs w:val="24"/>
        </w:rPr>
        <w:t>tergiversarea procesului de restructurare și de transmitere a patrimoniului</w:t>
      </w:r>
      <w:r w:rsidRPr="0099048D">
        <w:rPr>
          <w:rFonts w:asciiTheme="majorHAnsi" w:hAnsiTheme="majorHAnsi" w:cstheme="majorHAnsi"/>
          <w:sz w:val="24"/>
          <w:szCs w:val="24"/>
        </w:rPr>
        <w:t xml:space="preserve">, fără aprobarea în acest sens, prin </w:t>
      </w:r>
      <w:r w:rsidRPr="0099048D">
        <w:rPr>
          <w:rFonts w:asciiTheme="majorHAnsi" w:eastAsia="Times New Roman" w:hAnsiTheme="majorHAnsi" w:cstheme="majorHAnsi"/>
          <w:sz w:val="24"/>
          <w:szCs w:val="24"/>
        </w:rPr>
        <w:t>decizia conducerii ministerului, a termenelor limită de menținere a acestor necesități.</w:t>
      </w:r>
    </w:p>
    <w:p w14:paraId="698D8EFC" w14:textId="123A6EA5" w:rsidR="00127B57" w:rsidRPr="0099048D" w:rsidRDefault="00127B57" w:rsidP="00085251">
      <w:pPr>
        <w:shd w:val="clear" w:color="auto" w:fill="FFFFFF" w:themeFill="background1"/>
        <w:spacing w:after="120" w:line="276" w:lineRule="auto"/>
        <w:jc w:val="both"/>
        <w:rPr>
          <w:rFonts w:asciiTheme="majorHAnsi" w:hAnsiTheme="majorHAnsi" w:cstheme="majorHAnsi"/>
          <w:sz w:val="24"/>
          <w:szCs w:val="24"/>
        </w:rPr>
      </w:pPr>
      <w:r>
        <w:rPr>
          <w:rFonts w:asciiTheme="majorHAnsi" w:hAnsiTheme="majorHAnsi" w:cstheme="majorHAnsi"/>
          <w:b/>
          <w:sz w:val="24"/>
          <w:szCs w:val="24"/>
        </w:rPr>
        <w:t>6</w:t>
      </w:r>
      <w:r w:rsidRPr="0099048D">
        <w:rPr>
          <w:rFonts w:asciiTheme="majorHAnsi" w:hAnsiTheme="majorHAnsi" w:cstheme="majorHAnsi"/>
          <w:b/>
          <w:sz w:val="24"/>
          <w:szCs w:val="24"/>
        </w:rPr>
        <w:t>.</w:t>
      </w:r>
      <w:r>
        <w:rPr>
          <w:rFonts w:asciiTheme="majorHAnsi" w:hAnsiTheme="majorHAnsi" w:cstheme="majorHAnsi"/>
          <w:b/>
          <w:sz w:val="24"/>
          <w:szCs w:val="24"/>
        </w:rPr>
        <w:t>9</w:t>
      </w:r>
      <w:r w:rsidRPr="0099048D">
        <w:rPr>
          <w:rFonts w:asciiTheme="majorHAnsi" w:hAnsiTheme="majorHAnsi" w:cstheme="majorHAnsi"/>
          <w:b/>
          <w:sz w:val="24"/>
          <w:szCs w:val="24"/>
        </w:rPr>
        <w:t>.</w:t>
      </w:r>
      <w:r w:rsidRPr="0099048D">
        <w:rPr>
          <w:rFonts w:asciiTheme="majorHAnsi" w:hAnsiTheme="majorHAnsi" w:cstheme="majorHAnsi"/>
          <w:sz w:val="24"/>
          <w:szCs w:val="24"/>
        </w:rPr>
        <w:t xml:space="preserve"> Realizarea neconformă a atribuțiilor și competențelor funcționale de către conducerea MC, a condiționat înregistrarea unor cheltuieli bugetare ce țin de serviciile funerar</w:t>
      </w:r>
      <w:r>
        <w:rPr>
          <w:rFonts w:asciiTheme="majorHAnsi" w:hAnsiTheme="majorHAnsi" w:cstheme="majorHAnsi"/>
          <w:sz w:val="24"/>
          <w:szCs w:val="24"/>
        </w:rPr>
        <w:t>e</w:t>
      </w:r>
      <w:r w:rsidR="00657608">
        <w:rPr>
          <w:rFonts w:asciiTheme="majorHAnsi" w:hAnsiTheme="majorHAnsi" w:cstheme="majorHAnsi"/>
          <w:sz w:val="24"/>
          <w:szCs w:val="24"/>
        </w:rPr>
        <w:t xml:space="preserve"> în sumă de </w:t>
      </w:r>
      <w:r w:rsidR="00657608" w:rsidRPr="0099048D">
        <w:rPr>
          <w:rFonts w:asciiTheme="majorHAnsi" w:hAnsiTheme="majorHAnsi" w:cstheme="majorHAnsi"/>
          <w:b/>
          <w:bCs/>
          <w:sz w:val="24"/>
          <w:szCs w:val="24"/>
        </w:rPr>
        <w:t>18,0 mii lei</w:t>
      </w:r>
      <w:r w:rsidR="00657608" w:rsidRPr="0099048D">
        <w:rPr>
          <w:rStyle w:val="a7"/>
          <w:rFonts w:asciiTheme="majorHAnsi" w:eastAsia="Times New Roman" w:hAnsiTheme="majorHAnsi" w:cstheme="majorHAnsi"/>
          <w:bCs/>
          <w:sz w:val="24"/>
          <w:szCs w:val="24"/>
        </w:rPr>
        <w:footnoteReference w:id="24"/>
      </w:r>
      <w:r w:rsidRPr="0099048D">
        <w:rPr>
          <w:rFonts w:asciiTheme="majorHAnsi" w:hAnsiTheme="majorHAnsi" w:cstheme="majorHAnsi"/>
          <w:sz w:val="24"/>
          <w:szCs w:val="24"/>
        </w:rPr>
        <w:t xml:space="preserve">, în afara unor reglementări de ordin normativ, </w:t>
      </w:r>
      <w:r w:rsidR="00657608">
        <w:rPr>
          <w:rFonts w:asciiTheme="majorHAnsi" w:hAnsiTheme="majorHAnsi" w:cstheme="majorHAnsi"/>
          <w:sz w:val="24"/>
          <w:szCs w:val="24"/>
        </w:rPr>
        <w:t>înregistrate la</w:t>
      </w:r>
      <w:r w:rsidRPr="0099048D">
        <w:rPr>
          <w:rFonts w:asciiTheme="majorHAnsi" w:hAnsiTheme="majorHAnsi" w:cstheme="majorHAnsi"/>
          <w:sz w:val="24"/>
          <w:szCs w:val="24"/>
        </w:rPr>
        <w:t xml:space="preserve"> </w:t>
      </w:r>
      <w:r w:rsidRPr="0099048D">
        <w:rPr>
          <w:rFonts w:asciiTheme="majorHAnsi" w:hAnsiTheme="majorHAnsi" w:cstheme="majorHAnsi"/>
          <w:bCs/>
          <w:sz w:val="24"/>
          <w:szCs w:val="24"/>
        </w:rPr>
        <w:t>subcontul 222990 „Servicii neatribuite altor alineate”.</w:t>
      </w:r>
    </w:p>
    <w:p w14:paraId="4793C438" w14:textId="6B60ADD0" w:rsidR="004763E7" w:rsidRPr="0099048D" w:rsidRDefault="00657608" w:rsidP="00085251">
      <w:pPr>
        <w:spacing w:after="120" w:line="276" w:lineRule="auto"/>
        <w:jc w:val="both"/>
        <w:rPr>
          <w:rFonts w:asciiTheme="majorHAnsi" w:eastAsia="Times New Roman" w:hAnsiTheme="majorHAnsi" w:cstheme="majorHAnsi"/>
          <w:sz w:val="24"/>
          <w:szCs w:val="24"/>
        </w:rPr>
      </w:pPr>
      <w:r>
        <w:rPr>
          <w:rFonts w:asciiTheme="majorHAnsi" w:hAnsiTheme="majorHAnsi" w:cstheme="majorHAnsi"/>
          <w:b/>
          <w:sz w:val="24"/>
          <w:szCs w:val="24"/>
        </w:rPr>
        <w:t>6</w:t>
      </w:r>
      <w:r w:rsidRPr="0099048D">
        <w:rPr>
          <w:rFonts w:asciiTheme="majorHAnsi" w:hAnsiTheme="majorHAnsi" w:cstheme="majorHAnsi"/>
          <w:b/>
          <w:sz w:val="24"/>
          <w:szCs w:val="24"/>
        </w:rPr>
        <w:t>.</w:t>
      </w:r>
      <w:r>
        <w:rPr>
          <w:rFonts w:asciiTheme="majorHAnsi" w:hAnsiTheme="majorHAnsi" w:cstheme="majorHAnsi"/>
          <w:b/>
          <w:sz w:val="24"/>
          <w:szCs w:val="24"/>
        </w:rPr>
        <w:t>10</w:t>
      </w:r>
      <w:r w:rsidRPr="0099048D">
        <w:rPr>
          <w:rFonts w:asciiTheme="majorHAnsi" w:hAnsiTheme="majorHAnsi" w:cstheme="majorHAnsi"/>
          <w:b/>
          <w:sz w:val="24"/>
          <w:szCs w:val="24"/>
        </w:rPr>
        <w:t>.</w:t>
      </w:r>
      <w:r>
        <w:rPr>
          <w:rFonts w:asciiTheme="majorHAnsi" w:hAnsiTheme="majorHAnsi" w:cstheme="majorHAnsi"/>
          <w:b/>
          <w:sz w:val="24"/>
          <w:szCs w:val="24"/>
        </w:rPr>
        <w:t xml:space="preserve"> </w:t>
      </w:r>
      <w:r w:rsidR="004763E7" w:rsidRPr="0099048D">
        <w:rPr>
          <w:rFonts w:asciiTheme="majorHAnsi" w:eastAsia="Times New Roman" w:hAnsiTheme="majorHAnsi" w:cstheme="majorHAnsi"/>
          <w:b/>
          <w:i/>
          <w:sz w:val="24"/>
          <w:szCs w:val="24"/>
        </w:rPr>
        <w:t>Se ia act că</w:t>
      </w:r>
      <w:r w:rsidR="004763E7" w:rsidRPr="0099048D">
        <w:rPr>
          <w:rFonts w:asciiTheme="majorHAnsi" w:eastAsia="Times New Roman" w:hAnsiTheme="majorHAnsi" w:cstheme="majorHAnsi"/>
          <w:sz w:val="24"/>
          <w:szCs w:val="24"/>
        </w:rPr>
        <w:t xml:space="preserve">, pe parcursul misiunii de audit, </w:t>
      </w:r>
      <w:r w:rsidR="00297C40">
        <w:rPr>
          <w:rFonts w:asciiTheme="majorHAnsi" w:eastAsia="Times New Roman" w:hAnsiTheme="majorHAnsi" w:cstheme="majorHAnsi"/>
          <w:sz w:val="24"/>
          <w:szCs w:val="24"/>
        </w:rPr>
        <w:t>m</w:t>
      </w:r>
      <w:r w:rsidR="000060B3" w:rsidRPr="0099048D">
        <w:rPr>
          <w:rFonts w:asciiTheme="majorHAnsi" w:eastAsia="Times New Roman" w:hAnsiTheme="majorHAnsi" w:cstheme="majorHAnsi"/>
          <w:sz w:val="24"/>
          <w:szCs w:val="24"/>
        </w:rPr>
        <w:t>inisterul</w:t>
      </w:r>
      <w:r w:rsidR="004763E7" w:rsidRPr="0099048D">
        <w:rPr>
          <w:rFonts w:asciiTheme="majorHAnsi" w:eastAsia="Times New Roman" w:hAnsiTheme="majorHAnsi" w:cstheme="majorHAnsi"/>
          <w:sz w:val="24"/>
          <w:szCs w:val="24"/>
        </w:rPr>
        <w:t xml:space="preserve"> și </w:t>
      </w:r>
      <w:r w:rsidR="0084653B" w:rsidRPr="0099048D">
        <w:rPr>
          <w:rFonts w:asciiTheme="majorHAnsi" w:eastAsia="Times New Roman" w:hAnsiTheme="majorHAnsi" w:cstheme="majorHAnsi"/>
          <w:sz w:val="24"/>
          <w:szCs w:val="24"/>
        </w:rPr>
        <w:t>instituți</w:t>
      </w:r>
      <w:r w:rsidR="0084653B">
        <w:rPr>
          <w:rFonts w:asciiTheme="majorHAnsi" w:eastAsia="Times New Roman" w:hAnsiTheme="majorHAnsi" w:cstheme="majorHAnsi"/>
          <w:sz w:val="24"/>
          <w:szCs w:val="24"/>
        </w:rPr>
        <w:t>a</w:t>
      </w:r>
      <w:r w:rsidR="0084653B" w:rsidRPr="0099048D">
        <w:rPr>
          <w:rFonts w:asciiTheme="majorHAnsi" w:eastAsia="Times New Roman" w:hAnsiTheme="majorHAnsi" w:cstheme="majorHAnsi"/>
          <w:sz w:val="24"/>
          <w:szCs w:val="24"/>
        </w:rPr>
        <w:t xml:space="preserve"> </w:t>
      </w:r>
      <w:r w:rsidR="004763E7" w:rsidRPr="0099048D">
        <w:rPr>
          <w:rFonts w:asciiTheme="majorHAnsi" w:eastAsia="Times New Roman" w:hAnsiTheme="majorHAnsi" w:cstheme="majorHAnsi"/>
          <w:sz w:val="24"/>
          <w:szCs w:val="24"/>
        </w:rPr>
        <w:t>din subordine</w:t>
      </w:r>
      <w:r w:rsidR="004763E7" w:rsidRPr="0099048D">
        <w:rPr>
          <w:rStyle w:val="a7"/>
          <w:rFonts w:asciiTheme="majorHAnsi" w:hAnsiTheme="majorHAnsi" w:cstheme="majorHAnsi"/>
          <w:sz w:val="24"/>
          <w:szCs w:val="24"/>
        </w:rPr>
        <w:footnoteReference w:id="25"/>
      </w:r>
      <w:r w:rsidR="004763E7" w:rsidRPr="0099048D">
        <w:rPr>
          <w:rFonts w:asciiTheme="majorHAnsi" w:eastAsia="Times New Roman" w:hAnsiTheme="majorHAnsi" w:cstheme="majorHAnsi"/>
          <w:sz w:val="24"/>
          <w:szCs w:val="24"/>
        </w:rPr>
        <w:t xml:space="preserve"> au efectuat corectări financiar-contabile </w:t>
      </w:r>
      <w:r w:rsidR="00297C40">
        <w:rPr>
          <w:rFonts w:asciiTheme="majorHAnsi" w:eastAsia="Times New Roman" w:hAnsiTheme="majorHAnsi" w:cstheme="majorHAnsi"/>
          <w:sz w:val="24"/>
          <w:szCs w:val="24"/>
        </w:rPr>
        <w:t xml:space="preserve">în sumă </w:t>
      </w:r>
      <w:r w:rsidR="004763E7" w:rsidRPr="0099048D">
        <w:rPr>
          <w:rFonts w:asciiTheme="majorHAnsi" w:eastAsia="Times New Roman" w:hAnsiTheme="majorHAnsi" w:cstheme="majorHAnsi"/>
          <w:sz w:val="24"/>
          <w:szCs w:val="24"/>
        </w:rPr>
        <w:t xml:space="preserve">de </w:t>
      </w:r>
      <w:r w:rsidR="00EE3420" w:rsidRPr="0099048D">
        <w:rPr>
          <w:rFonts w:asciiTheme="majorHAnsi" w:eastAsia="Times New Roman" w:hAnsiTheme="majorHAnsi" w:cstheme="majorHAnsi"/>
          <w:b/>
          <w:sz w:val="24"/>
          <w:szCs w:val="24"/>
        </w:rPr>
        <w:t>43,9</w:t>
      </w:r>
      <w:r w:rsidR="006130C5" w:rsidRPr="0099048D">
        <w:rPr>
          <w:rFonts w:asciiTheme="majorHAnsi" w:eastAsia="Times New Roman" w:hAnsiTheme="majorHAnsi" w:cstheme="majorHAnsi"/>
          <w:b/>
          <w:sz w:val="24"/>
          <w:szCs w:val="24"/>
        </w:rPr>
        <w:t xml:space="preserve"> mi</w:t>
      </w:r>
      <w:r w:rsidR="00EE3420" w:rsidRPr="0099048D">
        <w:rPr>
          <w:rFonts w:asciiTheme="majorHAnsi" w:eastAsia="Times New Roman" w:hAnsiTheme="majorHAnsi" w:cstheme="majorHAnsi"/>
          <w:b/>
          <w:sz w:val="24"/>
          <w:szCs w:val="24"/>
        </w:rPr>
        <w:t>i</w:t>
      </w:r>
      <w:r w:rsidR="004763E7" w:rsidRPr="0099048D">
        <w:rPr>
          <w:rFonts w:asciiTheme="majorHAnsi" w:eastAsia="Times New Roman" w:hAnsiTheme="majorHAnsi" w:cstheme="majorHAnsi"/>
          <w:b/>
          <w:sz w:val="24"/>
          <w:szCs w:val="24"/>
        </w:rPr>
        <w:t xml:space="preserve"> lei</w:t>
      </w:r>
      <w:r w:rsidR="004763E7" w:rsidRPr="00ED245F">
        <w:rPr>
          <w:rFonts w:asciiTheme="majorHAnsi" w:eastAsia="Times New Roman" w:hAnsiTheme="majorHAnsi" w:cstheme="majorHAnsi"/>
          <w:sz w:val="24"/>
          <w:szCs w:val="24"/>
        </w:rPr>
        <w:t>, au (re)înregistrat active</w:t>
      </w:r>
      <w:r w:rsidR="00EE3420" w:rsidRPr="00ED245F">
        <w:rPr>
          <w:rFonts w:asciiTheme="majorHAnsi" w:eastAsia="Times New Roman" w:hAnsiTheme="majorHAnsi" w:cstheme="majorHAnsi"/>
          <w:sz w:val="24"/>
          <w:szCs w:val="24"/>
        </w:rPr>
        <w:t xml:space="preserve"> capitale</w:t>
      </w:r>
      <w:r w:rsidR="004763E7" w:rsidRPr="0099048D">
        <w:rPr>
          <w:rFonts w:asciiTheme="majorHAnsi" w:eastAsia="Times New Roman" w:hAnsiTheme="majorHAnsi" w:cstheme="majorHAnsi"/>
          <w:sz w:val="24"/>
          <w:szCs w:val="24"/>
        </w:rPr>
        <w:t xml:space="preserve"> în evidență </w:t>
      </w:r>
      <w:r w:rsidR="00297C40">
        <w:rPr>
          <w:rFonts w:asciiTheme="majorHAnsi" w:eastAsia="Times New Roman" w:hAnsiTheme="majorHAnsi" w:cstheme="majorHAnsi"/>
          <w:sz w:val="24"/>
          <w:szCs w:val="24"/>
        </w:rPr>
        <w:t xml:space="preserve">în sumă </w:t>
      </w:r>
      <w:r w:rsidR="004763E7" w:rsidRPr="0099048D">
        <w:rPr>
          <w:rFonts w:asciiTheme="majorHAnsi" w:eastAsia="Times New Roman" w:hAnsiTheme="majorHAnsi" w:cstheme="majorHAnsi"/>
          <w:sz w:val="24"/>
          <w:szCs w:val="24"/>
        </w:rPr>
        <w:t xml:space="preserve">de </w:t>
      </w:r>
      <w:r w:rsidR="00091BED">
        <w:rPr>
          <w:rFonts w:asciiTheme="majorHAnsi" w:eastAsia="Times New Roman" w:hAnsiTheme="majorHAnsi" w:cstheme="majorHAnsi"/>
          <w:b/>
          <w:sz w:val="24"/>
          <w:szCs w:val="24"/>
        </w:rPr>
        <w:t>12.886,8</w:t>
      </w:r>
      <w:r w:rsidR="00EE3420" w:rsidRPr="0099048D">
        <w:rPr>
          <w:rFonts w:asciiTheme="majorHAnsi" w:eastAsia="Times New Roman" w:hAnsiTheme="majorHAnsi" w:cstheme="majorHAnsi"/>
          <w:b/>
          <w:sz w:val="24"/>
          <w:szCs w:val="24"/>
        </w:rPr>
        <w:t xml:space="preserve"> mii</w:t>
      </w:r>
      <w:r w:rsidR="004763E7" w:rsidRPr="0099048D">
        <w:rPr>
          <w:rFonts w:asciiTheme="majorHAnsi" w:eastAsia="Times New Roman" w:hAnsiTheme="majorHAnsi" w:cstheme="majorHAnsi"/>
          <w:b/>
          <w:sz w:val="24"/>
          <w:szCs w:val="24"/>
        </w:rPr>
        <w:t xml:space="preserve"> lei</w:t>
      </w:r>
      <w:r w:rsidR="004763E7" w:rsidRPr="0099048D">
        <w:rPr>
          <w:rFonts w:asciiTheme="majorHAnsi" w:eastAsia="Times New Roman" w:hAnsiTheme="majorHAnsi" w:cstheme="majorHAnsi"/>
          <w:sz w:val="24"/>
          <w:szCs w:val="24"/>
        </w:rPr>
        <w:t>.</w:t>
      </w:r>
    </w:p>
    <w:p w14:paraId="1F032EE5" w14:textId="77777777" w:rsidR="00E350D2" w:rsidRPr="0099048D" w:rsidRDefault="008C490B" w:rsidP="00E92A26">
      <w:pPr>
        <w:numPr>
          <w:ilvl w:val="0"/>
          <w:numId w:val="13"/>
        </w:numPr>
        <w:tabs>
          <w:tab w:val="left" w:pos="720"/>
        </w:tabs>
        <w:spacing w:after="120" w:line="276" w:lineRule="auto"/>
        <w:ind w:left="709"/>
        <w:jc w:val="both"/>
        <w:rPr>
          <w:rFonts w:asciiTheme="majorHAnsi" w:hAnsiTheme="majorHAnsi" w:cstheme="majorHAnsi"/>
          <w:b/>
          <w:bCs/>
          <w:sz w:val="24"/>
          <w:szCs w:val="24"/>
        </w:rPr>
      </w:pPr>
      <w:r w:rsidRPr="0099048D">
        <w:rPr>
          <w:rFonts w:asciiTheme="majorHAnsi" w:hAnsiTheme="majorHAnsi" w:cstheme="majorHAnsi"/>
          <w:b/>
          <w:bCs/>
          <w:sz w:val="24"/>
          <w:szCs w:val="24"/>
        </w:rPr>
        <w:t xml:space="preserve">  </w:t>
      </w:r>
      <w:r w:rsidR="00F718EC" w:rsidRPr="0099048D">
        <w:rPr>
          <w:rFonts w:asciiTheme="majorHAnsi" w:hAnsiTheme="majorHAnsi" w:cstheme="majorHAnsi"/>
          <w:b/>
          <w:bCs/>
          <w:sz w:val="24"/>
          <w:szCs w:val="24"/>
        </w:rPr>
        <w:t>RESPONSABILITĂȚILE CONDUCERII PENTRU RAPOARTELE FINANCIARE</w:t>
      </w:r>
    </w:p>
    <w:p w14:paraId="582AD7AA" w14:textId="76F8FA1F" w:rsidR="00E350D2" w:rsidRPr="0099048D" w:rsidRDefault="00E350D2" w:rsidP="004763E7">
      <w:pPr>
        <w:spacing w:after="240" w:line="276" w:lineRule="auto"/>
        <w:jc w:val="both"/>
        <w:rPr>
          <w:rFonts w:asciiTheme="majorHAnsi" w:hAnsiTheme="majorHAnsi" w:cstheme="majorHAnsi"/>
          <w:color w:val="000000"/>
          <w:sz w:val="24"/>
          <w:szCs w:val="24"/>
        </w:rPr>
      </w:pPr>
      <w:r w:rsidRPr="0099048D">
        <w:rPr>
          <w:rFonts w:asciiTheme="majorHAnsi" w:hAnsiTheme="majorHAnsi" w:cstheme="majorHAnsi"/>
          <w:sz w:val="24"/>
          <w:szCs w:val="24"/>
        </w:rPr>
        <w:t>Ministrul Culturii, în calitate de conducător al organului central de specialitate al administrației publice, este responsabil de întocmirea și prezentarea corectă și fidelă a rapoartelor financiare consolidate</w:t>
      </w:r>
      <w:r w:rsidRPr="004A262A">
        <w:rPr>
          <w:rStyle w:val="a7"/>
          <w:rFonts w:asciiTheme="majorHAnsi" w:hAnsiTheme="majorHAnsi" w:cstheme="majorHAnsi"/>
          <w:sz w:val="24"/>
          <w:szCs w:val="24"/>
        </w:rPr>
        <w:footnoteReference w:id="26"/>
      </w:r>
      <w:r w:rsidRPr="0099048D">
        <w:rPr>
          <w:rFonts w:asciiTheme="majorHAnsi" w:hAnsiTheme="majorHAnsi" w:cstheme="majorHAnsi"/>
          <w:sz w:val="24"/>
          <w:szCs w:val="24"/>
        </w:rPr>
        <w:t xml:space="preserve"> în conformitate cu cadrul de raportare financiară aplicabil</w:t>
      </w:r>
      <w:r w:rsidRPr="004A262A">
        <w:rPr>
          <w:rStyle w:val="a7"/>
          <w:rFonts w:asciiTheme="majorHAnsi" w:hAnsiTheme="majorHAnsi" w:cstheme="majorHAnsi"/>
          <w:sz w:val="24"/>
          <w:szCs w:val="24"/>
        </w:rPr>
        <w:footnoteReference w:id="27"/>
      </w:r>
      <w:r w:rsidRPr="0099048D">
        <w:rPr>
          <w:rFonts w:asciiTheme="majorHAnsi" w:hAnsiTheme="majorHAnsi" w:cstheme="majorHAnsi"/>
          <w:sz w:val="24"/>
          <w:szCs w:val="24"/>
        </w:rPr>
        <w:t xml:space="preserve">. </w:t>
      </w:r>
      <w:r w:rsidR="009C0234" w:rsidRPr="0099048D">
        <w:rPr>
          <w:rFonts w:asciiTheme="majorHAnsi" w:hAnsiTheme="majorHAnsi" w:cstheme="majorHAnsi"/>
          <w:sz w:val="24"/>
          <w:szCs w:val="24"/>
        </w:rPr>
        <w:t xml:space="preserve">În </w:t>
      </w:r>
      <w:r w:rsidR="00297C40">
        <w:rPr>
          <w:rFonts w:asciiTheme="majorHAnsi" w:hAnsiTheme="majorHAnsi" w:cstheme="majorHAnsi"/>
          <w:sz w:val="24"/>
          <w:szCs w:val="24"/>
        </w:rPr>
        <w:t xml:space="preserve">acest </w:t>
      </w:r>
      <w:r w:rsidR="009C0234" w:rsidRPr="0099048D">
        <w:rPr>
          <w:rFonts w:asciiTheme="majorHAnsi" w:hAnsiTheme="majorHAnsi" w:cstheme="majorHAnsi"/>
          <w:sz w:val="24"/>
          <w:szCs w:val="24"/>
        </w:rPr>
        <w:t>context</w:t>
      </w:r>
      <w:r w:rsidRPr="0099048D">
        <w:rPr>
          <w:rFonts w:asciiTheme="majorHAnsi" w:hAnsiTheme="majorHAnsi" w:cstheme="majorHAnsi"/>
          <w:sz w:val="24"/>
          <w:szCs w:val="24"/>
        </w:rPr>
        <w:t xml:space="preserve">, Ministrul </w:t>
      </w:r>
      <w:r w:rsidR="009C0234" w:rsidRPr="0099048D">
        <w:rPr>
          <w:rFonts w:asciiTheme="majorHAnsi" w:hAnsiTheme="majorHAnsi" w:cstheme="majorHAnsi"/>
          <w:sz w:val="24"/>
          <w:szCs w:val="24"/>
        </w:rPr>
        <w:t>Culturii</w:t>
      </w:r>
      <w:r w:rsidRPr="0099048D">
        <w:rPr>
          <w:rFonts w:asciiTheme="majorHAnsi" w:hAnsiTheme="majorHAnsi" w:cstheme="majorHAnsi"/>
          <w:sz w:val="24"/>
          <w:szCs w:val="24"/>
        </w:rPr>
        <w:t xml:space="preserve"> </w:t>
      </w:r>
      <w:r w:rsidRPr="00ED245F">
        <w:rPr>
          <w:rFonts w:asciiTheme="majorHAnsi" w:hAnsiTheme="majorHAnsi" w:cstheme="majorHAnsi"/>
          <w:sz w:val="24"/>
          <w:szCs w:val="24"/>
        </w:rPr>
        <w:t xml:space="preserve">poartă </w:t>
      </w:r>
      <w:r w:rsidRPr="0099048D">
        <w:rPr>
          <w:rFonts w:asciiTheme="majorHAnsi" w:hAnsiTheme="majorHAnsi" w:cstheme="majorHAnsi"/>
          <w:sz w:val="24"/>
          <w:szCs w:val="24"/>
        </w:rPr>
        <w:t xml:space="preserve">răspundere </w:t>
      </w:r>
      <w:r w:rsidR="00297C40">
        <w:rPr>
          <w:rFonts w:asciiTheme="majorHAnsi" w:hAnsiTheme="majorHAnsi" w:cstheme="majorHAnsi"/>
          <w:sz w:val="24"/>
          <w:szCs w:val="24"/>
        </w:rPr>
        <w:t xml:space="preserve">directă </w:t>
      </w:r>
      <w:r w:rsidRPr="0099048D">
        <w:rPr>
          <w:rFonts w:asciiTheme="majorHAnsi" w:hAnsiTheme="majorHAnsi" w:cstheme="majorHAnsi"/>
          <w:sz w:val="24"/>
          <w:szCs w:val="24"/>
        </w:rPr>
        <w:t xml:space="preserve">pentru organizarea controlului intern managerial, care să asigure întocmirea rapoartelor financiare ce nu conțin denaturări semnificative, cauzate de fraudă și/sau eroare, precum și pentru </w:t>
      </w:r>
      <w:r w:rsidRPr="0099048D">
        <w:rPr>
          <w:rFonts w:asciiTheme="majorHAnsi" w:hAnsiTheme="majorHAnsi" w:cstheme="majorHAnsi"/>
          <w:color w:val="000000"/>
          <w:sz w:val="24"/>
          <w:szCs w:val="24"/>
        </w:rPr>
        <w:t>organizarea eficientă a activității economice per ansamblu, inclusiv prin respectarea strictă a integrității activelor și exactitatea înregistrărilor contabile.</w:t>
      </w:r>
    </w:p>
    <w:p w14:paraId="7EA071BE" w14:textId="77777777" w:rsidR="00E350D2" w:rsidRPr="0099048D" w:rsidRDefault="00E350D2" w:rsidP="00E92A26">
      <w:pPr>
        <w:numPr>
          <w:ilvl w:val="0"/>
          <w:numId w:val="13"/>
        </w:numPr>
        <w:tabs>
          <w:tab w:val="left" w:pos="720"/>
        </w:tabs>
        <w:spacing w:after="120" w:line="276" w:lineRule="auto"/>
        <w:ind w:left="709"/>
        <w:jc w:val="both"/>
        <w:rPr>
          <w:rFonts w:asciiTheme="majorHAnsi" w:hAnsiTheme="majorHAnsi" w:cstheme="majorHAnsi"/>
          <w:b/>
          <w:bCs/>
          <w:sz w:val="24"/>
          <w:szCs w:val="24"/>
        </w:rPr>
      </w:pPr>
      <w:r w:rsidRPr="0099048D">
        <w:rPr>
          <w:rFonts w:asciiTheme="majorHAnsi" w:hAnsiTheme="majorHAnsi" w:cstheme="majorHAnsi"/>
          <w:b/>
          <w:bCs/>
          <w:sz w:val="24"/>
          <w:szCs w:val="24"/>
        </w:rPr>
        <w:t>RESPONSABILITĂȚILE AUDITORULUI ÎNTR-UN AUDIT AL RAPOARTELOR FINANCIARE</w:t>
      </w:r>
    </w:p>
    <w:p w14:paraId="6C386FD2" w14:textId="77777777" w:rsidR="002D3DB7" w:rsidRPr="0099048D" w:rsidRDefault="002D3DB7" w:rsidP="002D3DB7">
      <w:pPr>
        <w:pStyle w:val="Default"/>
        <w:spacing w:line="276" w:lineRule="auto"/>
        <w:jc w:val="both"/>
        <w:rPr>
          <w:rFonts w:asciiTheme="majorHAnsi" w:hAnsiTheme="majorHAnsi" w:cstheme="majorHAnsi"/>
          <w:color w:val="auto"/>
          <w:lang w:val="ro-MD"/>
        </w:rPr>
      </w:pPr>
      <w:r w:rsidRPr="0099048D">
        <w:rPr>
          <w:rFonts w:asciiTheme="majorHAnsi" w:hAnsiTheme="majorHAnsi" w:cstheme="majorHAnsi"/>
          <w:color w:val="auto"/>
          <w:lang w:val="ro-MD"/>
        </w:rPr>
        <w:t>Responsabilitatea noastră este de a planifica și a realiza misiunea de audit public, cu obținerea probelor suficiente și adecvate în vederea susținerii bazei pentru opinia de audit. Obiectivele noastre sunt: obținerea unei asigurări rezonabile că rapoartele financiare nu sunt afectate de denaturări semnificative, cauzate de fraude și/sau erori, precum și emiterea unei opinii.</w:t>
      </w:r>
    </w:p>
    <w:p w14:paraId="4C26B769" w14:textId="77777777" w:rsidR="002D3DB7" w:rsidRPr="0099048D" w:rsidRDefault="002D3DB7" w:rsidP="002D3DB7">
      <w:pPr>
        <w:pStyle w:val="Default"/>
        <w:spacing w:line="276" w:lineRule="auto"/>
        <w:jc w:val="both"/>
        <w:rPr>
          <w:rFonts w:asciiTheme="majorHAnsi" w:hAnsiTheme="majorHAnsi" w:cstheme="majorHAnsi"/>
          <w:color w:val="auto"/>
          <w:lang w:val="ro-MD"/>
        </w:rPr>
      </w:pPr>
      <w:r w:rsidRPr="0099048D">
        <w:rPr>
          <w:rFonts w:asciiTheme="majorHAnsi" w:hAnsiTheme="majorHAnsi" w:cstheme="majorHAnsi"/>
          <w:color w:val="auto"/>
          <w:lang w:val="ro-MD"/>
        </w:rPr>
        <w:t>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w:t>
      </w:r>
      <w:r w:rsidR="006B136D" w:rsidRPr="0099048D">
        <w:rPr>
          <w:rFonts w:asciiTheme="majorHAnsi" w:hAnsiTheme="majorHAnsi" w:cstheme="majorHAnsi"/>
          <w:color w:val="auto"/>
          <w:lang w:val="ro-MD"/>
        </w:rPr>
        <w:t>or acestor rapoarte financiare.</w:t>
      </w:r>
    </w:p>
    <w:p w14:paraId="0457152F" w14:textId="77777777" w:rsidR="002D3DB7" w:rsidRPr="0099048D" w:rsidRDefault="002D3DB7" w:rsidP="002D3DB7">
      <w:pPr>
        <w:shd w:val="clear" w:color="auto" w:fill="FFFFFF"/>
        <w:spacing w:after="0" w:line="276" w:lineRule="auto"/>
        <w:jc w:val="both"/>
        <w:rPr>
          <w:rFonts w:asciiTheme="majorHAnsi" w:hAnsiTheme="majorHAnsi" w:cstheme="majorHAnsi"/>
          <w:sz w:val="24"/>
          <w:szCs w:val="24"/>
        </w:rPr>
      </w:pPr>
      <w:r w:rsidRPr="0099048D">
        <w:rPr>
          <w:rFonts w:asciiTheme="majorHAnsi" w:hAnsiTheme="majorHAnsi" w:cstheme="majorHAnsi"/>
          <w:sz w:val="24"/>
          <w:szCs w:val="24"/>
        </w:rPr>
        <w:t>Pentru obținerea probelor de audit suficiente și adecvate, care să susțină concluziile și credibilitatea observațiilor expuse în Raport, prin aplicarea pragului de semnificație, au fost utilizate proceduri de verificare, examinare și analiză, cu folosirea diferitor tehnici, cum ar fi: inspectarea, observarea, solicitarea de informații, recalcularea, intervievarea etc. Toate observațiile auditorului, inclusiv deficiențele semnificative ale controlului intern managerial, au fost comunicate entităților auditate pe parcursul misiunii de audit.</w:t>
      </w:r>
    </w:p>
    <w:p w14:paraId="1BD45DFB" w14:textId="77777777" w:rsidR="002D3DB7" w:rsidRPr="0099048D" w:rsidRDefault="002D3DB7" w:rsidP="002D3DB7">
      <w:pPr>
        <w:pStyle w:val="Default"/>
        <w:spacing w:line="276" w:lineRule="auto"/>
        <w:jc w:val="both"/>
        <w:rPr>
          <w:rFonts w:asciiTheme="majorHAnsi" w:hAnsiTheme="majorHAnsi" w:cstheme="majorHAnsi"/>
          <w:color w:val="auto"/>
          <w:lang w:val="ro-MD"/>
        </w:rPr>
      </w:pPr>
    </w:p>
    <w:p w14:paraId="3D26189C" w14:textId="2CCF5649" w:rsidR="00E337F0" w:rsidRPr="0099048D" w:rsidRDefault="00E337F0" w:rsidP="002D3DB7">
      <w:pPr>
        <w:pStyle w:val="Default"/>
        <w:spacing w:line="276" w:lineRule="auto"/>
        <w:jc w:val="both"/>
        <w:rPr>
          <w:rFonts w:asciiTheme="majorHAnsi" w:hAnsiTheme="majorHAnsi" w:cstheme="majorHAnsi"/>
          <w:color w:val="auto"/>
          <w:lang w:val="ro-MD"/>
        </w:rPr>
      </w:pPr>
    </w:p>
    <w:p w14:paraId="798AFBE0" w14:textId="77777777" w:rsidR="002D3DB7" w:rsidRPr="0099048D" w:rsidRDefault="00BA140F" w:rsidP="00215925">
      <w:pPr>
        <w:spacing w:after="0" w:line="276" w:lineRule="auto"/>
        <w:jc w:val="both"/>
        <w:rPr>
          <w:rFonts w:asciiTheme="majorHAnsi" w:eastAsia="Times New Roman" w:hAnsiTheme="majorHAnsi" w:cstheme="majorHAnsi"/>
          <w:b/>
          <w:i/>
          <w:sz w:val="24"/>
          <w:szCs w:val="24"/>
          <w:lang w:eastAsia="ro-MD"/>
        </w:rPr>
      </w:pPr>
      <w:r w:rsidRPr="0099048D">
        <w:rPr>
          <w:rFonts w:asciiTheme="majorHAnsi" w:eastAsia="Times New Roman" w:hAnsiTheme="majorHAnsi" w:cstheme="majorHAnsi"/>
          <w:b/>
          <w:i/>
          <w:sz w:val="24"/>
          <w:szCs w:val="24"/>
          <w:lang w:eastAsia="ro-MD"/>
        </w:rPr>
        <w:t>Responsabil</w:t>
      </w:r>
      <w:r w:rsidR="002D3DB7" w:rsidRPr="0099048D">
        <w:rPr>
          <w:rFonts w:asciiTheme="majorHAnsi" w:eastAsia="Times New Roman" w:hAnsiTheme="majorHAnsi" w:cstheme="majorHAnsi"/>
          <w:b/>
          <w:i/>
          <w:sz w:val="24"/>
          <w:szCs w:val="24"/>
          <w:lang w:eastAsia="ro-MD"/>
        </w:rPr>
        <w:t xml:space="preserve"> de întocmirea Raportului de audit:</w:t>
      </w:r>
    </w:p>
    <w:p w14:paraId="63EDAD18" w14:textId="77777777" w:rsidR="002D3DB7" w:rsidRPr="0099048D" w:rsidRDefault="002D3DB7" w:rsidP="00215925">
      <w:pPr>
        <w:spacing w:after="0" w:line="276" w:lineRule="auto"/>
        <w:jc w:val="both"/>
        <w:rPr>
          <w:rFonts w:asciiTheme="majorHAnsi" w:eastAsia="Times New Roman" w:hAnsiTheme="majorHAnsi" w:cstheme="majorHAnsi"/>
          <w:sz w:val="24"/>
          <w:szCs w:val="24"/>
          <w:lang w:eastAsia="ro-MD"/>
        </w:rPr>
      </w:pPr>
      <w:r w:rsidRPr="0099048D">
        <w:rPr>
          <w:rFonts w:asciiTheme="majorHAnsi" w:eastAsia="Times New Roman" w:hAnsiTheme="majorHAnsi" w:cstheme="majorHAnsi"/>
          <w:sz w:val="24"/>
          <w:szCs w:val="24"/>
          <w:lang w:eastAsia="ro-MD"/>
        </w:rPr>
        <w:t>Șeful echipei de audit,</w:t>
      </w:r>
    </w:p>
    <w:p w14:paraId="30166123" w14:textId="77777777" w:rsidR="002D3DB7" w:rsidRPr="0099048D" w:rsidRDefault="00E335E2" w:rsidP="00215925">
      <w:pPr>
        <w:spacing w:after="0" w:line="276" w:lineRule="auto"/>
        <w:jc w:val="both"/>
        <w:rPr>
          <w:rFonts w:asciiTheme="majorHAnsi" w:hAnsiTheme="majorHAnsi" w:cstheme="majorHAnsi"/>
          <w:sz w:val="24"/>
          <w:szCs w:val="24"/>
        </w:rPr>
      </w:pPr>
      <w:r w:rsidRPr="0099048D">
        <w:rPr>
          <w:rFonts w:asciiTheme="majorHAnsi" w:hAnsiTheme="majorHAnsi" w:cstheme="majorHAnsi"/>
          <w:sz w:val="24"/>
          <w:szCs w:val="24"/>
        </w:rPr>
        <w:t>Șeful Direcției de audit III în cadrul DGA V</w:t>
      </w:r>
      <w:r w:rsidR="002D3DB7" w:rsidRPr="0099048D">
        <w:rPr>
          <w:rFonts w:asciiTheme="majorHAnsi" w:hAnsiTheme="majorHAnsi" w:cstheme="majorHAnsi"/>
          <w:sz w:val="24"/>
          <w:szCs w:val="24"/>
        </w:rPr>
        <w:tab/>
      </w:r>
      <w:r w:rsidR="002D3DB7" w:rsidRPr="0099048D">
        <w:rPr>
          <w:rFonts w:asciiTheme="majorHAnsi" w:hAnsiTheme="majorHAnsi" w:cstheme="majorHAnsi"/>
          <w:sz w:val="24"/>
          <w:szCs w:val="24"/>
        </w:rPr>
        <w:tab/>
      </w:r>
      <w:r w:rsidR="002D3DB7" w:rsidRPr="0099048D">
        <w:rPr>
          <w:rFonts w:asciiTheme="majorHAnsi" w:hAnsiTheme="majorHAnsi" w:cstheme="majorHAnsi"/>
          <w:sz w:val="24"/>
          <w:szCs w:val="24"/>
        </w:rPr>
        <w:tab/>
        <w:t xml:space="preserve">Ion PLEȘCA </w:t>
      </w:r>
    </w:p>
    <w:p w14:paraId="65995960" w14:textId="77777777" w:rsidR="00BA140F" w:rsidRPr="0099048D" w:rsidRDefault="00BA140F" w:rsidP="00215925">
      <w:pPr>
        <w:spacing w:after="0" w:line="276" w:lineRule="auto"/>
        <w:jc w:val="both"/>
        <w:rPr>
          <w:rFonts w:asciiTheme="majorHAnsi" w:eastAsia="Times New Roman" w:hAnsiTheme="majorHAnsi" w:cstheme="majorHAnsi"/>
          <w:b/>
          <w:i/>
          <w:sz w:val="24"/>
          <w:szCs w:val="24"/>
          <w:lang w:eastAsia="ro-MD"/>
        </w:rPr>
      </w:pPr>
      <w:r w:rsidRPr="0099048D">
        <w:rPr>
          <w:rFonts w:asciiTheme="majorHAnsi" w:eastAsia="Times New Roman" w:hAnsiTheme="majorHAnsi" w:cstheme="majorHAnsi"/>
          <w:b/>
          <w:i/>
          <w:sz w:val="24"/>
          <w:szCs w:val="24"/>
          <w:lang w:eastAsia="ro-MD"/>
        </w:rPr>
        <w:t>Responsabilă de planificare:</w:t>
      </w:r>
    </w:p>
    <w:p w14:paraId="470693A9" w14:textId="77777777" w:rsidR="00BA140F" w:rsidRPr="0099048D" w:rsidRDefault="00736B75" w:rsidP="00215925">
      <w:pPr>
        <w:spacing w:after="0" w:line="276" w:lineRule="auto"/>
        <w:jc w:val="both"/>
        <w:rPr>
          <w:rFonts w:asciiTheme="majorHAnsi" w:hAnsiTheme="majorHAnsi" w:cstheme="majorHAnsi"/>
          <w:sz w:val="24"/>
          <w:szCs w:val="24"/>
        </w:rPr>
      </w:pPr>
      <w:r w:rsidRPr="0099048D">
        <w:rPr>
          <w:rFonts w:asciiTheme="majorHAnsi" w:eastAsia="Times New Roman" w:hAnsiTheme="majorHAnsi" w:cstheme="majorHAnsi"/>
          <w:sz w:val="24"/>
          <w:szCs w:val="24"/>
          <w:lang w:eastAsia="ro-MD"/>
        </w:rPr>
        <w:t>Auditoare publică principală</w:t>
      </w:r>
      <w:r w:rsidRPr="0099048D">
        <w:rPr>
          <w:rFonts w:asciiTheme="majorHAnsi" w:eastAsia="Times New Roman" w:hAnsiTheme="majorHAnsi" w:cstheme="majorHAnsi"/>
          <w:sz w:val="24"/>
          <w:szCs w:val="24"/>
          <w:lang w:eastAsia="ro-MD"/>
        </w:rPr>
        <w:tab/>
      </w:r>
      <w:r w:rsidRPr="0099048D">
        <w:rPr>
          <w:rFonts w:asciiTheme="majorHAnsi" w:eastAsia="Times New Roman" w:hAnsiTheme="majorHAnsi" w:cstheme="majorHAnsi"/>
          <w:sz w:val="24"/>
          <w:szCs w:val="24"/>
          <w:lang w:eastAsia="ro-MD"/>
        </w:rPr>
        <w:tab/>
      </w:r>
      <w:r w:rsidR="00BA140F" w:rsidRPr="0099048D">
        <w:rPr>
          <w:rFonts w:asciiTheme="majorHAnsi" w:hAnsiTheme="majorHAnsi" w:cstheme="majorHAnsi"/>
          <w:sz w:val="24"/>
          <w:szCs w:val="24"/>
        </w:rPr>
        <w:tab/>
      </w:r>
      <w:r w:rsidR="00BA140F" w:rsidRPr="0099048D">
        <w:rPr>
          <w:rFonts w:asciiTheme="majorHAnsi" w:hAnsiTheme="majorHAnsi" w:cstheme="majorHAnsi"/>
          <w:sz w:val="24"/>
          <w:szCs w:val="24"/>
        </w:rPr>
        <w:tab/>
      </w:r>
      <w:r w:rsidR="00BA140F" w:rsidRPr="0099048D">
        <w:rPr>
          <w:rFonts w:asciiTheme="majorHAnsi" w:hAnsiTheme="majorHAnsi" w:cstheme="majorHAnsi"/>
          <w:sz w:val="24"/>
          <w:szCs w:val="24"/>
        </w:rPr>
        <w:tab/>
        <w:t xml:space="preserve">Lucia DRAGUȚAN </w:t>
      </w:r>
    </w:p>
    <w:p w14:paraId="625BA7CA" w14:textId="77777777" w:rsidR="002D3DB7" w:rsidRPr="0099048D" w:rsidRDefault="002D3DB7" w:rsidP="00215925">
      <w:pPr>
        <w:spacing w:after="0" w:line="276" w:lineRule="auto"/>
        <w:jc w:val="both"/>
        <w:rPr>
          <w:rFonts w:asciiTheme="majorHAnsi" w:eastAsia="Times New Roman" w:hAnsiTheme="majorHAnsi" w:cstheme="majorHAnsi"/>
          <w:b/>
          <w:i/>
          <w:sz w:val="24"/>
          <w:szCs w:val="24"/>
          <w:lang w:eastAsia="ro-MD"/>
        </w:rPr>
      </w:pPr>
      <w:r w:rsidRPr="0099048D">
        <w:rPr>
          <w:rFonts w:asciiTheme="majorHAnsi" w:eastAsia="Times New Roman" w:hAnsiTheme="majorHAnsi" w:cstheme="majorHAnsi"/>
          <w:b/>
          <w:i/>
          <w:sz w:val="24"/>
          <w:szCs w:val="24"/>
          <w:lang w:eastAsia="ro-MD"/>
        </w:rPr>
        <w:t>Membrii echipei de audit:</w:t>
      </w:r>
    </w:p>
    <w:p w14:paraId="7140D1B6" w14:textId="77777777" w:rsidR="002D3DB7" w:rsidRPr="0099048D" w:rsidRDefault="002D3DB7" w:rsidP="00215925">
      <w:pPr>
        <w:spacing w:after="0" w:line="276" w:lineRule="auto"/>
        <w:jc w:val="both"/>
        <w:rPr>
          <w:rFonts w:asciiTheme="majorHAnsi" w:hAnsiTheme="majorHAnsi" w:cstheme="majorHAnsi"/>
          <w:sz w:val="24"/>
          <w:szCs w:val="24"/>
        </w:rPr>
      </w:pPr>
      <w:r w:rsidRPr="0099048D">
        <w:rPr>
          <w:rFonts w:asciiTheme="majorHAnsi" w:eastAsia="Times New Roman" w:hAnsiTheme="majorHAnsi" w:cstheme="majorHAnsi"/>
          <w:sz w:val="24"/>
          <w:szCs w:val="24"/>
          <w:lang w:eastAsia="ro-MD"/>
        </w:rPr>
        <w:t>Auditoare publică principală</w:t>
      </w:r>
      <w:r w:rsidRPr="0099048D">
        <w:rPr>
          <w:rFonts w:asciiTheme="majorHAnsi" w:hAnsiTheme="majorHAnsi" w:cstheme="majorHAnsi"/>
          <w:sz w:val="24"/>
          <w:szCs w:val="24"/>
        </w:rPr>
        <w:tab/>
      </w:r>
      <w:r w:rsidRPr="0099048D">
        <w:rPr>
          <w:rFonts w:asciiTheme="majorHAnsi" w:hAnsiTheme="majorHAnsi" w:cstheme="majorHAnsi"/>
          <w:sz w:val="24"/>
          <w:szCs w:val="24"/>
        </w:rPr>
        <w:tab/>
      </w:r>
      <w:r w:rsidRPr="0099048D">
        <w:rPr>
          <w:rFonts w:asciiTheme="majorHAnsi" w:hAnsiTheme="majorHAnsi" w:cstheme="majorHAnsi"/>
          <w:sz w:val="24"/>
          <w:szCs w:val="24"/>
        </w:rPr>
        <w:tab/>
      </w:r>
      <w:r w:rsidRPr="0099048D">
        <w:rPr>
          <w:rFonts w:asciiTheme="majorHAnsi" w:hAnsiTheme="majorHAnsi" w:cstheme="majorHAnsi"/>
          <w:sz w:val="24"/>
          <w:szCs w:val="24"/>
        </w:rPr>
        <w:tab/>
      </w:r>
      <w:r w:rsidRPr="0099048D">
        <w:rPr>
          <w:rFonts w:asciiTheme="majorHAnsi" w:hAnsiTheme="majorHAnsi" w:cstheme="majorHAnsi"/>
          <w:sz w:val="24"/>
          <w:szCs w:val="24"/>
        </w:rPr>
        <w:tab/>
      </w:r>
      <w:r w:rsidR="00E335E2" w:rsidRPr="0099048D">
        <w:rPr>
          <w:rFonts w:asciiTheme="majorHAnsi" w:hAnsiTheme="majorHAnsi" w:cstheme="majorHAnsi"/>
          <w:sz w:val="24"/>
          <w:szCs w:val="24"/>
        </w:rPr>
        <w:t>Elena COLIBĂ</w:t>
      </w:r>
    </w:p>
    <w:p w14:paraId="5EBA3172" w14:textId="77777777" w:rsidR="002D3DB7" w:rsidRPr="0099048D" w:rsidRDefault="002D3DB7" w:rsidP="00215925">
      <w:pPr>
        <w:spacing w:after="0" w:line="276" w:lineRule="auto"/>
        <w:jc w:val="both"/>
        <w:rPr>
          <w:rFonts w:asciiTheme="majorHAnsi" w:hAnsiTheme="majorHAnsi" w:cstheme="majorHAnsi"/>
          <w:sz w:val="24"/>
          <w:szCs w:val="24"/>
        </w:rPr>
      </w:pPr>
      <w:r w:rsidRPr="0099048D">
        <w:rPr>
          <w:rFonts w:asciiTheme="majorHAnsi" w:eastAsia="Times New Roman" w:hAnsiTheme="majorHAnsi" w:cstheme="majorHAnsi"/>
          <w:sz w:val="24"/>
          <w:szCs w:val="24"/>
          <w:lang w:eastAsia="ro-MD"/>
        </w:rPr>
        <w:t>Auditor public principal</w:t>
      </w:r>
      <w:r w:rsidRPr="0099048D">
        <w:rPr>
          <w:rFonts w:asciiTheme="majorHAnsi" w:hAnsiTheme="majorHAnsi" w:cstheme="majorHAnsi"/>
          <w:sz w:val="24"/>
          <w:szCs w:val="24"/>
        </w:rPr>
        <w:tab/>
      </w:r>
      <w:r w:rsidRPr="0099048D">
        <w:rPr>
          <w:rFonts w:asciiTheme="majorHAnsi" w:hAnsiTheme="majorHAnsi" w:cstheme="majorHAnsi"/>
          <w:sz w:val="24"/>
          <w:szCs w:val="24"/>
        </w:rPr>
        <w:tab/>
      </w:r>
      <w:r w:rsidRPr="0099048D">
        <w:rPr>
          <w:rFonts w:asciiTheme="majorHAnsi" w:hAnsiTheme="majorHAnsi" w:cstheme="majorHAnsi"/>
          <w:sz w:val="24"/>
          <w:szCs w:val="24"/>
        </w:rPr>
        <w:tab/>
      </w:r>
      <w:r w:rsidRPr="0099048D">
        <w:rPr>
          <w:rFonts w:asciiTheme="majorHAnsi" w:hAnsiTheme="majorHAnsi" w:cstheme="majorHAnsi"/>
          <w:sz w:val="24"/>
          <w:szCs w:val="24"/>
        </w:rPr>
        <w:tab/>
      </w:r>
      <w:r w:rsidRPr="0099048D">
        <w:rPr>
          <w:rFonts w:asciiTheme="majorHAnsi" w:hAnsiTheme="majorHAnsi" w:cstheme="majorHAnsi"/>
          <w:sz w:val="24"/>
          <w:szCs w:val="24"/>
        </w:rPr>
        <w:tab/>
      </w:r>
      <w:r w:rsidR="00E335E2" w:rsidRPr="0099048D">
        <w:rPr>
          <w:rFonts w:asciiTheme="majorHAnsi" w:hAnsiTheme="majorHAnsi" w:cstheme="majorHAnsi"/>
          <w:sz w:val="24"/>
          <w:szCs w:val="24"/>
        </w:rPr>
        <w:t>Igor LUNGU</w:t>
      </w:r>
    </w:p>
    <w:p w14:paraId="4D3DCABB" w14:textId="77777777" w:rsidR="007B6E3D" w:rsidRPr="0099048D" w:rsidRDefault="007B6E3D" w:rsidP="00215925">
      <w:pPr>
        <w:spacing w:after="0" w:line="276" w:lineRule="auto"/>
        <w:jc w:val="both"/>
        <w:rPr>
          <w:rFonts w:asciiTheme="majorHAnsi" w:eastAsia="Times New Roman" w:hAnsiTheme="majorHAnsi" w:cstheme="majorHAnsi"/>
          <w:sz w:val="24"/>
          <w:szCs w:val="24"/>
          <w:lang w:eastAsia="ro-MD"/>
        </w:rPr>
      </w:pPr>
      <w:r w:rsidRPr="0099048D">
        <w:rPr>
          <w:rFonts w:asciiTheme="majorHAnsi" w:eastAsia="Times New Roman" w:hAnsiTheme="majorHAnsi" w:cstheme="majorHAnsi"/>
          <w:sz w:val="24"/>
          <w:szCs w:val="24"/>
          <w:lang w:eastAsia="ro-MD"/>
        </w:rPr>
        <w:t>Auditor public principal</w:t>
      </w:r>
      <w:r w:rsidRPr="0099048D">
        <w:rPr>
          <w:rFonts w:asciiTheme="majorHAnsi" w:eastAsia="Times New Roman" w:hAnsiTheme="majorHAnsi" w:cstheme="majorHAnsi"/>
          <w:sz w:val="24"/>
          <w:szCs w:val="24"/>
          <w:lang w:eastAsia="ro-MD"/>
        </w:rPr>
        <w:tab/>
      </w:r>
      <w:r w:rsidRPr="0099048D">
        <w:rPr>
          <w:rFonts w:asciiTheme="majorHAnsi" w:eastAsia="Times New Roman" w:hAnsiTheme="majorHAnsi" w:cstheme="majorHAnsi"/>
          <w:sz w:val="24"/>
          <w:szCs w:val="24"/>
          <w:lang w:eastAsia="ro-MD"/>
        </w:rPr>
        <w:tab/>
      </w:r>
      <w:r w:rsidRPr="0099048D">
        <w:rPr>
          <w:rFonts w:asciiTheme="majorHAnsi" w:eastAsia="Times New Roman" w:hAnsiTheme="majorHAnsi" w:cstheme="majorHAnsi"/>
          <w:sz w:val="24"/>
          <w:szCs w:val="24"/>
          <w:lang w:eastAsia="ro-MD"/>
        </w:rPr>
        <w:tab/>
      </w:r>
      <w:r w:rsidRPr="0099048D">
        <w:rPr>
          <w:rFonts w:asciiTheme="majorHAnsi" w:eastAsia="Times New Roman" w:hAnsiTheme="majorHAnsi" w:cstheme="majorHAnsi"/>
          <w:sz w:val="24"/>
          <w:szCs w:val="24"/>
          <w:lang w:eastAsia="ro-MD"/>
        </w:rPr>
        <w:tab/>
      </w:r>
      <w:r w:rsidRPr="0099048D">
        <w:rPr>
          <w:rFonts w:asciiTheme="majorHAnsi" w:eastAsia="Times New Roman" w:hAnsiTheme="majorHAnsi" w:cstheme="majorHAnsi"/>
          <w:sz w:val="24"/>
          <w:szCs w:val="24"/>
          <w:lang w:eastAsia="ro-MD"/>
        </w:rPr>
        <w:tab/>
        <w:t>Dorin CIUBOTARU</w:t>
      </w:r>
    </w:p>
    <w:p w14:paraId="56974AEA" w14:textId="65AE59B5" w:rsidR="007B6E3D" w:rsidRPr="0099048D" w:rsidRDefault="007B6E3D" w:rsidP="00215925">
      <w:pPr>
        <w:spacing w:after="0" w:line="276" w:lineRule="auto"/>
        <w:jc w:val="both"/>
        <w:rPr>
          <w:rFonts w:asciiTheme="majorHAnsi" w:eastAsia="Times New Roman" w:hAnsiTheme="majorHAnsi" w:cstheme="majorHAnsi"/>
          <w:sz w:val="24"/>
          <w:szCs w:val="24"/>
          <w:lang w:eastAsia="ro-MD"/>
        </w:rPr>
      </w:pPr>
      <w:r w:rsidRPr="0099048D">
        <w:rPr>
          <w:rFonts w:asciiTheme="majorHAnsi" w:eastAsia="Times New Roman" w:hAnsiTheme="majorHAnsi" w:cstheme="majorHAnsi"/>
          <w:sz w:val="24"/>
          <w:szCs w:val="24"/>
          <w:lang w:eastAsia="ro-MD"/>
        </w:rPr>
        <w:t>Auditor public principal</w:t>
      </w:r>
      <w:r w:rsidRPr="0099048D">
        <w:rPr>
          <w:rFonts w:asciiTheme="majorHAnsi" w:eastAsia="Times New Roman" w:hAnsiTheme="majorHAnsi" w:cstheme="majorHAnsi"/>
          <w:sz w:val="24"/>
          <w:szCs w:val="24"/>
          <w:lang w:eastAsia="ro-MD"/>
        </w:rPr>
        <w:tab/>
      </w:r>
      <w:r w:rsidRPr="0099048D">
        <w:rPr>
          <w:rFonts w:asciiTheme="majorHAnsi" w:eastAsia="Times New Roman" w:hAnsiTheme="majorHAnsi" w:cstheme="majorHAnsi"/>
          <w:sz w:val="24"/>
          <w:szCs w:val="24"/>
          <w:lang w:eastAsia="ro-MD"/>
        </w:rPr>
        <w:tab/>
      </w:r>
      <w:r w:rsidRPr="0099048D">
        <w:rPr>
          <w:rFonts w:asciiTheme="majorHAnsi" w:eastAsia="Times New Roman" w:hAnsiTheme="majorHAnsi" w:cstheme="majorHAnsi"/>
          <w:sz w:val="24"/>
          <w:szCs w:val="24"/>
          <w:lang w:eastAsia="ro-MD"/>
        </w:rPr>
        <w:tab/>
      </w:r>
      <w:r w:rsidRPr="0099048D">
        <w:rPr>
          <w:rFonts w:asciiTheme="majorHAnsi" w:eastAsia="Times New Roman" w:hAnsiTheme="majorHAnsi" w:cstheme="majorHAnsi"/>
          <w:sz w:val="24"/>
          <w:szCs w:val="24"/>
          <w:lang w:eastAsia="ro-MD"/>
        </w:rPr>
        <w:tab/>
      </w:r>
      <w:r w:rsidRPr="0099048D">
        <w:rPr>
          <w:rFonts w:asciiTheme="majorHAnsi" w:eastAsia="Times New Roman" w:hAnsiTheme="majorHAnsi" w:cstheme="majorHAnsi"/>
          <w:sz w:val="24"/>
          <w:szCs w:val="24"/>
          <w:lang w:eastAsia="ro-MD"/>
        </w:rPr>
        <w:tab/>
        <w:t>Victor GAMULINSCHI</w:t>
      </w:r>
    </w:p>
    <w:p w14:paraId="0968AC02" w14:textId="77777777" w:rsidR="002F192E" w:rsidRPr="0099048D" w:rsidRDefault="002F192E" w:rsidP="002F192E">
      <w:pPr>
        <w:spacing w:after="0" w:line="276" w:lineRule="auto"/>
        <w:jc w:val="both"/>
        <w:rPr>
          <w:rFonts w:asciiTheme="majorHAnsi" w:hAnsiTheme="majorHAnsi" w:cstheme="majorHAnsi"/>
          <w:sz w:val="24"/>
          <w:szCs w:val="24"/>
        </w:rPr>
      </w:pPr>
      <w:r w:rsidRPr="0099048D">
        <w:rPr>
          <w:rFonts w:asciiTheme="majorHAnsi" w:hAnsiTheme="majorHAnsi" w:cstheme="majorHAnsi"/>
          <w:sz w:val="24"/>
          <w:szCs w:val="24"/>
        </w:rPr>
        <w:t xml:space="preserve">Auditoare publică </w:t>
      </w:r>
      <w:r w:rsidRPr="0099048D">
        <w:rPr>
          <w:rFonts w:asciiTheme="majorHAnsi" w:eastAsia="Times New Roman" w:hAnsiTheme="majorHAnsi" w:cstheme="majorHAnsi"/>
          <w:sz w:val="24"/>
          <w:szCs w:val="24"/>
          <w:lang w:eastAsia="ro-MD"/>
        </w:rPr>
        <w:t>superioară</w:t>
      </w:r>
      <w:r w:rsidRPr="0099048D">
        <w:rPr>
          <w:rFonts w:asciiTheme="majorHAnsi" w:hAnsiTheme="majorHAnsi" w:cstheme="majorHAnsi"/>
          <w:sz w:val="24"/>
          <w:szCs w:val="24"/>
        </w:rPr>
        <w:t xml:space="preserve">                                                       Maria TABACARI</w:t>
      </w:r>
    </w:p>
    <w:p w14:paraId="0521CAD4" w14:textId="77777777" w:rsidR="002D3DB7" w:rsidRPr="0099048D" w:rsidRDefault="002D3DB7" w:rsidP="00215925">
      <w:pPr>
        <w:spacing w:after="0" w:line="276" w:lineRule="auto"/>
        <w:jc w:val="both"/>
        <w:rPr>
          <w:rFonts w:asciiTheme="majorHAnsi" w:eastAsia="Times New Roman" w:hAnsiTheme="majorHAnsi" w:cstheme="majorHAnsi"/>
          <w:b/>
          <w:i/>
          <w:sz w:val="24"/>
          <w:szCs w:val="24"/>
        </w:rPr>
      </w:pPr>
      <w:r w:rsidRPr="0099048D">
        <w:rPr>
          <w:rFonts w:asciiTheme="majorHAnsi" w:eastAsia="Times New Roman" w:hAnsiTheme="majorHAnsi" w:cstheme="majorHAnsi"/>
          <w:b/>
          <w:i/>
          <w:sz w:val="24"/>
          <w:szCs w:val="24"/>
        </w:rPr>
        <w:t xml:space="preserve">Responsabil de </w:t>
      </w:r>
      <w:r w:rsidR="00500211" w:rsidRPr="0099048D">
        <w:rPr>
          <w:rFonts w:asciiTheme="majorHAnsi" w:eastAsia="Times New Roman" w:hAnsiTheme="majorHAnsi" w:cstheme="majorHAnsi"/>
          <w:b/>
          <w:i/>
          <w:sz w:val="24"/>
          <w:szCs w:val="24"/>
        </w:rPr>
        <w:t xml:space="preserve">calitatea </w:t>
      </w:r>
      <w:r w:rsidRPr="0099048D">
        <w:rPr>
          <w:rFonts w:asciiTheme="majorHAnsi" w:eastAsia="Times New Roman" w:hAnsiTheme="majorHAnsi" w:cstheme="majorHAnsi"/>
          <w:b/>
          <w:i/>
          <w:sz w:val="24"/>
          <w:szCs w:val="24"/>
        </w:rPr>
        <w:t>audit</w:t>
      </w:r>
      <w:r w:rsidR="00500211" w:rsidRPr="0099048D">
        <w:rPr>
          <w:rFonts w:asciiTheme="majorHAnsi" w:eastAsia="Times New Roman" w:hAnsiTheme="majorHAnsi" w:cstheme="majorHAnsi"/>
          <w:b/>
          <w:i/>
          <w:sz w:val="24"/>
          <w:szCs w:val="24"/>
        </w:rPr>
        <w:t>ului</w:t>
      </w:r>
      <w:r w:rsidRPr="0099048D">
        <w:rPr>
          <w:rFonts w:asciiTheme="majorHAnsi" w:eastAsia="Times New Roman" w:hAnsiTheme="majorHAnsi" w:cstheme="majorHAnsi"/>
          <w:b/>
          <w:i/>
          <w:sz w:val="24"/>
          <w:szCs w:val="24"/>
        </w:rPr>
        <w:t>:</w:t>
      </w:r>
    </w:p>
    <w:p w14:paraId="7C6ED5FE" w14:textId="77777777" w:rsidR="002D3DB7" w:rsidRPr="0099048D" w:rsidRDefault="002D3DB7" w:rsidP="00215925">
      <w:pPr>
        <w:spacing w:after="0" w:line="276" w:lineRule="auto"/>
        <w:jc w:val="both"/>
        <w:rPr>
          <w:rFonts w:asciiTheme="majorHAnsi" w:hAnsiTheme="majorHAnsi" w:cstheme="majorHAnsi"/>
          <w:sz w:val="24"/>
          <w:szCs w:val="24"/>
        </w:rPr>
      </w:pPr>
      <w:r w:rsidRPr="0099048D">
        <w:rPr>
          <w:rFonts w:asciiTheme="majorHAnsi" w:hAnsiTheme="majorHAnsi" w:cstheme="majorHAnsi"/>
          <w:sz w:val="24"/>
          <w:szCs w:val="24"/>
        </w:rPr>
        <w:t>Șeful Direcției de audit I</w:t>
      </w:r>
      <w:r w:rsidR="00E335E2" w:rsidRPr="0099048D">
        <w:rPr>
          <w:rFonts w:asciiTheme="majorHAnsi" w:hAnsiTheme="majorHAnsi" w:cstheme="majorHAnsi"/>
          <w:sz w:val="24"/>
          <w:szCs w:val="24"/>
        </w:rPr>
        <w:t>I în cadrul DGA V</w:t>
      </w:r>
      <w:r w:rsidRPr="0099048D">
        <w:rPr>
          <w:rFonts w:asciiTheme="majorHAnsi" w:hAnsiTheme="majorHAnsi" w:cstheme="majorHAnsi"/>
          <w:sz w:val="24"/>
          <w:szCs w:val="24"/>
        </w:rPr>
        <w:tab/>
      </w:r>
      <w:r w:rsidRPr="0099048D">
        <w:rPr>
          <w:rFonts w:asciiTheme="majorHAnsi" w:hAnsiTheme="majorHAnsi" w:cstheme="majorHAnsi"/>
          <w:sz w:val="24"/>
          <w:szCs w:val="24"/>
        </w:rPr>
        <w:tab/>
      </w:r>
      <w:r w:rsidRPr="0099048D">
        <w:rPr>
          <w:rFonts w:asciiTheme="majorHAnsi" w:hAnsiTheme="majorHAnsi" w:cstheme="majorHAnsi"/>
          <w:sz w:val="24"/>
          <w:szCs w:val="24"/>
        </w:rPr>
        <w:tab/>
      </w:r>
      <w:r w:rsidR="00E335E2" w:rsidRPr="0099048D">
        <w:rPr>
          <w:rFonts w:asciiTheme="majorHAnsi" w:hAnsiTheme="majorHAnsi" w:cstheme="majorHAnsi"/>
          <w:sz w:val="24"/>
          <w:szCs w:val="24"/>
        </w:rPr>
        <w:t xml:space="preserve">Alexandru </w:t>
      </w:r>
      <w:r w:rsidR="00337F2B" w:rsidRPr="0099048D">
        <w:rPr>
          <w:rFonts w:asciiTheme="majorHAnsi" w:hAnsiTheme="majorHAnsi" w:cstheme="majorHAnsi"/>
          <w:sz w:val="24"/>
          <w:szCs w:val="24"/>
        </w:rPr>
        <w:t>RĂILEANU</w:t>
      </w:r>
    </w:p>
    <w:p w14:paraId="43146D34" w14:textId="77777777" w:rsidR="00E350D2" w:rsidRPr="0099048D" w:rsidRDefault="00E350D2" w:rsidP="006F2AA6">
      <w:pPr>
        <w:spacing w:line="276" w:lineRule="auto"/>
        <w:jc w:val="both"/>
        <w:rPr>
          <w:rFonts w:asciiTheme="majorHAnsi" w:hAnsiTheme="majorHAnsi" w:cstheme="majorHAnsi"/>
          <w:b/>
          <w:bCs/>
          <w:sz w:val="24"/>
          <w:szCs w:val="24"/>
        </w:rPr>
      </w:pPr>
    </w:p>
    <w:sectPr w:rsidR="00E350D2" w:rsidRPr="0099048D" w:rsidSect="00E337F0">
      <w:footerReference w:type="default" r:id="rId11"/>
      <w:headerReference w:type="first" r:id="rId12"/>
      <w:pgSz w:w="11906" w:h="16838" w:code="9"/>
      <w:pgMar w:top="851" w:right="851" w:bottom="851" w:left="1701" w:header="720"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70E78" w14:textId="77777777" w:rsidR="00013C39" w:rsidRDefault="00013C39" w:rsidP="00F718EC">
      <w:pPr>
        <w:spacing w:after="0" w:line="240" w:lineRule="auto"/>
      </w:pPr>
      <w:r>
        <w:separator/>
      </w:r>
    </w:p>
  </w:endnote>
  <w:endnote w:type="continuationSeparator" w:id="0">
    <w:p w14:paraId="6EE525D2" w14:textId="77777777" w:rsidR="00013C39" w:rsidRDefault="00013C39" w:rsidP="00F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124353"/>
      <w:docPartObj>
        <w:docPartGallery w:val="Page Numbers (Bottom of Page)"/>
        <w:docPartUnique/>
      </w:docPartObj>
    </w:sdtPr>
    <w:sdtEndPr>
      <w:rPr>
        <w:rFonts w:asciiTheme="majorHAnsi" w:hAnsiTheme="majorHAnsi" w:cstheme="majorHAnsi"/>
        <w:noProof/>
      </w:rPr>
    </w:sdtEndPr>
    <w:sdtContent>
      <w:p w14:paraId="37E5511C" w14:textId="1DC69CB7" w:rsidR="00297C40" w:rsidRPr="004A262A" w:rsidRDefault="00297C40">
        <w:pPr>
          <w:pStyle w:val="aa"/>
          <w:jc w:val="right"/>
          <w:rPr>
            <w:rFonts w:asciiTheme="majorHAnsi" w:hAnsiTheme="majorHAnsi" w:cstheme="majorHAnsi"/>
          </w:rPr>
        </w:pPr>
        <w:r w:rsidRPr="004A262A">
          <w:rPr>
            <w:rFonts w:asciiTheme="majorHAnsi" w:hAnsiTheme="majorHAnsi" w:cstheme="majorHAnsi"/>
          </w:rPr>
          <w:fldChar w:fldCharType="begin"/>
        </w:r>
        <w:r w:rsidRPr="004A262A">
          <w:rPr>
            <w:rFonts w:asciiTheme="majorHAnsi" w:hAnsiTheme="majorHAnsi" w:cstheme="majorHAnsi"/>
          </w:rPr>
          <w:instrText xml:space="preserve"> PAGE   \* MERGEFORMAT </w:instrText>
        </w:r>
        <w:r w:rsidRPr="004A262A">
          <w:rPr>
            <w:rFonts w:asciiTheme="majorHAnsi" w:hAnsiTheme="majorHAnsi" w:cstheme="majorHAnsi"/>
          </w:rPr>
          <w:fldChar w:fldCharType="separate"/>
        </w:r>
        <w:r w:rsidR="004D319B">
          <w:rPr>
            <w:rFonts w:asciiTheme="majorHAnsi" w:hAnsiTheme="majorHAnsi" w:cstheme="majorHAnsi"/>
            <w:noProof/>
          </w:rPr>
          <w:t>2</w:t>
        </w:r>
        <w:r w:rsidRPr="004A262A">
          <w:rPr>
            <w:rFonts w:asciiTheme="majorHAnsi" w:hAnsiTheme="majorHAnsi" w:cstheme="majorHAnsi"/>
            <w:noProof/>
          </w:rPr>
          <w:fldChar w:fldCharType="end"/>
        </w:r>
      </w:p>
    </w:sdtContent>
  </w:sdt>
  <w:p w14:paraId="73656826" w14:textId="77777777" w:rsidR="00297C40" w:rsidRDefault="00297C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B0BA" w14:textId="77777777" w:rsidR="00013C39" w:rsidRDefault="00013C39" w:rsidP="00F718EC">
      <w:pPr>
        <w:spacing w:after="0" w:line="240" w:lineRule="auto"/>
      </w:pPr>
      <w:r>
        <w:separator/>
      </w:r>
    </w:p>
  </w:footnote>
  <w:footnote w:type="continuationSeparator" w:id="0">
    <w:p w14:paraId="6BB9DCEB" w14:textId="77777777" w:rsidR="00013C39" w:rsidRDefault="00013C39" w:rsidP="00F718EC">
      <w:pPr>
        <w:spacing w:after="0" w:line="240" w:lineRule="auto"/>
      </w:pPr>
      <w:r>
        <w:continuationSeparator/>
      </w:r>
    </w:p>
  </w:footnote>
  <w:footnote w:id="1">
    <w:p w14:paraId="1FEADE4B" w14:textId="49E58F5B" w:rsidR="00297C40" w:rsidRPr="0099048D" w:rsidRDefault="00297C40" w:rsidP="006069B7">
      <w:pPr>
        <w:pStyle w:val="a5"/>
        <w:spacing w:line="276" w:lineRule="auto"/>
        <w:jc w:val="both"/>
        <w:rPr>
          <w:rFonts w:asciiTheme="majorHAnsi" w:hAnsiTheme="majorHAnsi" w:cstheme="majorHAnsi"/>
          <w:sz w:val="16"/>
          <w:szCs w:val="16"/>
        </w:rPr>
      </w:pPr>
      <w:r w:rsidRPr="0099048D">
        <w:rPr>
          <w:rStyle w:val="a7"/>
          <w:rFonts w:asciiTheme="majorHAnsi" w:hAnsiTheme="majorHAnsi" w:cstheme="majorHAnsi"/>
          <w:sz w:val="16"/>
          <w:szCs w:val="16"/>
        </w:rPr>
        <w:footnoteRef/>
      </w:r>
      <w:r w:rsidRPr="0099048D">
        <w:rPr>
          <w:rFonts w:asciiTheme="majorHAnsi" w:hAnsiTheme="majorHAnsi" w:cstheme="majorHAnsi"/>
          <w:sz w:val="16"/>
          <w:szCs w:val="16"/>
        </w:rPr>
        <w:t xml:space="preserve"> Legea contabilității nr.</w:t>
      </w:r>
      <w:r w:rsidRPr="0099048D">
        <w:rPr>
          <w:rFonts w:asciiTheme="majorHAnsi" w:eastAsia="Times New Roman" w:hAnsiTheme="majorHAnsi" w:cstheme="majorHAnsi"/>
          <w:sz w:val="16"/>
          <w:szCs w:val="16"/>
        </w:rPr>
        <w:t>113-XVI din 27.04.2007;</w:t>
      </w:r>
      <w:r w:rsidRPr="0099048D">
        <w:rPr>
          <w:rFonts w:asciiTheme="majorHAnsi" w:hAnsiTheme="majorHAnsi" w:cstheme="majorHAnsi"/>
          <w:sz w:val="16"/>
          <w:szCs w:val="16"/>
        </w:rPr>
        <w:t xml:space="preserve"> </w:t>
      </w:r>
      <w:r w:rsidRPr="0099048D">
        <w:rPr>
          <w:rFonts w:asciiTheme="majorHAnsi" w:eastAsia="Times New Roman" w:hAnsiTheme="majorHAnsi" w:cstheme="majorHAnsi"/>
          <w:sz w:val="16"/>
          <w:szCs w:val="16"/>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rPr>
        <w:t>F</w:t>
      </w:r>
      <w:r w:rsidRPr="0099048D">
        <w:rPr>
          <w:rFonts w:asciiTheme="majorHAnsi" w:eastAsia="Times New Roman" w:hAnsiTheme="majorHAnsi" w:cstheme="majorHAnsi"/>
          <w:sz w:val="16"/>
          <w:szCs w:val="16"/>
        </w:rPr>
        <w:t>inanțelor nr.216 din 28.12.2015</w:t>
      </w:r>
      <w:r w:rsidR="00D91CFF">
        <w:rPr>
          <w:rFonts w:asciiTheme="majorHAnsi" w:eastAsia="Times New Roman" w:hAnsiTheme="majorHAnsi" w:cstheme="majorHAnsi"/>
          <w:sz w:val="16"/>
          <w:szCs w:val="16"/>
        </w:rPr>
        <w:t xml:space="preserve"> (în continuare – </w:t>
      </w:r>
      <w:r w:rsidR="00D91CFF" w:rsidRPr="0099048D">
        <w:rPr>
          <w:rFonts w:asciiTheme="majorHAnsi" w:eastAsia="Times New Roman" w:hAnsiTheme="majorHAnsi" w:cstheme="majorHAnsi"/>
          <w:sz w:val="16"/>
          <w:szCs w:val="16"/>
        </w:rPr>
        <w:t xml:space="preserve">Ordinul ministrului </w:t>
      </w:r>
      <w:r w:rsidR="00D91CFF">
        <w:rPr>
          <w:rFonts w:asciiTheme="majorHAnsi" w:eastAsia="Times New Roman" w:hAnsiTheme="majorHAnsi" w:cstheme="majorHAnsi"/>
          <w:sz w:val="16"/>
          <w:szCs w:val="16"/>
        </w:rPr>
        <w:t>F</w:t>
      </w:r>
      <w:r w:rsidR="00D91CFF" w:rsidRPr="0099048D">
        <w:rPr>
          <w:rFonts w:asciiTheme="majorHAnsi" w:eastAsia="Times New Roman" w:hAnsiTheme="majorHAnsi" w:cstheme="majorHAnsi"/>
          <w:sz w:val="16"/>
          <w:szCs w:val="16"/>
        </w:rPr>
        <w:t>inanțelor nr.216 din 28.12.2015</w:t>
      </w:r>
      <w:r w:rsidR="00D91CFF">
        <w:rPr>
          <w:rFonts w:asciiTheme="majorHAnsi" w:eastAsia="Times New Roman" w:hAnsiTheme="majorHAnsi" w:cstheme="majorHAnsi"/>
          <w:sz w:val="16"/>
          <w:szCs w:val="16"/>
        </w:rPr>
        <w:t>)</w:t>
      </w:r>
      <w:r w:rsidRPr="0099048D">
        <w:rPr>
          <w:rFonts w:asciiTheme="majorHAnsi" w:eastAsia="Times New Roman" w:hAnsiTheme="majorHAnsi" w:cstheme="majorHAnsi"/>
          <w:sz w:val="16"/>
          <w:szCs w:val="16"/>
        </w:rPr>
        <w:t xml:space="preserve">; Ordinul ministrului </w:t>
      </w:r>
      <w:r>
        <w:rPr>
          <w:rFonts w:asciiTheme="majorHAnsi" w:eastAsia="Times New Roman" w:hAnsiTheme="majorHAnsi" w:cstheme="majorHAnsi"/>
          <w:sz w:val="16"/>
          <w:szCs w:val="16"/>
        </w:rPr>
        <w:t>F</w:t>
      </w:r>
      <w:r w:rsidRPr="0099048D">
        <w:rPr>
          <w:rFonts w:asciiTheme="majorHAnsi" w:eastAsia="Times New Roman" w:hAnsiTheme="majorHAnsi" w:cstheme="majorHAnsi"/>
          <w:sz w:val="16"/>
          <w:szCs w:val="16"/>
        </w:rPr>
        <w:t>inanțelor nr.164 din 30.12.2016 „Cu privire la aprobarea Cerințelor la întocmirea Raportului narativ privind executarea bugetelor autorităților/instituțiilor bugetare”</w:t>
      </w:r>
      <w:r w:rsidR="00010E08">
        <w:rPr>
          <w:rFonts w:asciiTheme="majorHAnsi" w:eastAsia="Times New Roman" w:hAnsiTheme="majorHAnsi" w:cstheme="majorHAnsi"/>
          <w:sz w:val="16"/>
          <w:szCs w:val="16"/>
        </w:rPr>
        <w:t xml:space="preserve"> (în continuare – </w:t>
      </w:r>
      <w:r w:rsidR="00010E08" w:rsidRPr="0099048D">
        <w:rPr>
          <w:rFonts w:asciiTheme="majorHAnsi" w:eastAsia="Times New Roman" w:hAnsiTheme="majorHAnsi" w:cstheme="majorHAnsi"/>
          <w:sz w:val="16"/>
          <w:szCs w:val="16"/>
        </w:rPr>
        <w:t xml:space="preserve">Ordinul ministrului </w:t>
      </w:r>
      <w:r w:rsidR="00010E08">
        <w:rPr>
          <w:rFonts w:asciiTheme="majorHAnsi" w:eastAsia="Times New Roman" w:hAnsiTheme="majorHAnsi" w:cstheme="majorHAnsi"/>
          <w:sz w:val="16"/>
          <w:szCs w:val="16"/>
        </w:rPr>
        <w:t>F</w:t>
      </w:r>
      <w:r w:rsidR="00010E08" w:rsidRPr="0099048D">
        <w:rPr>
          <w:rFonts w:asciiTheme="majorHAnsi" w:eastAsia="Times New Roman" w:hAnsiTheme="majorHAnsi" w:cstheme="majorHAnsi"/>
          <w:sz w:val="16"/>
          <w:szCs w:val="16"/>
        </w:rPr>
        <w:t>inanțelor nr.164 din 30.12.2016</w:t>
      </w:r>
      <w:r w:rsidR="00010E08">
        <w:rPr>
          <w:rFonts w:asciiTheme="majorHAnsi" w:eastAsia="Times New Roman" w:hAnsiTheme="majorHAnsi" w:cstheme="majorHAnsi"/>
          <w:sz w:val="16"/>
          <w:szCs w:val="16"/>
        </w:rPr>
        <w:t>)</w:t>
      </w:r>
      <w:r w:rsidRPr="0099048D">
        <w:rPr>
          <w:rFonts w:asciiTheme="majorHAnsi" w:eastAsia="Times New Roman" w:hAnsiTheme="majorHAnsi" w:cstheme="majorHAnsi"/>
          <w:sz w:val="16"/>
          <w:szCs w:val="16"/>
        </w:rPr>
        <w:t>.</w:t>
      </w:r>
    </w:p>
  </w:footnote>
  <w:footnote w:id="2">
    <w:p w14:paraId="778886D4" w14:textId="3ECFE189" w:rsidR="00297C40" w:rsidRPr="00AB494E" w:rsidRDefault="00297C40">
      <w:pPr>
        <w:pStyle w:val="a5"/>
        <w:spacing w:line="276" w:lineRule="auto"/>
        <w:jc w:val="both"/>
        <w:rPr>
          <w:rFonts w:asciiTheme="majorHAnsi" w:hAnsiTheme="majorHAnsi" w:cstheme="majorHAnsi"/>
          <w:sz w:val="16"/>
          <w:szCs w:val="16"/>
        </w:rPr>
      </w:pPr>
      <w:r w:rsidRPr="004A262A">
        <w:rPr>
          <w:rStyle w:val="a7"/>
          <w:rFonts w:asciiTheme="majorHAnsi" w:hAnsiTheme="majorHAnsi" w:cstheme="majorHAnsi"/>
          <w:sz w:val="16"/>
          <w:szCs w:val="16"/>
        </w:rPr>
        <w:footnoteRef/>
      </w:r>
      <w:r w:rsidRPr="0099048D">
        <w:rPr>
          <w:rFonts w:asciiTheme="majorHAnsi" w:hAnsiTheme="majorHAnsi" w:cstheme="majorHAnsi"/>
          <w:sz w:val="16"/>
          <w:szCs w:val="16"/>
        </w:rPr>
        <w:t xml:space="preserve"> Legea nr.1308-XIII din 25.07.1997 </w:t>
      </w:r>
      <w:r w:rsidR="00003495">
        <w:rPr>
          <w:rFonts w:asciiTheme="majorHAnsi" w:hAnsiTheme="majorHAnsi" w:cstheme="majorHAnsi"/>
          <w:sz w:val="16"/>
          <w:szCs w:val="16"/>
        </w:rPr>
        <w:t>„P</w:t>
      </w:r>
      <w:r w:rsidRPr="0099048D">
        <w:rPr>
          <w:rFonts w:asciiTheme="majorHAnsi" w:hAnsiTheme="majorHAnsi" w:cstheme="majorHAnsi"/>
          <w:sz w:val="16"/>
          <w:szCs w:val="16"/>
        </w:rPr>
        <w:t>rivind prețul normativ și modul de vânzare-cumpărare a terenului</w:t>
      </w:r>
      <w:r w:rsidR="00003495">
        <w:rPr>
          <w:rFonts w:asciiTheme="majorHAnsi" w:hAnsiTheme="majorHAnsi" w:cstheme="majorHAnsi"/>
          <w:sz w:val="16"/>
          <w:szCs w:val="16"/>
        </w:rPr>
        <w:t>”</w:t>
      </w:r>
      <w:r w:rsidRPr="00AB494E">
        <w:rPr>
          <w:rFonts w:asciiTheme="majorHAnsi" w:hAnsiTheme="majorHAnsi" w:cstheme="majorHAnsi"/>
          <w:sz w:val="16"/>
          <w:szCs w:val="16"/>
        </w:rPr>
        <w:t>.</w:t>
      </w:r>
    </w:p>
  </w:footnote>
  <w:footnote w:id="3">
    <w:p w14:paraId="696BA2B8" w14:textId="4F5C9940" w:rsidR="00297C40" w:rsidRPr="0099048D" w:rsidRDefault="00297C40">
      <w:pPr>
        <w:pStyle w:val="a5"/>
        <w:spacing w:line="276" w:lineRule="auto"/>
        <w:jc w:val="both"/>
        <w:rPr>
          <w:rFonts w:asciiTheme="majorHAnsi" w:hAnsiTheme="majorHAnsi" w:cstheme="majorHAnsi"/>
          <w:sz w:val="16"/>
          <w:lang w:val="ro-RO"/>
        </w:rPr>
      </w:pPr>
      <w:r w:rsidRPr="0099048D">
        <w:rPr>
          <w:rStyle w:val="a7"/>
          <w:rFonts w:asciiTheme="majorHAnsi" w:hAnsiTheme="majorHAnsi" w:cstheme="majorHAnsi"/>
          <w:sz w:val="16"/>
          <w:lang w:val="ro-RO"/>
        </w:rPr>
        <w:footnoteRef/>
      </w:r>
      <w:r w:rsidRPr="0099048D">
        <w:rPr>
          <w:rFonts w:asciiTheme="majorHAnsi" w:hAnsiTheme="majorHAnsi" w:cstheme="majorHAnsi"/>
          <w:sz w:val="16"/>
          <w:lang w:val="ro-RO"/>
        </w:rPr>
        <w:t xml:space="preserve"> Pct.1.4.5.1. din Anexa nr.1 la Ordinul MF nr.216 din 28.12.2015.</w:t>
      </w:r>
    </w:p>
  </w:footnote>
  <w:footnote w:id="4">
    <w:p w14:paraId="2615F72A" w14:textId="6340BE9B" w:rsidR="00297C40" w:rsidRPr="00AB494E" w:rsidRDefault="00297C40" w:rsidP="004A262A">
      <w:pPr>
        <w:pStyle w:val="a5"/>
        <w:spacing w:line="276" w:lineRule="auto"/>
        <w:jc w:val="both"/>
        <w:rPr>
          <w:rFonts w:asciiTheme="majorHAnsi" w:hAnsiTheme="majorHAnsi" w:cstheme="majorHAnsi"/>
          <w:sz w:val="16"/>
          <w:szCs w:val="16"/>
          <w:lang w:val="ro-RO"/>
        </w:rPr>
      </w:pPr>
      <w:r w:rsidRPr="0099048D">
        <w:rPr>
          <w:rStyle w:val="a7"/>
          <w:rFonts w:asciiTheme="majorHAnsi" w:hAnsiTheme="majorHAnsi" w:cstheme="majorHAnsi"/>
          <w:sz w:val="16"/>
          <w:szCs w:val="16"/>
          <w:lang w:val="ro-RO"/>
        </w:rPr>
        <w:footnoteRef/>
      </w:r>
      <w:r w:rsidRPr="0099048D">
        <w:rPr>
          <w:rFonts w:asciiTheme="majorHAnsi" w:hAnsiTheme="majorHAnsi" w:cstheme="majorHAnsi"/>
          <w:sz w:val="16"/>
          <w:szCs w:val="16"/>
          <w:lang w:val="ro-RO"/>
        </w:rPr>
        <w:t xml:space="preserve"> Muzeul Național de Literatură „Mihail Kogălniceanu”: </w:t>
      </w:r>
      <w:r w:rsidRPr="0099048D">
        <w:rPr>
          <w:rFonts w:asciiTheme="majorHAnsi" w:hAnsiTheme="majorHAnsi" w:cstheme="majorHAnsi"/>
          <w:bCs/>
          <w:iCs/>
          <w:sz w:val="16"/>
          <w:szCs w:val="16"/>
          <w:lang w:val="ro-RO"/>
        </w:rPr>
        <w:t>1441113.068.02, 1441113.068.03, 1441113.068.04</w:t>
      </w:r>
    </w:p>
  </w:footnote>
  <w:footnote w:id="5">
    <w:p w14:paraId="1BA0B30A" w14:textId="77777777" w:rsidR="00297C40" w:rsidRPr="0099048D" w:rsidRDefault="00297C40">
      <w:pPr>
        <w:pStyle w:val="a5"/>
        <w:spacing w:line="276" w:lineRule="auto"/>
        <w:jc w:val="both"/>
        <w:rPr>
          <w:rFonts w:asciiTheme="majorHAnsi" w:hAnsiTheme="majorHAnsi" w:cstheme="majorHAnsi"/>
          <w:sz w:val="16"/>
          <w:szCs w:val="16"/>
        </w:rPr>
      </w:pPr>
      <w:r w:rsidRPr="0099048D">
        <w:rPr>
          <w:rStyle w:val="a7"/>
          <w:rFonts w:asciiTheme="majorHAnsi" w:hAnsiTheme="majorHAnsi" w:cstheme="majorHAnsi"/>
          <w:sz w:val="16"/>
          <w:szCs w:val="16"/>
        </w:rPr>
        <w:footnoteRef/>
      </w:r>
      <w:r w:rsidRPr="0099048D">
        <w:rPr>
          <w:rFonts w:asciiTheme="majorHAnsi" w:hAnsiTheme="majorHAnsi" w:cstheme="majorHAnsi"/>
          <w:sz w:val="16"/>
          <w:szCs w:val="16"/>
        </w:rPr>
        <w:t xml:space="preserve"> Complexul Monastic „Căpriana” – 87,8 mil.lei; Complexul Monastic „Curchi” – 92,5 mil.lei.</w:t>
      </w:r>
    </w:p>
  </w:footnote>
  <w:footnote w:id="6">
    <w:p w14:paraId="7F013E27" w14:textId="4061C3B3" w:rsidR="00297C40" w:rsidRPr="0099048D" w:rsidRDefault="00297C40">
      <w:pPr>
        <w:pStyle w:val="a5"/>
        <w:spacing w:line="276" w:lineRule="auto"/>
        <w:jc w:val="both"/>
        <w:rPr>
          <w:rFonts w:asciiTheme="majorHAnsi" w:hAnsiTheme="majorHAnsi" w:cstheme="majorHAnsi"/>
          <w:sz w:val="16"/>
          <w:szCs w:val="16"/>
        </w:rPr>
      </w:pPr>
      <w:r w:rsidRPr="0099048D">
        <w:rPr>
          <w:rStyle w:val="a7"/>
          <w:rFonts w:asciiTheme="majorHAnsi" w:hAnsiTheme="majorHAnsi" w:cstheme="majorHAnsi"/>
          <w:sz w:val="16"/>
          <w:szCs w:val="16"/>
        </w:rPr>
        <w:footnoteRef/>
      </w:r>
      <w:r w:rsidRPr="0099048D">
        <w:rPr>
          <w:rFonts w:asciiTheme="majorHAnsi" w:hAnsiTheme="majorHAnsi" w:cstheme="majorHAnsi"/>
          <w:sz w:val="16"/>
          <w:szCs w:val="16"/>
        </w:rPr>
        <w:t xml:space="preserve">  HG nr.740 din 11.06.2002 „Cu privire la edificiile și lăcașurile de cult”.</w:t>
      </w:r>
    </w:p>
  </w:footnote>
  <w:footnote w:id="7">
    <w:p w14:paraId="6DBA4EDC" w14:textId="77777777" w:rsidR="00297C40" w:rsidRPr="0099048D" w:rsidRDefault="00297C40">
      <w:pPr>
        <w:pStyle w:val="a5"/>
        <w:spacing w:line="276" w:lineRule="auto"/>
        <w:jc w:val="both"/>
        <w:rPr>
          <w:rFonts w:asciiTheme="majorHAnsi" w:hAnsiTheme="majorHAnsi" w:cstheme="majorHAnsi"/>
          <w:sz w:val="16"/>
          <w:szCs w:val="16"/>
        </w:rPr>
      </w:pPr>
      <w:r w:rsidRPr="0099048D">
        <w:rPr>
          <w:rStyle w:val="a7"/>
          <w:rFonts w:asciiTheme="majorHAnsi" w:hAnsiTheme="majorHAnsi" w:cstheme="majorHAnsi"/>
          <w:sz w:val="16"/>
          <w:szCs w:val="16"/>
        </w:rPr>
        <w:footnoteRef/>
      </w:r>
      <w:r w:rsidRPr="0099048D">
        <w:rPr>
          <w:rFonts w:asciiTheme="majorHAnsi" w:hAnsiTheme="majorHAnsi" w:cstheme="majorHAnsi"/>
          <w:sz w:val="16"/>
          <w:szCs w:val="16"/>
        </w:rPr>
        <w:t xml:space="preserve"> Muzeul Național de Artă al Moldovei.</w:t>
      </w:r>
    </w:p>
  </w:footnote>
  <w:footnote w:id="8">
    <w:p w14:paraId="240FB25C" w14:textId="019D88E4" w:rsidR="00297C40" w:rsidRPr="0099048D" w:rsidRDefault="00297C40">
      <w:pPr>
        <w:pStyle w:val="a5"/>
        <w:spacing w:line="276" w:lineRule="auto"/>
        <w:jc w:val="both"/>
        <w:rPr>
          <w:rFonts w:asciiTheme="majorHAnsi" w:hAnsiTheme="majorHAnsi" w:cstheme="majorHAnsi"/>
          <w:sz w:val="16"/>
          <w:szCs w:val="16"/>
        </w:rPr>
      </w:pPr>
      <w:r w:rsidRPr="0099048D">
        <w:rPr>
          <w:rStyle w:val="a7"/>
          <w:rFonts w:asciiTheme="majorHAnsi" w:hAnsiTheme="majorHAnsi" w:cstheme="majorHAnsi"/>
          <w:sz w:val="16"/>
          <w:szCs w:val="16"/>
        </w:rPr>
        <w:footnoteRef/>
      </w:r>
      <w:r w:rsidRPr="0099048D">
        <w:rPr>
          <w:rFonts w:asciiTheme="majorHAnsi" w:hAnsiTheme="majorHAnsi" w:cstheme="majorHAnsi"/>
          <w:sz w:val="16"/>
          <w:szCs w:val="16"/>
        </w:rPr>
        <w:t xml:space="preserve"> </w:t>
      </w:r>
      <w:r>
        <w:rPr>
          <w:rFonts w:asciiTheme="majorHAnsi" w:hAnsiTheme="majorHAnsi" w:cstheme="majorHAnsi"/>
          <w:sz w:val="16"/>
          <w:szCs w:val="16"/>
        </w:rPr>
        <w:t>C</w:t>
      </w:r>
      <w:r w:rsidRPr="0099048D">
        <w:rPr>
          <w:rFonts w:asciiTheme="majorHAnsi" w:hAnsiTheme="majorHAnsi" w:cstheme="majorHAnsi"/>
          <w:sz w:val="16"/>
          <w:szCs w:val="16"/>
        </w:rPr>
        <w:t>onform pct.37 din Regulamentul aprobat prin Hotărârea Guvernului nr.1242 din 15.10.2003</w:t>
      </w:r>
      <w:r>
        <w:rPr>
          <w:rFonts w:asciiTheme="majorHAnsi" w:hAnsiTheme="majorHAnsi" w:cstheme="majorHAnsi"/>
          <w:sz w:val="16"/>
          <w:szCs w:val="16"/>
        </w:rPr>
        <w:t>.</w:t>
      </w:r>
    </w:p>
  </w:footnote>
  <w:footnote w:id="9">
    <w:p w14:paraId="68F81089" w14:textId="79EBB2DA" w:rsidR="00297C40" w:rsidRPr="0017607E" w:rsidRDefault="00297C40">
      <w:pPr>
        <w:pStyle w:val="a5"/>
        <w:spacing w:line="276" w:lineRule="auto"/>
        <w:jc w:val="both"/>
        <w:rPr>
          <w:rFonts w:asciiTheme="majorHAnsi" w:hAnsiTheme="majorHAnsi" w:cstheme="majorHAnsi"/>
          <w:sz w:val="16"/>
          <w:szCs w:val="16"/>
        </w:rPr>
      </w:pPr>
      <w:r w:rsidRPr="0017607E">
        <w:rPr>
          <w:rStyle w:val="a7"/>
          <w:rFonts w:asciiTheme="majorHAnsi" w:hAnsiTheme="majorHAnsi" w:cstheme="majorHAnsi"/>
          <w:sz w:val="16"/>
          <w:szCs w:val="16"/>
        </w:rPr>
        <w:footnoteRef/>
      </w:r>
      <w:r w:rsidRPr="0017607E">
        <w:rPr>
          <w:rFonts w:asciiTheme="majorHAnsi" w:hAnsiTheme="majorHAnsi" w:cstheme="majorHAnsi"/>
          <w:sz w:val="16"/>
          <w:szCs w:val="16"/>
        </w:rPr>
        <w:t xml:space="preserve"> HG nr.1242 din 15.10.2003</w:t>
      </w:r>
      <w:r>
        <w:rPr>
          <w:rFonts w:asciiTheme="majorHAnsi" w:hAnsiTheme="majorHAnsi" w:cstheme="majorHAnsi"/>
          <w:sz w:val="16"/>
          <w:szCs w:val="16"/>
        </w:rPr>
        <w:t xml:space="preserve">, </w:t>
      </w:r>
      <w:r w:rsidRPr="0017607E">
        <w:rPr>
          <w:rFonts w:asciiTheme="majorHAnsi" w:hAnsiTheme="majorHAnsi" w:cstheme="majorHAnsi"/>
          <w:sz w:val="16"/>
          <w:szCs w:val="16"/>
        </w:rPr>
        <w:t xml:space="preserve">pct.37: </w:t>
      </w:r>
      <w:r>
        <w:rPr>
          <w:rFonts w:asciiTheme="majorHAnsi" w:hAnsiTheme="majorHAnsi" w:cstheme="majorHAnsi"/>
          <w:sz w:val="16"/>
          <w:szCs w:val="16"/>
        </w:rPr>
        <w:t>„</w:t>
      </w:r>
      <w:r w:rsidRPr="0017607E">
        <w:rPr>
          <w:rFonts w:asciiTheme="majorHAnsi" w:hAnsiTheme="majorHAnsi" w:cstheme="majorHAnsi"/>
          <w:sz w:val="16"/>
          <w:szCs w:val="16"/>
        </w:rPr>
        <w:t xml:space="preserve">Teatrele, circurile şi organizațiile concertistice, fondate de stat, beneficiază de subvenții din partea fondatorului, conform prevederilor art.17 al Legii cu privire la teatre, circuri şi organizații concertistice: pentru instituțiile cu statut național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în proporție de 80% faţă de cheltuielile totale, pentru restul instituțiilor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în proporție de 60% din cheltuielile întreprinderii, precum şi în conformitate cu calculele normativelor de cheltuieli, aprobate de Guvern. Instituțiile municipale, departamentale, regionale sînt subvenționate, respectiv, din bugetele municipale, departamentale, locale în aceleași proporții, conform Legii cu privire la teatre, circuri şi organizații concertistice</w:t>
      </w:r>
      <w:r>
        <w:rPr>
          <w:rFonts w:asciiTheme="majorHAnsi" w:hAnsiTheme="majorHAnsi" w:cstheme="majorHAnsi"/>
          <w:sz w:val="16"/>
          <w:szCs w:val="16"/>
        </w:rPr>
        <w:t>”</w:t>
      </w:r>
      <w:r w:rsidRPr="0017607E">
        <w:rPr>
          <w:rFonts w:asciiTheme="majorHAnsi" w:hAnsiTheme="majorHAnsi" w:cstheme="majorHAnsi"/>
          <w:sz w:val="16"/>
          <w:szCs w:val="16"/>
        </w:rPr>
        <w:t>.</w:t>
      </w:r>
    </w:p>
  </w:footnote>
  <w:footnote w:id="10">
    <w:p w14:paraId="5EFA35FB" w14:textId="47499A1F" w:rsidR="00297C40" w:rsidRPr="0017607E" w:rsidRDefault="00297C40">
      <w:pPr>
        <w:pStyle w:val="a5"/>
        <w:spacing w:line="276" w:lineRule="auto"/>
        <w:jc w:val="both"/>
        <w:rPr>
          <w:rFonts w:asciiTheme="majorHAnsi" w:hAnsiTheme="majorHAnsi" w:cstheme="majorHAnsi"/>
          <w:sz w:val="16"/>
          <w:szCs w:val="16"/>
        </w:rPr>
      </w:pPr>
      <w:r w:rsidRPr="0017607E">
        <w:rPr>
          <w:rStyle w:val="a7"/>
          <w:rFonts w:asciiTheme="majorHAnsi" w:hAnsiTheme="majorHAnsi" w:cstheme="majorHAnsi"/>
          <w:sz w:val="16"/>
          <w:szCs w:val="16"/>
        </w:rPr>
        <w:footnoteRef/>
      </w:r>
      <w:r w:rsidRPr="0017607E">
        <w:rPr>
          <w:rFonts w:asciiTheme="majorHAnsi" w:hAnsiTheme="majorHAnsi" w:cstheme="majorHAnsi"/>
          <w:sz w:val="16"/>
          <w:szCs w:val="16"/>
        </w:rPr>
        <w:t xml:space="preserve"> </w:t>
      </w:r>
      <w:r w:rsidRPr="0017607E">
        <w:rPr>
          <w:rFonts w:asciiTheme="majorHAnsi" w:hAnsiTheme="majorHAnsi" w:cstheme="majorHAnsi"/>
          <w:i/>
          <w:sz w:val="16"/>
          <w:szCs w:val="16"/>
        </w:rPr>
        <w:t xml:space="preserve">Instituțiile teatrale cu statut „Republican” (în continuare </w:t>
      </w:r>
      <w:r w:rsidRPr="00575EAC">
        <w:rPr>
          <w:rFonts w:asciiTheme="majorHAnsi" w:hAnsiTheme="majorHAnsi" w:cstheme="majorHAnsi"/>
          <w:sz w:val="16"/>
          <w:szCs w:val="16"/>
        </w:rPr>
        <w:t>–</w:t>
      </w:r>
      <w:r>
        <w:rPr>
          <w:rFonts w:asciiTheme="majorHAnsi" w:hAnsiTheme="majorHAnsi" w:cstheme="majorHAnsi"/>
          <w:sz w:val="16"/>
          <w:szCs w:val="16"/>
        </w:rPr>
        <w:t xml:space="preserve"> </w:t>
      </w:r>
      <w:r w:rsidRPr="0017607E">
        <w:rPr>
          <w:rFonts w:asciiTheme="majorHAnsi" w:hAnsiTheme="majorHAnsi" w:cstheme="majorHAnsi"/>
          <w:i/>
          <w:sz w:val="16"/>
          <w:szCs w:val="16"/>
        </w:rPr>
        <w:t>IT Republican)</w:t>
      </w:r>
      <w:r>
        <w:rPr>
          <w:rFonts w:asciiTheme="majorHAnsi" w:hAnsiTheme="majorHAnsi" w:cstheme="majorHAnsi"/>
          <w:i/>
          <w:sz w:val="16"/>
          <w:szCs w:val="16"/>
        </w:rPr>
        <w:t>, cărora le-au fost stabilite</w:t>
      </w:r>
      <w:r w:rsidRPr="0017607E">
        <w:rPr>
          <w:rFonts w:asciiTheme="majorHAnsi" w:hAnsiTheme="majorHAnsi" w:cstheme="majorHAnsi"/>
          <w:i/>
          <w:sz w:val="16"/>
          <w:szCs w:val="16"/>
        </w:rPr>
        <w:t xml:space="preserve"> subvenții </w:t>
      </w:r>
      <w:r>
        <w:rPr>
          <w:rFonts w:asciiTheme="majorHAnsi" w:hAnsiTheme="majorHAnsi" w:cstheme="majorHAnsi"/>
          <w:i/>
          <w:sz w:val="16"/>
          <w:szCs w:val="16"/>
        </w:rPr>
        <w:t>conform</w:t>
      </w:r>
      <w:r w:rsidRPr="0017607E">
        <w:rPr>
          <w:rFonts w:asciiTheme="majorHAnsi" w:hAnsiTheme="majorHAnsi" w:cstheme="majorHAnsi"/>
          <w:i/>
          <w:sz w:val="16"/>
          <w:szCs w:val="16"/>
        </w:rPr>
        <w:t xml:space="preserve"> HG nr.1242/2003 în proporție de 60% faț</w:t>
      </w:r>
      <w:r>
        <w:rPr>
          <w:rFonts w:asciiTheme="majorHAnsi" w:hAnsiTheme="majorHAnsi" w:cstheme="majorHAnsi"/>
          <w:i/>
          <w:sz w:val="16"/>
          <w:szCs w:val="16"/>
        </w:rPr>
        <w:t>ă</w:t>
      </w:r>
      <w:r w:rsidRPr="0017607E">
        <w:rPr>
          <w:rFonts w:asciiTheme="majorHAnsi" w:hAnsiTheme="majorHAnsi" w:cstheme="majorHAnsi"/>
          <w:i/>
          <w:sz w:val="16"/>
          <w:szCs w:val="16"/>
        </w:rPr>
        <w:t xml:space="preserve"> de cheltuielile totale</w:t>
      </w:r>
      <w:r>
        <w:rPr>
          <w:rFonts w:asciiTheme="majorHAnsi" w:hAnsiTheme="majorHAnsi" w:cstheme="majorHAnsi"/>
          <w:i/>
          <w:sz w:val="16"/>
          <w:szCs w:val="16"/>
        </w:rPr>
        <w:t>,</w:t>
      </w:r>
      <w:r w:rsidRPr="0017607E">
        <w:rPr>
          <w:rFonts w:asciiTheme="majorHAnsi" w:hAnsiTheme="majorHAnsi" w:cstheme="majorHAnsi"/>
          <w:i/>
          <w:sz w:val="16"/>
          <w:szCs w:val="16"/>
        </w:rPr>
        <w:t xml:space="preserve"> au beneficiat </w:t>
      </w:r>
      <w:r>
        <w:rPr>
          <w:rFonts w:asciiTheme="majorHAnsi" w:hAnsiTheme="majorHAnsi" w:cstheme="majorHAnsi"/>
          <w:i/>
          <w:sz w:val="16"/>
          <w:szCs w:val="16"/>
        </w:rPr>
        <w:t xml:space="preserve">de </w:t>
      </w:r>
      <w:r w:rsidRPr="0017607E">
        <w:rPr>
          <w:rFonts w:asciiTheme="majorHAnsi" w:hAnsiTheme="majorHAnsi" w:cstheme="majorHAnsi"/>
          <w:i/>
          <w:sz w:val="16"/>
          <w:szCs w:val="16"/>
        </w:rPr>
        <w:t>subvenții în volum mai mare dec</w:t>
      </w:r>
      <w:r>
        <w:rPr>
          <w:rFonts w:asciiTheme="majorHAnsi" w:hAnsiTheme="majorHAnsi" w:cstheme="majorHAnsi"/>
          <w:i/>
          <w:sz w:val="16"/>
          <w:szCs w:val="16"/>
        </w:rPr>
        <w:t>â</w:t>
      </w:r>
      <w:r w:rsidRPr="0017607E">
        <w:rPr>
          <w:rFonts w:asciiTheme="majorHAnsi" w:hAnsiTheme="majorHAnsi" w:cstheme="majorHAnsi"/>
          <w:i/>
          <w:sz w:val="16"/>
          <w:szCs w:val="16"/>
        </w:rPr>
        <w:t xml:space="preserve">t </w:t>
      </w:r>
      <w:r>
        <w:rPr>
          <w:rFonts w:asciiTheme="majorHAnsi" w:hAnsiTheme="majorHAnsi" w:cstheme="majorHAnsi"/>
          <w:i/>
          <w:sz w:val="16"/>
          <w:szCs w:val="16"/>
        </w:rPr>
        <w:t xml:space="preserve">cel </w:t>
      </w:r>
      <w:r w:rsidRPr="0017607E">
        <w:rPr>
          <w:rFonts w:asciiTheme="majorHAnsi" w:hAnsiTheme="majorHAnsi" w:cstheme="majorHAnsi"/>
          <w:i/>
          <w:sz w:val="16"/>
          <w:szCs w:val="16"/>
        </w:rPr>
        <w:t>menționat</w:t>
      </w:r>
      <w:r>
        <w:rPr>
          <w:rFonts w:asciiTheme="majorHAnsi" w:hAnsiTheme="majorHAnsi" w:cstheme="majorHAnsi"/>
          <w:i/>
          <w:sz w:val="16"/>
          <w:szCs w:val="16"/>
        </w:rPr>
        <w:t>, în</w:t>
      </w:r>
      <w:r w:rsidRPr="0017607E">
        <w:rPr>
          <w:rFonts w:asciiTheme="majorHAnsi" w:hAnsiTheme="majorHAnsi" w:cstheme="majorHAnsi"/>
          <w:i/>
          <w:sz w:val="16"/>
          <w:szCs w:val="16"/>
        </w:rPr>
        <w:t xml:space="preserve"> sum</w:t>
      </w:r>
      <w:r>
        <w:rPr>
          <w:rFonts w:asciiTheme="majorHAnsi" w:hAnsiTheme="majorHAnsi" w:cstheme="majorHAnsi"/>
          <w:i/>
          <w:sz w:val="16"/>
          <w:szCs w:val="16"/>
        </w:rPr>
        <w:t>ă</w:t>
      </w:r>
      <w:r w:rsidRPr="0017607E">
        <w:rPr>
          <w:rFonts w:asciiTheme="majorHAnsi" w:hAnsiTheme="majorHAnsi" w:cstheme="majorHAnsi"/>
          <w:i/>
          <w:sz w:val="16"/>
          <w:szCs w:val="16"/>
        </w:rPr>
        <w:t xml:space="preserve"> de 11.872,9 mii lei (</w:t>
      </w:r>
      <w:r w:rsidRPr="0017607E">
        <w:rPr>
          <w:rFonts w:asciiTheme="majorHAnsi" w:hAnsiTheme="majorHAnsi" w:cstheme="majorHAnsi"/>
          <w:sz w:val="16"/>
          <w:szCs w:val="16"/>
        </w:rPr>
        <w:t xml:space="preserve">Teatrul </w:t>
      </w:r>
      <w:r>
        <w:rPr>
          <w:rFonts w:asciiTheme="majorHAnsi" w:hAnsiTheme="majorHAnsi" w:cstheme="majorHAnsi"/>
          <w:sz w:val="16"/>
          <w:szCs w:val="16"/>
        </w:rPr>
        <w:t>„</w:t>
      </w:r>
      <w:r w:rsidRPr="0017607E">
        <w:rPr>
          <w:rFonts w:asciiTheme="majorHAnsi" w:hAnsiTheme="majorHAnsi" w:cstheme="majorHAnsi"/>
          <w:sz w:val="16"/>
          <w:szCs w:val="16"/>
        </w:rPr>
        <w:t>A.P. Cehov</w:t>
      </w:r>
      <w:r>
        <w:rPr>
          <w:rFonts w:asciiTheme="majorHAnsi" w:hAnsiTheme="majorHAnsi" w:cstheme="majorHAnsi"/>
          <w:sz w:val="16"/>
          <w:szCs w:val="16"/>
        </w:rPr>
        <w:t>”</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82%</w:t>
      </w:r>
      <w:r>
        <w:rPr>
          <w:rFonts w:asciiTheme="majorHAnsi" w:hAnsiTheme="majorHAnsi" w:cstheme="majorHAnsi"/>
          <w:sz w:val="16"/>
          <w:szCs w:val="16"/>
        </w:rPr>
        <w:t>,</w:t>
      </w:r>
      <w:r w:rsidRPr="0017607E">
        <w:rPr>
          <w:rFonts w:asciiTheme="majorHAnsi" w:hAnsiTheme="majorHAnsi" w:cstheme="majorHAnsi"/>
          <w:sz w:val="16"/>
          <w:szCs w:val="16"/>
        </w:rPr>
        <w:t xml:space="preserve"> cu suma de 3.094,1 mii lei; Teatrul </w:t>
      </w:r>
      <w:r>
        <w:rPr>
          <w:rFonts w:asciiTheme="majorHAnsi" w:hAnsiTheme="majorHAnsi" w:cstheme="majorHAnsi"/>
          <w:sz w:val="16"/>
          <w:szCs w:val="16"/>
        </w:rPr>
        <w:t xml:space="preserve">„S </w:t>
      </w:r>
      <w:r w:rsidR="00521F14">
        <w:rPr>
          <w:rFonts w:asciiTheme="majorHAnsi" w:hAnsiTheme="majorHAnsi" w:cstheme="majorHAnsi"/>
          <w:sz w:val="16"/>
          <w:szCs w:val="16"/>
        </w:rPr>
        <w:t xml:space="preserve">Ulițî </w:t>
      </w:r>
      <w:r w:rsidRPr="0017607E">
        <w:rPr>
          <w:rFonts w:asciiTheme="majorHAnsi" w:hAnsiTheme="majorHAnsi" w:cstheme="majorHAnsi"/>
          <w:sz w:val="16"/>
          <w:szCs w:val="16"/>
        </w:rPr>
        <w:t>Roz</w:t>
      </w:r>
      <w:r>
        <w:rPr>
          <w:rFonts w:asciiTheme="majorHAnsi" w:hAnsiTheme="majorHAnsi" w:cstheme="majorHAnsi"/>
          <w:sz w:val="16"/>
          <w:szCs w:val="16"/>
        </w:rPr>
        <w:t>”</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88%</w:t>
      </w:r>
      <w:r>
        <w:rPr>
          <w:rFonts w:asciiTheme="majorHAnsi" w:hAnsiTheme="majorHAnsi" w:cstheme="majorHAnsi"/>
          <w:sz w:val="16"/>
          <w:szCs w:val="16"/>
        </w:rPr>
        <w:t>,</w:t>
      </w:r>
      <w:r w:rsidRPr="0017607E">
        <w:rPr>
          <w:rFonts w:asciiTheme="majorHAnsi" w:hAnsiTheme="majorHAnsi" w:cstheme="majorHAnsi"/>
          <w:sz w:val="16"/>
          <w:szCs w:val="16"/>
        </w:rPr>
        <w:t xml:space="preserve"> cu suma de 2.130,8 mii lei; Teatrul „Licurici”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77%</w:t>
      </w:r>
      <w:r>
        <w:rPr>
          <w:rFonts w:asciiTheme="majorHAnsi" w:hAnsiTheme="majorHAnsi" w:cstheme="majorHAnsi"/>
          <w:sz w:val="16"/>
          <w:szCs w:val="16"/>
        </w:rPr>
        <w:t>,</w:t>
      </w:r>
      <w:r w:rsidRPr="0017607E">
        <w:rPr>
          <w:rFonts w:asciiTheme="majorHAnsi" w:hAnsiTheme="majorHAnsi" w:cstheme="majorHAnsi"/>
          <w:sz w:val="16"/>
          <w:szCs w:val="16"/>
        </w:rPr>
        <w:t xml:space="preserve"> cu suma de 1.737,7 mii lei;  Teatrul </w:t>
      </w:r>
      <w:r>
        <w:rPr>
          <w:rFonts w:asciiTheme="majorHAnsi" w:hAnsiTheme="majorHAnsi" w:cstheme="majorHAnsi"/>
          <w:sz w:val="16"/>
          <w:szCs w:val="16"/>
        </w:rPr>
        <w:t>„</w:t>
      </w:r>
      <w:r w:rsidRPr="0017607E">
        <w:rPr>
          <w:rFonts w:asciiTheme="majorHAnsi" w:hAnsiTheme="majorHAnsi" w:cstheme="majorHAnsi"/>
          <w:sz w:val="16"/>
          <w:szCs w:val="16"/>
        </w:rPr>
        <w:t>Ion Creang</w:t>
      </w:r>
      <w:r>
        <w:rPr>
          <w:rFonts w:asciiTheme="majorHAnsi" w:hAnsiTheme="majorHAnsi" w:cstheme="majorHAnsi"/>
          <w:sz w:val="16"/>
          <w:szCs w:val="16"/>
        </w:rPr>
        <w:t>ă”</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104%</w:t>
      </w:r>
      <w:r>
        <w:rPr>
          <w:rFonts w:asciiTheme="majorHAnsi" w:hAnsiTheme="majorHAnsi" w:cstheme="majorHAnsi"/>
          <w:sz w:val="16"/>
          <w:szCs w:val="16"/>
        </w:rPr>
        <w:t>,</w:t>
      </w:r>
      <w:r w:rsidRPr="0017607E">
        <w:rPr>
          <w:rFonts w:asciiTheme="majorHAnsi" w:hAnsiTheme="majorHAnsi" w:cstheme="majorHAnsi"/>
          <w:sz w:val="16"/>
          <w:szCs w:val="16"/>
        </w:rPr>
        <w:t xml:space="preserve"> cu suma de 1.498,9 mii lei; Teatrul </w:t>
      </w:r>
      <w:r>
        <w:rPr>
          <w:rFonts w:asciiTheme="majorHAnsi" w:hAnsiTheme="majorHAnsi" w:cstheme="majorHAnsi"/>
          <w:sz w:val="16"/>
          <w:szCs w:val="16"/>
        </w:rPr>
        <w:t>„</w:t>
      </w:r>
      <w:r w:rsidRPr="0017607E">
        <w:rPr>
          <w:rFonts w:asciiTheme="majorHAnsi" w:hAnsiTheme="majorHAnsi" w:cstheme="majorHAnsi"/>
          <w:sz w:val="16"/>
          <w:szCs w:val="16"/>
        </w:rPr>
        <w:t>Ginta Latin</w:t>
      </w:r>
      <w:r>
        <w:rPr>
          <w:rFonts w:asciiTheme="majorHAnsi" w:hAnsiTheme="majorHAnsi" w:cstheme="majorHAnsi"/>
          <w:sz w:val="16"/>
          <w:szCs w:val="16"/>
        </w:rPr>
        <w:t>ă”</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Pr>
          <w:rFonts w:asciiTheme="majorHAnsi" w:hAnsiTheme="majorHAnsi" w:cstheme="majorHAnsi"/>
          <w:sz w:val="16"/>
          <w:szCs w:val="16"/>
        </w:rPr>
        <w:t xml:space="preserve"> </w:t>
      </w:r>
      <w:r w:rsidRPr="0017607E">
        <w:rPr>
          <w:rFonts w:asciiTheme="majorHAnsi" w:hAnsiTheme="majorHAnsi" w:cstheme="majorHAnsi"/>
          <w:sz w:val="16"/>
          <w:szCs w:val="16"/>
        </w:rPr>
        <w:t>71 %</w:t>
      </w:r>
      <w:r>
        <w:rPr>
          <w:rFonts w:asciiTheme="majorHAnsi" w:hAnsiTheme="majorHAnsi" w:cstheme="majorHAnsi"/>
          <w:sz w:val="16"/>
          <w:szCs w:val="16"/>
        </w:rPr>
        <w:t>,</w:t>
      </w:r>
      <w:r w:rsidRPr="0017607E">
        <w:rPr>
          <w:rFonts w:asciiTheme="majorHAnsi" w:hAnsiTheme="majorHAnsi" w:cstheme="majorHAnsi"/>
          <w:sz w:val="16"/>
          <w:szCs w:val="16"/>
        </w:rPr>
        <w:t xml:space="preserve"> cu suma de 1.338,7 mii lei; Teatrul </w:t>
      </w:r>
      <w:r>
        <w:rPr>
          <w:rFonts w:asciiTheme="majorHAnsi" w:hAnsiTheme="majorHAnsi" w:cstheme="majorHAnsi"/>
          <w:sz w:val="16"/>
          <w:szCs w:val="16"/>
        </w:rPr>
        <w:t>p</w:t>
      </w:r>
      <w:r w:rsidRPr="0017607E">
        <w:rPr>
          <w:rFonts w:asciiTheme="majorHAnsi" w:hAnsiTheme="majorHAnsi" w:cstheme="majorHAnsi"/>
          <w:sz w:val="16"/>
          <w:szCs w:val="16"/>
        </w:rPr>
        <w:t xml:space="preserve">oetic </w:t>
      </w:r>
      <w:r>
        <w:rPr>
          <w:rFonts w:asciiTheme="majorHAnsi" w:hAnsiTheme="majorHAnsi" w:cstheme="majorHAnsi"/>
          <w:sz w:val="16"/>
          <w:szCs w:val="16"/>
        </w:rPr>
        <w:t>„</w:t>
      </w:r>
      <w:r w:rsidRPr="0017607E">
        <w:rPr>
          <w:rFonts w:asciiTheme="majorHAnsi" w:hAnsiTheme="majorHAnsi" w:cstheme="majorHAnsi"/>
          <w:sz w:val="16"/>
          <w:szCs w:val="16"/>
        </w:rPr>
        <w:t>Alexei Mateevici</w:t>
      </w:r>
      <w:r>
        <w:rPr>
          <w:rFonts w:asciiTheme="majorHAnsi" w:hAnsiTheme="majorHAnsi" w:cstheme="majorHAnsi"/>
          <w:sz w:val="16"/>
          <w:szCs w:val="16"/>
        </w:rPr>
        <w:t>”</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81%</w:t>
      </w:r>
      <w:r>
        <w:rPr>
          <w:rFonts w:asciiTheme="majorHAnsi" w:hAnsiTheme="majorHAnsi" w:cstheme="majorHAnsi"/>
          <w:sz w:val="16"/>
          <w:szCs w:val="16"/>
        </w:rPr>
        <w:t>,</w:t>
      </w:r>
      <w:r w:rsidRPr="0017607E">
        <w:rPr>
          <w:rFonts w:asciiTheme="majorHAnsi" w:hAnsiTheme="majorHAnsi" w:cstheme="majorHAnsi"/>
          <w:sz w:val="16"/>
          <w:szCs w:val="16"/>
        </w:rPr>
        <w:t xml:space="preserve"> cu suma de 879,4 mii lei; Teatrul „Luceafărul”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68%</w:t>
      </w:r>
      <w:r>
        <w:rPr>
          <w:rFonts w:asciiTheme="majorHAnsi" w:hAnsiTheme="majorHAnsi" w:cstheme="majorHAnsi"/>
          <w:sz w:val="16"/>
          <w:szCs w:val="16"/>
        </w:rPr>
        <w:t>,</w:t>
      </w:r>
      <w:r w:rsidRPr="0017607E">
        <w:rPr>
          <w:rFonts w:asciiTheme="majorHAnsi" w:hAnsiTheme="majorHAnsi" w:cstheme="majorHAnsi"/>
          <w:sz w:val="16"/>
          <w:szCs w:val="16"/>
        </w:rPr>
        <w:t xml:space="preserve"> cu suma de 835,0 mii lei; Teatrul </w:t>
      </w:r>
      <w:r>
        <w:rPr>
          <w:rFonts w:asciiTheme="majorHAnsi" w:hAnsiTheme="majorHAnsi" w:cstheme="majorHAnsi"/>
          <w:sz w:val="16"/>
          <w:szCs w:val="16"/>
        </w:rPr>
        <w:t>„</w:t>
      </w:r>
      <w:r w:rsidRPr="0017607E">
        <w:rPr>
          <w:rFonts w:asciiTheme="majorHAnsi" w:hAnsiTheme="majorHAnsi" w:cstheme="majorHAnsi"/>
          <w:sz w:val="16"/>
          <w:szCs w:val="16"/>
        </w:rPr>
        <w:t>B. P. Hașdeu</w:t>
      </w:r>
      <w:r>
        <w:rPr>
          <w:rFonts w:asciiTheme="majorHAnsi" w:hAnsiTheme="majorHAnsi" w:cstheme="majorHAnsi"/>
          <w:sz w:val="16"/>
          <w:szCs w:val="16"/>
        </w:rPr>
        <w:t>”</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65%</w:t>
      </w:r>
      <w:r>
        <w:rPr>
          <w:rFonts w:asciiTheme="majorHAnsi" w:hAnsiTheme="majorHAnsi" w:cstheme="majorHAnsi"/>
          <w:sz w:val="16"/>
          <w:szCs w:val="16"/>
        </w:rPr>
        <w:t>,</w:t>
      </w:r>
      <w:r w:rsidRPr="0017607E">
        <w:rPr>
          <w:rFonts w:asciiTheme="majorHAnsi" w:hAnsiTheme="majorHAnsi" w:cstheme="majorHAnsi"/>
          <w:sz w:val="16"/>
          <w:szCs w:val="16"/>
        </w:rPr>
        <w:t xml:space="preserve"> cu suma de 358,2 mii lei</w:t>
      </w:r>
      <w:r w:rsidRPr="0017607E">
        <w:rPr>
          <w:rFonts w:asciiTheme="majorHAnsi" w:hAnsiTheme="majorHAnsi" w:cstheme="majorHAnsi"/>
          <w:i/>
          <w:sz w:val="16"/>
          <w:szCs w:val="16"/>
        </w:rPr>
        <w:t>).</w:t>
      </w:r>
      <w:r>
        <w:rPr>
          <w:rFonts w:asciiTheme="majorHAnsi" w:hAnsiTheme="majorHAnsi" w:cstheme="majorHAnsi"/>
          <w:i/>
          <w:sz w:val="16"/>
          <w:szCs w:val="16"/>
        </w:rPr>
        <w:t xml:space="preserve"> </w:t>
      </w:r>
      <w:r w:rsidRPr="0017607E">
        <w:rPr>
          <w:rFonts w:asciiTheme="majorHAnsi" w:hAnsiTheme="majorHAnsi" w:cstheme="majorHAnsi"/>
          <w:i/>
          <w:sz w:val="16"/>
          <w:szCs w:val="16"/>
        </w:rPr>
        <w:t xml:space="preserve">Instituțiile teatrale cu statut „Național” (în continuare </w:t>
      </w:r>
      <w:r w:rsidRPr="00575EAC">
        <w:rPr>
          <w:rFonts w:asciiTheme="majorHAnsi" w:hAnsiTheme="majorHAnsi" w:cstheme="majorHAnsi"/>
          <w:sz w:val="16"/>
          <w:szCs w:val="16"/>
        </w:rPr>
        <w:t>–</w:t>
      </w:r>
      <w:r>
        <w:rPr>
          <w:rFonts w:asciiTheme="majorHAnsi" w:hAnsiTheme="majorHAnsi" w:cstheme="majorHAnsi"/>
          <w:sz w:val="16"/>
          <w:szCs w:val="16"/>
        </w:rPr>
        <w:t xml:space="preserve"> </w:t>
      </w:r>
      <w:r w:rsidRPr="0017607E">
        <w:rPr>
          <w:rFonts w:asciiTheme="majorHAnsi" w:hAnsiTheme="majorHAnsi" w:cstheme="majorHAnsi"/>
          <w:i/>
          <w:sz w:val="16"/>
          <w:szCs w:val="16"/>
        </w:rPr>
        <w:t>IT Național)</w:t>
      </w:r>
      <w:r>
        <w:rPr>
          <w:rFonts w:asciiTheme="majorHAnsi" w:hAnsiTheme="majorHAnsi" w:cstheme="majorHAnsi"/>
          <w:i/>
          <w:sz w:val="16"/>
          <w:szCs w:val="16"/>
        </w:rPr>
        <w:t>, cărora le-au</w:t>
      </w:r>
      <w:r w:rsidRPr="0017607E">
        <w:rPr>
          <w:rFonts w:asciiTheme="majorHAnsi" w:hAnsiTheme="majorHAnsi" w:cstheme="majorHAnsi"/>
          <w:i/>
          <w:sz w:val="16"/>
          <w:szCs w:val="16"/>
        </w:rPr>
        <w:t xml:space="preserve"> </w:t>
      </w:r>
      <w:r>
        <w:rPr>
          <w:rFonts w:asciiTheme="majorHAnsi" w:hAnsiTheme="majorHAnsi" w:cstheme="majorHAnsi"/>
          <w:i/>
          <w:sz w:val="16"/>
          <w:szCs w:val="16"/>
        </w:rPr>
        <w:t>fost stabilite</w:t>
      </w:r>
      <w:r w:rsidRPr="0017607E">
        <w:rPr>
          <w:rFonts w:asciiTheme="majorHAnsi" w:hAnsiTheme="majorHAnsi" w:cstheme="majorHAnsi"/>
          <w:i/>
          <w:sz w:val="16"/>
          <w:szCs w:val="16"/>
        </w:rPr>
        <w:t xml:space="preserve"> subvenții</w:t>
      </w:r>
      <w:r>
        <w:rPr>
          <w:rFonts w:asciiTheme="majorHAnsi" w:hAnsiTheme="majorHAnsi" w:cstheme="majorHAnsi"/>
          <w:i/>
          <w:sz w:val="16"/>
          <w:szCs w:val="16"/>
        </w:rPr>
        <w:t xml:space="preserve"> </w:t>
      </w:r>
      <w:r w:rsidRPr="0017607E">
        <w:rPr>
          <w:rFonts w:asciiTheme="majorHAnsi" w:hAnsiTheme="majorHAnsi" w:cstheme="majorHAnsi"/>
          <w:i/>
          <w:sz w:val="16"/>
          <w:szCs w:val="16"/>
        </w:rPr>
        <w:t xml:space="preserve"> </w:t>
      </w:r>
      <w:r>
        <w:rPr>
          <w:rFonts w:asciiTheme="majorHAnsi" w:hAnsiTheme="majorHAnsi" w:cstheme="majorHAnsi"/>
          <w:i/>
          <w:sz w:val="16"/>
          <w:szCs w:val="16"/>
        </w:rPr>
        <w:t xml:space="preserve">conform </w:t>
      </w:r>
      <w:r w:rsidRPr="0017607E">
        <w:rPr>
          <w:rFonts w:asciiTheme="majorHAnsi" w:hAnsiTheme="majorHAnsi" w:cstheme="majorHAnsi"/>
          <w:i/>
          <w:sz w:val="16"/>
          <w:szCs w:val="16"/>
        </w:rPr>
        <w:t xml:space="preserve">pct.37 </w:t>
      </w:r>
      <w:r>
        <w:rPr>
          <w:rFonts w:asciiTheme="majorHAnsi" w:hAnsiTheme="majorHAnsi" w:cstheme="majorHAnsi"/>
          <w:i/>
          <w:sz w:val="16"/>
          <w:szCs w:val="16"/>
        </w:rPr>
        <w:t xml:space="preserve">din </w:t>
      </w:r>
      <w:r w:rsidRPr="0017607E">
        <w:rPr>
          <w:rFonts w:asciiTheme="majorHAnsi" w:hAnsiTheme="majorHAnsi" w:cstheme="majorHAnsi"/>
          <w:i/>
          <w:sz w:val="16"/>
          <w:szCs w:val="16"/>
        </w:rPr>
        <w:t>HG nr.1242/2003 în proporție de 80% faț</w:t>
      </w:r>
      <w:r>
        <w:rPr>
          <w:rFonts w:asciiTheme="majorHAnsi" w:hAnsiTheme="majorHAnsi" w:cstheme="majorHAnsi"/>
          <w:i/>
          <w:sz w:val="16"/>
          <w:szCs w:val="16"/>
        </w:rPr>
        <w:t>ă</w:t>
      </w:r>
      <w:r w:rsidRPr="0017607E">
        <w:rPr>
          <w:rFonts w:asciiTheme="majorHAnsi" w:hAnsiTheme="majorHAnsi" w:cstheme="majorHAnsi"/>
          <w:i/>
          <w:sz w:val="16"/>
          <w:szCs w:val="16"/>
        </w:rPr>
        <w:t xml:space="preserve"> de cheltuielile totale</w:t>
      </w:r>
      <w:r>
        <w:rPr>
          <w:rFonts w:asciiTheme="majorHAnsi" w:hAnsiTheme="majorHAnsi" w:cstheme="majorHAnsi"/>
          <w:i/>
          <w:sz w:val="16"/>
          <w:szCs w:val="16"/>
        </w:rPr>
        <w:t>,</w:t>
      </w:r>
      <w:r w:rsidRPr="0017607E">
        <w:rPr>
          <w:rFonts w:asciiTheme="majorHAnsi" w:hAnsiTheme="majorHAnsi" w:cstheme="majorHAnsi"/>
          <w:i/>
          <w:sz w:val="16"/>
          <w:szCs w:val="16"/>
        </w:rPr>
        <w:t xml:space="preserve"> au </w:t>
      </w:r>
      <w:r>
        <w:rPr>
          <w:rFonts w:asciiTheme="majorHAnsi" w:hAnsiTheme="majorHAnsi" w:cstheme="majorHAnsi"/>
          <w:i/>
          <w:sz w:val="16"/>
          <w:szCs w:val="16"/>
        </w:rPr>
        <w:t>beneficiat de</w:t>
      </w:r>
      <w:r w:rsidRPr="0017607E">
        <w:rPr>
          <w:rFonts w:asciiTheme="majorHAnsi" w:hAnsiTheme="majorHAnsi" w:cstheme="majorHAnsi"/>
          <w:i/>
          <w:sz w:val="16"/>
          <w:szCs w:val="16"/>
        </w:rPr>
        <w:t xml:space="preserve"> subvenții în volum mai mare dec</w:t>
      </w:r>
      <w:r>
        <w:rPr>
          <w:rFonts w:asciiTheme="majorHAnsi" w:hAnsiTheme="majorHAnsi" w:cstheme="majorHAnsi"/>
          <w:i/>
          <w:sz w:val="16"/>
          <w:szCs w:val="16"/>
        </w:rPr>
        <w:t>â</w:t>
      </w:r>
      <w:r w:rsidRPr="0017607E">
        <w:rPr>
          <w:rFonts w:asciiTheme="majorHAnsi" w:hAnsiTheme="majorHAnsi" w:cstheme="majorHAnsi"/>
          <w:i/>
          <w:sz w:val="16"/>
          <w:szCs w:val="16"/>
        </w:rPr>
        <w:t>t</w:t>
      </w:r>
      <w:r>
        <w:rPr>
          <w:rFonts w:asciiTheme="majorHAnsi" w:hAnsiTheme="majorHAnsi" w:cstheme="majorHAnsi"/>
          <w:i/>
          <w:sz w:val="16"/>
          <w:szCs w:val="16"/>
        </w:rPr>
        <w:t xml:space="preserve"> cel</w:t>
      </w:r>
      <w:r w:rsidRPr="0017607E">
        <w:rPr>
          <w:rFonts w:asciiTheme="majorHAnsi" w:hAnsiTheme="majorHAnsi" w:cstheme="majorHAnsi"/>
          <w:i/>
          <w:sz w:val="16"/>
          <w:szCs w:val="16"/>
        </w:rPr>
        <w:t xml:space="preserve"> stabilit  cu suma de 2.734,3 mii lei </w:t>
      </w:r>
      <w:r w:rsidRPr="004A262A">
        <w:rPr>
          <w:rFonts w:asciiTheme="majorHAnsi" w:hAnsiTheme="majorHAnsi" w:cstheme="majorHAnsi"/>
          <w:sz w:val="16"/>
          <w:szCs w:val="16"/>
        </w:rPr>
        <w:t>(</w:t>
      </w:r>
      <w:r w:rsidRPr="0017607E">
        <w:rPr>
          <w:rFonts w:asciiTheme="majorHAnsi" w:hAnsiTheme="majorHAnsi" w:cstheme="majorHAnsi"/>
          <w:sz w:val="16"/>
          <w:szCs w:val="16"/>
        </w:rPr>
        <w:t xml:space="preserve">TN </w:t>
      </w:r>
      <w:r>
        <w:rPr>
          <w:rFonts w:asciiTheme="majorHAnsi" w:hAnsiTheme="majorHAnsi" w:cstheme="majorHAnsi"/>
          <w:sz w:val="16"/>
          <w:szCs w:val="16"/>
        </w:rPr>
        <w:t>„</w:t>
      </w:r>
      <w:r w:rsidRPr="0017607E">
        <w:rPr>
          <w:rFonts w:asciiTheme="majorHAnsi" w:hAnsiTheme="majorHAnsi" w:cstheme="majorHAnsi"/>
          <w:sz w:val="16"/>
          <w:szCs w:val="16"/>
        </w:rPr>
        <w:t>Mihai Eminescu</w:t>
      </w:r>
      <w:r>
        <w:rPr>
          <w:rFonts w:asciiTheme="majorHAnsi" w:hAnsiTheme="majorHAnsi" w:cstheme="majorHAnsi"/>
          <w:sz w:val="16"/>
          <w:szCs w:val="16"/>
        </w:rPr>
        <w:t>”</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86%</w:t>
      </w:r>
      <w:r>
        <w:rPr>
          <w:rFonts w:asciiTheme="majorHAnsi" w:hAnsiTheme="majorHAnsi" w:cstheme="majorHAnsi"/>
          <w:sz w:val="16"/>
          <w:szCs w:val="16"/>
        </w:rPr>
        <w:t>,</w:t>
      </w:r>
      <w:r w:rsidRPr="0017607E">
        <w:rPr>
          <w:rFonts w:asciiTheme="majorHAnsi" w:hAnsiTheme="majorHAnsi" w:cstheme="majorHAnsi"/>
          <w:sz w:val="16"/>
          <w:szCs w:val="16"/>
        </w:rPr>
        <w:t xml:space="preserve"> cu suma de 1.298,6 mii lei; TN </w:t>
      </w:r>
      <w:r>
        <w:rPr>
          <w:rFonts w:asciiTheme="majorHAnsi" w:hAnsiTheme="majorHAnsi" w:cstheme="majorHAnsi"/>
          <w:sz w:val="16"/>
          <w:szCs w:val="16"/>
        </w:rPr>
        <w:t>„</w:t>
      </w:r>
      <w:r w:rsidRPr="0017607E">
        <w:rPr>
          <w:rFonts w:asciiTheme="majorHAnsi" w:hAnsiTheme="majorHAnsi" w:cstheme="majorHAnsi"/>
          <w:sz w:val="16"/>
          <w:szCs w:val="16"/>
        </w:rPr>
        <w:t>Eugene Ionesc</w:t>
      </w:r>
      <w:r>
        <w:rPr>
          <w:rFonts w:asciiTheme="majorHAnsi" w:hAnsiTheme="majorHAnsi" w:cstheme="majorHAnsi"/>
          <w:sz w:val="16"/>
          <w:szCs w:val="16"/>
        </w:rPr>
        <w:t>o”</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88%</w:t>
      </w:r>
      <w:r>
        <w:rPr>
          <w:rFonts w:asciiTheme="majorHAnsi" w:hAnsiTheme="majorHAnsi" w:cstheme="majorHAnsi"/>
          <w:sz w:val="16"/>
          <w:szCs w:val="16"/>
        </w:rPr>
        <w:t>,</w:t>
      </w:r>
      <w:r w:rsidRPr="0017607E">
        <w:rPr>
          <w:rFonts w:asciiTheme="majorHAnsi" w:hAnsiTheme="majorHAnsi" w:cstheme="majorHAnsi"/>
          <w:sz w:val="16"/>
          <w:szCs w:val="16"/>
        </w:rPr>
        <w:t xml:space="preserve"> cu suma de 771,2 mii lei; TN </w:t>
      </w:r>
      <w:r>
        <w:rPr>
          <w:rFonts w:asciiTheme="majorHAnsi" w:hAnsiTheme="majorHAnsi" w:cstheme="majorHAnsi"/>
          <w:sz w:val="16"/>
          <w:szCs w:val="16"/>
        </w:rPr>
        <w:t>„</w:t>
      </w:r>
      <w:r w:rsidRPr="0017607E">
        <w:rPr>
          <w:rFonts w:asciiTheme="majorHAnsi" w:hAnsiTheme="majorHAnsi" w:cstheme="majorHAnsi"/>
          <w:sz w:val="16"/>
          <w:szCs w:val="16"/>
        </w:rPr>
        <w:t>V. Ale</w:t>
      </w:r>
      <w:r>
        <w:rPr>
          <w:rFonts w:asciiTheme="majorHAnsi" w:hAnsiTheme="majorHAnsi" w:cstheme="majorHAnsi"/>
          <w:sz w:val="16"/>
          <w:szCs w:val="16"/>
        </w:rPr>
        <w:t>cs</w:t>
      </w:r>
      <w:r w:rsidRPr="0017607E">
        <w:rPr>
          <w:rFonts w:asciiTheme="majorHAnsi" w:hAnsiTheme="majorHAnsi" w:cstheme="majorHAnsi"/>
          <w:sz w:val="16"/>
          <w:szCs w:val="16"/>
        </w:rPr>
        <w:t>andri</w:t>
      </w:r>
      <w:r>
        <w:rPr>
          <w:rFonts w:asciiTheme="majorHAnsi" w:hAnsiTheme="majorHAnsi" w:cstheme="majorHAnsi"/>
          <w:sz w:val="16"/>
          <w:szCs w:val="16"/>
        </w:rPr>
        <w:t>”</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87%</w:t>
      </w:r>
      <w:r>
        <w:rPr>
          <w:rFonts w:asciiTheme="majorHAnsi" w:hAnsiTheme="majorHAnsi" w:cstheme="majorHAnsi"/>
          <w:sz w:val="16"/>
          <w:szCs w:val="16"/>
        </w:rPr>
        <w:t>,</w:t>
      </w:r>
      <w:r w:rsidRPr="0017607E">
        <w:rPr>
          <w:rFonts w:asciiTheme="majorHAnsi" w:hAnsiTheme="majorHAnsi" w:cstheme="majorHAnsi"/>
          <w:sz w:val="16"/>
          <w:szCs w:val="16"/>
        </w:rPr>
        <w:t xml:space="preserve"> cu suma de 664,5 mii lei. </w:t>
      </w:r>
      <w:r w:rsidRPr="0017607E">
        <w:rPr>
          <w:rFonts w:asciiTheme="majorHAnsi" w:hAnsiTheme="majorHAnsi" w:cstheme="majorHAnsi"/>
          <w:i/>
          <w:sz w:val="16"/>
          <w:szCs w:val="16"/>
        </w:rPr>
        <w:t xml:space="preserve">La fel și instituțiile concertistice au beneficiat </w:t>
      </w:r>
      <w:r>
        <w:rPr>
          <w:rFonts w:asciiTheme="majorHAnsi" w:hAnsiTheme="majorHAnsi" w:cstheme="majorHAnsi"/>
          <w:i/>
          <w:sz w:val="16"/>
          <w:szCs w:val="16"/>
        </w:rPr>
        <w:t xml:space="preserve">de </w:t>
      </w:r>
      <w:r w:rsidRPr="0017607E">
        <w:rPr>
          <w:rFonts w:asciiTheme="majorHAnsi" w:hAnsiTheme="majorHAnsi" w:cstheme="majorHAnsi"/>
          <w:i/>
          <w:sz w:val="16"/>
          <w:szCs w:val="16"/>
        </w:rPr>
        <w:t xml:space="preserve">subvenții mai </w:t>
      </w:r>
      <w:r>
        <w:rPr>
          <w:rFonts w:asciiTheme="majorHAnsi" w:hAnsiTheme="majorHAnsi" w:cstheme="majorHAnsi"/>
          <w:i/>
          <w:sz w:val="16"/>
          <w:szCs w:val="16"/>
        </w:rPr>
        <w:t>mari</w:t>
      </w:r>
      <w:r w:rsidRPr="0017607E">
        <w:rPr>
          <w:rFonts w:asciiTheme="majorHAnsi" w:hAnsiTheme="majorHAnsi" w:cstheme="majorHAnsi"/>
          <w:i/>
          <w:sz w:val="16"/>
          <w:szCs w:val="16"/>
        </w:rPr>
        <w:t xml:space="preserve"> cu suma de 4.511,5 mii lei </w:t>
      </w:r>
      <w:r w:rsidRPr="004A262A">
        <w:rPr>
          <w:rFonts w:asciiTheme="majorHAnsi" w:hAnsiTheme="majorHAnsi" w:cstheme="majorHAnsi"/>
          <w:sz w:val="16"/>
          <w:szCs w:val="16"/>
        </w:rPr>
        <w:t>(</w:t>
      </w:r>
      <w:r w:rsidRPr="0017607E">
        <w:rPr>
          <w:rFonts w:asciiTheme="majorHAnsi" w:hAnsiTheme="majorHAnsi" w:cstheme="majorHAnsi"/>
          <w:sz w:val="16"/>
          <w:szCs w:val="16"/>
        </w:rPr>
        <w:t xml:space="preserve">ANADR </w:t>
      </w:r>
      <w:r>
        <w:rPr>
          <w:rFonts w:asciiTheme="majorHAnsi" w:hAnsiTheme="majorHAnsi" w:cstheme="majorHAnsi"/>
          <w:sz w:val="16"/>
          <w:szCs w:val="16"/>
        </w:rPr>
        <w:t>„</w:t>
      </w:r>
      <w:r w:rsidRPr="0017607E">
        <w:rPr>
          <w:rFonts w:asciiTheme="majorHAnsi" w:hAnsiTheme="majorHAnsi" w:cstheme="majorHAnsi"/>
          <w:sz w:val="16"/>
          <w:szCs w:val="16"/>
        </w:rPr>
        <w:t>Joc</w:t>
      </w:r>
      <w:r>
        <w:rPr>
          <w:rFonts w:asciiTheme="majorHAnsi" w:hAnsiTheme="majorHAnsi" w:cstheme="majorHAnsi"/>
          <w:sz w:val="16"/>
          <w:szCs w:val="16"/>
        </w:rPr>
        <w:t>”</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98% (stabilit 80%)</w:t>
      </w:r>
      <w:r>
        <w:rPr>
          <w:rFonts w:asciiTheme="majorHAnsi" w:hAnsiTheme="majorHAnsi" w:cstheme="majorHAnsi"/>
          <w:sz w:val="16"/>
          <w:szCs w:val="16"/>
        </w:rPr>
        <w:t>,</w:t>
      </w:r>
      <w:r w:rsidRPr="0017607E">
        <w:rPr>
          <w:rFonts w:asciiTheme="majorHAnsi" w:hAnsiTheme="majorHAnsi" w:cstheme="majorHAnsi"/>
          <w:sz w:val="16"/>
          <w:szCs w:val="16"/>
        </w:rPr>
        <w:t xml:space="preserve"> cu suma de 2.107,7 mii lei; OCI </w:t>
      </w:r>
      <w:r>
        <w:rPr>
          <w:rFonts w:asciiTheme="majorHAnsi" w:hAnsiTheme="majorHAnsi" w:cstheme="majorHAnsi"/>
          <w:sz w:val="16"/>
          <w:szCs w:val="16"/>
        </w:rPr>
        <w:t>„</w:t>
      </w:r>
      <w:r w:rsidRPr="0017607E">
        <w:rPr>
          <w:rFonts w:asciiTheme="majorHAnsi" w:hAnsiTheme="majorHAnsi" w:cstheme="majorHAnsi"/>
          <w:sz w:val="16"/>
          <w:szCs w:val="16"/>
        </w:rPr>
        <w:t>Moldova-Concert</w:t>
      </w:r>
      <w:r>
        <w:rPr>
          <w:rFonts w:asciiTheme="majorHAnsi" w:hAnsiTheme="majorHAnsi" w:cstheme="majorHAnsi"/>
          <w:sz w:val="16"/>
          <w:szCs w:val="16"/>
        </w:rPr>
        <w:t>”</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63% (stabilit 60%)</w:t>
      </w:r>
      <w:r>
        <w:rPr>
          <w:rFonts w:asciiTheme="majorHAnsi" w:hAnsiTheme="majorHAnsi" w:cstheme="majorHAnsi"/>
          <w:sz w:val="16"/>
          <w:szCs w:val="16"/>
        </w:rPr>
        <w:t>,</w:t>
      </w:r>
      <w:r w:rsidRPr="0017607E">
        <w:rPr>
          <w:rFonts w:asciiTheme="majorHAnsi" w:hAnsiTheme="majorHAnsi" w:cstheme="majorHAnsi"/>
          <w:sz w:val="16"/>
          <w:szCs w:val="16"/>
        </w:rPr>
        <w:t xml:space="preserve"> cu suma de 1.418,1 mii lei; Sala cu Org</w:t>
      </w:r>
      <w:r>
        <w:rPr>
          <w:rFonts w:asciiTheme="majorHAnsi" w:hAnsiTheme="majorHAnsi" w:cstheme="majorHAnsi"/>
          <w:sz w:val="16"/>
          <w:szCs w:val="16"/>
        </w:rPr>
        <w:t>ă</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88% (stabilit 80%)</w:t>
      </w:r>
      <w:r>
        <w:rPr>
          <w:rFonts w:asciiTheme="majorHAnsi" w:hAnsiTheme="majorHAnsi" w:cstheme="majorHAnsi"/>
          <w:sz w:val="16"/>
          <w:szCs w:val="16"/>
        </w:rPr>
        <w:t>,</w:t>
      </w:r>
      <w:r w:rsidRPr="0017607E">
        <w:rPr>
          <w:rFonts w:asciiTheme="majorHAnsi" w:hAnsiTheme="majorHAnsi" w:cstheme="majorHAnsi"/>
          <w:sz w:val="16"/>
          <w:szCs w:val="16"/>
        </w:rPr>
        <w:t xml:space="preserve"> cu suma de 985,7 mii lei</w:t>
      </w:r>
      <w:r w:rsidRPr="004A262A">
        <w:rPr>
          <w:rFonts w:asciiTheme="majorHAnsi" w:hAnsiTheme="majorHAnsi" w:cstheme="majorHAnsi"/>
          <w:sz w:val="16"/>
          <w:szCs w:val="16"/>
        </w:rPr>
        <w:t>)</w:t>
      </w:r>
      <w:r w:rsidRPr="0017607E">
        <w:rPr>
          <w:rFonts w:asciiTheme="majorHAnsi" w:hAnsiTheme="majorHAnsi" w:cstheme="majorHAnsi"/>
          <w:i/>
          <w:sz w:val="16"/>
          <w:szCs w:val="16"/>
        </w:rPr>
        <w:t>. În aceleași condiții, 2 instituții care urma</w:t>
      </w:r>
      <w:r>
        <w:rPr>
          <w:rFonts w:asciiTheme="majorHAnsi" w:hAnsiTheme="majorHAnsi" w:cstheme="majorHAnsi"/>
          <w:i/>
          <w:sz w:val="16"/>
          <w:szCs w:val="16"/>
        </w:rPr>
        <w:t>u</w:t>
      </w:r>
      <w:r w:rsidRPr="0017607E">
        <w:rPr>
          <w:rFonts w:asciiTheme="majorHAnsi" w:hAnsiTheme="majorHAnsi" w:cstheme="majorHAnsi"/>
          <w:i/>
          <w:sz w:val="16"/>
          <w:szCs w:val="16"/>
        </w:rPr>
        <w:t xml:space="preserve"> să primească subvenții de 80% faț</w:t>
      </w:r>
      <w:r>
        <w:rPr>
          <w:rFonts w:asciiTheme="majorHAnsi" w:hAnsiTheme="majorHAnsi" w:cstheme="majorHAnsi"/>
          <w:i/>
          <w:sz w:val="16"/>
          <w:szCs w:val="16"/>
        </w:rPr>
        <w:t>ă</w:t>
      </w:r>
      <w:r w:rsidRPr="0017607E">
        <w:rPr>
          <w:rFonts w:asciiTheme="majorHAnsi" w:hAnsiTheme="majorHAnsi" w:cstheme="majorHAnsi"/>
          <w:i/>
          <w:sz w:val="16"/>
          <w:szCs w:val="16"/>
        </w:rPr>
        <w:t xml:space="preserve"> de cheltuielile totale, au </w:t>
      </w:r>
      <w:r>
        <w:rPr>
          <w:rFonts w:asciiTheme="majorHAnsi" w:hAnsiTheme="majorHAnsi" w:cstheme="majorHAnsi"/>
          <w:i/>
          <w:sz w:val="16"/>
          <w:szCs w:val="16"/>
        </w:rPr>
        <w:t>beneficiat de</w:t>
      </w:r>
      <w:r w:rsidRPr="0017607E">
        <w:rPr>
          <w:rFonts w:asciiTheme="majorHAnsi" w:hAnsiTheme="majorHAnsi" w:cstheme="majorHAnsi"/>
          <w:i/>
          <w:sz w:val="16"/>
          <w:szCs w:val="16"/>
        </w:rPr>
        <w:t xml:space="preserve"> subvenții mai </w:t>
      </w:r>
      <w:r>
        <w:rPr>
          <w:rFonts w:asciiTheme="majorHAnsi" w:hAnsiTheme="majorHAnsi" w:cstheme="majorHAnsi"/>
          <w:i/>
          <w:sz w:val="16"/>
          <w:szCs w:val="16"/>
        </w:rPr>
        <w:t>mici</w:t>
      </w:r>
      <w:r w:rsidRPr="0017607E">
        <w:rPr>
          <w:rFonts w:asciiTheme="majorHAnsi" w:hAnsiTheme="majorHAnsi" w:cstheme="majorHAnsi"/>
          <w:i/>
          <w:sz w:val="16"/>
          <w:szCs w:val="16"/>
        </w:rPr>
        <w:t xml:space="preserve"> cu 2.572,6 mii lei </w:t>
      </w:r>
      <w:r w:rsidRPr="004A262A">
        <w:rPr>
          <w:rFonts w:asciiTheme="majorHAnsi" w:hAnsiTheme="majorHAnsi" w:cstheme="majorHAnsi"/>
          <w:sz w:val="16"/>
          <w:szCs w:val="16"/>
        </w:rPr>
        <w:t>(</w:t>
      </w:r>
      <w:r w:rsidRPr="0017607E">
        <w:rPr>
          <w:rFonts w:asciiTheme="majorHAnsi" w:hAnsiTheme="majorHAnsi" w:cstheme="majorHAnsi"/>
          <w:sz w:val="16"/>
          <w:szCs w:val="16"/>
        </w:rPr>
        <w:t xml:space="preserve">TN </w:t>
      </w:r>
      <w:r>
        <w:rPr>
          <w:rFonts w:asciiTheme="majorHAnsi" w:hAnsiTheme="majorHAnsi" w:cstheme="majorHAnsi"/>
          <w:sz w:val="16"/>
          <w:szCs w:val="16"/>
        </w:rPr>
        <w:t xml:space="preserve">de </w:t>
      </w:r>
      <w:r w:rsidRPr="0017607E">
        <w:rPr>
          <w:rFonts w:asciiTheme="majorHAnsi" w:hAnsiTheme="majorHAnsi" w:cstheme="majorHAnsi"/>
          <w:sz w:val="16"/>
          <w:szCs w:val="16"/>
        </w:rPr>
        <w:t>Oper</w:t>
      </w:r>
      <w:r>
        <w:rPr>
          <w:rFonts w:asciiTheme="majorHAnsi" w:hAnsiTheme="majorHAnsi" w:cstheme="majorHAnsi"/>
          <w:sz w:val="16"/>
          <w:szCs w:val="16"/>
        </w:rPr>
        <w:t>ă</w:t>
      </w:r>
      <w:r w:rsidRPr="0017607E">
        <w:rPr>
          <w:rFonts w:asciiTheme="majorHAnsi" w:hAnsiTheme="majorHAnsi" w:cstheme="majorHAnsi"/>
          <w:sz w:val="16"/>
          <w:szCs w:val="16"/>
        </w:rPr>
        <w:t xml:space="preserve"> și Balet </w:t>
      </w:r>
      <w:r>
        <w:rPr>
          <w:rFonts w:asciiTheme="majorHAnsi" w:hAnsiTheme="majorHAnsi" w:cstheme="majorHAnsi"/>
          <w:sz w:val="16"/>
          <w:szCs w:val="16"/>
        </w:rPr>
        <w:t>„</w:t>
      </w:r>
      <w:r w:rsidRPr="0017607E">
        <w:rPr>
          <w:rFonts w:asciiTheme="majorHAnsi" w:hAnsiTheme="majorHAnsi" w:cstheme="majorHAnsi"/>
          <w:sz w:val="16"/>
          <w:szCs w:val="16"/>
        </w:rPr>
        <w:t>M</w:t>
      </w:r>
      <w:r>
        <w:rPr>
          <w:rFonts w:asciiTheme="majorHAnsi" w:hAnsiTheme="majorHAnsi" w:cstheme="majorHAnsi"/>
          <w:sz w:val="16"/>
          <w:szCs w:val="16"/>
        </w:rPr>
        <w:t>aria</w:t>
      </w:r>
      <w:r w:rsidRPr="0017607E">
        <w:rPr>
          <w:rFonts w:asciiTheme="majorHAnsi" w:hAnsiTheme="majorHAnsi" w:cstheme="majorHAnsi"/>
          <w:sz w:val="16"/>
          <w:szCs w:val="16"/>
        </w:rPr>
        <w:t xml:space="preserve"> Bieșu</w:t>
      </w:r>
      <w:r>
        <w:rPr>
          <w:rFonts w:asciiTheme="majorHAnsi" w:hAnsiTheme="majorHAnsi" w:cstheme="majorHAnsi"/>
          <w:sz w:val="16"/>
          <w:szCs w:val="16"/>
        </w:rPr>
        <w:t>”</w:t>
      </w:r>
      <w:r w:rsidRPr="0017607E">
        <w:rPr>
          <w:rFonts w:asciiTheme="majorHAnsi" w:hAnsiTheme="majorHAnsi" w:cstheme="majorHAnsi"/>
          <w:sz w:val="16"/>
          <w:szCs w:val="16"/>
        </w:rPr>
        <w:t xml:space="preserve">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77,7%</w:t>
      </w:r>
      <w:r>
        <w:rPr>
          <w:rFonts w:asciiTheme="majorHAnsi" w:hAnsiTheme="majorHAnsi" w:cstheme="majorHAnsi"/>
          <w:sz w:val="16"/>
          <w:szCs w:val="16"/>
        </w:rPr>
        <w:t>,</w:t>
      </w:r>
      <w:r w:rsidRPr="0017607E">
        <w:rPr>
          <w:rFonts w:asciiTheme="majorHAnsi" w:hAnsiTheme="majorHAnsi" w:cstheme="majorHAnsi"/>
          <w:sz w:val="16"/>
          <w:szCs w:val="16"/>
        </w:rPr>
        <w:t xml:space="preserve"> sau cu 1.132,7 mii lei mai puțin decât costurile instituției</w:t>
      </w:r>
      <w:r>
        <w:rPr>
          <w:rFonts w:asciiTheme="majorHAnsi" w:hAnsiTheme="majorHAnsi" w:cstheme="majorHAnsi"/>
          <w:sz w:val="16"/>
          <w:szCs w:val="16"/>
        </w:rPr>
        <w:t>,</w:t>
      </w:r>
      <w:r w:rsidRPr="0017607E">
        <w:rPr>
          <w:rFonts w:asciiTheme="majorHAnsi" w:hAnsiTheme="majorHAnsi" w:cstheme="majorHAnsi"/>
          <w:sz w:val="16"/>
          <w:szCs w:val="16"/>
        </w:rPr>
        <w:t xml:space="preserve"> și Filarmonica Națională </w:t>
      </w:r>
      <w:r w:rsidRPr="00575EAC">
        <w:rPr>
          <w:rFonts w:asciiTheme="majorHAnsi" w:hAnsiTheme="majorHAnsi" w:cstheme="majorHAnsi"/>
          <w:sz w:val="16"/>
          <w:szCs w:val="16"/>
        </w:rPr>
        <w:t>–</w:t>
      </w:r>
      <w:r w:rsidRPr="0017607E">
        <w:rPr>
          <w:rFonts w:asciiTheme="majorHAnsi" w:hAnsiTheme="majorHAnsi" w:cstheme="majorHAnsi"/>
          <w:sz w:val="16"/>
          <w:szCs w:val="16"/>
        </w:rPr>
        <w:t xml:space="preserve"> 74,4%</w:t>
      </w:r>
      <w:r>
        <w:rPr>
          <w:rFonts w:asciiTheme="majorHAnsi" w:hAnsiTheme="majorHAnsi" w:cstheme="majorHAnsi"/>
          <w:sz w:val="16"/>
          <w:szCs w:val="16"/>
        </w:rPr>
        <w:t>,</w:t>
      </w:r>
      <w:r w:rsidRPr="0017607E">
        <w:rPr>
          <w:rFonts w:asciiTheme="majorHAnsi" w:hAnsiTheme="majorHAnsi" w:cstheme="majorHAnsi"/>
          <w:sz w:val="16"/>
          <w:szCs w:val="16"/>
        </w:rPr>
        <w:t xml:space="preserve"> ori </w:t>
      </w:r>
      <w:r w:rsidR="00127B57">
        <w:rPr>
          <w:rFonts w:asciiTheme="majorHAnsi" w:hAnsiTheme="majorHAnsi" w:cstheme="majorHAnsi"/>
          <w:sz w:val="16"/>
          <w:szCs w:val="16"/>
        </w:rPr>
        <w:t>cu</w:t>
      </w:r>
      <w:r w:rsidRPr="0017607E">
        <w:rPr>
          <w:rFonts w:asciiTheme="majorHAnsi" w:hAnsiTheme="majorHAnsi" w:cstheme="majorHAnsi"/>
          <w:sz w:val="16"/>
          <w:szCs w:val="16"/>
        </w:rPr>
        <w:t xml:space="preserve"> 1.439,9 mii lei</w:t>
      </w:r>
      <w:r w:rsidR="00127B57">
        <w:rPr>
          <w:rFonts w:asciiTheme="majorHAnsi" w:hAnsiTheme="majorHAnsi" w:cstheme="majorHAnsi"/>
          <w:sz w:val="16"/>
          <w:szCs w:val="16"/>
        </w:rPr>
        <w:t xml:space="preserve"> mai puțin</w:t>
      </w:r>
      <w:r w:rsidRPr="004A262A">
        <w:rPr>
          <w:rFonts w:asciiTheme="majorHAnsi" w:hAnsiTheme="majorHAnsi" w:cstheme="majorHAnsi"/>
          <w:sz w:val="16"/>
          <w:szCs w:val="16"/>
        </w:rPr>
        <w:t>)</w:t>
      </w:r>
      <w:r w:rsidRPr="0017607E">
        <w:rPr>
          <w:rFonts w:asciiTheme="majorHAnsi" w:hAnsiTheme="majorHAnsi" w:cstheme="majorHAnsi"/>
          <w:i/>
          <w:sz w:val="16"/>
          <w:szCs w:val="16"/>
        </w:rPr>
        <w:t>.</w:t>
      </w:r>
    </w:p>
  </w:footnote>
  <w:footnote w:id="11">
    <w:p w14:paraId="151A6B91" w14:textId="0348EF16" w:rsidR="00297C40" w:rsidRPr="00575EAC" w:rsidRDefault="00297C40">
      <w:pPr>
        <w:pStyle w:val="a5"/>
        <w:spacing w:line="276" w:lineRule="auto"/>
        <w:jc w:val="both"/>
        <w:rPr>
          <w:rFonts w:asciiTheme="majorHAnsi" w:hAnsiTheme="majorHAnsi" w:cstheme="majorHAnsi"/>
          <w:sz w:val="16"/>
          <w:szCs w:val="16"/>
          <w:lang w:val="ro-RO"/>
        </w:rPr>
      </w:pPr>
      <w:r w:rsidRPr="00575EAC">
        <w:rPr>
          <w:rStyle w:val="a7"/>
          <w:rFonts w:asciiTheme="majorHAnsi" w:hAnsiTheme="majorHAnsi" w:cstheme="majorHAnsi"/>
          <w:sz w:val="16"/>
          <w:szCs w:val="16"/>
          <w:lang w:val="ro-RO"/>
        </w:rPr>
        <w:footnoteRef/>
      </w:r>
      <w:r w:rsidRPr="00575EAC">
        <w:rPr>
          <w:rFonts w:asciiTheme="majorHAnsi" w:hAnsiTheme="majorHAnsi" w:cstheme="majorHAnsi"/>
          <w:sz w:val="16"/>
          <w:szCs w:val="16"/>
          <w:lang w:val="ro-RO"/>
        </w:rPr>
        <w:t xml:space="preserve"> 16410 Muzeul Național de Etnografie și Istorie Naturală </w:t>
      </w:r>
      <w:r w:rsidRPr="00575EAC">
        <w:rPr>
          <w:rFonts w:asciiTheme="majorHAnsi" w:hAnsiTheme="majorHAnsi" w:cstheme="majorHAnsi"/>
          <w:sz w:val="16"/>
          <w:szCs w:val="16"/>
        </w:rPr>
        <w:t>–</w:t>
      </w:r>
      <w:r>
        <w:rPr>
          <w:rFonts w:asciiTheme="majorHAnsi" w:hAnsiTheme="majorHAnsi" w:cstheme="majorHAnsi"/>
          <w:sz w:val="16"/>
          <w:szCs w:val="16"/>
        </w:rPr>
        <w:t xml:space="preserve"> </w:t>
      </w:r>
      <w:r w:rsidRPr="00575EAC">
        <w:rPr>
          <w:rFonts w:asciiTheme="majorHAnsi" w:hAnsiTheme="majorHAnsi" w:cstheme="majorHAnsi"/>
          <w:sz w:val="16"/>
          <w:szCs w:val="16"/>
          <w:lang w:val="ro-RO"/>
        </w:rPr>
        <w:t xml:space="preserve">449 </w:t>
      </w:r>
      <w:r>
        <w:rPr>
          <w:rFonts w:asciiTheme="majorHAnsi" w:hAnsiTheme="majorHAnsi" w:cstheme="majorHAnsi"/>
          <w:sz w:val="16"/>
          <w:szCs w:val="16"/>
          <w:lang w:val="ro-RO"/>
        </w:rPr>
        <w:t xml:space="preserve">de </w:t>
      </w:r>
      <w:r w:rsidRPr="00575EAC">
        <w:rPr>
          <w:rFonts w:asciiTheme="majorHAnsi" w:hAnsiTheme="majorHAnsi" w:cstheme="majorHAnsi"/>
          <w:sz w:val="16"/>
          <w:szCs w:val="16"/>
          <w:lang w:val="ro-RO"/>
        </w:rPr>
        <w:t xml:space="preserve">obiecte cu valoarea de bilanț de 684,3 mii lei, valoarea uzurii calculate </w:t>
      </w:r>
      <w:r w:rsidRPr="00575EAC">
        <w:rPr>
          <w:rFonts w:asciiTheme="majorHAnsi" w:hAnsiTheme="majorHAnsi" w:cstheme="majorHAnsi"/>
          <w:sz w:val="16"/>
          <w:szCs w:val="16"/>
        </w:rPr>
        <w:t>–</w:t>
      </w:r>
      <w:r w:rsidRPr="00575EAC">
        <w:rPr>
          <w:rFonts w:asciiTheme="majorHAnsi" w:hAnsiTheme="majorHAnsi" w:cstheme="majorHAnsi"/>
          <w:sz w:val="16"/>
          <w:szCs w:val="16"/>
          <w:lang w:val="ro-RO"/>
        </w:rPr>
        <w:t xml:space="preserve"> 317,4 mii lei; 16412 Muzeul Național de Istorie a Moldovei </w:t>
      </w:r>
      <w:r w:rsidRPr="00575EAC">
        <w:rPr>
          <w:rFonts w:asciiTheme="majorHAnsi" w:hAnsiTheme="majorHAnsi" w:cstheme="majorHAnsi"/>
          <w:sz w:val="16"/>
          <w:szCs w:val="16"/>
        </w:rPr>
        <w:t>–</w:t>
      </w:r>
      <w:r>
        <w:rPr>
          <w:rFonts w:asciiTheme="majorHAnsi" w:hAnsiTheme="majorHAnsi" w:cstheme="majorHAnsi"/>
          <w:sz w:val="16"/>
          <w:szCs w:val="16"/>
        </w:rPr>
        <w:t xml:space="preserve"> </w:t>
      </w:r>
      <w:r w:rsidRPr="00575EAC">
        <w:rPr>
          <w:rFonts w:asciiTheme="majorHAnsi" w:hAnsiTheme="majorHAnsi" w:cstheme="majorHAnsi"/>
          <w:sz w:val="16"/>
          <w:szCs w:val="16"/>
          <w:lang w:val="ro-RO"/>
        </w:rPr>
        <w:t xml:space="preserve">889 </w:t>
      </w:r>
      <w:r>
        <w:rPr>
          <w:rFonts w:asciiTheme="majorHAnsi" w:hAnsiTheme="majorHAnsi" w:cstheme="majorHAnsi"/>
          <w:sz w:val="16"/>
          <w:szCs w:val="16"/>
          <w:lang w:val="ro-RO"/>
        </w:rPr>
        <w:t xml:space="preserve">de </w:t>
      </w:r>
      <w:r w:rsidRPr="00575EAC">
        <w:rPr>
          <w:rFonts w:asciiTheme="majorHAnsi" w:hAnsiTheme="majorHAnsi" w:cstheme="majorHAnsi"/>
          <w:sz w:val="16"/>
          <w:szCs w:val="16"/>
          <w:lang w:val="ro-RO"/>
        </w:rPr>
        <w:t>obiecte cu valoarea de bilanț de 1</w:t>
      </w:r>
      <w:r>
        <w:rPr>
          <w:rFonts w:asciiTheme="majorHAnsi" w:hAnsiTheme="majorHAnsi" w:cstheme="majorHAnsi"/>
          <w:sz w:val="16"/>
          <w:szCs w:val="16"/>
          <w:lang w:val="ro-RO"/>
        </w:rPr>
        <w:t>.</w:t>
      </w:r>
      <w:r w:rsidRPr="00575EAC">
        <w:rPr>
          <w:rFonts w:asciiTheme="majorHAnsi" w:hAnsiTheme="majorHAnsi" w:cstheme="majorHAnsi"/>
          <w:sz w:val="16"/>
          <w:szCs w:val="16"/>
          <w:lang w:val="ro-RO"/>
        </w:rPr>
        <w:t xml:space="preserve">364,4 mii lei, valoarea uzurii calculate </w:t>
      </w:r>
      <w:r w:rsidRPr="00575EAC">
        <w:rPr>
          <w:rFonts w:asciiTheme="majorHAnsi" w:hAnsiTheme="majorHAnsi" w:cstheme="majorHAnsi"/>
          <w:sz w:val="16"/>
          <w:szCs w:val="16"/>
        </w:rPr>
        <w:t>–</w:t>
      </w:r>
      <w:r w:rsidRPr="00575EAC">
        <w:rPr>
          <w:rFonts w:asciiTheme="majorHAnsi" w:hAnsiTheme="majorHAnsi" w:cstheme="majorHAnsi"/>
          <w:sz w:val="16"/>
          <w:szCs w:val="16"/>
          <w:lang w:val="ro-RO"/>
        </w:rPr>
        <w:t xml:space="preserve"> 1</w:t>
      </w:r>
      <w:r>
        <w:rPr>
          <w:rFonts w:asciiTheme="majorHAnsi" w:hAnsiTheme="majorHAnsi" w:cstheme="majorHAnsi"/>
          <w:sz w:val="16"/>
          <w:szCs w:val="16"/>
          <w:lang w:val="ro-RO"/>
        </w:rPr>
        <w:t>.</w:t>
      </w:r>
      <w:r w:rsidRPr="00575EAC">
        <w:rPr>
          <w:rFonts w:asciiTheme="majorHAnsi" w:hAnsiTheme="majorHAnsi" w:cstheme="majorHAnsi"/>
          <w:sz w:val="16"/>
          <w:szCs w:val="16"/>
          <w:lang w:val="ro-RO"/>
        </w:rPr>
        <w:t xml:space="preserve">141,8 mii lei; 16417 Camera Națională a Cărții </w:t>
      </w:r>
      <w:r w:rsidRPr="00575EAC">
        <w:rPr>
          <w:rFonts w:asciiTheme="majorHAnsi" w:hAnsiTheme="majorHAnsi" w:cstheme="majorHAnsi"/>
          <w:sz w:val="16"/>
          <w:szCs w:val="16"/>
        </w:rPr>
        <w:t>–</w:t>
      </w:r>
      <w:r>
        <w:rPr>
          <w:rFonts w:asciiTheme="majorHAnsi" w:hAnsiTheme="majorHAnsi" w:cstheme="majorHAnsi"/>
          <w:sz w:val="16"/>
          <w:szCs w:val="16"/>
        </w:rPr>
        <w:t xml:space="preserve"> </w:t>
      </w:r>
      <w:r w:rsidRPr="00575EAC">
        <w:rPr>
          <w:rFonts w:asciiTheme="majorHAnsi" w:hAnsiTheme="majorHAnsi" w:cstheme="majorHAnsi"/>
          <w:sz w:val="16"/>
          <w:szCs w:val="16"/>
          <w:lang w:val="ro-RO"/>
        </w:rPr>
        <w:t xml:space="preserve">52 </w:t>
      </w:r>
      <w:r>
        <w:rPr>
          <w:rFonts w:asciiTheme="majorHAnsi" w:hAnsiTheme="majorHAnsi" w:cstheme="majorHAnsi"/>
          <w:sz w:val="16"/>
          <w:szCs w:val="16"/>
          <w:lang w:val="ro-RO"/>
        </w:rPr>
        <w:t xml:space="preserve">de </w:t>
      </w:r>
      <w:r w:rsidRPr="00575EAC">
        <w:rPr>
          <w:rFonts w:asciiTheme="majorHAnsi" w:hAnsiTheme="majorHAnsi" w:cstheme="majorHAnsi"/>
          <w:sz w:val="16"/>
          <w:szCs w:val="16"/>
          <w:lang w:val="ro-RO"/>
        </w:rPr>
        <w:t xml:space="preserve">obiecte cu valoarea de bilanț de 112,4 mii lei, valoarea uzurii calculate </w:t>
      </w:r>
      <w:r w:rsidRPr="00575EAC">
        <w:rPr>
          <w:rFonts w:asciiTheme="majorHAnsi" w:hAnsiTheme="majorHAnsi" w:cstheme="majorHAnsi"/>
          <w:sz w:val="16"/>
          <w:szCs w:val="16"/>
        </w:rPr>
        <w:t>–</w:t>
      </w:r>
      <w:r w:rsidRPr="00575EAC">
        <w:rPr>
          <w:rFonts w:asciiTheme="majorHAnsi" w:hAnsiTheme="majorHAnsi" w:cstheme="majorHAnsi"/>
          <w:sz w:val="16"/>
          <w:szCs w:val="16"/>
          <w:lang w:val="ro-RO"/>
        </w:rPr>
        <w:t xml:space="preserve"> 20,4 mii lei.</w:t>
      </w:r>
    </w:p>
  </w:footnote>
  <w:footnote w:id="12">
    <w:p w14:paraId="6F640ADB" w14:textId="2008BED7" w:rsidR="00297C40" w:rsidRPr="00575EAC" w:rsidRDefault="00297C40" w:rsidP="004A262A">
      <w:pPr>
        <w:pStyle w:val="a5"/>
        <w:spacing w:line="276" w:lineRule="auto"/>
        <w:jc w:val="both"/>
        <w:rPr>
          <w:rFonts w:asciiTheme="majorHAnsi" w:hAnsiTheme="majorHAnsi" w:cstheme="majorHAnsi"/>
          <w:sz w:val="16"/>
          <w:szCs w:val="16"/>
        </w:rPr>
      </w:pPr>
      <w:r w:rsidRPr="00575EAC">
        <w:rPr>
          <w:rStyle w:val="a7"/>
          <w:rFonts w:asciiTheme="majorHAnsi" w:hAnsiTheme="majorHAnsi" w:cstheme="majorHAnsi"/>
          <w:sz w:val="16"/>
          <w:szCs w:val="16"/>
        </w:rPr>
        <w:footnoteRef/>
      </w:r>
      <w:r w:rsidRPr="00575EAC">
        <w:rPr>
          <w:rFonts w:asciiTheme="majorHAnsi" w:hAnsiTheme="majorHAnsi" w:cstheme="majorHAnsi"/>
          <w:sz w:val="16"/>
          <w:szCs w:val="16"/>
        </w:rPr>
        <w:t xml:space="preserve"> </w:t>
      </w:r>
      <w:r w:rsidRPr="00575EAC">
        <w:rPr>
          <w:rFonts w:asciiTheme="majorHAnsi" w:hAnsiTheme="majorHAnsi" w:cstheme="majorHAnsi"/>
          <w:sz w:val="16"/>
          <w:szCs w:val="16"/>
          <w:lang w:val="ro-RO"/>
        </w:rPr>
        <w:t>H</w:t>
      </w:r>
      <w:r>
        <w:rPr>
          <w:rFonts w:asciiTheme="majorHAnsi" w:hAnsiTheme="majorHAnsi" w:cstheme="majorHAnsi"/>
          <w:sz w:val="16"/>
          <w:szCs w:val="16"/>
          <w:lang w:val="ro-RO"/>
        </w:rPr>
        <w:t>G</w:t>
      </w:r>
      <w:r w:rsidRPr="00575EAC">
        <w:rPr>
          <w:rFonts w:asciiTheme="majorHAnsi" w:hAnsiTheme="majorHAnsi" w:cstheme="majorHAnsi"/>
          <w:sz w:val="16"/>
          <w:szCs w:val="16"/>
          <w:lang w:val="ro-RO"/>
        </w:rPr>
        <w:t xml:space="preserve"> nr.117 din 12.08.2021 „Cu privire la restructurarea administrației publice centrale de specialitate”.</w:t>
      </w:r>
    </w:p>
  </w:footnote>
  <w:footnote w:id="13">
    <w:p w14:paraId="687C7D14" w14:textId="039C1CBF" w:rsidR="00297C40" w:rsidRPr="00575EAC" w:rsidRDefault="00297C40" w:rsidP="004A262A">
      <w:pPr>
        <w:spacing w:after="0" w:line="276" w:lineRule="auto"/>
        <w:jc w:val="both"/>
        <w:rPr>
          <w:rFonts w:asciiTheme="majorHAnsi" w:hAnsiTheme="majorHAnsi" w:cstheme="majorHAnsi"/>
          <w:sz w:val="16"/>
          <w:szCs w:val="16"/>
          <w:lang w:val="en-US"/>
        </w:rPr>
      </w:pPr>
      <w:r w:rsidRPr="00575EAC">
        <w:rPr>
          <w:rStyle w:val="a7"/>
          <w:rFonts w:asciiTheme="majorHAnsi" w:hAnsiTheme="majorHAnsi" w:cstheme="majorHAnsi"/>
          <w:sz w:val="16"/>
          <w:szCs w:val="16"/>
        </w:rPr>
        <w:footnoteRef/>
      </w:r>
      <w:r w:rsidRPr="00575EAC">
        <w:rPr>
          <w:rFonts w:asciiTheme="majorHAnsi" w:hAnsiTheme="majorHAnsi" w:cstheme="majorHAnsi"/>
          <w:sz w:val="16"/>
          <w:szCs w:val="16"/>
        </w:rPr>
        <w:t xml:space="preserve"> Din proiectul actului de transmitere:  </w:t>
      </w:r>
      <w:r>
        <w:rPr>
          <w:rFonts w:asciiTheme="majorHAnsi" w:hAnsiTheme="majorHAnsi" w:cstheme="majorHAnsi"/>
          <w:sz w:val="16"/>
          <w:szCs w:val="16"/>
        </w:rPr>
        <w:t>t</w:t>
      </w:r>
      <w:r w:rsidRPr="00575EAC">
        <w:rPr>
          <w:rFonts w:asciiTheme="majorHAnsi" w:hAnsiTheme="majorHAnsi" w:cstheme="majorHAnsi"/>
          <w:sz w:val="16"/>
          <w:szCs w:val="16"/>
        </w:rPr>
        <w:t>otal mijloace fixe –</w:t>
      </w:r>
      <w:r>
        <w:rPr>
          <w:rFonts w:asciiTheme="majorHAnsi" w:hAnsiTheme="majorHAnsi" w:cstheme="majorHAnsi"/>
          <w:sz w:val="16"/>
          <w:szCs w:val="16"/>
        </w:rPr>
        <w:t xml:space="preserve"> </w:t>
      </w:r>
      <w:r w:rsidRPr="00575EAC">
        <w:rPr>
          <w:rFonts w:asciiTheme="majorHAnsi" w:hAnsiTheme="majorHAnsi" w:cstheme="majorHAnsi"/>
          <w:sz w:val="16"/>
          <w:szCs w:val="16"/>
        </w:rPr>
        <w:t>77,7 mil.lei</w:t>
      </w:r>
      <w:r>
        <w:rPr>
          <w:rFonts w:asciiTheme="majorHAnsi" w:hAnsiTheme="majorHAnsi" w:cstheme="majorHAnsi"/>
          <w:sz w:val="16"/>
          <w:szCs w:val="16"/>
        </w:rPr>
        <w:t>,</w:t>
      </w:r>
      <w:r w:rsidRPr="00575EAC">
        <w:rPr>
          <w:rFonts w:asciiTheme="majorHAnsi" w:hAnsiTheme="majorHAnsi" w:cstheme="majorHAnsi"/>
          <w:sz w:val="16"/>
          <w:szCs w:val="16"/>
        </w:rPr>
        <w:t xml:space="preserve"> și uzura –</w:t>
      </w:r>
      <w:r>
        <w:rPr>
          <w:rFonts w:asciiTheme="majorHAnsi" w:hAnsiTheme="majorHAnsi" w:cstheme="majorHAnsi"/>
          <w:sz w:val="16"/>
          <w:szCs w:val="16"/>
        </w:rPr>
        <w:t xml:space="preserve"> </w:t>
      </w:r>
      <w:r w:rsidRPr="00575EAC">
        <w:rPr>
          <w:rFonts w:asciiTheme="majorHAnsi" w:hAnsiTheme="majorHAnsi" w:cstheme="majorHAnsi"/>
          <w:sz w:val="16"/>
          <w:szCs w:val="16"/>
        </w:rPr>
        <w:t>0,75 mil.lei; materiale circulante – 0,28 mil.lei; terenuri – 0,76 mil.lei; active financiare – 405,87 mil.lei</w:t>
      </w:r>
      <w:r>
        <w:rPr>
          <w:rFonts w:asciiTheme="majorHAnsi" w:hAnsiTheme="majorHAnsi" w:cstheme="majorHAnsi"/>
          <w:sz w:val="16"/>
          <w:szCs w:val="16"/>
        </w:rPr>
        <w:t xml:space="preserve"> (inclusiv</w:t>
      </w:r>
      <w:r w:rsidRPr="00575EAC">
        <w:rPr>
          <w:rFonts w:asciiTheme="majorHAnsi" w:hAnsiTheme="majorHAnsi" w:cstheme="majorHAnsi"/>
          <w:sz w:val="16"/>
          <w:szCs w:val="16"/>
        </w:rPr>
        <w:t xml:space="preserve"> 392,95 mil. lei constituie contul 415</w:t>
      </w:r>
      <w:r>
        <w:rPr>
          <w:rFonts w:asciiTheme="majorHAnsi" w:hAnsiTheme="majorHAnsi" w:cstheme="majorHAnsi"/>
          <w:sz w:val="16"/>
          <w:szCs w:val="16"/>
        </w:rPr>
        <w:t>).</w:t>
      </w:r>
    </w:p>
  </w:footnote>
  <w:footnote w:id="14">
    <w:p w14:paraId="270BD7C4" w14:textId="17077B1E" w:rsidR="00297C40" w:rsidRPr="00575EAC" w:rsidRDefault="00297C40">
      <w:pPr>
        <w:pStyle w:val="a5"/>
        <w:spacing w:line="276" w:lineRule="auto"/>
        <w:jc w:val="both"/>
        <w:rPr>
          <w:rFonts w:asciiTheme="majorHAnsi" w:hAnsiTheme="majorHAnsi" w:cstheme="majorHAnsi"/>
          <w:sz w:val="16"/>
          <w:szCs w:val="16"/>
        </w:rPr>
      </w:pPr>
      <w:r w:rsidRPr="00575EAC">
        <w:rPr>
          <w:rStyle w:val="a7"/>
          <w:rFonts w:asciiTheme="majorHAnsi" w:hAnsiTheme="majorHAnsi" w:cstheme="majorHAnsi"/>
          <w:sz w:val="16"/>
          <w:szCs w:val="16"/>
        </w:rPr>
        <w:footnoteRef/>
      </w:r>
      <w:r w:rsidRPr="00575EAC">
        <w:rPr>
          <w:rFonts w:asciiTheme="majorHAnsi" w:hAnsiTheme="majorHAnsi" w:cstheme="majorHAnsi"/>
          <w:sz w:val="16"/>
          <w:szCs w:val="16"/>
        </w:rPr>
        <w:t xml:space="preserve"> Hotărârea Curții de Conturi nr.2 din 24.01.2020 „Cu privire la Cadrul Declarațiilor Profesionale ale INTOSAI</w:t>
      </w:r>
      <w:r>
        <w:rPr>
          <w:rFonts w:asciiTheme="majorHAnsi" w:hAnsiTheme="majorHAnsi" w:cstheme="majorHAnsi"/>
          <w:sz w:val="16"/>
          <w:szCs w:val="16"/>
        </w:rPr>
        <w:t>”.</w:t>
      </w:r>
    </w:p>
  </w:footnote>
  <w:footnote w:id="15">
    <w:p w14:paraId="0C614D87" w14:textId="2833BBAD" w:rsidR="00297C40" w:rsidRPr="00D91CFF" w:rsidRDefault="00297C40">
      <w:pPr>
        <w:pStyle w:val="a5"/>
        <w:spacing w:line="276" w:lineRule="auto"/>
        <w:jc w:val="both"/>
        <w:rPr>
          <w:rFonts w:asciiTheme="majorHAnsi" w:hAnsiTheme="majorHAnsi" w:cstheme="majorHAnsi"/>
          <w:sz w:val="16"/>
          <w:szCs w:val="16"/>
          <w:highlight w:val="yellow"/>
        </w:rPr>
      </w:pPr>
      <w:r w:rsidRPr="004723B7">
        <w:rPr>
          <w:rStyle w:val="a7"/>
          <w:rFonts w:asciiTheme="majorHAnsi" w:hAnsiTheme="majorHAnsi" w:cstheme="majorHAnsi"/>
          <w:sz w:val="16"/>
          <w:szCs w:val="16"/>
        </w:rPr>
        <w:footnoteRef/>
      </w:r>
      <w:r w:rsidRPr="004723B7">
        <w:rPr>
          <w:rFonts w:asciiTheme="majorHAnsi" w:hAnsiTheme="majorHAnsi" w:cstheme="majorHAnsi"/>
          <w:sz w:val="16"/>
          <w:szCs w:val="16"/>
        </w:rPr>
        <w:t xml:space="preserve"> Art.16, 19, 20, 21, 21</w:t>
      </w:r>
      <w:r w:rsidRPr="004723B7">
        <w:rPr>
          <w:rFonts w:asciiTheme="majorHAnsi" w:hAnsiTheme="majorHAnsi" w:cstheme="majorHAnsi"/>
          <w:sz w:val="16"/>
          <w:szCs w:val="16"/>
          <w:vertAlign w:val="superscript"/>
        </w:rPr>
        <w:t>1</w:t>
      </w:r>
      <w:r w:rsidRPr="004723B7">
        <w:rPr>
          <w:rFonts w:asciiTheme="majorHAnsi" w:hAnsiTheme="majorHAnsi" w:cstheme="majorHAnsi"/>
          <w:sz w:val="16"/>
          <w:szCs w:val="16"/>
        </w:rPr>
        <w:t xml:space="preserve"> din Legea nr.270 din 23.11.2018 </w:t>
      </w:r>
      <w:r>
        <w:rPr>
          <w:rFonts w:asciiTheme="majorHAnsi" w:hAnsiTheme="majorHAnsi" w:cstheme="majorHAnsi"/>
          <w:sz w:val="16"/>
          <w:szCs w:val="16"/>
        </w:rPr>
        <w:t>p</w:t>
      </w:r>
      <w:r w:rsidRPr="004723B7">
        <w:rPr>
          <w:rFonts w:asciiTheme="majorHAnsi" w:hAnsiTheme="majorHAnsi" w:cstheme="majorHAnsi"/>
          <w:sz w:val="16"/>
          <w:szCs w:val="16"/>
        </w:rPr>
        <w:t xml:space="preserve">rivind sistemul unitar de salarizare în sectorul bugetar; Anexa nr.3 </w:t>
      </w:r>
      <w:r>
        <w:rPr>
          <w:rFonts w:asciiTheme="majorHAnsi" w:hAnsiTheme="majorHAnsi" w:cstheme="majorHAnsi"/>
          <w:sz w:val="16"/>
          <w:szCs w:val="16"/>
        </w:rPr>
        <w:t>la</w:t>
      </w:r>
      <w:r w:rsidRPr="004723B7">
        <w:rPr>
          <w:rFonts w:asciiTheme="majorHAnsi" w:hAnsiTheme="majorHAnsi" w:cstheme="majorHAnsi"/>
          <w:sz w:val="16"/>
          <w:szCs w:val="16"/>
        </w:rPr>
        <w:t xml:space="preserve"> H</w:t>
      </w:r>
      <w:r>
        <w:rPr>
          <w:rFonts w:asciiTheme="majorHAnsi" w:hAnsiTheme="majorHAnsi" w:cstheme="majorHAnsi"/>
          <w:sz w:val="16"/>
          <w:szCs w:val="16"/>
        </w:rPr>
        <w:t>G</w:t>
      </w:r>
      <w:r w:rsidRPr="004723B7">
        <w:rPr>
          <w:rFonts w:asciiTheme="majorHAnsi" w:hAnsiTheme="majorHAnsi" w:cstheme="majorHAnsi"/>
          <w:sz w:val="16"/>
          <w:szCs w:val="16"/>
        </w:rPr>
        <w:t xml:space="preserve"> nr.1231 din 12.12.2018 „Pentru punerea în aplicare a prevederilor Legii nr.270/2018 privind sistemul unitar de salarizare în sectorul bugetar”.</w:t>
      </w:r>
    </w:p>
  </w:footnote>
  <w:footnote w:id="16">
    <w:p w14:paraId="0BE7E6EC" w14:textId="7853332D" w:rsidR="00297C40" w:rsidRPr="004723B7" w:rsidRDefault="00297C40">
      <w:pPr>
        <w:pStyle w:val="a5"/>
        <w:spacing w:line="276" w:lineRule="auto"/>
        <w:jc w:val="both"/>
        <w:rPr>
          <w:rFonts w:asciiTheme="majorHAnsi" w:hAnsiTheme="majorHAnsi" w:cstheme="majorHAnsi"/>
          <w:bCs/>
          <w:sz w:val="16"/>
          <w:szCs w:val="16"/>
        </w:rPr>
      </w:pPr>
      <w:r w:rsidRPr="004723B7">
        <w:rPr>
          <w:rStyle w:val="a7"/>
          <w:rFonts w:asciiTheme="majorHAnsi" w:hAnsiTheme="majorHAnsi" w:cstheme="majorHAnsi"/>
          <w:sz w:val="16"/>
          <w:szCs w:val="16"/>
        </w:rPr>
        <w:footnoteRef/>
      </w:r>
      <w:r w:rsidRPr="004723B7">
        <w:rPr>
          <w:rFonts w:asciiTheme="majorHAnsi" w:hAnsiTheme="majorHAnsi" w:cstheme="majorHAnsi"/>
          <w:sz w:val="16"/>
          <w:szCs w:val="16"/>
        </w:rPr>
        <w:t xml:space="preserve"> </w:t>
      </w:r>
      <w:r w:rsidRPr="004723B7">
        <w:rPr>
          <w:rFonts w:asciiTheme="majorHAnsi" w:eastAsia="Times New Roman" w:hAnsiTheme="majorHAnsi" w:cstheme="majorHAnsi"/>
          <w:sz w:val="16"/>
          <w:szCs w:val="16"/>
          <w:lang w:eastAsia="ru-RU"/>
        </w:rPr>
        <w:t xml:space="preserve">1) </w:t>
      </w:r>
      <w:r w:rsidRPr="004723B7">
        <w:rPr>
          <w:rFonts w:asciiTheme="majorHAnsi" w:hAnsiTheme="majorHAnsi" w:cstheme="majorHAnsi"/>
          <w:bCs/>
          <w:sz w:val="16"/>
          <w:szCs w:val="16"/>
        </w:rPr>
        <w:t>Ministerul Culturii: sporul pentru performantă – 12</w:t>
      </w:r>
      <w:r>
        <w:rPr>
          <w:rFonts w:asciiTheme="majorHAnsi" w:hAnsiTheme="majorHAnsi" w:cstheme="majorHAnsi"/>
          <w:bCs/>
          <w:sz w:val="16"/>
          <w:szCs w:val="16"/>
        </w:rPr>
        <w:t>.</w:t>
      </w:r>
      <w:r w:rsidRPr="004723B7">
        <w:rPr>
          <w:rFonts w:asciiTheme="majorHAnsi" w:hAnsiTheme="majorHAnsi" w:cstheme="majorHAnsi"/>
          <w:bCs/>
          <w:sz w:val="16"/>
          <w:szCs w:val="16"/>
        </w:rPr>
        <w:t>132,20 lei; premiile unice cu ocazia zilelor de sărbătoare nelucrătoare și sărbătorilor profesionale – 19</w:t>
      </w:r>
      <w:r>
        <w:rPr>
          <w:rFonts w:asciiTheme="majorHAnsi" w:hAnsiTheme="majorHAnsi" w:cstheme="majorHAnsi"/>
          <w:bCs/>
          <w:sz w:val="16"/>
          <w:szCs w:val="16"/>
        </w:rPr>
        <w:t>.</w:t>
      </w:r>
      <w:r w:rsidRPr="004723B7">
        <w:rPr>
          <w:rFonts w:asciiTheme="majorHAnsi" w:hAnsiTheme="majorHAnsi" w:cstheme="majorHAnsi"/>
          <w:bCs/>
          <w:sz w:val="16"/>
          <w:szCs w:val="16"/>
        </w:rPr>
        <w:t>059,30 lei; munca suplimentară depusă în zilele de repaos – 2</w:t>
      </w:r>
      <w:r>
        <w:rPr>
          <w:rFonts w:asciiTheme="majorHAnsi" w:hAnsiTheme="majorHAnsi" w:cstheme="majorHAnsi"/>
          <w:bCs/>
          <w:sz w:val="16"/>
          <w:szCs w:val="16"/>
        </w:rPr>
        <w:t>.</w:t>
      </w:r>
      <w:r w:rsidRPr="004723B7">
        <w:rPr>
          <w:rFonts w:asciiTheme="majorHAnsi" w:hAnsiTheme="majorHAnsi" w:cstheme="majorHAnsi"/>
          <w:bCs/>
          <w:sz w:val="16"/>
          <w:szCs w:val="16"/>
        </w:rPr>
        <w:t>485,24 lei</w:t>
      </w:r>
      <w:r>
        <w:rPr>
          <w:rFonts w:asciiTheme="majorHAnsi" w:hAnsiTheme="majorHAnsi" w:cstheme="majorHAnsi"/>
          <w:bCs/>
          <w:sz w:val="16"/>
          <w:szCs w:val="16"/>
        </w:rPr>
        <w:t>;</w:t>
      </w:r>
      <w:r w:rsidRPr="004723B7">
        <w:rPr>
          <w:rFonts w:asciiTheme="majorHAnsi" w:hAnsiTheme="majorHAnsi" w:cstheme="majorHAnsi"/>
          <w:sz w:val="16"/>
          <w:szCs w:val="16"/>
          <w:lang w:eastAsia="ru-RU"/>
        </w:rPr>
        <w:t xml:space="preserve"> 2) </w:t>
      </w:r>
      <w:r w:rsidRPr="004723B7">
        <w:rPr>
          <w:rFonts w:asciiTheme="majorHAnsi" w:hAnsiTheme="majorHAnsi" w:cstheme="majorHAnsi"/>
          <w:bCs/>
          <w:sz w:val="16"/>
          <w:szCs w:val="16"/>
        </w:rPr>
        <w:t>Muzeul Național de Istorie a Moldovei: premii unice cu ocazia zilelor de sărbătoare nelucrătoare și sărbătorilor profesionale – 6</w:t>
      </w:r>
      <w:r>
        <w:rPr>
          <w:rFonts w:asciiTheme="majorHAnsi" w:hAnsiTheme="majorHAnsi" w:cstheme="majorHAnsi"/>
          <w:bCs/>
          <w:sz w:val="16"/>
          <w:szCs w:val="16"/>
        </w:rPr>
        <w:t>.</w:t>
      </w:r>
      <w:r w:rsidRPr="004723B7">
        <w:rPr>
          <w:rFonts w:asciiTheme="majorHAnsi" w:hAnsiTheme="majorHAnsi" w:cstheme="majorHAnsi"/>
          <w:bCs/>
          <w:sz w:val="16"/>
          <w:szCs w:val="16"/>
        </w:rPr>
        <w:t>249,00 lei (4 luni, după reorganizarea MECC)</w:t>
      </w:r>
      <w:r>
        <w:rPr>
          <w:rFonts w:asciiTheme="majorHAnsi" w:hAnsiTheme="majorHAnsi" w:cstheme="majorHAnsi"/>
          <w:bCs/>
          <w:sz w:val="16"/>
          <w:szCs w:val="16"/>
        </w:rPr>
        <w:t>;</w:t>
      </w:r>
      <w:r w:rsidRPr="004723B7">
        <w:rPr>
          <w:rFonts w:asciiTheme="majorHAnsi" w:hAnsiTheme="majorHAnsi" w:cstheme="majorHAnsi"/>
          <w:bCs/>
          <w:sz w:val="16"/>
          <w:szCs w:val="16"/>
        </w:rPr>
        <w:t xml:space="preserve"> 3) Biblioteca Națională: sporul pentru participare în proiecte de dezvoltare finanțate din surse </w:t>
      </w:r>
      <w:r w:rsidR="00127B57">
        <w:rPr>
          <w:rFonts w:asciiTheme="majorHAnsi" w:hAnsiTheme="majorHAnsi" w:cstheme="majorHAnsi"/>
          <w:bCs/>
          <w:sz w:val="16"/>
          <w:szCs w:val="16"/>
        </w:rPr>
        <w:t>bugetare</w:t>
      </w:r>
      <w:r w:rsidR="00127B57" w:rsidRPr="004723B7">
        <w:rPr>
          <w:rFonts w:asciiTheme="majorHAnsi" w:hAnsiTheme="majorHAnsi" w:cstheme="majorHAnsi"/>
          <w:bCs/>
          <w:sz w:val="16"/>
          <w:szCs w:val="16"/>
        </w:rPr>
        <w:t xml:space="preserve"> </w:t>
      </w:r>
      <w:r w:rsidRPr="004723B7">
        <w:rPr>
          <w:rFonts w:asciiTheme="majorHAnsi" w:hAnsiTheme="majorHAnsi" w:cstheme="majorHAnsi"/>
          <w:bCs/>
          <w:sz w:val="16"/>
          <w:szCs w:val="16"/>
        </w:rPr>
        <w:t>– 151</w:t>
      </w:r>
      <w:r>
        <w:rPr>
          <w:rFonts w:asciiTheme="majorHAnsi" w:hAnsiTheme="majorHAnsi" w:cstheme="majorHAnsi"/>
          <w:bCs/>
          <w:sz w:val="16"/>
          <w:szCs w:val="16"/>
        </w:rPr>
        <w:t>.</w:t>
      </w:r>
      <w:r w:rsidRPr="004723B7">
        <w:rPr>
          <w:rFonts w:asciiTheme="majorHAnsi" w:hAnsiTheme="majorHAnsi" w:cstheme="majorHAnsi"/>
          <w:bCs/>
          <w:sz w:val="16"/>
          <w:szCs w:val="16"/>
        </w:rPr>
        <w:t>153,04 lei (4 luni, după reorganizarea MECC).</w:t>
      </w:r>
    </w:p>
  </w:footnote>
  <w:footnote w:id="17">
    <w:p w14:paraId="5A92AC06" w14:textId="5C37F3BA" w:rsidR="00297C40" w:rsidRPr="004723B7" w:rsidRDefault="00297C40">
      <w:pPr>
        <w:pStyle w:val="a5"/>
        <w:spacing w:line="276" w:lineRule="auto"/>
        <w:jc w:val="both"/>
        <w:rPr>
          <w:rFonts w:asciiTheme="majorHAnsi" w:hAnsiTheme="majorHAnsi" w:cstheme="majorHAnsi"/>
          <w:sz w:val="16"/>
          <w:szCs w:val="16"/>
        </w:rPr>
      </w:pPr>
      <w:r w:rsidRPr="004723B7">
        <w:rPr>
          <w:rStyle w:val="a7"/>
          <w:rFonts w:asciiTheme="majorHAnsi" w:hAnsiTheme="majorHAnsi" w:cstheme="majorHAnsi"/>
          <w:sz w:val="16"/>
          <w:szCs w:val="16"/>
        </w:rPr>
        <w:footnoteRef/>
      </w:r>
      <w:r w:rsidRPr="004723B7">
        <w:rPr>
          <w:rFonts w:asciiTheme="majorHAnsi" w:hAnsiTheme="majorHAnsi" w:cstheme="majorHAnsi"/>
          <w:sz w:val="16"/>
          <w:szCs w:val="16"/>
        </w:rPr>
        <w:t xml:space="preserve"> </w:t>
      </w:r>
      <w:r w:rsidRPr="004723B7">
        <w:rPr>
          <w:rFonts w:asciiTheme="majorHAnsi" w:hAnsiTheme="majorHAnsi" w:cstheme="majorHAnsi"/>
          <w:bCs/>
          <w:sz w:val="16"/>
          <w:szCs w:val="16"/>
        </w:rPr>
        <w:t>Muzeul Național de Istorie a Moldovei: servicii de evidență și cercetare a patrimoniului muzeal – 37</w:t>
      </w:r>
      <w:r>
        <w:rPr>
          <w:rFonts w:asciiTheme="majorHAnsi" w:hAnsiTheme="majorHAnsi" w:cstheme="majorHAnsi"/>
          <w:bCs/>
          <w:sz w:val="16"/>
          <w:szCs w:val="16"/>
        </w:rPr>
        <w:t>.</w:t>
      </w:r>
      <w:r w:rsidRPr="004723B7">
        <w:rPr>
          <w:rFonts w:asciiTheme="majorHAnsi" w:hAnsiTheme="majorHAnsi" w:cstheme="majorHAnsi"/>
          <w:bCs/>
          <w:sz w:val="16"/>
          <w:szCs w:val="16"/>
        </w:rPr>
        <w:t>280,00 lei.</w:t>
      </w:r>
    </w:p>
  </w:footnote>
  <w:footnote w:id="18">
    <w:p w14:paraId="47DE362D" w14:textId="2C4D3950" w:rsidR="00297C40" w:rsidRPr="004723B7" w:rsidRDefault="00297C40">
      <w:pPr>
        <w:pStyle w:val="a5"/>
        <w:spacing w:line="276" w:lineRule="auto"/>
        <w:jc w:val="both"/>
        <w:rPr>
          <w:rFonts w:asciiTheme="majorHAnsi" w:hAnsiTheme="majorHAnsi" w:cstheme="majorHAnsi"/>
          <w:sz w:val="16"/>
          <w:szCs w:val="16"/>
        </w:rPr>
      </w:pPr>
      <w:r w:rsidRPr="004723B7">
        <w:rPr>
          <w:rStyle w:val="a7"/>
          <w:rFonts w:asciiTheme="majorHAnsi" w:hAnsiTheme="majorHAnsi" w:cstheme="majorHAnsi"/>
          <w:sz w:val="16"/>
          <w:szCs w:val="16"/>
        </w:rPr>
        <w:footnoteRef/>
      </w:r>
      <w:r w:rsidRPr="004723B7">
        <w:rPr>
          <w:rFonts w:asciiTheme="majorHAnsi" w:hAnsiTheme="majorHAnsi" w:cstheme="majorHAnsi"/>
          <w:sz w:val="16"/>
          <w:szCs w:val="16"/>
        </w:rPr>
        <w:t xml:space="preserve"> Conform </w:t>
      </w:r>
      <w:r>
        <w:rPr>
          <w:rFonts w:asciiTheme="majorHAnsi" w:hAnsiTheme="majorHAnsi" w:cstheme="majorHAnsi"/>
          <w:sz w:val="16"/>
          <w:szCs w:val="16"/>
        </w:rPr>
        <w:t>O</w:t>
      </w:r>
      <w:r w:rsidRPr="004723B7">
        <w:rPr>
          <w:rFonts w:asciiTheme="majorHAnsi" w:hAnsiTheme="majorHAnsi" w:cstheme="majorHAnsi"/>
          <w:sz w:val="16"/>
          <w:szCs w:val="16"/>
        </w:rPr>
        <w:t xml:space="preserve">rdinului </w:t>
      </w:r>
      <w:r>
        <w:rPr>
          <w:rFonts w:asciiTheme="majorHAnsi" w:hAnsiTheme="majorHAnsi" w:cstheme="majorHAnsi"/>
          <w:sz w:val="16"/>
          <w:szCs w:val="16"/>
        </w:rPr>
        <w:t>m</w:t>
      </w:r>
      <w:r w:rsidRPr="004723B7">
        <w:rPr>
          <w:rFonts w:asciiTheme="majorHAnsi" w:hAnsiTheme="majorHAnsi" w:cstheme="majorHAnsi"/>
          <w:sz w:val="16"/>
          <w:szCs w:val="16"/>
        </w:rPr>
        <w:t>inistrului Finanțelor nr.216 din 28.12.2015.</w:t>
      </w:r>
    </w:p>
  </w:footnote>
  <w:footnote w:id="19">
    <w:p w14:paraId="0F46DFE3" w14:textId="299C762D" w:rsidR="00297C40" w:rsidRPr="004723B7" w:rsidRDefault="00297C40">
      <w:pPr>
        <w:pStyle w:val="a5"/>
        <w:spacing w:line="276" w:lineRule="auto"/>
        <w:jc w:val="both"/>
        <w:rPr>
          <w:rFonts w:asciiTheme="majorHAnsi" w:hAnsiTheme="majorHAnsi" w:cstheme="majorHAnsi"/>
          <w:sz w:val="16"/>
          <w:szCs w:val="16"/>
        </w:rPr>
      </w:pPr>
      <w:r w:rsidRPr="004723B7">
        <w:rPr>
          <w:rStyle w:val="a7"/>
          <w:rFonts w:asciiTheme="majorHAnsi" w:hAnsiTheme="majorHAnsi" w:cstheme="majorHAnsi"/>
          <w:sz w:val="16"/>
          <w:szCs w:val="16"/>
        </w:rPr>
        <w:footnoteRef/>
      </w:r>
      <w:r w:rsidRPr="004723B7">
        <w:rPr>
          <w:rFonts w:asciiTheme="majorHAnsi" w:hAnsiTheme="majorHAnsi" w:cstheme="majorHAnsi"/>
          <w:sz w:val="16"/>
          <w:szCs w:val="16"/>
        </w:rPr>
        <w:t xml:space="preserve"> Muzeul Național de Istorie a Moldovei: materiale circulante consumate în perioade</w:t>
      </w:r>
      <w:r>
        <w:rPr>
          <w:rFonts w:asciiTheme="majorHAnsi" w:hAnsiTheme="majorHAnsi" w:cstheme="majorHAnsi"/>
          <w:sz w:val="16"/>
          <w:szCs w:val="16"/>
        </w:rPr>
        <w:t>le</w:t>
      </w:r>
      <w:r w:rsidRPr="004723B7">
        <w:rPr>
          <w:rFonts w:asciiTheme="majorHAnsi" w:hAnsiTheme="majorHAnsi" w:cstheme="majorHAnsi"/>
          <w:sz w:val="16"/>
          <w:szCs w:val="16"/>
        </w:rPr>
        <w:t xml:space="preserve"> precedente în sumă de 38,4 mii lei și bunuri fără valoare </w:t>
      </w:r>
      <w:r>
        <w:rPr>
          <w:rFonts w:asciiTheme="majorHAnsi" w:hAnsiTheme="majorHAnsi" w:cstheme="majorHAnsi"/>
          <w:sz w:val="16"/>
          <w:szCs w:val="16"/>
        </w:rPr>
        <w:t>în sumă de</w:t>
      </w:r>
      <w:r w:rsidRPr="004723B7">
        <w:rPr>
          <w:rFonts w:asciiTheme="majorHAnsi" w:hAnsiTheme="majorHAnsi" w:cstheme="majorHAnsi"/>
          <w:sz w:val="16"/>
          <w:szCs w:val="16"/>
        </w:rPr>
        <w:t xml:space="preserve"> 5,5 mii lei</w:t>
      </w:r>
      <w:r>
        <w:rPr>
          <w:rFonts w:asciiTheme="majorHAnsi" w:hAnsiTheme="majorHAnsi" w:cstheme="majorHAnsi"/>
          <w:sz w:val="16"/>
          <w:szCs w:val="16"/>
        </w:rPr>
        <w:t>.</w:t>
      </w:r>
    </w:p>
  </w:footnote>
  <w:footnote w:id="20">
    <w:p w14:paraId="6AA25D30" w14:textId="24E81B95" w:rsidR="00297C40" w:rsidRPr="00575EAC" w:rsidRDefault="00297C40">
      <w:pPr>
        <w:pStyle w:val="a5"/>
        <w:spacing w:line="276" w:lineRule="auto"/>
        <w:jc w:val="both"/>
        <w:rPr>
          <w:rFonts w:asciiTheme="majorHAnsi" w:hAnsiTheme="majorHAnsi" w:cstheme="majorHAnsi"/>
          <w:sz w:val="16"/>
          <w:szCs w:val="16"/>
        </w:rPr>
      </w:pPr>
      <w:r w:rsidRPr="00575EAC">
        <w:rPr>
          <w:rStyle w:val="a7"/>
          <w:rFonts w:asciiTheme="majorHAnsi" w:hAnsiTheme="majorHAnsi" w:cstheme="majorHAnsi"/>
          <w:sz w:val="16"/>
          <w:szCs w:val="16"/>
        </w:rPr>
        <w:footnoteRef/>
      </w:r>
      <w:r w:rsidRPr="00575EAC">
        <w:rPr>
          <w:rFonts w:asciiTheme="majorHAnsi" w:hAnsiTheme="majorHAnsi" w:cstheme="majorHAnsi"/>
          <w:sz w:val="16"/>
          <w:szCs w:val="16"/>
        </w:rPr>
        <w:t xml:space="preserve"> Cheltuieli efective raportate în anul 2021</w:t>
      </w:r>
      <w:r>
        <w:rPr>
          <w:rFonts w:asciiTheme="majorHAnsi" w:hAnsiTheme="majorHAnsi" w:cstheme="majorHAnsi"/>
          <w:sz w:val="16"/>
          <w:szCs w:val="16"/>
        </w:rPr>
        <w:t>:</w:t>
      </w:r>
      <w:r w:rsidRPr="00575EAC">
        <w:rPr>
          <w:rFonts w:asciiTheme="majorHAnsi" w:hAnsiTheme="majorHAnsi" w:cstheme="majorHAnsi"/>
          <w:sz w:val="16"/>
          <w:szCs w:val="16"/>
        </w:rPr>
        <w:t xml:space="preserve"> pentru publicațiile periodice pentru copii au fost alocate 589,1 mii lei, pentru Muzeul de Istorie a Evreilor – 2.072,6 mii lei.</w:t>
      </w:r>
    </w:p>
  </w:footnote>
  <w:footnote w:id="21">
    <w:p w14:paraId="71DDE8BB" w14:textId="0D9CFBF5" w:rsidR="00297C40" w:rsidRPr="00575EAC" w:rsidRDefault="00297C40">
      <w:pPr>
        <w:tabs>
          <w:tab w:val="left" w:pos="720"/>
        </w:tabs>
        <w:spacing w:after="0" w:line="276" w:lineRule="auto"/>
        <w:jc w:val="both"/>
        <w:rPr>
          <w:rFonts w:asciiTheme="majorHAnsi" w:hAnsiTheme="majorHAnsi" w:cstheme="majorHAnsi"/>
          <w:bCs/>
          <w:sz w:val="16"/>
          <w:szCs w:val="16"/>
        </w:rPr>
      </w:pPr>
      <w:r w:rsidRPr="00575EAC">
        <w:rPr>
          <w:rStyle w:val="a7"/>
          <w:rFonts w:asciiTheme="majorHAnsi" w:hAnsiTheme="majorHAnsi" w:cstheme="majorHAnsi"/>
          <w:sz w:val="16"/>
          <w:szCs w:val="16"/>
        </w:rPr>
        <w:footnoteRef/>
      </w:r>
      <w:r w:rsidRPr="00575EAC">
        <w:rPr>
          <w:rFonts w:asciiTheme="majorHAnsi" w:hAnsiTheme="majorHAnsi" w:cstheme="majorHAnsi"/>
          <w:sz w:val="16"/>
          <w:szCs w:val="16"/>
        </w:rPr>
        <w:t xml:space="preserve"> </w:t>
      </w:r>
      <w:r w:rsidRPr="00575EAC">
        <w:rPr>
          <w:rFonts w:asciiTheme="majorHAnsi" w:hAnsiTheme="majorHAnsi" w:cstheme="majorHAnsi"/>
          <w:bCs/>
          <w:sz w:val="16"/>
          <w:szCs w:val="16"/>
        </w:rPr>
        <w:t>Biblioteca Națională; Muzeul Național de Etnografie și Istorie Naturală; Muzeul Național de Istorie a Moldovei; Caza-</w:t>
      </w:r>
      <w:r>
        <w:rPr>
          <w:rFonts w:asciiTheme="majorHAnsi" w:hAnsiTheme="majorHAnsi" w:cstheme="majorHAnsi"/>
          <w:bCs/>
          <w:sz w:val="16"/>
          <w:szCs w:val="16"/>
        </w:rPr>
        <w:t>m</w:t>
      </w:r>
      <w:r w:rsidRPr="00575EAC">
        <w:rPr>
          <w:rFonts w:asciiTheme="majorHAnsi" w:hAnsiTheme="majorHAnsi" w:cstheme="majorHAnsi"/>
          <w:bCs/>
          <w:sz w:val="16"/>
          <w:szCs w:val="16"/>
        </w:rPr>
        <w:t>uzeu „A.S. Pușkin”; Rezervația Cultural-</w:t>
      </w:r>
      <w:r>
        <w:rPr>
          <w:rFonts w:asciiTheme="majorHAnsi" w:hAnsiTheme="majorHAnsi" w:cstheme="majorHAnsi"/>
          <w:bCs/>
          <w:sz w:val="16"/>
          <w:szCs w:val="16"/>
        </w:rPr>
        <w:t>n</w:t>
      </w:r>
      <w:r w:rsidRPr="00575EAC">
        <w:rPr>
          <w:rFonts w:asciiTheme="majorHAnsi" w:hAnsiTheme="majorHAnsi" w:cstheme="majorHAnsi"/>
          <w:bCs/>
          <w:sz w:val="16"/>
          <w:szCs w:val="16"/>
        </w:rPr>
        <w:t>aturală „Orheiul Vechi”; Centrul Național de Educație prin Artă</w:t>
      </w:r>
      <w:r>
        <w:rPr>
          <w:rFonts w:asciiTheme="majorHAnsi" w:hAnsiTheme="majorHAnsi" w:cstheme="majorHAnsi"/>
          <w:bCs/>
          <w:sz w:val="16"/>
          <w:szCs w:val="16"/>
        </w:rPr>
        <w:t>.</w:t>
      </w:r>
    </w:p>
  </w:footnote>
  <w:footnote w:id="22">
    <w:p w14:paraId="76B34464" w14:textId="77777777" w:rsidR="00127B57" w:rsidRPr="00D91CFF" w:rsidRDefault="00127B57" w:rsidP="004A262A">
      <w:pPr>
        <w:shd w:val="clear" w:color="auto" w:fill="FFFFFF" w:themeFill="background1"/>
        <w:spacing w:after="0" w:line="276" w:lineRule="auto"/>
        <w:jc w:val="both"/>
        <w:rPr>
          <w:rFonts w:asciiTheme="majorHAnsi" w:hAnsiTheme="majorHAnsi" w:cstheme="majorHAnsi"/>
          <w:sz w:val="16"/>
          <w:szCs w:val="16"/>
        </w:rPr>
      </w:pPr>
      <w:r w:rsidRPr="004723B7">
        <w:rPr>
          <w:rStyle w:val="a7"/>
          <w:rFonts w:asciiTheme="majorHAnsi" w:hAnsiTheme="majorHAnsi" w:cstheme="majorHAnsi"/>
          <w:sz w:val="16"/>
          <w:szCs w:val="16"/>
        </w:rPr>
        <w:footnoteRef/>
      </w:r>
      <w:r w:rsidRPr="004723B7">
        <w:rPr>
          <w:rFonts w:asciiTheme="majorHAnsi" w:hAnsiTheme="majorHAnsi" w:cstheme="majorHAnsi"/>
          <w:sz w:val="16"/>
          <w:szCs w:val="16"/>
        </w:rPr>
        <w:t xml:space="preserve"> </w:t>
      </w:r>
      <w:hyperlink r:id="rId1" w:history="1">
        <w:r w:rsidRPr="004723B7">
          <w:rPr>
            <w:rStyle w:val="ad"/>
            <w:rFonts w:asciiTheme="majorHAnsi" w:hAnsiTheme="majorHAnsi" w:cstheme="majorHAnsi"/>
            <w:color w:val="auto"/>
            <w:sz w:val="16"/>
            <w:szCs w:val="16"/>
            <w:u w:val="none"/>
          </w:rPr>
          <w:t>H</w:t>
        </w:r>
        <w:r>
          <w:rPr>
            <w:rStyle w:val="ad"/>
            <w:rFonts w:asciiTheme="majorHAnsi" w:hAnsiTheme="majorHAnsi" w:cstheme="majorHAnsi"/>
            <w:color w:val="auto"/>
            <w:sz w:val="16"/>
            <w:szCs w:val="16"/>
            <w:u w:val="none"/>
          </w:rPr>
          <w:t>G</w:t>
        </w:r>
        <w:r w:rsidRPr="004723B7">
          <w:rPr>
            <w:rStyle w:val="ad"/>
            <w:rFonts w:asciiTheme="majorHAnsi" w:hAnsiTheme="majorHAnsi" w:cstheme="majorHAnsi"/>
            <w:color w:val="auto"/>
            <w:sz w:val="16"/>
            <w:szCs w:val="16"/>
            <w:u w:val="none"/>
          </w:rPr>
          <w:t xml:space="preserve"> nr.1362 din 22.12.2005</w:t>
        </w:r>
      </w:hyperlink>
      <w:r w:rsidRPr="004723B7">
        <w:rPr>
          <w:rStyle w:val="ad"/>
          <w:rFonts w:asciiTheme="majorHAnsi" w:hAnsiTheme="majorHAnsi" w:cstheme="majorHAnsi"/>
          <w:color w:val="auto"/>
          <w:sz w:val="16"/>
          <w:szCs w:val="16"/>
          <w:u w:val="none"/>
        </w:rPr>
        <w:t xml:space="preserve"> „C</w:t>
      </w:r>
      <w:r w:rsidRPr="004723B7">
        <w:rPr>
          <w:rFonts w:asciiTheme="majorHAnsi" w:hAnsiTheme="majorHAnsi" w:cstheme="majorHAnsi"/>
          <w:sz w:val="16"/>
          <w:szCs w:val="16"/>
        </w:rPr>
        <w:t>u privire la aprobarea Normativelor vizând numărul abonamentelor de telefoane de serviciu, faxuri, telefoane mobile pentru angajații autorităților administrației publice (cu excepția legăturii telefonice guvernamentale)”.</w:t>
      </w:r>
    </w:p>
  </w:footnote>
  <w:footnote w:id="23">
    <w:p w14:paraId="5653B147" w14:textId="77777777" w:rsidR="00127B57" w:rsidRPr="004723B7" w:rsidRDefault="00127B57" w:rsidP="004A262A">
      <w:pPr>
        <w:pStyle w:val="a5"/>
        <w:spacing w:line="276" w:lineRule="auto"/>
        <w:jc w:val="both"/>
        <w:rPr>
          <w:rFonts w:asciiTheme="majorHAnsi" w:hAnsiTheme="majorHAnsi" w:cstheme="majorHAnsi"/>
          <w:sz w:val="16"/>
          <w:szCs w:val="16"/>
        </w:rPr>
      </w:pPr>
      <w:r w:rsidRPr="004723B7">
        <w:rPr>
          <w:rStyle w:val="a7"/>
          <w:rFonts w:asciiTheme="majorHAnsi" w:hAnsiTheme="majorHAnsi" w:cstheme="majorHAnsi"/>
          <w:sz w:val="16"/>
          <w:szCs w:val="16"/>
        </w:rPr>
        <w:footnoteRef/>
      </w:r>
      <w:r w:rsidRPr="004723B7">
        <w:rPr>
          <w:rFonts w:asciiTheme="majorHAnsi" w:hAnsiTheme="majorHAnsi" w:cstheme="majorHAnsi"/>
          <w:sz w:val="16"/>
          <w:szCs w:val="16"/>
        </w:rPr>
        <w:t xml:space="preserve"> În total procurate în decembrie 2021: 17 telefoane mobile în sumă de 110,4 mii lei, înregistrate la contul ECO 314.</w:t>
      </w:r>
    </w:p>
  </w:footnote>
  <w:footnote w:id="24">
    <w:p w14:paraId="612058C8" w14:textId="77777777" w:rsidR="00657608" w:rsidRPr="004723B7" w:rsidRDefault="00657608" w:rsidP="004A262A">
      <w:pPr>
        <w:pStyle w:val="a5"/>
        <w:spacing w:line="276" w:lineRule="auto"/>
        <w:jc w:val="both"/>
        <w:rPr>
          <w:rFonts w:asciiTheme="majorHAnsi" w:hAnsiTheme="majorHAnsi" w:cstheme="majorHAnsi"/>
          <w:sz w:val="16"/>
          <w:szCs w:val="16"/>
        </w:rPr>
      </w:pPr>
      <w:r w:rsidRPr="004723B7">
        <w:rPr>
          <w:rStyle w:val="a7"/>
          <w:rFonts w:asciiTheme="majorHAnsi" w:hAnsiTheme="majorHAnsi" w:cstheme="majorHAnsi"/>
          <w:sz w:val="16"/>
          <w:szCs w:val="16"/>
        </w:rPr>
        <w:footnoteRef/>
      </w:r>
      <w:r w:rsidRPr="004723B7">
        <w:rPr>
          <w:rFonts w:asciiTheme="majorHAnsi" w:hAnsiTheme="majorHAnsi" w:cstheme="majorHAnsi"/>
          <w:sz w:val="16"/>
          <w:szCs w:val="16"/>
        </w:rPr>
        <w:t xml:space="preserve"> Servicii funerar</w:t>
      </w:r>
      <w:r>
        <w:rPr>
          <w:rFonts w:asciiTheme="majorHAnsi" w:hAnsiTheme="majorHAnsi" w:cstheme="majorHAnsi"/>
          <w:sz w:val="16"/>
          <w:szCs w:val="16"/>
        </w:rPr>
        <w:t>e</w:t>
      </w:r>
      <w:r w:rsidRPr="004723B7">
        <w:rPr>
          <w:rFonts w:asciiTheme="majorHAnsi" w:hAnsiTheme="majorHAnsi" w:cstheme="majorHAnsi"/>
          <w:sz w:val="16"/>
          <w:szCs w:val="16"/>
        </w:rPr>
        <w:t xml:space="preserve"> din contul mijloacelor bugetare</w:t>
      </w:r>
      <w:r w:rsidRPr="004723B7">
        <w:rPr>
          <w:rFonts w:asciiTheme="majorHAnsi" w:eastAsia="Times New Roman" w:hAnsiTheme="majorHAnsi" w:cstheme="majorHAnsi"/>
          <w:sz w:val="16"/>
          <w:szCs w:val="16"/>
          <w:lang w:eastAsia="ru-RU"/>
        </w:rPr>
        <w:t>, î</w:t>
      </w:r>
      <w:r w:rsidRPr="004723B7">
        <w:rPr>
          <w:rFonts w:asciiTheme="majorHAnsi" w:hAnsiTheme="majorHAnsi" w:cstheme="majorHAnsi"/>
          <w:sz w:val="16"/>
          <w:szCs w:val="16"/>
        </w:rPr>
        <w:t xml:space="preserve">n cazul decesului unor </w:t>
      </w:r>
      <w:r w:rsidRPr="00091BED">
        <w:rPr>
          <w:rFonts w:asciiTheme="majorHAnsi" w:hAnsiTheme="majorHAnsi" w:cstheme="majorHAnsi"/>
          <w:sz w:val="16"/>
          <w:szCs w:val="16"/>
        </w:rPr>
        <w:t>persoane</w:t>
      </w:r>
      <w:r w:rsidRPr="004723B7">
        <w:rPr>
          <w:rFonts w:asciiTheme="majorHAnsi" w:hAnsiTheme="majorHAnsi" w:cstheme="majorHAnsi"/>
          <w:sz w:val="16"/>
          <w:szCs w:val="16"/>
        </w:rPr>
        <w:t xml:space="preserve"> notorii din domeniul culturii.</w:t>
      </w:r>
    </w:p>
  </w:footnote>
  <w:footnote w:id="25">
    <w:p w14:paraId="6936419F" w14:textId="46960537" w:rsidR="00297C40" w:rsidRPr="00575EAC" w:rsidRDefault="00297C40">
      <w:pPr>
        <w:pStyle w:val="a5"/>
        <w:spacing w:line="276" w:lineRule="auto"/>
        <w:jc w:val="both"/>
        <w:rPr>
          <w:rFonts w:asciiTheme="majorHAnsi" w:hAnsiTheme="majorHAnsi" w:cstheme="majorHAnsi"/>
          <w:sz w:val="16"/>
          <w:szCs w:val="16"/>
        </w:rPr>
      </w:pPr>
      <w:r w:rsidRPr="00575EAC">
        <w:rPr>
          <w:rStyle w:val="a7"/>
          <w:rFonts w:asciiTheme="majorHAnsi" w:hAnsiTheme="majorHAnsi" w:cstheme="majorHAnsi"/>
          <w:sz w:val="16"/>
          <w:szCs w:val="16"/>
        </w:rPr>
        <w:footnoteRef/>
      </w:r>
      <w:r w:rsidRPr="00575EAC">
        <w:rPr>
          <w:rFonts w:asciiTheme="majorHAnsi" w:hAnsiTheme="majorHAnsi" w:cstheme="majorHAnsi"/>
          <w:sz w:val="16"/>
          <w:szCs w:val="16"/>
        </w:rPr>
        <w:t xml:space="preserve"> </w:t>
      </w:r>
      <w:r w:rsidRPr="00575EAC">
        <w:rPr>
          <w:rFonts w:asciiTheme="majorHAnsi" w:hAnsiTheme="majorHAnsi" w:cstheme="majorHAnsi"/>
          <w:bCs/>
          <w:sz w:val="16"/>
          <w:szCs w:val="16"/>
        </w:rPr>
        <w:t xml:space="preserve">Muzeul Național de Istorie a Moldovei: a înregistrat la contul de evidență clădirea Muzeului „S. Lazo” cu suma investițiilor de </w:t>
      </w:r>
      <w:r w:rsidR="00091BED">
        <w:rPr>
          <w:rFonts w:asciiTheme="majorHAnsi" w:hAnsiTheme="majorHAnsi" w:cstheme="majorHAnsi"/>
          <w:bCs/>
          <w:sz w:val="16"/>
          <w:szCs w:val="16"/>
        </w:rPr>
        <w:t>12.886,8</w:t>
      </w:r>
      <w:r w:rsidRPr="00575EAC">
        <w:rPr>
          <w:rFonts w:asciiTheme="majorHAnsi" w:hAnsiTheme="majorHAnsi" w:cstheme="majorHAnsi"/>
          <w:bCs/>
          <w:sz w:val="16"/>
          <w:szCs w:val="16"/>
        </w:rPr>
        <w:t xml:space="preserve"> mii lei; a decontat materiale circulante consumate în perioade</w:t>
      </w:r>
      <w:r>
        <w:rPr>
          <w:rFonts w:asciiTheme="majorHAnsi" w:hAnsiTheme="majorHAnsi" w:cstheme="majorHAnsi"/>
          <w:bCs/>
          <w:sz w:val="16"/>
          <w:szCs w:val="16"/>
        </w:rPr>
        <w:t>le</w:t>
      </w:r>
      <w:r w:rsidRPr="00575EAC">
        <w:rPr>
          <w:rFonts w:asciiTheme="majorHAnsi" w:hAnsiTheme="majorHAnsi" w:cstheme="majorHAnsi"/>
          <w:bCs/>
          <w:sz w:val="16"/>
          <w:szCs w:val="16"/>
        </w:rPr>
        <w:t xml:space="preserve"> precedente în sumă de 38,4 mii lei și </w:t>
      </w:r>
      <w:r>
        <w:rPr>
          <w:rFonts w:asciiTheme="majorHAnsi" w:hAnsiTheme="majorHAnsi" w:cstheme="majorHAnsi"/>
          <w:bCs/>
          <w:sz w:val="16"/>
          <w:szCs w:val="16"/>
        </w:rPr>
        <w:t xml:space="preserve">a </w:t>
      </w:r>
      <w:r w:rsidRPr="00575EAC">
        <w:rPr>
          <w:rFonts w:asciiTheme="majorHAnsi" w:hAnsiTheme="majorHAnsi" w:cstheme="majorHAnsi"/>
          <w:bCs/>
          <w:sz w:val="16"/>
          <w:szCs w:val="16"/>
        </w:rPr>
        <w:t xml:space="preserve">evaluat bunuri fără valoare </w:t>
      </w:r>
      <w:r>
        <w:rPr>
          <w:rFonts w:asciiTheme="majorHAnsi" w:hAnsiTheme="majorHAnsi" w:cstheme="majorHAnsi"/>
          <w:bCs/>
          <w:sz w:val="16"/>
          <w:szCs w:val="16"/>
        </w:rPr>
        <w:t>în sumă de</w:t>
      </w:r>
      <w:r w:rsidRPr="00575EAC">
        <w:rPr>
          <w:rFonts w:asciiTheme="majorHAnsi" w:hAnsiTheme="majorHAnsi" w:cstheme="majorHAnsi"/>
          <w:bCs/>
          <w:sz w:val="16"/>
          <w:szCs w:val="16"/>
        </w:rPr>
        <w:t xml:space="preserve"> 5,5 mii lei.</w:t>
      </w:r>
    </w:p>
  </w:footnote>
  <w:footnote w:id="26">
    <w:p w14:paraId="61805BFB" w14:textId="7B02B13D" w:rsidR="00297C40" w:rsidRPr="00575EAC" w:rsidRDefault="00297C40">
      <w:pPr>
        <w:pStyle w:val="a5"/>
        <w:spacing w:line="276" w:lineRule="auto"/>
        <w:jc w:val="both"/>
        <w:rPr>
          <w:rFonts w:asciiTheme="majorHAnsi" w:hAnsiTheme="majorHAnsi" w:cstheme="majorHAnsi"/>
          <w:sz w:val="16"/>
          <w:szCs w:val="16"/>
        </w:rPr>
      </w:pPr>
      <w:r w:rsidRPr="00575EAC">
        <w:rPr>
          <w:rStyle w:val="a7"/>
          <w:rFonts w:asciiTheme="majorHAnsi" w:hAnsiTheme="majorHAnsi" w:cstheme="majorHAnsi"/>
          <w:sz w:val="16"/>
          <w:szCs w:val="16"/>
        </w:rPr>
        <w:footnoteRef/>
      </w:r>
      <w:r w:rsidRPr="00575EAC">
        <w:rPr>
          <w:rFonts w:asciiTheme="majorHAnsi" w:hAnsiTheme="majorHAnsi" w:cstheme="majorHAnsi"/>
          <w:sz w:val="16"/>
          <w:szCs w:val="16"/>
        </w:rPr>
        <w:t xml:space="preserve"> Art.13 alin.(2) din Legea contabilității nr.113-XVI din 27.04.2007; pct.1.4.1.3. din Anexa nr.1 la </w:t>
      </w:r>
      <w:r w:rsidRPr="00575EAC">
        <w:rPr>
          <w:rFonts w:asciiTheme="majorHAnsi" w:eastAsia="Times New Roman" w:hAnsiTheme="majorHAnsi" w:cstheme="majorHAnsi"/>
          <w:sz w:val="16"/>
          <w:szCs w:val="16"/>
        </w:rPr>
        <w:t xml:space="preserve">Ordinul ministrului </w:t>
      </w:r>
      <w:r>
        <w:rPr>
          <w:rFonts w:asciiTheme="majorHAnsi" w:eastAsia="Times New Roman" w:hAnsiTheme="majorHAnsi" w:cstheme="majorHAnsi"/>
          <w:sz w:val="16"/>
          <w:szCs w:val="16"/>
        </w:rPr>
        <w:t>F</w:t>
      </w:r>
      <w:r w:rsidRPr="00575EAC">
        <w:rPr>
          <w:rFonts w:asciiTheme="majorHAnsi" w:eastAsia="Times New Roman" w:hAnsiTheme="majorHAnsi" w:cstheme="majorHAnsi"/>
          <w:sz w:val="16"/>
          <w:szCs w:val="16"/>
        </w:rPr>
        <w:t>inanțelor nr.216 din 28.12.2015.</w:t>
      </w:r>
    </w:p>
  </w:footnote>
  <w:footnote w:id="27">
    <w:p w14:paraId="1455A99E" w14:textId="4FA29726" w:rsidR="00297C40" w:rsidRPr="00575EAC" w:rsidRDefault="00297C40">
      <w:pPr>
        <w:pStyle w:val="a5"/>
        <w:spacing w:line="276" w:lineRule="auto"/>
        <w:jc w:val="both"/>
        <w:rPr>
          <w:rFonts w:asciiTheme="majorHAnsi" w:hAnsiTheme="majorHAnsi" w:cstheme="majorHAnsi"/>
          <w:sz w:val="16"/>
          <w:szCs w:val="16"/>
        </w:rPr>
      </w:pPr>
      <w:r w:rsidRPr="00575EAC">
        <w:rPr>
          <w:rStyle w:val="a7"/>
          <w:rFonts w:asciiTheme="majorHAnsi" w:hAnsiTheme="majorHAnsi" w:cstheme="majorHAnsi"/>
          <w:sz w:val="16"/>
          <w:szCs w:val="16"/>
        </w:rPr>
        <w:footnoteRef/>
      </w:r>
      <w:r w:rsidRPr="00575EAC">
        <w:rPr>
          <w:rFonts w:asciiTheme="majorHAnsi" w:hAnsiTheme="majorHAnsi" w:cstheme="majorHAnsi"/>
          <w:sz w:val="16"/>
          <w:szCs w:val="16"/>
        </w:rPr>
        <w:t xml:space="preserve"> Legea contabilității nr.</w:t>
      </w:r>
      <w:r w:rsidRPr="00575EAC">
        <w:rPr>
          <w:rFonts w:asciiTheme="majorHAnsi" w:eastAsia="Times New Roman" w:hAnsiTheme="majorHAnsi" w:cstheme="majorHAnsi"/>
          <w:sz w:val="16"/>
          <w:szCs w:val="16"/>
        </w:rPr>
        <w:t>113-XVI din 27.04.2007;</w:t>
      </w:r>
      <w:r w:rsidRPr="00575EAC">
        <w:rPr>
          <w:rFonts w:asciiTheme="majorHAnsi" w:hAnsiTheme="majorHAnsi" w:cstheme="majorHAnsi"/>
          <w:sz w:val="16"/>
          <w:szCs w:val="16"/>
        </w:rPr>
        <w:t xml:space="preserve"> </w:t>
      </w:r>
      <w:r w:rsidRPr="00575EAC">
        <w:rPr>
          <w:rFonts w:asciiTheme="majorHAnsi" w:eastAsia="Times New Roman" w:hAnsiTheme="majorHAnsi" w:cstheme="majorHAnsi"/>
          <w:sz w:val="16"/>
          <w:szCs w:val="16"/>
        </w:rPr>
        <w:t xml:space="preserve">Ordinul ministrului </w:t>
      </w:r>
      <w:r>
        <w:rPr>
          <w:rFonts w:asciiTheme="majorHAnsi" w:eastAsia="Times New Roman" w:hAnsiTheme="majorHAnsi" w:cstheme="majorHAnsi"/>
          <w:sz w:val="16"/>
          <w:szCs w:val="16"/>
        </w:rPr>
        <w:t>F</w:t>
      </w:r>
      <w:r w:rsidRPr="00575EAC">
        <w:rPr>
          <w:rFonts w:asciiTheme="majorHAnsi" w:eastAsia="Times New Roman" w:hAnsiTheme="majorHAnsi" w:cstheme="majorHAnsi"/>
          <w:sz w:val="16"/>
          <w:szCs w:val="16"/>
        </w:rPr>
        <w:t xml:space="preserve">inanțelor nr.216 din 28.12.2015; Ordinul ministrului </w:t>
      </w:r>
      <w:r w:rsidR="00010E08">
        <w:rPr>
          <w:rFonts w:asciiTheme="majorHAnsi" w:eastAsia="Times New Roman" w:hAnsiTheme="majorHAnsi" w:cstheme="majorHAnsi"/>
          <w:sz w:val="16"/>
          <w:szCs w:val="16"/>
        </w:rPr>
        <w:t>F</w:t>
      </w:r>
      <w:r w:rsidRPr="00575EAC">
        <w:rPr>
          <w:rFonts w:asciiTheme="majorHAnsi" w:eastAsia="Times New Roman" w:hAnsiTheme="majorHAnsi" w:cstheme="majorHAnsi"/>
          <w:sz w:val="16"/>
          <w:szCs w:val="16"/>
        </w:rPr>
        <w:t>inanțelor nr.164 din 30.12.2016.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4D8C" w14:textId="43D15964" w:rsidR="00297C40" w:rsidRDefault="00297C40" w:rsidP="00D2389C">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1" w15:restartNumberingAfterBreak="0">
    <w:nsid w:val="138500F6"/>
    <w:multiLevelType w:val="multilevel"/>
    <w:tmpl w:val="FB86CEEC"/>
    <w:styleLink w:val="1111111"/>
    <w:lvl w:ilvl="0">
      <w:start w:val="1"/>
      <w:numFmt w:val="upperRoman"/>
      <w:lvlText w:val="%1."/>
      <w:lvlJc w:val="left"/>
      <w:pPr>
        <w:ind w:left="1080" w:hanging="720"/>
      </w:pPr>
      <w:rPr>
        <w:rFonts w:asciiTheme="majorHAnsi" w:hAnsiTheme="majorHAns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B437DBC"/>
    <w:multiLevelType w:val="hybridMultilevel"/>
    <w:tmpl w:val="D45A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546B8"/>
    <w:multiLevelType w:val="multilevel"/>
    <w:tmpl w:val="8A24F33E"/>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sz w:val="24"/>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4" w15:restartNumberingAfterBreak="0">
    <w:nsid w:val="499D49C9"/>
    <w:multiLevelType w:val="multilevel"/>
    <w:tmpl w:val="FADC5C1C"/>
    <w:lvl w:ilvl="0">
      <w:start w:val="1"/>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4A5025AC"/>
    <w:multiLevelType w:val="hybridMultilevel"/>
    <w:tmpl w:val="D136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5566A"/>
    <w:multiLevelType w:val="multilevel"/>
    <w:tmpl w:val="E8860B3E"/>
    <w:lvl w:ilvl="0">
      <w:start w:val="1"/>
      <w:numFmt w:val="upperRoman"/>
      <w:lvlText w:val="%1."/>
      <w:lvlJc w:val="left"/>
      <w:pPr>
        <w:ind w:left="1080" w:hanging="720"/>
      </w:pPr>
      <w:rPr>
        <w:rFonts w:asciiTheme="majorHAnsi" w:hAnsiTheme="majorHAnsi" w:hint="default"/>
        <w:b/>
      </w:rPr>
    </w:lvl>
    <w:lvl w:ilvl="1">
      <w:start w:val="1"/>
      <w:numFmt w:val="decimal"/>
      <w:isLgl/>
      <w:lvlText w:val="%1.%2"/>
      <w:lvlJc w:val="left"/>
      <w:pPr>
        <w:ind w:left="73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9683626"/>
    <w:multiLevelType w:val="hybridMultilevel"/>
    <w:tmpl w:val="16729B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B0D46C9"/>
    <w:multiLevelType w:val="hybridMultilevel"/>
    <w:tmpl w:val="B0202A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C65F71"/>
    <w:multiLevelType w:val="hybridMultilevel"/>
    <w:tmpl w:val="1A0A536E"/>
    <w:lvl w:ilvl="0" w:tplc="4F2A7410">
      <w:start w:val="1"/>
      <w:numFmt w:val="decimal"/>
      <w:lvlText w:val="%1."/>
      <w:lvlJc w:val="left"/>
      <w:pPr>
        <w:ind w:left="1080" w:hanging="72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294922"/>
    <w:multiLevelType w:val="hybridMultilevel"/>
    <w:tmpl w:val="E00CB75E"/>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4221A"/>
    <w:multiLevelType w:val="multilevel"/>
    <w:tmpl w:val="F3B62A8E"/>
    <w:lvl w:ilvl="0">
      <w:start w:val="3"/>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4"/>
  </w:num>
  <w:num w:numId="3">
    <w:abstractNumId w:val="6"/>
  </w:num>
  <w:num w:numId="4">
    <w:abstractNumId w:val="3"/>
  </w:num>
  <w:num w:numId="5">
    <w:abstractNumId w:val="7"/>
  </w:num>
  <w:num w:numId="6">
    <w:abstractNumId w:val="2"/>
  </w:num>
  <w:num w:numId="7">
    <w:abstractNumId w:val="8"/>
  </w:num>
  <w:num w:numId="8">
    <w:abstractNumId w:val="5"/>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EC"/>
    <w:rsid w:val="00003495"/>
    <w:rsid w:val="0000500E"/>
    <w:rsid w:val="000060B3"/>
    <w:rsid w:val="00010E08"/>
    <w:rsid w:val="00013C39"/>
    <w:rsid w:val="00021A66"/>
    <w:rsid w:val="00026FD7"/>
    <w:rsid w:val="000324D3"/>
    <w:rsid w:val="00033A68"/>
    <w:rsid w:val="000378A3"/>
    <w:rsid w:val="00041DB5"/>
    <w:rsid w:val="000561F4"/>
    <w:rsid w:val="0006272C"/>
    <w:rsid w:val="00067503"/>
    <w:rsid w:val="00085251"/>
    <w:rsid w:val="00091BED"/>
    <w:rsid w:val="000A1E6F"/>
    <w:rsid w:val="000A4376"/>
    <w:rsid w:val="000B59BC"/>
    <w:rsid w:val="000C1A14"/>
    <w:rsid w:val="000D7C7E"/>
    <w:rsid w:val="000F74FC"/>
    <w:rsid w:val="00100333"/>
    <w:rsid w:val="00102695"/>
    <w:rsid w:val="001124C7"/>
    <w:rsid w:val="00113E2A"/>
    <w:rsid w:val="00114BF0"/>
    <w:rsid w:val="00115509"/>
    <w:rsid w:val="00127B57"/>
    <w:rsid w:val="0013461A"/>
    <w:rsid w:val="00134F5C"/>
    <w:rsid w:val="00135391"/>
    <w:rsid w:val="0014080F"/>
    <w:rsid w:val="00141D3E"/>
    <w:rsid w:val="00142C06"/>
    <w:rsid w:val="00143992"/>
    <w:rsid w:val="00151719"/>
    <w:rsid w:val="00154136"/>
    <w:rsid w:val="00155034"/>
    <w:rsid w:val="0016713F"/>
    <w:rsid w:val="0017154A"/>
    <w:rsid w:val="00173540"/>
    <w:rsid w:val="0019022B"/>
    <w:rsid w:val="001B3BE6"/>
    <w:rsid w:val="001D33E7"/>
    <w:rsid w:val="001D777B"/>
    <w:rsid w:val="001D7A66"/>
    <w:rsid w:val="001D7C8C"/>
    <w:rsid w:val="001F046C"/>
    <w:rsid w:val="001F5D5C"/>
    <w:rsid w:val="001F7886"/>
    <w:rsid w:val="002002EF"/>
    <w:rsid w:val="002012D2"/>
    <w:rsid w:val="00207933"/>
    <w:rsid w:val="00207A28"/>
    <w:rsid w:val="00214F4F"/>
    <w:rsid w:val="00215925"/>
    <w:rsid w:val="00217C05"/>
    <w:rsid w:val="0022704F"/>
    <w:rsid w:val="0022785A"/>
    <w:rsid w:val="00240D63"/>
    <w:rsid w:val="00246486"/>
    <w:rsid w:val="002555D1"/>
    <w:rsid w:val="00264D7B"/>
    <w:rsid w:val="00270B6E"/>
    <w:rsid w:val="00287674"/>
    <w:rsid w:val="0029191A"/>
    <w:rsid w:val="00297C40"/>
    <w:rsid w:val="002A38D5"/>
    <w:rsid w:val="002B4270"/>
    <w:rsid w:val="002B465E"/>
    <w:rsid w:val="002C03BE"/>
    <w:rsid w:val="002D3DB7"/>
    <w:rsid w:val="002F192E"/>
    <w:rsid w:val="002F337A"/>
    <w:rsid w:val="002F5016"/>
    <w:rsid w:val="002F5694"/>
    <w:rsid w:val="00305D86"/>
    <w:rsid w:val="00310309"/>
    <w:rsid w:val="00312762"/>
    <w:rsid w:val="003136C8"/>
    <w:rsid w:val="003303F2"/>
    <w:rsid w:val="00332AD0"/>
    <w:rsid w:val="00337F2B"/>
    <w:rsid w:val="003521B7"/>
    <w:rsid w:val="00352DAC"/>
    <w:rsid w:val="003602AE"/>
    <w:rsid w:val="00366892"/>
    <w:rsid w:val="003679A7"/>
    <w:rsid w:val="00370CB4"/>
    <w:rsid w:val="003758AC"/>
    <w:rsid w:val="003930C8"/>
    <w:rsid w:val="003A4070"/>
    <w:rsid w:val="003B0408"/>
    <w:rsid w:val="003C3133"/>
    <w:rsid w:val="003D3CB2"/>
    <w:rsid w:val="003D47DE"/>
    <w:rsid w:val="003D4C48"/>
    <w:rsid w:val="003E2E5B"/>
    <w:rsid w:val="003F2F9D"/>
    <w:rsid w:val="003F3B15"/>
    <w:rsid w:val="00403BB5"/>
    <w:rsid w:val="004149B7"/>
    <w:rsid w:val="004272F9"/>
    <w:rsid w:val="004345F2"/>
    <w:rsid w:val="00442A78"/>
    <w:rsid w:val="004559D9"/>
    <w:rsid w:val="00460795"/>
    <w:rsid w:val="004671E7"/>
    <w:rsid w:val="00470B67"/>
    <w:rsid w:val="00470D8B"/>
    <w:rsid w:val="0047138E"/>
    <w:rsid w:val="004723B7"/>
    <w:rsid w:val="004763E7"/>
    <w:rsid w:val="004811CD"/>
    <w:rsid w:val="00482148"/>
    <w:rsid w:val="004841A8"/>
    <w:rsid w:val="0048516C"/>
    <w:rsid w:val="00493152"/>
    <w:rsid w:val="0049405E"/>
    <w:rsid w:val="004A05D0"/>
    <w:rsid w:val="004A0831"/>
    <w:rsid w:val="004A262A"/>
    <w:rsid w:val="004A3775"/>
    <w:rsid w:val="004B4FAF"/>
    <w:rsid w:val="004D319B"/>
    <w:rsid w:val="004E6035"/>
    <w:rsid w:val="004F3F68"/>
    <w:rsid w:val="00500211"/>
    <w:rsid w:val="00503DFD"/>
    <w:rsid w:val="00507A7D"/>
    <w:rsid w:val="00520C2D"/>
    <w:rsid w:val="005211AC"/>
    <w:rsid w:val="00521F14"/>
    <w:rsid w:val="005263B7"/>
    <w:rsid w:val="0053002A"/>
    <w:rsid w:val="00544843"/>
    <w:rsid w:val="00564B04"/>
    <w:rsid w:val="00565000"/>
    <w:rsid w:val="005738BF"/>
    <w:rsid w:val="00575EAC"/>
    <w:rsid w:val="00583DB1"/>
    <w:rsid w:val="0059064E"/>
    <w:rsid w:val="00596901"/>
    <w:rsid w:val="005C0B6F"/>
    <w:rsid w:val="005C125A"/>
    <w:rsid w:val="005C3599"/>
    <w:rsid w:val="005C5E06"/>
    <w:rsid w:val="005D15AF"/>
    <w:rsid w:val="005F277C"/>
    <w:rsid w:val="005F6D95"/>
    <w:rsid w:val="005F79CA"/>
    <w:rsid w:val="00600B30"/>
    <w:rsid w:val="00600DF4"/>
    <w:rsid w:val="00604DCE"/>
    <w:rsid w:val="006069B7"/>
    <w:rsid w:val="006130C5"/>
    <w:rsid w:val="00622EE8"/>
    <w:rsid w:val="00625145"/>
    <w:rsid w:val="00626464"/>
    <w:rsid w:val="00632593"/>
    <w:rsid w:val="00633A73"/>
    <w:rsid w:val="00640F9A"/>
    <w:rsid w:val="006472F9"/>
    <w:rsid w:val="006510FC"/>
    <w:rsid w:val="00655021"/>
    <w:rsid w:val="00657608"/>
    <w:rsid w:val="00665985"/>
    <w:rsid w:val="00680BF9"/>
    <w:rsid w:val="0068304D"/>
    <w:rsid w:val="0068503B"/>
    <w:rsid w:val="00691845"/>
    <w:rsid w:val="00697CF6"/>
    <w:rsid w:val="006B136D"/>
    <w:rsid w:val="006B641C"/>
    <w:rsid w:val="006B6E42"/>
    <w:rsid w:val="006C4DD6"/>
    <w:rsid w:val="006D66B1"/>
    <w:rsid w:val="006E0208"/>
    <w:rsid w:val="006F030B"/>
    <w:rsid w:val="006F0DDC"/>
    <w:rsid w:val="006F2AA6"/>
    <w:rsid w:val="00703003"/>
    <w:rsid w:val="00703E64"/>
    <w:rsid w:val="00716AD4"/>
    <w:rsid w:val="007223AE"/>
    <w:rsid w:val="0073208A"/>
    <w:rsid w:val="00736B75"/>
    <w:rsid w:val="007413AD"/>
    <w:rsid w:val="00751A09"/>
    <w:rsid w:val="007527E0"/>
    <w:rsid w:val="007636FA"/>
    <w:rsid w:val="007754F8"/>
    <w:rsid w:val="0077592C"/>
    <w:rsid w:val="00783B0C"/>
    <w:rsid w:val="0078691F"/>
    <w:rsid w:val="007A33EB"/>
    <w:rsid w:val="007B04DD"/>
    <w:rsid w:val="007B25D5"/>
    <w:rsid w:val="007B6E3D"/>
    <w:rsid w:val="007C2A49"/>
    <w:rsid w:val="007C5AA2"/>
    <w:rsid w:val="007D305B"/>
    <w:rsid w:val="007D67A1"/>
    <w:rsid w:val="007F2E25"/>
    <w:rsid w:val="00817C07"/>
    <w:rsid w:val="00831C61"/>
    <w:rsid w:val="0083290C"/>
    <w:rsid w:val="0083577D"/>
    <w:rsid w:val="00844EE3"/>
    <w:rsid w:val="00845E6D"/>
    <w:rsid w:val="0084653B"/>
    <w:rsid w:val="00866500"/>
    <w:rsid w:val="00867F9A"/>
    <w:rsid w:val="00870202"/>
    <w:rsid w:val="0088018A"/>
    <w:rsid w:val="00891316"/>
    <w:rsid w:val="00895376"/>
    <w:rsid w:val="008A1179"/>
    <w:rsid w:val="008A55B8"/>
    <w:rsid w:val="008B032E"/>
    <w:rsid w:val="008B2127"/>
    <w:rsid w:val="008B2975"/>
    <w:rsid w:val="008C0009"/>
    <w:rsid w:val="008C0790"/>
    <w:rsid w:val="008C2E69"/>
    <w:rsid w:val="008C490B"/>
    <w:rsid w:val="008C508F"/>
    <w:rsid w:val="008C78BE"/>
    <w:rsid w:val="008D72DA"/>
    <w:rsid w:val="008E73E8"/>
    <w:rsid w:val="008F279D"/>
    <w:rsid w:val="008F613C"/>
    <w:rsid w:val="008F67A5"/>
    <w:rsid w:val="009030EE"/>
    <w:rsid w:val="0091105F"/>
    <w:rsid w:val="00917EC7"/>
    <w:rsid w:val="00926499"/>
    <w:rsid w:val="009269D8"/>
    <w:rsid w:val="00932ED4"/>
    <w:rsid w:val="00935500"/>
    <w:rsid w:val="00935B04"/>
    <w:rsid w:val="009367B5"/>
    <w:rsid w:val="00937805"/>
    <w:rsid w:val="00954CE3"/>
    <w:rsid w:val="00962373"/>
    <w:rsid w:val="00971BD8"/>
    <w:rsid w:val="009757A3"/>
    <w:rsid w:val="00976D32"/>
    <w:rsid w:val="0099048D"/>
    <w:rsid w:val="00993438"/>
    <w:rsid w:val="009A5283"/>
    <w:rsid w:val="009A7474"/>
    <w:rsid w:val="009C0234"/>
    <w:rsid w:val="009C2956"/>
    <w:rsid w:val="009C6D17"/>
    <w:rsid w:val="009E4CE7"/>
    <w:rsid w:val="009F3DEE"/>
    <w:rsid w:val="009F4E13"/>
    <w:rsid w:val="00A01E3B"/>
    <w:rsid w:val="00A11298"/>
    <w:rsid w:val="00A117A9"/>
    <w:rsid w:val="00A168DD"/>
    <w:rsid w:val="00A203A4"/>
    <w:rsid w:val="00A210A8"/>
    <w:rsid w:val="00A23F81"/>
    <w:rsid w:val="00A23FDD"/>
    <w:rsid w:val="00A36838"/>
    <w:rsid w:val="00A44A2D"/>
    <w:rsid w:val="00A5316E"/>
    <w:rsid w:val="00A636D7"/>
    <w:rsid w:val="00A66E03"/>
    <w:rsid w:val="00A7157A"/>
    <w:rsid w:val="00A736A9"/>
    <w:rsid w:val="00A74D6F"/>
    <w:rsid w:val="00A87E96"/>
    <w:rsid w:val="00A90993"/>
    <w:rsid w:val="00AB1B86"/>
    <w:rsid w:val="00AB494E"/>
    <w:rsid w:val="00AB4AC3"/>
    <w:rsid w:val="00AC0281"/>
    <w:rsid w:val="00AC3FA5"/>
    <w:rsid w:val="00AE1161"/>
    <w:rsid w:val="00AE27B1"/>
    <w:rsid w:val="00AE2BA8"/>
    <w:rsid w:val="00AF1F59"/>
    <w:rsid w:val="00AF28C0"/>
    <w:rsid w:val="00AF4E4D"/>
    <w:rsid w:val="00B02C00"/>
    <w:rsid w:val="00B03666"/>
    <w:rsid w:val="00B11B35"/>
    <w:rsid w:val="00B20CF3"/>
    <w:rsid w:val="00B2114A"/>
    <w:rsid w:val="00B249B9"/>
    <w:rsid w:val="00B27195"/>
    <w:rsid w:val="00B3671C"/>
    <w:rsid w:val="00B374AB"/>
    <w:rsid w:val="00B5410B"/>
    <w:rsid w:val="00B55BAF"/>
    <w:rsid w:val="00B56E57"/>
    <w:rsid w:val="00B600B6"/>
    <w:rsid w:val="00B616AE"/>
    <w:rsid w:val="00B63CB4"/>
    <w:rsid w:val="00B64EF2"/>
    <w:rsid w:val="00B81628"/>
    <w:rsid w:val="00B852BC"/>
    <w:rsid w:val="00B952AE"/>
    <w:rsid w:val="00B967FC"/>
    <w:rsid w:val="00B9786F"/>
    <w:rsid w:val="00BA140F"/>
    <w:rsid w:val="00BB24CE"/>
    <w:rsid w:val="00BC6487"/>
    <w:rsid w:val="00BD0124"/>
    <w:rsid w:val="00BD039B"/>
    <w:rsid w:val="00BE5525"/>
    <w:rsid w:val="00C1083D"/>
    <w:rsid w:val="00C12840"/>
    <w:rsid w:val="00C12B7B"/>
    <w:rsid w:val="00C16AD4"/>
    <w:rsid w:val="00C20167"/>
    <w:rsid w:val="00C34C6E"/>
    <w:rsid w:val="00C431FF"/>
    <w:rsid w:val="00C44968"/>
    <w:rsid w:val="00C53E2D"/>
    <w:rsid w:val="00C67A09"/>
    <w:rsid w:val="00C76650"/>
    <w:rsid w:val="00C90D99"/>
    <w:rsid w:val="00C94827"/>
    <w:rsid w:val="00CA3FBB"/>
    <w:rsid w:val="00CC0D5E"/>
    <w:rsid w:val="00CC7979"/>
    <w:rsid w:val="00CD2EA2"/>
    <w:rsid w:val="00CF2A33"/>
    <w:rsid w:val="00CF5B15"/>
    <w:rsid w:val="00CF6E0A"/>
    <w:rsid w:val="00D02865"/>
    <w:rsid w:val="00D0404A"/>
    <w:rsid w:val="00D2389C"/>
    <w:rsid w:val="00D30358"/>
    <w:rsid w:val="00D3107E"/>
    <w:rsid w:val="00D34ABC"/>
    <w:rsid w:val="00D377EC"/>
    <w:rsid w:val="00D3780E"/>
    <w:rsid w:val="00D37869"/>
    <w:rsid w:val="00D455C8"/>
    <w:rsid w:val="00D61D97"/>
    <w:rsid w:val="00D75D3F"/>
    <w:rsid w:val="00D858FC"/>
    <w:rsid w:val="00D906FE"/>
    <w:rsid w:val="00D91CFF"/>
    <w:rsid w:val="00D94775"/>
    <w:rsid w:val="00D97EE3"/>
    <w:rsid w:val="00DB311D"/>
    <w:rsid w:val="00DB4834"/>
    <w:rsid w:val="00DB7BD5"/>
    <w:rsid w:val="00DC651B"/>
    <w:rsid w:val="00DC6749"/>
    <w:rsid w:val="00DC6E5B"/>
    <w:rsid w:val="00DC72EF"/>
    <w:rsid w:val="00DE0AE8"/>
    <w:rsid w:val="00DE3A56"/>
    <w:rsid w:val="00DE6E43"/>
    <w:rsid w:val="00DF461F"/>
    <w:rsid w:val="00E04ED0"/>
    <w:rsid w:val="00E220A8"/>
    <w:rsid w:val="00E2303B"/>
    <w:rsid w:val="00E26743"/>
    <w:rsid w:val="00E30BEF"/>
    <w:rsid w:val="00E330E5"/>
    <w:rsid w:val="00E335E2"/>
    <w:rsid w:val="00E337F0"/>
    <w:rsid w:val="00E33845"/>
    <w:rsid w:val="00E350D2"/>
    <w:rsid w:val="00E4328A"/>
    <w:rsid w:val="00E435FF"/>
    <w:rsid w:val="00E4457B"/>
    <w:rsid w:val="00E462F0"/>
    <w:rsid w:val="00E548E6"/>
    <w:rsid w:val="00E62944"/>
    <w:rsid w:val="00E63289"/>
    <w:rsid w:val="00E74DE3"/>
    <w:rsid w:val="00E8014F"/>
    <w:rsid w:val="00E92A26"/>
    <w:rsid w:val="00E94004"/>
    <w:rsid w:val="00E9676D"/>
    <w:rsid w:val="00EA41E0"/>
    <w:rsid w:val="00EB662D"/>
    <w:rsid w:val="00EB7AA6"/>
    <w:rsid w:val="00EC08D9"/>
    <w:rsid w:val="00ED23B6"/>
    <w:rsid w:val="00ED23E2"/>
    <w:rsid w:val="00ED245F"/>
    <w:rsid w:val="00EE3420"/>
    <w:rsid w:val="00F07D7C"/>
    <w:rsid w:val="00F11591"/>
    <w:rsid w:val="00F20181"/>
    <w:rsid w:val="00F40903"/>
    <w:rsid w:val="00F414A2"/>
    <w:rsid w:val="00F426A8"/>
    <w:rsid w:val="00F6672A"/>
    <w:rsid w:val="00F718EC"/>
    <w:rsid w:val="00F75732"/>
    <w:rsid w:val="00F83353"/>
    <w:rsid w:val="00F87572"/>
    <w:rsid w:val="00F96205"/>
    <w:rsid w:val="00FB2E81"/>
    <w:rsid w:val="00FB4CFA"/>
    <w:rsid w:val="00FB754A"/>
    <w:rsid w:val="00FC38A6"/>
    <w:rsid w:val="00FD2D12"/>
    <w:rsid w:val="00FE1C12"/>
    <w:rsid w:val="00FF034C"/>
    <w:rsid w:val="00FF18F9"/>
    <w:rsid w:val="00FF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7951E"/>
  <w15:chartTrackingRefBased/>
  <w15:docId w15:val="{B3EB86DA-3D99-4A09-B110-4E676932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8EC"/>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4"/>
    <w:uiPriority w:val="34"/>
    <w:qFormat/>
    <w:rsid w:val="00F718EC"/>
    <w:pPr>
      <w:ind w:left="720"/>
      <w:contextualSpacing/>
    </w:pPr>
  </w:style>
  <w:style w:type="character" w:customStyle="1" w:styleId="a4">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3"/>
    <w:uiPriority w:val="34"/>
    <w:qFormat/>
    <w:rsid w:val="00F718EC"/>
    <w:rPr>
      <w:lang w:val="ro-MD"/>
    </w:rPr>
  </w:style>
  <w:style w:type="paragraph" w:styleId="a5">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6"/>
    <w:unhideWhenUsed/>
    <w:qFormat/>
    <w:rsid w:val="00F718EC"/>
    <w:pPr>
      <w:spacing w:after="0" w:line="240" w:lineRule="auto"/>
    </w:pPr>
    <w:rPr>
      <w:sz w:val="20"/>
      <w:szCs w:val="20"/>
    </w:rPr>
  </w:style>
  <w:style w:type="character" w:customStyle="1" w:styleId="a6">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5"/>
    <w:rsid w:val="00F718EC"/>
    <w:rPr>
      <w:sz w:val="20"/>
      <w:szCs w:val="20"/>
      <w:lang w:val="ro-MD"/>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FR"/>
    <w:link w:val="FNRefeCharChar"/>
    <w:uiPriority w:val="99"/>
    <w:unhideWhenUsed/>
    <w:rsid w:val="00F718E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F718EC"/>
    <w:pPr>
      <w:spacing w:line="240" w:lineRule="exact"/>
    </w:pPr>
    <w:rPr>
      <w:vertAlign w:val="superscript"/>
      <w:lang w:val="en-US"/>
    </w:rPr>
  </w:style>
  <w:style w:type="numbering" w:customStyle="1" w:styleId="1111111">
    <w:name w:val="1 / 1.1 / 1.1.11"/>
    <w:basedOn w:val="a2"/>
    <w:next w:val="111111"/>
    <w:uiPriority w:val="99"/>
    <w:semiHidden/>
    <w:unhideWhenUsed/>
    <w:rsid w:val="00F718EC"/>
    <w:pPr>
      <w:numPr>
        <w:numId w:val="1"/>
      </w:numPr>
    </w:pPr>
  </w:style>
  <w:style w:type="numbering" w:styleId="111111">
    <w:name w:val="Outline List 2"/>
    <w:basedOn w:val="a2"/>
    <w:uiPriority w:val="99"/>
    <w:semiHidden/>
    <w:unhideWhenUsed/>
    <w:rsid w:val="00F718EC"/>
  </w:style>
  <w:style w:type="paragraph" w:styleId="a8">
    <w:name w:val="header"/>
    <w:basedOn w:val="a"/>
    <w:link w:val="a9"/>
    <w:uiPriority w:val="99"/>
    <w:unhideWhenUsed/>
    <w:rsid w:val="007B25D5"/>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7B25D5"/>
    <w:rPr>
      <w:lang w:val="ro-MD"/>
    </w:rPr>
  </w:style>
  <w:style w:type="paragraph" w:styleId="aa">
    <w:name w:val="footer"/>
    <w:basedOn w:val="a"/>
    <w:link w:val="ab"/>
    <w:uiPriority w:val="99"/>
    <w:unhideWhenUsed/>
    <w:rsid w:val="007B25D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7B25D5"/>
    <w:rPr>
      <w:lang w:val="ro-MD"/>
    </w:rPr>
  </w:style>
  <w:style w:type="table" w:styleId="ac">
    <w:name w:val="Table Grid"/>
    <w:basedOn w:val="a1"/>
    <w:uiPriority w:val="39"/>
    <w:rsid w:val="00AB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B1B86"/>
    <w:rPr>
      <w:color w:val="0563C1" w:themeColor="hyperlink"/>
      <w:u w:val="single"/>
    </w:rPr>
  </w:style>
  <w:style w:type="paragraph" w:customStyle="1" w:styleId="Default">
    <w:name w:val="Default"/>
    <w:rsid w:val="002D3DB7"/>
    <w:pPr>
      <w:autoSpaceDE w:val="0"/>
      <w:autoSpaceDN w:val="0"/>
      <w:adjustRightInd w:val="0"/>
      <w:spacing w:after="0" w:line="240" w:lineRule="auto"/>
    </w:pPr>
    <w:rPr>
      <w:rFonts w:ascii="Arial" w:hAnsi="Arial" w:cs="Arial"/>
      <w:color w:val="000000"/>
      <w:sz w:val="24"/>
      <w:szCs w:val="24"/>
    </w:rPr>
  </w:style>
  <w:style w:type="paragraph" w:styleId="ae">
    <w:name w:val="Balloon Text"/>
    <w:basedOn w:val="a"/>
    <w:link w:val="af"/>
    <w:uiPriority w:val="99"/>
    <w:semiHidden/>
    <w:unhideWhenUsed/>
    <w:rsid w:val="00113E2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3E2A"/>
    <w:rPr>
      <w:rFonts w:ascii="Segoe UI" w:hAnsi="Segoe UI" w:cs="Segoe UI"/>
      <w:sz w:val="18"/>
      <w:szCs w:val="18"/>
      <w:lang w:val="ro-MD"/>
    </w:rPr>
  </w:style>
  <w:style w:type="character" w:styleId="af0">
    <w:name w:val="annotation reference"/>
    <w:basedOn w:val="a0"/>
    <w:uiPriority w:val="99"/>
    <w:semiHidden/>
    <w:unhideWhenUsed/>
    <w:rsid w:val="00B63CB4"/>
    <w:rPr>
      <w:sz w:val="16"/>
      <w:szCs w:val="16"/>
    </w:rPr>
  </w:style>
  <w:style w:type="paragraph" w:styleId="af1">
    <w:name w:val="annotation text"/>
    <w:basedOn w:val="a"/>
    <w:link w:val="af2"/>
    <w:uiPriority w:val="99"/>
    <w:semiHidden/>
    <w:unhideWhenUsed/>
    <w:rsid w:val="00B63CB4"/>
    <w:pPr>
      <w:spacing w:line="240" w:lineRule="auto"/>
    </w:pPr>
    <w:rPr>
      <w:sz w:val="20"/>
      <w:szCs w:val="20"/>
    </w:rPr>
  </w:style>
  <w:style w:type="character" w:customStyle="1" w:styleId="af2">
    <w:name w:val="Текст примечания Знак"/>
    <w:basedOn w:val="a0"/>
    <w:link w:val="af1"/>
    <w:uiPriority w:val="99"/>
    <w:semiHidden/>
    <w:rsid w:val="00B63CB4"/>
    <w:rPr>
      <w:sz w:val="20"/>
      <w:szCs w:val="20"/>
      <w:lang w:val="ro-MD"/>
    </w:rPr>
  </w:style>
  <w:style w:type="character" w:customStyle="1" w:styleId="af3">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4"/>
    <w:uiPriority w:val="99"/>
    <w:locked/>
    <w:rsid w:val="00600DF4"/>
    <w:rPr>
      <w:rFonts w:ascii="Times New Roman" w:eastAsia="Times New Roman" w:hAnsi="Times New Roman" w:cs="Times New Roman"/>
      <w:sz w:val="24"/>
      <w:szCs w:val="24"/>
    </w:rPr>
  </w:style>
  <w:style w:type="paragraph" w:styleId="af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f3"/>
    <w:uiPriority w:val="99"/>
    <w:unhideWhenUsed/>
    <w:qFormat/>
    <w:rsid w:val="00600DF4"/>
    <w:pPr>
      <w:spacing w:after="0" w:line="240" w:lineRule="auto"/>
      <w:ind w:firstLine="567"/>
      <w:jc w:val="both"/>
    </w:pPr>
    <w:rPr>
      <w:rFonts w:ascii="Times New Roman" w:eastAsia="Times New Roman" w:hAnsi="Times New Roman" w:cs="Times New Roman"/>
      <w:sz w:val="24"/>
      <w:szCs w:val="24"/>
      <w:lang w:val="en-US"/>
    </w:rPr>
  </w:style>
  <w:style w:type="paragraph" w:styleId="af5">
    <w:name w:val="annotation subject"/>
    <w:basedOn w:val="af1"/>
    <w:next w:val="af1"/>
    <w:link w:val="af6"/>
    <w:uiPriority w:val="99"/>
    <w:semiHidden/>
    <w:unhideWhenUsed/>
    <w:rsid w:val="00D377EC"/>
    <w:rPr>
      <w:b/>
      <w:bCs/>
    </w:rPr>
  </w:style>
  <w:style w:type="character" w:customStyle="1" w:styleId="af6">
    <w:name w:val="Тема примечания Знак"/>
    <w:basedOn w:val="af2"/>
    <w:link w:val="af5"/>
    <w:uiPriority w:val="99"/>
    <w:semiHidden/>
    <w:rsid w:val="00D377EC"/>
    <w:rPr>
      <w:b/>
      <w:bCs/>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3632">
      <w:bodyDiv w:val="1"/>
      <w:marLeft w:val="0"/>
      <w:marRight w:val="0"/>
      <w:marTop w:val="0"/>
      <w:marBottom w:val="0"/>
      <w:divBdr>
        <w:top w:val="none" w:sz="0" w:space="0" w:color="auto"/>
        <w:left w:val="none" w:sz="0" w:space="0" w:color="auto"/>
        <w:bottom w:val="none" w:sz="0" w:space="0" w:color="auto"/>
        <w:right w:val="none" w:sz="0" w:space="0" w:color="auto"/>
      </w:divBdr>
    </w:div>
    <w:div w:id="1108085209">
      <w:bodyDiv w:val="1"/>
      <w:marLeft w:val="0"/>
      <w:marRight w:val="0"/>
      <w:marTop w:val="0"/>
      <w:marBottom w:val="0"/>
      <w:divBdr>
        <w:top w:val="none" w:sz="0" w:space="0" w:color="auto"/>
        <w:left w:val="none" w:sz="0" w:space="0" w:color="auto"/>
        <w:bottom w:val="none" w:sz="0" w:space="0" w:color="auto"/>
        <w:right w:val="none" w:sz="0" w:space="0" w:color="auto"/>
      </w:divBdr>
    </w:div>
    <w:div w:id="19061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lex:HGHG200512221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D8AE7-DFAB-495F-896F-D305BEEC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2817</Words>
  <Characters>16063</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Chiosa Eugenia</dc:creator>
  <cp:keywords/>
  <dc:description/>
  <cp:lastModifiedBy>Paiu Eugenia</cp:lastModifiedBy>
  <cp:revision>3</cp:revision>
  <cp:lastPrinted>2022-07-10T09:34:00Z</cp:lastPrinted>
  <dcterms:created xsi:type="dcterms:W3CDTF">2022-08-08T06:15:00Z</dcterms:created>
  <dcterms:modified xsi:type="dcterms:W3CDTF">2022-08-08T06:15:00Z</dcterms:modified>
</cp:coreProperties>
</file>