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A34" w:rsidRPr="00B525E9" w:rsidRDefault="006D2A34" w:rsidP="006D2A34">
      <w:pPr>
        <w:tabs>
          <w:tab w:val="right" w:pos="0"/>
        </w:tabs>
        <w:spacing w:after="0" w:line="240" w:lineRule="auto"/>
        <w:jc w:val="center"/>
        <w:rPr>
          <w:rFonts w:ascii="Calibri Light" w:hAnsi="Calibri Light" w:cs="Calibri Light"/>
          <w:noProof/>
          <w:color w:val="000000" w:themeColor="text1"/>
          <w:sz w:val="24"/>
          <w:szCs w:val="24"/>
          <w:lang w:val="ro-RO"/>
        </w:rPr>
      </w:pPr>
      <w:r w:rsidRPr="00B525E9">
        <w:rPr>
          <w:rFonts w:ascii="Calibri Light" w:hAnsi="Calibri Light" w:cs="Calibri Light"/>
          <w:noProof/>
          <w:color w:val="000000" w:themeColor="text1"/>
          <w:sz w:val="24"/>
          <w:szCs w:val="24"/>
          <w:lang w:val="en-US"/>
        </w:rPr>
        <w:drawing>
          <wp:inline distT="0" distB="0" distL="0" distR="0" wp14:anchorId="1DE5ECA8" wp14:editId="18B4A820">
            <wp:extent cx="632460" cy="70866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r w:rsidRPr="00B525E9">
        <w:rPr>
          <w:rFonts w:ascii="Calibri Light" w:hAnsi="Calibri Light" w:cs="Calibri Light"/>
          <w:noProof/>
          <w:color w:val="000000" w:themeColor="text1"/>
          <w:sz w:val="24"/>
          <w:szCs w:val="24"/>
          <w:lang w:val="ro-RO"/>
        </w:rPr>
        <w:t xml:space="preserve">      </w:t>
      </w:r>
    </w:p>
    <w:p w:rsidR="006D2A34" w:rsidRPr="00B525E9" w:rsidRDefault="006D2A34" w:rsidP="006D2A34">
      <w:pPr>
        <w:tabs>
          <w:tab w:val="right" w:pos="0"/>
        </w:tabs>
        <w:spacing w:after="0" w:line="240" w:lineRule="auto"/>
        <w:jc w:val="center"/>
        <w:rPr>
          <w:rFonts w:ascii="Calibri Light" w:hAnsi="Calibri Light" w:cs="Calibri Light"/>
          <w:noProof/>
          <w:color w:val="000000" w:themeColor="text1"/>
          <w:sz w:val="24"/>
          <w:szCs w:val="24"/>
          <w:lang w:val="ro-RO"/>
        </w:rPr>
      </w:pPr>
      <w:r w:rsidRPr="00B525E9">
        <w:rPr>
          <w:rFonts w:ascii="Calibri Light" w:hAnsi="Calibri Light" w:cs="Calibri Light"/>
          <w:noProof/>
          <w:color w:val="000000" w:themeColor="text1"/>
          <w:sz w:val="24"/>
          <w:szCs w:val="24"/>
          <w:lang w:val="ro-RO"/>
        </w:rPr>
        <w:t xml:space="preserve">      </w:t>
      </w:r>
    </w:p>
    <w:p w:rsidR="006D2A34" w:rsidRPr="00A64786" w:rsidRDefault="006D2A34" w:rsidP="006D2A34">
      <w:pPr>
        <w:pStyle w:val="Caption"/>
        <w:rPr>
          <w:rFonts w:ascii="Calibri Light" w:hAnsi="Calibri Light" w:cs="Calibri Light"/>
          <w:i w:val="0"/>
          <w:iCs/>
          <w:noProof/>
          <w:color w:val="000000" w:themeColor="text1"/>
          <w:sz w:val="36"/>
          <w:szCs w:val="36"/>
        </w:rPr>
      </w:pPr>
      <w:r w:rsidRPr="00A64786">
        <w:rPr>
          <w:rFonts w:ascii="Calibri Light" w:hAnsi="Calibri Light" w:cs="Calibri Light"/>
          <w:i w:val="0"/>
          <w:iCs/>
          <w:noProof/>
          <w:color w:val="000000" w:themeColor="text1"/>
          <w:sz w:val="36"/>
          <w:szCs w:val="36"/>
        </w:rPr>
        <w:t>CURTEA DE CONTURI A REPUBLICII MOLDOVA</w:t>
      </w:r>
    </w:p>
    <w:p w:rsidR="006D2A34" w:rsidRPr="00B525E9" w:rsidRDefault="006D2A34" w:rsidP="006D2A34">
      <w:pPr>
        <w:pStyle w:val="Heading1"/>
        <w:spacing w:before="0" w:line="240" w:lineRule="auto"/>
        <w:rPr>
          <w:rFonts w:cs="Calibri Light"/>
          <w:noProof/>
          <w:color w:val="000000" w:themeColor="text1"/>
          <w:sz w:val="24"/>
          <w:szCs w:val="24"/>
          <w:lang w:val="ro-RO"/>
        </w:rPr>
      </w:pPr>
    </w:p>
    <w:p w:rsidR="006D2A34" w:rsidRPr="00B525E9" w:rsidRDefault="006D2A34" w:rsidP="006D2A34">
      <w:pPr>
        <w:pStyle w:val="Heading1"/>
        <w:spacing w:before="0" w:line="240" w:lineRule="auto"/>
        <w:jc w:val="center"/>
        <w:rPr>
          <w:rFonts w:cs="Calibri Light"/>
          <w:noProof/>
          <w:color w:val="000000" w:themeColor="text1"/>
          <w:sz w:val="24"/>
          <w:szCs w:val="24"/>
          <w:lang w:val="ro-RO"/>
        </w:rPr>
      </w:pPr>
      <w:r w:rsidRPr="00B525E9">
        <w:rPr>
          <w:rFonts w:cs="Calibri Light"/>
          <w:noProof/>
          <w:color w:val="000000" w:themeColor="text1"/>
          <w:sz w:val="24"/>
          <w:szCs w:val="24"/>
          <w:lang w:val="ro-RO"/>
        </w:rPr>
        <w:t>H O T Ă R Â R E A nr.</w:t>
      </w:r>
      <w:r w:rsidR="00681C81">
        <w:rPr>
          <w:rFonts w:cs="Calibri Light"/>
          <w:noProof/>
          <w:color w:val="000000" w:themeColor="text1"/>
          <w:sz w:val="24"/>
          <w:szCs w:val="24"/>
          <w:lang w:val="ro-RO"/>
        </w:rPr>
        <w:t>10</w:t>
      </w:r>
    </w:p>
    <w:p w:rsidR="006D2A34" w:rsidRPr="00B525E9" w:rsidRDefault="006D2A34" w:rsidP="006D2A34">
      <w:pPr>
        <w:spacing w:after="0" w:line="240" w:lineRule="auto"/>
        <w:jc w:val="center"/>
        <w:rPr>
          <w:rFonts w:ascii="Calibri Light" w:hAnsi="Calibri Light" w:cs="Calibri Light"/>
          <w:noProof/>
          <w:color w:val="000000" w:themeColor="text1"/>
          <w:sz w:val="24"/>
          <w:szCs w:val="24"/>
          <w:lang w:val="ro-RO"/>
        </w:rPr>
      </w:pPr>
      <w:r w:rsidRPr="00B525E9">
        <w:rPr>
          <w:rFonts w:ascii="Calibri Light" w:hAnsi="Calibri Light" w:cs="Calibri Light"/>
          <w:noProof/>
          <w:color w:val="000000" w:themeColor="text1"/>
          <w:sz w:val="24"/>
          <w:szCs w:val="24"/>
          <w:lang w:val="ro-RO"/>
        </w:rPr>
        <w:t>din 2</w:t>
      </w:r>
      <w:r w:rsidR="00E506EE">
        <w:rPr>
          <w:rFonts w:ascii="Calibri Light" w:hAnsi="Calibri Light" w:cs="Calibri Light"/>
          <w:noProof/>
          <w:color w:val="000000" w:themeColor="text1"/>
          <w:sz w:val="24"/>
          <w:szCs w:val="24"/>
          <w:lang w:val="ro-RO"/>
        </w:rPr>
        <w:t>8</w:t>
      </w:r>
      <w:r w:rsidRPr="00B525E9">
        <w:rPr>
          <w:rFonts w:ascii="Calibri Light" w:hAnsi="Calibri Light" w:cs="Calibri Light"/>
          <w:noProof/>
          <w:color w:val="000000" w:themeColor="text1"/>
          <w:sz w:val="24"/>
          <w:szCs w:val="24"/>
          <w:lang w:val="ro-RO"/>
        </w:rPr>
        <w:t xml:space="preserve"> </w:t>
      </w:r>
      <w:r w:rsidR="00E506EE">
        <w:rPr>
          <w:rFonts w:ascii="Calibri Light" w:hAnsi="Calibri Light" w:cs="Calibri Light"/>
          <w:noProof/>
          <w:color w:val="000000" w:themeColor="text1"/>
          <w:sz w:val="24"/>
          <w:szCs w:val="24"/>
          <w:lang w:val="ro-RO"/>
        </w:rPr>
        <w:t>februarie 2022</w:t>
      </w:r>
    </w:p>
    <w:p w:rsidR="006D2A34" w:rsidRPr="00B525E9" w:rsidRDefault="006D2A34" w:rsidP="006D2A34">
      <w:pPr>
        <w:spacing w:after="0" w:line="240" w:lineRule="auto"/>
        <w:jc w:val="center"/>
        <w:rPr>
          <w:rFonts w:ascii="Calibri Light" w:hAnsi="Calibri Light" w:cs="Calibri Light"/>
          <w:noProof/>
          <w:color w:val="000000" w:themeColor="text1"/>
          <w:sz w:val="24"/>
          <w:szCs w:val="24"/>
          <w:lang w:val="ro-RO"/>
        </w:rPr>
      </w:pPr>
    </w:p>
    <w:p w:rsidR="006D2A34" w:rsidRPr="00BE27FB" w:rsidRDefault="006D2A34" w:rsidP="000466AD">
      <w:pPr>
        <w:tabs>
          <w:tab w:val="left" w:pos="720"/>
        </w:tabs>
        <w:spacing w:after="0" w:line="240" w:lineRule="auto"/>
        <w:jc w:val="center"/>
        <w:rPr>
          <w:rFonts w:ascii="Calibri Light" w:hAnsi="Calibri Light" w:cs="Calibri Light"/>
          <w:b/>
          <w:noProof/>
          <w:color w:val="0D0D0D" w:themeColor="text1" w:themeTint="F2"/>
          <w:sz w:val="24"/>
          <w:szCs w:val="24"/>
          <w:lang w:val="ro-RO"/>
        </w:rPr>
      </w:pPr>
      <w:r w:rsidRPr="00BE27FB">
        <w:rPr>
          <w:rFonts w:ascii="Calibri Light" w:hAnsi="Calibri Light" w:cs="Calibri Light"/>
          <w:b/>
          <w:noProof/>
          <w:color w:val="0D0D0D" w:themeColor="text1" w:themeTint="F2"/>
          <w:sz w:val="24"/>
          <w:szCs w:val="24"/>
          <w:lang w:val="ro-RO"/>
        </w:rPr>
        <w:t xml:space="preserve">cu privire la Raportul auditului conformității asupra procesului bugetar și gestionării patrimoniului public </w:t>
      </w:r>
      <w:r w:rsidR="00E506EE" w:rsidRPr="00BE27FB">
        <w:rPr>
          <w:rFonts w:ascii="Calibri Light" w:hAnsi="Calibri Light" w:cs="Calibri Light"/>
          <w:b/>
          <w:noProof/>
          <w:color w:val="0D0D0D" w:themeColor="text1" w:themeTint="F2"/>
          <w:sz w:val="24"/>
          <w:szCs w:val="24"/>
          <w:lang w:val="ro-RO"/>
        </w:rPr>
        <w:t xml:space="preserve">în anul 2020 </w:t>
      </w:r>
      <w:r w:rsidRPr="00BE27FB">
        <w:rPr>
          <w:rFonts w:ascii="Calibri Light" w:hAnsi="Calibri Light" w:cs="Calibri Light"/>
          <w:b/>
          <w:noProof/>
          <w:color w:val="0D0D0D" w:themeColor="text1" w:themeTint="F2"/>
          <w:sz w:val="24"/>
          <w:szCs w:val="24"/>
          <w:lang w:val="ro-RO"/>
        </w:rPr>
        <w:t xml:space="preserve">la unitatea administrativ-teritorială </w:t>
      </w:r>
      <w:r w:rsidR="00E506EE" w:rsidRPr="00BE27FB">
        <w:rPr>
          <w:rFonts w:ascii="Calibri Light" w:hAnsi="Calibri Light" w:cs="Calibri Light"/>
          <w:b/>
          <w:noProof/>
          <w:color w:val="0D0D0D" w:themeColor="text1" w:themeTint="F2"/>
          <w:sz w:val="24"/>
          <w:szCs w:val="24"/>
          <w:lang w:val="ro-RO"/>
        </w:rPr>
        <w:t xml:space="preserve">raionul Ungheni </w:t>
      </w:r>
      <w:r w:rsidR="00FE7CD3" w:rsidRPr="00BE27FB">
        <w:rPr>
          <w:rFonts w:ascii="Calibri Light" w:hAnsi="Calibri Light" w:cs="Calibri Light"/>
          <w:b/>
          <w:noProof/>
          <w:color w:val="0D0D0D" w:themeColor="text1" w:themeTint="F2"/>
          <w:sz w:val="24"/>
          <w:szCs w:val="24"/>
          <w:lang w:val="ro-RO"/>
        </w:rPr>
        <w:t>(UAT/bugetul de nivelul II)</w:t>
      </w:r>
    </w:p>
    <w:p w:rsidR="006D2A34" w:rsidRPr="00BE27FB" w:rsidRDefault="006D2A34" w:rsidP="000466AD">
      <w:pPr>
        <w:tabs>
          <w:tab w:val="left" w:pos="720"/>
        </w:tabs>
        <w:spacing w:after="0" w:line="240" w:lineRule="auto"/>
        <w:jc w:val="center"/>
        <w:rPr>
          <w:rFonts w:ascii="Calibri Light" w:hAnsi="Calibri Light" w:cs="Calibri Light"/>
          <w:b/>
          <w:noProof/>
          <w:color w:val="0D0D0D" w:themeColor="text1" w:themeTint="F2"/>
          <w:sz w:val="24"/>
          <w:szCs w:val="24"/>
          <w:lang w:val="ro-RO"/>
        </w:rPr>
      </w:pPr>
      <w:r w:rsidRPr="00BE27FB">
        <w:rPr>
          <w:rFonts w:ascii="Calibri Light" w:hAnsi="Calibri Light" w:cs="Calibri Light"/>
          <w:b/>
          <w:noProof/>
          <w:color w:val="0D0D0D" w:themeColor="text1" w:themeTint="F2"/>
          <w:sz w:val="24"/>
          <w:szCs w:val="24"/>
          <w:lang w:val="ro-RO"/>
        </w:rPr>
        <w:t>-----------------------------------------------------------------------------------------------</w:t>
      </w:r>
    </w:p>
    <w:p w:rsidR="006D2A34" w:rsidRPr="00DC795B" w:rsidRDefault="00E506EE" w:rsidP="000466AD">
      <w:pPr>
        <w:tabs>
          <w:tab w:val="left" w:pos="567"/>
        </w:tabs>
        <w:spacing w:after="0" w:line="276" w:lineRule="auto"/>
        <w:ind w:firstLine="709"/>
        <w:jc w:val="both"/>
        <w:rPr>
          <w:rFonts w:asciiTheme="majorHAnsi" w:hAnsiTheme="majorHAnsi" w:cstheme="majorHAnsi"/>
          <w:noProof/>
          <w:color w:val="0D0D0D" w:themeColor="text1" w:themeTint="F2"/>
          <w:sz w:val="24"/>
          <w:szCs w:val="24"/>
          <w:lang w:val="ro-RO"/>
        </w:rPr>
      </w:pPr>
      <w:r w:rsidRPr="00BE27FB">
        <w:rPr>
          <w:rFonts w:asciiTheme="majorHAnsi" w:hAnsiTheme="majorHAnsi" w:cstheme="majorHAnsi"/>
          <w:noProof/>
          <w:color w:val="0D0D0D" w:themeColor="text1" w:themeTint="F2"/>
          <w:sz w:val="24"/>
          <w:szCs w:val="24"/>
        </w:rPr>
        <w:t>Curtea de Conturi, în prezența dlui Ghenadi Mitriuc, preşedinte</w:t>
      </w:r>
      <w:r w:rsidR="007F7CA2">
        <w:rPr>
          <w:rFonts w:asciiTheme="majorHAnsi" w:hAnsiTheme="majorHAnsi" w:cstheme="majorHAnsi"/>
          <w:noProof/>
          <w:color w:val="0D0D0D" w:themeColor="text1" w:themeTint="F2"/>
          <w:sz w:val="24"/>
          <w:szCs w:val="24"/>
        </w:rPr>
        <w:t>le</w:t>
      </w:r>
      <w:r w:rsidRPr="00BE27FB">
        <w:rPr>
          <w:rFonts w:asciiTheme="majorHAnsi" w:hAnsiTheme="majorHAnsi" w:cstheme="majorHAnsi"/>
          <w:noProof/>
          <w:color w:val="0D0D0D" w:themeColor="text1" w:themeTint="F2"/>
          <w:sz w:val="24"/>
          <w:szCs w:val="24"/>
        </w:rPr>
        <w:t xml:space="preserve"> raionului Ungheni; dnei Tatiana Struc, șefa Direcției finanțe</w:t>
      </w:r>
      <w:r w:rsidR="000466AD">
        <w:rPr>
          <w:rFonts w:asciiTheme="majorHAnsi" w:hAnsiTheme="majorHAnsi" w:cstheme="majorHAnsi"/>
          <w:noProof/>
          <w:color w:val="0D0D0D" w:themeColor="text1" w:themeTint="F2"/>
          <w:sz w:val="24"/>
          <w:szCs w:val="24"/>
        </w:rPr>
        <w:t xml:space="preserve">, </w:t>
      </w:r>
      <w:r w:rsidRPr="00BE27FB">
        <w:rPr>
          <w:rFonts w:asciiTheme="majorHAnsi" w:hAnsiTheme="majorHAnsi" w:cstheme="majorHAnsi"/>
          <w:noProof/>
          <w:color w:val="0D0D0D" w:themeColor="text1" w:themeTint="F2"/>
          <w:sz w:val="24"/>
          <w:szCs w:val="24"/>
        </w:rPr>
        <w:t>Consiliul raional Ungheni;</w:t>
      </w:r>
      <w:r w:rsidR="00B00A85">
        <w:rPr>
          <w:rFonts w:asciiTheme="majorHAnsi" w:hAnsiTheme="majorHAnsi" w:cstheme="majorHAnsi"/>
          <w:noProof/>
          <w:color w:val="0D0D0D" w:themeColor="text1" w:themeTint="F2"/>
          <w:sz w:val="24"/>
          <w:szCs w:val="24"/>
        </w:rPr>
        <w:t xml:space="preserve"> dnei </w:t>
      </w:r>
      <w:r w:rsidR="00B00A85" w:rsidRPr="00B00A85">
        <w:rPr>
          <w:rFonts w:asciiTheme="majorHAnsi" w:hAnsiTheme="majorHAnsi" w:cstheme="majorHAnsi"/>
          <w:noProof/>
          <w:color w:val="0D0D0D" w:themeColor="text1" w:themeTint="F2"/>
          <w:sz w:val="24"/>
          <w:szCs w:val="24"/>
        </w:rPr>
        <w:t>Iulia Pancu</w:t>
      </w:r>
      <w:r w:rsidR="00B00A85">
        <w:rPr>
          <w:rFonts w:asciiTheme="majorHAnsi" w:hAnsiTheme="majorHAnsi" w:cstheme="majorHAnsi"/>
          <w:noProof/>
          <w:color w:val="0D0D0D" w:themeColor="text1" w:themeTint="F2"/>
          <w:sz w:val="24"/>
          <w:szCs w:val="24"/>
        </w:rPr>
        <w:t xml:space="preserve">, șefa Direcției educație, </w:t>
      </w:r>
      <w:r w:rsidR="00B00A85" w:rsidRPr="00BE27FB">
        <w:rPr>
          <w:rFonts w:asciiTheme="majorHAnsi" w:hAnsiTheme="majorHAnsi" w:cstheme="majorHAnsi"/>
          <w:noProof/>
          <w:color w:val="0D0D0D" w:themeColor="text1" w:themeTint="F2"/>
          <w:sz w:val="24"/>
          <w:szCs w:val="24"/>
        </w:rPr>
        <w:t>Consiliul raional Ungheni;</w:t>
      </w:r>
      <w:r w:rsidR="00B00A85">
        <w:rPr>
          <w:rFonts w:asciiTheme="majorHAnsi" w:hAnsiTheme="majorHAnsi" w:cstheme="majorHAnsi"/>
          <w:noProof/>
          <w:color w:val="0D0D0D" w:themeColor="text1" w:themeTint="F2"/>
          <w:sz w:val="24"/>
          <w:szCs w:val="24"/>
        </w:rPr>
        <w:t xml:space="preserve"> </w:t>
      </w:r>
      <w:r w:rsidRPr="00BE27FB">
        <w:rPr>
          <w:rFonts w:asciiTheme="majorHAnsi" w:hAnsiTheme="majorHAnsi" w:cstheme="majorHAnsi"/>
          <w:noProof/>
          <w:color w:val="0D0D0D" w:themeColor="text1" w:themeTint="F2"/>
          <w:sz w:val="24"/>
          <w:szCs w:val="24"/>
          <w:lang w:val="ro-RO"/>
        </w:rPr>
        <w:t>dlui Andrei Grițco, șef</w:t>
      </w:r>
      <w:r w:rsidR="007F7CA2">
        <w:rPr>
          <w:rFonts w:asciiTheme="majorHAnsi" w:hAnsiTheme="majorHAnsi" w:cstheme="majorHAnsi"/>
          <w:noProof/>
          <w:color w:val="0D0D0D" w:themeColor="text1" w:themeTint="F2"/>
          <w:sz w:val="24"/>
          <w:szCs w:val="24"/>
          <w:lang w:val="ro-RO"/>
        </w:rPr>
        <w:t>u</w:t>
      </w:r>
      <w:r w:rsidRPr="00BE27FB">
        <w:rPr>
          <w:rFonts w:asciiTheme="majorHAnsi" w:hAnsiTheme="majorHAnsi" w:cstheme="majorHAnsi"/>
          <w:noProof/>
          <w:color w:val="0D0D0D" w:themeColor="text1" w:themeTint="F2"/>
          <w:sz w:val="24"/>
          <w:szCs w:val="24"/>
          <w:lang w:val="ro-RO"/>
        </w:rPr>
        <w:t xml:space="preserve">l Oficiului teritorial Ungheni al Cancelariei de Stat; </w:t>
      </w:r>
      <w:r w:rsidRPr="009203CE">
        <w:rPr>
          <w:rFonts w:asciiTheme="majorHAnsi" w:hAnsiTheme="majorHAnsi" w:cstheme="majorHAnsi"/>
          <w:noProof/>
          <w:color w:val="0D0D0D" w:themeColor="text1" w:themeTint="F2"/>
          <w:sz w:val="24"/>
          <w:szCs w:val="24"/>
          <w:lang w:val="ro-RO"/>
        </w:rPr>
        <w:t>dlui</w:t>
      </w:r>
      <w:r w:rsidR="009203CE" w:rsidRPr="009203CE">
        <w:rPr>
          <w:rFonts w:asciiTheme="majorHAnsi" w:hAnsiTheme="majorHAnsi" w:cstheme="majorHAnsi"/>
          <w:noProof/>
          <w:color w:val="0D0D0D" w:themeColor="text1" w:themeTint="F2"/>
          <w:sz w:val="24"/>
          <w:szCs w:val="24"/>
          <w:lang w:val="ro-RO"/>
        </w:rPr>
        <w:t xml:space="preserve"> </w:t>
      </w:r>
      <w:r w:rsidR="00BA5E41">
        <w:rPr>
          <w:rFonts w:asciiTheme="majorHAnsi" w:hAnsiTheme="majorHAnsi" w:cstheme="majorHAnsi"/>
          <w:noProof/>
          <w:color w:val="0D0D0D" w:themeColor="text1" w:themeTint="F2"/>
          <w:sz w:val="24"/>
          <w:szCs w:val="24"/>
          <w:lang w:val="ro-RO"/>
        </w:rPr>
        <w:t>Petru Babuci</w:t>
      </w:r>
      <w:r w:rsidR="009203CE" w:rsidRPr="009203CE">
        <w:rPr>
          <w:rFonts w:asciiTheme="majorHAnsi" w:hAnsiTheme="majorHAnsi" w:cstheme="majorHAnsi"/>
          <w:noProof/>
          <w:color w:val="0D0D0D" w:themeColor="text1" w:themeTint="F2"/>
          <w:sz w:val="24"/>
          <w:szCs w:val="24"/>
          <w:lang w:val="ro-RO"/>
        </w:rPr>
        <w:t>,</w:t>
      </w:r>
      <w:r w:rsidR="00BA5E41">
        <w:rPr>
          <w:rFonts w:asciiTheme="majorHAnsi" w:hAnsiTheme="majorHAnsi" w:cstheme="majorHAnsi"/>
          <w:noProof/>
          <w:color w:val="0D0D0D" w:themeColor="text1" w:themeTint="F2"/>
          <w:sz w:val="24"/>
          <w:szCs w:val="24"/>
          <w:lang w:val="ro-RO"/>
        </w:rPr>
        <w:t xml:space="preserve"> </w:t>
      </w:r>
      <w:r w:rsidR="00BA5E41" w:rsidRPr="00BA5E41">
        <w:rPr>
          <w:rFonts w:asciiTheme="majorHAnsi" w:hAnsiTheme="majorHAnsi" w:cstheme="majorHAnsi"/>
          <w:noProof/>
          <w:color w:val="0D0D0D" w:themeColor="text1" w:themeTint="F2"/>
          <w:sz w:val="24"/>
          <w:szCs w:val="24"/>
          <w:lang w:val="ro-RO"/>
        </w:rPr>
        <w:t>șef</w:t>
      </w:r>
      <w:r w:rsidR="007F7CA2">
        <w:rPr>
          <w:rFonts w:asciiTheme="majorHAnsi" w:hAnsiTheme="majorHAnsi" w:cstheme="majorHAnsi"/>
          <w:noProof/>
          <w:color w:val="0D0D0D" w:themeColor="text1" w:themeTint="F2"/>
          <w:sz w:val="24"/>
          <w:szCs w:val="24"/>
          <w:lang w:val="ro-RO"/>
        </w:rPr>
        <w:t>ul</w:t>
      </w:r>
      <w:r w:rsidR="00BA5E41" w:rsidRPr="00BA5E41">
        <w:rPr>
          <w:rFonts w:asciiTheme="majorHAnsi" w:hAnsiTheme="majorHAnsi" w:cstheme="majorHAnsi"/>
          <w:noProof/>
          <w:color w:val="0D0D0D" w:themeColor="text1" w:themeTint="F2"/>
          <w:sz w:val="24"/>
          <w:szCs w:val="24"/>
          <w:lang w:val="ro-RO"/>
        </w:rPr>
        <w:t xml:space="preserve"> adjunct al Direcției politici în domeniul controlului financiar public intern</w:t>
      </w:r>
      <w:r w:rsidR="00BA5E41">
        <w:rPr>
          <w:rFonts w:asciiTheme="majorHAnsi" w:hAnsiTheme="majorHAnsi" w:cstheme="majorHAnsi"/>
          <w:noProof/>
          <w:color w:val="0D0D0D" w:themeColor="text1" w:themeTint="F2"/>
          <w:sz w:val="24"/>
          <w:szCs w:val="24"/>
          <w:lang w:val="ro-RO"/>
        </w:rPr>
        <w:t>, Ministerul</w:t>
      </w:r>
      <w:r w:rsidRPr="009203CE">
        <w:rPr>
          <w:rFonts w:asciiTheme="majorHAnsi" w:hAnsiTheme="majorHAnsi" w:cstheme="majorHAnsi"/>
          <w:noProof/>
          <w:color w:val="0D0D0D" w:themeColor="text1" w:themeTint="F2"/>
          <w:sz w:val="24"/>
          <w:szCs w:val="24"/>
          <w:lang w:val="ro-RO"/>
        </w:rPr>
        <w:t xml:space="preserve"> Finanțelor;</w:t>
      </w:r>
      <w:r w:rsidR="004E6C28">
        <w:rPr>
          <w:rFonts w:asciiTheme="majorHAnsi" w:hAnsiTheme="majorHAnsi" w:cstheme="majorHAnsi"/>
          <w:noProof/>
          <w:color w:val="0D0D0D" w:themeColor="text1" w:themeTint="F2"/>
          <w:sz w:val="24"/>
          <w:szCs w:val="24"/>
          <w:lang w:val="ro-RO"/>
        </w:rPr>
        <w:t xml:space="preserve"> dnei </w:t>
      </w:r>
      <w:r w:rsidR="000466AD">
        <w:rPr>
          <w:rFonts w:asciiTheme="majorHAnsi" w:hAnsiTheme="majorHAnsi" w:cstheme="majorHAnsi"/>
          <w:noProof/>
          <w:color w:val="0D0D0D" w:themeColor="text1" w:themeTint="F2"/>
          <w:sz w:val="24"/>
          <w:szCs w:val="24"/>
          <w:lang w:val="ro-RO"/>
        </w:rPr>
        <w:t xml:space="preserve">Ina </w:t>
      </w:r>
      <w:r w:rsidR="004E6C28">
        <w:rPr>
          <w:rFonts w:asciiTheme="majorHAnsi" w:hAnsiTheme="majorHAnsi" w:cstheme="majorHAnsi"/>
          <w:noProof/>
          <w:color w:val="0D0D0D" w:themeColor="text1" w:themeTint="F2"/>
          <w:sz w:val="24"/>
          <w:szCs w:val="24"/>
          <w:lang w:val="ro-RO"/>
        </w:rPr>
        <w:t>Darii</w:t>
      </w:r>
      <w:r w:rsidR="000466AD">
        <w:rPr>
          <w:rFonts w:asciiTheme="majorHAnsi" w:hAnsiTheme="majorHAnsi" w:cstheme="majorHAnsi"/>
          <w:noProof/>
          <w:color w:val="0D0D0D" w:themeColor="text1" w:themeTint="F2"/>
          <w:sz w:val="24"/>
          <w:szCs w:val="24"/>
          <w:lang w:val="ro-RO"/>
        </w:rPr>
        <w:t>,</w:t>
      </w:r>
      <w:r w:rsidRPr="009203CE">
        <w:rPr>
          <w:rFonts w:asciiTheme="majorHAnsi" w:hAnsiTheme="majorHAnsi" w:cstheme="majorHAnsi"/>
          <w:noProof/>
          <w:color w:val="0D0D0D" w:themeColor="text1" w:themeTint="F2"/>
          <w:sz w:val="24"/>
          <w:szCs w:val="24"/>
          <w:lang w:val="ro-RO"/>
        </w:rPr>
        <w:t xml:space="preserve"> </w:t>
      </w:r>
      <w:r w:rsidR="000466AD" w:rsidRPr="000466AD">
        <w:rPr>
          <w:rFonts w:asciiTheme="majorHAnsi" w:hAnsiTheme="majorHAnsi" w:cstheme="majorHAnsi"/>
          <w:noProof/>
          <w:color w:val="0D0D0D" w:themeColor="text1" w:themeTint="F2"/>
          <w:sz w:val="24"/>
          <w:szCs w:val="24"/>
          <w:lang w:val="ro-RO"/>
        </w:rPr>
        <w:t>șefa Secției metodologie,</w:t>
      </w:r>
      <w:r w:rsidR="000466AD">
        <w:rPr>
          <w:rFonts w:asciiTheme="majorHAnsi" w:hAnsiTheme="majorHAnsi" w:cstheme="majorHAnsi"/>
          <w:noProof/>
          <w:color w:val="0D0D0D" w:themeColor="text1" w:themeTint="F2"/>
          <w:sz w:val="24"/>
          <w:szCs w:val="24"/>
          <w:lang w:val="ro-RO"/>
        </w:rPr>
        <w:t xml:space="preserve"> Ministerul</w:t>
      </w:r>
      <w:r w:rsidR="000466AD" w:rsidRPr="009203CE">
        <w:rPr>
          <w:rFonts w:asciiTheme="majorHAnsi" w:hAnsiTheme="majorHAnsi" w:cstheme="majorHAnsi"/>
          <w:noProof/>
          <w:color w:val="0D0D0D" w:themeColor="text1" w:themeTint="F2"/>
          <w:sz w:val="24"/>
          <w:szCs w:val="24"/>
          <w:lang w:val="ro-RO"/>
        </w:rPr>
        <w:t xml:space="preserve"> Finanțelor</w:t>
      </w:r>
      <w:r w:rsidR="000466AD">
        <w:rPr>
          <w:rFonts w:asciiTheme="majorHAnsi" w:hAnsiTheme="majorHAnsi" w:cstheme="majorHAnsi"/>
          <w:noProof/>
          <w:color w:val="0D0D0D" w:themeColor="text1" w:themeTint="F2"/>
          <w:sz w:val="24"/>
          <w:szCs w:val="24"/>
          <w:lang w:val="ro-RO"/>
        </w:rPr>
        <w:t xml:space="preserve">; dlui </w:t>
      </w:r>
      <w:r w:rsidR="000466AD" w:rsidRPr="000466AD">
        <w:rPr>
          <w:rFonts w:asciiTheme="majorHAnsi" w:hAnsiTheme="majorHAnsi" w:cstheme="majorHAnsi"/>
          <w:noProof/>
          <w:color w:val="0D0D0D" w:themeColor="text1" w:themeTint="F2"/>
          <w:sz w:val="24"/>
          <w:szCs w:val="24"/>
          <w:lang w:val="ro-RO"/>
        </w:rPr>
        <w:t>Vladimir Vornic</w:t>
      </w:r>
      <w:r w:rsidR="000466AD">
        <w:rPr>
          <w:rFonts w:asciiTheme="majorHAnsi" w:hAnsiTheme="majorHAnsi" w:cstheme="majorHAnsi"/>
          <w:noProof/>
          <w:color w:val="0D0D0D" w:themeColor="text1" w:themeTint="F2"/>
          <w:sz w:val="24"/>
          <w:szCs w:val="24"/>
          <w:lang w:val="ro-RO"/>
        </w:rPr>
        <w:t>,</w:t>
      </w:r>
      <w:r w:rsidR="000466AD" w:rsidRPr="000466AD">
        <w:rPr>
          <w:rFonts w:asciiTheme="majorHAnsi" w:hAnsiTheme="majorHAnsi" w:cstheme="majorHAnsi"/>
          <w:noProof/>
          <w:color w:val="0D0D0D" w:themeColor="text1" w:themeTint="F2"/>
          <w:sz w:val="24"/>
          <w:szCs w:val="24"/>
          <w:lang w:val="ro-RO"/>
        </w:rPr>
        <w:t xml:space="preserve"> director adjunct, Agenția Achiziții Publice</w:t>
      </w:r>
      <w:r w:rsidRPr="009203CE">
        <w:rPr>
          <w:rFonts w:asciiTheme="majorHAnsi" w:hAnsiTheme="majorHAnsi" w:cstheme="majorHAnsi"/>
          <w:noProof/>
          <w:color w:val="0D0D0D" w:themeColor="text1" w:themeTint="F2"/>
          <w:sz w:val="24"/>
          <w:szCs w:val="24"/>
          <w:lang w:val="ro-RO"/>
        </w:rPr>
        <w:t>,</w:t>
      </w:r>
      <w:r w:rsidRPr="00BE27FB">
        <w:rPr>
          <w:rFonts w:asciiTheme="majorHAnsi" w:hAnsiTheme="majorHAnsi" w:cstheme="majorHAnsi"/>
          <w:noProof/>
          <w:color w:val="0D0D0D" w:themeColor="text1" w:themeTint="F2"/>
          <w:sz w:val="24"/>
          <w:szCs w:val="24"/>
          <w:lang w:val="ro-RO"/>
        </w:rPr>
        <w:t xml:space="preserve"> </w:t>
      </w:r>
      <w:r w:rsidRPr="00BE27FB">
        <w:rPr>
          <w:rFonts w:asciiTheme="majorHAnsi" w:hAnsiTheme="majorHAnsi" w:cstheme="majorHAnsi"/>
          <w:noProof/>
          <w:color w:val="0D0D0D" w:themeColor="text1" w:themeTint="F2"/>
          <w:sz w:val="24"/>
          <w:szCs w:val="24"/>
        </w:rPr>
        <w:t>precum și a altor persoane responsabile, în cadrul ședinței video, în legătură cu situația epidemiologică în Republica Moldova</w:t>
      </w:r>
      <w:r w:rsidRPr="00BE27FB">
        <w:rPr>
          <w:rStyle w:val="FootnoteReference"/>
          <w:rFonts w:asciiTheme="majorHAnsi" w:hAnsiTheme="majorHAnsi" w:cstheme="majorHAnsi"/>
          <w:color w:val="0D0D0D" w:themeColor="text1" w:themeTint="F2"/>
          <w:sz w:val="24"/>
          <w:szCs w:val="24"/>
          <w:shd w:val="clear" w:color="auto" w:fill="FFFFFF" w:themeFill="background1"/>
        </w:rPr>
        <w:footnoteReference w:id="1"/>
      </w:r>
      <w:r w:rsidRPr="00BE27FB">
        <w:rPr>
          <w:rFonts w:asciiTheme="majorHAnsi" w:hAnsiTheme="majorHAnsi" w:cstheme="majorHAnsi"/>
          <w:noProof/>
          <w:color w:val="0D0D0D" w:themeColor="text1" w:themeTint="F2"/>
          <w:sz w:val="24"/>
          <w:szCs w:val="24"/>
        </w:rPr>
        <w:t>,</w:t>
      </w:r>
      <w:r w:rsidRPr="00BE27FB">
        <w:rPr>
          <w:rFonts w:asciiTheme="majorHAnsi" w:hAnsiTheme="majorHAnsi" w:cstheme="majorHAnsi"/>
          <w:color w:val="0D0D0D" w:themeColor="text1" w:themeTint="F2"/>
          <w:sz w:val="24"/>
          <w:szCs w:val="24"/>
        </w:rPr>
        <w:t xml:space="preserve"> </w:t>
      </w:r>
      <w:r w:rsidRPr="00BE27FB">
        <w:rPr>
          <w:rFonts w:asciiTheme="majorHAnsi" w:hAnsiTheme="majorHAnsi" w:cstheme="majorHAnsi"/>
          <w:noProof/>
          <w:color w:val="0D0D0D" w:themeColor="text1" w:themeTint="F2"/>
          <w:sz w:val="24"/>
          <w:szCs w:val="24"/>
        </w:rPr>
        <w:t>călăuzindu-se de art.3 alin.(1) și art.5 alin.(1) lit.a) din Legea privind organizarea și funcționarea Curții de Conturi a Republicii Moldova</w:t>
      </w:r>
      <w:r w:rsidRPr="00BE27FB">
        <w:rPr>
          <w:rStyle w:val="FootnoteReference"/>
          <w:rFonts w:asciiTheme="majorHAnsi" w:hAnsiTheme="majorHAnsi" w:cstheme="majorHAnsi"/>
          <w:noProof/>
          <w:color w:val="0D0D0D" w:themeColor="text1" w:themeTint="F2"/>
          <w:sz w:val="24"/>
          <w:szCs w:val="24"/>
        </w:rPr>
        <w:footnoteReference w:id="2"/>
      </w:r>
      <w:r w:rsidRPr="00BE27FB">
        <w:rPr>
          <w:rFonts w:asciiTheme="majorHAnsi" w:hAnsiTheme="majorHAnsi" w:cstheme="majorHAnsi"/>
          <w:noProof/>
          <w:color w:val="0D0D0D" w:themeColor="text1" w:themeTint="F2"/>
          <w:sz w:val="24"/>
          <w:szCs w:val="24"/>
        </w:rPr>
        <w:t>, a examinat Raportul auditului conformității asupra procesului bugetar și gestionării patrimoniului public în anul 2020 la unitatea administrativ-teritorială raionul Ungheni</w:t>
      </w:r>
      <w:r w:rsidR="00FE7CD3" w:rsidRPr="00BE27FB">
        <w:rPr>
          <w:rFonts w:asciiTheme="majorHAnsi" w:hAnsiTheme="majorHAnsi" w:cstheme="majorHAnsi"/>
          <w:noProof/>
          <w:color w:val="0D0D0D" w:themeColor="text1" w:themeTint="F2"/>
          <w:sz w:val="24"/>
          <w:szCs w:val="24"/>
        </w:rPr>
        <w:t xml:space="preserve"> (UAT/bugetul de nivelul II)</w:t>
      </w:r>
      <w:r w:rsidRPr="00BE27FB">
        <w:rPr>
          <w:rFonts w:asciiTheme="majorHAnsi" w:hAnsiTheme="majorHAnsi" w:cstheme="majorHAnsi"/>
          <w:noProof/>
          <w:color w:val="0D0D0D" w:themeColor="text1" w:themeTint="F2"/>
          <w:sz w:val="24"/>
          <w:szCs w:val="24"/>
        </w:rPr>
        <w:t>.</w:t>
      </w:r>
    </w:p>
    <w:p w:rsidR="00683581" w:rsidRPr="00BE27FB" w:rsidRDefault="006D2A34" w:rsidP="00683581">
      <w:pPr>
        <w:spacing w:after="0" w:line="276" w:lineRule="auto"/>
        <w:ind w:firstLine="706"/>
        <w:jc w:val="both"/>
        <w:rPr>
          <w:rFonts w:ascii="Calibri Light" w:hAnsi="Calibri Light" w:cs="Calibri Light"/>
          <w:bCs/>
          <w:iCs/>
          <w:noProof/>
          <w:color w:val="0D0D0D" w:themeColor="text1" w:themeTint="F2"/>
          <w:sz w:val="24"/>
          <w:szCs w:val="24"/>
          <w:lang w:val="ro-RO" w:eastAsia="ru-RU"/>
        </w:rPr>
      </w:pPr>
      <w:r w:rsidRPr="00BE27FB">
        <w:rPr>
          <w:rFonts w:ascii="Calibri Light" w:hAnsi="Calibri Light" w:cs="Calibri Light"/>
          <w:noProof/>
          <w:color w:val="0D0D0D" w:themeColor="text1" w:themeTint="F2"/>
          <w:sz w:val="24"/>
          <w:szCs w:val="24"/>
          <w:lang w:val="ro-RO"/>
        </w:rPr>
        <w:t xml:space="preserve">Misiunea de audit </w:t>
      </w:r>
      <w:r w:rsidR="00683581">
        <w:rPr>
          <w:rFonts w:ascii="Calibri Light" w:hAnsi="Calibri Light" w:cs="Calibri Light"/>
          <w:noProof/>
          <w:color w:val="0D0D0D" w:themeColor="text1" w:themeTint="F2"/>
          <w:sz w:val="24"/>
          <w:szCs w:val="24"/>
          <w:lang w:val="ro-RO"/>
        </w:rPr>
        <w:t xml:space="preserve">public extern </w:t>
      </w:r>
      <w:r w:rsidRPr="00BE27FB">
        <w:rPr>
          <w:rFonts w:ascii="Calibri Light" w:hAnsi="Calibri Light" w:cs="Calibri Light"/>
          <w:noProof/>
          <w:color w:val="0D0D0D" w:themeColor="text1" w:themeTint="F2"/>
          <w:sz w:val="24"/>
          <w:szCs w:val="24"/>
          <w:lang w:val="ro-RO"/>
        </w:rPr>
        <w:t xml:space="preserve">a fost </w:t>
      </w:r>
      <w:r w:rsidR="001A0D51">
        <w:rPr>
          <w:rFonts w:ascii="Calibri Light" w:hAnsi="Calibri Light" w:cs="Calibri Light"/>
          <w:noProof/>
          <w:color w:val="0D0D0D" w:themeColor="text1" w:themeTint="F2"/>
          <w:sz w:val="24"/>
          <w:szCs w:val="24"/>
          <w:lang w:val="ro-RO"/>
        </w:rPr>
        <w:t>realizată</w:t>
      </w:r>
      <w:r w:rsidRPr="00BE27FB">
        <w:rPr>
          <w:rFonts w:ascii="Calibri Light" w:hAnsi="Calibri Light" w:cs="Calibri Light"/>
          <w:noProof/>
          <w:color w:val="0D0D0D" w:themeColor="text1" w:themeTint="F2"/>
          <w:sz w:val="24"/>
          <w:szCs w:val="24"/>
          <w:lang w:val="ro-RO"/>
        </w:rPr>
        <w:t xml:space="preserve"> în conformitate cu Program</w:t>
      </w:r>
      <w:r w:rsidR="00C42F9F" w:rsidRPr="00BE27FB">
        <w:rPr>
          <w:rFonts w:ascii="Calibri Light" w:hAnsi="Calibri Light" w:cs="Calibri Light"/>
          <w:noProof/>
          <w:color w:val="0D0D0D" w:themeColor="text1" w:themeTint="F2"/>
          <w:sz w:val="24"/>
          <w:szCs w:val="24"/>
          <w:lang w:val="ro-RO"/>
        </w:rPr>
        <w:t>ele</w:t>
      </w:r>
      <w:r w:rsidRPr="00BE27FB">
        <w:rPr>
          <w:rFonts w:ascii="Calibri Light" w:hAnsi="Calibri Light" w:cs="Calibri Light"/>
          <w:noProof/>
          <w:color w:val="0D0D0D" w:themeColor="text1" w:themeTint="F2"/>
          <w:sz w:val="24"/>
          <w:szCs w:val="24"/>
          <w:lang w:val="ro-RO"/>
        </w:rPr>
        <w:t xml:space="preserve"> activității de audit a Curții de Conturi</w:t>
      </w:r>
      <w:r w:rsidR="00E506EE" w:rsidRPr="00BE27FB">
        <w:rPr>
          <w:rFonts w:asciiTheme="majorHAnsi" w:hAnsiTheme="majorHAnsi" w:cstheme="majorHAnsi"/>
          <w:color w:val="0D0D0D" w:themeColor="text1" w:themeTint="F2"/>
          <w:sz w:val="24"/>
          <w:szCs w:val="24"/>
          <w:vertAlign w:val="superscript"/>
        </w:rPr>
        <w:footnoteReference w:id="3"/>
      </w:r>
      <w:r w:rsidR="00A64786" w:rsidRPr="00BE27FB">
        <w:rPr>
          <w:rFonts w:ascii="Calibri Light" w:hAnsi="Calibri Light" w:cs="Calibri Light"/>
          <w:noProof/>
          <w:color w:val="0D0D0D" w:themeColor="text1" w:themeTint="F2"/>
          <w:sz w:val="24"/>
          <w:szCs w:val="24"/>
          <w:lang w:val="ro-RO"/>
        </w:rPr>
        <w:t xml:space="preserve"> </w:t>
      </w:r>
      <w:r w:rsidRPr="00BE27FB">
        <w:rPr>
          <w:rFonts w:ascii="Calibri Light" w:hAnsi="Calibri Light" w:cs="Calibri Light"/>
          <w:noProof/>
          <w:color w:val="0D0D0D" w:themeColor="text1" w:themeTint="F2"/>
          <w:sz w:val="24"/>
          <w:szCs w:val="24"/>
          <w:lang w:val="ro-RO"/>
        </w:rPr>
        <w:t xml:space="preserve">și </w:t>
      </w:r>
      <w:r w:rsidR="00683581" w:rsidRPr="00BE27FB">
        <w:rPr>
          <w:rFonts w:ascii="Calibri Light" w:hAnsi="Calibri Light" w:cs="Calibri Light"/>
          <w:noProof/>
          <w:color w:val="0D0D0D" w:themeColor="text1" w:themeTint="F2"/>
          <w:sz w:val="24"/>
          <w:szCs w:val="24"/>
          <w:lang w:val="ro-RO"/>
        </w:rPr>
        <w:t>a avut drept scop</w:t>
      </w:r>
      <w:r w:rsidR="00683581" w:rsidRPr="00BE27FB">
        <w:rPr>
          <w:rFonts w:ascii="Calibri Light" w:hAnsi="Calibri Light" w:cs="Calibri Light"/>
          <w:noProof/>
          <w:color w:val="0D0D0D" w:themeColor="text1" w:themeTint="F2"/>
          <w:sz w:val="24"/>
          <w:szCs w:val="24"/>
          <w:lang w:val="ro-RO" w:eastAsia="ru-RU"/>
        </w:rPr>
        <w:t xml:space="preserve"> </w:t>
      </w:r>
      <w:r w:rsidR="00683581" w:rsidRPr="00BE27FB">
        <w:rPr>
          <w:rFonts w:ascii="Calibri Light" w:hAnsi="Calibri Light" w:cs="Calibri Light"/>
          <w:bCs/>
          <w:iCs/>
          <w:noProof/>
          <w:color w:val="0D0D0D" w:themeColor="text1" w:themeTint="F2"/>
          <w:sz w:val="24"/>
          <w:szCs w:val="24"/>
          <w:lang w:val="ro-RO" w:eastAsia="ru-RU"/>
        </w:rPr>
        <w:t xml:space="preserve">evaluarea conformității </w:t>
      </w:r>
      <w:r w:rsidR="00683581">
        <w:rPr>
          <w:rFonts w:ascii="Calibri Light" w:hAnsi="Calibri Light" w:cs="Calibri Light"/>
          <w:bCs/>
          <w:iCs/>
          <w:noProof/>
          <w:color w:val="0D0D0D" w:themeColor="text1" w:themeTint="F2"/>
          <w:sz w:val="24"/>
          <w:szCs w:val="24"/>
          <w:lang w:val="ro-RO" w:eastAsia="ru-RU"/>
        </w:rPr>
        <w:t xml:space="preserve">procesului bugetar, </w:t>
      </w:r>
      <w:r w:rsidR="00683581" w:rsidRPr="00BE27FB">
        <w:rPr>
          <w:rFonts w:ascii="Calibri Light" w:hAnsi="Calibri Light" w:cs="Calibri Light"/>
          <w:bCs/>
          <w:iCs/>
          <w:noProof/>
          <w:color w:val="0D0D0D" w:themeColor="text1" w:themeTint="F2"/>
          <w:sz w:val="24"/>
          <w:szCs w:val="24"/>
          <w:lang w:val="ro-RO" w:eastAsia="ru-RU"/>
        </w:rPr>
        <w:t xml:space="preserve">gestionării </w:t>
      </w:r>
      <w:r w:rsidR="00683581" w:rsidRPr="006B0F23">
        <w:rPr>
          <w:rFonts w:ascii="Calibri Light" w:hAnsi="Calibri Light" w:cs="Calibri Light"/>
          <w:bCs/>
          <w:iCs/>
          <w:noProof/>
          <w:color w:val="0D0D0D" w:themeColor="text1" w:themeTint="F2"/>
          <w:sz w:val="24"/>
          <w:szCs w:val="24"/>
          <w:lang w:val="ro-RO" w:eastAsia="ru-RU"/>
        </w:rPr>
        <w:t>resurselor financiare publice și a</w:t>
      </w:r>
      <w:r w:rsidR="00683581" w:rsidRPr="00BE27FB">
        <w:rPr>
          <w:rFonts w:ascii="Calibri Light" w:hAnsi="Calibri Light" w:cs="Calibri Light"/>
          <w:bCs/>
          <w:iCs/>
          <w:noProof/>
          <w:color w:val="0D0D0D" w:themeColor="text1" w:themeTint="F2"/>
          <w:sz w:val="24"/>
          <w:szCs w:val="24"/>
          <w:lang w:val="ro-RO" w:eastAsia="ru-RU"/>
        </w:rPr>
        <w:t xml:space="preserve"> patrimoniului public </w:t>
      </w:r>
      <w:r w:rsidR="00683581">
        <w:rPr>
          <w:rFonts w:ascii="Calibri Light" w:hAnsi="Calibri Light" w:cs="Calibri Light"/>
          <w:bCs/>
          <w:iCs/>
          <w:noProof/>
          <w:color w:val="0D0D0D" w:themeColor="text1" w:themeTint="F2"/>
          <w:sz w:val="24"/>
          <w:szCs w:val="24"/>
          <w:lang w:val="ro-RO" w:eastAsia="ru-RU"/>
        </w:rPr>
        <w:t xml:space="preserve">la </w:t>
      </w:r>
      <w:r w:rsidR="00683581" w:rsidRPr="00CF11DC">
        <w:rPr>
          <w:rFonts w:ascii="Calibri Light" w:hAnsi="Calibri Light" w:cs="Calibri Light"/>
          <w:bCs/>
          <w:iCs/>
          <w:noProof/>
          <w:color w:val="0D0D0D" w:themeColor="text1" w:themeTint="F2"/>
          <w:sz w:val="24"/>
          <w:szCs w:val="24"/>
          <w:lang w:val="ro-RO" w:eastAsia="ru-RU"/>
        </w:rPr>
        <w:t>unitatea administrativ-teritorială raionul Ungheni (UAT/bugetul de nivelul II)</w:t>
      </w:r>
      <w:r w:rsidR="00683581" w:rsidRPr="00BE27FB">
        <w:rPr>
          <w:rFonts w:ascii="Calibri Light" w:hAnsi="Calibri Light" w:cs="Calibri Light"/>
          <w:bCs/>
          <w:iCs/>
          <w:noProof/>
          <w:color w:val="0D0D0D" w:themeColor="text1" w:themeTint="F2"/>
          <w:sz w:val="24"/>
          <w:szCs w:val="24"/>
          <w:lang w:val="ro-RO" w:eastAsia="ru-RU"/>
        </w:rPr>
        <w:t>, în raport cu criteriile regulamentare de ordin legal</w:t>
      </w:r>
      <w:r w:rsidR="00683581" w:rsidRPr="00BE27FB">
        <w:rPr>
          <w:rFonts w:ascii="Calibri Light" w:hAnsi="Calibri Light" w:cs="Calibri Light"/>
          <w:noProof/>
          <w:color w:val="0D0D0D" w:themeColor="text1" w:themeTint="F2"/>
          <w:sz w:val="24"/>
          <w:szCs w:val="24"/>
          <w:lang w:val="ro-RO" w:eastAsia="ru-RU"/>
        </w:rPr>
        <w:t>.</w:t>
      </w:r>
    </w:p>
    <w:p w:rsidR="006D2A34" w:rsidRPr="00BE27FB" w:rsidRDefault="00683581" w:rsidP="00FC0A14">
      <w:pPr>
        <w:tabs>
          <w:tab w:val="left" w:pos="709"/>
        </w:tabs>
        <w:spacing w:after="0" w:line="276" w:lineRule="auto"/>
        <w:ind w:firstLine="709"/>
        <w:jc w:val="both"/>
        <w:rPr>
          <w:rFonts w:ascii="Calibri Light" w:hAnsi="Calibri Light" w:cs="Calibri Light"/>
          <w:noProof/>
          <w:color w:val="0D0D0D" w:themeColor="text1" w:themeTint="F2"/>
          <w:sz w:val="24"/>
          <w:szCs w:val="24"/>
          <w:lang w:val="ro-RO" w:eastAsia="ru-RU"/>
        </w:rPr>
      </w:pPr>
      <w:r w:rsidRPr="00C70764">
        <w:rPr>
          <w:rFonts w:asciiTheme="majorHAnsi" w:hAnsiTheme="majorHAnsi" w:cstheme="majorHAnsi"/>
          <w:noProof/>
          <w:color w:val="0D0D0D" w:themeColor="text1" w:themeTint="F2"/>
          <w:sz w:val="24"/>
          <w:szCs w:val="24"/>
          <w:lang w:eastAsia="ru-RU"/>
        </w:rPr>
        <w:t>Auditul public extern a fost planificat și s-</w:t>
      </w:r>
      <w:r>
        <w:rPr>
          <w:rFonts w:asciiTheme="majorHAnsi" w:hAnsiTheme="majorHAnsi" w:cstheme="majorHAnsi"/>
          <w:noProof/>
          <w:color w:val="0D0D0D" w:themeColor="text1" w:themeTint="F2"/>
          <w:sz w:val="24"/>
          <w:szCs w:val="24"/>
          <w:lang w:eastAsia="ru-RU"/>
        </w:rPr>
        <w:t xml:space="preserve">a desfășurat în conformitate </w:t>
      </w:r>
      <w:r w:rsidR="006D2A34" w:rsidRPr="00BE27FB">
        <w:rPr>
          <w:rFonts w:ascii="Calibri Light" w:hAnsi="Calibri Light" w:cs="Calibri Light"/>
          <w:noProof/>
          <w:color w:val="0D0D0D" w:themeColor="text1" w:themeTint="F2"/>
          <w:sz w:val="24"/>
          <w:szCs w:val="24"/>
          <w:lang w:val="ro-RO"/>
        </w:rPr>
        <w:t>cu Cadrul Declarațiilor Profesionale ale INTOSAI</w:t>
      </w:r>
      <w:r w:rsidR="007F7CA2">
        <w:rPr>
          <w:rFonts w:ascii="Calibri Light" w:hAnsi="Calibri Light" w:cs="Calibri Light"/>
          <w:noProof/>
          <w:color w:val="0D0D0D" w:themeColor="text1" w:themeTint="F2"/>
          <w:sz w:val="24"/>
          <w:szCs w:val="24"/>
          <w:lang w:val="ro-RO"/>
        </w:rPr>
        <w:t>,</w:t>
      </w:r>
      <w:r w:rsidR="006D2A34" w:rsidRPr="00BE27FB">
        <w:rPr>
          <w:rFonts w:ascii="Calibri Light" w:hAnsi="Calibri Light" w:cs="Calibri Light"/>
          <w:noProof/>
          <w:color w:val="0D0D0D" w:themeColor="text1" w:themeTint="F2"/>
          <w:sz w:val="24"/>
          <w:szCs w:val="24"/>
          <w:lang w:val="ro-RO"/>
        </w:rPr>
        <w:t xml:space="preserve"> pus în aplicare de Curtea de Conturi</w:t>
      </w:r>
      <w:r w:rsidR="006D2A34" w:rsidRPr="00BE27FB">
        <w:rPr>
          <w:rStyle w:val="FootnoteReference"/>
          <w:rFonts w:ascii="Calibri Light" w:hAnsi="Calibri Light" w:cs="Calibri Light"/>
          <w:noProof/>
          <w:color w:val="0D0D0D" w:themeColor="text1" w:themeTint="F2"/>
          <w:sz w:val="24"/>
          <w:szCs w:val="24"/>
          <w:lang w:val="ro-RO"/>
        </w:rPr>
        <w:footnoteReference w:id="4"/>
      </w:r>
      <w:r w:rsidR="006D2A34" w:rsidRPr="00BE27FB">
        <w:rPr>
          <w:rFonts w:ascii="Calibri Light" w:hAnsi="Calibri Light" w:cs="Calibri Light"/>
          <w:noProof/>
          <w:color w:val="0D0D0D" w:themeColor="text1" w:themeTint="F2"/>
          <w:sz w:val="24"/>
          <w:szCs w:val="24"/>
          <w:lang w:val="ro-RO"/>
        </w:rPr>
        <w:t>.</w:t>
      </w:r>
    </w:p>
    <w:p w:rsidR="0024686D" w:rsidRPr="00BE27FB" w:rsidRDefault="0024686D" w:rsidP="00FC0A14">
      <w:pPr>
        <w:spacing w:after="120" w:line="276" w:lineRule="auto"/>
        <w:ind w:firstLine="706"/>
        <w:jc w:val="both"/>
        <w:rPr>
          <w:rFonts w:ascii="Calibri Light" w:hAnsi="Calibri Light" w:cs="Calibri Light"/>
          <w:noProof/>
          <w:color w:val="0D0D0D" w:themeColor="text1" w:themeTint="F2"/>
          <w:sz w:val="24"/>
          <w:szCs w:val="24"/>
          <w:lang w:val="ro-RO" w:eastAsia="ru-RU"/>
        </w:rPr>
      </w:pPr>
      <w:r w:rsidRPr="00BE27FB">
        <w:rPr>
          <w:rFonts w:ascii="Calibri Light" w:hAnsi="Calibri Light" w:cs="Calibri Light"/>
          <w:noProof/>
          <w:color w:val="0D0D0D" w:themeColor="text1" w:themeTint="F2"/>
          <w:sz w:val="24"/>
          <w:szCs w:val="24"/>
          <w:lang w:val="ro-RO" w:eastAsia="ru-RU"/>
        </w:rPr>
        <w:t xml:space="preserve">Examinând Raportul de audit, </w:t>
      </w:r>
      <w:r w:rsidR="004F7C63" w:rsidRPr="00BE27FB">
        <w:rPr>
          <w:rFonts w:ascii="Calibri Light" w:hAnsi="Calibri Light" w:cs="Calibri Light"/>
          <w:noProof/>
          <w:color w:val="0D0D0D" w:themeColor="text1" w:themeTint="F2"/>
          <w:sz w:val="24"/>
          <w:szCs w:val="24"/>
          <w:lang w:val="ro-RO" w:eastAsia="ru-RU"/>
        </w:rPr>
        <w:t xml:space="preserve">precum și explicațiile persoanelor cu funcții de răspundere prezente la ședința publică, </w:t>
      </w:r>
      <w:r w:rsidRPr="00BE27FB">
        <w:rPr>
          <w:rFonts w:ascii="Calibri Light" w:hAnsi="Calibri Light" w:cs="Calibri Light"/>
          <w:noProof/>
          <w:color w:val="0D0D0D" w:themeColor="text1" w:themeTint="F2"/>
          <w:sz w:val="24"/>
          <w:szCs w:val="24"/>
          <w:lang w:val="ro-RO" w:eastAsia="ru-RU"/>
        </w:rPr>
        <w:t>Curtea de Conturi</w:t>
      </w:r>
    </w:p>
    <w:p w:rsidR="006D2A34" w:rsidRPr="00BE27FB" w:rsidRDefault="006D2A34" w:rsidP="006D2A34">
      <w:pPr>
        <w:spacing w:after="120" w:line="276" w:lineRule="auto"/>
        <w:jc w:val="center"/>
        <w:rPr>
          <w:rFonts w:ascii="Calibri Light" w:hAnsi="Calibri Light" w:cs="Calibri Light"/>
          <w:b/>
          <w:bCs/>
          <w:noProof/>
          <w:color w:val="0D0D0D" w:themeColor="text1" w:themeTint="F2"/>
          <w:sz w:val="24"/>
          <w:szCs w:val="24"/>
          <w:lang w:val="ro-RO" w:eastAsia="ru-RU"/>
        </w:rPr>
      </w:pPr>
      <w:r w:rsidRPr="00BE27FB">
        <w:rPr>
          <w:rFonts w:ascii="Calibri Light" w:hAnsi="Calibri Light" w:cs="Calibri Light"/>
          <w:b/>
          <w:bCs/>
          <w:noProof/>
          <w:color w:val="0D0D0D" w:themeColor="text1" w:themeTint="F2"/>
          <w:sz w:val="24"/>
          <w:szCs w:val="24"/>
          <w:lang w:val="ro-RO" w:eastAsia="ru-RU"/>
        </w:rPr>
        <w:t>A CONSTATAT:</w:t>
      </w:r>
    </w:p>
    <w:p w:rsidR="005E7AA0" w:rsidRDefault="007D4A4B" w:rsidP="005E7AA0">
      <w:pPr>
        <w:autoSpaceDE w:val="0"/>
        <w:autoSpaceDN w:val="0"/>
        <w:adjustRightInd w:val="0"/>
        <w:spacing w:after="0" w:line="276" w:lineRule="auto"/>
        <w:ind w:firstLine="706"/>
        <w:jc w:val="both"/>
        <w:rPr>
          <w:rFonts w:ascii="Calibri Light" w:hAnsi="Calibri Light" w:cs="Calibri Light"/>
          <w:color w:val="0D0D0D" w:themeColor="text1" w:themeTint="F2"/>
          <w:sz w:val="24"/>
          <w:szCs w:val="24"/>
          <w:lang w:val="en-US"/>
        </w:rPr>
      </w:pPr>
      <w:r>
        <w:rPr>
          <w:rFonts w:ascii="Calibri Light" w:hAnsi="Calibri Light" w:cs="Calibri Light"/>
          <w:color w:val="0D0D0D" w:themeColor="text1" w:themeTint="F2"/>
          <w:sz w:val="24"/>
          <w:szCs w:val="24"/>
          <w:lang w:val="ro-RO"/>
        </w:rPr>
        <w:t>M</w:t>
      </w:r>
      <w:proofErr w:type="spellStart"/>
      <w:r w:rsidR="005E7AA0" w:rsidRPr="00BE27FB">
        <w:rPr>
          <w:rFonts w:ascii="Calibri Light" w:hAnsi="Calibri Light" w:cs="Calibri Light"/>
          <w:color w:val="0D0D0D" w:themeColor="text1" w:themeTint="F2"/>
          <w:sz w:val="24"/>
          <w:szCs w:val="24"/>
        </w:rPr>
        <w:t>isiunea</w:t>
      </w:r>
      <w:proofErr w:type="spellEnd"/>
      <w:r w:rsidR="005E7AA0" w:rsidRPr="00BE27FB">
        <w:rPr>
          <w:rFonts w:ascii="Calibri Light" w:hAnsi="Calibri Light" w:cs="Calibri Light"/>
          <w:color w:val="0D0D0D" w:themeColor="text1" w:themeTint="F2"/>
          <w:sz w:val="24"/>
          <w:szCs w:val="24"/>
        </w:rPr>
        <w:t xml:space="preserve"> de audit a relevat că procesul bugetar este afectat de unele deficiențe aferente procedurilor aplicate la formarea veniturilor, executarea cheltuielilor și administrarea patrimoniului public, cauzate de </w:t>
      </w:r>
      <w:r w:rsidR="00FE7CD3" w:rsidRPr="00BE27FB">
        <w:rPr>
          <w:rFonts w:ascii="Calibri Light" w:hAnsi="Calibri Light" w:cs="Calibri Light"/>
          <w:color w:val="0D0D0D" w:themeColor="text1" w:themeTint="F2"/>
          <w:sz w:val="24"/>
          <w:szCs w:val="24"/>
        </w:rPr>
        <w:t>neimplementarea</w:t>
      </w:r>
      <w:r w:rsidR="005E7AA0" w:rsidRPr="00BE27FB">
        <w:rPr>
          <w:rFonts w:ascii="Calibri Light" w:hAnsi="Calibri Light" w:cs="Calibri Light"/>
          <w:color w:val="0D0D0D" w:themeColor="text1" w:themeTint="F2"/>
          <w:sz w:val="24"/>
          <w:szCs w:val="24"/>
        </w:rPr>
        <w:t xml:space="preserve"> </w:t>
      </w:r>
      <w:r w:rsidR="00FE7CD3" w:rsidRPr="00BE27FB">
        <w:rPr>
          <w:rFonts w:ascii="Calibri Light" w:hAnsi="Calibri Light" w:cs="Calibri Light"/>
          <w:noProof/>
          <w:color w:val="0D0D0D" w:themeColor="text1" w:themeTint="F2"/>
          <w:sz w:val="24"/>
          <w:szCs w:val="24"/>
          <w:lang w:val="ro-RO" w:eastAsia="ru-RU"/>
        </w:rPr>
        <w:t xml:space="preserve">sistemului de control intern managerial și </w:t>
      </w:r>
      <w:r w:rsidR="005E7AA0" w:rsidRPr="00BE27FB">
        <w:rPr>
          <w:rFonts w:ascii="Calibri Light" w:hAnsi="Calibri Light" w:cs="Calibri Light"/>
          <w:color w:val="0D0D0D" w:themeColor="text1" w:themeTint="F2"/>
          <w:sz w:val="24"/>
          <w:szCs w:val="24"/>
        </w:rPr>
        <w:t xml:space="preserve">de </w:t>
      </w:r>
      <w:r w:rsidR="00223566" w:rsidRPr="002A1910">
        <w:rPr>
          <w:rFonts w:ascii="Calibri Light" w:hAnsi="Calibri Light" w:cs="Calibri Light"/>
          <w:color w:val="0D0D0D" w:themeColor="text1" w:themeTint="F2"/>
          <w:sz w:val="24"/>
          <w:szCs w:val="24"/>
        </w:rPr>
        <w:t>i</w:t>
      </w:r>
      <w:r w:rsidR="005E7AA0" w:rsidRPr="00761303">
        <w:rPr>
          <w:rFonts w:ascii="Calibri Light" w:hAnsi="Calibri Light" w:cs="Calibri Light"/>
          <w:color w:val="0D0D0D" w:themeColor="text1" w:themeTint="F2"/>
          <w:sz w:val="24"/>
          <w:szCs w:val="24"/>
        </w:rPr>
        <w:t>res</w:t>
      </w:r>
      <w:r w:rsidR="005E7AA0" w:rsidRPr="00BE27FB">
        <w:rPr>
          <w:rFonts w:ascii="Calibri Light" w:hAnsi="Calibri Light" w:cs="Calibri Light"/>
          <w:color w:val="0D0D0D" w:themeColor="text1" w:themeTint="F2"/>
          <w:sz w:val="24"/>
          <w:szCs w:val="24"/>
        </w:rPr>
        <w:t>ponsabilitatea factorilor decizionali ai UAT r</w:t>
      </w:r>
      <w:r w:rsidR="002633D7">
        <w:rPr>
          <w:rFonts w:ascii="Calibri Light" w:hAnsi="Calibri Light" w:cs="Calibri Light"/>
          <w:color w:val="0D0D0D" w:themeColor="text1" w:themeTint="F2"/>
          <w:sz w:val="24"/>
          <w:szCs w:val="24"/>
        </w:rPr>
        <w:t>aio</w:t>
      </w:r>
      <w:r w:rsidR="005E7AA0" w:rsidRPr="00BE27FB">
        <w:rPr>
          <w:rFonts w:ascii="Calibri Light" w:hAnsi="Calibri Light" w:cs="Calibri Light"/>
          <w:color w:val="0D0D0D" w:themeColor="text1" w:themeTint="F2"/>
          <w:sz w:val="24"/>
          <w:szCs w:val="24"/>
        </w:rPr>
        <w:t>nul Ungheni</w:t>
      </w:r>
      <w:r w:rsidR="00FE7CD3" w:rsidRPr="00BE27FB">
        <w:rPr>
          <w:rFonts w:ascii="Calibri Light" w:hAnsi="Calibri Light" w:cs="Calibri Light"/>
          <w:color w:val="0D0D0D" w:themeColor="text1" w:themeTint="F2"/>
          <w:sz w:val="24"/>
          <w:szCs w:val="24"/>
        </w:rPr>
        <w:t xml:space="preserve"> de nivelul II</w:t>
      </w:r>
      <w:r w:rsidR="005E7AA0" w:rsidRPr="00BE27FB">
        <w:rPr>
          <w:rFonts w:ascii="Calibri Light" w:hAnsi="Calibri Light" w:cs="Calibri Light"/>
          <w:color w:val="0D0D0D" w:themeColor="text1" w:themeTint="F2"/>
          <w:sz w:val="24"/>
          <w:szCs w:val="24"/>
          <w:lang w:val="en-US"/>
        </w:rPr>
        <w:t>.</w:t>
      </w:r>
    </w:p>
    <w:p w:rsidR="006D2A34" w:rsidRDefault="006D2A34" w:rsidP="006D2A34">
      <w:pPr>
        <w:spacing w:before="120" w:after="0"/>
        <w:ind w:firstLine="709"/>
        <w:jc w:val="both"/>
        <w:rPr>
          <w:rFonts w:ascii="Calibri Light" w:hAnsi="Calibri Light" w:cs="Calibri Light"/>
          <w:noProof/>
          <w:color w:val="0D0D0D" w:themeColor="text1" w:themeTint="F2"/>
          <w:sz w:val="24"/>
          <w:szCs w:val="24"/>
          <w:lang w:val="ro-RO"/>
        </w:rPr>
      </w:pPr>
      <w:r w:rsidRPr="00BE27FB">
        <w:rPr>
          <w:rFonts w:ascii="Calibri Light" w:hAnsi="Calibri Light" w:cs="Calibri Light"/>
          <w:noProof/>
          <w:color w:val="0D0D0D" w:themeColor="text1" w:themeTint="F2"/>
          <w:sz w:val="24"/>
          <w:szCs w:val="24"/>
          <w:lang w:val="ro-RO"/>
        </w:rPr>
        <w:lastRenderedPageBreak/>
        <w:t xml:space="preserve">Reieșind din cele expuse, în temeiul </w:t>
      </w:r>
      <w:r w:rsidRPr="00BE27FB">
        <w:rPr>
          <w:rFonts w:ascii="Calibri Light" w:hAnsi="Calibri Light" w:cs="Calibri Light"/>
          <w:noProof/>
          <w:color w:val="0D0D0D" w:themeColor="text1" w:themeTint="F2"/>
          <w:sz w:val="24"/>
          <w:szCs w:val="24"/>
          <w:lang w:val="ro-RO" w:eastAsia="ru-RU"/>
        </w:rPr>
        <w:t xml:space="preserve">art.14 alin.(2), art.15 lit.d) și art.37 alin.(2) din Legea nr.260 din 07.12.2017, </w:t>
      </w:r>
      <w:r w:rsidRPr="00BE27FB">
        <w:rPr>
          <w:rFonts w:ascii="Calibri Light" w:hAnsi="Calibri Light" w:cs="Calibri Light"/>
          <w:noProof/>
          <w:color w:val="0D0D0D" w:themeColor="text1" w:themeTint="F2"/>
          <w:sz w:val="24"/>
          <w:szCs w:val="24"/>
          <w:lang w:val="ro-RO"/>
        </w:rPr>
        <w:t xml:space="preserve">Curtea de Conturi </w:t>
      </w:r>
    </w:p>
    <w:p w:rsidR="00972842" w:rsidRDefault="00972842" w:rsidP="006D2A34">
      <w:pPr>
        <w:spacing w:after="0" w:line="276" w:lineRule="auto"/>
        <w:jc w:val="center"/>
        <w:rPr>
          <w:rFonts w:ascii="Calibri Light" w:hAnsi="Calibri Light" w:cs="Calibri Light"/>
          <w:b/>
          <w:bCs/>
          <w:noProof/>
          <w:color w:val="0D0D0D" w:themeColor="text1" w:themeTint="F2"/>
          <w:sz w:val="24"/>
          <w:szCs w:val="24"/>
          <w:lang w:val="ro-RO" w:eastAsia="ru-RU"/>
        </w:rPr>
      </w:pPr>
    </w:p>
    <w:p w:rsidR="006D2A34" w:rsidRPr="00BE27FB" w:rsidRDefault="006D2A34" w:rsidP="006D2A34">
      <w:pPr>
        <w:spacing w:after="0" w:line="276" w:lineRule="auto"/>
        <w:jc w:val="center"/>
        <w:rPr>
          <w:rFonts w:ascii="Calibri Light" w:hAnsi="Calibri Light" w:cs="Calibri Light"/>
          <w:b/>
          <w:bCs/>
          <w:noProof/>
          <w:color w:val="0D0D0D" w:themeColor="text1" w:themeTint="F2"/>
          <w:sz w:val="24"/>
          <w:szCs w:val="24"/>
          <w:lang w:val="ro-RO"/>
        </w:rPr>
      </w:pPr>
      <w:r w:rsidRPr="00BE27FB">
        <w:rPr>
          <w:rFonts w:ascii="Calibri Light" w:hAnsi="Calibri Light" w:cs="Calibri Light"/>
          <w:b/>
          <w:bCs/>
          <w:noProof/>
          <w:color w:val="0D0D0D" w:themeColor="text1" w:themeTint="F2"/>
          <w:sz w:val="24"/>
          <w:szCs w:val="24"/>
          <w:lang w:val="ro-RO" w:eastAsia="ru-RU"/>
        </w:rPr>
        <w:t>HOTĂRĂȘTE:</w:t>
      </w:r>
    </w:p>
    <w:p w:rsidR="006D2A34" w:rsidRPr="00BE27FB" w:rsidRDefault="006D2A34" w:rsidP="006D2A34">
      <w:pPr>
        <w:tabs>
          <w:tab w:val="left" w:pos="0"/>
        </w:tabs>
        <w:spacing w:after="0" w:line="276" w:lineRule="auto"/>
        <w:ind w:firstLine="709"/>
        <w:jc w:val="both"/>
        <w:rPr>
          <w:rFonts w:ascii="Calibri Light" w:hAnsi="Calibri Light" w:cs="Calibri Light"/>
          <w:bCs/>
          <w:noProof/>
          <w:color w:val="0D0D0D" w:themeColor="text1" w:themeTint="F2"/>
          <w:sz w:val="24"/>
          <w:szCs w:val="24"/>
          <w:lang w:val="ro-RO"/>
        </w:rPr>
      </w:pPr>
      <w:r w:rsidRPr="00BE27FB">
        <w:rPr>
          <w:rFonts w:ascii="Calibri Light" w:hAnsi="Calibri Light" w:cs="Calibri Light"/>
          <w:b/>
          <w:bCs/>
          <w:noProof/>
          <w:color w:val="0D0D0D" w:themeColor="text1" w:themeTint="F2"/>
          <w:sz w:val="24"/>
          <w:szCs w:val="24"/>
          <w:lang w:val="ro-RO"/>
        </w:rPr>
        <w:t>1.</w:t>
      </w:r>
      <w:r w:rsidRPr="00BE27FB">
        <w:rPr>
          <w:rFonts w:ascii="Calibri Light" w:hAnsi="Calibri Light" w:cs="Calibri Light"/>
          <w:bCs/>
          <w:noProof/>
          <w:color w:val="0D0D0D" w:themeColor="text1" w:themeTint="F2"/>
          <w:sz w:val="24"/>
          <w:szCs w:val="24"/>
          <w:lang w:val="ro-RO"/>
        </w:rPr>
        <w:t xml:space="preserve"> Se aprobă </w:t>
      </w:r>
      <w:r w:rsidR="00FE7CD3" w:rsidRPr="00BE27FB">
        <w:rPr>
          <w:rFonts w:ascii="Calibri Light" w:hAnsi="Calibri Light" w:cs="Calibri Light"/>
          <w:bCs/>
          <w:noProof/>
          <w:color w:val="0D0D0D" w:themeColor="text1" w:themeTint="F2"/>
          <w:sz w:val="24"/>
          <w:szCs w:val="24"/>
          <w:lang w:val="ro-RO"/>
        </w:rPr>
        <w:t>Raportul auditului conformității asupra procesului bugetar și gestionării patrimoniului public în anul 2020 la unitatea administrativ-teritorială raionul Ungheni (UAT/bugetul de nivelul II)</w:t>
      </w:r>
      <w:r w:rsidRPr="00BE27FB">
        <w:rPr>
          <w:rFonts w:ascii="Calibri Light" w:hAnsi="Calibri Light" w:cs="Calibri Light"/>
          <w:noProof/>
          <w:color w:val="0D0D0D" w:themeColor="text1" w:themeTint="F2"/>
          <w:sz w:val="24"/>
          <w:szCs w:val="24"/>
          <w:lang w:val="ro-RO"/>
        </w:rPr>
        <w:t>, anexat la prezenta Hotărâre.</w:t>
      </w:r>
    </w:p>
    <w:p w:rsidR="006D2A34" w:rsidRPr="00BE27FB" w:rsidRDefault="006D2A34" w:rsidP="006D2A34">
      <w:pPr>
        <w:spacing w:after="0" w:line="276" w:lineRule="auto"/>
        <w:ind w:firstLine="709"/>
        <w:jc w:val="both"/>
        <w:rPr>
          <w:rFonts w:ascii="Calibri Light" w:hAnsi="Calibri Light" w:cs="Calibri Light"/>
          <w:bCs/>
          <w:noProof/>
          <w:color w:val="0D0D0D" w:themeColor="text1" w:themeTint="F2"/>
          <w:sz w:val="24"/>
          <w:szCs w:val="24"/>
          <w:lang w:val="ro-RO"/>
        </w:rPr>
      </w:pPr>
      <w:r w:rsidRPr="00BE27FB">
        <w:rPr>
          <w:rFonts w:ascii="Calibri Light" w:hAnsi="Calibri Light" w:cs="Calibri Light"/>
          <w:b/>
          <w:bCs/>
          <w:noProof/>
          <w:color w:val="0D0D0D" w:themeColor="text1" w:themeTint="F2"/>
          <w:sz w:val="24"/>
          <w:szCs w:val="24"/>
          <w:lang w:val="ro-RO"/>
        </w:rPr>
        <w:t>2.</w:t>
      </w:r>
      <w:r w:rsidRPr="00BE27FB">
        <w:rPr>
          <w:rFonts w:ascii="Calibri Light" w:hAnsi="Calibri Light" w:cs="Calibri Light"/>
          <w:bCs/>
          <w:noProof/>
          <w:color w:val="0D0D0D" w:themeColor="text1" w:themeTint="F2"/>
          <w:sz w:val="24"/>
          <w:szCs w:val="24"/>
          <w:lang w:val="ro-RO"/>
        </w:rPr>
        <w:t xml:space="preserve"> Prezenta Hotărâre și Raportul de audit se remit:</w:t>
      </w:r>
    </w:p>
    <w:p w:rsidR="00303386" w:rsidRDefault="006D2A34" w:rsidP="006D2A34">
      <w:pPr>
        <w:spacing w:after="0" w:line="276" w:lineRule="auto"/>
        <w:ind w:firstLine="709"/>
        <w:jc w:val="both"/>
        <w:rPr>
          <w:rFonts w:ascii="Calibri Light" w:eastAsia="Times New Roman" w:hAnsi="Calibri Light" w:cs="Calibri Light"/>
          <w:color w:val="0D0D0D" w:themeColor="text1" w:themeTint="F2"/>
          <w:sz w:val="24"/>
          <w:szCs w:val="24"/>
          <w:lang w:val="ro-RO"/>
        </w:rPr>
      </w:pPr>
      <w:r w:rsidRPr="00BE27FB">
        <w:rPr>
          <w:rFonts w:ascii="Calibri Light" w:eastAsia="Times New Roman" w:hAnsi="Calibri Light" w:cs="Calibri Light"/>
          <w:b/>
          <w:bCs/>
          <w:color w:val="0D0D0D" w:themeColor="text1" w:themeTint="F2"/>
          <w:sz w:val="24"/>
          <w:szCs w:val="24"/>
          <w:lang w:val="ro-RO"/>
        </w:rPr>
        <w:t xml:space="preserve">2.1. </w:t>
      </w:r>
      <w:r w:rsidR="00303386" w:rsidRPr="00BE27FB">
        <w:rPr>
          <w:rFonts w:ascii="Calibri Light" w:eastAsia="Times New Roman" w:hAnsi="Calibri Light" w:cs="Calibri Light"/>
          <w:b/>
          <w:bCs/>
          <w:color w:val="0D0D0D" w:themeColor="text1" w:themeTint="F2"/>
          <w:sz w:val="24"/>
          <w:szCs w:val="24"/>
          <w:lang w:val="ro-RO"/>
        </w:rPr>
        <w:t>Parlamentului Republicii Moldova</w:t>
      </w:r>
      <w:r w:rsidR="00303386" w:rsidRPr="00BE27FB">
        <w:rPr>
          <w:rFonts w:ascii="Calibri Light" w:eastAsia="Times New Roman" w:hAnsi="Calibri Light" w:cs="Calibri Light"/>
          <w:bCs/>
          <w:color w:val="0D0D0D" w:themeColor="text1" w:themeTint="F2"/>
          <w:sz w:val="24"/>
          <w:szCs w:val="24"/>
          <w:lang w:val="ro-RO"/>
        </w:rPr>
        <w:t>,</w:t>
      </w:r>
      <w:r w:rsidR="00303386" w:rsidRPr="00BE27FB">
        <w:rPr>
          <w:rFonts w:ascii="Calibri Light" w:eastAsia="Times New Roman" w:hAnsi="Calibri Light" w:cs="Calibri Light"/>
          <w:color w:val="0D0D0D" w:themeColor="text1" w:themeTint="F2"/>
          <w:sz w:val="24"/>
          <w:szCs w:val="24"/>
          <w:lang w:val="ro-RO"/>
        </w:rPr>
        <w:t xml:space="preserve"> pentru informare și examinare, după caz, în cadrul Comisiei parlamentare de control al finanțelor publice;</w:t>
      </w:r>
    </w:p>
    <w:p w:rsidR="00303386" w:rsidRDefault="00303386" w:rsidP="006D2A34">
      <w:pPr>
        <w:spacing w:after="0" w:line="276" w:lineRule="auto"/>
        <w:ind w:firstLine="709"/>
        <w:jc w:val="both"/>
        <w:rPr>
          <w:rFonts w:ascii="Calibri Light" w:eastAsia="Times New Roman" w:hAnsi="Calibri Light" w:cs="Calibri Light"/>
          <w:color w:val="0D0D0D" w:themeColor="text1" w:themeTint="F2"/>
          <w:sz w:val="24"/>
          <w:szCs w:val="24"/>
          <w:lang w:val="ro-RO"/>
        </w:rPr>
      </w:pPr>
      <w:r w:rsidRPr="00BE27FB">
        <w:rPr>
          <w:rFonts w:ascii="Calibri Light" w:eastAsia="Times New Roman" w:hAnsi="Calibri Light" w:cs="Calibri Light"/>
          <w:b/>
          <w:bCs/>
          <w:color w:val="0D0D0D" w:themeColor="text1" w:themeTint="F2"/>
          <w:sz w:val="24"/>
          <w:szCs w:val="24"/>
          <w:lang w:val="ro-RO"/>
        </w:rPr>
        <w:t>2.2. Președintelui Republicii Moldova</w:t>
      </w:r>
      <w:r w:rsidRPr="00BE27FB">
        <w:rPr>
          <w:rFonts w:ascii="Calibri Light" w:eastAsia="Times New Roman" w:hAnsi="Calibri Light" w:cs="Calibri Light"/>
          <w:color w:val="0D0D0D" w:themeColor="text1" w:themeTint="F2"/>
          <w:sz w:val="24"/>
          <w:szCs w:val="24"/>
          <w:lang w:val="ro-RO"/>
        </w:rPr>
        <w:t>, pentru informare;</w:t>
      </w:r>
    </w:p>
    <w:p w:rsidR="006D2A34" w:rsidRPr="00BE27FB" w:rsidRDefault="00303386" w:rsidP="00303386">
      <w:pPr>
        <w:spacing w:after="0" w:line="276" w:lineRule="auto"/>
        <w:ind w:firstLine="709"/>
        <w:jc w:val="both"/>
        <w:rPr>
          <w:rFonts w:ascii="Calibri Light" w:eastAsia="Times New Roman" w:hAnsi="Calibri Light" w:cs="Calibri Light"/>
          <w:color w:val="0D0D0D" w:themeColor="text1" w:themeTint="F2"/>
          <w:sz w:val="24"/>
          <w:szCs w:val="24"/>
          <w:lang w:val="ro-RO"/>
        </w:rPr>
      </w:pPr>
      <w:r w:rsidRPr="00BE27FB">
        <w:rPr>
          <w:rFonts w:ascii="Calibri Light" w:eastAsia="Times New Roman" w:hAnsi="Calibri Light" w:cs="Calibri Light"/>
          <w:b/>
          <w:bCs/>
          <w:color w:val="0D0D0D" w:themeColor="text1" w:themeTint="F2"/>
          <w:sz w:val="24"/>
          <w:szCs w:val="24"/>
          <w:lang w:val="ro-RO"/>
        </w:rPr>
        <w:t xml:space="preserve">2.3. </w:t>
      </w:r>
      <w:r w:rsidR="006D2A34" w:rsidRPr="00BE27FB">
        <w:rPr>
          <w:rFonts w:ascii="Calibri Light" w:eastAsia="Times New Roman" w:hAnsi="Calibri Light" w:cs="Calibri Light"/>
          <w:b/>
          <w:bCs/>
          <w:color w:val="0D0D0D" w:themeColor="text1" w:themeTint="F2"/>
          <w:sz w:val="24"/>
          <w:szCs w:val="24"/>
          <w:lang w:val="ro-RO"/>
        </w:rPr>
        <w:t>Guvernului Republicii Moldova</w:t>
      </w:r>
      <w:r w:rsidR="006D2A34" w:rsidRPr="00BE27FB">
        <w:rPr>
          <w:rFonts w:ascii="Calibri Light" w:eastAsia="Times New Roman" w:hAnsi="Calibri Light" w:cs="Calibri Light"/>
          <w:bCs/>
          <w:color w:val="0D0D0D" w:themeColor="text1" w:themeTint="F2"/>
          <w:sz w:val="24"/>
          <w:szCs w:val="24"/>
          <w:lang w:val="ro-RO"/>
        </w:rPr>
        <w:t>,</w:t>
      </w:r>
      <w:r w:rsidR="006D2A34" w:rsidRPr="00BE27FB">
        <w:rPr>
          <w:rFonts w:ascii="Calibri Light" w:eastAsia="Times New Roman" w:hAnsi="Calibri Light" w:cs="Calibri Light"/>
          <w:color w:val="0D0D0D" w:themeColor="text1" w:themeTint="F2"/>
          <w:sz w:val="24"/>
          <w:szCs w:val="24"/>
          <w:lang w:val="ro-RO"/>
        </w:rPr>
        <w:t xml:space="preserve"> pentru informare și luare de atitudine în vederea monitorizării asigurării implementării recomandărilor de audit;</w:t>
      </w:r>
    </w:p>
    <w:p w:rsidR="006D2A34" w:rsidRPr="00BE27FB" w:rsidRDefault="006D2A34" w:rsidP="006D2A34">
      <w:pPr>
        <w:spacing w:after="0" w:line="276" w:lineRule="auto"/>
        <w:ind w:firstLine="709"/>
        <w:jc w:val="both"/>
        <w:rPr>
          <w:rFonts w:ascii="Calibri Light" w:eastAsia="Times New Roman" w:hAnsi="Calibri Light" w:cs="Calibri Light"/>
          <w:color w:val="0D0D0D" w:themeColor="text1" w:themeTint="F2"/>
          <w:sz w:val="24"/>
          <w:szCs w:val="24"/>
          <w:lang w:val="ro-RO"/>
        </w:rPr>
      </w:pPr>
      <w:r w:rsidRPr="00BE27FB">
        <w:rPr>
          <w:rFonts w:ascii="Calibri Light" w:hAnsi="Calibri Light" w:cs="Calibri Light"/>
          <w:b/>
          <w:color w:val="0D0D0D" w:themeColor="text1" w:themeTint="F2"/>
          <w:sz w:val="24"/>
          <w:szCs w:val="24"/>
          <w:lang w:val="ro-RO" w:eastAsia="ru-RU"/>
        </w:rPr>
        <w:t xml:space="preserve">2.4. </w:t>
      </w:r>
      <w:r w:rsidRPr="00BE27FB">
        <w:rPr>
          <w:rFonts w:ascii="Calibri Light" w:eastAsia="Times New Roman" w:hAnsi="Calibri Light" w:cs="Calibri Light"/>
          <w:b/>
          <w:bCs/>
          <w:color w:val="0D0D0D" w:themeColor="text1" w:themeTint="F2"/>
          <w:sz w:val="24"/>
          <w:szCs w:val="24"/>
          <w:lang w:val="ro-RO" w:eastAsia="ru-RU"/>
        </w:rPr>
        <w:t>Ministerului Finanțelor</w:t>
      </w:r>
      <w:r w:rsidRPr="00BE27FB">
        <w:rPr>
          <w:rFonts w:ascii="Calibri Light" w:eastAsia="Times New Roman" w:hAnsi="Calibri Light" w:cs="Calibri Light"/>
          <w:bCs/>
          <w:color w:val="0D0D0D" w:themeColor="text1" w:themeTint="F2"/>
          <w:sz w:val="24"/>
          <w:szCs w:val="24"/>
          <w:lang w:val="ro-RO" w:eastAsia="ru-RU"/>
        </w:rPr>
        <w:t>,</w:t>
      </w:r>
      <w:r w:rsidRPr="00BE27FB">
        <w:rPr>
          <w:rFonts w:ascii="Calibri Light" w:eastAsia="Times New Roman" w:hAnsi="Calibri Light" w:cs="Calibri Light"/>
          <w:b/>
          <w:bCs/>
          <w:color w:val="0D0D0D" w:themeColor="text1" w:themeTint="F2"/>
          <w:sz w:val="24"/>
          <w:szCs w:val="24"/>
          <w:lang w:val="ro-RO" w:eastAsia="ru-RU"/>
        </w:rPr>
        <w:t xml:space="preserve"> </w:t>
      </w:r>
      <w:r w:rsidRPr="00BE27FB">
        <w:rPr>
          <w:rFonts w:ascii="Calibri Light" w:hAnsi="Calibri Light" w:cs="Calibri Light"/>
          <w:color w:val="0D0D0D" w:themeColor="text1" w:themeTint="F2"/>
          <w:sz w:val="24"/>
          <w:szCs w:val="24"/>
          <w:lang w:val="ro-RO" w:eastAsia="ru-RU"/>
        </w:rPr>
        <w:t>pentru informare</w:t>
      </w:r>
      <w:r w:rsidRPr="00BE27FB">
        <w:rPr>
          <w:rFonts w:ascii="Calibri Light" w:eastAsia="Times New Roman" w:hAnsi="Calibri Light" w:cs="Calibri Light"/>
          <w:color w:val="0D0D0D" w:themeColor="text1" w:themeTint="F2"/>
          <w:sz w:val="24"/>
          <w:szCs w:val="24"/>
          <w:lang w:val="ro-RO"/>
        </w:rPr>
        <w:t>;</w:t>
      </w:r>
    </w:p>
    <w:p w:rsidR="006D2A34" w:rsidRPr="003F78C2" w:rsidRDefault="006D2A34" w:rsidP="006D2A34">
      <w:pPr>
        <w:spacing w:after="0" w:line="276" w:lineRule="auto"/>
        <w:ind w:firstLine="709"/>
        <w:jc w:val="both"/>
        <w:rPr>
          <w:rFonts w:ascii="Calibri Light" w:hAnsi="Calibri Light" w:cs="Calibri Light"/>
          <w:sz w:val="24"/>
          <w:szCs w:val="24"/>
          <w:lang w:val="ro-RO" w:eastAsia="ru-RU"/>
        </w:rPr>
      </w:pPr>
      <w:r w:rsidRPr="003F78C2">
        <w:rPr>
          <w:rFonts w:ascii="Calibri Light" w:hAnsi="Calibri Light" w:cs="Calibri Light"/>
          <w:b/>
          <w:sz w:val="24"/>
          <w:szCs w:val="24"/>
          <w:lang w:val="ro-RO" w:eastAsia="ru-RU"/>
        </w:rPr>
        <w:t>2.</w:t>
      </w:r>
      <w:r w:rsidR="000466AD">
        <w:rPr>
          <w:rFonts w:ascii="Calibri Light" w:hAnsi="Calibri Light" w:cs="Calibri Light"/>
          <w:b/>
          <w:sz w:val="24"/>
          <w:szCs w:val="24"/>
          <w:lang w:val="ro-RO" w:eastAsia="ru-RU"/>
        </w:rPr>
        <w:t>5</w:t>
      </w:r>
      <w:r w:rsidRPr="003F78C2">
        <w:rPr>
          <w:rFonts w:ascii="Calibri Light" w:hAnsi="Calibri Light" w:cs="Calibri Light"/>
          <w:b/>
          <w:sz w:val="24"/>
          <w:szCs w:val="24"/>
          <w:lang w:val="ro-RO" w:eastAsia="ru-RU"/>
        </w:rPr>
        <w:t xml:space="preserve">. </w:t>
      </w:r>
      <w:r w:rsidR="00E254B6" w:rsidRPr="003F78C2">
        <w:rPr>
          <w:rFonts w:ascii="Calibri Light" w:hAnsi="Calibri Light" w:cs="Calibri Light"/>
          <w:b/>
          <w:noProof/>
          <w:sz w:val="24"/>
          <w:szCs w:val="24"/>
          <w:lang w:val="ro-RO"/>
        </w:rPr>
        <w:t>Oficiului teritorial Ungheni al Cancelariei de Stat</w:t>
      </w:r>
      <w:r w:rsidR="00E254B6" w:rsidRPr="003F78C2">
        <w:rPr>
          <w:rFonts w:ascii="Calibri Light" w:hAnsi="Calibri Light" w:cs="Calibri Light"/>
          <w:sz w:val="24"/>
          <w:szCs w:val="24"/>
          <w:lang w:val="ro-RO" w:eastAsia="ru-RU"/>
        </w:rPr>
        <w:t>, pentru informare;</w:t>
      </w:r>
    </w:p>
    <w:p w:rsidR="006D2A34" w:rsidRPr="00BE27FB" w:rsidRDefault="006D2A34" w:rsidP="006D2A34">
      <w:pPr>
        <w:tabs>
          <w:tab w:val="left" w:pos="851"/>
        </w:tabs>
        <w:spacing w:after="0" w:line="276" w:lineRule="auto"/>
        <w:ind w:firstLine="709"/>
        <w:contextualSpacing/>
        <w:jc w:val="both"/>
        <w:rPr>
          <w:rFonts w:ascii="Calibri Light" w:hAnsi="Calibri Light" w:cs="Calibri Light"/>
          <w:noProof/>
          <w:color w:val="0D0D0D" w:themeColor="text1" w:themeTint="F2"/>
          <w:sz w:val="24"/>
          <w:szCs w:val="24"/>
          <w:lang w:val="ro-RO" w:eastAsia="ru-RU"/>
        </w:rPr>
      </w:pPr>
      <w:r w:rsidRPr="00BE27FB">
        <w:rPr>
          <w:rFonts w:ascii="Calibri Light" w:hAnsi="Calibri Light" w:cs="Calibri Light"/>
          <w:b/>
          <w:noProof/>
          <w:color w:val="0D0D0D" w:themeColor="text1" w:themeTint="F2"/>
          <w:sz w:val="24"/>
          <w:szCs w:val="24"/>
          <w:lang w:val="ro-RO" w:eastAsia="ru-RU"/>
        </w:rPr>
        <w:t>2.</w:t>
      </w:r>
      <w:r w:rsidR="000466AD">
        <w:rPr>
          <w:rFonts w:ascii="Calibri Light" w:hAnsi="Calibri Light" w:cs="Calibri Light"/>
          <w:b/>
          <w:noProof/>
          <w:color w:val="0D0D0D" w:themeColor="text1" w:themeTint="F2"/>
          <w:sz w:val="24"/>
          <w:szCs w:val="24"/>
          <w:lang w:val="ro-RO" w:eastAsia="ru-RU"/>
        </w:rPr>
        <w:t>6</w:t>
      </w:r>
      <w:r w:rsidRPr="00BE27FB">
        <w:rPr>
          <w:rFonts w:ascii="Calibri Light" w:hAnsi="Calibri Light" w:cs="Calibri Light"/>
          <w:b/>
          <w:noProof/>
          <w:color w:val="0D0D0D" w:themeColor="text1" w:themeTint="F2"/>
          <w:sz w:val="24"/>
          <w:szCs w:val="24"/>
          <w:lang w:val="ro-RO" w:eastAsia="ru-RU"/>
        </w:rPr>
        <w:t xml:space="preserve">. </w:t>
      </w:r>
      <w:r w:rsidR="003D392E" w:rsidRPr="00BE27FB">
        <w:rPr>
          <w:rFonts w:ascii="Calibri Light" w:hAnsi="Calibri Light" w:cs="Calibri Light"/>
          <w:b/>
          <w:noProof/>
          <w:color w:val="0D0D0D" w:themeColor="text1" w:themeTint="F2"/>
          <w:sz w:val="24"/>
          <w:szCs w:val="24"/>
          <w:lang w:eastAsia="ru-RU"/>
        </w:rPr>
        <w:t xml:space="preserve">Consiliului </w:t>
      </w:r>
      <w:r w:rsidR="00B24A5B">
        <w:rPr>
          <w:rFonts w:ascii="Calibri Light" w:hAnsi="Calibri Light" w:cs="Calibri Light"/>
          <w:b/>
          <w:noProof/>
          <w:color w:val="0D0D0D" w:themeColor="text1" w:themeTint="F2"/>
          <w:sz w:val="24"/>
          <w:szCs w:val="24"/>
          <w:lang w:eastAsia="ru-RU"/>
        </w:rPr>
        <w:t xml:space="preserve">raional </w:t>
      </w:r>
      <w:r w:rsidR="003D392E" w:rsidRPr="00BE27FB">
        <w:rPr>
          <w:rFonts w:ascii="Calibri Light" w:hAnsi="Calibri Light" w:cs="Calibri Light"/>
          <w:b/>
          <w:noProof/>
          <w:color w:val="0D0D0D" w:themeColor="text1" w:themeTint="F2"/>
          <w:sz w:val="24"/>
          <w:szCs w:val="24"/>
          <w:lang w:eastAsia="ru-RU"/>
        </w:rPr>
        <w:t>și președintelui raionului Ungheni</w:t>
      </w:r>
      <w:r w:rsidRPr="00BE27FB">
        <w:rPr>
          <w:rFonts w:ascii="Calibri Light" w:hAnsi="Calibri Light" w:cs="Calibri Light"/>
          <w:noProof/>
          <w:color w:val="0D0D0D" w:themeColor="text1" w:themeTint="F2"/>
          <w:sz w:val="24"/>
          <w:szCs w:val="24"/>
          <w:lang w:val="ro-RO" w:eastAsia="ru-RU"/>
        </w:rPr>
        <w:t>, pentru:</w:t>
      </w:r>
    </w:p>
    <w:p w:rsidR="006D2A34" w:rsidRPr="00BE27FB" w:rsidRDefault="006D2A34" w:rsidP="00EF2856">
      <w:pPr>
        <w:tabs>
          <w:tab w:val="left" w:pos="900"/>
        </w:tabs>
        <w:spacing w:after="0" w:line="276" w:lineRule="auto"/>
        <w:ind w:firstLine="709"/>
        <w:contextualSpacing/>
        <w:jc w:val="both"/>
        <w:rPr>
          <w:rFonts w:ascii="Calibri Light" w:hAnsi="Calibri Light" w:cs="Calibri Light"/>
          <w:noProof/>
          <w:color w:val="0D0D0D" w:themeColor="text1" w:themeTint="F2"/>
          <w:sz w:val="24"/>
          <w:szCs w:val="24"/>
          <w:lang w:val="ro-RO" w:eastAsia="ru-RU"/>
        </w:rPr>
      </w:pPr>
      <w:r w:rsidRPr="00BE27FB">
        <w:rPr>
          <w:rFonts w:ascii="Calibri Light" w:hAnsi="Calibri Light" w:cs="Calibri Light"/>
          <w:b/>
          <w:noProof/>
          <w:color w:val="0D0D0D" w:themeColor="text1" w:themeTint="F2"/>
          <w:sz w:val="24"/>
          <w:szCs w:val="24"/>
          <w:lang w:val="ro-RO" w:eastAsia="ru-RU"/>
        </w:rPr>
        <w:t>2.</w:t>
      </w:r>
      <w:r w:rsidR="000466AD">
        <w:rPr>
          <w:rFonts w:ascii="Calibri Light" w:hAnsi="Calibri Light" w:cs="Calibri Light"/>
          <w:b/>
          <w:noProof/>
          <w:color w:val="0D0D0D" w:themeColor="text1" w:themeTint="F2"/>
          <w:sz w:val="24"/>
          <w:szCs w:val="24"/>
          <w:lang w:val="ro-RO" w:eastAsia="ru-RU"/>
        </w:rPr>
        <w:t>6</w:t>
      </w:r>
      <w:r w:rsidRPr="00BE27FB">
        <w:rPr>
          <w:rFonts w:ascii="Calibri Light" w:hAnsi="Calibri Light" w:cs="Calibri Light"/>
          <w:b/>
          <w:noProof/>
          <w:color w:val="0D0D0D" w:themeColor="text1" w:themeTint="F2"/>
          <w:sz w:val="24"/>
          <w:szCs w:val="24"/>
          <w:lang w:val="ro-RO" w:eastAsia="ru-RU"/>
        </w:rPr>
        <w:t>.1.</w:t>
      </w:r>
      <w:r w:rsidR="00EF2856" w:rsidRPr="00BE27FB">
        <w:rPr>
          <w:rFonts w:ascii="Calibri Light" w:hAnsi="Calibri Light" w:cs="Calibri Light"/>
          <w:noProof/>
          <w:color w:val="0D0D0D" w:themeColor="text1" w:themeTint="F2"/>
          <w:sz w:val="24"/>
          <w:szCs w:val="24"/>
          <w:lang w:val="ro-RO" w:eastAsia="ru-RU"/>
        </w:rPr>
        <w:t xml:space="preserve"> </w:t>
      </w:r>
      <w:r w:rsidRPr="00BE27FB">
        <w:rPr>
          <w:rFonts w:ascii="Calibri Light" w:hAnsi="Calibri Light" w:cs="Calibri Light"/>
          <w:noProof/>
          <w:color w:val="0D0D0D" w:themeColor="text1" w:themeTint="F2"/>
          <w:sz w:val="24"/>
          <w:szCs w:val="24"/>
          <w:lang w:val="ro-RO" w:eastAsia="ru-RU"/>
        </w:rPr>
        <w:t xml:space="preserve">examinarea în şedinţa Consiliului </w:t>
      </w:r>
      <w:r w:rsidR="003D392E" w:rsidRPr="00BE27FB">
        <w:rPr>
          <w:rFonts w:ascii="Calibri Light" w:hAnsi="Calibri Light" w:cs="Calibri Light"/>
          <w:noProof/>
          <w:color w:val="0D0D0D" w:themeColor="text1" w:themeTint="F2"/>
          <w:sz w:val="24"/>
          <w:szCs w:val="24"/>
          <w:lang w:val="ro-RO" w:eastAsia="ru-RU"/>
        </w:rPr>
        <w:t>raional Ungheni</w:t>
      </w:r>
      <w:r w:rsidRPr="00BE27FB">
        <w:rPr>
          <w:rFonts w:ascii="Calibri Light" w:hAnsi="Calibri Light" w:cs="Calibri Light"/>
          <w:noProof/>
          <w:color w:val="0D0D0D" w:themeColor="text1" w:themeTint="F2"/>
          <w:sz w:val="24"/>
          <w:szCs w:val="24"/>
          <w:lang w:val="ro-RO" w:eastAsia="ru-RU"/>
        </w:rPr>
        <w:t xml:space="preserve"> a rezultatelor auditului, cu audierea persoanelor responsabile referitor la faptele </w:t>
      </w:r>
      <w:r w:rsidR="001158EB">
        <w:rPr>
          <w:rFonts w:ascii="Calibri Light" w:hAnsi="Calibri Light" w:cs="Calibri Light"/>
          <w:noProof/>
          <w:color w:val="0D0D0D" w:themeColor="text1" w:themeTint="F2"/>
          <w:sz w:val="24"/>
          <w:szCs w:val="24"/>
          <w:lang w:val="ro-RO" w:eastAsia="ru-RU"/>
        </w:rPr>
        <w:t>expu</w:t>
      </w:r>
      <w:r w:rsidRPr="00BE27FB">
        <w:rPr>
          <w:rFonts w:ascii="Calibri Light" w:hAnsi="Calibri Light" w:cs="Calibri Light"/>
          <w:noProof/>
          <w:color w:val="0D0D0D" w:themeColor="text1" w:themeTint="F2"/>
          <w:sz w:val="24"/>
          <w:szCs w:val="24"/>
          <w:lang w:val="ro-RO" w:eastAsia="ru-RU"/>
        </w:rPr>
        <w:t>se în Raportul de audit şi cu aprobarea unui plan de măsuri de remediere a deficienţelor constatate;</w:t>
      </w:r>
    </w:p>
    <w:p w:rsidR="006D2A34" w:rsidRPr="00BE27FB" w:rsidRDefault="006D2A34" w:rsidP="00EF2856">
      <w:pPr>
        <w:tabs>
          <w:tab w:val="left" w:pos="900"/>
        </w:tabs>
        <w:spacing w:after="0" w:line="276" w:lineRule="auto"/>
        <w:ind w:firstLine="709"/>
        <w:contextualSpacing/>
        <w:jc w:val="both"/>
        <w:rPr>
          <w:rFonts w:ascii="Calibri Light" w:hAnsi="Calibri Light" w:cs="Calibri Light"/>
          <w:noProof/>
          <w:color w:val="0D0D0D" w:themeColor="text1" w:themeTint="F2"/>
          <w:sz w:val="24"/>
          <w:szCs w:val="24"/>
          <w:lang w:val="ro-RO" w:eastAsia="ru-RU"/>
        </w:rPr>
      </w:pPr>
      <w:r w:rsidRPr="00BE27FB">
        <w:rPr>
          <w:rFonts w:ascii="Calibri Light" w:hAnsi="Calibri Light" w:cs="Calibri Light"/>
          <w:b/>
          <w:noProof/>
          <w:color w:val="0D0D0D" w:themeColor="text1" w:themeTint="F2"/>
          <w:sz w:val="24"/>
          <w:szCs w:val="24"/>
          <w:lang w:val="ro-RO" w:eastAsia="ru-RU"/>
        </w:rPr>
        <w:t>2.</w:t>
      </w:r>
      <w:r w:rsidR="000466AD">
        <w:rPr>
          <w:rFonts w:ascii="Calibri Light" w:hAnsi="Calibri Light" w:cs="Calibri Light"/>
          <w:b/>
          <w:noProof/>
          <w:color w:val="0D0D0D" w:themeColor="text1" w:themeTint="F2"/>
          <w:sz w:val="24"/>
          <w:szCs w:val="24"/>
          <w:lang w:val="ro-RO" w:eastAsia="ru-RU"/>
        </w:rPr>
        <w:t>6</w:t>
      </w:r>
      <w:r w:rsidRPr="00BE27FB">
        <w:rPr>
          <w:rFonts w:ascii="Calibri Light" w:hAnsi="Calibri Light" w:cs="Calibri Light"/>
          <w:b/>
          <w:noProof/>
          <w:color w:val="0D0D0D" w:themeColor="text1" w:themeTint="F2"/>
          <w:sz w:val="24"/>
          <w:szCs w:val="24"/>
          <w:lang w:val="ro-RO" w:eastAsia="ru-RU"/>
        </w:rPr>
        <w:t>.2.</w:t>
      </w:r>
      <w:r w:rsidR="00EF2856" w:rsidRPr="00BE27FB">
        <w:rPr>
          <w:rFonts w:ascii="Calibri Light" w:hAnsi="Calibri Light" w:cs="Calibri Light"/>
          <w:noProof/>
          <w:color w:val="0D0D0D" w:themeColor="text1" w:themeTint="F2"/>
          <w:sz w:val="24"/>
          <w:szCs w:val="24"/>
          <w:lang w:val="ro-RO" w:eastAsia="ru-RU"/>
        </w:rPr>
        <w:t xml:space="preserve"> </w:t>
      </w:r>
      <w:r w:rsidRPr="00BE27FB">
        <w:rPr>
          <w:rFonts w:ascii="Calibri Light" w:hAnsi="Calibri Light" w:cs="Calibri Light"/>
          <w:noProof/>
          <w:color w:val="0D0D0D" w:themeColor="text1" w:themeTint="F2"/>
          <w:sz w:val="24"/>
          <w:szCs w:val="24"/>
          <w:lang w:val="ro-RO" w:eastAsia="ru-RU"/>
        </w:rPr>
        <w:t xml:space="preserve">implementarea recomandărilor </w:t>
      </w:r>
      <w:r w:rsidR="003D392E" w:rsidRPr="00BE27FB">
        <w:rPr>
          <w:rFonts w:ascii="Calibri Light" w:hAnsi="Calibri Light" w:cs="Calibri Light"/>
          <w:noProof/>
          <w:color w:val="0D0D0D" w:themeColor="text1" w:themeTint="F2"/>
          <w:sz w:val="24"/>
          <w:szCs w:val="24"/>
          <w:lang w:val="ro-RO" w:eastAsia="ru-RU"/>
        </w:rPr>
        <w:t xml:space="preserve">din </w:t>
      </w:r>
      <w:r w:rsidR="003D392E" w:rsidRPr="00BE27FB">
        <w:rPr>
          <w:rFonts w:ascii="Calibri Light" w:hAnsi="Calibri Light" w:cs="Calibri Light"/>
          <w:bCs/>
          <w:noProof/>
          <w:color w:val="0D0D0D" w:themeColor="text1" w:themeTint="F2"/>
          <w:sz w:val="24"/>
          <w:szCs w:val="24"/>
          <w:lang w:val="ro-RO"/>
        </w:rPr>
        <w:t>Raportul de audit</w:t>
      </w:r>
      <w:r w:rsidR="002633D7">
        <w:rPr>
          <w:rFonts w:ascii="Calibri Light" w:hAnsi="Calibri Light" w:cs="Calibri Light"/>
          <w:noProof/>
          <w:color w:val="0D0D0D" w:themeColor="text1" w:themeTint="F2"/>
          <w:sz w:val="24"/>
          <w:szCs w:val="24"/>
          <w:lang w:val="ro-RO" w:eastAsia="ru-RU"/>
        </w:rPr>
        <w:t>.</w:t>
      </w:r>
    </w:p>
    <w:p w:rsidR="003F19C6" w:rsidRPr="003F19C6" w:rsidRDefault="006D2A34" w:rsidP="003F19C6">
      <w:pPr>
        <w:autoSpaceDE w:val="0"/>
        <w:autoSpaceDN w:val="0"/>
        <w:adjustRightInd w:val="0"/>
        <w:spacing w:after="0" w:line="276" w:lineRule="auto"/>
        <w:ind w:firstLine="709"/>
        <w:jc w:val="both"/>
        <w:rPr>
          <w:rFonts w:asciiTheme="majorHAnsi" w:hAnsiTheme="majorHAnsi" w:cstheme="majorHAnsi"/>
          <w:noProof/>
          <w:color w:val="0D0D0D" w:themeColor="text1" w:themeTint="F2"/>
          <w:sz w:val="24"/>
          <w:szCs w:val="24"/>
          <w:lang w:eastAsia="ru-RU"/>
        </w:rPr>
      </w:pPr>
      <w:r w:rsidRPr="003F19C6">
        <w:rPr>
          <w:rFonts w:asciiTheme="majorHAnsi" w:hAnsiTheme="majorHAnsi" w:cstheme="majorHAnsi"/>
          <w:b/>
          <w:noProof/>
          <w:color w:val="0D0D0D" w:themeColor="text1" w:themeTint="F2"/>
          <w:sz w:val="24"/>
          <w:szCs w:val="24"/>
          <w:lang w:eastAsia="ru-RU"/>
        </w:rPr>
        <w:t>3.</w:t>
      </w:r>
      <w:r w:rsidRPr="003F19C6">
        <w:rPr>
          <w:rFonts w:asciiTheme="majorHAnsi" w:hAnsiTheme="majorHAnsi" w:cstheme="majorHAnsi"/>
          <w:noProof/>
          <w:color w:val="0D0D0D" w:themeColor="text1" w:themeTint="F2"/>
          <w:sz w:val="24"/>
          <w:szCs w:val="24"/>
          <w:lang w:eastAsia="ru-RU"/>
        </w:rPr>
        <w:t xml:space="preserve"> </w:t>
      </w:r>
      <w:r w:rsidR="003F19C6" w:rsidRPr="003F19C6">
        <w:rPr>
          <w:rFonts w:asciiTheme="majorHAnsi" w:hAnsiTheme="majorHAnsi" w:cstheme="majorHAnsi"/>
          <w:sz w:val="24"/>
          <w:szCs w:val="24"/>
        </w:rPr>
        <w:t xml:space="preserve">Prin prezenta Hotărâre se exclud din regim de monitorizare cerințele și recomandările înaintate Consiliului raional </w:t>
      </w:r>
      <w:r w:rsidR="003F19C6">
        <w:rPr>
          <w:rFonts w:asciiTheme="majorHAnsi" w:hAnsiTheme="majorHAnsi" w:cstheme="majorHAnsi"/>
          <w:sz w:val="24"/>
          <w:szCs w:val="24"/>
        </w:rPr>
        <w:t>Ungheni</w:t>
      </w:r>
      <w:r w:rsidR="003F19C6" w:rsidRPr="003F19C6">
        <w:rPr>
          <w:rFonts w:asciiTheme="majorHAnsi" w:hAnsiTheme="majorHAnsi" w:cstheme="majorHAnsi"/>
          <w:sz w:val="24"/>
          <w:szCs w:val="24"/>
        </w:rPr>
        <w:t xml:space="preserve">, precum și altor </w:t>
      </w:r>
      <w:r w:rsidR="003F19C6">
        <w:rPr>
          <w:rFonts w:asciiTheme="majorHAnsi" w:hAnsiTheme="majorHAnsi" w:cstheme="majorHAnsi"/>
          <w:sz w:val="24"/>
          <w:szCs w:val="24"/>
        </w:rPr>
        <w:t>subdiviziuni</w:t>
      </w:r>
      <w:r w:rsidR="003F19C6" w:rsidRPr="003F19C6">
        <w:rPr>
          <w:rFonts w:asciiTheme="majorHAnsi" w:hAnsiTheme="majorHAnsi" w:cstheme="majorHAnsi"/>
          <w:sz w:val="24"/>
          <w:szCs w:val="24"/>
        </w:rPr>
        <w:t xml:space="preserve"> din cadrul Consiliului raional</w:t>
      </w:r>
      <w:r w:rsidR="003F19C6">
        <w:rPr>
          <w:rFonts w:asciiTheme="majorHAnsi" w:hAnsiTheme="majorHAnsi" w:cstheme="majorHAnsi"/>
          <w:sz w:val="24"/>
          <w:szCs w:val="24"/>
        </w:rPr>
        <w:t>,</w:t>
      </w:r>
      <w:r w:rsidR="007A05AB">
        <w:rPr>
          <w:rFonts w:asciiTheme="majorHAnsi" w:hAnsiTheme="majorHAnsi" w:cstheme="majorHAnsi"/>
          <w:sz w:val="24"/>
          <w:szCs w:val="24"/>
        </w:rPr>
        <w:t xml:space="preserve"> vizate î</w:t>
      </w:r>
      <w:r w:rsidR="003F19C6" w:rsidRPr="003F19C6">
        <w:rPr>
          <w:rFonts w:asciiTheme="majorHAnsi" w:hAnsiTheme="majorHAnsi" w:cstheme="majorHAnsi"/>
          <w:sz w:val="24"/>
          <w:szCs w:val="24"/>
        </w:rPr>
        <w:t xml:space="preserve">n </w:t>
      </w:r>
      <w:r w:rsidR="00FE2C64" w:rsidRPr="003F19C6">
        <w:rPr>
          <w:rFonts w:asciiTheme="majorHAnsi" w:hAnsiTheme="majorHAnsi" w:cstheme="majorHAnsi"/>
          <w:sz w:val="24"/>
          <w:szCs w:val="24"/>
        </w:rPr>
        <w:t>Hotărârea Curții de Conturi nr.69 din 22.10.2018</w:t>
      </w:r>
      <w:r w:rsidR="00FE2C64">
        <w:rPr>
          <w:rFonts w:asciiTheme="majorHAnsi" w:hAnsiTheme="majorHAnsi" w:cstheme="majorHAnsi"/>
          <w:sz w:val="24"/>
          <w:szCs w:val="24"/>
        </w:rPr>
        <w:t xml:space="preserve"> „Privind</w:t>
      </w:r>
      <w:r w:rsidR="003F19C6" w:rsidRPr="003F19C6">
        <w:t xml:space="preserve"> </w:t>
      </w:r>
      <w:r w:rsidR="003F19C6" w:rsidRPr="003F19C6">
        <w:rPr>
          <w:rFonts w:asciiTheme="majorHAnsi" w:hAnsiTheme="majorHAnsi" w:cstheme="majorHAnsi"/>
          <w:sz w:val="24"/>
          <w:szCs w:val="24"/>
        </w:rPr>
        <w:t>Raportul misiunii de follow-up privind implementarea recomandărilor</w:t>
      </w:r>
      <w:r w:rsidR="00FE2C64" w:rsidRPr="00FE2C64">
        <w:t xml:space="preserve"> </w:t>
      </w:r>
      <w:r w:rsidR="00FE2C64" w:rsidRPr="00FE2C64">
        <w:rPr>
          <w:rFonts w:asciiTheme="majorHAnsi" w:hAnsiTheme="majorHAnsi" w:cstheme="majorHAnsi"/>
          <w:sz w:val="24"/>
          <w:szCs w:val="24"/>
        </w:rPr>
        <w:t>aprobate prin Hotărârea Curții de Conturi nr.22 din 30 iunie 2016 aferente procesului bugetar și gestionării patrimon</w:t>
      </w:r>
      <w:r w:rsidR="007A05AB">
        <w:rPr>
          <w:rFonts w:asciiTheme="majorHAnsi" w:hAnsiTheme="majorHAnsi" w:cstheme="majorHAnsi"/>
          <w:sz w:val="24"/>
          <w:szCs w:val="24"/>
        </w:rPr>
        <w:t xml:space="preserve">iului public de către UAT </w:t>
      </w:r>
      <w:r w:rsidR="007A05AB" w:rsidRPr="002A1910">
        <w:rPr>
          <w:rFonts w:asciiTheme="majorHAnsi" w:hAnsiTheme="majorHAnsi" w:cstheme="majorHAnsi"/>
          <w:sz w:val="24"/>
          <w:szCs w:val="24"/>
        </w:rPr>
        <w:t>din</w:t>
      </w:r>
      <w:r w:rsidR="007A05AB">
        <w:rPr>
          <w:rFonts w:asciiTheme="majorHAnsi" w:hAnsiTheme="majorHAnsi" w:cstheme="majorHAnsi"/>
          <w:sz w:val="24"/>
          <w:szCs w:val="24"/>
        </w:rPr>
        <w:t xml:space="preserve"> raio</w:t>
      </w:r>
      <w:r w:rsidR="00FE2C64" w:rsidRPr="00FE2C64">
        <w:rPr>
          <w:rFonts w:asciiTheme="majorHAnsi" w:hAnsiTheme="majorHAnsi" w:cstheme="majorHAnsi"/>
          <w:sz w:val="24"/>
          <w:szCs w:val="24"/>
        </w:rPr>
        <w:t>nul Ungheni</w:t>
      </w:r>
      <w:r w:rsidR="00FE2C64">
        <w:rPr>
          <w:rFonts w:asciiTheme="majorHAnsi" w:hAnsiTheme="majorHAnsi" w:cstheme="majorHAnsi"/>
          <w:sz w:val="24"/>
          <w:szCs w:val="24"/>
        </w:rPr>
        <w:t>”.</w:t>
      </w:r>
      <w:r w:rsidR="003F19C6" w:rsidRPr="003F19C6">
        <w:rPr>
          <w:rFonts w:asciiTheme="majorHAnsi" w:hAnsiTheme="majorHAnsi" w:cstheme="majorHAnsi"/>
          <w:sz w:val="24"/>
          <w:szCs w:val="24"/>
        </w:rPr>
        <w:t xml:space="preserve"> </w:t>
      </w:r>
    </w:p>
    <w:p w:rsidR="006D2A34" w:rsidRPr="00BE27FB" w:rsidRDefault="00FE2C64" w:rsidP="006D2A34">
      <w:pPr>
        <w:tabs>
          <w:tab w:val="left" w:pos="540"/>
          <w:tab w:val="left" w:pos="810"/>
        </w:tabs>
        <w:spacing w:after="0" w:line="276" w:lineRule="auto"/>
        <w:ind w:firstLine="709"/>
        <w:jc w:val="both"/>
        <w:rPr>
          <w:rFonts w:ascii="Calibri Light" w:hAnsi="Calibri Light" w:cs="Calibri Light"/>
          <w:noProof/>
          <w:color w:val="0D0D0D" w:themeColor="text1" w:themeTint="F2"/>
          <w:sz w:val="24"/>
          <w:szCs w:val="24"/>
          <w:lang w:val="ro-RO" w:eastAsia="ru-RU"/>
        </w:rPr>
      </w:pPr>
      <w:r w:rsidRPr="00FE2C64">
        <w:rPr>
          <w:rFonts w:ascii="Calibri Light" w:hAnsi="Calibri Light" w:cs="Calibri Light"/>
          <w:b/>
          <w:noProof/>
          <w:color w:val="0D0D0D" w:themeColor="text1" w:themeTint="F2"/>
          <w:sz w:val="24"/>
          <w:szCs w:val="24"/>
          <w:lang w:val="ro-RO" w:eastAsia="ru-RU"/>
        </w:rPr>
        <w:t>4.</w:t>
      </w:r>
      <w:r>
        <w:rPr>
          <w:rFonts w:ascii="Calibri Light" w:hAnsi="Calibri Light" w:cs="Calibri Light"/>
          <w:noProof/>
          <w:color w:val="0D0D0D" w:themeColor="text1" w:themeTint="F2"/>
          <w:sz w:val="24"/>
          <w:szCs w:val="24"/>
          <w:lang w:val="ro-RO" w:eastAsia="ru-RU"/>
        </w:rPr>
        <w:t xml:space="preserve"> </w:t>
      </w:r>
      <w:r w:rsidR="006D2A34" w:rsidRPr="00BE27FB">
        <w:rPr>
          <w:rFonts w:ascii="Calibri Light" w:hAnsi="Calibri Light" w:cs="Calibri Light"/>
          <w:noProof/>
          <w:color w:val="0D0D0D" w:themeColor="text1" w:themeTint="F2"/>
          <w:sz w:val="24"/>
          <w:szCs w:val="24"/>
          <w:lang w:val="ro-RO" w:eastAsia="ru-RU"/>
        </w:rPr>
        <w:t xml:space="preserve">Prezenta Hotărâre intră în vigoare </w:t>
      </w:r>
      <w:r w:rsidR="00D34AF3">
        <w:rPr>
          <w:rFonts w:ascii="Calibri Light" w:hAnsi="Calibri Light" w:cs="Calibri Light"/>
          <w:noProof/>
          <w:color w:val="0D0D0D" w:themeColor="text1" w:themeTint="F2"/>
          <w:sz w:val="24"/>
          <w:szCs w:val="24"/>
          <w:lang w:val="ro-RO" w:eastAsia="ru-RU"/>
        </w:rPr>
        <w:t>de la</w:t>
      </w:r>
      <w:r w:rsidR="00D34AF3" w:rsidRPr="00BE27FB">
        <w:rPr>
          <w:rFonts w:ascii="Calibri Light" w:hAnsi="Calibri Light" w:cs="Calibri Light"/>
          <w:noProof/>
          <w:color w:val="0D0D0D" w:themeColor="text1" w:themeTint="F2"/>
          <w:sz w:val="24"/>
          <w:szCs w:val="24"/>
          <w:lang w:val="ro-RO" w:eastAsia="ru-RU"/>
        </w:rPr>
        <w:t xml:space="preserve"> </w:t>
      </w:r>
      <w:r w:rsidR="006D2A34" w:rsidRPr="00BE27FB">
        <w:rPr>
          <w:rFonts w:ascii="Calibri Light" w:hAnsi="Calibri Light" w:cs="Calibri Light"/>
          <w:noProof/>
          <w:color w:val="0D0D0D" w:themeColor="text1" w:themeTint="F2"/>
          <w:sz w:val="24"/>
          <w:szCs w:val="24"/>
          <w:lang w:val="ro-RO" w:eastAsia="ru-RU"/>
        </w:rPr>
        <w:t>data publicării în Monitorul Oficial al Republicii Moldova şi poate fi contestată cu o cerere prealabilă la autoritatea emitentă în termen de 30 de zile de la data publicării. În ordine de contencios administrativ, Hotărârea poate fi contestată la Judecătoria Chişinău, sediul Râşcani (MD-2068, mun.</w:t>
      </w:r>
      <w:r w:rsidR="00C42F9F" w:rsidRPr="00BE27FB">
        <w:rPr>
          <w:rFonts w:ascii="Calibri Light" w:hAnsi="Calibri Light" w:cs="Calibri Light"/>
          <w:noProof/>
          <w:color w:val="0D0D0D" w:themeColor="text1" w:themeTint="F2"/>
          <w:sz w:val="24"/>
          <w:szCs w:val="24"/>
          <w:lang w:val="ro-RO" w:eastAsia="ru-RU"/>
        </w:rPr>
        <w:t xml:space="preserve"> </w:t>
      </w:r>
      <w:r w:rsidR="006D2A34" w:rsidRPr="00BE27FB">
        <w:rPr>
          <w:rFonts w:ascii="Calibri Light" w:hAnsi="Calibri Light" w:cs="Calibri Light"/>
          <w:noProof/>
          <w:color w:val="0D0D0D" w:themeColor="text1" w:themeTint="F2"/>
          <w:sz w:val="24"/>
          <w:szCs w:val="24"/>
          <w:lang w:val="ro-RO" w:eastAsia="ru-RU"/>
        </w:rPr>
        <w:t>Chişinău, str.</w:t>
      </w:r>
      <w:r w:rsidR="000E6353" w:rsidRPr="00BE27FB">
        <w:rPr>
          <w:rFonts w:ascii="Calibri Light" w:hAnsi="Calibri Light" w:cs="Calibri Light"/>
          <w:noProof/>
          <w:color w:val="0D0D0D" w:themeColor="text1" w:themeTint="F2"/>
          <w:sz w:val="24"/>
          <w:szCs w:val="24"/>
          <w:lang w:val="ro-RO" w:eastAsia="ru-RU"/>
        </w:rPr>
        <w:t xml:space="preserve"> </w:t>
      </w:r>
      <w:r w:rsidR="006D2A34" w:rsidRPr="00BE27FB">
        <w:rPr>
          <w:rFonts w:ascii="Calibri Light" w:hAnsi="Calibri Light" w:cs="Calibri Light"/>
          <w:noProof/>
          <w:color w:val="0D0D0D" w:themeColor="text1" w:themeTint="F2"/>
          <w:sz w:val="24"/>
          <w:szCs w:val="24"/>
          <w:lang w:val="ro-RO" w:eastAsia="ru-RU"/>
        </w:rPr>
        <w:t>Kiev nr.3), în termen de 30 de zile din data comunicării răspunsului cu privire la cererea prealabilă sau din data expirării termenului prevăzut pentru soluţionarea acesteia.</w:t>
      </w:r>
    </w:p>
    <w:p w:rsidR="006D2A34" w:rsidRPr="00BE27FB" w:rsidRDefault="00FE2C64" w:rsidP="006D2A34">
      <w:pPr>
        <w:tabs>
          <w:tab w:val="left" w:pos="540"/>
          <w:tab w:val="left" w:pos="810"/>
        </w:tabs>
        <w:spacing w:after="0" w:line="276" w:lineRule="auto"/>
        <w:ind w:firstLine="709"/>
        <w:jc w:val="both"/>
        <w:rPr>
          <w:rFonts w:ascii="Calibri Light" w:hAnsi="Calibri Light" w:cs="Calibri Light"/>
          <w:noProof/>
          <w:color w:val="0D0D0D" w:themeColor="text1" w:themeTint="F2"/>
          <w:sz w:val="24"/>
          <w:szCs w:val="24"/>
          <w:lang w:val="ro-RO" w:eastAsia="ru-RU"/>
        </w:rPr>
      </w:pPr>
      <w:r>
        <w:rPr>
          <w:rFonts w:ascii="Calibri Light" w:hAnsi="Calibri Light" w:cs="Calibri Light"/>
          <w:b/>
          <w:bCs/>
          <w:noProof/>
          <w:color w:val="0D0D0D" w:themeColor="text1" w:themeTint="F2"/>
          <w:sz w:val="24"/>
          <w:szCs w:val="24"/>
          <w:lang w:val="ro-RO"/>
        </w:rPr>
        <w:t>5</w:t>
      </w:r>
      <w:r w:rsidR="006D2A34" w:rsidRPr="00BE27FB">
        <w:rPr>
          <w:rFonts w:ascii="Calibri Light" w:hAnsi="Calibri Light" w:cs="Calibri Light"/>
          <w:b/>
          <w:bCs/>
          <w:noProof/>
          <w:color w:val="0D0D0D" w:themeColor="text1" w:themeTint="F2"/>
          <w:sz w:val="24"/>
          <w:szCs w:val="24"/>
          <w:lang w:val="ro-RO"/>
        </w:rPr>
        <w:t xml:space="preserve">. </w:t>
      </w:r>
      <w:r w:rsidR="006D2A34" w:rsidRPr="00BE27FB">
        <w:rPr>
          <w:rFonts w:ascii="Calibri Light" w:hAnsi="Calibri Light" w:cs="Calibri Light"/>
          <w:noProof/>
          <w:color w:val="0D0D0D" w:themeColor="text1" w:themeTint="F2"/>
          <w:sz w:val="24"/>
          <w:szCs w:val="24"/>
          <w:lang w:val="ro-RO"/>
        </w:rPr>
        <w:t xml:space="preserve">Curtea de Conturi va fi informată trimestrial, în termen de 9 luni din data intrării în vigoare a prezentei Hotărâri, despre acțiunile întreprinse pentru executarea subpunctului </w:t>
      </w:r>
      <w:r w:rsidR="006D2A34" w:rsidRPr="00972842">
        <w:rPr>
          <w:rFonts w:ascii="Calibri Light" w:hAnsi="Calibri Light" w:cs="Calibri Light"/>
          <w:noProof/>
          <w:color w:val="0D0D0D" w:themeColor="text1" w:themeTint="F2"/>
          <w:sz w:val="24"/>
          <w:szCs w:val="24"/>
          <w:lang w:val="ro-RO"/>
        </w:rPr>
        <w:t>2.</w:t>
      </w:r>
      <w:r w:rsidR="000466AD">
        <w:rPr>
          <w:rFonts w:ascii="Calibri Light" w:hAnsi="Calibri Light" w:cs="Calibri Light"/>
          <w:noProof/>
          <w:color w:val="0D0D0D" w:themeColor="text1" w:themeTint="F2"/>
          <w:sz w:val="24"/>
          <w:szCs w:val="24"/>
          <w:lang w:val="ro-RO"/>
        </w:rPr>
        <w:t>6</w:t>
      </w:r>
      <w:r w:rsidR="006D2A34" w:rsidRPr="00972842">
        <w:rPr>
          <w:rFonts w:ascii="Calibri Light" w:hAnsi="Calibri Light" w:cs="Calibri Light"/>
          <w:noProof/>
          <w:color w:val="0D0D0D" w:themeColor="text1" w:themeTint="F2"/>
          <w:sz w:val="24"/>
          <w:szCs w:val="24"/>
          <w:lang w:val="ro-RO"/>
        </w:rPr>
        <w:t>.</w:t>
      </w:r>
      <w:r w:rsidR="006D2A34" w:rsidRPr="00BE27FB">
        <w:rPr>
          <w:rFonts w:ascii="Calibri Light" w:hAnsi="Calibri Light" w:cs="Calibri Light"/>
          <w:noProof/>
          <w:color w:val="0D0D0D" w:themeColor="text1" w:themeTint="F2"/>
          <w:sz w:val="24"/>
          <w:szCs w:val="24"/>
          <w:lang w:val="ro-RO"/>
        </w:rPr>
        <w:t xml:space="preserve"> din prezenta Hotărâre și realizarea recomandărilor din </w:t>
      </w:r>
      <w:r w:rsidR="00FE7CD3" w:rsidRPr="00BE27FB">
        <w:rPr>
          <w:rFonts w:ascii="Calibri Light" w:hAnsi="Calibri Light" w:cs="Calibri Light"/>
          <w:noProof/>
          <w:color w:val="0D0D0D" w:themeColor="text1" w:themeTint="F2"/>
          <w:sz w:val="24"/>
          <w:szCs w:val="24"/>
          <w:lang w:val="ro-RO"/>
        </w:rPr>
        <w:t>Raportul auditului conformității asupra procesului bugetar și gestionării patrimoniului public în anul 2020 la unitatea administrativ-teritorială raionul Ungheni (UAT/bugetul de nivelul II)</w:t>
      </w:r>
      <w:r w:rsidR="006D2A34" w:rsidRPr="00BE27FB">
        <w:rPr>
          <w:rFonts w:ascii="Calibri Light" w:hAnsi="Calibri Light" w:cs="Calibri Light"/>
          <w:noProof/>
          <w:color w:val="0D0D0D" w:themeColor="text1" w:themeTint="F2"/>
          <w:sz w:val="24"/>
          <w:szCs w:val="24"/>
          <w:lang w:val="ro-RO"/>
        </w:rPr>
        <w:t>.</w:t>
      </w:r>
    </w:p>
    <w:p w:rsidR="006D2A34" w:rsidRPr="00BE27FB" w:rsidRDefault="00FE2C64" w:rsidP="006D2A34">
      <w:pPr>
        <w:spacing w:after="0" w:line="276" w:lineRule="auto"/>
        <w:ind w:firstLine="709"/>
        <w:jc w:val="both"/>
        <w:rPr>
          <w:rFonts w:ascii="Calibri Light" w:hAnsi="Calibri Light" w:cs="Calibri Light"/>
          <w:noProof/>
          <w:color w:val="0D0D0D" w:themeColor="text1" w:themeTint="F2"/>
          <w:sz w:val="24"/>
          <w:szCs w:val="24"/>
          <w:lang w:val="ro-RO" w:eastAsia="ru-RU"/>
        </w:rPr>
      </w:pPr>
      <w:r>
        <w:rPr>
          <w:rFonts w:ascii="Calibri Light" w:hAnsi="Calibri Light" w:cs="Calibri Light"/>
          <w:b/>
          <w:noProof/>
          <w:color w:val="0D0D0D" w:themeColor="text1" w:themeTint="F2"/>
          <w:sz w:val="24"/>
          <w:szCs w:val="24"/>
          <w:lang w:val="ro-RO" w:eastAsia="ru-RU"/>
        </w:rPr>
        <w:t>6</w:t>
      </w:r>
      <w:r w:rsidR="006D2A34" w:rsidRPr="00BE27FB">
        <w:rPr>
          <w:rFonts w:ascii="Calibri Light" w:hAnsi="Calibri Light" w:cs="Calibri Light"/>
          <w:b/>
          <w:noProof/>
          <w:color w:val="0D0D0D" w:themeColor="text1" w:themeTint="F2"/>
          <w:sz w:val="24"/>
          <w:szCs w:val="24"/>
          <w:lang w:val="ro-RO" w:eastAsia="ru-RU"/>
        </w:rPr>
        <w:t>.</w:t>
      </w:r>
      <w:r w:rsidR="006D2A34" w:rsidRPr="00BE27FB">
        <w:rPr>
          <w:rFonts w:ascii="Calibri Light" w:hAnsi="Calibri Light" w:cs="Calibri Light"/>
          <w:noProof/>
          <w:color w:val="0D0D0D" w:themeColor="text1" w:themeTint="F2"/>
          <w:sz w:val="24"/>
          <w:szCs w:val="24"/>
          <w:lang w:val="ro-RO" w:eastAsia="ru-RU"/>
        </w:rPr>
        <w:t xml:space="preserve"> Hotărârea și </w:t>
      </w:r>
      <w:r w:rsidR="00FE7CD3" w:rsidRPr="00BE27FB">
        <w:rPr>
          <w:rFonts w:ascii="Calibri Light" w:hAnsi="Calibri Light" w:cs="Calibri Light"/>
          <w:noProof/>
          <w:color w:val="0D0D0D" w:themeColor="text1" w:themeTint="F2"/>
          <w:sz w:val="24"/>
          <w:szCs w:val="24"/>
          <w:lang w:val="ro-RO" w:eastAsia="ru-RU"/>
        </w:rPr>
        <w:t xml:space="preserve">Raportul auditului conformității asupra procesului bugetar și gestionării patrimoniului public în anul 2020 la unitatea administrativ-teritorială raionul Ungheni (UAT/bugetul de nivelul II) </w:t>
      </w:r>
      <w:r w:rsidR="006D2A34" w:rsidRPr="00BE27FB">
        <w:rPr>
          <w:rFonts w:ascii="Calibri Light" w:hAnsi="Calibri Light" w:cs="Calibri Light"/>
          <w:noProof/>
          <w:color w:val="0D0D0D" w:themeColor="text1" w:themeTint="F2"/>
          <w:sz w:val="24"/>
          <w:szCs w:val="24"/>
          <w:lang w:val="ro-RO" w:eastAsia="ru-RU"/>
        </w:rPr>
        <w:t xml:space="preserve">se plasează pe site-ul oficial al Curții de Conturi </w:t>
      </w:r>
      <w:r w:rsidR="00FE54E4" w:rsidRPr="00B850DE">
        <w:rPr>
          <w:rFonts w:ascii="Calibri Light" w:hAnsi="Calibri Light" w:cs="Calibri Light"/>
          <w:sz w:val="24"/>
          <w:szCs w:val="24"/>
        </w:rPr>
        <w:t>(</w:t>
      </w:r>
      <w:hyperlink r:id="rId7" w:history="1">
        <w:r w:rsidR="00FE54E4" w:rsidRPr="00B850DE">
          <w:rPr>
            <w:rStyle w:val="Hyperlink"/>
            <w:rFonts w:ascii="Calibri Light" w:hAnsi="Calibri Light" w:cs="Calibri Light"/>
            <w:sz w:val="24"/>
            <w:szCs w:val="24"/>
          </w:rPr>
          <w:t>https://www.ccrm.md/ro/decisions</w:t>
        </w:r>
      </w:hyperlink>
      <w:r w:rsidR="00FE54E4" w:rsidRPr="00B850DE">
        <w:rPr>
          <w:rFonts w:ascii="Calibri Light" w:hAnsi="Calibri Light" w:cs="Calibri Light"/>
          <w:sz w:val="24"/>
          <w:szCs w:val="24"/>
        </w:rPr>
        <w:t>)</w:t>
      </w:r>
      <w:r w:rsidR="006D2A34" w:rsidRPr="00BE27FB">
        <w:rPr>
          <w:rFonts w:ascii="Calibri Light" w:hAnsi="Calibri Light" w:cs="Calibri Light"/>
          <w:noProof/>
          <w:color w:val="0D0D0D" w:themeColor="text1" w:themeTint="F2"/>
          <w:sz w:val="24"/>
          <w:szCs w:val="24"/>
          <w:lang w:val="ro-RO" w:eastAsia="ru-RU"/>
        </w:rPr>
        <w:t>.</w:t>
      </w:r>
    </w:p>
    <w:p w:rsidR="006D2A34" w:rsidRPr="00BE27FB" w:rsidRDefault="006D2A34" w:rsidP="006D2A34">
      <w:pPr>
        <w:tabs>
          <w:tab w:val="left" w:pos="630"/>
          <w:tab w:val="left" w:pos="810"/>
        </w:tabs>
        <w:spacing w:after="0" w:line="276" w:lineRule="auto"/>
        <w:jc w:val="both"/>
        <w:rPr>
          <w:rFonts w:ascii="Calibri Light" w:hAnsi="Calibri Light" w:cs="Calibri Light"/>
          <w:noProof/>
          <w:color w:val="0D0D0D" w:themeColor="text1" w:themeTint="F2"/>
          <w:sz w:val="24"/>
          <w:szCs w:val="24"/>
          <w:lang w:val="ro-RO"/>
        </w:rPr>
      </w:pPr>
    </w:p>
    <w:p w:rsidR="006D2A34" w:rsidRPr="00BE27FB" w:rsidRDefault="006D2A34" w:rsidP="006D2A34">
      <w:pPr>
        <w:spacing w:after="0" w:line="240" w:lineRule="auto"/>
        <w:jc w:val="right"/>
        <w:rPr>
          <w:rFonts w:ascii="Calibri Light" w:hAnsi="Calibri Light" w:cs="Calibri Light"/>
          <w:b/>
          <w:noProof/>
          <w:color w:val="0D0D0D" w:themeColor="text1" w:themeTint="F2"/>
          <w:sz w:val="24"/>
          <w:szCs w:val="24"/>
          <w:lang w:val="ro-RO"/>
        </w:rPr>
      </w:pPr>
      <w:r w:rsidRPr="00BE27FB">
        <w:rPr>
          <w:rFonts w:ascii="Calibri Light" w:hAnsi="Calibri Light" w:cs="Calibri Light"/>
          <w:b/>
          <w:noProof/>
          <w:color w:val="0D0D0D" w:themeColor="text1" w:themeTint="F2"/>
          <w:sz w:val="24"/>
          <w:szCs w:val="24"/>
          <w:lang w:val="ro-RO"/>
        </w:rPr>
        <w:t>Marian LUPU</w:t>
      </w:r>
      <w:r w:rsidRPr="00BE27FB">
        <w:rPr>
          <w:rFonts w:ascii="Calibri Light" w:hAnsi="Calibri Light" w:cs="Calibri Light"/>
          <w:b/>
          <w:caps/>
          <w:noProof/>
          <w:color w:val="0D0D0D" w:themeColor="text1" w:themeTint="F2"/>
          <w:sz w:val="24"/>
          <w:szCs w:val="24"/>
          <w:lang w:val="ro-RO"/>
        </w:rPr>
        <w:t>,</w:t>
      </w:r>
    </w:p>
    <w:p w:rsidR="00BE27FB" w:rsidRDefault="006D2A34" w:rsidP="006B3717">
      <w:pPr>
        <w:spacing w:after="0" w:line="240" w:lineRule="auto"/>
        <w:ind w:left="6930"/>
        <w:jc w:val="right"/>
        <w:rPr>
          <w:rFonts w:ascii="Calibri Light" w:hAnsi="Calibri Light" w:cs="Calibri Light"/>
          <w:color w:val="000000" w:themeColor="text1"/>
          <w:sz w:val="24"/>
          <w:szCs w:val="28"/>
        </w:rPr>
      </w:pPr>
      <w:r w:rsidRPr="00BE27FB">
        <w:rPr>
          <w:rFonts w:ascii="Calibri Light" w:hAnsi="Calibri Light" w:cs="Calibri Light"/>
          <w:b/>
          <w:noProof/>
          <w:color w:val="0D0D0D" w:themeColor="text1" w:themeTint="F2"/>
          <w:sz w:val="24"/>
          <w:szCs w:val="24"/>
          <w:lang w:val="ro-RO"/>
        </w:rPr>
        <w:t>Preşedinte</w:t>
      </w:r>
      <w:bookmarkStart w:id="0" w:name="_GoBack"/>
      <w:bookmarkEnd w:id="0"/>
    </w:p>
    <w:sectPr w:rsidR="00BE27FB" w:rsidSect="00FE7CD3">
      <w:pgSz w:w="11906" w:h="16838" w:code="9"/>
      <w:pgMar w:top="851" w:right="85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30F" w:rsidRDefault="00C7630F" w:rsidP="006D2A34">
      <w:pPr>
        <w:spacing w:after="0" w:line="240" w:lineRule="auto"/>
      </w:pPr>
      <w:r>
        <w:separator/>
      </w:r>
    </w:p>
  </w:endnote>
  <w:endnote w:type="continuationSeparator" w:id="0">
    <w:p w:rsidR="00C7630F" w:rsidRDefault="00C7630F" w:rsidP="006D2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 Caslon">
    <w:altName w:val="Arial Narro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30F" w:rsidRDefault="00C7630F" w:rsidP="006D2A34">
      <w:pPr>
        <w:spacing w:after="0" w:line="240" w:lineRule="auto"/>
      </w:pPr>
      <w:r>
        <w:separator/>
      </w:r>
    </w:p>
  </w:footnote>
  <w:footnote w:type="continuationSeparator" w:id="0">
    <w:p w:rsidR="00C7630F" w:rsidRDefault="00C7630F" w:rsidP="006D2A34">
      <w:pPr>
        <w:spacing w:after="0" w:line="240" w:lineRule="auto"/>
      </w:pPr>
      <w:r>
        <w:continuationSeparator/>
      </w:r>
    </w:p>
  </w:footnote>
  <w:footnote w:id="1">
    <w:p w:rsidR="00E506EE" w:rsidRPr="00972842" w:rsidRDefault="00E506EE" w:rsidP="00972842">
      <w:pPr>
        <w:pStyle w:val="FootnoteText"/>
        <w:spacing w:line="276" w:lineRule="auto"/>
        <w:jc w:val="both"/>
        <w:rPr>
          <w:rFonts w:asciiTheme="majorHAnsi" w:hAnsiTheme="majorHAnsi" w:cstheme="majorHAnsi"/>
          <w:color w:val="0D0D0D" w:themeColor="text1" w:themeTint="F2"/>
          <w:sz w:val="16"/>
          <w:szCs w:val="16"/>
          <w:lang w:val="ro-MD"/>
        </w:rPr>
      </w:pPr>
      <w:r w:rsidRPr="00972842">
        <w:rPr>
          <w:rStyle w:val="FootnoteReference"/>
          <w:rFonts w:asciiTheme="majorHAnsi" w:hAnsiTheme="majorHAnsi" w:cstheme="majorHAnsi"/>
          <w:color w:val="0D0D0D" w:themeColor="text1" w:themeTint="F2"/>
          <w:sz w:val="16"/>
          <w:szCs w:val="16"/>
          <w:lang w:val="ro-MD"/>
        </w:rPr>
        <w:footnoteRef/>
      </w:r>
      <w:r w:rsidRPr="00972842">
        <w:rPr>
          <w:rFonts w:asciiTheme="majorHAnsi" w:hAnsiTheme="majorHAnsi" w:cstheme="majorHAnsi"/>
          <w:color w:val="0D0D0D" w:themeColor="text1" w:themeTint="F2"/>
          <w:sz w:val="16"/>
          <w:szCs w:val="16"/>
          <w:lang w:val="ro-MD"/>
        </w:rPr>
        <w:t xml:space="preserve"> Hotărârea Curții de Conturi nr.10 din 16.03.2020 „Cu privire la aprobarea regimului de activitate al Curții de Conturi”; Hotărârile Comisiei Naționale de Sănătate Publică nr.10 din 15.05.2020 și nr.15 din 12.06.2020. </w:t>
      </w:r>
    </w:p>
  </w:footnote>
  <w:footnote w:id="2">
    <w:p w:rsidR="00E506EE" w:rsidRPr="00972842" w:rsidRDefault="00E506EE" w:rsidP="00972842">
      <w:pPr>
        <w:pStyle w:val="FootnoteText"/>
        <w:spacing w:line="276" w:lineRule="auto"/>
        <w:jc w:val="both"/>
        <w:rPr>
          <w:rFonts w:asciiTheme="majorHAnsi" w:hAnsiTheme="majorHAnsi" w:cstheme="majorHAnsi"/>
          <w:color w:val="0D0D0D" w:themeColor="text1" w:themeTint="F2"/>
          <w:sz w:val="16"/>
          <w:szCs w:val="16"/>
          <w:lang w:val="ro-MD"/>
        </w:rPr>
      </w:pPr>
      <w:r w:rsidRPr="00972842">
        <w:rPr>
          <w:rFonts w:asciiTheme="majorHAnsi" w:eastAsia="Times New Roman" w:hAnsiTheme="majorHAnsi" w:cstheme="majorHAnsi"/>
          <w:color w:val="0D0D0D" w:themeColor="text1" w:themeTint="F2"/>
          <w:sz w:val="16"/>
          <w:szCs w:val="16"/>
          <w:vertAlign w:val="superscript"/>
          <w:lang w:val="ro-MD"/>
        </w:rPr>
        <w:footnoteRef/>
      </w:r>
      <w:r w:rsidRPr="00972842">
        <w:rPr>
          <w:rFonts w:asciiTheme="majorHAnsi" w:eastAsia="Times New Roman" w:hAnsiTheme="majorHAnsi" w:cstheme="majorHAnsi"/>
          <w:color w:val="0D0D0D" w:themeColor="text1" w:themeTint="F2"/>
          <w:sz w:val="16"/>
          <w:szCs w:val="16"/>
          <w:lang w:val="ro-MD"/>
        </w:rPr>
        <w:t xml:space="preserve"> Legea privind organizarea și funcționarea Curții de Conturi a Republicii Moldova nr.260 din 07.12.2017 (în continuare – Legea nr.260 din 07.12.2017).</w:t>
      </w:r>
    </w:p>
  </w:footnote>
  <w:footnote w:id="3">
    <w:p w:rsidR="00E506EE" w:rsidRPr="00972842" w:rsidRDefault="00E506EE" w:rsidP="00972842">
      <w:pPr>
        <w:pStyle w:val="FootnoteText"/>
        <w:spacing w:line="276" w:lineRule="auto"/>
        <w:jc w:val="both"/>
        <w:rPr>
          <w:rFonts w:asciiTheme="majorHAnsi" w:hAnsiTheme="majorHAnsi" w:cstheme="majorHAnsi"/>
          <w:sz w:val="16"/>
          <w:szCs w:val="16"/>
          <w:lang w:val="ro-MD"/>
        </w:rPr>
      </w:pPr>
      <w:r w:rsidRPr="00972842">
        <w:rPr>
          <w:rStyle w:val="FootnoteReference"/>
          <w:rFonts w:asciiTheme="majorHAnsi" w:eastAsia="Lucida Sans Unicode" w:hAnsiTheme="majorHAnsi" w:cstheme="majorHAnsi"/>
          <w:sz w:val="16"/>
          <w:szCs w:val="16"/>
          <w:lang w:val="ro-MD"/>
        </w:rPr>
        <w:footnoteRef/>
      </w:r>
      <w:r w:rsidRPr="00972842">
        <w:rPr>
          <w:rFonts w:asciiTheme="majorHAnsi" w:eastAsia="Times New Roman" w:hAnsiTheme="majorHAnsi" w:cstheme="majorHAnsi"/>
          <w:sz w:val="16"/>
          <w:szCs w:val="16"/>
          <w:lang w:val="ro-MD"/>
        </w:rPr>
        <w:t xml:space="preserve"> </w:t>
      </w:r>
      <w:r w:rsidR="00A70150" w:rsidRPr="00972842">
        <w:rPr>
          <w:rFonts w:asciiTheme="majorHAnsi" w:eastAsia="Times New Roman" w:hAnsiTheme="majorHAnsi" w:cstheme="majorHAnsi"/>
          <w:sz w:val="16"/>
          <w:szCs w:val="16"/>
          <w:lang w:val="ro-MD"/>
        </w:rPr>
        <w:t>Program</w:t>
      </w:r>
      <w:r w:rsidR="00A70150">
        <w:rPr>
          <w:rFonts w:asciiTheme="majorHAnsi" w:eastAsia="Times New Roman" w:hAnsiTheme="majorHAnsi" w:cstheme="majorHAnsi"/>
          <w:sz w:val="16"/>
          <w:szCs w:val="16"/>
          <w:lang w:val="ro-MD"/>
        </w:rPr>
        <w:t>ele</w:t>
      </w:r>
      <w:r w:rsidR="00A70150" w:rsidRPr="00972842">
        <w:rPr>
          <w:rFonts w:asciiTheme="majorHAnsi" w:eastAsia="Times New Roman" w:hAnsiTheme="majorHAnsi" w:cstheme="majorHAnsi"/>
          <w:sz w:val="16"/>
          <w:szCs w:val="16"/>
          <w:lang w:val="ro-MD"/>
        </w:rPr>
        <w:t xml:space="preserve"> activității de audit a Curții de Conturi pe an</w:t>
      </w:r>
      <w:r w:rsidR="00A70150">
        <w:rPr>
          <w:rFonts w:asciiTheme="majorHAnsi" w:eastAsia="Times New Roman" w:hAnsiTheme="majorHAnsi" w:cstheme="majorHAnsi"/>
          <w:sz w:val="16"/>
          <w:szCs w:val="16"/>
          <w:lang w:val="ro-MD"/>
        </w:rPr>
        <w:t>ul</w:t>
      </w:r>
      <w:r w:rsidR="00A70150" w:rsidRPr="00972842">
        <w:rPr>
          <w:rFonts w:asciiTheme="majorHAnsi" w:eastAsia="Times New Roman" w:hAnsiTheme="majorHAnsi" w:cstheme="majorHAnsi"/>
          <w:sz w:val="16"/>
          <w:szCs w:val="16"/>
          <w:lang w:val="ro-MD"/>
        </w:rPr>
        <w:t xml:space="preserve"> 2021 și</w:t>
      </w:r>
      <w:r w:rsidR="00A70150">
        <w:rPr>
          <w:rFonts w:asciiTheme="majorHAnsi" w:eastAsia="Times New Roman" w:hAnsiTheme="majorHAnsi" w:cstheme="majorHAnsi"/>
          <w:sz w:val="16"/>
          <w:szCs w:val="16"/>
          <w:lang w:val="ro-MD"/>
        </w:rPr>
        <w:t>, respectiv, pe anul</w:t>
      </w:r>
      <w:r w:rsidR="00A70150" w:rsidRPr="00972842">
        <w:rPr>
          <w:rFonts w:asciiTheme="majorHAnsi" w:eastAsia="Times New Roman" w:hAnsiTheme="majorHAnsi" w:cstheme="majorHAnsi"/>
          <w:sz w:val="16"/>
          <w:szCs w:val="16"/>
          <w:lang w:val="ro-MD"/>
        </w:rPr>
        <w:t xml:space="preserve"> 2022, aprobat</w:t>
      </w:r>
      <w:r w:rsidR="00A70150">
        <w:rPr>
          <w:rFonts w:asciiTheme="majorHAnsi" w:eastAsia="Times New Roman" w:hAnsiTheme="majorHAnsi" w:cstheme="majorHAnsi"/>
          <w:sz w:val="16"/>
          <w:szCs w:val="16"/>
          <w:lang w:val="ro-MD"/>
        </w:rPr>
        <w:t>e</w:t>
      </w:r>
      <w:r w:rsidR="00A70150" w:rsidRPr="00972842">
        <w:rPr>
          <w:rFonts w:asciiTheme="majorHAnsi" w:eastAsia="Times New Roman" w:hAnsiTheme="majorHAnsi" w:cstheme="majorHAnsi"/>
          <w:sz w:val="16"/>
          <w:szCs w:val="16"/>
          <w:lang w:val="ro-MD"/>
        </w:rPr>
        <w:t xml:space="preserve"> prin Hotărâr</w:t>
      </w:r>
      <w:r w:rsidR="00A70150">
        <w:rPr>
          <w:rFonts w:asciiTheme="majorHAnsi" w:eastAsia="Times New Roman" w:hAnsiTheme="majorHAnsi" w:cstheme="majorHAnsi"/>
          <w:sz w:val="16"/>
          <w:szCs w:val="16"/>
          <w:lang w:val="ro-MD"/>
        </w:rPr>
        <w:t>ile</w:t>
      </w:r>
      <w:r w:rsidR="00A70150" w:rsidRPr="00972842">
        <w:rPr>
          <w:rFonts w:asciiTheme="majorHAnsi" w:eastAsia="Times New Roman" w:hAnsiTheme="majorHAnsi" w:cstheme="majorHAnsi"/>
          <w:sz w:val="16"/>
          <w:szCs w:val="16"/>
          <w:lang w:val="ro-MD"/>
        </w:rPr>
        <w:t xml:space="preserve"> Curții de Conturi nr.62 din 10.12.2020 și</w:t>
      </w:r>
      <w:r w:rsidR="00A70150">
        <w:rPr>
          <w:rFonts w:asciiTheme="majorHAnsi" w:eastAsia="Times New Roman" w:hAnsiTheme="majorHAnsi" w:cstheme="majorHAnsi"/>
          <w:sz w:val="16"/>
          <w:szCs w:val="16"/>
          <w:lang w:val="ro-MD"/>
        </w:rPr>
        <w:t>, respectiv,</w:t>
      </w:r>
      <w:r w:rsidR="00A70150" w:rsidRPr="00972842">
        <w:rPr>
          <w:rFonts w:asciiTheme="majorHAnsi" w:eastAsia="Times New Roman" w:hAnsiTheme="majorHAnsi" w:cstheme="majorHAnsi"/>
          <w:sz w:val="16"/>
          <w:szCs w:val="16"/>
          <w:lang w:val="ro-MD"/>
        </w:rPr>
        <w:t xml:space="preserve"> nr.75 din 28.12.2021.</w:t>
      </w:r>
    </w:p>
  </w:footnote>
  <w:footnote w:id="4">
    <w:p w:rsidR="006D2A34" w:rsidRPr="00972842" w:rsidRDefault="006D2A34" w:rsidP="00972842">
      <w:pPr>
        <w:pStyle w:val="1"/>
        <w:spacing w:line="276" w:lineRule="auto"/>
        <w:rPr>
          <w:rFonts w:asciiTheme="majorHAnsi" w:hAnsiTheme="majorHAnsi" w:cstheme="majorHAnsi"/>
          <w:lang w:val="ro-MD"/>
        </w:rPr>
      </w:pPr>
      <w:r w:rsidRPr="00972842">
        <w:rPr>
          <w:rStyle w:val="FootnoteReference"/>
          <w:rFonts w:asciiTheme="majorHAnsi" w:hAnsiTheme="majorHAnsi" w:cstheme="majorHAnsi"/>
          <w:lang w:val="ro-MD"/>
        </w:rPr>
        <w:footnoteRef/>
      </w:r>
      <w:r w:rsidRPr="00972842">
        <w:rPr>
          <w:rFonts w:asciiTheme="majorHAnsi" w:hAnsiTheme="majorHAnsi" w:cstheme="majorHAnsi"/>
          <w:lang w:val="ro-MD"/>
        </w:rPr>
        <w:t xml:space="preserve"> Hotărârea Curții de Conturi nr.2 din 24.01.2020 „Cu privire la Cadrul Declarațiilor Profesionale ale INTOSAI”.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34"/>
    <w:rsid w:val="00032FA9"/>
    <w:rsid w:val="00045D04"/>
    <w:rsid w:val="000466AD"/>
    <w:rsid w:val="000516DC"/>
    <w:rsid w:val="00065378"/>
    <w:rsid w:val="00081D97"/>
    <w:rsid w:val="000B3D19"/>
    <w:rsid w:val="000C74E2"/>
    <w:rsid w:val="000D37CC"/>
    <w:rsid w:val="000E6353"/>
    <w:rsid w:val="00111237"/>
    <w:rsid w:val="001158EB"/>
    <w:rsid w:val="00154980"/>
    <w:rsid w:val="001631A8"/>
    <w:rsid w:val="001A0D51"/>
    <w:rsid w:val="001A3B0C"/>
    <w:rsid w:val="001B56F0"/>
    <w:rsid w:val="00223566"/>
    <w:rsid w:val="0022771F"/>
    <w:rsid w:val="0024686D"/>
    <w:rsid w:val="002633D7"/>
    <w:rsid w:val="002677FE"/>
    <w:rsid w:val="00276229"/>
    <w:rsid w:val="002A1910"/>
    <w:rsid w:val="002B54FE"/>
    <w:rsid w:val="002C605F"/>
    <w:rsid w:val="00303386"/>
    <w:rsid w:val="00314F5B"/>
    <w:rsid w:val="00392F9C"/>
    <w:rsid w:val="003B0AE7"/>
    <w:rsid w:val="003D392E"/>
    <w:rsid w:val="003F19C6"/>
    <w:rsid w:val="003F3112"/>
    <w:rsid w:val="003F78C2"/>
    <w:rsid w:val="00404E59"/>
    <w:rsid w:val="00434440"/>
    <w:rsid w:val="00475156"/>
    <w:rsid w:val="00484AA6"/>
    <w:rsid w:val="004E6C28"/>
    <w:rsid w:val="004F07F1"/>
    <w:rsid w:val="004F7C63"/>
    <w:rsid w:val="005157EB"/>
    <w:rsid w:val="00543BE2"/>
    <w:rsid w:val="00567E65"/>
    <w:rsid w:val="00591A6B"/>
    <w:rsid w:val="005E5F28"/>
    <w:rsid w:val="005E7AA0"/>
    <w:rsid w:val="005E7C56"/>
    <w:rsid w:val="005F4F86"/>
    <w:rsid w:val="0060567E"/>
    <w:rsid w:val="00615C10"/>
    <w:rsid w:val="00636C1F"/>
    <w:rsid w:val="006667E2"/>
    <w:rsid w:val="00681C81"/>
    <w:rsid w:val="00683581"/>
    <w:rsid w:val="00697BA1"/>
    <w:rsid w:val="006B0F23"/>
    <w:rsid w:val="006B3717"/>
    <w:rsid w:val="006C61AC"/>
    <w:rsid w:val="006D2A34"/>
    <w:rsid w:val="00717BF2"/>
    <w:rsid w:val="00717F90"/>
    <w:rsid w:val="00761303"/>
    <w:rsid w:val="00786BCB"/>
    <w:rsid w:val="0079531D"/>
    <w:rsid w:val="007A05AB"/>
    <w:rsid w:val="007D4A4B"/>
    <w:rsid w:val="007F7CA2"/>
    <w:rsid w:val="008B47DE"/>
    <w:rsid w:val="008E7DD0"/>
    <w:rsid w:val="00901292"/>
    <w:rsid w:val="009203CE"/>
    <w:rsid w:val="0092514E"/>
    <w:rsid w:val="009275C9"/>
    <w:rsid w:val="00967744"/>
    <w:rsid w:val="00972842"/>
    <w:rsid w:val="009C08FF"/>
    <w:rsid w:val="009E25E2"/>
    <w:rsid w:val="00A2394A"/>
    <w:rsid w:val="00A3588F"/>
    <w:rsid w:val="00A64786"/>
    <w:rsid w:val="00A70150"/>
    <w:rsid w:val="00A70FAB"/>
    <w:rsid w:val="00A866CD"/>
    <w:rsid w:val="00A91561"/>
    <w:rsid w:val="00AE5731"/>
    <w:rsid w:val="00B00A85"/>
    <w:rsid w:val="00B24A5B"/>
    <w:rsid w:val="00B525E9"/>
    <w:rsid w:val="00B8095F"/>
    <w:rsid w:val="00B85673"/>
    <w:rsid w:val="00BA5E41"/>
    <w:rsid w:val="00BC1F38"/>
    <w:rsid w:val="00BE27FB"/>
    <w:rsid w:val="00C208DD"/>
    <w:rsid w:val="00C37468"/>
    <w:rsid w:val="00C417E6"/>
    <w:rsid w:val="00C42F9F"/>
    <w:rsid w:val="00C7630F"/>
    <w:rsid w:val="00C90CDB"/>
    <w:rsid w:val="00C96D24"/>
    <w:rsid w:val="00CD4499"/>
    <w:rsid w:val="00CE4465"/>
    <w:rsid w:val="00CF11DC"/>
    <w:rsid w:val="00CF41E0"/>
    <w:rsid w:val="00D34AF3"/>
    <w:rsid w:val="00DB48C4"/>
    <w:rsid w:val="00DC795B"/>
    <w:rsid w:val="00DE5418"/>
    <w:rsid w:val="00DE668A"/>
    <w:rsid w:val="00DF5198"/>
    <w:rsid w:val="00E12F8F"/>
    <w:rsid w:val="00E254B6"/>
    <w:rsid w:val="00E506EE"/>
    <w:rsid w:val="00E84B61"/>
    <w:rsid w:val="00EB78CB"/>
    <w:rsid w:val="00EC0E36"/>
    <w:rsid w:val="00EC1A57"/>
    <w:rsid w:val="00EF1680"/>
    <w:rsid w:val="00EF2856"/>
    <w:rsid w:val="00F4172F"/>
    <w:rsid w:val="00F773E4"/>
    <w:rsid w:val="00F97BC6"/>
    <w:rsid w:val="00FB0A18"/>
    <w:rsid w:val="00FC0A14"/>
    <w:rsid w:val="00FC2882"/>
    <w:rsid w:val="00FC78BC"/>
    <w:rsid w:val="00FE2C64"/>
    <w:rsid w:val="00FE54E4"/>
    <w:rsid w:val="00FE5EAC"/>
    <w:rsid w:val="00FE7CD3"/>
    <w:rsid w:val="00FF1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80C5"/>
  <w15:chartTrackingRefBased/>
  <w15:docId w15:val="{71A5D602-2EC8-4575-B7DD-2D1A74F8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MD"/>
    </w:rPr>
  </w:style>
  <w:style w:type="paragraph" w:styleId="Heading1">
    <w:name w:val="heading 1"/>
    <w:basedOn w:val="Normal"/>
    <w:next w:val="Normal"/>
    <w:link w:val="Heading1Char"/>
    <w:uiPriority w:val="99"/>
    <w:qFormat/>
    <w:rsid w:val="006D2A34"/>
    <w:pPr>
      <w:keepNext/>
      <w:keepLines/>
      <w:spacing w:before="480" w:after="0" w:line="276" w:lineRule="auto"/>
      <w:outlineLvl w:val="0"/>
    </w:pPr>
    <w:rPr>
      <w:rFonts w:ascii="Calibri Light" w:eastAsia="Times New Roman" w:hAnsi="Calibri Light" w:cs="Times New Roman"/>
      <w:b/>
      <w:bCs/>
      <w:color w:val="2E74B5"/>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D2A34"/>
    <w:rPr>
      <w:rFonts w:ascii="Calibri Light" w:eastAsia="Times New Roman" w:hAnsi="Calibri Light" w:cs="Times New Roman"/>
      <w:b/>
      <w:bCs/>
      <w:color w:val="2E74B5"/>
      <w:sz w:val="28"/>
      <w:szCs w:val="28"/>
      <w:lang w:val="ru-RU"/>
    </w:rPr>
  </w:style>
  <w:style w:type="paragraph" w:styleId="FootnoteText">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f"/>
    <w:basedOn w:val="Normal"/>
    <w:link w:val="FootnoteTextChar"/>
    <w:qFormat/>
    <w:rsid w:val="006D2A34"/>
    <w:pPr>
      <w:spacing w:after="0" w:line="240" w:lineRule="auto"/>
    </w:pPr>
    <w:rPr>
      <w:rFonts w:ascii="Calibri" w:eastAsia="Calibri" w:hAnsi="Calibri" w:cs="Times New Roman"/>
      <w:sz w:val="20"/>
      <w:szCs w:val="20"/>
      <w:lang w:val="ru-RU"/>
    </w:rPr>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Òåêñò ñíîñêè2 Char"/>
    <w:basedOn w:val="DefaultParagraphFont"/>
    <w:link w:val="FootnoteText"/>
    <w:rsid w:val="006D2A34"/>
    <w:rPr>
      <w:rFonts w:ascii="Calibri" w:eastAsia="Calibri" w:hAnsi="Calibri" w:cs="Times New Roman"/>
      <w:sz w:val="20"/>
      <w:szCs w:val="20"/>
      <w:lang w:val="ru-RU"/>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FR"/>
    <w:basedOn w:val="DefaultParagraphFont"/>
    <w:link w:val="FNRefeCharChar"/>
    <w:rsid w:val="006D2A34"/>
    <w:rPr>
      <w:rFonts w:cs="Times New Roman"/>
      <w:vertAlign w:val="superscript"/>
    </w:rPr>
  </w:style>
  <w:style w:type="paragraph" w:styleId="Caption">
    <w:name w:val="caption"/>
    <w:basedOn w:val="Normal"/>
    <w:next w:val="Normal"/>
    <w:uiPriority w:val="99"/>
    <w:qFormat/>
    <w:rsid w:val="006D2A34"/>
    <w:pPr>
      <w:spacing w:after="0" w:line="240" w:lineRule="auto"/>
      <w:jc w:val="center"/>
    </w:pPr>
    <w:rPr>
      <w:rFonts w:ascii="$ Caslon" w:eastAsia="Times New Roman" w:hAnsi="$ Caslon" w:cs="Times New Roman"/>
      <w:b/>
      <w:i/>
      <w:sz w:val="28"/>
      <w:szCs w:val="20"/>
      <w:lang w:val="ro-RO" w:eastAsia="ru-RU"/>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qFormat/>
    <w:rsid w:val="006D2A34"/>
    <w:pPr>
      <w:spacing w:line="240" w:lineRule="exact"/>
    </w:pPr>
    <w:rPr>
      <w:rFonts w:cs="Times New Roman"/>
      <w:vertAlign w:val="superscript"/>
      <w:lang w:val="en-US"/>
    </w:rPr>
  </w:style>
  <w:style w:type="paragraph" w:customStyle="1" w:styleId="1">
    <w:name w:val="Стиль1"/>
    <w:basedOn w:val="NormalWeb"/>
    <w:link w:val="10"/>
    <w:autoRedefine/>
    <w:qFormat/>
    <w:rsid w:val="006D2A34"/>
    <w:pPr>
      <w:spacing w:after="0" w:line="240" w:lineRule="auto"/>
      <w:ind w:left="180" w:hanging="180"/>
      <w:jc w:val="both"/>
    </w:pPr>
    <w:rPr>
      <w:rFonts w:ascii="Calibri Light" w:eastAsia="Times New Roman" w:hAnsi="Calibri Light"/>
      <w:sz w:val="16"/>
      <w:szCs w:val="16"/>
      <w:lang w:val="en-US"/>
    </w:rPr>
  </w:style>
  <w:style w:type="character" w:customStyle="1" w:styleId="10">
    <w:name w:val="Стиль1 Знак"/>
    <w:basedOn w:val="DefaultParagraphFont"/>
    <w:link w:val="1"/>
    <w:rsid w:val="006D2A34"/>
    <w:rPr>
      <w:rFonts w:ascii="Calibri Light" w:eastAsia="Times New Roman" w:hAnsi="Calibri Light" w:cs="Times New Roman"/>
      <w:sz w:val="16"/>
      <w:szCs w:val="16"/>
    </w:rPr>
  </w:style>
  <w:style w:type="paragraph" w:styleId="NormalWeb">
    <w:name w:val="Normal (Web)"/>
    <w:basedOn w:val="Normal"/>
    <w:uiPriority w:val="99"/>
    <w:semiHidden/>
    <w:unhideWhenUsed/>
    <w:rsid w:val="006D2A34"/>
    <w:rPr>
      <w:rFonts w:ascii="Times New Roman" w:hAnsi="Times New Roman" w:cs="Times New Roman"/>
      <w:sz w:val="24"/>
      <w:szCs w:val="24"/>
    </w:rPr>
  </w:style>
  <w:style w:type="paragraph" w:styleId="Header">
    <w:name w:val="header"/>
    <w:basedOn w:val="Normal"/>
    <w:link w:val="HeaderChar"/>
    <w:uiPriority w:val="99"/>
    <w:unhideWhenUsed/>
    <w:rsid w:val="0092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5C9"/>
    <w:rPr>
      <w:lang w:val="ro-MD"/>
    </w:rPr>
  </w:style>
  <w:style w:type="paragraph" w:styleId="Footer">
    <w:name w:val="footer"/>
    <w:basedOn w:val="Normal"/>
    <w:link w:val="FooterChar"/>
    <w:uiPriority w:val="99"/>
    <w:unhideWhenUsed/>
    <w:rsid w:val="0092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5C9"/>
    <w:rPr>
      <w:lang w:val="ro-MD"/>
    </w:rPr>
  </w:style>
  <w:style w:type="paragraph" w:styleId="BalloonText">
    <w:name w:val="Balloon Text"/>
    <w:basedOn w:val="Normal"/>
    <w:link w:val="BalloonTextChar"/>
    <w:uiPriority w:val="99"/>
    <w:semiHidden/>
    <w:unhideWhenUsed/>
    <w:rsid w:val="007F7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CA2"/>
    <w:rPr>
      <w:rFonts w:ascii="Segoe UI" w:hAnsi="Segoe UI" w:cs="Segoe UI"/>
      <w:sz w:val="18"/>
      <w:szCs w:val="18"/>
      <w:lang w:val="ro-MD"/>
    </w:rPr>
  </w:style>
  <w:style w:type="character" w:styleId="Hyperlink">
    <w:name w:val="Hyperlink"/>
    <w:basedOn w:val="DefaultParagraphFont"/>
    <w:uiPriority w:val="99"/>
    <w:unhideWhenUsed/>
    <w:rsid w:val="00FE54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7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crm.md/ro/decis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837</Words>
  <Characters>4773</Characters>
  <Application>Microsoft Office Word</Application>
  <DocSecurity>0</DocSecurity>
  <Lines>39</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Pleşca Ion</dc:creator>
  <cp:keywords/>
  <dc:description/>
  <cp:lastModifiedBy>Paiu Eugenia</cp:lastModifiedBy>
  <cp:revision>13</cp:revision>
  <dcterms:created xsi:type="dcterms:W3CDTF">2022-03-10T12:50:00Z</dcterms:created>
  <dcterms:modified xsi:type="dcterms:W3CDTF">2022-03-16T10:14:00Z</dcterms:modified>
</cp:coreProperties>
</file>